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1478"/>
        <w:gridCol w:w="8160"/>
      </w:tblGrid>
      <w:tr w:rsidR="00814667" w14:paraId="183B01CF" w14:textId="77777777">
        <w:tc>
          <w:tcPr>
            <w:tcW w:w="5000" w:type="pct"/>
            <w:gridSpan w:val="2"/>
          </w:tcPr>
          <w:p w14:paraId="56265941" w14:textId="174BD26A" w:rsidR="00814667" w:rsidRDefault="00BA4284" w:rsidP="00F31B0B">
            <w:pPr>
              <w:pStyle w:val="CoverTitleMain"/>
            </w:pPr>
            <w:r>
              <w:t>Project AGreement</w:t>
            </w:r>
            <w:r w:rsidR="00292587">
              <w:t xml:space="preserve"> FOR </w:t>
            </w:r>
            <w:r w:rsidR="00217ECB">
              <w:t>THE TOWNSVILLE CITY DEAL:</w:t>
            </w:r>
            <w:r w:rsidR="00F31B0B">
              <w:t xml:space="preserve">PORT OF </w:t>
            </w:r>
            <w:r w:rsidR="0057284C">
              <w:t>Townsville channel cap</w:t>
            </w:r>
            <w:r w:rsidR="002070E7">
              <w:t>A</w:t>
            </w:r>
            <w:r w:rsidR="0057284C">
              <w:t>city upgrade</w:t>
            </w:r>
          </w:p>
        </w:tc>
      </w:tr>
      <w:tr w:rsidR="00814667" w14:paraId="579FC3A7" w14:textId="77777777">
        <w:tc>
          <w:tcPr>
            <w:tcW w:w="767" w:type="pct"/>
          </w:tcPr>
          <w:p w14:paraId="2AC12AF5" w14:textId="77777777" w:rsidR="00814667" w:rsidRDefault="00814667">
            <w:pPr>
              <w:pStyle w:val="SingleParagraph"/>
              <w:tabs>
                <w:tab w:val="num" w:pos="1134"/>
              </w:tabs>
              <w:spacing w:after="240"/>
              <w:ind w:left="1134" w:hanging="567"/>
            </w:pPr>
          </w:p>
        </w:tc>
        <w:tc>
          <w:tcPr>
            <w:tcW w:w="4233" w:type="pct"/>
          </w:tcPr>
          <w:p w14:paraId="4F99BACA" w14:textId="77777777" w:rsidR="00814667" w:rsidRDefault="00814667">
            <w:pPr>
              <w:pStyle w:val="SingleParagraph"/>
              <w:tabs>
                <w:tab w:val="num" w:pos="1134"/>
              </w:tabs>
              <w:spacing w:after="240"/>
              <w:ind w:left="1134" w:hanging="567"/>
            </w:pPr>
          </w:p>
        </w:tc>
      </w:tr>
      <w:tr w:rsidR="00814667" w14:paraId="38104B98" w14:textId="77777777">
        <w:tc>
          <w:tcPr>
            <w:tcW w:w="767" w:type="pct"/>
          </w:tcPr>
          <w:p w14:paraId="2721C991" w14:textId="77777777" w:rsidR="00814667" w:rsidRDefault="00814667">
            <w:pPr>
              <w:pStyle w:val="SingleParagraph"/>
              <w:tabs>
                <w:tab w:val="num" w:pos="1134"/>
              </w:tabs>
              <w:spacing w:after="240"/>
              <w:ind w:left="1134" w:hanging="567"/>
            </w:pPr>
          </w:p>
        </w:tc>
        <w:tc>
          <w:tcPr>
            <w:tcW w:w="4233" w:type="pct"/>
          </w:tcPr>
          <w:p w14:paraId="563E88BB" w14:textId="77777777" w:rsidR="00814667" w:rsidRPr="001E74D0" w:rsidRDefault="00814667">
            <w:pPr>
              <w:pStyle w:val="SingleParagraph"/>
              <w:tabs>
                <w:tab w:val="num" w:pos="1134"/>
              </w:tabs>
              <w:spacing w:after="240"/>
              <w:ind w:left="1134" w:hanging="567"/>
            </w:pPr>
          </w:p>
        </w:tc>
      </w:tr>
      <w:tr w:rsidR="00814667" w14:paraId="425B2DC2" w14:textId="77777777">
        <w:tc>
          <w:tcPr>
            <w:tcW w:w="5000" w:type="pct"/>
            <w:gridSpan w:val="2"/>
          </w:tcPr>
          <w:p w14:paraId="6430E201" w14:textId="77777777" w:rsidR="00814667" w:rsidRDefault="00814667">
            <w:pPr>
              <w:pStyle w:val="AgreementHeading"/>
              <w:tabs>
                <w:tab w:val="clear" w:pos="1134"/>
              </w:tabs>
            </w:pPr>
            <w:r>
              <w:t>An agreement between</w:t>
            </w:r>
            <w:r w:rsidR="00697494">
              <w:t>:</w:t>
            </w:r>
          </w:p>
        </w:tc>
      </w:tr>
      <w:tr w:rsidR="00814667" w14:paraId="76BB3275" w14:textId="77777777">
        <w:tc>
          <w:tcPr>
            <w:tcW w:w="767" w:type="pct"/>
          </w:tcPr>
          <w:p w14:paraId="3EF74CCF" w14:textId="77777777" w:rsidR="00814667" w:rsidRPr="001E74D0" w:rsidRDefault="00814667">
            <w:pPr>
              <w:pStyle w:val="AgreementHeading"/>
              <w:tabs>
                <w:tab w:val="clear" w:pos="1134"/>
              </w:tabs>
              <w:ind w:left="522"/>
            </w:pPr>
          </w:p>
        </w:tc>
        <w:tc>
          <w:tcPr>
            <w:tcW w:w="4233" w:type="pct"/>
          </w:tcPr>
          <w:p w14:paraId="304A792B" w14:textId="77777777" w:rsidR="00814667" w:rsidRDefault="00814667">
            <w:pPr>
              <w:pStyle w:val="AgreementParties"/>
            </w:pPr>
            <w:r>
              <w:t xml:space="preserve">the </w:t>
            </w:r>
            <w:r>
              <w:rPr>
                <w:rStyle w:val="Bold"/>
              </w:rPr>
              <w:t>Commonwealth of Australia</w:t>
            </w:r>
            <w:r w:rsidR="00697494" w:rsidRPr="002070E7">
              <w:rPr>
                <w:rStyle w:val="Bold"/>
                <w:b w:val="0"/>
              </w:rPr>
              <w:t>;</w:t>
            </w:r>
            <w:r>
              <w:t xml:space="preserve"> and</w:t>
            </w:r>
          </w:p>
          <w:p w14:paraId="3417238A" w14:textId="77777777" w:rsidR="00814667" w:rsidRPr="001E74D0" w:rsidRDefault="00814667" w:rsidP="0057284C">
            <w:pPr>
              <w:pStyle w:val="AgreementParties"/>
            </w:pPr>
            <w:proofErr w:type="gramStart"/>
            <w:r>
              <w:t>the</w:t>
            </w:r>
            <w:proofErr w:type="gramEnd"/>
            <w:r>
              <w:t xml:space="preserve"> </w:t>
            </w:r>
            <w:r w:rsidR="0057284C">
              <w:rPr>
                <w:rStyle w:val="Bold"/>
              </w:rPr>
              <w:t>State</w:t>
            </w:r>
            <w:r>
              <w:rPr>
                <w:rStyle w:val="Bold"/>
              </w:rPr>
              <w:t xml:space="preserve"> </w:t>
            </w:r>
            <w:r w:rsidR="00697494" w:rsidRPr="00DE36EB">
              <w:rPr>
                <w:rStyle w:val="Bold"/>
              </w:rPr>
              <w:t>of</w:t>
            </w:r>
            <w:r w:rsidR="00F31B0B">
              <w:rPr>
                <w:rStyle w:val="Bold"/>
              </w:rPr>
              <w:t xml:space="preserve"> Queensland</w:t>
            </w:r>
            <w:r w:rsidR="00F31B0B">
              <w:rPr>
                <w:rStyle w:val="Bold"/>
                <w:b w:val="0"/>
              </w:rPr>
              <w:t>.</w:t>
            </w:r>
          </w:p>
        </w:tc>
      </w:tr>
      <w:tr w:rsidR="00814667" w14:paraId="1C1035CA" w14:textId="77777777">
        <w:tc>
          <w:tcPr>
            <w:tcW w:w="767" w:type="pct"/>
          </w:tcPr>
          <w:p w14:paraId="068B9DBB" w14:textId="77777777" w:rsidR="00814667" w:rsidRDefault="00814667">
            <w:pPr>
              <w:pStyle w:val="SingleParagraph"/>
              <w:tabs>
                <w:tab w:val="num" w:pos="1134"/>
              </w:tabs>
              <w:spacing w:after="240"/>
              <w:ind w:left="1134" w:hanging="567"/>
            </w:pPr>
          </w:p>
        </w:tc>
        <w:tc>
          <w:tcPr>
            <w:tcW w:w="4233" w:type="pct"/>
            <w:tcBorders>
              <w:left w:val="nil"/>
            </w:tcBorders>
          </w:tcPr>
          <w:p w14:paraId="352EBFB7" w14:textId="0B6990A2" w:rsidR="00EB7EDA" w:rsidRDefault="00EB7EDA" w:rsidP="00AC10C6">
            <w:pPr>
              <w:pStyle w:val="StatesList"/>
              <w:numPr>
                <w:ilvl w:val="0"/>
                <w:numId w:val="0"/>
              </w:numPr>
              <w:ind w:left="567"/>
            </w:pPr>
          </w:p>
          <w:p w14:paraId="5D7D8C78" w14:textId="77777777" w:rsidR="0057284C" w:rsidRDefault="0057284C" w:rsidP="0057284C">
            <w:pPr>
              <w:pStyle w:val="StatesList"/>
              <w:numPr>
                <w:ilvl w:val="0"/>
                <w:numId w:val="0"/>
              </w:numPr>
              <w:ind w:left="1134"/>
            </w:pPr>
          </w:p>
          <w:p w14:paraId="3482D241" w14:textId="77777777" w:rsidR="0057284C" w:rsidRDefault="0057284C" w:rsidP="0057284C">
            <w:pPr>
              <w:pStyle w:val="StatesList"/>
              <w:numPr>
                <w:ilvl w:val="0"/>
                <w:numId w:val="0"/>
              </w:numPr>
              <w:ind w:left="1134"/>
            </w:pPr>
          </w:p>
          <w:p w14:paraId="19C8C85B" w14:textId="77777777" w:rsidR="0057284C" w:rsidRDefault="0057284C" w:rsidP="0057284C">
            <w:pPr>
              <w:pStyle w:val="StatesList"/>
              <w:numPr>
                <w:ilvl w:val="0"/>
                <w:numId w:val="0"/>
              </w:numPr>
              <w:ind w:left="1134"/>
            </w:pPr>
          </w:p>
          <w:p w14:paraId="46BAFC23" w14:textId="77777777" w:rsidR="0057284C" w:rsidRDefault="0057284C" w:rsidP="0057284C">
            <w:pPr>
              <w:pStyle w:val="StatesList"/>
              <w:numPr>
                <w:ilvl w:val="0"/>
                <w:numId w:val="0"/>
              </w:numPr>
              <w:ind w:left="1134"/>
            </w:pPr>
          </w:p>
          <w:p w14:paraId="0E67A395" w14:textId="77777777" w:rsidR="0057284C" w:rsidRDefault="0057284C">
            <w:pPr>
              <w:pStyle w:val="StatesList"/>
              <w:numPr>
                <w:ilvl w:val="0"/>
                <w:numId w:val="0"/>
              </w:numPr>
            </w:pPr>
          </w:p>
          <w:p w14:paraId="38FB4EF1" w14:textId="77777777" w:rsidR="0057284C" w:rsidRPr="00EB7EDA" w:rsidRDefault="0057284C" w:rsidP="0057284C">
            <w:pPr>
              <w:pStyle w:val="StatesList"/>
              <w:numPr>
                <w:ilvl w:val="0"/>
                <w:numId w:val="0"/>
              </w:numPr>
              <w:rPr>
                <w:i/>
              </w:rPr>
            </w:pPr>
          </w:p>
        </w:tc>
      </w:tr>
      <w:tr w:rsidR="00814667" w14:paraId="68BBD8D4" w14:textId="77777777">
        <w:tc>
          <w:tcPr>
            <w:tcW w:w="5000" w:type="pct"/>
            <w:gridSpan w:val="2"/>
          </w:tcPr>
          <w:p w14:paraId="34EC4FBD" w14:textId="77777777" w:rsidR="00814667" w:rsidRDefault="00814667">
            <w:pPr>
              <w:pStyle w:val="SingleParagraph"/>
              <w:tabs>
                <w:tab w:val="num" w:pos="1134"/>
              </w:tabs>
              <w:spacing w:after="240"/>
              <w:ind w:left="1134" w:hanging="567"/>
            </w:pPr>
          </w:p>
        </w:tc>
      </w:tr>
      <w:tr w:rsidR="00814667" w14:paraId="396CB70E" w14:textId="77777777">
        <w:tc>
          <w:tcPr>
            <w:tcW w:w="5000" w:type="pct"/>
            <w:gridSpan w:val="2"/>
          </w:tcPr>
          <w:p w14:paraId="097A2EAF" w14:textId="77777777" w:rsidR="006E0812" w:rsidRDefault="00771FFF">
            <w:pPr>
              <w:pStyle w:val="Abstract"/>
            </w:pPr>
            <w:r>
              <w:t>The output of this project will be</w:t>
            </w:r>
            <w:r w:rsidR="00845BCC">
              <w:t xml:space="preserve"> </w:t>
            </w:r>
            <w:bookmarkStart w:id="0" w:name="OLE_LINK3"/>
            <w:bookmarkStart w:id="1" w:name="OLE_LINK4"/>
            <w:r w:rsidR="004208CD">
              <w:t xml:space="preserve">the </w:t>
            </w:r>
            <w:r w:rsidR="00F31B0B">
              <w:t xml:space="preserve">Port of </w:t>
            </w:r>
            <w:r w:rsidR="004208CD">
              <w:t>Townsville Channel Capacity Upgrade</w:t>
            </w:r>
            <w:r w:rsidR="00F40578">
              <w:t>, which will widen the existing navigation channel at the Port of Townsville to ensure it remains globally competitive and capable of hosting large cargo and passenger ships</w:t>
            </w:r>
            <w:r w:rsidR="004208CD">
              <w:t>.</w:t>
            </w:r>
            <w:bookmarkEnd w:id="0"/>
            <w:bookmarkEnd w:id="1"/>
          </w:p>
          <w:p w14:paraId="2F5DB81B" w14:textId="77777777" w:rsidR="00814667" w:rsidRPr="006E0812" w:rsidRDefault="006E0812" w:rsidP="00E97208">
            <w:pPr>
              <w:tabs>
                <w:tab w:val="left" w:pos="5860"/>
              </w:tabs>
            </w:pPr>
            <w:r>
              <w:tab/>
            </w:r>
          </w:p>
        </w:tc>
      </w:tr>
    </w:tbl>
    <w:p w14:paraId="1AB7665C" w14:textId="2CCDB54C" w:rsidR="00814667" w:rsidRDefault="00712061">
      <w:pPr>
        <w:pStyle w:val="Title"/>
        <w:pageBreakBefore/>
      </w:pPr>
      <w:r>
        <w:lastRenderedPageBreak/>
        <w:t xml:space="preserve">Project Agreement for the </w:t>
      </w:r>
      <w:r w:rsidR="00446629">
        <w:t xml:space="preserve">Townsville City Deal: </w:t>
      </w:r>
      <w:r w:rsidR="00696BB7">
        <w:t xml:space="preserve">Port of </w:t>
      </w:r>
      <w:r w:rsidR="00AC10C6">
        <w:t>Townsville Channel Capacity Upgrade</w:t>
      </w:r>
    </w:p>
    <w:p w14:paraId="08DE9BD6" w14:textId="77777777" w:rsidR="00AC10C6" w:rsidRPr="006F79D3" w:rsidRDefault="00AC10C6" w:rsidP="002A143D">
      <w:pPr>
        <w:jc w:val="left"/>
        <w:rPr>
          <w:i/>
        </w:rPr>
      </w:pPr>
    </w:p>
    <w:p w14:paraId="5F0D0DFF" w14:textId="77777777" w:rsidR="004B2EF6" w:rsidRPr="004B2EF6" w:rsidRDefault="00804105" w:rsidP="00804105">
      <w:pPr>
        <w:pStyle w:val="Heading1"/>
        <w:pBdr>
          <w:top w:val="single" w:sz="4" w:space="1" w:color="auto"/>
          <w:left w:val="single" w:sz="4" w:space="4" w:color="auto"/>
          <w:bottom w:val="single" w:sz="4" w:space="1" w:color="auto"/>
          <w:right w:val="single" w:sz="4" w:space="4" w:color="auto"/>
        </w:pBdr>
        <w:shd w:val="clear" w:color="auto" w:fill="DAEEF3" w:themeFill="accent5" w:themeFillTint="33"/>
        <w:spacing w:before="0" w:after="240"/>
      </w:pPr>
      <w:r>
        <w:t>overview</w:t>
      </w:r>
    </w:p>
    <w:p w14:paraId="12DEE4C1" w14:textId="77777777" w:rsidR="00C960AA" w:rsidRPr="0096732C" w:rsidRDefault="00C960AA" w:rsidP="00804105">
      <w:pPr>
        <w:pStyle w:val="Normalnumbered"/>
        <w:numPr>
          <w:ilvl w:val="0"/>
          <w:numId w:val="23"/>
        </w:numPr>
        <w:pBdr>
          <w:top w:val="single" w:sz="4" w:space="1" w:color="auto"/>
          <w:left w:val="single" w:sz="4" w:space="4" w:color="auto"/>
          <w:bottom w:val="single" w:sz="4" w:space="1" w:color="auto"/>
          <w:right w:val="single" w:sz="4" w:space="4" w:color="auto"/>
        </w:pBdr>
        <w:shd w:val="clear" w:color="auto" w:fill="DAEEF3" w:themeFill="accent5" w:themeFillTint="33"/>
      </w:pPr>
      <w:r w:rsidRPr="004B1F38">
        <w:rPr>
          <w:color w:val="auto"/>
        </w:rPr>
        <w:t xml:space="preserve">This </w:t>
      </w:r>
      <w:r w:rsidR="00CB4D35">
        <w:rPr>
          <w:color w:val="auto"/>
        </w:rPr>
        <w:t>Project Agreement</w:t>
      </w:r>
      <w:r w:rsidRPr="004B1F38">
        <w:rPr>
          <w:color w:val="auto"/>
        </w:rPr>
        <w:t xml:space="preserve"> (the Agreement) is created subject to the provis</w:t>
      </w:r>
      <w:r w:rsidRPr="004B6083">
        <w:rPr>
          <w:color w:val="auto"/>
        </w:rPr>
        <w:t>i</w:t>
      </w:r>
      <w:r w:rsidRPr="004B1F38">
        <w:rPr>
          <w:color w:val="auto"/>
        </w:rPr>
        <w:t xml:space="preserve">ons of the </w:t>
      </w:r>
      <w:r w:rsidRPr="000614F9">
        <w:rPr>
          <w:color w:val="auto"/>
        </w:rPr>
        <w:t>Intergovernmental Agreement on Federal Financial Relations</w:t>
      </w:r>
      <w:r w:rsidRPr="004B1F38">
        <w:rPr>
          <w:color w:val="auto"/>
        </w:rPr>
        <w:t xml:space="preserve"> </w:t>
      </w:r>
      <w:r w:rsidR="00C2605C" w:rsidRPr="00DE36EB">
        <w:rPr>
          <w:color w:val="auto"/>
        </w:rPr>
        <w:t xml:space="preserve">(IGA FFR) </w:t>
      </w:r>
      <w:r w:rsidRPr="00DE36EB">
        <w:rPr>
          <w:color w:val="auto"/>
        </w:rPr>
        <w:t xml:space="preserve">and should be read in conjunction with that Agreement and </w:t>
      </w:r>
      <w:r w:rsidR="001C346E" w:rsidRPr="00DE36EB">
        <w:rPr>
          <w:color w:val="auto"/>
        </w:rPr>
        <w:t>its</w:t>
      </w:r>
      <w:r w:rsidRPr="00DE36EB">
        <w:rPr>
          <w:color w:val="auto"/>
        </w:rPr>
        <w:t xml:space="preserve"> </w:t>
      </w:r>
      <w:r w:rsidR="001C346E" w:rsidRPr="00DE36EB">
        <w:rPr>
          <w:color w:val="auto"/>
        </w:rPr>
        <w:t>S</w:t>
      </w:r>
      <w:r w:rsidRPr="00DE36EB">
        <w:rPr>
          <w:color w:val="auto"/>
        </w:rPr>
        <w:t>chedules</w:t>
      </w:r>
      <w:r w:rsidR="001C346E" w:rsidRPr="00DE36EB">
        <w:rPr>
          <w:color w:val="auto"/>
        </w:rPr>
        <w:t xml:space="preserve">, which provide information in relation to </w:t>
      </w:r>
      <w:r w:rsidRPr="00DE36EB">
        <w:rPr>
          <w:color w:val="auto"/>
        </w:rPr>
        <w:t>performance reporting and payment arrangements</w:t>
      </w:r>
      <w:r w:rsidR="001C346E" w:rsidRPr="00DE36EB">
        <w:rPr>
          <w:color w:val="auto"/>
        </w:rPr>
        <w:t xml:space="preserve"> under the </w:t>
      </w:r>
      <w:r w:rsidR="008148E2" w:rsidRPr="00DE36EB">
        <w:rPr>
          <w:color w:val="auto"/>
        </w:rPr>
        <w:t>I</w:t>
      </w:r>
      <w:r w:rsidR="00C2605C" w:rsidRPr="00DE36EB">
        <w:rPr>
          <w:color w:val="auto"/>
        </w:rPr>
        <w:t>GA FFR</w:t>
      </w:r>
      <w:r w:rsidRPr="00DE36EB">
        <w:rPr>
          <w:color w:val="auto"/>
        </w:rPr>
        <w:t>.</w:t>
      </w:r>
    </w:p>
    <w:p w14:paraId="0BFA6FEC" w14:textId="77777777" w:rsidR="0096732C" w:rsidRPr="004B1F38" w:rsidRDefault="0096732C" w:rsidP="00804105">
      <w:pPr>
        <w:pStyle w:val="Heading2"/>
        <w:pBdr>
          <w:top w:val="single" w:sz="4" w:space="1" w:color="auto"/>
          <w:left w:val="single" w:sz="4" w:space="4" w:color="auto"/>
          <w:bottom w:val="single" w:sz="4" w:space="1" w:color="auto"/>
          <w:right w:val="single" w:sz="4" w:space="4" w:color="auto"/>
        </w:pBdr>
        <w:shd w:val="clear" w:color="auto" w:fill="DAEEF3" w:themeFill="accent5" w:themeFillTint="33"/>
        <w:spacing w:before="0" w:after="240"/>
      </w:pPr>
      <w:r w:rsidRPr="0096732C">
        <w:t>Purpose</w:t>
      </w:r>
    </w:p>
    <w:p w14:paraId="21A45FDE" w14:textId="778F67FD" w:rsidR="0096732C" w:rsidRPr="00104C24" w:rsidRDefault="00852ED8" w:rsidP="00104C24">
      <w:pPr>
        <w:pStyle w:val="Normalnumbered"/>
        <w:numPr>
          <w:ilvl w:val="0"/>
          <w:numId w:val="23"/>
        </w:numPr>
        <w:pBdr>
          <w:top w:val="single" w:sz="4" w:space="1" w:color="auto"/>
          <w:left w:val="single" w:sz="4" w:space="4" w:color="auto"/>
          <w:bottom w:val="single" w:sz="4" w:space="1" w:color="auto"/>
          <w:right w:val="single" w:sz="4" w:space="4" w:color="auto"/>
        </w:pBdr>
        <w:shd w:val="clear" w:color="auto" w:fill="DAEEF3" w:themeFill="accent5" w:themeFillTint="33"/>
        <w:tabs>
          <w:tab w:val="left" w:pos="567"/>
        </w:tabs>
        <w:rPr>
          <w:color w:val="FF0000"/>
        </w:rPr>
      </w:pPr>
      <w:r w:rsidRPr="004B1F38">
        <w:t xml:space="preserve">This Agreement will </w:t>
      </w:r>
      <w:r w:rsidR="006146F2">
        <w:t xml:space="preserve">support the delivery of </w:t>
      </w:r>
      <w:r w:rsidR="00104C24">
        <w:t xml:space="preserve">the </w:t>
      </w:r>
      <w:r w:rsidR="00696BB7">
        <w:t xml:space="preserve">Port of </w:t>
      </w:r>
      <w:r w:rsidR="00104C24">
        <w:t>Townsville Channel Capacity Upgrade Project</w:t>
      </w:r>
      <w:r w:rsidR="00696BB7">
        <w:t xml:space="preserve"> (</w:t>
      </w:r>
      <w:r w:rsidR="00AD759F">
        <w:t>th</w:t>
      </w:r>
      <w:r w:rsidR="00A76D14">
        <w:t>e</w:t>
      </w:r>
      <w:r w:rsidR="00AD759F">
        <w:t xml:space="preserve"> </w:t>
      </w:r>
      <w:r w:rsidR="00217ECB">
        <w:t>p</w:t>
      </w:r>
      <w:r w:rsidR="00AD759F">
        <w:t>roject</w:t>
      </w:r>
      <w:r w:rsidR="00696BB7">
        <w:t>)</w:t>
      </w:r>
      <w:r w:rsidR="00104C24">
        <w:t xml:space="preserve">. </w:t>
      </w:r>
      <w:r w:rsidR="00696BB7">
        <w:t xml:space="preserve">The Port of </w:t>
      </w:r>
      <w:r w:rsidR="00104C24">
        <w:t xml:space="preserve">Townsville is one of four priority ports under the </w:t>
      </w:r>
      <w:r w:rsidR="00696BB7" w:rsidRPr="002070E7">
        <w:rPr>
          <w:i/>
        </w:rPr>
        <w:t>Sustainable Ports Development Act </w:t>
      </w:r>
      <w:r w:rsidR="00104C24" w:rsidRPr="002070E7">
        <w:rPr>
          <w:i/>
        </w:rPr>
        <w:t>2015</w:t>
      </w:r>
      <w:r w:rsidR="00104C24">
        <w:t xml:space="preserve"> </w:t>
      </w:r>
      <w:r w:rsidR="000243F6">
        <w:t xml:space="preserve">(Qld) </w:t>
      </w:r>
      <w:r w:rsidR="00696BB7">
        <w:t xml:space="preserve">and is </w:t>
      </w:r>
      <w:r w:rsidR="00104C24">
        <w:t xml:space="preserve">considered an essential component of </w:t>
      </w:r>
      <w:r w:rsidR="00A76D14">
        <w:t xml:space="preserve">the State of </w:t>
      </w:r>
      <w:r w:rsidR="00696BB7">
        <w:t>Queensland’s</w:t>
      </w:r>
      <w:r w:rsidR="00104C24">
        <w:t xml:space="preserve"> transport network. </w:t>
      </w:r>
      <w:r w:rsidR="00B611D1">
        <w:t xml:space="preserve">Finalisation of a business case for the </w:t>
      </w:r>
      <w:r w:rsidR="00217ECB">
        <w:t>p</w:t>
      </w:r>
      <w:r w:rsidR="00A76D14">
        <w:t xml:space="preserve">roject </w:t>
      </w:r>
      <w:r w:rsidR="00B611D1">
        <w:t xml:space="preserve">was a commitment under the Townsville City Deal and is stage 1 of a broader $1.64 billion Port Expansion Project. </w:t>
      </w:r>
      <w:r w:rsidR="00696BB7">
        <w:t xml:space="preserve">The </w:t>
      </w:r>
      <w:r w:rsidR="00217ECB">
        <w:t>p</w:t>
      </w:r>
      <w:r w:rsidR="00A76D14">
        <w:t xml:space="preserve">roject </w:t>
      </w:r>
      <w:r w:rsidR="00104C24">
        <w:t>will ensure Townsville remains globally competitive</w:t>
      </w:r>
      <w:r w:rsidR="00E955E0">
        <w:t xml:space="preserve"> by increasing the capacity of the existing shipping channels to allow safer and more efficient access for larger vessels to attract new trading opportunities. It will also facilitate an evolution of the layout and functionality of port land-use to maximise efficient operation and accommodate improved integration of supply chain connections and functionality.</w:t>
      </w:r>
    </w:p>
    <w:p w14:paraId="39FE84CA" w14:textId="77777777" w:rsidR="0096732C" w:rsidRDefault="0096732C" w:rsidP="00804105">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rsidRPr="0096732C">
        <w:rPr>
          <w:rFonts w:cs="Arial"/>
          <w:b/>
          <w:bCs/>
          <w:iCs/>
          <w:color w:val="3D4B67"/>
          <w:sz w:val="29"/>
          <w:szCs w:val="28"/>
        </w:rPr>
        <w:t>Reporting Arrangements</w:t>
      </w:r>
      <w:r>
        <w:t xml:space="preserve"> </w:t>
      </w:r>
    </w:p>
    <w:p w14:paraId="74391B9C" w14:textId="77777777" w:rsidR="0096732C" w:rsidRDefault="00A76D14" w:rsidP="00804105">
      <w:pPr>
        <w:pStyle w:val="Normalnumbered"/>
        <w:numPr>
          <w:ilvl w:val="0"/>
          <w:numId w:val="23"/>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t xml:space="preserve">The State of </w:t>
      </w:r>
      <w:r w:rsidR="00AC10C6">
        <w:t xml:space="preserve">Queensland </w:t>
      </w:r>
      <w:r w:rsidR="0096732C">
        <w:t xml:space="preserve">will report against the agreed milestones during the operation of this Agreement, as set out in Part 4 – Project Milestones, Reporting and Payments. </w:t>
      </w:r>
    </w:p>
    <w:p w14:paraId="4DE534E5" w14:textId="77777777" w:rsidR="0096732C" w:rsidRPr="0096732C" w:rsidRDefault="0096732C" w:rsidP="00804105">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jc w:val="left"/>
        <w:rPr>
          <w:rFonts w:cs="Arial"/>
          <w:b/>
          <w:bCs/>
          <w:iCs/>
          <w:color w:val="3D4B67"/>
          <w:sz w:val="29"/>
          <w:szCs w:val="28"/>
        </w:rPr>
      </w:pPr>
      <w:r w:rsidRPr="0096732C">
        <w:rPr>
          <w:rFonts w:cs="Arial"/>
          <w:b/>
          <w:bCs/>
          <w:iCs/>
          <w:color w:val="3D4B67"/>
          <w:sz w:val="29"/>
          <w:szCs w:val="28"/>
        </w:rPr>
        <w:t xml:space="preserve">Financial Arrangements </w:t>
      </w:r>
    </w:p>
    <w:p w14:paraId="6D2B0D88" w14:textId="77777777" w:rsidR="0096732C" w:rsidRPr="0096732C" w:rsidRDefault="0096732C" w:rsidP="000F25D5">
      <w:pPr>
        <w:pStyle w:val="Normalnumbered"/>
        <w:numPr>
          <w:ilvl w:val="0"/>
          <w:numId w:val="23"/>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rsidRPr="007179FE">
        <w:t>The Commonwealth</w:t>
      </w:r>
      <w:r w:rsidR="00A76D14">
        <w:t xml:space="preserve"> of Australia</w:t>
      </w:r>
      <w:r w:rsidRPr="007179FE">
        <w:t xml:space="preserve"> will provide </w:t>
      </w:r>
      <w:r>
        <w:t>a</w:t>
      </w:r>
      <w:r w:rsidR="00BB77EB">
        <w:t>n estimated</w:t>
      </w:r>
      <w:r w:rsidR="00696BB7">
        <w:t xml:space="preserve"> </w:t>
      </w:r>
      <w:r w:rsidR="001A22ED">
        <w:t>total</w:t>
      </w:r>
      <w:r w:rsidR="001A22ED" w:rsidRPr="007179FE">
        <w:t xml:space="preserve"> financial</w:t>
      </w:r>
      <w:r w:rsidRPr="007179FE">
        <w:t xml:space="preserve"> contribution to </w:t>
      </w:r>
      <w:r w:rsidR="00A76D14">
        <w:t xml:space="preserve">the State of </w:t>
      </w:r>
      <w:r w:rsidR="00AC10C6">
        <w:t>Queensland of $</w:t>
      </w:r>
      <w:r w:rsidR="00696BB7">
        <w:t>75 </w:t>
      </w:r>
      <w:r w:rsidR="00AC10C6">
        <w:t>million</w:t>
      </w:r>
      <w:r w:rsidR="00F234AB">
        <w:t xml:space="preserve"> exclusive of GST</w:t>
      </w:r>
      <w:r w:rsidR="00EF33DE">
        <w:t xml:space="preserve"> </w:t>
      </w:r>
      <w:r>
        <w:t>in respect of this Agreement</w:t>
      </w:r>
      <w:r w:rsidR="00FC055C">
        <w:t>,</w:t>
      </w:r>
      <w:r>
        <w:t xml:space="preserve"> as set out </w:t>
      </w:r>
      <w:r w:rsidRPr="007179FE">
        <w:t xml:space="preserve">in </w:t>
      </w:r>
      <w:r>
        <w:t>Part 5 – Financial Arrangements</w:t>
      </w:r>
      <w:r w:rsidRPr="007179FE">
        <w:t>.</w:t>
      </w:r>
    </w:p>
    <w:p w14:paraId="27B2FA2B" w14:textId="77777777" w:rsidR="0096732C" w:rsidRPr="004B1F38" w:rsidRDefault="00A25265" w:rsidP="00804105">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pPr>
      <w:r w:rsidDel="00A25265">
        <w:t xml:space="preserve"> </w:t>
      </w:r>
    </w:p>
    <w:p w14:paraId="1833FC7F" w14:textId="77777777" w:rsidR="00814667" w:rsidRDefault="00814667">
      <w:pPr>
        <w:pStyle w:val="Heading1"/>
      </w:pPr>
      <w:r>
        <w:t>Part 1 — Formalities</w:t>
      </w:r>
    </w:p>
    <w:p w14:paraId="1D6A4272" w14:textId="53955BC8" w:rsidR="00804105" w:rsidRDefault="00804105" w:rsidP="000F25D5">
      <w:pPr>
        <w:pStyle w:val="Normalnumbered"/>
        <w:numPr>
          <w:ilvl w:val="0"/>
          <w:numId w:val="23"/>
        </w:numPr>
      </w:pPr>
      <w:r>
        <w:t>This Agreement constitutes the entire agreement for th</w:t>
      </w:r>
      <w:r w:rsidR="00A76D14">
        <w:t>e</w:t>
      </w:r>
      <w:r>
        <w:t xml:space="preserve"> project.</w:t>
      </w:r>
      <w:r w:rsidR="00446629">
        <w:t xml:space="preserve"> However, it should be read in conjunction with the Townsville City Deal and Townsville City Deal Implementation Plan.</w:t>
      </w:r>
    </w:p>
    <w:p w14:paraId="1083CCA2" w14:textId="77777777" w:rsidR="00814667" w:rsidRDefault="00814667">
      <w:pPr>
        <w:pStyle w:val="Heading2"/>
      </w:pPr>
      <w:r>
        <w:lastRenderedPageBreak/>
        <w:t>Parties to this Agreement</w:t>
      </w:r>
    </w:p>
    <w:p w14:paraId="2B4E25B0" w14:textId="77777777" w:rsidR="007B4B03" w:rsidRPr="007B4B03" w:rsidRDefault="00E7195E" w:rsidP="00B619AA">
      <w:pPr>
        <w:pStyle w:val="Normalnumbered"/>
        <w:numPr>
          <w:ilvl w:val="0"/>
          <w:numId w:val="23"/>
        </w:numPr>
      </w:pPr>
      <w:r w:rsidRPr="003012DA">
        <w:t xml:space="preserve">This </w:t>
      </w:r>
      <w:r w:rsidR="00E31096">
        <w:t xml:space="preserve">Agreement </w:t>
      </w:r>
      <w:r w:rsidRPr="003012DA">
        <w:t>is between the Commonwealth of Australia (the</w:t>
      </w:r>
      <w:r w:rsidR="00593821">
        <w:t xml:space="preserve"> Commonwealth</w:t>
      </w:r>
      <w:r w:rsidRPr="003012DA">
        <w:t xml:space="preserve">) and </w:t>
      </w:r>
      <w:r w:rsidR="00AD759F">
        <w:t xml:space="preserve">the State of </w:t>
      </w:r>
      <w:r w:rsidR="00AC10C6">
        <w:t>Queensland</w:t>
      </w:r>
      <w:r w:rsidR="00AD759F">
        <w:t xml:space="preserve"> (Queensland)</w:t>
      </w:r>
      <w:r w:rsidRPr="003012DA">
        <w:t xml:space="preserve">. </w:t>
      </w:r>
    </w:p>
    <w:p w14:paraId="7008ABAC" w14:textId="77777777" w:rsidR="00814667" w:rsidRDefault="00814667">
      <w:pPr>
        <w:pStyle w:val="Heading2"/>
      </w:pPr>
      <w:r>
        <w:t>Term of the Agreement</w:t>
      </w:r>
    </w:p>
    <w:p w14:paraId="17AEE46A" w14:textId="77777777" w:rsidR="00814667" w:rsidRPr="00DE36EB" w:rsidRDefault="00814667" w:rsidP="00B619AA">
      <w:pPr>
        <w:pStyle w:val="Normalnumbered"/>
        <w:numPr>
          <w:ilvl w:val="0"/>
          <w:numId w:val="23"/>
        </w:numPr>
      </w:pPr>
      <w:r w:rsidRPr="00DE36EB">
        <w:t xml:space="preserve">This Agreement will commence as soon as the Commonwealth and </w:t>
      </w:r>
      <w:r w:rsidR="008326B4">
        <w:t xml:space="preserve">Queensland </w:t>
      </w:r>
      <w:r w:rsidR="00726DB5" w:rsidRPr="00DE36EB">
        <w:t>sign</w:t>
      </w:r>
      <w:r w:rsidRPr="00DE36EB">
        <w:t xml:space="preserve"> </w:t>
      </w:r>
      <w:r w:rsidR="0096732C">
        <w:t xml:space="preserve">it </w:t>
      </w:r>
      <w:r w:rsidRPr="00DE36EB">
        <w:t>and will expire on</w:t>
      </w:r>
      <w:r w:rsidR="00C7093C" w:rsidRPr="00DE36EB">
        <w:t xml:space="preserve"> </w:t>
      </w:r>
      <w:r w:rsidR="008326B4">
        <w:t>30 June 2023</w:t>
      </w:r>
      <w:r w:rsidR="00284884" w:rsidRPr="00DE36EB">
        <w:t xml:space="preserve"> or on</w:t>
      </w:r>
      <w:r w:rsidR="00FA2EC0" w:rsidRPr="00DE36EB">
        <w:t xml:space="preserve"> complet</w:t>
      </w:r>
      <w:r w:rsidR="00284884" w:rsidRPr="00DE36EB">
        <w:t>ion of the project</w:t>
      </w:r>
      <w:r w:rsidR="00180560">
        <w:t xml:space="preserve"> (whichever occurs earlier)</w:t>
      </w:r>
      <w:r w:rsidR="00284884" w:rsidRPr="00DE36EB">
        <w:t>, including final performance reporting an</w:t>
      </w:r>
      <w:r w:rsidR="00AE2AFD" w:rsidRPr="00DE36EB">
        <w:t>d</w:t>
      </w:r>
      <w:r w:rsidR="00284884" w:rsidRPr="00DE36EB">
        <w:t xml:space="preserve"> processing of final payments against milestones</w:t>
      </w:r>
      <w:r w:rsidRPr="00DE36EB">
        <w:t xml:space="preserve">, </w:t>
      </w:r>
      <w:r w:rsidR="00852ED8" w:rsidRPr="00DE36EB">
        <w:t xml:space="preserve">unless </w:t>
      </w:r>
      <w:r w:rsidRPr="00DE36EB">
        <w:t>terminat</w:t>
      </w:r>
      <w:r w:rsidR="00852ED8" w:rsidRPr="00DE36EB">
        <w:t xml:space="preserve">ed </w:t>
      </w:r>
      <w:r w:rsidR="001A7A15" w:rsidRPr="00DE36EB">
        <w:t xml:space="preserve">earlier </w:t>
      </w:r>
      <w:r w:rsidR="00852ED8" w:rsidRPr="00DE36EB">
        <w:t xml:space="preserve">or extended </w:t>
      </w:r>
      <w:r w:rsidRPr="00DE36EB">
        <w:t>as agreed in writing by the Parties.</w:t>
      </w:r>
    </w:p>
    <w:p w14:paraId="2B7D84F6" w14:textId="77777777" w:rsidR="00784439" w:rsidRPr="009E093C" w:rsidRDefault="00784439" w:rsidP="00784439">
      <w:pPr>
        <w:pStyle w:val="Heading2"/>
        <w:ind w:right="-568"/>
        <w:rPr>
          <w:b w:val="0"/>
          <w:sz w:val="23"/>
          <w:szCs w:val="23"/>
        </w:rPr>
      </w:pPr>
      <w:r w:rsidRPr="00784439">
        <w:rPr>
          <w:rFonts w:ascii="Consolas" w:hAnsi="Consolas"/>
          <w:b w:val="0"/>
          <w:iCs w:val="0"/>
          <w:caps/>
          <w:kern w:val="32"/>
          <w:sz w:val="32"/>
          <w:szCs w:val="36"/>
        </w:rPr>
        <w:t>P</w:t>
      </w:r>
      <w:r w:rsidR="00814667" w:rsidRPr="00784439">
        <w:rPr>
          <w:rFonts w:ascii="Consolas" w:hAnsi="Consolas"/>
          <w:b w:val="0"/>
          <w:iCs w:val="0"/>
          <w:caps/>
          <w:kern w:val="32"/>
          <w:sz w:val="32"/>
          <w:szCs w:val="36"/>
        </w:rPr>
        <w:t xml:space="preserve">art 2 — </w:t>
      </w:r>
      <w:r w:rsidR="00FF5029" w:rsidRPr="00784439">
        <w:rPr>
          <w:rFonts w:ascii="Consolas" w:hAnsi="Consolas"/>
          <w:b w:val="0"/>
          <w:iCs w:val="0"/>
          <w:caps/>
          <w:kern w:val="32"/>
          <w:sz w:val="32"/>
          <w:szCs w:val="36"/>
        </w:rPr>
        <w:t>Project</w:t>
      </w:r>
      <w:r w:rsidR="00814667" w:rsidRPr="00784439">
        <w:rPr>
          <w:rFonts w:ascii="Consolas" w:hAnsi="Consolas"/>
          <w:b w:val="0"/>
          <w:iCs w:val="0"/>
          <w:caps/>
          <w:kern w:val="32"/>
          <w:sz w:val="32"/>
          <w:szCs w:val="36"/>
        </w:rPr>
        <w:t xml:space="preserve"> outputs</w:t>
      </w:r>
      <w:r w:rsidRPr="00784439">
        <w:rPr>
          <w:i/>
        </w:rPr>
        <w:t xml:space="preserve"> </w:t>
      </w:r>
    </w:p>
    <w:p w14:paraId="09628BAA" w14:textId="77777777" w:rsidR="00347B78" w:rsidRDefault="00814667" w:rsidP="00347B78">
      <w:pPr>
        <w:pStyle w:val="Heading2"/>
        <w:rPr>
          <w:i/>
        </w:rPr>
      </w:pPr>
      <w:r>
        <w:t>Outputs</w:t>
      </w:r>
    </w:p>
    <w:p w14:paraId="2494B860" w14:textId="23EEDFB3" w:rsidR="0085738D" w:rsidRDefault="00814667" w:rsidP="009E093C">
      <w:pPr>
        <w:pStyle w:val="Normalnumbered"/>
        <w:numPr>
          <w:ilvl w:val="0"/>
          <w:numId w:val="23"/>
        </w:numPr>
        <w:jc w:val="left"/>
      </w:pPr>
      <w:r w:rsidRPr="0085738D">
        <w:t>The o</w:t>
      </w:r>
      <w:r w:rsidR="006F79D3">
        <w:t>utputs of this Agreement will be</w:t>
      </w:r>
      <w:r w:rsidR="005B5B09">
        <w:t xml:space="preserve"> a widening of the existing Port of Townsville navigational channels from the current 92</w:t>
      </w:r>
      <w:r w:rsidR="00AD759F">
        <w:t xml:space="preserve"> </w:t>
      </w:r>
      <w:r w:rsidR="005B5B09">
        <w:t>metre width to 180 metres at the harbour entrance, tapering to 120 metres at the sea channel entrance</w:t>
      </w:r>
      <w:r w:rsidR="00B611D1">
        <w:t>, comprising</w:t>
      </w:r>
      <w:r w:rsidR="006F79D3">
        <w:t>:</w:t>
      </w:r>
    </w:p>
    <w:p w14:paraId="7871F684" w14:textId="77777777" w:rsidR="00B06097" w:rsidRDefault="004208CD" w:rsidP="00706E50">
      <w:pPr>
        <w:pStyle w:val="AlphaParagraph"/>
        <w:numPr>
          <w:ilvl w:val="0"/>
          <w:numId w:val="34"/>
        </w:numPr>
        <w:tabs>
          <w:tab w:val="clear" w:pos="567"/>
          <w:tab w:val="clear" w:pos="1418"/>
          <w:tab w:val="clear" w:pos="1701"/>
        </w:tabs>
        <w:ind w:left="1134" w:hanging="567"/>
      </w:pPr>
      <w:r>
        <w:t>Dredging Inner Platypus Channel;</w:t>
      </w:r>
      <w:r w:rsidR="004A00E8">
        <w:t xml:space="preserve"> </w:t>
      </w:r>
    </w:p>
    <w:p w14:paraId="470B1645" w14:textId="77777777" w:rsidR="00814667" w:rsidRDefault="004208CD" w:rsidP="00706E50">
      <w:pPr>
        <w:pStyle w:val="AlphaParagraph"/>
        <w:numPr>
          <w:ilvl w:val="0"/>
          <w:numId w:val="28"/>
        </w:numPr>
        <w:tabs>
          <w:tab w:val="clear" w:pos="567"/>
          <w:tab w:val="clear" w:pos="1418"/>
          <w:tab w:val="clear" w:pos="1701"/>
        </w:tabs>
        <w:ind w:left="1134" w:hanging="567"/>
      </w:pPr>
      <w:r>
        <w:t>Dredging Outer Platypus</w:t>
      </w:r>
      <w:r w:rsidR="00347B78">
        <w:t xml:space="preserve"> Channel</w:t>
      </w:r>
      <w:r w:rsidR="00B06097">
        <w:t>;</w:t>
      </w:r>
    </w:p>
    <w:p w14:paraId="0F6239B3" w14:textId="77777777" w:rsidR="00347B78" w:rsidRDefault="00347B78" w:rsidP="00706E50">
      <w:pPr>
        <w:pStyle w:val="AlphaParagraph"/>
        <w:numPr>
          <w:ilvl w:val="0"/>
          <w:numId w:val="28"/>
        </w:numPr>
        <w:tabs>
          <w:tab w:val="clear" w:pos="567"/>
          <w:tab w:val="clear" w:pos="1418"/>
          <w:tab w:val="clear" w:pos="1701"/>
        </w:tabs>
        <w:ind w:left="1134" w:hanging="567"/>
      </w:pPr>
      <w:r>
        <w:t>Dredging Sea Channel;</w:t>
      </w:r>
    </w:p>
    <w:p w14:paraId="464C3955" w14:textId="77777777" w:rsidR="00681956" w:rsidRDefault="00347B78" w:rsidP="00706E50">
      <w:pPr>
        <w:pStyle w:val="AlphaParagraph"/>
        <w:numPr>
          <w:ilvl w:val="0"/>
          <w:numId w:val="28"/>
        </w:numPr>
        <w:tabs>
          <w:tab w:val="clear" w:pos="567"/>
          <w:tab w:val="clear" w:pos="1418"/>
          <w:tab w:val="clear" w:pos="1701"/>
        </w:tabs>
        <w:ind w:left="1134" w:hanging="567"/>
      </w:pPr>
      <w:r>
        <w:t>Rock Haulage</w:t>
      </w:r>
      <w:r w:rsidR="004A00E8">
        <w:t>;</w:t>
      </w:r>
    </w:p>
    <w:p w14:paraId="75403948" w14:textId="1E0899EA" w:rsidR="00E955E0" w:rsidRDefault="00347B78" w:rsidP="00706E50">
      <w:pPr>
        <w:pStyle w:val="AlphaParagraph"/>
        <w:numPr>
          <w:ilvl w:val="0"/>
          <w:numId w:val="28"/>
        </w:numPr>
        <w:tabs>
          <w:tab w:val="clear" w:pos="567"/>
          <w:tab w:val="clear" w:pos="1418"/>
          <w:tab w:val="clear" w:pos="1701"/>
        </w:tabs>
        <w:ind w:left="1134" w:hanging="567"/>
      </w:pPr>
      <w:r>
        <w:t>Construction of Rock</w:t>
      </w:r>
      <w:r w:rsidR="003A7AE1">
        <w:t xml:space="preserve"> W</w:t>
      </w:r>
      <w:r>
        <w:t xml:space="preserve">all </w:t>
      </w:r>
      <w:r w:rsidR="004A00E8">
        <w:t>Structure;</w:t>
      </w:r>
      <w:r w:rsidR="00016684">
        <w:t xml:space="preserve"> and</w:t>
      </w:r>
    </w:p>
    <w:p w14:paraId="7BD5173C" w14:textId="48D7B5D3" w:rsidR="00347B78" w:rsidRPr="0085738D" w:rsidRDefault="00E955E0" w:rsidP="00016684">
      <w:pPr>
        <w:pStyle w:val="AlphaParagraph"/>
        <w:numPr>
          <w:ilvl w:val="0"/>
          <w:numId w:val="28"/>
        </w:numPr>
        <w:tabs>
          <w:tab w:val="clear" w:pos="567"/>
          <w:tab w:val="clear" w:pos="1418"/>
          <w:tab w:val="clear" w:pos="1701"/>
        </w:tabs>
        <w:ind w:left="1134" w:hanging="567"/>
      </w:pPr>
      <w:r>
        <w:t>Land Reclamation (beneficially using the material dredged from the Inner Platypus, Outer Platypus and Sea Channels)</w:t>
      </w:r>
      <w:r w:rsidR="005B5B09">
        <w:t>.</w:t>
      </w:r>
    </w:p>
    <w:p w14:paraId="38E96450" w14:textId="77777777" w:rsidR="008F44F1" w:rsidRDefault="008F44F1">
      <w:pPr>
        <w:pStyle w:val="Heading1"/>
      </w:pPr>
      <w:r>
        <w:t>Part 3 — roles and responsibilities of each party</w:t>
      </w:r>
    </w:p>
    <w:p w14:paraId="6CBA334B" w14:textId="77777777" w:rsidR="008F44F1" w:rsidRDefault="008F44F1" w:rsidP="008F44F1">
      <w:pPr>
        <w:pStyle w:val="Heading2"/>
      </w:pPr>
      <w:r w:rsidRPr="00814590">
        <w:t>Role of the Commonwealth</w:t>
      </w:r>
    </w:p>
    <w:p w14:paraId="3E4EA31B" w14:textId="77777777" w:rsidR="008F44F1" w:rsidRDefault="008F44F1" w:rsidP="009E093C">
      <w:pPr>
        <w:pStyle w:val="Normalnumbered"/>
        <w:numPr>
          <w:ilvl w:val="0"/>
          <w:numId w:val="23"/>
        </w:numPr>
        <w:jc w:val="left"/>
      </w:pPr>
      <w:r>
        <w:t>The Commonwealth will be responsible for:</w:t>
      </w:r>
    </w:p>
    <w:p w14:paraId="69D41B26" w14:textId="1126A7AC" w:rsidR="008F44F1" w:rsidRPr="000614F9" w:rsidRDefault="008F44F1" w:rsidP="009E093C">
      <w:pPr>
        <w:pStyle w:val="AlphaParagraph"/>
        <w:numPr>
          <w:ilvl w:val="0"/>
          <w:numId w:val="36"/>
        </w:numPr>
        <w:tabs>
          <w:tab w:val="clear" w:pos="567"/>
          <w:tab w:val="clear" w:pos="1418"/>
          <w:tab w:val="clear" w:pos="1701"/>
        </w:tabs>
        <w:ind w:left="1134" w:hanging="567"/>
      </w:pPr>
      <w:r w:rsidRPr="000614F9">
        <w:rPr>
          <w:color w:val="auto"/>
        </w:rPr>
        <w:t>monitoring</w:t>
      </w:r>
      <w:r w:rsidRPr="004B6083">
        <w:t xml:space="preserve"> and assessing achievement against milestones in the delivery of the</w:t>
      </w:r>
      <w:r w:rsidR="00A73EA5">
        <w:t xml:space="preserve"> </w:t>
      </w:r>
      <w:r w:rsidR="00A62737">
        <w:t>p</w:t>
      </w:r>
      <w:r w:rsidR="00A76D14">
        <w:t xml:space="preserve">roject </w:t>
      </w:r>
      <w:r w:rsidRPr="000614F9">
        <w:rPr>
          <w:color w:val="auto"/>
        </w:rPr>
        <w:t>under</w:t>
      </w:r>
      <w:r w:rsidRPr="004B6083">
        <w:t xml:space="preserve"> this Agreement to ensure that outputs are delivered within the agreed timeframe; </w:t>
      </w:r>
    </w:p>
    <w:p w14:paraId="09226091" w14:textId="77777777" w:rsidR="008F44F1" w:rsidRPr="000614F9" w:rsidRDefault="008F44F1" w:rsidP="009E093C">
      <w:pPr>
        <w:pStyle w:val="AlphaParagraph"/>
        <w:numPr>
          <w:ilvl w:val="0"/>
          <w:numId w:val="28"/>
        </w:numPr>
        <w:tabs>
          <w:tab w:val="clear" w:pos="567"/>
          <w:tab w:val="clear" w:pos="1418"/>
          <w:tab w:val="clear" w:pos="1701"/>
        </w:tabs>
        <w:ind w:left="1134" w:hanging="567"/>
        <w:rPr>
          <w:color w:val="auto"/>
        </w:rPr>
      </w:pPr>
      <w:r w:rsidRPr="004B6083">
        <w:rPr>
          <w:color w:val="auto"/>
        </w:rPr>
        <w:t xml:space="preserve">providing a consequent financial contribution to </w:t>
      </w:r>
      <w:r w:rsidR="00B611D1">
        <w:rPr>
          <w:color w:val="auto"/>
        </w:rPr>
        <w:t>Queensland</w:t>
      </w:r>
      <w:r w:rsidRPr="004B6083">
        <w:rPr>
          <w:color w:val="auto"/>
        </w:rPr>
        <w:t xml:space="preserve"> to support the </w:t>
      </w:r>
      <w:r w:rsidRPr="000614F9">
        <w:t>implementation</w:t>
      </w:r>
      <w:r w:rsidRPr="004B6083">
        <w:rPr>
          <w:color w:val="auto"/>
        </w:rPr>
        <w:t xml:space="preserve"> of this Agreement;</w:t>
      </w:r>
    </w:p>
    <w:p w14:paraId="06DF5366" w14:textId="2D2E4818" w:rsidR="004F5DCD" w:rsidRPr="00217ECB" w:rsidRDefault="004F5DCD" w:rsidP="004F5DCD">
      <w:pPr>
        <w:pStyle w:val="AlphaParagraph"/>
        <w:numPr>
          <w:ilvl w:val="0"/>
          <w:numId w:val="28"/>
        </w:numPr>
        <w:tabs>
          <w:tab w:val="clear" w:pos="567"/>
          <w:tab w:val="clear" w:pos="1418"/>
          <w:tab w:val="clear" w:pos="1701"/>
        </w:tabs>
        <w:ind w:left="1134" w:hanging="567"/>
        <w:rPr>
          <w:i/>
          <w:color w:val="auto"/>
        </w:rPr>
      </w:pPr>
      <w:r w:rsidRPr="00217ECB">
        <w:rPr>
          <w:color w:val="auto"/>
          <w:szCs w:val="23"/>
        </w:rPr>
        <w:t xml:space="preserve">in accordance with the </w:t>
      </w:r>
      <w:r w:rsidRPr="00217ECB">
        <w:rPr>
          <w:i/>
          <w:color w:val="auto"/>
          <w:szCs w:val="23"/>
        </w:rPr>
        <w:t>Building and Construction Industry (Improving Productivity) Act 2016</w:t>
      </w:r>
      <w:r w:rsidR="003A7AE1" w:rsidRPr="00217ECB">
        <w:rPr>
          <w:i/>
          <w:color w:val="auto"/>
          <w:szCs w:val="23"/>
        </w:rPr>
        <w:t xml:space="preserve"> </w:t>
      </w:r>
      <w:r w:rsidR="003A7AE1" w:rsidRPr="00217ECB">
        <w:rPr>
          <w:color w:val="auto"/>
          <w:szCs w:val="23"/>
        </w:rPr>
        <w:t>(</w:t>
      </w:r>
      <w:proofErr w:type="spellStart"/>
      <w:r w:rsidR="003A7AE1" w:rsidRPr="00217ECB">
        <w:rPr>
          <w:color w:val="auto"/>
          <w:szCs w:val="23"/>
        </w:rPr>
        <w:t>Cth</w:t>
      </w:r>
      <w:proofErr w:type="spellEnd"/>
      <w:r w:rsidR="003A7AE1" w:rsidRPr="00217ECB">
        <w:rPr>
          <w:color w:val="auto"/>
          <w:szCs w:val="23"/>
        </w:rPr>
        <w:t>)</w:t>
      </w:r>
      <w:r w:rsidRPr="00217ECB">
        <w:rPr>
          <w:color w:val="auto"/>
        </w:rPr>
        <w:t xml:space="preserve">, </w:t>
      </w:r>
      <w:r w:rsidRPr="00217ECB">
        <w:rPr>
          <w:color w:val="auto"/>
          <w:szCs w:val="23"/>
        </w:rPr>
        <w:t xml:space="preserve">ensuring that </w:t>
      </w:r>
      <w:r w:rsidRPr="00217ECB">
        <w:rPr>
          <w:color w:val="auto"/>
        </w:rPr>
        <w:t xml:space="preserve">financial contributions to </w:t>
      </w:r>
      <w:r w:rsidR="00694D53" w:rsidRPr="004547B2">
        <w:rPr>
          <w:color w:val="auto"/>
        </w:rPr>
        <w:t>building work</w:t>
      </w:r>
      <w:r w:rsidRPr="00217ECB">
        <w:rPr>
          <w:color w:val="auto"/>
        </w:rPr>
        <w:t xml:space="preserve"> as </w:t>
      </w:r>
      <w:r w:rsidR="00F904BC" w:rsidRPr="00217ECB">
        <w:rPr>
          <w:color w:val="auto"/>
        </w:rPr>
        <w:t xml:space="preserve">prescribed </w:t>
      </w:r>
      <w:r w:rsidRPr="00217ECB">
        <w:rPr>
          <w:color w:val="auto"/>
        </w:rPr>
        <w:t xml:space="preserve">under the </w:t>
      </w:r>
      <w:r w:rsidR="00F904BC" w:rsidRPr="00217ECB">
        <w:rPr>
          <w:i/>
          <w:color w:val="auto"/>
          <w:szCs w:val="23"/>
        </w:rPr>
        <w:t>Building and Construction Industry (Improving Productivity) (Accreditation Scheme) Rules 2019</w:t>
      </w:r>
      <w:r w:rsidRPr="00217ECB">
        <w:rPr>
          <w:color w:val="auto"/>
        </w:rPr>
        <w:t xml:space="preserve"> are only made where a builder or builders accredited under the Australian Government Building and Construction W</w:t>
      </w:r>
      <w:r w:rsidR="00370CB8" w:rsidRPr="00217ECB">
        <w:rPr>
          <w:color w:val="auto"/>
        </w:rPr>
        <w:t xml:space="preserve">ork </w:t>
      </w:r>
      <w:r w:rsidRPr="00217ECB">
        <w:rPr>
          <w:color w:val="auto"/>
        </w:rPr>
        <w:t>H</w:t>
      </w:r>
      <w:r w:rsidR="00370CB8" w:rsidRPr="00217ECB">
        <w:rPr>
          <w:color w:val="auto"/>
        </w:rPr>
        <w:t xml:space="preserve">ealth and </w:t>
      </w:r>
      <w:r w:rsidRPr="00217ECB">
        <w:rPr>
          <w:color w:val="auto"/>
        </w:rPr>
        <w:t>S</w:t>
      </w:r>
      <w:r w:rsidR="00370CB8" w:rsidRPr="00217ECB">
        <w:rPr>
          <w:color w:val="auto"/>
        </w:rPr>
        <w:t>afety</w:t>
      </w:r>
      <w:r w:rsidRPr="00217ECB">
        <w:rPr>
          <w:color w:val="auto"/>
        </w:rPr>
        <w:t xml:space="preserve"> Accreditation Scheme</w:t>
      </w:r>
      <w:r w:rsidR="00370CB8" w:rsidRPr="00217ECB">
        <w:rPr>
          <w:color w:val="auto"/>
        </w:rPr>
        <w:t xml:space="preserve"> (the WHS </w:t>
      </w:r>
      <w:r w:rsidR="00694D53">
        <w:rPr>
          <w:color w:val="auto"/>
        </w:rPr>
        <w:t xml:space="preserve">Accreditation </w:t>
      </w:r>
      <w:r w:rsidR="00370CB8" w:rsidRPr="00217ECB">
        <w:rPr>
          <w:color w:val="auto"/>
        </w:rPr>
        <w:t>Scheme)</w:t>
      </w:r>
      <w:r w:rsidRPr="00217ECB">
        <w:rPr>
          <w:color w:val="auto"/>
        </w:rPr>
        <w:t xml:space="preserve"> is contracted; and</w:t>
      </w:r>
    </w:p>
    <w:p w14:paraId="408F36CA" w14:textId="77777777" w:rsidR="004F5DCD" w:rsidRPr="00750F59" w:rsidRDefault="004F5DCD" w:rsidP="004F5DCD">
      <w:pPr>
        <w:pStyle w:val="AlphaParagraph"/>
        <w:numPr>
          <w:ilvl w:val="0"/>
          <w:numId w:val="28"/>
        </w:numPr>
        <w:tabs>
          <w:tab w:val="clear" w:pos="567"/>
          <w:tab w:val="clear" w:pos="1418"/>
          <w:tab w:val="clear" w:pos="1701"/>
        </w:tabs>
        <w:ind w:left="1134" w:hanging="567"/>
        <w:rPr>
          <w:i/>
          <w:color w:val="auto"/>
        </w:rPr>
      </w:pPr>
      <w:proofErr w:type="gramStart"/>
      <w:r w:rsidRPr="00750F59">
        <w:rPr>
          <w:color w:val="auto"/>
        </w:rPr>
        <w:t>ensuring</w:t>
      </w:r>
      <w:proofErr w:type="gramEnd"/>
      <w:r w:rsidRPr="00750F59">
        <w:rPr>
          <w:color w:val="auto"/>
        </w:rPr>
        <w:t xml:space="preserve"> that compliance with the </w:t>
      </w:r>
      <w:r>
        <w:rPr>
          <w:color w:val="auto"/>
        </w:rPr>
        <w:t>Code for the Tendering and Performance of Building Work 2016 (</w:t>
      </w:r>
      <w:r w:rsidRPr="00750F59">
        <w:rPr>
          <w:color w:val="auto"/>
        </w:rPr>
        <w:t>Building Code 201</w:t>
      </w:r>
      <w:r>
        <w:rPr>
          <w:color w:val="auto"/>
        </w:rPr>
        <w:t>6)</w:t>
      </w:r>
      <w:r w:rsidR="00BB77EB">
        <w:rPr>
          <w:color w:val="auto"/>
        </w:rPr>
        <w:t>,</w:t>
      </w:r>
      <w:r w:rsidRPr="00750F59">
        <w:rPr>
          <w:color w:val="auto"/>
        </w:rPr>
        <w:t xml:space="preserve"> </w:t>
      </w:r>
      <w:r w:rsidR="00BB77EB">
        <w:rPr>
          <w:color w:val="auto"/>
        </w:rPr>
        <w:t xml:space="preserve">or </w:t>
      </w:r>
      <w:r w:rsidR="00BB77EB" w:rsidRPr="004547B2">
        <w:rPr>
          <w:color w:val="auto"/>
        </w:rPr>
        <w:t xml:space="preserve">as </w:t>
      </w:r>
      <w:r w:rsidR="00217ECB" w:rsidRPr="004547B2">
        <w:rPr>
          <w:color w:val="auto"/>
        </w:rPr>
        <w:t>it</w:t>
      </w:r>
      <w:r w:rsidR="00217ECB">
        <w:rPr>
          <w:color w:val="auto"/>
        </w:rPr>
        <w:t xml:space="preserve"> </w:t>
      </w:r>
      <w:r w:rsidR="00BB77EB">
        <w:rPr>
          <w:color w:val="auto"/>
        </w:rPr>
        <w:t xml:space="preserve">is updated from time to time, </w:t>
      </w:r>
      <w:r w:rsidRPr="00750F59">
        <w:rPr>
          <w:color w:val="auto"/>
        </w:rPr>
        <w:t>is a condition of Australian Government funding.</w:t>
      </w:r>
    </w:p>
    <w:p w14:paraId="129B288F" w14:textId="77777777" w:rsidR="008F44F1" w:rsidRPr="00751725" w:rsidRDefault="008F44F1" w:rsidP="008F44F1">
      <w:pPr>
        <w:pStyle w:val="Heading2"/>
      </w:pPr>
      <w:r w:rsidRPr="00751725">
        <w:lastRenderedPageBreak/>
        <w:t xml:space="preserve">Role of the </w:t>
      </w:r>
      <w:r w:rsidR="002875B7">
        <w:t>Queensland</w:t>
      </w:r>
    </w:p>
    <w:p w14:paraId="656FB15E" w14:textId="77777777" w:rsidR="008F44F1" w:rsidRPr="00751725" w:rsidRDefault="002875B7" w:rsidP="009E093C">
      <w:pPr>
        <w:pStyle w:val="Normalnumbered"/>
        <w:numPr>
          <w:ilvl w:val="0"/>
          <w:numId w:val="23"/>
        </w:numPr>
        <w:jc w:val="left"/>
      </w:pPr>
      <w:r>
        <w:t xml:space="preserve">Queensland </w:t>
      </w:r>
      <w:r w:rsidR="008F44F1">
        <w:t>will be responsible for</w:t>
      </w:r>
      <w:r w:rsidR="00545DF7">
        <w:t>:</w:t>
      </w:r>
    </w:p>
    <w:p w14:paraId="08F43E91" w14:textId="77777777" w:rsidR="008F44F1" w:rsidRDefault="008F44F1" w:rsidP="009E093C">
      <w:pPr>
        <w:pStyle w:val="AlphaParagraph"/>
        <w:numPr>
          <w:ilvl w:val="0"/>
          <w:numId w:val="32"/>
        </w:numPr>
        <w:tabs>
          <w:tab w:val="clear" w:pos="567"/>
          <w:tab w:val="clear" w:pos="1418"/>
          <w:tab w:val="clear" w:pos="1701"/>
        </w:tabs>
        <w:ind w:left="1134" w:hanging="567"/>
      </w:pPr>
      <w:r w:rsidRPr="00751725">
        <w:t>providing a</w:t>
      </w:r>
      <w:r>
        <w:t xml:space="preserve"> </w:t>
      </w:r>
      <w:r w:rsidRPr="000614F9">
        <w:t>financial</w:t>
      </w:r>
      <w:r w:rsidR="002875B7">
        <w:t xml:space="preserve"> </w:t>
      </w:r>
      <w:r w:rsidRPr="00751725">
        <w:t>contribution to support the implementation of this Agreement;</w:t>
      </w:r>
    </w:p>
    <w:p w14:paraId="1D10E4DE" w14:textId="77777777" w:rsidR="008F44F1" w:rsidRDefault="008F44F1" w:rsidP="009E093C">
      <w:pPr>
        <w:pStyle w:val="AlphaParagraph"/>
        <w:numPr>
          <w:ilvl w:val="0"/>
          <w:numId w:val="28"/>
        </w:numPr>
        <w:tabs>
          <w:tab w:val="clear" w:pos="567"/>
          <w:tab w:val="clear" w:pos="1418"/>
          <w:tab w:val="clear" w:pos="1701"/>
        </w:tabs>
        <w:ind w:left="1134" w:hanging="567"/>
      </w:pPr>
      <w:r>
        <w:t>all aspects of delivering on the project outputs set out in this Agreement</w:t>
      </w:r>
      <w:r w:rsidR="0047157F">
        <w:t>, including</w:t>
      </w:r>
      <w:r>
        <w:t>;</w:t>
      </w:r>
    </w:p>
    <w:p w14:paraId="2C28E839" w14:textId="6390867A" w:rsidR="002875B7" w:rsidRDefault="002875B7" w:rsidP="002875B7">
      <w:pPr>
        <w:pStyle w:val="AlphaParagraph"/>
        <w:numPr>
          <w:ilvl w:val="0"/>
          <w:numId w:val="49"/>
        </w:numPr>
        <w:tabs>
          <w:tab w:val="clear" w:pos="283"/>
          <w:tab w:val="clear" w:pos="567"/>
          <w:tab w:val="clear" w:pos="1134"/>
          <w:tab w:val="clear" w:pos="1418"/>
          <w:tab w:val="clear" w:pos="1701"/>
        </w:tabs>
      </w:pPr>
      <w:r>
        <w:t xml:space="preserve">maximising opportunities for Townsville business involvement in the construction of the </w:t>
      </w:r>
      <w:r w:rsidR="00A62737">
        <w:t>p</w:t>
      </w:r>
      <w:r w:rsidR="00A76D14">
        <w:t>roject</w:t>
      </w:r>
      <w:r>
        <w:t>; and</w:t>
      </w:r>
    </w:p>
    <w:p w14:paraId="3861A8CD" w14:textId="6E739F73" w:rsidR="002875B7" w:rsidRDefault="002875B7" w:rsidP="002875B7">
      <w:pPr>
        <w:pStyle w:val="AlphaParagraph"/>
        <w:numPr>
          <w:ilvl w:val="0"/>
          <w:numId w:val="49"/>
        </w:numPr>
        <w:tabs>
          <w:tab w:val="clear" w:pos="283"/>
          <w:tab w:val="clear" w:pos="567"/>
          <w:tab w:val="clear" w:pos="1134"/>
          <w:tab w:val="clear" w:pos="1418"/>
          <w:tab w:val="clear" w:pos="1701"/>
        </w:tabs>
      </w:pPr>
      <w:r>
        <w:t xml:space="preserve">ensuring that Indigenous Australians are able to realise employment and business opportunities on the construction of the </w:t>
      </w:r>
      <w:r w:rsidR="00694D53">
        <w:t>p</w:t>
      </w:r>
      <w:r w:rsidR="00A76D14">
        <w:t xml:space="preserve">roject </w:t>
      </w:r>
      <w:r>
        <w:t xml:space="preserve">by including </w:t>
      </w:r>
      <w:r w:rsidR="0004742B">
        <w:t xml:space="preserve">Indigenous </w:t>
      </w:r>
      <w:r w:rsidR="001F0CD0">
        <w:t xml:space="preserve">training, </w:t>
      </w:r>
      <w:r>
        <w:t xml:space="preserve">employment and supplier-use requirements that reflect the local </w:t>
      </w:r>
      <w:r w:rsidR="0004742B">
        <w:t xml:space="preserve">Indigenous </w:t>
      </w:r>
      <w:r>
        <w:t>working age population</w:t>
      </w:r>
      <w:r w:rsidR="00CB7B4B">
        <w:rPr>
          <w:rStyle w:val="FootnoteReference"/>
        </w:rPr>
        <w:footnoteReference w:id="2"/>
      </w:r>
      <w:r>
        <w:t xml:space="preserve"> in all project contracts;</w:t>
      </w:r>
    </w:p>
    <w:p w14:paraId="15958F00" w14:textId="32DEF72F" w:rsidR="008F44F1" w:rsidRDefault="002875B7" w:rsidP="002875B7">
      <w:pPr>
        <w:pStyle w:val="AlphaParagraph"/>
        <w:numPr>
          <w:ilvl w:val="0"/>
          <w:numId w:val="28"/>
        </w:numPr>
        <w:tabs>
          <w:tab w:val="clear" w:pos="283"/>
          <w:tab w:val="clear" w:pos="567"/>
          <w:tab w:val="clear" w:pos="1418"/>
          <w:tab w:val="clear" w:pos="1701"/>
        </w:tabs>
        <w:ind w:left="1134" w:hanging="567"/>
      </w:pPr>
      <w:r>
        <w:rPr>
          <w:szCs w:val="23"/>
        </w:rPr>
        <w:t>reporting on the delivery of outputs as set out in</w:t>
      </w:r>
      <w:r w:rsidR="000D5DE6">
        <w:rPr>
          <w:szCs w:val="23"/>
        </w:rPr>
        <w:t xml:space="preserve"> this Agreement at</w:t>
      </w:r>
      <w:r>
        <w:rPr>
          <w:szCs w:val="23"/>
        </w:rPr>
        <w:t xml:space="preserve"> Part 4 – Project Milestones, Repor</w:t>
      </w:r>
      <w:r w:rsidR="00220539">
        <w:rPr>
          <w:szCs w:val="23"/>
        </w:rPr>
        <w:t>t</w:t>
      </w:r>
      <w:r>
        <w:rPr>
          <w:szCs w:val="23"/>
        </w:rPr>
        <w:t xml:space="preserve">ing and Payments; </w:t>
      </w:r>
    </w:p>
    <w:p w14:paraId="259BB444" w14:textId="007BA85F" w:rsidR="002875B7" w:rsidRDefault="002875B7" w:rsidP="002875B7">
      <w:pPr>
        <w:pStyle w:val="AlphaParagraph"/>
        <w:numPr>
          <w:ilvl w:val="0"/>
          <w:numId w:val="28"/>
        </w:numPr>
        <w:tabs>
          <w:tab w:val="clear" w:pos="283"/>
          <w:tab w:val="clear" w:pos="567"/>
          <w:tab w:val="clear" w:pos="1418"/>
          <w:tab w:val="clear" w:pos="1701"/>
        </w:tabs>
        <w:ind w:left="1134" w:hanging="567"/>
      </w:pPr>
      <w:r>
        <w:rPr>
          <w:szCs w:val="23"/>
        </w:rPr>
        <w:t>e</w:t>
      </w:r>
      <w:r w:rsidRPr="00772818">
        <w:rPr>
          <w:szCs w:val="23"/>
        </w:rPr>
        <w:t xml:space="preserve">nsuring that </w:t>
      </w:r>
      <w:r w:rsidRPr="00772818">
        <w:t xml:space="preserve">only a builder or builders accredited under the </w:t>
      </w:r>
      <w:r>
        <w:t>WHS</w:t>
      </w:r>
      <w:r w:rsidRPr="00772818">
        <w:t xml:space="preserve"> Accreditation Scheme is </w:t>
      </w:r>
      <w:r>
        <w:t>contracted, and providing the necessary assurances to the Commonwealth;</w:t>
      </w:r>
    </w:p>
    <w:p w14:paraId="615F5032" w14:textId="77777777" w:rsidR="00AB6B13" w:rsidRDefault="004F5DCD" w:rsidP="002875B7">
      <w:pPr>
        <w:pStyle w:val="AlphaParagraph"/>
        <w:numPr>
          <w:ilvl w:val="0"/>
          <w:numId w:val="28"/>
        </w:numPr>
        <w:tabs>
          <w:tab w:val="clear" w:pos="283"/>
          <w:tab w:val="clear" w:pos="567"/>
          <w:tab w:val="clear" w:pos="1418"/>
          <w:tab w:val="clear" w:pos="1701"/>
        </w:tabs>
        <w:ind w:left="1134" w:hanging="567"/>
        <w:rPr>
          <w:color w:val="auto"/>
          <w:szCs w:val="23"/>
        </w:rPr>
      </w:pPr>
      <w:r w:rsidRPr="00750F59">
        <w:rPr>
          <w:color w:val="auto"/>
          <w:szCs w:val="23"/>
        </w:rPr>
        <w:t>ensuring that compliance with the Building Code 201</w:t>
      </w:r>
      <w:r>
        <w:rPr>
          <w:color w:val="auto"/>
          <w:szCs w:val="23"/>
        </w:rPr>
        <w:t>6</w:t>
      </w:r>
      <w:r w:rsidR="00217ECB">
        <w:rPr>
          <w:color w:val="auto"/>
          <w:szCs w:val="23"/>
        </w:rPr>
        <w:t>,</w:t>
      </w:r>
      <w:r w:rsidR="00217ECB" w:rsidRPr="00217ECB">
        <w:rPr>
          <w:color w:val="auto"/>
        </w:rPr>
        <w:t xml:space="preserve"> </w:t>
      </w:r>
      <w:r w:rsidR="00217ECB">
        <w:rPr>
          <w:color w:val="auto"/>
        </w:rPr>
        <w:t xml:space="preserve">or as it is updated from time to time, </w:t>
      </w:r>
      <w:r w:rsidRPr="00750F59">
        <w:rPr>
          <w:color w:val="auto"/>
        </w:rPr>
        <w:t xml:space="preserve"> is made a condition of tender for </w:t>
      </w:r>
      <w:r>
        <w:rPr>
          <w:color w:val="auto"/>
        </w:rPr>
        <w:t xml:space="preserve">and performance of building work by </w:t>
      </w:r>
      <w:r w:rsidRPr="00750F59">
        <w:rPr>
          <w:color w:val="auto"/>
        </w:rPr>
        <w:t>all contractors and subcontractors, and providing</w:t>
      </w:r>
      <w:r w:rsidRPr="00750F59">
        <w:rPr>
          <w:color w:val="auto"/>
          <w:szCs w:val="23"/>
        </w:rPr>
        <w:t xml:space="preserve"> the necessary assurances to the Commonwealth</w:t>
      </w:r>
      <w:r w:rsidR="00AB6B13">
        <w:rPr>
          <w:color w:val="auto"/>
          <w:szCs w:val="23"/>
        </w:rPr>
        <w:t>; and</w:t>
      </w:r>
    </w:p>
    <w:p w14:paraId="2094708C" w14:textId="1370F8BF" w:rsidR="004F5DCD" w:rsidRDefault="00AB6B13" w:rsidP="002875B7">
      <w:pPr>
        <w:pStyle w:val="AlphaParagraph"/>
        <w:numPr>
          <w:ilvl w:val="0"/>
          <w:numId w:val="28"/>
        </w:numPr>
        <w:tabs>
          <w:tab w:val="clear" w:pos="283"/>
          <w:tab w:val="clear" w:pos="567"/>
          <w:tab w:val="clear" w:pos="1418"/>
          <w:tab w:val="clear" w:pos="1701"/>
        </w:tabs>
        <w:ind w:left="1134" w:hanging="567"/>
        <w:rPr>
          <w:color w:val="auto"/>
          <w:szCs w:val="23"/>
        </w:rPr>
      </w:pPr>
      <w:proofErr w:type="gramStart"/>
      <w:r>
        <w:rPr>
          <w:color w:val="auto"/>
          <w:szCs w:val="23"/>
        </w:rPr>
        <w:t>ensuring</w:t>
      </w:r>
      <w:proofErr w:type="gramEnd"/>
      <w:r>
        <w:rPr>
          <w:color w:val="auto"/>
          <w:szCs w:val="23"/>
        </w:rPr>
        <w:t xml:space="preserve"> that the </w:t>
      </w:r>
      <w:r w:rsidR="00694D53">
        <w:rPr>
          <w:color w:val="auto"/>
          <w:szCs w:val="23"/>
        </w:rPr>
        <w:t>p</w:t>
      </w:r>
      <w:r w:rsidR="00A76D14">
        <w:rPr>
          <w:color w:val="auto"/>
          <w:szCs w:val="23"/>
        </w:rPr>
        <w:t xml:space="preserve">roject </w:t>
      </w:r>
      <w:r>
        <w:rPr>
          <w:color w:val="auto"/>
          <w:szCs w:val="23"/>
        </w:rPr>
        <w:t xml:space="preserve">adheres to all conditions of Commonwealth and </w:t>
      </w:r>
      <w:r w:rsidR="00370CB8">
        <w:rPr>
          <w:color w:val="auto"/>
          <w:szCs w:val="23"/>
        </w:rPr>
        <w:t xml:space="preserve">Queensland </w:t>
      </w:r>
      <w:r w:rsidR="00A011AF">
        <w:rPr>
          <w:color w:val="auto"/>
          <w:szCs w:val="23"/>
        </w:rPr>
        <w:t xml:space="preserve">approvals </w:t>
      </w:r>
      <w:r>
        <w:rPr>
          <w:color w:val="auto"/>
          <w:szCs w:val="23"/>
        </w:rPr>
        <w:t>for the project</w:t>
      </w:r>
      <w:r w:rsidR="00AD759F">
        <w:rPr>
          <w:color w:val="auto"/>
          <w:szCs w:val="23"/>
        </w:rPr>
        <w:t xml:space="preserve"> </w:t>
      </w:r>
      <w:r w:rsidR="001A4A94">
        <w:rPr>
          <w:color w:val="auto"/>
          <w:szCs w:val="23"/>
        </w:rPr>
        <w:t>(including but not limited to environmental and engineering</w:t>
      </w:r>
      <w:r w:rsidR="00370CB8">
        <w:rPr>
          <w:color w:val="auto"/>
          <w:szCs w:val="23"/>
        </w:rPr>
        <w:t xml:space="preserve"> conditions</w:t>
      </w:r>
      <w:r w:rsidR="001A4A94">
        <w:rPr>
          <w:color w:val="auto"/>
          <w:szCs w:val="23"/>
        </w:rPr>
        <w:t>)</w:t>
      </w:r>
      <w:r w:rsidR="00AD759F">
        <w:rPr>
          <w:color w:val="auto"/>
          <w:szCs w:val="23"/>
        </w:rPr>
        <w:t>.</w:t>
      </w:r>
      <w:r w:rsidR="001A4A94">
        <w:rPr>
          <w:color w:val="auto"/>
          <w:szCs w:val="23"/>
        </w:rPr>
        <w:t xml:space="preserve"> </w:t>
      </w:r>
    </w:p>
    <w:p w14:paraId="79AE714A" w14:textId="77777777" w:rsidR="00752A39" w:rsidRDefault="00752A39" w:rsidP="00752A39">
      <w:pPr>
        <w:pStyle w:val="AlphaParagraph"/>
        <w:numPr>
          <w:ilvl w:val="0"/>
          <w:numId w:val="23"/>
        </w:numPr>
        <w:tabs>
          <w:tab w:val="clear" w:pos="283"/>
          <w:tab w:val="clear" w:pos="1134"/>
          <w:tab w:val="clear" w:pos="1418"/>
          <w:tab w:val="clear" w:pos="1701"/>
        </w:tabs>
        <w:rPr>
          <w:color w:val="auto"/>
          <w:szCs w:val="23"/>
        </w:rPr>
      </w:pPr>
      <w:r>
        <w:rPr>
          <w:color w:val="auto"/>
          <w:szCs w:val="23"/>
        </w:rPr>
        <w:t>Additionally, Queensland</w:t>
      </w:r>
      <w:r w:rsidR="00180560">
        <w:rPr>
          <w:color w:val="auto"/>
          <w:szCs w:val="23"/>
        </w:rPr>
        <w:t xml:space="preserve"> agrees to</w:t>
      </w:r>
      <w:r w:rsidR="0004742B">
        <w:rPr>
          <w:color w:val="auto"/>
          <w:szCs w:val="23"/>
        </w:rPr>
        <w:t>:</w:t>
      </w:r>
    </w:p>
    <w:p w14:paraId="343D1A32" w14:textId="70036ADC" w:rsidR="00752A39" w:rsidRDefault="00AD759F" w:rsidP="002070E7">
      <w:pPr>
        <w:pStyle w:val="AlphaParagraph"/>
        <w:numPr>
          <w:ilvl w:val="0"/>
          <w:numId w:val="50"/>
        </w:numPr>
        <w:tabs>
          <w:tab w:val="clear" w:pos="283"/>
          <w:tab w:val="clear" w:pos="567"/>
          <w:tab w:val="clear" w:pos="1134"/>
          <w:tab w:val="clear" w:pos="1418"/>
        </w:tabs>
        <w:ind w:hanging="567"/>
        <w:rPr>
          <w:color w:val="auto"/>
          <w:szCs w:val="23"/>
        </w:rPr>
      </w:pPr>
      <w:proofErr w:type="gramStart"/>
      <w:r>
        <w:rPr>
          <w:color w:val="auto"/>
          <w:szCs w:val="23"/>
        </w:rPr>
        <w:t>i</w:t>
      </w:r>
      <w:r w:rsidR="00752A39">
        <w:rPr>
          <w:color w:val="auto"/>
          <w:szCs w:val="23"/>
        </w:rPr>
        <w:t>nclude</w:t>
      </w:r>
      <w:proofErr w:type="gramEnd"/>
      <w:r w:rsidR="00752A39">
        <w:rPr>
          <w:color w:val="auto"/>
          <w:szCs w:val="23"/>
        </w:rPr>
        <w:t xml:space="preserve"> the words </w:t>
      </w:r>
      <w:r w:rsidR="0004742B">
        <w:rPr>
          <w:color w:val="auto"/>
          <w:szCs w:val="23"/>
        </w:rPr>
        <w:t>“</w:t>
      </w:r>
      <w:r w:rsidR="00752A39">
        <w:rPr>
          <w:color w:val="auto"/>
          <w:szCs w:val="23"/>
        </w:rPr>
        <w:t>The Port of Townsville Channel Capacity Upgrade is a joint project of the Queensland Government</w:t>
      </w:r>
      <w:r w:rsidR="0004742B">
        <w:rPr>
          <w:color w:val="auto"/>
          <w:szCs w:val="23"/>
        </w:rPr>
        <w:t xml:space="preserve"> and</w:t>
      </w:r>
      <w:r w:rsidR="00752A39">
        <w:rPr>
          <w:color w:val="auto"/>
          <w:szCs w:val="23"/>
        </w:rPr>
        <w:t xml:space="preserve"> </w:t>
      </w:r>
      <w:r w:rsidR="00A733AB">
        <w:rPr>
          <w:color w:val="auto"/>
          <w:szCs w:val="23"/>
        </w:rPr>
        <w:t xml:space="preserve">the </w:t>
      </w:r>
      <w:r w:rsidR="00752A39">
        <w:rPr>
          <w:color w:val="auto"/>
          <w:szCs w:val="23"/>
        </w:rPr>
        <w:t>Australian Government</w:t>
      </w:r>
      <w:r w:rsidR="007C5ADD">
        <w:rPr>
          <w:color w:val="auto"/>
          <w:szCs w:val="23"/>
        </w:rPr>
        <w:t>,</w:t>
      </w:r>
      <w:r w:rsidR="00752A39">
        <w:rPr>
          <w:color w:val="auto"/>
          <w:szCs w:val="23"/>
        </w:rPr>
        <w:t xml:space="preserve"> and is supported by Port of Townsville Limited. The Channel Capacity </w:t>
      </w:r>
      <w:r w:rsidR="0004742B">
        <w:rPr>
          <w:color w:val="auto"/>
          <w:szCs w:val="23"/>
        </w:rPr>
        <w:t xml:space="preserve">Upgrade </w:t>
      </w:r>
      <w:r w:rsidR="00752A39">
        <w:rPr>
          <w:color w:val="auto"/>
          <w:szCs w:val="23"/>
        </w:rPr>
        <w:t>forms part of the Townsville City Deal</w:t>
      </w:r>
      <w:r w:rsidR="0004742B">
        <w:rPr>
          <w:color w:val="auto"/>
          <w:szCs w:val="23"/>
        </w:rPr>
        <w:t xml:space="preserve"> signed in December 2016”</w:t>
      </w:r>
      <w:r w:rsidR="00752A39">
        <w:rPr>
          <w:color w:val="auto"/>
          <w:szCs w:val="23"/>
        </w:rPr>
        <w:t xml:space="preserve"> on the Port of Townsville Limited website, and in all publications and promotional material;</w:t>
      </w:r>
    </w:p>
    <w:p w14:paraId="2722C2D0" w14:textId="4E2771F5" w:rsidR="0067332F" w:rsidRDefault="00AD759F" w:rsidP="002070E7">
      <w:pPr>
        <w:pStyle w:val="AlphaParagraph"/>
        <w:numPr>
          <w:ilvl w:val="0"/>
          <w:numId w:val="50"/>
        </w:numPr>
        <w:tabs>
          <w:tab w:val="clear" w:pos="283"/>
          <w:tab w:val="clear" w:pos="567"/>
          <w:tab w:val="clear" w:pos="1134"/>
          <w:tab w:val="clear" w:pos="1418"/>
        </w:tabs>
        <w:ind w:hanging="567"/>
        <w:rPr>
          <w:color w:val="auto"/>
          <w:szCs w:val="23"/>
        </w:rPr>
      </w:pPr>
      <w:proofErr w:type="gramStart"/>
      <w:r>
        <w:rPr>
          <w:color w:val="auto"/>
          <w:szCs w:val="23"/>
        </w:rPr>
        <w:t>a</w:t>
      </w:r>
      <w:r w:rsidR="00180560">
        <w:rPr>
          <w:color w:val="auto"/>
          <w:szCs w:val="23"/>
        </w:rPr>
        <w:t>s</w:t>
      </w:r>
      <w:proofErr w:type="gramEnd"/>
      <w:r w:rsidR="00180560">
        <w:rPr>
          <w:color w:val="auto"/>
          <w:szCs w:val="23"/>
        </w:rPr>
        <w:t xml:space="preserve"> soon as practicable following the signing of this Agreement,</w:t>
      </w:r>
      <w:r w:rsidR="007F0BE0">
        <w:rPr>
          <w:color w:val="auto"/>
          <w:szCs w:val="23"/>
        </w:rPr>
        <w:t xml:space="preserve"> erect and maintain a sign at the </w:t>
      </w:r>
      <w:r w:rsidR="0004742B">
        <w:rPr>
          <w:color w:val="auto"/>
          <w:szCs w:val="23"/>
        </w:rPr>
        <w:t xml:space="preserve">Port of </w:t>
      </w:r>
      <w:r w:rsidR="007F0BE0">
        <w:rPr>
          <w:color w:val="auto"/>
          <w:szCs w:val="23"/>
        </w:rPr>
        <w:t xml:space="preserve">Townsville entry. </w:t>
      </w:r>
      <w:r w:rsidR="0004742B">
        <w:rPr>
          <w:color w:val="auto"/>
          <w:szCs w:val="23"/>
        </w:rPr>
        <w:t>The sign m</w:t>
      </w:r>
      <w:r w:rsidR="007F0BE0">
        <w:rPr>
          <w:color w:val="auto"/>
          <w:szCs w:val="23"/>
        </w:rPr>
        <w:t xml:space="preserve">ust include the Commonwealth logo and the words </w:t>
      </w:r>
      <w:r w:rsidR="00AE027B">
        <w:rPr>
          <w:color w:val="auto"/>
          <w:szCs w:val="23"/>
        </w:rPr>
        <w:t>“The</w:t>
      </w:r>
      <w:r w:rsidR="007F0BE0">
        <w:rPr>
          <w:color w:val="auto"/>
          <w:szCs w:val="23"/>
        </w:rPr>
        <w:t xml:space="preserve"> Port</w:t>
      </w:r>
      <w:r w:rsidR="0004742B">
        <w:rPr>
          <w:color w:val="auto"/>
          <w:szCs w:val="23"/>
        </w:rPr>
        <w:t xml:space="preserve"> of Townsville</w:t>
      </w:r>
      <w:r w:rsidR="007F0BE0">
        <w:rPr>
          <w:color w:val="auto"/>
          <w:szCs w:val="23"/>
        </w:rPr>
        <w:t xml:space="preserve"> Channel Capacity Upgrade </w:t>
      </w:r>
      <w:r w:rsidR="0004742B">
        <w:rPr>
          <w:color w:val="auto"/>
          <w:szCs w:val="23"/>
        </w:rPr>
        <w:t xml:space="preserve">is </w:t>
      </w:r>
      <w:r w:rsidR="007F0BE0">
        <w:rPr>
          <w:color w:val="auto"/>
          <w:szCs w:val="23"/>
        </w:rPr>
        <w:t>jointly funded by the Australian Government and forms part of the Townsville Cit</w:t>
      </w:r>
      <w:r w:rsidR="00BA5462">
        <w:rPr>
          <w:color w:val="auto"/>
          <w:szCs w:val="23"/>
        </w:rPr>
        <w:t>y Deal signed in December 2016”; and</w:t>
      </w:r>
    </w:p>
    <w:p w14:paraId="7B986672" w14:textId="5A4B9D8B" w:rsidR="00752A39" w:rsidRDefault="00AD759F" w:rsidP="002070E7">
      <w:pPr>
        <w:pStyle w:val="AlphaParagraph"/>
        <w:numPr>
          <w:ilvl w:val="0"/>
          <w:numId w:val="50"/>
        </w:numPr>
        <w:tabs>
          <w:tab w:val="clear" w:pos="283"/>
          <w:tab w:val="clear" w:pos="567"/>
          <w:tab w:val="clear" w:pos="1134"/>
          <w:tab w:val="clear" w:pos="1418"/>
        </w:tabs>
        <w:ind w:hanging="567"/>
        <w:rPr>
          <w:color w:val="auto"/>
          <w:szCs w:val="23"/>
        </w:rPr>
      </w:pPr>
      <w:proofErr w:type="gramStart"/>
      <w:r>
        <w:rPr>
          <w:color w:val="auto"/>
          <w:szCs w:val="23"/>
        </w:rPr>
        <w:t>o</w:t>
      </w:r>
      <w:r w:rsidR="00752A39">
        <w:rPr>
          <w:color w:val="auto"/>
          <w:szCs w:val="23"/>
        </w:rPr>
        <w:t>nly</w:t>
      </w:r>
      <w:proofErr w:type="gramEnd"/>
      <w:r w:rsidR="00752A39">
        <w:rPr>
          <w:color w:val="auto"/>
          <w:szCs w:val="23"/>
        </w:rPr>
        <w:t xml:space="preserve"> use the </w:t>
      </w:r>
      <w:r w:rsidR="0004742B">
        <w:rPr>
          <w:color w:val="auto"/>
          <w:szCs w:val="23"/>
        </w:rPr>
        <w:t xml:space="preserve">Commonwealth </w:t>
      </w:r>
      <w:r w:rsidR="00752A39">
        <w:rPr>
          <w:color w:val="auto"/>
          <w:szCs w:val="23"/>
        </w:rPr>
        <w:t xml:space="preserve">logo with approval </w:t>
      </w:r>
      <w:r w:rsidR="002A6863">
        <w:rPr>
          <w:color w:val="auto"/>
          <w:szCs w:val="23"/>
        </w:rPr>
        <w:t xml:space="preserve">from the Commonwealth </w:t>
      </w:r>
      <w:r w:rsidR="00752A39">
        <w:rPr>
          <w:color w:val="auto"/>
          <w:szCs w:val="23"/>
        </w:rPr>
        <w:t>and in accordance with C</w:t>
      </w:r>
      <w:r w:rsidR="00BA5462">
        <w:rPr>
          <w:color w:val="auto"/>
          <w:szCs w:val="23"/>
        </w:rPr>
        <w:t>ommonwealth branding guidelines.</w:t>
      </w:r>
    </w:p>
    <w:p w14:paraId="209F2F28" w14:textId="77777777" w:rsidR="008F44F1" w:rsidRDefault="008F44F1" w:rsidP="004F5DCD">
      <w:pPr>
        <w:pStyle w:val="Heading2"/>
      </w:pPr>
      <w:r>
        <w:t>Shared roles</w:t>
      </w:r>
    </w:p>
    <w:p w14:paraId="15E0E23B" w14:textId="77777777" w:rsidR="00BA5462" w:rsidRPr="00BA5462" w:rsidRDefault="008F44F1" w:rsidP="00BA5462">
      <w:pPr>
        <w:pStyle w:val="AlphaParagraph"/>
        <w:numPr>
          <w:ilvl w:val="0"/>
          <w:numId w:val="23"/>
        </w:numPr>
        <w:tabs>
          <w:tab w:val="clear" w:pos="283"/>
          <w:tab w:val="clear" w:pos="1134"/>
          <w:tab w:val="clear" w:pos="1418"/>
          <w:tab w:val="clear" w:pos="1701"/>
        </w:tabs>
        <w:rPr>
          <w:color w:val="auto"/>
          <w:szCs w:val="23"/>
        </w:rPr>
      </w:pPr>
      <w:r w:rsidRPr="00BA5462">
        <w:rPr>
          <w:color w:val="auto"/>
          <w:szCs w:val="23"/>
        </w:rPr>
        <w:t>The Parties</w:t>
      </w:r>
      <w:r w:rsidR="00BA5462" w:rsidRPr="00BA5462">
        <w:rPr>
          <w:color w:val="auto"/>
          <w:szCs w:val="23"/>
        </w:rPr>
        <w:t>:</w:t>
      </w:r>
    </w:p>
    <w:p w14:paraId="6F53BCF5" w14:textId="21E7B9A9" w:rsidR="008F44F1" w:rsidRDefault="00AD759F" w:rsidP="00BA5462">
      <w:pPr>
        <w:pStyle w:val="AlphaParagraph"/>
        <w:numPr>
          <w:ilvl w:val="0"/>
          <w:numId w:val="53"/>
        </w:numPr>
        <w:tabs>
          <w:tab w:val="clear" w:pos="283"/>
          <w:tab w:val="clear" w:pos="567"/>
          <w:tab w:val="clear" w:pos="1134"/>
          <w:tab w:val="clear" w:pos="1418"/>
        </w:tabs>
        <w:ind w:hanging="567"/>
        <w:rPr>
          <w:color w:val="auto"/>
          <w:szCs w:val="23"/>
        </w:rPr>
      </w:pPr>
      <w:r>
        <w:rPr>
          <w:color w:val="auto"/>
          <w:szCs w:val="23"/>
        </w:rPr>
        <w:t>w</w:t>
      </w:r>
      <w:r w:rsidR="008F44F1" w:rsidRPr="00BA5462">
        <w:rPr>
          <w:color w:val="auto"/>
          <w:szCs w:val="23"/>
        </w:rPr>
        <w:t xml:space="preserve">ill meet the requirements of Schedule E, Clause 26 of the </w:t>
      </w:r>
      <w:r w:rsidR="00C41265" w:rsidRPr="00BA5462">
        <w:rPr>
          <w:color w:val="auto"/>
          <w:szCs w:val="23"/>
        </w:rPr>
        <w:t>IGA FFR</w:t>
      </w:r>
      <w:r w:rsidR="008F44F1" w:rsidRPr="00BA5462">
        <w:rPr>
          <w:color w:val="auto"/>
          <w:szCs w:val="23"/>
        </w:rPr>
        <w:t xml:space="preserve">, by ensuring that prior agreement is reached on the nature and content of any events, announcements, promotional material or publicity relating to activities under this Agreement, and that the </w:t>
      </w:r>
      <w:r w:rsidR="008F44F1" w:rsidRPr="00BA5462">
        <w:rPr>
          <w:color w:val="auto"/>
          <w:szCs w:val="23"/>
        </w:rPr>
        <w:lastRenderedPageBreak/>
        <w:t>roles of both Parties will be acknowledg</w:t>
      </w:r>
      <w:r w:rsidR="00BA5462">
        <w:rPr>
          <w:color w:val="auto"/>
          <w:szCs w:val="23"/>
        </w:rPr>
        <w:t>ed and recognised appropriately</w:t>
      </w:r>
      <w:r w:rsidR="00370CB8">
        <w:rPr>
          <w:color w:val="auto"/>
          <w:szCs w:val="23"/>
        </w:rPr>
        <w:t xml:space="preserve"> in any such events, announcements, promotional material or publicity</w:t>
      </w:r>
      <w:r w:rsidR="00BA5462">
        <w:rPr>
          <w:color w:val="auto"/>
          <w:szCs w:val="23"/>
        </w:rPr>
        <w:t>; and</w:t>
      </w:r>
    </w:p>
    <w:p w14:paraId="7A8506CD" w14:textId="110EB692" w:rsidR="00BA5462" w:rsidRDefault="00AD759F" w:rsidP="00BA5462">
      <w:pPr>
        <w:pStyle w:val="AlphaParagraph"/>
        <w:numPr>
          <w:ilvl w:val="0"/>
          <w:numId w:val="53"/>
        </w:numPr>
        <w:tabs>
          <w:tab w:val="clear" w:pos="283"/>
          <w:tab w:val="clear" w:pos="567"/>
          <w:tab w:val="clear" w:pos="1134"/>
          <w:tab w:val="clear" w:pos="1418"/>
        </w:tabs>
        <w:ind w:hanging="567"/>
        <w:rPr>
          <w:color w:val="auto"/>
          <w:szCs w:val="23"/>
        </w:rPr>
      </w:pPr>
      <w:r>
        <w:rPr>
          <w:color w:val="auto"/>
          <w:szCs w:val="23"/>
        </w:rPr>
        <w:t>r</w:t>
      </w:r>
      <w:r w:rsidR="00BA5462">
        <w:rPr>
          <w:color w:val="auto"/>
          <w:szCs w:val="23"/>
        </w:rPr>
        <w:t>ecognise the</w:t>
      </w:r>
      <w:r w:rsidR="00A76D14">
        <w:rPr>
          <w:color w:val="auto"/>
          <w:szCs w:val="23"/>
        </w:rPr>
        <w:t xml:space="preserve"> </w:t>
      </w:r>
      <w:r w:rsidR="00694D53">
        <w:rPr>
          <w:color w:val="auto"/>
          <w:szCs w:val="23"/>
        </w:rPr>
        <w:t>p</w:t>
      </w:r>
      <w:r w:rsidR="00A76D14">
        <w:rPr>
          <w:color w:val="auto"/>
          <w:szCs w:val="23"/>
        </w:rPr>
        <w:t>roject</w:t>
      </w:r>
      <w:r w:rsidR="00BA5462">
        <w:rPr>
          <w:color w:val="auto"/>
          <w:szCs w:val="23"/>
        </w:rPr>
        <w:t xml:space="preserve"> as a project under the Townsville City Deal and acknowledge the principles and contents of:</w:t>
      </w:r>
    </w:p>
    <w:p w14:paraId="5C62D3CB" w14:textId="7C7EAA58" w:rsidR="00BA5462" w:rsidRDefault="00AD759F" w:rsidP="00BA5462">
      <w:pPr>
        <w:pStyle w:val="AlphaParagraph"/>
        <w:numPr>
          <w:ilvl w:val="1"/>
          <w:numId w:val="54"/>
        </w:numPr>
        <w:tabs>
          <w:tab w:val="clear" w:pos="283"/>
          <w:tab w:val="clear" w:pos="567"/>
          <w:tab w:val="clear" w:pos="1134"/>
          <w:tab w:val="clear" w:pos="1418"/>
        </w:tabs>
        <w:ind w:left="1491" w:hanging="357"/>
        <w:rPr>
          <w:color w:val="auto"/>
          <w:szCs w:val="23"/>
        </w:rPr>
      </w:pPr>
      <w:r>
        <w:rPr>
          <w:color w:val="auto"/>
          <w:szCs w:val="23"/>
        </w:rPr>
        <w:t>t</w:t>
      </w:r>
      <w:r w:rsidR="00BA5462">
        <w:rPr>
          <w:color w:val="auto"/>
          <w:szCs w:val="23"/>
        </w:rPr>
        <w:t>he Commonwealth—Queensland Government Memorandum of Understanding for City Deals in Queensland, signed 10 November 2016;</w:t>
      </w:r>
    </w:p>
    <w:p w14:paraId="5663ED2F" w14:textId="2259F1B9" w:rsidR="00BA5462" w:rsidRDefault="00AD759F" w:rsidP="00BA5462">
      <w:pPr>
        <w:pStyle w:val="AlphaParagraph"/>
        <w:numPr>
          <w:ilvl w:val="1"/>
          <w:numId w:val="54"/>
        </w:numPr>
        <w:tabs>
          <w:tab w:val="clear" w:pos="283"/>
          <w:tab w:val="clear" w:pos="567"/>
          <w:tab w:val="clear" w:pos="1134"/>
          <w:tab w:val="clear" w:pos="1418"/>
        </w:tabs>
        <w:ind w:left="1491" w:hanging="357"/>
        <w:rPr>
          <w:color w:val="auto"/>
          <w:szCs w:val="23"/>
        </w:rPr>
      </w:pPr>
      <w:r>
        <w:rPr>
          <w:color w:val="auto"/>
          <w:szCs w:val="23"/>
        </w:rPr>
        <w:t>t</w:t>
      </w:r>
      <w:r w:rsidR="00BA5462">
        <w:rPr>
          <w:color w:val="auto"/>
          <w:szCs w:val="23"/>
        </w:rPr>
        <w:t>he Townsville City Deal, signed 9 December 2016;</w:t>
      </w:r>
    </w:p>
    <w:p w14:paraId="528F0721" w14:textId="6F9B1481" w:rsidR="00BA5462" w:rsidRDefault="00AD759F" w:rsidP="00BA5462">
      <w:pPr>
        <w:pStyle w:val="AlphaParagraph"/>
        <w:numPr>
          <w:ilvl w:val="1"/>
          <w:numId w:val="54"/>
        </w:numPr>
        <w:tabs>
          <w:tab w:val="clear" w:pos="283"/>
          <w:tab w:val="clear" w:pos="567"/>
          <w:tab w:val="clear" w:pos="1134"/>
          <w:tab w:val="clear" w:pos="1418"/>
        </w:tabs>
        <w:ind w:left="1491" w:hanging="357"/>
        <w:rPr>
          <w:color w:val="auto"/>
          <w:szCs w:val="23"/>
        </w:rPr>
      </w:pPr>
      <w:r>
        <w:rPr>
          <w:color w:val="auto"/>
          <w:szCs w:val="23"/>
        </w:rPr>
        <w:t>t</w:t>
      </w:r>
      <w:r w:rsidR="00BA5462">
        <w:rPr>
          <w:color w:val="auto"/>
          <w:szCs w:val="23"/>
        </w:rPr>
        <w:t>he Townsville City Deal Implementation Plan, published 24 April 2017; and</w:t>
      </w:r>
    </w:p>
    <w:p w14:paraId="54115BC6" w14:textId="2B6E91F3" w:rsidR="00BA5462" w:rsidRPr="00BA5462" w:rsidRDefault="00AD759F" w:rsidP="00BA5462">
      <w:pPr>
        <w:pStyle w:val="AlphaParagraph"/>
        <w:numPr>
          <w:ilvl w:val="1"/>
          <w:numId w:val="54"/>
        </w:numPr>
        <w:tabs>
          <w:tab w:val="clear" w:pos="283"/>
          <w:tab w:val="clear" w:pos="567"/>
          <w:tab w:val="clear" w:pos="1134"/>
          <w:tab w:val="clear" w:pos="1418"/>
        </w:tabs>
        <w:ind w:left="1491" w:hanging="357"/>
        <w:rPr>
          <w:color w:val="auto"/>
          <w:szCs w:val="23"/>
        </w:rPr>
      </w:pPr>
      <w:proofErr w:type="gramStart"/>
      <w:r>
        <w:rPr>
          <w:color w:val="auto"/>
          <w:szCs w:val="23"/>
        </w:rPr>
        <w:t>t</w:t>
      </w:r>
      <w:r w:rsidR="00BA5462">
        <w:rPr>
          <w:color w:val="auto"/>
          <w:szCs w:val="23"/>
        </w:rPr>
        <w:t>he</w:t>
      </w:r>
      <w:proofErr w:type="gramEnd"/>
      <w:r w:rsidR="00BA5462">
        <w:rPr>
          <w:color w:val="auto"/>
          <w:szCs w:val="23"/>
        </w:rPr>
        <w:t xml:space="preserve"> Townsville City Deal Governance Plan and Media Protocols, as endorsed by the Townsville City Deal Executive Board from time to time.</w:t>
      </w:r>
    </w:p>
    <w:p w14:paraId="38FA8C27" w14:textId="77777777" w:rsidR="00814667" w:rsidRPr="00814590" w:rsidRDefault="00814667">
      <w:pPr>
        <w:pStyle w:val="Heading1"/>
      </w:pPr>
      <w:r w:rsidRPr="00814590">
        <w:t xml:space="preserve">Part 4 — </w:t>
      </w:r>
      <w:r w:rsidR="0095223D" w:rsidRPr="00814590">
        <w:t>P</w:t>
      </w:r>
      <w:r w:rsidR="0095223D">
        <w:t>roject</w:t>
      </w:r>
      <w:r w:rsidR="0095223D" w:rsidRPr="00814590">
        <w:t xml:space="preserve"> </w:t>
      </w:r>
      <w:r w:rsidR="00F8684A">
        <w:t>milestones</w:t>
      </w:r>
      <w:r w:rsidR="0095223D">
        <w:t xml:space="preserve">, </w:t>
      </w:r>
      <w:r w:rsidRPr="00814590">
        <w:t>reporting</w:t>
      </w:r>
      <w:r w:rsidR="00B8096A">
        <w:t xml:space="preserve"> and Payment</w:t>
      </w:r>
      <w:r w:rsidR="0095223D">
        <w:t>s</w:t>
      </w:r>
    </w:p>
    <w:p w14:paraId="7EDF8A1B" w14:textId="77777777" w:rsidR="0095223D" w:rsidRPr="004208CD" w:rsidRDefault="00545DF7" w:rsidP="004208CD">
      <w:pPr>
        <w:pStyle w:val="Normalnumbered"/>
        <w:numPr>
          <w:ilvl w:val="0"/>
          <w:numId w:val="23"/>
        </w:numPr>
      </w:pPr>
      <w:r w:rsidRPr="00DE36EB">
        <w:t>T</w:t>
      </w:r>
      <w:r w:rsidR="007C4F31" w:rsidRPr="00DE36EB">
        <w:t xml:space="preserve">able </w:t>
      </w:r>
      <w:r w:rsidRPr="00DE36EB">
        <w:t>1</w:t>
      </w:r>
      <w:r>
        <w:t xml:space="preserve"> </w:t>
      </w:r>
      <w:r w:rsidR="007C4F31">
        <w:t xml:space="preserve">summarises the milestones for the project, their relationship to the outputs, expected completion dates, relevant reporting dates and expected payments </w:t>
      </w:r>
      <w:r w:rsidR="0077685D">
        <w:t>to be made</w:t>
      </w:r>
      <w:r w:rsidR="00ED2AC4">
        <w:t xml:space="preserve">. The Commonwealth will make payments subject to </w:t>
      </w:r>
      <w:r w:rsidR="0004742B">
        <w:t>each</w:t>
      </w:r>
      <w:r w:rsidR="00ED2AC4">
        <w:t xml:space="preserve"> performance report demonstrating the relevant </w:t>
      </w:r>
      <w:r w:rsidR="00ED2AC4" w:rsidRPr="00EF6486">
        <w:rPr>
          <w:szCs w:val="23"/>
        </w:rPr>
        <w:t xml:space="preserve">milestone </w:t>
      </w:r>
      <w:r w:rsidR="00ED2AC4">
        <w:t>has been met.</w:t>
      </w:r>
      <w:r w:rsidR="001A3D81">
        <w:t xml:space="preserve"> </w:t>
      </w:r>
      <w:r w:rsidR="006E0812">
        <w:t>The Commonwealth reserves the right to withhold a payment if it determines that there is insufficient evidence that a milestone has been met.</w:t>
      </w:r>
    </w:p>
    <w:p w14:paraId="65A03B3A" w14:textId="77777777" w:rsidR="003133D5" w:rsidRDefault="003133D5">
      <w:pPr>
        <w:spacing w:after="0" w:line="240" w:lineRule="auto"/>
        <w:jc w:val="left"/>
        <w:rPr>
          <w:b/>
        </w:rPr>
      </w:pPr>
      <w:r>
        <w:rPr>
          <w:b/>
        </w:rPr>
        <w:br w:type="page"/>
      </w:r>
    </w:p>
    <w:p w14:paraId="60C23B1F" w14:textId="46CA9AC4" w:rsidR="00F3245D" w:rsidRDefault="0095223D" w:rsidP="008E0AD6">
      <w:pPr>
        <w:pStyle w:val="Normalnumbered"/>
        <w:keepNext/>
        <w:numPr>
          <w:ilvl w:val="0"/>
          <w:numId w:val="0"/>
        </w:numPr>
        <w:rPr>
          <w:b/>
        </w:rPr>
      </w:pPr>
      <w:r w:rsidRPr="001D3CAD">
        <w:rPr>
          <w:b/>
        </w:rPr>
        <w:lastRenderedPageBreak/>
        <w:t xml:space="preserve">Table </w:t>
      </w:r>
      <w:r w:rsidR="00E204BB">
        <w:rPr>
          <w:b/>
        </w:rPr>
        <w:t>1</w:t>
      </w:r>
      <w:r w:rsidRPr="001D3CAD">
        <w:t xml:space="preserve">: </w:t>
      </w:r>
      <w:r w:rsidR="00806D94">
        <w:rPr>
          <w:b/>
        </w:rPr>
        <w:t>Performance requirements</w:t>
      </w:r>
      <w:r w:rsidRPr="001D3CAD">
        <w:rPr>
          <w:b/>
        </w:rPr>
        <w:t>, reporting and payment summary</w:t>
      </w:r>
    </w:p>
    <w:p w14:paraId="30EBCBBB" w14:textId="2CA67615" w:rsidR="003133D5" w:rsidRDefault="003133D5" w:rsidP="003133D5">
      <w:pPr>
        <w:pStyle w:val="Normalnumbered"/>
        <w:numPr>
          <w:ilvl w:val="0"/>
          <w:numId w:val="0"/>
        </w:numPr>
        <w:ind w:left="567"/>
      </w:pPr>
    </w:p>
    <w:tbl>
      <w:tblPr>
        <w:tblW w:w="9768" w:type="dxa"/>
        <w:tblCellMar>
          <w:left w:w="0" w:type="dxa"/>
          <w:right w:w="0" w:type="dxa"/>
        </w:tblCellMar>
        <w:tblLook w:val="04A0" w:firstRow="1" w:lastRow="0" w:firstColumn="1" w:lastColumn="0" w:noHBand="0" w:noVBand="1"/>
      </w:tblPr>
      <w:tblGrid>
        <w:gridCol w:w="2310"/>
        <w:gridCol w:w="4452"/>
        <w:gridCol w:w="1592"/>
        <w:gridCol w:w="1414"/>
      </w:tblGrid>
      <w:tr w:rsidR="00241BB0" w:rsidRPr="00241BB0" w14:paraId="1E21BA22" w14:textId="77777777" w:rsidTr="001E0149">
        <w:trPr>
          <w:trHeight w:val="751"/>
        </w:trPr>
        <w:tc>
          <w:tcPr>
            <w:tcW w:w="2310"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hideMark/>
          </w:tcPr>
          <w:p w14:paraId="129AA89D" w14:textId="77777777" w:rsidR="00241BB0" w:rsidRPr="00241BB0" w:rsidRDefault="00241BB0">
            <w:pPr>
              <w:pStyle w:val="Heading2"/>
              <w:rPr>
                <w:rFonts w:ascii="Calibri" w:hAnsi="Calibri" w:cs="Calibri"/>
                <w:sz w:val="23"/>
                <w:szCs w:val="23"/>
              </w:rPr>
            </w:pPr>
            <w:r w:rsidRPr="00241BB0">
              <w:rPr>
                <w:rFonts w:ascii="Calibri" w:hAnsi="Calibri" w:cs="Calibri"/>
                <w:sz w:val="23"/>
                <w:szCs w:val="23"/>
              </w:rPr>
              <w:t>Output(s)</w:t>
            </w:r>
          </w:p>
        </w:tc>
        <w:tc>
          <w:tcPr>
            <w:tcW w:w="4452" w:type="dxa"/>
            <w:tcBorders>
              <w:top w:val="single" w:sz="8" w:space="0" w:color="4F81BD"/>
              <w:left w:val="nil"/>
              <w:bottom w:val="single" w:sz="18" w:space="0" w:color="4F81BD"/>
              <w:right w:val="single" w:sz="8" w:space="0" w:color="4F81BD"/>
            </w:tcBorders>
            <w:tcMar>
              <w:top w:w="0" w:type="dxa"/>
              <w:left w:w="108" w:type="dxa"/>
              <w:bottom w:w="0" w:type="dxa"/>
              <w:right w:w="108" w:type="dxa"/>
            </w:tcMar>
            <w:hideMark/>
          </w:tcPr>
          <w:p w14:paraId="52435205" w14:textId="77777777" w:rsidR="00241BB0" w:rsidRPr="00241BB0" w:rsidRDefault="00241BB0">
            <w:pPr>
              <w:rPr>
                <w:rFonts w:ascii="Calibri" w:hAnsi="Calibri" w:cs="Calibri"/>
                <w:szCs w:val="23"/>
              </w:rPr>
            </w:pPr>
          </w:p>
        </w:tc>
        <w:tc>
          <w:tcPr>
            <w:tcW w:w="1592" w:type="dxa"/>
            <w:tcBorders>
              <w:top w:val="single" w:sz="8" w:space="0" w:color="4F81BD"/>
              <w:left w:val="nil"/>
              <w:bottom w:val="single" w:sz="18" w:space="0" w:color="4F81BD"/>
              <w:right w:val="single" w:sz="8" w:space="0" w:color="4F81BD"/>
            </w:tcBorders>
            <w:tcMar>
              <w:top w:w="0" w:type="dxa"/>
              <w:left w:w="108" w:type="dxa"/>
              <w:bottom w:w="0" w:type="dxa"/>
              <w:right w:w="108" w:type="dxa"/>
            </w:tcMar>
            <w:hideMark/>
          </w:tcPr>
          <w:p w14:paraId="7BAE727D" w14:textId="77777777" w:rsidR="00241BB0" w:rsidRPr="00241BB0" w:rsidRDefault="00241BB0">
            <w:pPr>
              <w:pStyle w:val="Heading2"/>
              <w:rPr>
                <w:rFonts w:ascii="Calibri" w:hAnsi="Calibri" w:cs="Calibri"/>
                <w:sz w:val="23"/>
                <w:szCs w:val="23"/>
              </w:rPr>
            </w:pPr>
            <w:r w:rsidRPr="00241BB0">
              <w:rPr>
                <w:rFonts w:ascii="Calibri" w:hAnsi="Calibri" w:cs="Calibri"/>
                <w:sz w:val="23"/>
                <w:szCs w:val="23"/>
              </w:rPr>
              <w:t xml:space="preserve">Report due </w:t>
            </w:r>
          </w:p>
        </w:tc>
        <w:tc>
          <w:tcPr>
            <w:tcW w:w="1414" w:type="dxa"/>
            <w:tcBorders>
              <w:top w:val="single" w:sz="8" w:space="0" w:color="4F81BD"/>
              <w:left w:val="nil"/>
              <w:bottom w:val="single" w:sz="18" w:space="0" w:color="4F81BD"/>
              <w:right w:val="single" w:sz="8" w:space="0" w:color="4F81BD"/>
            </w:tcBorders>
            <w:tcMar>
              <w:top w:w="0" w:type="dxa"/>
              <w:left w:w="108" w:type="dxa"/>
              <w:bottom w:w="0" w:type="dxa"/>
              <w:right w:w="108" w:type="dxa"/>
            </w:tcMar>
            <w:hideMark/>
          </w:tcPr>
          <w:p w14:paraId="6E6B1C18" w14:textId="77777777" w:rsidR="00241BB0" w:rsidRPr="00241BB0" w:rsidRDefault="00241BB0">
            <w:pPr>
              <w:pStyle w:val="Heading2"/>
              <w:rPr>
                <w:rFonts w:ascii="Calibri" w:hAnsi="Calibri" w:cs="Calibri"/>
                <w:sz w:val="23"/>
                <w:szCs w:val="23"/>
              </w:rPr>
            </w:pPr>
            <w:r w:rsidRPr="00241BB0">
              <w:rPr>
                <w:rFonts w:ascii="Calibri" w:hAnsi="Calibri" w:cs="Calibri"/>
                <w:sz w:val="23"/>
                <w:szCs w:val="23"/>
              </w:rPr>
              <w:t>Payment</w:t>
            </w:r>
          </w:p>
        </w:tc>
      </w:tr>
      <w:tr w:rsidR="00241BB0" w:rsidRPr="00241BB0" w14:paraId="66BB99D8" w14:textId="77777777" w:rsidTr="001E0149">
        <w:tc>
          <w:tcPr>
            <w:tcW w:w="2310" w:type="dxa"/>
            <w:vMerge w:val="restart"/>
            <w:tcBorders>
              <w:top w:val="nil"/>
              <w:left w:val="single" w:sz="8" w:space="0" w:color="4F81BD"/>
              <w:bottom w:val="single" w:sz="8" w:space="0" w:color="4F81BD"/>
              <w:right w:val="single" w:sz="8" w:space="0" w:color="4F81BD"/>
            </w:tcBorders>
            <w:shd w:val="clear" w:color="auto" w:fill="D3DFEE"/>
            <w:tcMar>
              <w:top w:w="0" w:type="dxa"/>
              <w:left w:w="108" w:type="dxa"/>
              <w:bottom w:w="0" w:type="dxa"/>
              <w:right w:w="108" w:type="dxa"/>
            </w:tcMar>
            <w:hideMark/>
          </w:tcPr>
          <w:p w14:paraId="0EEE761B" w14:textId="77777777" w:rsidR="00241BB0" w:rsidRPr="00241BB0" w:rsidRDefault="00241BB0">
            <w:pPr>
              <w:pStyle w:val="Heading2"/>
              <w:rPr>
                <w:rFonts w:ascii="Calibri" w:hAnsi="Calibri" w:cs="Calibri"/>
                <w:b w:val="0"/>
                <w:bCs w:val="0"/>
                <w:color w:val="auto"/>
                <w:sz w:val="23"/>
                <w:szCs w:val="23"/>
              </w:rPr>
            </w:pPr>
            <w:r w:rsidRPr="00241BB0">
              <w:rPr>
                <w:rFonts w:ascii="Calibri" w:hAnsi="Calibri" w:cs="Calibri"/>
                <w:b w:val="0"/>
                <w:bCs w:val="0"/>
                <w:color w:val="auto"/>
                <w:sz w:val="23"/>
                <w:szCs w:val="23"/>
              </w:rPr>
              <w:t>Widening of the existing Port of Townsville navigational channels from the current 92</w:t>
            </w:r>
            <w:r w:rsidRPr="00241BB0">
              <w:rPr>
                <w:rFonts w:ascii="Calibri" w:hAnsi="Calibri" w:cs="Calibri"/>
                <w:b w:val="0"/>
                <w:bCs w:val="0"/>
                <w:color w:val="auto"/>
                <w:sz w:val="23"/>
                <w:szCs w:val="23"/>
              </w:rPr>
              <w:noBreakHyphen/>
              <w:t>metre width to 180 metres at the harbour entrance, tapering to 120 metres at the sea channel entrance in accordance with clause 8 of this Agreement.</w:t>
            </w:r>
          </w:p>
        </w:tc>
        <w:tc>
          <w:tcPr>
            <w:tcW w:w="4452" w:type="dxa"/>
            <w:tcBorders>
              <w:top w:val="nil"/>
              <w:left w:val="nil"/>
              <w:bottom w:val="single" w:sz="8" w:space="0" w:color="4F81BD"/>
              <w:right w:val="single" w:sz="8" w:space="0" w:color="4F81BD"/>
            </w:tcBorders>
            <w:tcMar>
              <w:top w:w="0" w:type="dxa"/>
              <w:left w:w="108" w:type="dxa"/>
              <w:bottom w:w="0" w:type="dxa"/>
              <w:right w:w="108" w:type="dxa"/>
            </w:tcMar>
            <w:hideMark/>
          </w:tcPr>
          <w:p w14:paraId="6D35B5C9" w14:textId="3339FC9C" w:rsidR="00241BB0" w:rsidRPr="00E24A02" w:rsidRDefault="00241BB0">
            <w:pPr>
              <w:pStyle w:val="Heading2"/>
              <w:rPr>
                <w:rFonts w:ascii="Calibri" w:hAnsi="Calibri" w:cs="Calibri"/>
                <w:b w:val="0"/>
                <w:bCs w:val="0"/>
                <w:color w:val="auto"/>
                <w:sz w:val="23"/>
                <w:szCs w:val="23"/>
              </w:rPr>
            </w:pPr>
            <w:r>
              <w:rPr>
                <w:rFonts w:ascii="Calibri" w:hAnsi="Calibri" w:cs="Calibri"/>
                <w:b w:val="0"/>
                <w:bCs w:val="0"/>
                <w:color w:val="auto"/>
                <w:sz w:val="23"/>
                <w:szCs w:val="23"/>
              </w:rPr>
              <w:t>Completion of 375,000 tonnes of r</w:t>
            </w:r>
            <w:r w:rsidRPr="00241BB0">
              <w:rPr>
                <w:rFonts w:ascii="Calibri" w:hAnsi="Calibri" w:cs="Calibri"/>
                <w:b w:val="0"/>
                <w:bCs w:val="0"/>
                <w:color w:val="auto"/>
                <w:sz w:val="23"/>
                <w:szCs w:val="23"/>
              </w:rPr>
              <w:t xml:space="preserve">ock </w:t>
            </w:r>
            <w:r w:rsidRPr="00E24A02">
              <w:rPr>
                <w:rFonts w:ascii="Calibri" w:hAnsi="Calibri" w:cs="Calibri"/>
                <w:b w:val="0"/>
                <w:bCs w:val="0"/>
                <w:color w:val="auto"/>
                <w:sz w:val="23"/>
                <w:szCs w:val="23"/>
              </w:rPr>
              <w:t>delivery (50% of estimated total of 750,000 tonnes*)</w:t>
            </w:r>
          </w:p>
          <w:p w14:paraId="408BC0E7" w14:textId="16C7306B" w:rsidR="00241BB0" w:rsidRPr="00241BB0" w:rsidRDefault="00241BB0" w:rsidP="00241BB0">
            <w:pPr>
              <w:pStyle w:val="Heading2"/>
              <w:rPr>
                <w:rFonts w:ascii="Calibri" w:hAnsi="Calibri" w:cs="Calibri"/>
                <w:b w:val="0"/>
                <w:bCs w:val="0"/>
                <w:color w:val="auto"/>
                <w:sz w:val="23"/>
                <w:szCs w:val="23"/>
              </w:rPr>
            </w:pPr>
            <w:r w:rsidRPr="00E24A02">
              <w:rPr>
                <w:rFonts w:ascii="Calibri" w:hAnsi="Calibri" w:cs="Calibri"/>
                <w:b w:val="0"/>
                <w:bCs w:val="0"/>
                <w:color w:val="auto"/>
                <w:sz w:val="23"/>
                <w:szCs w:val="23"/>
              </w:rPr>
              <w:t xml:space="preserve">Commence rock wall construction works for reclamation area </w:t>
            </w:r>
            <w:r w:rsidR="00EC4243" w:rsidRPr="00E24A02">
              <w:rPr>
                <w:rFonts w:ascii="Calibri" w:hAnsi="Calibri" w:cs="Calibri"/>
                <w:b w:val="0"/>
                <w:bCs w:val="0"/>
                <w:color w:val="auto"/>
                <w:sz w:val="23"/>
                <w:szCs w:val="23"/>
              </w:rPr>
              <w:t>(total length approximately 2.1 kilometres*)</w:t>
            </w:r>
          </w:p>
        </w:tc>
        <w:tc>
          <w:tcPr>
            <w:tcW w:w="1592" w:type="dxa"/>
            <w:tcBorders>
              <w:top w:val="nil"/>
              <w:left w:val="nil"/>
              <w:bottom w:val="single" w:sz="8" w:space="0" w:color="4F81BD"/>
              <w:right w:val="single" w:sz="8" w:space="0" w:color="4F81BD"/>
            </w:tcBorders>
            <w:tcMar>
              <w:top w:w="0" w:type="dxa"/>
              <w:left w:w="108" w:type="dxa"/>
              <w:bottom w:w="0" w:type="dxa"/>
              <w:right w:w="108" w:type="dxa"/>
            </w:tcMar>
            <w:hideMark/>
          </w:tcPr>
          <w:p w14:paraId="4C743283" w14:textId="77777777" w:rsidR="00241BB0" w:rsidRPr="00241BB0" w:rsidRDefault="00241BB0">
            <w:pPr>
              <w:pStyle w:val="Heading2"/>
              <w:rPr>
                <w:rFonts w:ascii="Calibri" w:hAnsi="Calibri" w:cs="Calibri"/>
                <w:b w:val="0"/>
                <w:bCs w:val="0"/>
                <w:color w:val="auto"/>
                <w:sz w:val="23"/>
                <w:szCs w:val="23"/>
              </w:rPr>
            </w:pPr>
            <w:r w:rsidRPr="00241BB0">
              <w:rPr>
                <w:rFonts w:ascii="Calibri" w:hAnsi="Calibri" w:cs="Calibri"/>
                <w:b w:val="0"/>
                <w:bCs w:val="0"/>
                <w:color w:val="auto"/>
                <w:sz w:val="23"/>
                <w:szCs w:val="23"/>
              </w:rPr>
              <w:t>31 Dec 2019</w:t>
            </w:r>
          </w:p>
        </w:tc>
        <w:tc>
          <w:tcPr>
            <w:tcW w:w="1414" w:type="dxa"/>
            <w:tcBorders>
              <w:top w:val="nil"/>
              <w:left w:val="nil"/>
              <w:bottom w:val="single" w:sz="8" w:space="0" w:color="4F81BD"/>
              <w:right w:val="single" w:sz="8" w:space="0" w:color="4F81BD"/>
            </w:tcBorders>
            <w:tcMar>
              <w:top w:w="0" w:type="dxa"/>
              <w:left w:w="108" w:type="dxa"/>
              <w:bottom w:w="0" w:type="dxa"/>
              <w:right w:w="108" w:type="dxa"/>
            </w:tcMar>
            <w:hideMark/>
          </w:tcPr>
          <w:p w14:paraId="20C2A834" w14:textId="77777777" w:rsidR="00241BB0" w:rsidRPr="00241BB0" w:rsidRDefault="00241BB0" w:rsidP="001E0149">
            <w:pPr>
              <w:pStyle w:val="Heading2"/>
              <w:jc w:val="right"/>
              <w:rPr>
                <w:rFonts w:ascii="Calibri" w:hAnsi="Calibri" w:cs="Calibri"/>
                <w:b w:val="0"/>
                <w:bCs w:val="0"/>
                <w:color w:val="auto"/>
                <w:sz w:val="23"/>
                <w:szCs w:val="23"/>
              </w:rPr>
            </w:pPr>
            <w:r w:rsidRPr="00241BB0">
              <w:rPr>
                <w:rFonts w:ascii="Calibri" w:hAnsi="Calibri" w:cs="Calibri"/>
                <w:b w:val="0"/>
                <w:bCs w:val="0"/>
                <w:color w:val="auto"/>
                <w:sz w:val="23"/>
                <w:szCs w:val="23"/>
              </w:rPr>
              <w:t>$15.0m</w:t>
            </w:r>
          </w:p>
        </w:tc>
      </w:tr>
      <w:tr w:rsidR="003133D5" w:rsidRPr="00241BB0" w14:paraId="130B7CAE" w14:textId="77777777" w:rsidTr="001E0149">
        <w:tc>
          <w:tcPr>
            <w:tcW w:w="0" w:type="auto"/>
            <w:vMerge/>
            <w:tcBorders>
              <w:top w:val="nil"/>
              <w:left w:val="single" w:sz="8" w:space="0" w:color="4F81BD"/>
              <w:bottom w:val="single" w:sz="8" w:space="0" w:color="4F81BD"/>
              <w:right w:val="single" w:sz="8" w:space="0" w:color="4F81BD"/>
            </w:tcBorders>
            <w:vAlign w:val="center"/>
          </w:tcPr>
          <w:p w14:paraId="35A94DAF" w14:textId="77777777" w:rsidR="003133D5" w:rsidRPr="00241BB0" w:rsidRDefault="003133D5">
            <w:pPr>
              <w:rPr>
                <w:rFonts w:ascii="Calibri" w:hAnsi="Calibri" w:cs="Calibri"/>
                <w:szCs w:val="23"/>
              </w:rPr>
            </w:pPr>
          </w:p>
        </w:tc>
        <w:tc>
          <w:tcPr>
            <w:tcW w:w="4452" w:type="dxa"/>
            <w:tcBorders>
              <w:top w:val="nil"/>
              <w:left w:val="nil"/>
              <w:bottom w:val="single" w:sz="8" w:space="0" w:color="4F81BD"/>
              <w:right w:val="single" w:sz="8" w:space="0" w:color="4F81BD"/>
            </w:tcBorders>
            <w:tcMar>
              <w:top w:w="0" w:type="dxa"/>
              <w:left w:w="108" w:type="dxa"/>
              <w:bottom w:w="0" w:type="dxa"/>
              <w:right w:w="108" w:type="dxa"/>
            </w:tcMar>
          </w:tcPr>
          <w:p w14:paraId="3B1601B3" w14:textId="41353903" w:rsidR="003133D5" w:rsidRDefault="003133D5" w:rsidP="008D310C">
            <w:pPr>
              <w:pStyle w:val="Heading2"/>
              <w:rPr>
                <w:rFonts w:ascii="Calibri" w:hAnsi="Calibri" w:cs="Calibri"/>
                <w:b w:val="0"/>
                <w:bCs w:val="0"/>
                <w:color w:val="auto"/>
                <w:sz w:val="23"/>
                <w:szCs w:val="23"/>
              </w:rPr>
            </w:pPr>
            <w:r>
              <w:rPr>
                <w:rFonts w:ascii="Calibri" w:hAnsi="Calibri" w:cs="Calibri"/>
                <w:b w:val="0"/>
                <w:bCs w:val="0"/>
                <w:color w:val="auto"/>
                <w:sz w:val="23"/>
                <w:szCs w:val="23"/>
              </w:rPr>
              <w:t>Completion of r</w:t>
            </w:r>
            <w:r w:rsidRPr="00241BB0">
              <w:rPr>
                <w:rFonts w:ascii="Calibri" w:hAnsi="Calibri" w:cs="Calibri"/>
                <w:b w:val="0"/>
                <w:bCs w:val="0"/>
                <w:color w:val="auto"/>
                <w:sz w:val="23"/>
                <w:szCs w:val="23"/>
              </w:rPr>
              <w:t>ock delivery</w:t>
            </w:r>
            <w:r>
              <w:rPr>
                <w:rFonts w:ascii="Calibri" w:hAnsi="Calibri" w:cs="Calibri"/>
                <w:b w:val="0"/>
                <w:bCs w:val="0"/>
                <w:color w:val="auto"/>
                <w:sz w:val="23"/>
                <w:szCs w:val="23"/>
              </w:rPr>
              <w:t xml:space="preserve"> for rock wall</w:t>
            </w:r>
            <w:r w:rsidRPr="00241BB0">
              <w:rPr>
                <w:rFonts w:ascii="Calibri" w:hAnsi="Calibri" w:cs="Calibri"/>
                <w:b w:val="0"/>
                <w:bCs w:val="0"/>
                <w:color w:val="auto"/>
                <w:sz w:val="23"/>
                <w:szCs w:val="23"/>
              </w:rPr>
              <w:t xml:space="preserve"> </w:t>
            </w:r>
            <w:r w:rsidR="008D310C">
              <w:rPr>
                <w:rFonts w:ascii="Calibri" w:hAnsi="Calibri" w:cs="Calibri"/>
                <w:b w:val="0"/>
                <w:bCs w:val="0"/>
                <w:color w:val="auto"/>
                <w:sz w:val="23"/>
                <w:szCs w:val="23"/>
              </w:rPr>
              <w:t>(</w:t>
            </w:r>
            <w:r w:rsidRPr="00241BB0">
              <w:rPr>
                <w:rFonts w:ascii="Calibri" w:hAnsi="Calibri" w:cs="Calibri"/>
                <w:b w:val="0"/>
                <w:bCs w:val="0"/>
                <w:color w:val="auto"/>
                <w:sz w:val="23"/>
                <w:szCs w:val="23"/>
              </w:rPr>
              <w:t>100%</w:t>
            </w:r>
            <w:r>
              <w:rPr>
                <w:rFonts w:ascii="Calibri" w:hAnsi="Calibri" w:cs="Calibri"/>
                <w:b w:val="0"/>
                <w:bCs w:val="0"/>
                <w:color w:val="auto"/>
                <w:sz w:val="23"/>
                <w:szCs w:val="23"/>
              </w:rPr>
              <w:t xml:space="preserve"> of estimated 750,000 tonnes</w:t>
            </w:r>
            <w:r w:rsidRPr="00241BB0">
              <w:rPr>
                <w:rFonts w:ascii="Calibri" w:hAnsi="Calibri" w:cs="Calibri"/>
                <w:b w:val="0"/>
                <w:bCs w:val="0"/>
                <w:color w:val="auto"/>
                <w:sz w:val="23"/>
                <w:szCs w:val="23"/>
              </w:rPr>
              <w:t>*</w:t>
            </w:r>
            <w:r w:rsidR="008D310C">
              <w:rPr>
                <w:rFonts w:ascii="Calibri" w:hAnsi="Calibri" w:cs="Calibri"/>
                <w:b w:val="0"/>
                <w:bCs w:val="0"/>
                <w:color w:val="auto"/>
                <w:sz w:val="23"/>
                <w:szCs w:val="23"/>
              </w:rPr>
              <w:t>)</w:t>
            </w:r>
          </w:p>
        </w:tc>
        <w:tc>
          <w:tcPr>
            <w:tcW w:w="1592" w:type="dxa"/>
            <w:tcBorders>
              <w:top w:val="nil"/>
              <w:left w:val="nil"/>
              <w:bottom w:val="single" w:sz="8" w:space="0" w:color="4F81BD"/>
              <w:right w:val="single" w:sz="8" w:space="0" w:color="4F81BD"/>
            </w:tcBorders>
            <w:tcMar>
              <w:top w:w="0" w:type="dxa"/>
              <w:left w:w="108" w:type="dxa"/>
              <w:bottom w:w="0" w:type="dxa"/>
              <w:right w:w="108" w:type="dxa"/>
            </w:tcMar>
          </w:tcPr>
          <w:p w14:paraId="564C02AC" w14:textId="55CC2143" w:rsidR="003133D5" w:rsidRPr="00241BB0" w:rsidRDefault="003133D5">
            <w:pPr>
              <w:pStyle w:val="Heading2"/>
              <w:rPr>
                <w:rFonts w:ascii="Calibri" w:hAnsi="Calibri" w:cs="Calibri"/>
                <w:b w:val="0"/>
                <w:bCs w:val="0"/>
                <w:color w:val="auto"/>
                <w:sz w:val="23"/>
                <w:szCs w:val="23"/>
              </w:rPr>
            </w:pPr>
            <w:r w:rsidRPr="00241BB0">
              <w:rPr>
                <w:rFonts w:ascii="Calibri" w:hAnsi="Calibri" w:cs="Calibri"/>
                <w:b w:val="0"/>
                <w:bCs w:val="0"/>
                <w:color w:val="auto"/>
                <w:sz w:val="23"/>
                <w:szCs w:val="23"/>
              </w:rPr>
              <w:t>31 Dec 2020</w:t>
            </w:r>
          </w:p>
        </w:tc>
        <w:tc>
          <w:tcPr>
            <w:tcW w:w="1414" w:type="dxa"/>
            <w:tcBorders>
              <w:top w:val="nil"/>
              <w:left w:val="nil"/>
              <w:bottom w:val="single" w:sz="8" w:space="0" w:color="4F81BD"/>
              <w:right w:val="single" w:sz="8" w:space="0" w:color="4F81BD"/>
            </w:tcBorders>
            <w:tcMar>
              <w:top w:w="0" w:type="dxa"/>
              <w:left w:w="108" w:type="dxa"/>
              <w:bottom w:w="0" w:type="dxa"/>
              <w:right w:w="108" w:type="dxa"/>
            </w:tcMar>
          </w:tcPr>
          <w:p w14:paraId="3D0F67BC" w14:textId="05B05A90" w:rsidR="003133D5" w:rsidRPr="00241BB0" w:rsidRDefault="003133D5" w:rsidP="001E0149">
            <w:pPr>
              <w:pStyle w:val="Heading2"/>
              <w:jc w:val="right"/>
              <w:rPr>
                <w:rFonts w:ascii="Calibri" w:hAnsi="Calibri" w:cs="Calibri"/>
                <w:b w:val="0"/>
                <w:bCs w:val="0"/>
                <w:color w:val="auto"/>
                <w:sz w:val="23"/>
                <w:szCs w:val="23"/>
              </w:rPr>
            </w:pPr>
            <w:r>
              <w:rPr>
                <w:rFonts w:ascii="Calibri" w:hAnsi="Calibri" w:cs="Calibri"/>
                <w:b w:val="0"/>
                <w:bCs w:val="0"/>
                <w:color w:val="auto"/>
                <w:sz w:val="23"/>
                <w:szCs w:val="23"/>
              </w:rPr>
              <w:t>$10.0m</w:t>
            </w:r>
          </w:p>
        </w:tc>
      </w:tr>
      <w:tr w:rsidR="00241BB0" w:rsidRPr="00241BB0" w14:paraId="76EDCCC1" w14:textId="77777777" w:rsidTr="001E0149">
        <w:tc>
          <w:tcPr>
            <w:tcW w:w="0" w:type="auto"/>
            <w:vMerge/>
            <w:tcBorders>
              <w:top w:val="nil"/>
              <w:left w:val="single" w:sz="8" w:space="0" w:color="4F81BD"/>
              <w:bottom w:val="single" w:sz="8" w:space="0" w:color="4F81BD"/>
              <w:right w:val="single" w:sz="8" w:space="0" w:color="4F81BD"/>
            </w:tcBorders>
            <w:vAlign w:val="center"/>
            <w:hideMark/>
          </w:tcPr>
          <w:p w14:paraId="4609F432" w14:textId="77777777" w:rsidR="00241BB0" w:rsidRPr="00241BB0" w:rsidRDefault="00241BB0">
            <w:pPr>
              <w:rPr>
                <w:rFonts w:ascii="Calibri" w:hAnsi="Calibri" w:cs="Calibri"/>
                <w:szCs w:val="23"/>
              </w:rPr>
            </w:pPr>
          </w:p>
        </w:tc>
        <w:tc>
          <w:tcPr>
            <w:tcW w:w="4452" w:type="dxa"/>
            <w:tcBorders>
              <w:top w:val="nil"/>
              <w:left w:val="nil"/>
              <w:bottom w:val="single" w:sz="8" w:space="0" w:color="4F81BD"/>
              <w:right w:val="single" w:sz="8" w:space="0" w:color="4F81BD"/>
            </w:tcBorders>
            <w:tcMar>
              <w:top w:w="0" w:type="dxa"/>
              <w:left w:w="108" w:type="dxa"/>
              <w:bottom w:w="0" w:type="dxa"/>
              <w:right w:w="108" w:type="dxa"/>
            </w:tcMar>
            <w:hideMark/>
          </w:tcPr>
          <w:p w14:paraId="59CBC027" w14:textId="007C08D9" w:rsidR="00241BB0" w:rsidRPr="00241BB0" w:rsidRDefault="00241BB0">
            <w:pPr>
              <w:pStyle w:val="Heading2"/>
              <w:rPr>
                <w:rFonts w:ascii="Calibri" w:hAnsi="Calibri" w:cs="Calibri"/>
                <w:b w:val="0"/>
                <w:bCs w:val="0"/>
                <w:color w:val="auto"/>
                <w:sz w:val="23"/>
                <w:szCs w:val="23"/>
              </w:rPr>
            </w:pPr>
            <w:r>
              <w:rPr>
                <w:rFonts w:ascii="Calibri" w:hAnsi="Calibri" w:cs="Calibri"/>
                <w:b w:val="0"/>
                <w:bCs w:val="0"/>
                <w:color w:val="auto"/>
                <w:sz w:val="23"/>
                <w:szCs w:val="23"/>
              </w:rPr>
              <w:t>Completion of r</w:t>
            </w:r>
            <w:r w:rsidRPr="00241BB0">
              <w:rPr>
                <w:rFonts w:ascii="Calibri" w:hAnsi="Calibri" w:cs="Calibri"/>
                <w:b w:val="0"/>
                <w:bCs w:val="0"/>
                <w:color w:val="auto"/>
                <w:sz w:val="23"/>
                <w:szCs w:val="23"/>
              </w:rPr>
              <w:t>ock wall construction works for reclamation area (approximately 2.1 kilometres*)</w:t>
            </w:r>
          </w:p>
          <w:p w14:paraId="78978F60" w14:textId="77777777" w:rsidR="00241BB0" w:rsidRPr="00E24A02" w:rsidRDefault="00241BB0">
            <w:pPr>
              <w:pStyle w:val="Heading2"/>
              <w:rPr>
                <w:rFonts w:ascii="Calibri" w:hAnsi="Calibri" w:cs="Calibri"/>
                <w:b w:val="0"/>
                <w:bCs w:val="0"/>
                <w:color w:val="auto"/>
                <w:sz w:val="23"/>
                <w:szCs w:val="23"/>
              </w:rPr>
            </w:pPr>
            <w:r w:rsidRPr="00E24A02">
              <w:rPr>
                <w:rFonts w:ascii="Calibri" w:hAnsi="Calibri" w:cs="Calibri"/>
                <w:b w:val="0"/>
                <w:bCs w:val="0"/>
                <w:color w:val="auto"/>
                <w:sz w:val="23"/>
                <w:szCs w:val="23"/>
              </w:rPr>
              <w:t>Commence reclamation area works (total overall area is approximately 62 hectares*)</w:t>
            </w:r>
          </w:p>
          <w:p w14:paraId="696455B3" w14:textId="316C11D9" w:rsidR="00241BB0" w:rsidRPr="00241BB0" w:rsidRDefault="00241BB0">
            <w:pPr>
              <w:pStyle w:val="Heading2"/>
              <w:rPr>
                <w:rFonts w:ascii="Calibri" w:hAnsi="Calibri" w:cs="Calibri"/>
                <w:b w:val="0"/>
                <w:bCs w:val="0"/>
                <w:color w:val="auto"/>
                <w:sz w:val="23"/>
                <w:szCs w:val="23"/>
              </w:rPr>
            </w:pPr>
            <w:r w:rsidRPr="00E24A02">
              <w:rPr>
                <w:rFonts w:ascii="Calibri" w:hAnsi="Calibri" w:cs="Calibri"/>
                <w:b w:val="0"/>
                <w:bCs w:val="0"/>
                <w:color w:val="auto"/>
                <w:sz w:val="23"/>
                <w:szCs w:val="23"/>
              </w:rPr>
              <w:t xml:space="preserve">Commence channel dredging works (overall total is approximately </w:t>
            </w:r>
            <w:r w:rsidR="00E24A02" w:rsidRPr="00E24A02">
              <w:rPr>
                <w:rFonts w:ascii="Calibri" w:hAnsi="Calibri" w:cs="Calibri"/>
                <w:b w:val="0"/>
                <w:bCs w:val="0"/>
                <w:color w:val="auto"/>
                <w:sz w:val="23"/>
                <w:szCs w:val="23"/>
              </w:rPr>
              <w:t xml:space="preserve">3.9 </w:t>
            </w:r>
            <w:r w:rsidR="003133D5" w:rsidRPr="00E24A02">
              <w:rPr>
                <w:rFonts w:ascii="Calibri" w:hAnsi="Calibri" w:cs="Calibri"/>
                <w:b w:val="0"/>
                <w:bCs w:val="0"/>
                <w:color w:val="auto"/>
                <w:sz w:val="23"/>
                <w:szCs w:val="23"/>
              </w:rPr>
              <w:t xml:space="preserve">million </w:t>
            </w:r>
            <w:r w:rsidRPr="00E24A02">
              <w:rPr>
                <w:rFonts w:ascii="Calibri" w:hAnsi="Calibri" w:cs="Calibri"/>
                <w:b w:val="0"/>
                <w:bCs w:val="0"/>
                <w:color w:val="auto"/>
                <w:sz w:val="23"/>
                <w:szCs w:val="23"/>
              </w:rPr>
              <w:t>cubic metres*)</w:t>
            </w:r>
            <w:r w:rsidRPr="00241BB0">
              <w:rPr>
                <w:rFonts w:ascii="Calibri" w:hAnsi="Calibri" w:cs="Calibri"/>
                <w:b w:val="0"/>
                <w:bCs w:val="0"/>
                <w:color w:val="auto"/>
                <w:sz w:val="23"/>
                <w:szCs w:val="23"/>
              </w:rPr>
              <w:t xml:space="preserve">  </w:t>
            </w:r>
          </w:p>
        </w:tc>
        <w:tc>
          <w:tcPr>
            <w:tcW w:w="1592" w:type="dxa"/>
            <w:tcBorders>
              <w:top w:val="nil"/>
              <w:left w:val="nil"/>
              <w:bottom w:val="single" w:sz="8" w:space="0" w:color="4F81BD"/>
              <w:right w:val="single" w:sz="8" w:space="0" w:color="4F81BD"/>
            </w:tcBorders>
            <w:tcMar>
              <w:top w:w="0" w:type="dxa"/>
              <w:left w:w="108" w:type="dxa"/>
              <w:bottom w:w="0" w:type="dxa"/>
              <w:right w:w="108" w:type="dxa"/>
            </w:tcMar>
            <w:hideMark/>
          </w:tcPr>
          <w:p w14:paraId="4938AFBC" w14:textId="19F58156" w:rsidR="00241BB0" w:rsidRPr="00241BB0" w:rsidRDefault="003133D5">
            <w:pPr>
              <w:pStyle w:val="Heading2"/>
              <w:rPr>
                <w:rFonts w:ascii="Calibri" w:hAnsi="Calibri" w:cs="Calibri"/>
                <w:b w:val="0"/>
                <w:bCs w:val="0"/>
                <w:color w:val="auto"/>
                <w:sz w:val="23"/>
                <w:szCs w:val="23"/>
              </w:rPr>
            </w:pPr>
            <w:r>
              <w:rPr>
                <w:rFonts w:ascii="Calibri" w:hAnsi="Calibri" w:cs="Calibri"/>
                <w:b w:val="0"/>
                <w:bCs w:val="0"/>
                <w:color w:val="auto"/>
                <w:sz w:val="23"/>
                <w:szCs w:val="23"/>
              </w:rPr>
              <w:t>31 Mar 2021</w:t>
            </w:r>
          </w:p>
        </w:tc>
        <w:tc>
          <w:tcPr>
            <w:tcW w:w="1414" w:type="dxa"/>
            <w:tcBorders>
              <w:top w:val="nil"/>
              <w:left w:val="nil"/>
              <w:bottom w:val="single" w:sz="8" w:space="0" w:color="4F81BD"/>
              <w:right w:val="single" w:sz="8" w:space="0" w:color="4F81BD"/>
            </w:tcBorders>
            <w:tcMar>
              <w:top w:w="0" w:type="dxa"/>
              <w:left w:w="108" w:type="dxa"/>
              <w:bottom w:w="0" w:type="dxa"/>
              <w:right w:w="108" w:type="dxa"/>
            </w:tcMar>
            <w:hideMark/>
          </w:tcPr>
          <w:p w14:paraId="1EBA94DE" w14:textId="7A6F7480" w:rsidR="00241BB0" w:rsidRPr="00241BB0" w:rsidRDefault="003133D5" w:rsidP="001E0149">
            <w:pPr>
              <w:pStyle w:val="Heading2"/>
              <w:jc w:val="right"/>
              <w:rPr>
                <w:rFonts w:ascii="Calibri" w:hAnsi="Calibri" w:cs="Calibri"/>
                <w:b w:val="0"/>
                <w:bCs w:val="0"/>
                <w:color w:val="auto"/>
                <w:sz w:val="23"/>
                <w:szCs w:val="23"/>
              </w:rPr>
            </w:pPr>
            <w:r>
              <w:rPr>
                <w:rFonts w:ascii="Calibri" w:hAnsi="Calibri" w:cs="Calibri"/>
                <w:b w:val="0"/>
                <w:bCs w:val="0"/>
                <w:color w:val="auto"/>
                <w:sz w:val="23"/>
                <w:szCs w:val="23"/>
              </w:rPr>
              <w:t>$10.0m</w:t>
            </w:r>
          </w:p>
        </w:tc>
      </w:tr>
      <w:tr w:rsidR="00241BB0" w:rsidRPr="00241BB0" w14:paraId="5408A3DC" w14:textId="77777777" w:rsidTr="001E0149">
        <w:tc>
          <w:tcPr>
            <w:tcW w:w="0" w:type="auto"/>
            <w:vMerge/>
            <w:tcBorders>
              <w:top w:val="nil"/>
              <w:left w:val="single" w:sz="8" w:space="0" w:color="4F81BD"/>
              <w:bottom w:val="single" w:sz="8" w:space="0" w:color="4F81BD"/>
              <w:right w:val="single" w:sz="8" w:space="0" w:color="4F81BD"/>
            </w:tcBorders>
            <w:vAlign w:val="center"/>
            <w:hideMark/>
          </w:tcPr>
          <w:p w14:paraId="1BD50C97" w14:textId="77777777" w:rsidR="00241BB0" w:rsidRPr="00241BB0" w:rsidRDefault="00241BB0">
            <w:pPr>
              <w:rPr>
                <w:rFonts w:ascii="Calibri" w:hAnsi="Calibri" w:cs="Calibri"/>
                <w:szCs w:val="23"/>
              </w:rPr>
            </w:pPr>
          </w:p>
        </w:tc>
        <w:tc>
          <w:tcPr>
            <w:tcW w:w="4452" w:type="dxa"/>
            <w:tcBorders>
              <w:top w:val="nil"/>
              <w:left w:val="nil"/>
              <w:bottom w:val="single" w:sz="8" w:space="0" w:color="4F81BD"/>
              <w:right w:val="single" w:sz="8" w:space="0" w:color="4F81BD"/>
            </w:tcBorders>
            <w:tcMar>
              <w:top w:w="0" w:type="dxa"/>
              <w:left w:w="108" w:type="dxa"/>
              <w:bottom w:w="0" w:type="dxa"/>
              <w:right w:w="108" w:type="dxa"/>
            </w:tcMar>
            <w:hideMark/>
          </w:tcPr>
          <w:p w14:paraId="5750B5BA" w14:textId="40BF54C3" w:rsidR="00241BB0" w:rsidRPr="00E24A02" w:rsidRDefault="00241BB0" w:rsidP="00F76CBF">
            <w:pPr>
              <w:pStyle w:val="Heading2"/>
              <w:rPr>
                <w:rFonts w:ascii="Calibri" w:hAnsi="Calibri" w:cs="Calibri"/>
                <w:b w:val="0"/>
                <w:bCs w:val="0"/>
                <w:color w:val="auto"/>
                <w:sz w:val="23"/>
                <w:szCs w:val="23"/>
              </w:rPr>
            </w:pPr>
            <w:r w:rsidRPr="00E24A02">
              <w:rPr>
                <w:rFonts w:ascii="Calibri" w:hAnsi="Calibri" w:cs="Calibri"/>
                <w:b w:val="0"/>
                <w:bCs w:val="0"/>
                <w:color w:val="auto"/>
                <w:sz w:val="23"/>
                <w:szCs w:val="23"/>
              </w:rPr>
              <w:t>Completion of 50% of dredging works (</w:t>
            </w:r>
            <w:r w:rsidR="003133D5" w:rsidRPr="00E24A02">
              <w:rPr>
                <w:rFonts w:ascii="Calibri" w:hAnsi="Calibri" w:cs="Calibri"/>
                <w:b w:val="0"/>
                <w:bCs w:val="0"/>
                <w:color w:val="auto"/>
                <w:sz w:val="23"/>
                <w:szCs w:val="23"/>
              </w:rPr>
              <w:t xml:space="preserve">of total </w:t>
            </w:r>
            <w:r w:rsidRPr="00E24A02">
              <w:rPr>
                <w:rFonts w:ascii="Calibri" w:hAnsi="Calibri" w:cs="Calibri"/>
                <w:b w:val="0"/>
                <w:bCs w:val="0"/>
                <w:color w:val="auto"/>
                <w:sz w:val="23"/>
                <w:szCs w:val="23"/>
              </w:rPr>
              <w:t>estimated</w:t>
            </w:r>
            <w:r w:rsidR="003133D5" w:rsidRPr="00E24A02">
              <w:rPr>
                <w:rFonts w:ascii="Calibri" w:hAnsi="Calibri" w:cs="Calibri"/>
                <w:b w:val="0"/>
                <w:bCs w:val="0"/>
                <w:color w:val="auto"/>
                <w:sz w:val="23"/>
                <w:szCs w:val="23"/>
              </w:rPr>
              <w:t xml:space="preserve"> </w:t>
            </w:r>
            <w:r w:rsidR="00E24A02" w:rsidRPr="00E24A02">
              <w:rPr>
                <w:rFonts w:ascii="Calibri" w:hAnsi="Calibri" w:cs="Calibri"/>
                <w:b w:val="0"/>
                <w:bCs w:val="0"/>
                <w:color w:val="auto"/>
                <w:sz w:val="23"/>
                <w:szCs w:val="23"/>
              </w:rPr>
              <w:t xml:space="preserve">3.9 </w:t>
            </w:r>
            <w:r w:rsidR="003133D5" w:rsidRPr="00E24A02">
              <w:rPr>
                <w:rFonts w:ascii="Calibri" w:hAnsi="Calibri" w:cs="Calibri"/>
                <w:b w:val="0"/>
                <w:bCs w:val="0"/>
                <w:color w:val="auto"/>
                <w:sz w:val="23"/>
                <w:szCs w:val="23"/>
              </w:rPr>
              <w:t>million</w:t>
            </w:r>
            <w:r w:rsidRPr="00E24A02">
              <w:rPr>
                <w:rFonts w:ascii="Calibri" w:hAnsi="Calibri" w:cs="Calibri"/>
                <w:b w:val="0"/>
                <w:bCs w:val="0"/>
                <w:color w:val="auto"/>
                <w:sz w:val="23"/>
                <w:szCs w:val="23"/>
              </w:rPr>
              <w:t xml:space="preserve"> cubic metres*)</w:t>
            </w:r>
          </w:p>
        </w:tc>
        <w:tc>
          <w:tcPr>
            <w:tcW w:w="1592" w:type="dxa"/>
            <w:tcBorders>
              <w:top w:val="nil"/>
              <w:left w:val="nil"/>
              <w:bottom w:val="single" w:sz="8" w:space="0" w:color="4F81BD"/>
              <w:right w:val="single" w:sz="8" w:space="0" w:color="4F81BD"/>
            </w:tcBorders>
            <w:tcMar>
              <w:top w:w="0" w:type="dxa"/>
              <w:left w:w="108" w:type="dxa"/>
              <w:bottom w:w="0" w:type="dxa"/>
              <w:right w:w="108" w:type="dxa"/>
            </w:tcMar>
            <w:hideMark/>
          </w:tcPr>
          <w:p w14:paraId="4E58753D" w14:textId="77777777" w:rsidR="00241BB0" w:rsidRPr="00241BB0" w:rsidRDefault="00241BB0">
            <w:pPr>
              <w:pStyle w:val="Heading2"/>
              <w:rPr>
                <w:rFonts w:ascii="Calibri" w:hAnsi="Calibri" w:cs="Calibri"/>
                <w:b w:val="0"/>
                <w:bCs w:val="0"/>
                <w:color w:val="auto"/>
                <w:sz w:val="23"/>
                <w:szCs w:val="23"/>
              </w:rPr>
            </w:pPr>
            <w:r w:rsidRPr="00241BB0">
              <w:rPr>
                <w:rFonts w:ascii="Calibri" w:hAnsi="Calibri" w:cs="Calibri"/>
                <w:b w:val="0"/>
                <w:bCs w:val="0"/>
                <w:color w:val="auto"/>
                <w:sz w:val="23"/>
                <w:szCs w:val="23"/>
              </w:rPr>
              <w:t>30 Apr 2022</w:t>
            </w:r>
          </w:p>
        </w:tc>
        <w:tc>
          <w:tcPr>
            <w:tcW w:w="1414" w:type="dxa"/>
            <w:tcBorders>
              <w:top w:val="nil"/>
              <w:left w:val="nil"/>
              <w:bottom w:val="single" w:sz="8" w:space="0" w:color="4F81BD"/>
              <w:right w:val="single" w:sz="8" w:space="0" w:color="4F81BD"/>
            </w:tcBorders>
            <w:tcMar>
              <w:top w:w="0" w:type="dxa"/>
              <w:left w:w="108" w:type="dxa"/>
              <w:bottom w:w="0" w:type="dxa"/>
              <w:right w:w="108" w:type="dxa"/>
            </w:tcMar>
            <w:hideMark/>
          </w:tcPr>
          <w:p w14:paraId="329688BE" w14:textId="77777777" w:rsidR="00241BB0" w:rsidRPr="00241BB0" w:rsidRDefault="00241BB0" w:rsidP="001E0149">
            <w:pPr>
              <w:pStyle w:val="Heading2"/>
              <w:jc w:val="right"/>
              <w:rPr>
                <w:rFonts w:ascii="Calibri" w:hAnsi="Calibri" w:cs="Calibri"/>
                <w:b w:val="0"/>
                <w:bCs w:val="0"/>
                <w:color w:val="auto"/>
                <w:sz w:val="23"/>
                <w:szCs w:val="23"/>
              </w:rPr>
            </w:pPr>
            <w:r w:rsidRPr="00241BB0">
              <w:rPr>
                <w:rFonts w:ascii="Calibri" w:hAnsi="Calibri" w:cs="Calibri"/>
                <w:b w:val="0"/>
                <w:bCs w:val="0"/>
                <w:color w:val="auto"/>
                <w:sz w:val="23"/>
                <w:szCs w:val="23"/>
              </w:rPr>
              <w:t>$20.0m</w:t>
            </w:r>
          </w:p>
        </w:tc>
      </w:tr>
      <w:tr w:rsidR="00241BB0" w:rsidRPr="00241BB0" w14:paraId="0F6F686A" w14:textId="77777777" w:rsidTr="001E0149">
        <w:tc>
          <w:tcPr>
            <w:tcW w:w="0" w:type="auto"/>
            <w:vMerge/>
            <w:tcBorders>
              <w:top w:val="nil"/>
              <w:left w:val="single" w:sz="8" w:space="0" w:color="4F81BD"/>
              <w:bottom w:val="single" w:sz="8" w:space="0" w:color="4F81BD"/>
              <w:right w:val="single" w:sz="8" w:space="0" w:color="4F81BD"/>
            </w:tcBorders>
            <w:vAlign w:val="center"/>
            <w:hideMark/>
          </w:tcPr>
          <w:p w14:paraId="6A8309A8" w14:textId="77777777" w:rsidR="00241BB0" w:rsidRPr="00241BB0" w:rsidRDefault="00241BB0">
            <w:pPr>
              <w:rPr>
                <w:rFonts w:ascii="Calibri" w:hAnsi="Calibri" w:cs="Calibri"/>
                <w:szCs w:val="23"/>
              </w:rPr>
            </w:pPr>
          </w:p>
        </w:tc>
        <w:tc>
          <w:tcPr>
            <w:tcW w:w="4452" w:type="dxa"/>
            <w:tcBorders>
              <w:top w:val="nil"/>
              <w:left w:val="nil"/>
              <w:bottom w:val="single" w:sz="8" w:space="0" w:color="4F81BD"/>
              <w:right w:val="single" w:sz="8" w:space="0" w:color="4F81BD"/>
            </w:tcBorders>
            <w:tcMar>
              <w:top w:w="0" w:type="dxa"/>
              <w:left w:w="108" w:type="dxa"/>
              <w:bottom w:w="0" w:type="dxa"/>
              <w:right w:w="108" w:type="dxa"/>
            </w:tcMar>
            <w:hideMark/>
          </w:tcPr>
          <w:p w14:paraId="401670F6" w14:textId="7D7D6A2E" w:rsidR="00241BB0" w:rsidRPr="00E24A02" w:rsidRDefault="00241BB0">
            <w:pPr>
              <w:pStyle w:val="Heading2"/>
              <w:rPr>
                <w:rFonts w:ascii="Calibri" w:hAnsi="Calibri" w:cs="Calibri"/>
                <w:b w:val="0"/>
                <w:bCs w:val="0"/>
                <w:color w:val="auto"/>
                <w:sz w:val="23"/>
                <w:szCs w:val="23"/>
              </w:rPr>
            </w:pPr>
            <w:r w:rsidRPr="00E24A02">
              <w:rPr>
                <w:rFonts w:ascii="Calibri" w:hAnsi="Calibri" w:cs="Calibri"/>
                <w:b w:val="0"/>
                <w:bCs w:val="0"/>
                <w:color w:val="auto"/>
                <w:sz w:val="23"/>
                <w:szCs w:val="23"/>
              </w:rPr>
              <w:t xml:space="preserve">Completion of all dredging Works </w:t>
            </w:r>
            <w:r w:rsidR="008D310C">
              <w:rPr>
                <w:rFonts w:ascii="Calibri" w:hAnsi="Calibri" w:cs="Calibri"/>
                <w:b w:val="0"/>
                <w:bCs w:val="0"/>
                <w:color w:val="auto"/>
                <w:sz w:val="23"/>
                <w:szCs w:val="23"/>
              </w:rPr>
              <w:t>(</w:t>
            </w:r>
            <w:r w:rsidRPr="00E24A02">
              <w:rPr>
                <w:rFonts w:ascii="Calibri" w:hAnsi="Calibri" w:cs="Calibri"/>
                <w:b w:val="0"/>
                <w:bCs w:val="0"/>
                <w:color w:val="auto"/>
                <w:sz w:val="23"/>
                <w:szCs w:val="23"/>
              </w:rPr>
              <w:t xml:space="preserve">estimated </w:t>
            </w:r>
            <w:r w:rsidR="00E24A02" w:rsidRPr="00E24A02">
              <w:rPr>
                <w:rFonts w:ascii="Calibri" w:hAnsi="Calibri" w:cs="Calibri"/>
                <w:b w:val="0"/>
                <w:bCs w:val="0"/>
                <w:color w:val="auto"/>
                <w:sz w:val="23"/>
                <w:szCs w:val="23"/>
              </w:rPr>
              <w:t xml:space="preserve">3.9 </w:t>
            </w:r>
            <w:r w:rsidR="003133D5" w:rsidRPr="00E24A02">
              <w:rPr>
                <w:rFonts w:ascii="Calibri" w:hAnsi="Calibri" w:cs="Calibri"/>
                <w:b w:val="0"/>
                <w:bCs w:val="0"/>
                <w:color w:val="auto"/>
                <w:sz w:val="23"/>
                <w:szCs w:val="23"/>
              </w:rPr>
              <w:t>million</w:t>
            </w:r>
            <w:r w:rsidRPr="00E24A02">
              <w:rPr>
                <w:rFonts w:ascii="Calibri" w:hAnsi="Calibri" w:cs="Calibri"/>
                <w:b w:val="0"/>
                <w:bCs w:val="0"/>
                <w:color w:val="auto"/>
                <w:sz w:val="23"/>
                <w:szCs w:val="23"/>
              </w:rPr>
              <w:t xml:space="preserve"> cubic metres* and as declared by Regional Harbour Master</w:t>
            </w:r>
            <w:r w:rsidR="008D310C">
              <w:rPr>
                <w:rFonts w:ascii="Calibri" w:hAnsi="Calibri" w:cs="Calibri"/>
                <w:b w:val="0"/>
                <w:bCs w:val="0"/>
                <w:color w:val="auto"/>
                <w:sz w:val="23"/>
                <w:szCs w:val="23"/>
              </w:rPr>
              <w:t>)</w:t>
            </w:r>
          </w:p>
          <w:p w14:paraId="37F85BAB" w14:textId="16F0F3BB" w:rsidR="00241BB0" w:rsidRPr="00E24A02" w:rsidRDefault="00241BB0" w:rsidP="008D310C">
            <w:pPr>
              <w:jc w:val="left"/>
              <w:rPr>
                <w:rFonts w:ascii="Calibri" w:eastAsiaTheme="minorHAnsi" w:hAnsi="Calibri" w:cs="Calibri"/>
                <w:b/>
                <w:bCs/>
                <w:szCs w:val="23"/>
              </w:rPr>
            </w:pPr>
            <w:r w:rsidRPr="00E24A02">
              <w:rPr>
                <w:szCs w:val="23"/>
              </w:rPr>
              <w:t xml:space="preserve">Completion of reclamation area </w:t>
            </w:r>
            <w:r w:rsidR="008D310C">
              <w:rPr>
                <w:szCs w:val="23"/>
              </w:rPr>
              <w:t>(</w:t>
            </w:r>
            <w:r w:rsidRPr="00E24A02">
              <w:rPr>
                <w:szCs w:val="23"/>
              </w:rPr>
              <w:t>estimated 62 hectares*</w:t>
            </w:r>
            <w:r w:rsidR="008D310C">
              <w:rPr>
                <w:szCs w:val="23"/>
              </w:rPr>
              <w:t>)</w:t>
            </w:r>
          </w:p>
        </w:tc>
        <w:tc>
          <w:tcPr>
            <w:tcW w:w="1592" w:type="dxa"/>
            <w:tcBorders>
              <w:top w:val="nil"/>
              <w:left w:val="nil"/>
              <w:bottom w:val="single" w:sz="8" w:space="0" w:color="4F81BD"/>
              <w:right w:val="single" w:sz="8" w:space="0" w:color="4F81BD"/>
            </w:tcBorders>
            <w:tcMar>
              <w:top w:w="0" w:type="dxa"/>
              <w:left w:w="108" w:type="dxa"/>
              <w:bottom w:w="0" w:type="dxa"/>
              <w:right w:w="108" w:type="dxa"/>
            </w:tcMar>
            <w:hideMark/>
          </w:tcPr>
          <w:p w14:paraId="4DE181D7" w14:textId="77777777" w:rsidR="00241BB0" w:rsidRPr="00241BB0" w:rsidRDefault="00241BB0">
            <w:pPr>
              <w:pStyle w:val="Heading2"/>
              <w:rPr>
                <w:rFonts w:ascii="Calibri" w:hAnsi="Calibri" w:cs="Calibri"/>
                <w:b w:val="0"/>
                <w:bCs w:val="0"/>
                <w:color w:val="auto"/>
                <w:sz w:val="23"/>
                <w:szCs w:val="23"/>
              </w:rPr>
            </w:pPr>
            <w:r w:rsidRPr="00241BB0">
              <w:rPr>
                <w:rFonts w:ascii="Calibri" w:hAnsi="Calibri" w:cs="Calibri"/>
                <w:b w:val="0"/>
                <w:bCs w:val="0"/>
                <w:color w:val="auto"/>
                <w:sz w:val="23"/>
                <w:szCs w:val="23"/>
              </w:rPr>
              <w:t>31 Dec 2022</w:t>
            </w:r>
          </w:p>
        </w:tc>
        <w:tc>
          <w:tcPr>
            <w:tcW w:w="1414" w:type="dxa"/>
            <w:tcBorders>
              <w:top w:val="nil"/>
              <w:left w:val="nil"/>
              <w:bottom w:val="single" w:sz="8" w:space="0" w:color="4F81BD"/>
              <w:right w:val="single" w:sz="8" w:space="0" w:color="4F81BD"/>
            </w:tcBorders>
            <w:tcMar>
              <w:top w:w="0" w:type="dxa"/>
              <w:left w:w="108" w:type="dxa"/>
              <w:bottom w:w="0" w:type="dxa"/>
              <w:right w:w="108" w:type="dxa"/>
            </w:tcMar>
            <w:hideMark/>
          </w:tcPr>
          <w:p w14:paraId="5F3F0353" w14:textId="77777777" w:rsidR="00241BB0" w:rsidRPr="00241BB0" w:rsidRDefault="00241BB0" w:rsidP="001E0149">
            <w:pPr>
              <w:pStyle w:val="Heading2"/>
              <w:jc w:val="right"/>
              <w:rPr>
                <w:rFonts w:ascii="Calibri" w:hAnsi="Calibri" w:cs="Calibri"/>
                <w:b w:val="0"/>
                <w:bCs w:val="0"/>
                <w:color w:val="auto"/>
                <w:sz w:val="23"/>
                <w:szCs w:val="23"/>
              </w:rPr>
            </w:pPr>
            <w:r w:rsidRPr="00241BB0">
              <w:rPr>
                <w:rFonts w:ascii="Calibri" w:hAnsi="Calibri" w:cs="Calibri"/>
                <w:b w:val="0"/>
                <w:bCs w:val="0"/>
                <w:color w:val="auto"/>
                <w:sz w:val="23"/>
                <w:szCs w:val="23"/>
              </w:rPr>
              <w:t>$15.0m</w:t>
            </w:r>
          </w:p>
        </w:tc>
      </w:tr>
      <w:tr w:rsidR="00241BB0" w:rsidRPr="00E24A02" w14:paraId="5CE327E4" w14:textId="77777777" w:rsidTr="001E0149">
        <w:tc>
          <w:tcPr>
            <w:tcW w:w="0" w:type="auto"/>
            <w:vMerge/>
            <w:tcBorders>
              <w:top w:val="nil"/>
              <w:left w:val="single" w:sz="8" w:space="0" w:color="4F81BD"/>
              <w:bottom w:val="single" w:sz="8" w:space="0" w:color="4F81BD"/>
              <w:right w:val="single" w:sz="8" w:space="0" w:color="4F81BD"/>
            </w:tcBorders>
            <w:vAlign w:val="center"/>
            <w:hideMark/>
          </w:tcPr>
          <w:p w14:paraId="40055524" w14:textId="77777777" w:rsidR="00241BB0" w:rsidRPr="00241BB0" w:rsidRDefault="00241BB0">
            <w:pPr>
              <w:rPr>
                <w:rFonts w:ascii="Calibri" w:hAnsi="Calibri" w:cs="Calibri"/>
                <w:szCs w:val="23"/>
              </w:rPr>
            </w:pPr>
          </w:p>
        </w:tc>
        <w:tc>
          <w:tcPr>
            <w:tcW w:w="4452" w:type="dxa"/>
            <w:tcBorders>
              <w:top w:val="nil"/>
              <w:left w:val="nil"/>
              <w:bottom w:val="single" w:sz="8" w:space="0" w:color="4F81BD"/>
              <w:right w:val="single" w:sz="8" w:space="0" w:color="4F81BD"/>
            </w:tcBorders>
            <w:tcMar>
              <w:top w:w="0" w:type="dxa"/>
              <w:left w:w="108" w:type="dxa"/>
              <w:bottom w:w="0" w:type="dxa"/>
              <w:right w:w="108" w:type="dxa"/>
            </w:tcMar>
            <w:hideMark/>
          </w:tcPr>
          <w:p w14:paraId="27A02D7B" w14:textId="77777777" w:rsidR="00241BB0" w:rsidRPr="00E24A02" w:rsidRDefault="00241BB0">
            <w:pPr>
              <w:pStyle w:val="Heading2"/>
              <w:rPr>
                <w:rFonts w:ascii="Calibri" w:hAnsi="Calibri" w:cs="Calibri"/>
                <w:b w:val="0"/>
                <w:bCs w:val="0"/>
                <w:color w:val="auto"/>
                <w:sz w:val="23"/>
                <w:szCs w:val="23"/>
              </w:rPr>
            </w:pPr>
            <w:r w:rsidRPr="00E24A02">
              <w:rPr>
                <w:rFonts w:ascii="Calibri" w:hAnsi="Calibri" w:cs="Calibri"/>
                <w:b w:val="0"/>
                <w:bCs w:val="0"/>
                <w:color w:val="auto"/>
                <w:sz w:val="23"/>
                <w:szCs w:val="23"/>
              </w:rPr>
              <w:t xml:space="preserve">Practical completion of Port Channel Capacity Upgrade Project </w:t>
            </w:r>
          </w:p>
        </w:tc>
        <w:tc>
          <w:tcPr>
            <w:tcW w:w="1592" w:type="dxa"/>
            <w:tcBorders>
              <w:top w:val="nil"/>
              <w:left w:val="nil"/>
              <w:bottom w:val="single" w:sz="8" w:space="0" w:color="4F81BD"/>
              <w:right w:val="single" w:sz="8" w:space="0" w:color="4F81BD"/>
            </w:tcBorders>
            <w:tcMar>
              <w:top w:w="0" w:type="dxa"/>
              <w:left w:w="108" w:type="dxa"/>
              <w:bottom w:w="0" w:type="dxa"/>
              <w:right w:w="108" w:type="dxa"/>
            </w:tcMar>
            <w:hideMark/>
          </w:tcPr>
          <w:p w14:paraId="46FD94A3" w14:textId="77777777" w:rsidR="00241BB0" w:rsidRPr="00E24A02" w:rsidRDefault="00241BB0">
            <w:pPr>
              <w:pStyle w:val="Heading2"/>
              <w:rPr>
                <w:rFonts w:ascii="Calibri" w:hAnsi="Calibri" w:cs="Calibri"/>
                <w:b w:val="0"/>
                <w:bCs w:val="0"/>
                <w:color w:val="auto"/>
                <w:sz w:val="23"/>
                <w:szCs w:val="23"/>
              </w:rPr>
            </w:pPr>
            <w:r w:rsidRPr="00E24A02">
              <w:rPr>
                <w:rFonts w:ascii="Calibri" w:hAnsi="Calibri" w:cs="Calibri"/>
                <w:b w:val="0"/>
                <w:bCs w:val="0"/>
                <w:color w:val="auto"/>
                <w:sz w:val="23"/>
                <w:szCs w:val="23"/>
              </w:rPr>
              <w:t>30 Apr 2023</w:t>
            </w:r>
          </w:p>
        </w:tc>
        <w:tc>
          <w:tcPr>
            <w:tcW w:w="1414" w:type="dxa"/>
            <w:tcBorders>
              <w:top w:val="nil"/>
              <w:left w:val="nil"/>
              <w:bottom w:val="single" w:sz="8" w:space="0" w:color="4F81BD"/>
              <w:right w:val="single" w:sz="8" w:space="0" w:color="4F81BD"/>
            </w:tcBorders>
            <w:tcMar>
              <w:top w:w="0" w:type="dxa"/>
              <w:left w:w="108" w:type="dxa"/>
              <w:bottom w:w="0" w:type="dxa"/>
              <w:right w:w="108" w:type="dxa"/>
            </w:tcMar>
            <w:hideMark/>
          </w:tcPr>
          <w:p w14:paraId="093BF999" w14:textId="77777777" w:rsidR="00241BB0" w:rsidRPr="00E24A02" w:rsidRDefault="00241BB0" w:rsidP="001E0149">
            <w:pPr>
              <w:pStyle w:val="Heading2"/>
              <w:jc w:val="right"/>
              <w:rPr>
                <w:rFonts w:ascii="Calibri" w:hAnsi="Calibri" w:cs="Calibri"/>
                <w:b w:val="0"/>
                <w:bCs w:val="0"/>
                <w:color w:val="auto"/>
                <w:sz w:val="23"/>
                <w:szCs w:val="23"/>
              </w:rPr>
            </w:pPr>
            <w:r w:rsidRPr="00E24A02">
              <w:rPr>
                <w:rFonts w:ascii="Calibri" w:hAnsi="Calibri" w:cs="Calibri"/>
                <w:b w:val="0"/>
                <w:bCs w:val="0"/>
                <w:color w:val="auto"/>
                <w:sz w:val="23"/>
                <w:szCs w:val="23"/>
              </w:rPr>
              <w:t>$5.0m</w:t>
            </w:r>
          </w:p>
        </w:tc>
      </w:tr>
    </w:tbl>
    <w:p w14:paraId="1A7FF280" w14:textId="45BA24AE" w:rsidR="003133D5" w:rsidRDefault="003133D5" w:rsidP="003133D5">
      <w:pPr>
        <w:ind w:firstLine="720"/>
        <w:rPr>
          <w:rFonts w:ascii="Calibri" w:hAnsi="Calibri"/>
          <w:color w:val="auto"/>
          <w:sz w:val="22"/>
        </w:rPr>
      </w:pPr>
      <w:r w:rsidRPr="00E24A02">
        <w:t>*Indicative quantities shown are based on concept design quantit</w:t>
      </w:r>
      <w:r w:rsidR="00F86308">
        <w:t>ies</w:t>
      </w:r>
      <w:r w:rsidRPr="00E24A02">
        <w:t xml:space="preserve"> and subject to change.</w:t>
      </w:r>
    </w:p>
    <w:p w14:paraId="5C5620FC" w14:textId="77777777" w:rsidR="00172360" w:rsidRDefault="002E144A" w:rsidP="00172360">
      <w:pPr>
        <w:pStyle w:val="Normalnumbered"/>
        <w:numPr>
          <w:ilvl w:val="0"/>
          <w:numId w:val="23"/>
        </w:numPr>
      </w:pPr>
      <w:r>
        <w:t>If</w:t>
      </w:r>
      <w:r w:rsidR="00172360" w:rsidRPr="00804105">
        <w:t xml:space="preserve"> a milestone is met in advance of the due date, </w:t>
      </w:r>
      <w:r>
        <w:t xml:space="preserve">where </w:t>
      </w:r>
      <w:r w:rsidR="00172360" w:rsidRPr="00804105">
        <w:t>the relevant performance report demonstrat</w:t>
      </w:r>
      <w:r>
        <w:t>es</w:t>
      </w:r>
      <w:r w:rsidR="00172360" w:rsidRPr="00804105">
        <w:t xml:space="preserve"> </w:t>
      </w:r>
      <w:r w:rsidR="00413E74">
        <w:t xml:space="preserve">that </w:t>
      </w:r>
      <w:r w:rsidR="00172360" w:rsidRPr="00804105">
        <w:t>the milestone has been met, the Commonwealth may make the associated payment earlier than scheduled provided it falls within the same financial year as the original milestone date.</w:t>
      </w:r>
      <w:r w:rsidR="00172360">
        <w:t xml:space="preserve"> </w:t>
      </w:r>
    </w:p>
    <w:p w14:paraId="6F3C5D61" w14:textId="77777777" w:rsidR="00F3245D" w:rsidRDefault="00F3245D" w:rsidP="00F3245D">
      <w:pPr>
        <w:pStyle w:val="Heading2"/>
      </w:pPr>
      <w:r>
        <w:lastRenderedPageBreak/>
        <w:t>Reporting arrangements</w:t>
      </w:r>
    </w:p>
    <w:p w14:paraId="79D73969" w14:textId="4DDB1C4D" w:rsidR="00ED2AC4" w:rsidRPr="004547B2" w:rsidRDefault="00827CC0" w:rsidP="00ED2AC4">
      <w:pPr>
        <w:pStyle w:val="Normalnumbered"/>
        <w:numPr>
          <w:ilvl w:val="0"/>
          <w:numId w:val="23"/>
        </w:numPr>
        <w:spacing w:before="120" w:line="240" w:lineRule="auto"/>
        <w:rPr>
          <w:szCs w:val="23"/>
        </w:rPr>
      </w:pPr>
      <w:r w:rsidRPr="004547B2">
        <w:t xml:space="preserve">Queensland </w:t>
      </w:r>
      <w:r w:rsidR="009E151E" w:rsidRPr="004547B2">
        <w:t>wil</w:t>
      </w:r>
      <w:r w:rsidR="009E151E" w:rsidRPr="00712061">
        <w:t xml:space="preserve">l </w:t>
      </w:r>
      <w:r w:rsidR="0095223D" w:rsidRPr="00712061">
        <w:t xml:space="preserve">provide performance reports </w:t>
      </w:r>
      <w:r w:rsidR="002A6863" w:rsidRPr="00712061">
        <w:t xml:space="preserve">for each milestone as detailed </w:t>
      </w:r>
      <w:r w:rsidR="0095223D" w:rsidRPr="00712061">
        <w:t xml:space="preserve">in </w:t>
      </w:r>
      <w:r w:rsidR="00C2605C" w:rsidRPr="004547B2">
        <w:t>T</w:t>
      </w:r>
      <w:r w:rsidR="0095223D" w:rsidRPr="004547B2">
        <w:t xml:space="preserve">able </w:t>
      </w:r>
      <w:r w:rsidR="00C2605C" w:rsidRPr="004547B2">
        <w:t xml:space="preserve">1 </w:t>
      </w:r>
      <w:r w:rsidR="009E151E" w:rsidRPr="004547B2">
        <w:t>during</w:t>
      </w:r>
      <w:r w:rsidR="00C42ACA" w:rsidRPr="004547B2">
        <w:t xml:space="preserve"> </w:t>
      </w:r>
      <w:r w:rsidR="009E151E" w:rsidRPr="004547B2">
        <w:t>t</w:t>
      </w:r>
      <w:r w:rsidR="00515AF2" w:rsidRPr="004547B2">
        <w:t xml:space="preserve">he operation of the Agreement. </w:t>
      </w:r>
      <w:r w:rsidR="0095223D" w:rsidRPr="004547B2">
        <w:t>Each performance report is to contai</w:t>
      </w:r>
      <w:r w:rsidR="00ED2AC4" w:rsidRPr="004547B2">
        <w:t xml:space="preserve">n </w:t>
      </w:r>
      <w:r w:rsidR="00A011AF" w:rsidRPr="004547B2">
        <w:t xml:space="preserve">as a minimum </w:t>
      </w:r>
      <w:r w:rsidR="00A51FA9" w:rsidRPr="004547B2">
        <w:t>the following information for the project</w:t>
      </w:r>
      <w:r w:rsidR="002A6863" w:rsidRPr="004547B2">
        <w:t xml:space="preserve"> for the relevant milestone</w:t>
      </w:r>
      <w:r w:rsidR="00A51FA9" w:rsidRPr="004547B2">
        <w:t>:</w:t>
      </w:r>
      <w:r w:rsidR="00ED2AC4" w:rsidRPr="004547B2">
        <w:rPr>
          <w:szCs w:val="23"/>
        </w:rPr>
        <w:t xml:space="preserve"> </w:t>
      </w:r>
    </w:p>
    <w:p w14:paraId="50C275FE" w14:textId="69D9974D" w:rsidR="00827CC0" w:rsidRPr="002070E7" w:rsidRDefault="00827CC0" w:rsidP="002070E7">
      <w:pPr>
        <w:pStyle w:val="AlphaParagraph"/>
        <w:numPr>
          <w:ilvl w:val="0"/>
          <w:numId w:val="51"/>
        </w:numPr>
        <w:tabs>
          <w:tab w:val="clear" w:pos="283"/>
          <w:tab w:val="clear" w:pos="567"/>
          <w:tab w:val="clear" w:pos="1134"/>
          <w:tab w:val="clear" w:pos="1418"/>
        </w:tabs>
        <w:ind w:hanging="567"/>
        <w:rPr>
          <w:color w:val="auto"/>
          <w:szCs w:val="23"/>
        </w:rPr>
      </w:pPr>
      <w:r w:rsidRPr="002070E7">
        <w:rPr>
          <w:color w:val="auto"/>
          <w:szCs w:val="23"/>
        </w:rPr>
        <w:t>A description of actual performance in the period to date against the milestones</w:t>
      </w:r>
      <w:r w:rsidR="003E2924">
        <w:rPr>
          <w:color w:val="auto"/>
          <w:szCs w:val="23"/>
        </w:rPr>
        <w:t>;</w:t>
      </w:r>
    </w:p>
    <w:p w14:paraId="4F356D0F" w14:textId="77777777" w:rsidR="006451EA" w:rsidRDefault="00827CC0" w:rsidP="002070E7">
      <w:pPr>
        <w:pStyle w:val="AlphaParagraph"/>
        <w:numPr>
          <w:ilvl w:val="0"/>
          <w:numId w:val="51"/>
        </w:numPr>
        <w:tabs>
          <w:tab w:val="clear" w:pos="283"/>
          <w:tab w:val="clear" w:pos="567"/>
          <w:tab w:val="clear" w:pos="1134"/>
          <w:tab w:val="clear" w:pos="1418"/>
        </w:tabs>
        <w:ind w:hanging="567"/>
        <w:rPr>
          <w:color w:val="auto"/>
          <w:szCs w:val="23"/>
        </w:rPr>
      </w:pPr>
      <w:r w:rsidRPr="002070E7">
        <w:rPr>
          <w:color w:val="auto"/>
          <w:szCs w:val="23"/>
        </w:rPr>
        <w:t xml:space="preserve">Sufficient documentation </w:t>
      </w:r>
      <w:r w:rsidR="005E6F4B">
        <w:rPr>
          <w:color w:val="auto"/>
          <w:szCs w:val="23"/>
        </w:rPr>
        <w:t xml:space="preserve">to provide the Commonwealth with assurance </w:t>
      </w:r>
      <w:r w:rsidR="00694D53">
        <w:rPr>
          <w:color w:val="auto"/>
          <w:szCs w:val="23"/>
        </w:rPr>
        <w:t>that the relevant</w:t>
      </w:r>
      <w:r w:rsidR="005E6F4B">
        <w:rPr>
          <w:color w:val="auto"/>
          <w:szCs w:val="23"/>
        </w:rPr>
        <w:t xml:space="preserve"> milestone </w:t>
      </w:r>
      <w:r w:rsidR="00A62737">
        <w:rPr>
          <w:color w:val="auto"/>
          <w:szCs w:val="23"/>
        </w:rPr>
        <w:t xml:space="preserve">has been met </w:t>
      </w:r>
      <w:r w:rsidR="005E6F4B">
        <w:rPr>
          <w:color w:val="auto"/>
          <w:szCs w:val="23"/>
        </w:rPr>
        <w:t xml:space="preserve">and </w:t>
      </w:r>
      <w:r w:rsidR="00A62737">
        <w:rPr>
          <w:color w:val="auto"/>
          <w:szCs w:val="23"/>
        </w:rPr>
        <w:t>to detail p</w:t>
      </w:r>
      <w:r w:rsidR="005E6F4B">
        <w:rPr>
          <w:color w:val="auto"/>
          <w:szCs w:val="23"/>
        </w:rPr>
        <w:t xml:space="preserve">roject progress </w:t>
      </w:r>
      <w:r w:rsidR="00A51FA9" w:rsidRPr="002070E7">
        <w:rPr>
          <w:color w:val="auto"/>
          <w:szCs w:val="23"/>
        </w:rPr>
        <w:t>including</w:t>
      </w:r>
      <w:r w:rsidR="001A0F3C">
        <w:rPr>
          <w:color w:val="auto"/>
          <w:szCs w:val="23"/>
        </w:rPr>
        <w:t>:</w:t>
      </w:r>
      <w:r w:rsidR="00A51FA9" w:rsidRPr="002070E7">
        <w:rPr>
          <w:color w:val="auto"/>
          <w:szCs w:val="23"/>
        </w:rPr>
        <w:t xml:space="preserve"> </w:t>
      </w:r>
    </w:p>
    <w:p w14:paraId="4FA5C5D8" w14:textId="0CA3886A" w:rsidR="006451EA" w:rsidRDefault="001F0CD0" w:rsidP="008D310C">
      <w:pPr>
        <w:pStyle w:val="AlphaParagraph"/>
        <w:numPr>
          <w:ilvl w:val="0"/>
          <w:numId w:val="55"/>
        </w:numPr>
        <w:tabs>
          <w:tab w:val="clear" w:pos="283"/>
          <w:tab w:val="clear" w:pos="567"/>
          <w:tab w:val="clear" w:pos="1134"/>
          <w:tab w:val="clear" w:pos="1418"/>
          <w:tab w:val="clear" w:pos="1701"/>
        </w:tabs>
        <w:rPr>
          <w:color w:val="auto"/>
          <w:szCs w:val="23"/>
        </w:rPr>
      </w:pPr>
      <w:r>
        <w:rPr>
          <w:color w:val="auto"/>
          <w:szCs w:val="23"/>
        </w:rPr>
        <w:t>milestone</w:t>
      </w:r>
      <w:r w:rsidR="00A51FA9" w:rsidRPr="002070E7">
        <w:rPr>
          <w:color w:val="auto"/>
          <w:szCs w:val="23"/>
        </w:rPr>
        <w:t xml:space="preserve"> progress showing estimated completion date</w:t>
      </w:r>
      <w:r w:rsidR="001A0F3C">
        <w:rPr>
          <w:color w:val="auto"/>
          <w:szCs w:val="23"/>
        </w:rPr>
        <w:t>;</w:t>
      </w:r>
      <w:r w:rsidR="00A51FA9" w:rsidRPr="002070E7">
        <w:rPr>
          <w:color w:val="auto"/>
          <w:szCs w:val="23"/>
        </w:rPr>
        <w:t xml:space="preserve"> </w:t>
      </w:r>
    </w:p>
    <w:p w14:paraId="25A3D0CD" w14:textId="53D3AEF5" w:rsidR="006451EA" w:rsidRDefault="001A0F3C" w:rsidP="008D310C">
      <w:pPr>
        <w:pStyle w:val="AlphaParagraph"/>
        <w:numPr>
          <w:ilvl w:val="0"/>
          <w:numId w:val="55"/>
        </w:numPr>
        <w:tabs>
          <w:tab w:val="clear" w:pos="283"/>
          <w:tab w:val="clear" w:pos="567"/>
          <w:tab w:val="clear" w:pos="1134"/>
          <w:tab w:val="clear" w:pos="1418"/>
          <w:tab w:val="clear" w:pos="1701"/>
        </w:tabs>
        <w:rPr>
          <w:color w:val="auto"/>
          <w:szCs w:val="23"/>
        </w:rPr>
      </w:pPr>
      <w:r>
        <w:rPr>
          <w:color w:val="auto"/>
          <w:szCs w:val="23"/>
        </w:rPr>
        <w:t>f</w:t>
      </w:r>
      <w:r w:rsidR="00A51FA9" w:rsidRPr="002070E7">
        <w:rPr>
          <w:color w:val="auto"/>
          <w:szCs w:val="23"/>
        </w:rPr>
        <w:t>inancial performance with procurement activities</w:t>
      </w:r>
      <w:r w:rsidR="001A4A94">
        <w:rPr>
          <w:color w:val="auto"/>
          <w:szCs w:val="23"/>
        </w:rPr>
        <w:t xml:space="preserve"> in</w:t>
      </w:r>
      <w:r w:rsidR="006451EA">
        <w:rPr>
          <w:color w:val="auto"/>
          <w:szCs w:val="23"/>
        </w:rPr>
        <w:t xml:space="preserve">dicating </w:t>
      </w:r>
      <w:r w:rsidR="003E2924">
        <w:rPr>
          <w:color w:val="auto"/>
          <w:szCs w:val="23"/>
        </w:rPr>
        <w:t>I</w:t>
      </w:r>
      <w:r w:rsidR="006451EA">
        <w:rPr>
          <w:color w:val="auto"/>
          <w:szCs w:val="23"/>
        </w:rPr>
        <w:t>ndigenous and local supplier targets</w:t>
      </w:r>
      <w:r>
        <w:rPr>
          <w:color w:val="auto"/>
          <w:szCs w:val="23"/>
        </w:rPr>
        <w:t>;</w:t>
      </w:r>
      <w:r w:rsidR="006451EA">
        <w:rPr>
          <w:color w:val="auto"/>
          <w:szCs w:val="23"/>
        </w:rPr>
        <w:t xml:space="preserve"> </w:t>
      </w:r>
      <w:r w:rsidR="00A51FA9" w:rsidRPr="002070E7">
        <w:rPr>
          <w:color w:val="auto"/>
          <w:szCs w:val="23"/>
        </w:rPr>
        <w:t xml:space="preserve">and </w:t>
      </w:r>
    </w:p>
    <w:p w14:paraId="188E2071" w14:textId="44040973" w:rsidR="00827CC0" w:rsidRPr="002070E7" w:rsidRDefault="00A51FA9" w:rsidP="008D310C">
      <w:pPr>
        <w:pStyle w:val="AlphaParagraph"/>
        <w:numPr>
          <w:ilvl w:val="0"/>
          <w:numId w:val="55"/>
        </w:numPr>
        <w:tabs>
          <w:tab w:val="clear" w:pos="283"/>
          <w:tab w:val="clear" w:pos="567"/>
          <w:tab w:val="clear" w:pos="1134"/>
          <w:tab w:val="clear" w:pos="1418"/>
          <w:tab w:val="clear" w:pos="1701"/>
        </w:tabs>
        <w:rPr>
          <w:color w:val="auto"/>
          <w:szCs w:val="23"/>
        </w:rPr>
      </w:pPr>
      <w:proofErr w:type="gramStart"/>
      <w:r w:rsidRPr="002070E7">
        <w:rPr>
          <w:color w:val="auto"/>
          <w:szCs w:val="23"/>
        </w:rPr>
        <w:t>safety</w:t>
      </w:r>
      <w:proofErr w:type="gramEnd"/>
      <w:r w:rsidRPr="002070E7">
        <w:rPr>
          <w:color w:val="auto"/>
          <w:szCs w:val="23"/>
        </w:rPr>
        <w:t xml:space="preserve"> </w:t>
      </w:r>
      <w:r w:rsidR="00E96FA0">
        <w:rPr>
          <w:color w:val="auto"/>
          <w:szCs w:val="23"/>
        </w:rPr>
        <w:t xml:space="preserve">and environmental </w:t>
      </w:r>
      <w:r w:rsidRPr="002070E7">
        <w:rPr>
          <w:color w:val="auto"/>
          <w:szCs w:val="23"/>
        </w:rPr>
        <w:t xml:space="preserve">performance reporting </w:t>
      </w:r>
      <w:r w:rsidR="001A0F3C">
        <w:rPr>
          <w:color w:val="auto"/>
          <w:szCs w:val="23"/>
        </w:rPr>
        <w:t>in relation to</w:t>
      </w:r>
      <w:r w:rsidR="001A0F3C" w:rsidRPr="002070E7">
        <w:rPr>
          <w:color w:val="auto"/>
          <w:szCs w:val="23"/>
        </w:rPr>
        <w:t xml:space="preserve"> </w:t>
      </w:r>
      <w:r w:rsidRPr="002070E7">
        <w:rPr>
          <w:color w:val="auto"/>
          <w:szCs w:val="23"/>
        </w:rPr>
        <w:t xml:space="preserve">the project. </w:t>
      </w:r>
    </w:p>
    <w:p w14:paraId="1F7F4BF8" w14:textId="77777777" w:rsidR="008E7527" w:rsidRPr="004B7CAB" w:rsidRDefault="008E7527" w:rsidP="004B7CAB">
      <w:pPr>
        <w:pStyle w:val="Heading1"/>
      </w:pPr>
      <w:r>
        <w:t>Part 5</w:t>
      </w:r>
      <w:r w:rsidRPr="00751725">
        <w:t xml:space="preserve"> — financial arrangements</w:t>
      </w:r>
    </w:p>
    <w:p w14:paraId="7192366B" w14:textId="77777777" w:rsidR="00CE7403" w:rsidRDefault="008E7527" w:rsidP="004B7CAB">
      <w:pPr>
        <w:pStyle w:val="Normalnumbered"/>
        <w:numPr>
          <w:ilvl w:val="0"/>
          <w:numId w:val="23"/>
        </w:numPr>
        <w:jc w:val="left"/>
      </w:pPr>
      <w:r w:rsidRPr="000E48C3">
        <w:t xml:space="preserve">The Commonwealth will </w:t>
      </w:r>
      <w:r>
        <w:t>provide</w:t>
      </w:r>
      <w:r w:rsidRPr="000E48C3">
        <w:t xml:space="preserve"> a</w:t>
      </w:r>
      <w:r w:rsidR="002E144A">
        <w:t xml:space="preserve"> </w:t>
      </w:r>
      <w:r>
        <w:t>total</w:t>
      </w:r>
      <w:r w:rsidRPr="000E48C3">
        <w:t xml:space="preserve"> financial contribution to </w:t>
      </w:r>
      <w:r w:rsidR="004B7CAB">
        <w:t xml:space="preserve">Queensland of </w:t>
      </w:r>
      <w:r w:rsidRPr="00CD526B">
        <w:t>$</w:t>
      </w:r>
      <w:r w:rsidR="004B7CAB">
        <w:t>75.0</w:t>
      </w:r>
      <w:r w:rsidR="00F34C91">
        <w:t> </w:t>
      </w:r>
      <w:r w:rsidR="004B7CAB">
        <w:t xml:space="preserve">million </w:t>
      </w:r>
      <w:r w:rsidR="00C84E10">
        <w:t xml:space="preserve">(GST exclusive) </w:t>
      </w:r>
      <w:r w:rsidR="004B7CAB">
        <w:t>in respect of this Agreement</w:t>
      </w:r>
      <w:r w:rsidR="004B7CAB" w:rsidRPr="004B7CAB">
        <w:rPr>
          <w:color w:val="FF0000"/>
        </w:rPr>
        <w:t>.</w:t>
      </w:r>
    </w:p>
    <w:p w14:paraId="113E9219" w14:textId="77777777" w:rsidR="008E7527" w:rsidRDefault="005A5E7A" w:rsidP="00B619AA">
      <w:pPr>
        <w:pStyle w:val="Normalnumbered"/>
        <w:numPr>
          <w:ilvl w:val="0"/>
          <w:numId w:val="23"/>
        </w:numPr>
      </w:pPr>
      <w:r>
        <w:t>T</w:t>
      </w:r>
      <w:r w:rsidR="008E7527" w:rsidRPr="002B7E1B">
        <w:t xml:space="preserve">he Commonwealth’s funding contribution will not be reduced where </w:t>
      </w:r>
      <w:r w:rsidR="00C84E10">
        <w:t>Queensland</w:t>
      </w:r>
      <w:r w:rsidR="008E7527" w:rsidRPr="002B7E1B">
        <w:t xml:space="preserve"> secure</w:t>
      </w:r>
      <w:r w:rsidR="00C84E10">
        <w:t>s</w:t>
      </w:r>
      <w:r w:rsidR="008E7527" w:rsidRPr="002B7E1B">
        <w:t xml:space="preserve"> funding from other activity partners</w:t>
      </w:r>
      <w:r w:rsidR="002E144A">
        <w:t>.</w:t>
      </w:r>
    </w:p>
    <w:p w14:paraId="287779DD" w14:textId="77777777" w:rsidR="008E7527" w:rsidRPr="00751725" w:rsidRDefault="008E7527" w:rsidP="00B619AA">
      <w:pPr>
        <w:pStyle w:val="Normalnumbered"/>
        <w:keepNext/>
        <w:keepLines/>
        <w:numPr>
          <w:ilvl w:val="0"/>
          <w:numId w:val="23"/>
        </w:numPr>
      </w:pPr>
      <w:r w:rsidRPr="00751725">
        <w:t>The Commonwealth</w:t>
      </w:r>
      <w:r>
        <w:t>’s</w:t>
      </w:r>
      <w:r w:rsidRPr="00751725">
        <w:t xml:space="preserve"> and </w:t>
      </w:r>
      <w:r w:rsidR="004B7CAB">
        <w:t>Queensland</w:t>
      </w:r>
      <w:r w:rsidR="00C84E10">
        <w:t>’s</w:t>
      </w:r>
      <w:r w:rsidR="004B7CAB">
        <w:t xml:space="preserve"> </w:t>
      </w:r>
      <w:r>
        <w:t xml:space="preserve">estimated </w:t>
      </w:r>
      <w:r w:rsidRPr="00751725">
        <w:t>financial contribution</w:t>
      </w:r>
      <w:r w:rsidR="002E144A">
        <w:t>s</w:t>
      </w:r>
      <w:r w:rsidRPr="00751725">
        <w:t xml:space="preserve"> to the operation of </w:t>
      </w:r>
      <w:r>
        <w:t xml:space="preserve">this Agreement, including through National Partnership payments to the States paid in accordance with </w:t>
      </w:r>
      <w:r w:rsidRPr="002B7E1B">
        <w:rPr>
          <w:i/>
        </w:rPr>
        <w:t>Schedule</w:t>
      </w:r>
      <w:r>
        <w:rPr>
          <w:i/>
        </w:rPr>
        <w:t> </w:t>
      </w:r>
      <w:r w:rsidRPr="002B7E1B">
        <w:rPr>
          <w:i/>
        </w:rPr>
        <w:t>D — Payment Arrangements</w:t>
      </w:r>
      <w:r>
        <w:t xml:space="preserve"> of the </w:t>
      </w:r>
      <w:r w:rsidR="00C41265">
        <w:t>IGA FFR</w:t>
      </w:r>
      <w:r w:rsidR="00C2605C">
        <w:t>, are shown in Table 2</w:t>
      </w:r>
      <w:r w:rsidRPr="00751725">
        <w:t>.</w:t>
      </w:r>
    </w:p>
    <w:p w14:paraId="0A8AD048" w14:textId="77777777" w:rsidR="008E7527" w:rsidRPr="00A05C1E" w:rsidRDefault="00E204BB" w:rsidP="00E204BB">
      <w:pPr>
        <w:pStyle w:val="Normalnumbered"/>
        <w:numPr>
          <w:ilvl w:val="0"/>
          <w:numId w:val="0"/>
        </w:numPr>
        <w:rPr>
          <w:b/>
          <w:i/>
        </w:rPr>
      </w:pPr>
      <w:r>
        <w:rPr>
          <w:b/>
        </w:rPr>
        <w:t>Table 2</w:t>
      </w:r>
      <w:r w:rsidR="008E7527" w:rsidRPr="00E204BB">
        <w:rPr>
          <w:b/>
        </w:rPr>
        <w:t xml:space="preserve">: Estimated financial contributions </w:t>
      </w:r>
    </w:p>
    <w:tbl>
      <w:tblPr>
        <w:tblW w:w="0" w:type="auto"/>
        <w:tblLook w:val="01E0" w:firstRow="1" w:lastRow="1" w:firstColumn="1" w:lastColumn="1" w:noHBand="0" w:noVBand="0"/>
      </w:tblPr>
      <w:tblGrid>
        <w:gridCol w:w="4168"/>
        <w:gridCol w:w="969"/>
        <w:gridCol w:w="874"/>
        <w:gridCol w:w="957"/>
        <w:gridCol w:w="955"/>
        <w:gridCol w:w="957"/>
        <w:gridCol w:w="758"/>
      </w:tblGrid>
      <w:tr w:rsidR="008D310C" w14:paraId="63EF71A2" w14:textId="77777777" w:rsidTr="008D310C">
        <w:trPr>
          <w:cantSplit/>
        </w:trPr>
        <w:tc>
          <w:tcPr>
            <w:tcW w:w="4168" w:type="dxa"/>
            <w:tcBorders>
              <w:top w:val="single" w:sz="4" w:space="0" w:color="000080"/>
            </w:tcBorders>
          </w:tcPr>
          <w:p w14:paraId="0A650817" w14:textId="77777777" w:rsidR="008D310C" w:rsidRPr="00C2711B" w:rsidRDefault="008D310C" w:rsidP="00AB71A5">
            <w:pPr>
              <w:keepNext/>
              <w:keepLines/>
              <w:spacing w:before="40" w:after="40"/>
              <w:jc w:val="left"/>
              <w:rPr>
                <w:b/>
              </w:rPr>
            </w:pPr>
            <w:r w:rsidRPr="00C2711B">
              <w:rPr>
                <w:b/>
              </w:rPr>
              <w:t>($ million)</w:t>
            </w:r>
          </w:p>
        </w:tc>
        <w:tc>
          <w:tcPr>
            <w:tcW w:w="969" w:type="dxa"/>
            <w:tcBorders>
              <w:top w:val="single" w:sz="4" w:space="0" w:color="000080"/>
              <w:bottom w:val="single" w:sz="4" w:space="0" w:color="000080"/>
            </w:tcBorders>
          </w:tcPr>
          <w:p w14:paraId="60F41B18" w14:textId="54AF1019" w:rsidR="008D310C" w:rsidRDefault="008D310C" w:rsidP="008D310C">
            <w:pPr>
              <w:keepNext/>
              <w:keepLines/>
              <w:spacing w:before="40" w:after="40"/>
              <w:jc w:val="right"/>
            </w:pPr>
            <w:r>
              <w:t>2018-19</w:t>
            </w:r>
          </w:p>
        </w:tc>
        <w:tc>
          <w:tcPr>
            <w:tcW w:w="874" w:type="dxa"/>
            <w:tcBorders>
              <w:top w:val="single" w:sz="4" w:space="0" w:color="000080"/>
              <w:bottom w:val="single" w:sz="4" w:space="0" w:color="000080"/>
            </w:tcBorders>
          </w:tcPr>
          <w:p w14:paraId="401B4C23" w14:textId="5FA8123C" w:rsidR="008D310C" w:rsidRDefault="008D310C" w:rsidP="00381169">
            <w:pPr>
              <w:keepNext/>
              <w:keepLines/>
              <w:spacing w:before="40" w:after="40"/>
              <w:jc w:val="right"/>
            </w:pPr>
            <w:r>
              <w:t>2019-20</w:t>
            </w:r>
          </w:p>
        </w:tc>
        <w:tc>
          <w:tcPr>
            <w:tcW w:w="957" w:type="dxa"/>
            <w:tcBorders>
              <w:top w:val="single" w:sz="4" w:space="0" w:color="000080"/>
              <w:bottom w:val="single" w:sz="4" w:space="0" w:color="000080"/>
            </w:tcBorders>
          </w:tcPr>
          <w:p w14:paraId="0FC03F2A" w14:textId="313E5A4F" w:rsidR="008D310C" w:rsidRDefault="008D310C" w:rsidP="00381169">
            <w:pPr>
              <w:keepNext/>
              <w:keepLines/>
              <w:spacing w:before="40" w:after="40"/>
              <w:jc w:val="right"/>
            </w:pPr>
            <w:r>
              <w:t>2020-21</w:t>
            </w:r>
          </w:p>
        </w:tc>
        <w:tc>
          <w:tcPr>
            <w:tcW w:w="955" w:type="dxa"/>
            <w:tcBorders>
              <w:top w:val="single" w:sz="4" w:space="0" w:color="000080"/>
              <w:bottom w:val="single" w:sz="4" w:space="0" w:color="000080"/>
            </w:tcBorders>
          </w:tcPr>
          <w:p w14:paraId="5D43E0C2" w14:textId="77777777" w:rsidR="008D310C" w:rsidRDefault="008D310C" w:rsidP="00381169">
            <w:pPr>
              <w:keepNext/>
              <w:keepLines/>
              <w:spacing w:before="40" w:after="40"/>
              <w:jc w:val="right"/>
            </w:pPr>
            <w:r>
              <w:t>2021-22</w:t>
            </w:r>
          </w:p>
        </w:tc>
        <w:tc>
          <w:tcPr>
            <w:tcW w:w="957" w:type="dxa"/>
            <w:tcBorders>
              <w:top w:val="single" w:sz="4" w:space="0" w:color="000080"/>
              <w:bottom w:val="single" w:sz="4" w:space="0" w:color="000080"/>
            </w:tcBorders>
          </w:tcPr>
          <w:p w14:paraId="10125CA7" w14:textId="77777777" w:rsidR="008D310C" w:rsidRPr="002B3915" w:rsidRDefault="008D310C" w:rsidP="00381169">
            <w:pPr>
              <w:keepNext/>
              <w:keepLines/>
              <w:spacing w:before="40" w:after="40"/>
              <w:jc w:val="center"/>
            </w:pPr>
            <w:r w:rsidRPr="002B2D8B">
              <w:t>2022-23</w:t>
            </w:r>
          </w:p>
        </w:tc>
        <w:tc>
          <w:tcPr>
            <w:tcW w:w="758" w:type="dxa"/>
            <w:tcBorders>
              <w:top w:val="single" w:sz="4" w:space="0" w:color="000080"/>
              <w:bottom w:val="single" w:sz="4" w:space="0" w:color="000080"/>
            </w:tcBorders>
          </w:tcPr>
          <w:p w14:paraId="2B7934E8" w14:textId="77777777" w:rsidR="008D310C" w:rsidRDefault="008D310C" w:rsidP="00AB71A5">
            <w:pPr>
              <w:keepNext/>
              <w:keepLines/>
              <w:spacing w:before="40" w:after="40"/>
              <w:jc w:val="right"/>
            </w:pPr>
            <w:r>
              <w:t>Total</w:t>
            </w:r>
          </w:p>
        </w:tc>
      </w:tr>
      <w:tr w:rsidR="008D310C" w14:paraId="0165A73D" w14:textId="77777777" w:rsidTr="008D310C">
        <w:trPr>
          <w:cantSplit/>
        </w:trPr>
        <w:tc>
          <w:tcPr>
            <w:tcW w:w="4168" w:type="dxa"/>
          </w:tcPr>
          <w:p w14:paraId="73E74D62" w14:textId="77777777" w:rsidR="008D310C" w:rsidRPr="005B4C1B" w:rsidRDefault="008D310C" w:rsidP="002B2D8B">
            <w:pPr>
              <w:keepNext/>
              <w:keepLines/>
              <w:spacing w:before="60" w:after="60"/>
              <w:jc w:val="left"/>
              <w:rPr>
                <w:b/>
              </w:rPr>
            </w:pPr>
            <w:r w:rsidRPr="005B4C1B">
              <w:rPr>
                <w:b/>
              </w:rPr>
              <w:t>Estimated total budget</w:t>
            </w:r>
          </w:p>
        </w:tc>
        <w:tc>
          <w:tcPr>
            <w:tcW w:w="969" w:type="dxa"/>
            <w:tcBorders>
              <w:top w:val="single" w:sz="4" w:space="0" w:color="000080"/>
            </w:tcBorders>
          </w:tcPr>
          <w:p w14:paraId="0B909A45" w14:textId="5B096626" w:rsidR="008D310C" w:rsidRPr="005B4C1B" w:rsidRDefault="008D310C" w:rsidP="008D310C">
            <w:pPr>
              <w:keepNext/>
              <w:keepLines/>
              <w:spacing w:before="40" w:after="40"/>
              <w:jc w:val="right"/>
              <w:rPr>
                <w:b/>
              </w:rPr>
            </w:pPr>
            <w:r>
              <w:rPr>
                <w:b/>
              </w:rPr>
              <w:t>75.0</w:t>
            </w:r>
          </w:p>
        </w:tc>
        <w:tc>
          <w:tcPr>
            <w:tcW w:w="874" w:type="dxa"/>
            <w:tcBorders>
              <w:top w:val="single" w:sz="4" w:space="0" w:color="000080"/>
            </w:tcBorders>
          </w:tcPr>
          <w:p w14:paraId="4DCD1FEB" w14:textId="16D42985" w:rsidR="008D310C" w:rsidRDefault="008D310C" w:rsidP="00AB71A5">
            <w:pPr>
              <w:keepNext/>
              <w:keepLines/>
              <w:spacing w:before="40" w:after="40"/>
              <w:jc w:val="right"/>
              <w:rPr>
                <w:b/>
              </w:rPr>
            </w:pPr>
            <w:r>
              <w:rPr>
                <w:b/>
              </w:rPr>
              <w:t>15.0</w:t>
            </w:r>
          </w:p>
        </w:tc>
        <w:tc>
          <w:tcPr>
            <w:tcW w:w="957" w:type="dxa"/>
            <w:tcBorders>
              <w:top w:val="single" w:sz="4" w:space="0" w:color="000080"/>
            </w:tcBorders>
          </w:tcPr>
          <w:p w14:paraId="457B11AC" w14:textId="7244A078" w:rsidR="008D310C" w:rsidRPr="005B4C1B" w:rsidRDefault="008D310C" w:rsidP="00AB71A5">
            <w:pPr>
              <w:keepNext/>
              <w:keepLines/>
              <w:spacing w:before="40" w:after="40"/>
              <w:jc w:val="right"/>
              <w:rPr>
                <w:b/>
              </w:rPr>
            </w:pPr>
            <w:r>
              <w:rPr>
                <w:b/>
              </w:rPr>
              <w:t>40.0</w:t>
            </w:r>
          </w:p>
        </w:tc>
        <w:tc>
          <w:tcPr>
            <w:tcW w:w="955" w:type="dxa"/>
            <w:tcBorders>
              <w:top w:val="single" w:sz="4" w:space="0" w:color="000080"/>
            </w:tcBorders>
          </w:tcPr>
          <w:p w14:paraId="1D61CDB3" w14:textId="77777777" w:rsidR="008D310C" w:rsidRPr="005B4C1B" w:rsidRDefault="008D310C" w:rsidP="00F34C91">
            <w:pPr>
              <w:keepNext/>
              <w:keepLines/>
              <w:spacing w:before="40" w:after="40"/>
              <w:jc w:val="right"/>
              <w:rPr>
                <w:b/>
              </w:rPr>
            </w:pPr>
            <w:r>
              <w:rPr>
                <w:b/>
              </w:rPr>
              <w:t>43.5</w:t>
            </w:r>
          </w:p>
        </w:tc>
        <w:tc>
          <w:tcPr>
            <w:tcW w:w="957" w:type="dxa"/>
            <w:tcBorders>
              <w:top w:val="single" w:sz="4" w:space="0" w:color="000080"/>
            </w:tcBorders>
          </w:tcPr>
          <w:p w14:paraId="4C1D1A2D" w14:textId="77777777" w:rsidR="008D310C" w:rsidRPr="005B4C1B" w:rsidRDefault="008D310C" w:rsidP="00AB71A5">
            <w:pPr>
              <w:keepNext/>
              <w:keepLines/>
              <w:spacing w:before="40" w:after="40"/>
              <w:jc w:val="right"/>
              <w:rPr>
                <w:b/>
              </w:rPr>
            </w:pPr>
            <w:r>
              <w:rPr>
                <w:b/>
              </w:rPr>
              <w:t>20.0</w:t>
            </w:r>
          </w:p>
        </w:tc>
        <w:tc>
          <w:tcPr>
            <w:tcW w:w="758" w:type="dxa"/>
            <w:tcBorders>
              <w:top w:val="single" w:sz="4" w:space="0" w:color="000080"/>
            </w:tcBorders>
          </w:tcPr>
          <w:p w14:paraId="13821B80" w14:textId="77777777" w:rsidR="008D310C" w:rsidRPr="005B4C1B" w:rsidRDefault="008D310C" w:rsidP="00F34C91">
            <w:pPr>
              <w:keepNext/>
              <w:keepLines/>
              <w:spacing w:before="40" w:after="40"/>
              <w:jc w:val="right"/>
              <w:rPr>
                <w:b/>
              </w:rPr>
            </w:pPr>
            <w:r>
              <w:rPr>
                <w:b/>
              </w:rPr>
              <w:t>193.5</w:t>
            </w:r>
          </w:p>
        </w:tc>
      </w:tr>
      <w:tr w:rsidR="008D310C" w14:paraId="7D065339" w14:textId="77777777" w:rsidTr="008D310C">
        <w:trPr>
          <w:cantSplit/>
        </w:trPr>
        <w:tc>
          <w:tcPr>
            <w:tcW w:w="4168" w:type="dxa"/>
            <w:shd w:val="clear" w:color="auto" w:fill="auto"/>
          </w:tcPr>
          <w:p w14:paraId="33CD894E" w14:textId="77777777" w:rsidR="008D310C" w:rsidRPr="00381169" w:rsidRDefault="008D310C" w:rsidP="002B2D8B">
            <w:pPr>
              <w:keepNext/>
              <w:keepLines/>
              <w:spacing w:before="60" w:after="60"/>
              <w:jc w:val="left"/>
            </w:pPr>
            <w:r>
              <w:t>Less estimated National Partnership Payments</w:t>
            </w:r>
          </w:p>
        </w:tc>
        <w:tc>
          <w:tcPr>
            <w:tcW w:w="969" w:type="dxa"/>
            <w:tcBorders>
              <w:bottom w:val="single" w:sz="4" w:space="0" w:color="auto"/>
            </w:tcBorders>
            <w:shd w:val="clear" w:color="auto" w:fill="auto"/>
          </w:tcPr>
          <w:p w14:paraId="6F194D60" w14:textId="12A09C32" w:rsidR="008D310C" w:rsidRPr="00381169" w:rsidRDefault="008D310C" w:rsidP="008D310C">
            <w:pPr>
              <w:keepNext/>
              <w:keepLines/>
              <w:spacing w:before="40" w:after="40"/>
              <w:jc w:val="right"/>
            </w:pPr>
            <w:r>
              <w:t>0.0</w:t>
            </w:r>
          </w:p>
        </w:tc>
        <w:tc>
          <w:tcPr>
            <w:tcW w:w="874" w:type="dxa"/>
            <w:tcBorders>
              <w:bottom w:val="single" w:sz="4" w:space="0" w:color="auto"/>
            </w:tcBorders>
          </w:tcPr>
          <w:p w14:paraId="43BF7BC6" w14:textId="5428CB83" w:rsidR="008D310C" w:rsidRDefault="008D310C" w:rsidP="00AB41BC">
            <w:pPr>
              <w:keepNext/>
              <w:keepLines/>
              <w:spacing w:before="40" w:after="40"/>
              <w:jc w:val="right"/>
            </w:pPr>
            <w:r>
              <w:t>15.0</w:t>
            </w:r>
          </w:p>
        </w:tc>
        <w:tc>
          <w:tcPr>
            <w:tcW w:w="957" w:type="dxa"/>
            <w:tcBorders>
              <w:bottom w:val="single" w:sz="4" w:space="0" w:color="auto"/>
            </w:tcBorders>
            <w:shd w:val="clear" w:color="auto" w:fill="auto"/>
          </w:tcPr>
          <w:p w14:paraId="38BA51A0" w14:textId="514E4BD1" w:rsidR="008D310C" w:rsidRPr="00381169" w:rsidRDefault="008D310C" w:rsidP="00AB41BC">
            <w:pPr>
              <w:keepNext/>
              <w:keepLines/>
              <w:spacing w:before="40" w:after="40"/>
              <w:jc w:val="right"/>
            </w:pPr>
            <w:r>
              <w:t>20.0</w:t>
            </w:r>
          </w:p>
        </w:tc>
        <w:tc>
          <w:tcPr>
            <w:tcW w:w="955" w:type="dxa"/>
            <w:tcBorders>
              <w:bottom w:val="single" w:sz="4" w:space="0" w:color="auto"/>
            </w:tcBorders>
            <w:shd w:val="clear" w:color="auto" w:fill="auto"/>
          </w:tcPr>
          <w:p w14:paraId="5EDA3F04" w14:textId="77777777" w:rsidR="008D310C" w:rsidRPr="00381169" w:rsidRDefault="008D310C" w:rsidP="003F77A6">
            <w:pPr>
              <w:keepNext/>
              <w:keepLines/>
              <w:spacing w:before="40" w:after="40"/>
              <w:jc w:val="right"/>
            </w:pPr>
            <w:r>
              <w:t>20.0</w:t>
            </w:r>
          </w:p>
        </w:tc>
        <w:tc>
          <w:tcPr>
            <w:tcW w:w="957" w:type="dxa"/>
            <w:tcBorders>
              <w:bottom w:val="single" w:sz="4" w:space="0" w:color="auto"/>
            </w:tcBorders>
            <w:shd w:val="clear" w:color="auto" w:fill="auto"/>
          </w:tcPr>
          <w:p w14:paraId="75B058C3" w14:textId="77777777" w:rsidR="008D310C" w:rsidRPr="00381169" w:rsidRDefault="008D310C" w:rsidP="00AB71A5">
            <w:pPr>
              <w:keepNext/>
              <w:keepLines/>
              <w:spacing w:before="40" w:after="40"/>
              <w:jc w:val="right"/>
            </w:pPr>
            <w:r>
              <w:t>20.0</w:t>
            </w:r>
          </w:p>
        </w:tc>
        <w:tc>
          <w:tcPr>
            <w:tcW w:w="758" w:type="dxa"/>
            <w:tcBorders>
              <w:bottom w:val="single" w:sz="4" w:space="0" w:color="auto"/>
            </w:tcBorders>
            <w:shd w:val="clear" w:color="auto" w:fill="auto"/>
          </w:tcPr>
          <w:p w14:paraId="094A28A7" w14:textId="77777777" w:rsidR="008D310C" w:rsidRPr="00381169" w:rsidRDefault="008D310C" w:rsidP="002B3915">
            <w:pPr>
              <w:keepNext/>
              <w:keepLines/>
              <w:spacing w:before="40" w:after="40"/>
              <w:jc w:val="right"/>
            </w:pPr>
            <w:r>
              <w:t>75.0</w:t>
            </w:r>
          </w:p>
        </w:tc>
      </w:tr>
      <w:tr w:rsidR="008D310C" w14:paraId="7AC06516" w14:textId="77777777" w:rsidTr="008D310C">
        <w:trPr>
          <w:cantSplit/>
        </w:trPr>
        <w:tc>
          <w:tcPr>
            <w:tcW w:w="4168" w:type="dxa"/>
          </w:tcPr>
          <w:p w14:paraId="76B3B9A0" w14:textId="77777777" w:rsidR="008D310C" w:rsidRPr="002B2D8B" w:rsidRDefault="008D310C" w:rsidP="002B2D8B">
            <w:pPr>
              <w:keepNext/>
              <w:keepLines/>
              <w:spacing w:before="40" w:after="40"/>
              <w:jc w:val="left"/>
              <w:rPr>
                <w:b/>
              </w:rPr>
            </w:pPr>
            <w:r w:rsidRPr="002B2D8B">
              <w:rPr>
                <w:b/>
              </w:rPr>
              <w:t>Balance of non-Commonwealth contributions</w:t>
            </w:r>
          </w:p>
        </w:tc>
        <w:tc>
          <w:tcPr>
            <w:tcW w:w="969" w:type="dxa"/>
          </w:tcPr>
          <w:p w14:paraId="67E51C25" w14:textId="77777777" w:rsidR="008D310C" w:rsidRPr="002B2D8B" w:rsidRDefault="008D310C" w:rsidP="00A46EB1">
            <w:pPr>
              <w:keepNext/>
              <w:keepLines/>
              <w:spacing w:before="40" w:after="40"/>
              <w:jc w:val="right"/>
              <w:rPr>
                <w:b/>
              </w:rPr>
            </w:pPr>
            <w:r w:rsidRPr="002B2D8B">
              <w:rPr>
                <w:b/>
              </w:rPr>
              <w:t>75.0</w:t>
            </w:r>
          </w:p>
        </w:tc>
        <w:tc>
          <w:tcPr>
            <w:tcW w:w="874" w:type="dxa"/>
          </w:tcPr>
          <w:p w14:paraId="1D9DF9F3" w14:textId="3859A771" w:rsidR="008D310C" w:rsidRPr="002B2D8B" w:rsidRDefault="008D310C" w:rsidP="00AB71A5">
            <w:pPr>
              <w:keepNext/>
              <w:keepLines/>
              <w:spacing w:before="40" w:after="40"/>
              <w:jc w:val="right"/>
              <w:rPr>
                <w:b/>
              </w:rPr>
            </w:pPr>
            <w:r>
              <w:rPr>
                <w:b/>
              </w:rPr>
              <w:t>0.0</w:t>
            </w:r>
          </w:p>
        </w:tc>
        <w:tc>
          <w:tcPr>
            <w:tcW w:w="957" w:type="dxa"/>
          </w:tcPr>
          <w:p w14:paraId="5B759C5E" w14:textId="23FC3585" w:rsidR="008D310C" w:rsidRPr="002B2D8B" w:rsidRDefault="008D310C" w:rsidP="00AB71A5">
            <w:pPr>
              <w:keepNext/>
              <w:keepLines/>
              <w:spacing w:before="40" w:after="40"/>
              <w:jc w:val="right"/>
              <w:rPr>
                <w:b/>
              </w:rPr>
            </w:pPr>
            <w:r w:rsidRPr="002B2D8B">
              <w:rPr>
                <w:b/>
              </w:rPr>
              <w:t>20.0</w:t>
            </w:r>
          </w:p>
        </w:tc>
        <w:tc>
          <w:tcPr>
            <w:tcW w:w="955" w:type="dxa"/>
          </w:tcPr>
          <w:p w14:paraId="49FCB5B0" w14:textId="77777777" w:rsidR="008D310C" w:rsidRPr="002B2D8B" w:rsidRDefault="008D310C" w:rsidP="00F34C91">
            <w:pPr>
              <w:keepNext/>
              <w:keepLines/>
              <w:spacing w:before="40" w:after="40"/>
              <w:jc w:val="right"/>
              <w:rPr>
                <w:b/>
              </w:rPr>
            </w:pPr>
            <w:r w:rsidRPr="002B2D8B">
              <w:rPr>
                <w:b/>
              </w:rPr>
              <w:t>23.</w:t>
            </w:r>
            <w:r>
              <w:rPr>
                <w:b/>
              </w:rPr>
              <w:t>5</w:t>
            </w:r>
          </w:p>
        </w:tc>
        <w:tc>
          <w:tcPr>
            <w:tcW w:w="957" w:type="dxa"/>
          </w:tcPr>
          <w:p w14:paraId="7ED2FE38" w14:textId="77777777" w:rsidR="008D310C" w:rsidRPr="002B2D8B" w:rsidRDefault="008D310C" w:rsidP="00AB71A5">
            <w:pPr>
              <w:keepNext/>
              <w:keepLines/>
              <w:spacing w:before="40" w:after="40"/>
              <w:jc w:val="right"/>
              <w:rPr>
                <w:b/>
              </w:rPr>
            </w:pPr>
            <w:r w:rsidRPr="002B2D8B">
              <w:rPr>
                <w:b/>
              </w:rPr>
              <w:t>0.0</w:t>
            </w:r>
          </w:p>
        </w:tc>
        <w:tc>
          <w:tcPr>
            <w:tcW w:w="758" w:type="dxa"/>
          </w:tcPr>
          <w:p w14:paraId="7F6FB003" w14:textId="77777777" w:rsidR="008D310C" w:rsidRPr="002B2D8B" w:rsidRDefault="008D310C" w:rsidP="00F34C91">
            <w:pPr>
              <w:keepNext/>
              <w:keepLines/>
              <w:spacing w:before="40" w:after="40"/>
              <w:jc w:val="right"/>
              <w:rPr>
                <w:b/>
              </w:rPr>
            </w:pPr>
            <w:r w:rsidRPr="002B2D8B">
              <w:rPr>
                <w:b/>
              </w:rPr>
              <w:t>118.</w:t>
            </w:r>
            <w:r>
              <w:rPr>
                <w:b/>
              </w:rPr>
              <w:t>5</w:t>
            </w:r>
          </w:p>
        </w:tc>
      </w:tr>
      <w:tr w:rsidR="008D310C" w14:paraId="3FCFB0C6" w14:textId="77777777" w:rsidTr="008D310C">
        <w:trPr>
          <w:cantSplit/>
        </w:trPr>
        <w:tc>
          <w:tcPr>
            <w:tcW w:w="4168" w:type="dxa"/>
          </w:tcPr>
          <w:p w14:paraId="41F302E4" w14:textId="77777777" w:rsidR="008D310C" w:rsidRPr="006146F2" w:rsidRDefault="008D310C" w:rsidP="002B2D8B">
            <w:pPr>
              <w:keepNext/>
              <w:keepLines/>
              <w:spacing w:before="40" w:after="40"/>
              <w:ind w:left="720"/>
              <w:jc w:val="left"/>
            </w:pPr>
            <w:r>
              <w:t>Estimated Queensland Contribution</w:t>
            </w:r>
          </w:p>
        </w:tc>
        <w:tc>
          <w:tcPr>
            <w:tcW w:w="969" w:type="dxa"/>
          </w:tcPr>
          <w:p w14:paraId="22C2AF16" w14:textId="77777777" w:rsidR="008D310C" w:rsidRDefault="008D310C" w:rsidP="00991980">
            <w:pPr>
              <w:keepNext/>
              <w:keepLines/>
              <w:spacing w:before="40" w:after="40"/>
              <w:jc w:val="right"/>
            </w:pPr>
            <w:r>
              <w:t>75.0</w:t>
            </w:r>
          </w:p>
        </w:tc>
        <w:tc>
          <w:tcPr>
            <w:tcW w:w="874" w:type="dxa"/>
          </w:tcPr>
          <w:p w14:paraId="6EAE4D79" w14:textId="7AEB0A6D" w:rsidR="008D310C" w:rsidRDefault="008D310C" w:rsidP="00991980">
            <w:pPr>
              <w:keepNext/>
              <w:keepLines/>
              <w:spacing w:before="40" w:after="40"/>
              <w:jc w:val="right"/>
            </w:pPr>
            <w:r>
              <w:t>0.0</w:t>
            </w:r>
          </w:p>
        </w:tc>
        <w:tc>
          <w:tcPr>
            <w:tcW w:w="957" w:type="dxa"/>
          </w:tcPr>
          <w:p w14:paraId="21C392B2" w14:textId="508A8F75" w:rsidR="008D310C" w:rsidRDefault="008D310C" w:rsidP="00991980">
            <w:pPr>
              <w:keepNext/>
              <w:keepLines/>
              <w:spacing w:before="40" w:after="40"/>
              <w:jc w:val="right"/>
            </w:pPr>
            <w:r>
              <w:t>0.0</w:t>
            </w:r>
          </w:p>
        </w:tc>
        <w:tc>
          <w:tcPr>
            <w:tcW w:w="955" w:type="dxa"/>
          </w:tcPr>
          <w:p w14:paraId="66DF76E0" w14:textId="77777777" w:rsidR="008D310C" w:rsidRDefault="008D310C" w:rsidP="00991980">
            <w:pPr>
              <w:keepNext/>
              <w:keepLines/>
              <w:spacing w:before="40" w:after="40"/>
              <w:jc w:val="right"/>
            </w:pPr>
            <w:r>
              <w:t>0.0</w:t>
            </w:r>
          </w:p>
        </w:tc>
        <w:tc>
          <w:tcPr>
            <w:tcW w:w="957" w:type="dxa"/>
          </w:tcPr>
          <w:p w14:paraId="25E062C4" w14:textId="77777777" w:rsidR="008D310C" w:rsidRDefault="008D310C" w:rsidP="00991980">
            <w:pPr>
              <w:keepNext/>
              <w:keepLines/>
              <w:spacing w:before="40" w:after="40"/>
              <w:jc w:val="right"/>
            </w:pPr>
            <w:r>
              <w:t>0.0</w:t>
            </w:r>
          </w:p>
        </w:tc>
        <w:tc>
          <w:tcPr>
            <w:tcW w:w="758" w:type="dxa"/>
          </w:tcPr>
          <w:p w14:paraId="2C39C88E" w14:textId="77777777" w:rsidR="008D310C" w:rsidRDefault="008D310C" w:rsidP="00991980">
            <w:pPr>
              <w:keepNext/>
              <w:keepLines/>
              <w:spacing w:before="40" w:after="40"/>
              <w:jc w:val="right"/>
            </w:pPr>
            <w:r>
              <w:t>75.0</w:t>
            </w:r>
          </w:p>
        </w:tc>
      </w:tr>
      <w:tr w:rsidR="008D310C" w14:paraId="697F1AA5" w14:textId="77777777" w:rsidTr="008D310C">
        <w:trPr>
          <w:cantSplit/>
        </w:trPr>
        <w:tc>
          <w:tcPr>
            <w:tcW w:w="4168" w:type="dxa"/>
            <w:tcBorders>
              <w:bottom w:val="single" w:sz="4" w:space="0" w:color="000080"/>
            </w:tcBorders>
          </w:tcPr>
          <w:p w14:paraId="1DBD76D2" w14:textId="77777777" w:rsidR="008D310C" w:rsidRDefault="008D310C" w:rsidP="002B2D8B">
            <w:pPr>
              <w:keepNext/>
              <w:keepLines/>
              <w:spacing w:before="40" w:after="40"/>
              <w:ind w:left="720"/>
              <w:jc w:val="left"/>
            </w:pPr>
            <w:r w:rsidRPr="002070E7">
              <w:rPr>
                <w:color w:val="auto"/>
              </w:rPr>
              <w:t>Port of Townsville Limited</w:t>
            </w:r>
          </w:p>
        </w:tc>
        <w:tc>
          <w:tcPr>
            <w:tcW w:w="969" w:type="dxa"/>
            <w:tcBorders>
              <w:bottom w:val="single" w:sz="4" w:space="0" w:color="000080"/>
            </w:tcBorders>
          </w:tcPr>
          <w:p w14:paraId="0884166E" w14:textId="77777777" w:rsidR="008D310C" w:rsidRDefault="008D310C" w:rsidP="00991980">
            <w:pPr>
              <w:keepNext/>
              <w:keepLines/>
              <w:spacing w:before="40" w:after="40"/>
              <w:jc w:val="right"/>
            </w:pPr>
            <w:r>
              <w:rPr>
                <w:color w:val="auto"/>
              </w:rPr>
              <w:t>0.0</w:t>
            </w:r>
          </w:p>
        </w:tc>
        <w:tc>
          <w:tcPr>
            <w:tcW w:w="874" w:type="dxa"/>
            <w:tcBorders>
              <w:bottom w:val="single" w:sz="4" w:space="0" w:color="000080"/>
            </w:tcBorders>
          </w:tcPr>
          <w:p w14:paraId="1B7E1887" w14:textId="0CE5F134" w:rsidR="008D310C" w:rsidRPr="002070E7" w:rsidRDefault="008D310C" w:rsidP="00991980">
            <w:pPr>
              <w:keepNext/>
              <w:keepLines/>
              <w:spacing w:before="40" w:after="40"/>
              <w:jc w:val="right"/>
              <w:rPr>
                <w:color w:val="auto"/>
              </w:rPr>
            </w:pPr>
            <w:r>
              <w:rPr>
                <w:color w:val="auto"/>
              </w:rPr>
              <w:t>0.0</w:t>
            </w:r>
          </w:p>
        </w:tc>
        <w:tc>
          <w:tcPr>
            <w:tcW w:w="957" w:type="dxa"/>
            <w:tcBorders>
              <w:bottom w:val="single" w:sz="4" w:space="0" w:color="000080"/>
            </w:tcBorders>
          </w:tcPr>
          <w:p w14:paraId="4E5D4005" w14:textId="2FDF1039" w:rsidR="008D310C" w:rsidRDefault="008D310C" w:rsidP="00991980">
            <w:pPr>
              <w:keepNext/>
              <w:keepLines/>
              <w:spacing w:before="40" w:after="40"/>
              <w:jc w:val="right"/>
            </w:pPr>
            <w:r w:rsidRPr="002070E7">
              <w:rPr>
                <w:color w:val="auto"/>
              </w:rPr>
              <w:t>20.0</w:t>
            </w:r>
          </w:p>
        </w:tc>
        <w:tc>
          <w:tcPr>
            <w:tcW w:w="955" w:type="dxa"/>
            <w:tcBorders>
              <w:bottom w:val="single" w:sz="4" w:space="0" w:color="000080"/>
            </w:tcBorders>
          </w:tcPr>
          <w:p w14:paraId="6A6DD349" w14:textId="77777777" w:rsidR="008D310C" w:rsidRDefault="008D310C" w:rsidP="00F34C91">
            <w:pPr>
              <w:keepNext/>
              <w:keepLines/>
              <w:spacing w:before="40" w:after="40"/>
              <w:jc w:val="right"/>
            </w:pPr>
            <w:r w:rsidRPr="002070E7">
              <w:rPr>
                <w:color w:val="auto"/>
              </w:rPr>
              <w:t>23.</w:t>
            </w:r>
            <w:r>
              <w:rPr>
                <w:color w:val="auto"/>
              </w:rPr>
              <w:t>5</w:t>
            </w:r>
          </w:p>
        </w:tc>
        <w:tc>
          <w:tcPr>
            <w:tcW w:w="957" w:type="dxa"/>
            <w:tcBorders>
              <w:bottom w:val="single" w:sz="4" w:space="0" w:color="000080"/>
            </w:tcBorders>
          </w:tcPr>
          <w:p w14:paraId="124F7EB3" w14:textId="77777777" w:rsidR="008D310C" w:rsidRDefault="008D310C" w:rsidP="00991980">
            <w:pPr>
              <w:keepNext/>
              <w:keepLines/>
              <w:spacing w:before="40" w:after="40"/>
              <w:jc w:val="right"/>
            </w:pPr>
            <w:r>
              <w:rPr>
                <w:color w:val="auto"/>
              </w:rPr>
              <w:t>0.0</w:t>
            </w:r>
          </w:p>
        </w:tc>
        <w:tc>
          <w:tcPr>
            <w:tcW w:w="758" w:type="dxa"/>
            <w:tcBorders>
              <w:bottom w:val="single" w:sz="4" w:space="0" w:color="000080"/>
            </w:tcBorders>
          </w:tcPr>
          <w:p w14:paraId="0EBC5114" w14:textId="77777777" w:rsidR="008D310C" w:rsidRDefault="008D310C" w:rsidP="00F34C91">
            <w:pPr>
              <w:keepNext/>
              <w:keepLines/>
              <w:spacing w:before="40" w:after="40"/>
              <w:jc w:val="right"/>
            </w:pPr>
            <w:r w:rsidRPr="002070E7">
              <w:rPr>
                <w:color w:val="auto"/>
              </w:rPr>
              <w:t>43.</w:t>
            </w:r>
            <w:r>
              <w:rPr>
                <w:color w:val="auto"/>
              </w:rPr>
              <w:t>5</w:t>
            </w:r>
          </w:p>
        </w:tc>
      </w:tr>
    </w:tbl>
    <w:p w14:paraId="4C2E167D" w14:textId="77777777" w:rsidR="004B7CAB" w:rsidRDefault="004B7CAB" w:rsidP="004B7CAB">
      <w:pPr>
        <w:pStyle w:val="Normalnumbered"/>
        <w:numPr>
          <w:ilvl w:val="0"/>
          <w:numId w:val="0"/>
        </w:numPr>
      </w:pPr>
    </w:p>
    <w:p w14:paraId="1F219E7E" w14:textId="05EC7895" w:rsidR="008E7527" w:rsidRPr="00180560" w:rsidRDefault="00F76CBF" w:rsidP="002070E7">
      <w:pPr>
        <w:pStyle w:val="Normalnumbered"/>
        <w:numPr>
          <w:ilvl w:val="0"/>
          <w:numId w:val="23"/>
        </w:numPr>
        <w:spacing w:line="240" w:lineRule="auto"/>
        <w:rPr>
          <w:szCs w:val="23"/>
        </w:rPr>
      </w:pPr>
      <w:r>
        <w:rPr>
          <w:szCs w:val="23"/>
        </w:rPr>
        <w:t xml:space="preserve">Having regard to the agreed estimated costs of projects specified in </w:t>
      </w:r>
      <w:r w:rsidR="00236E91">
        <w:rPr>
          <w:szCs w:val="23"/>
        </w:rPr>
        <w:t xml:space="preserve">in this Agreement, </w:t>
      </w:r>
      <w:r w:rsidR="004B7CAB" w:rsidRPr="004547B2">
        <w:rPr>
          <w:szCs w:val="23"/>
        </w:rPr>
        <w:t>Queensland</w:t>
      </w:r>
      <w:r w:rsidR="004B7CAB" w:rsidRPr="00180560">
        <w:rPr>
          <w:szCs w:val="23"/>
        </w:rPr>
        <w:t xml:space="preserve"> </w:t>
      </w:r>
      <w:r w:rsidR="008E7527" w:rsidRPr="002070E7">
        <w:rPr>
          <w:szCs w:val="23"/>
        </w:rPr>
        <w:t>will not be required to pay a refund to the Commonwealth if the actual cost of the project is less than the agreed</w:t>
      </w:r>
      <w:r w:rsidR="00515AF2" w:rsidRPr="002070E7">
        <w:rPr>
          <w:szCs w:val="23"/>
        </w:rPr>
        <w:t xml:space="preserve"> estimated cost of the project. </w:t>
      </w:r>
      <w:r w:rsidR="008E7527" w:rsidRPr="002070E7">
        <w:rPr>
          <w:szCs w:val="23"/>
        </w:rPr>
        <w:t xml:space="preserve">Similarly, </w:t>
      </w:r>
      <w:r w:rsidR="00C84E10">
        <w:rPr>
          <w:szCs w:val="23"/>
        </w:rPr>
        <w:t>Queensland</w:t>
      </w:r>
      <w:r w:rsidR="008E7527" w:rsidRPr="00180560">
        <w:rPr>
          <w:szCs w:val="23"/>
        </w:rPr>
        <w:t xml:space="preserve"> bear</w:t>
      </w:r>
      <w:r w:rsidR="00C84E10">
        <w:rPr>
          <w:szCs w:val="23"/>
        </w:rPr>
        <w:t>s</w:t>
      </w:r>
      <w:r w:rsidR="008E7527" w:rsidRPr="00180560">
        <w:rPr>
          <w:szCs w:val="23"/>
        </w:rPr>
        <w:t xml:space="preserve"> all risk should the costs of </w:t>
      </w:r>
      <w:r w:rsidR="00C84E10">
        <w:rPr>
          <w:szCs w:val="23"/>
        </w:rPr>
        <w:t>the</w:t>
      </w:r>
      <w:r w:rsidR="00C84E10" w:rsidRPr="00180560">
        <w:rPr>
          <w:szCs w:val="23"/>
        </w:rPr>
        <w:t xml:space="preserve"> </w:t>
      </w:r>
      <w:r w:rsidR="008E7527" w:rsidRPr="00180560">
        <w:rPr>
          <w:szCs w:val="23"/>
        </w:rPr>
        <w:t>project exceed the agreed estimated costs. The Parties acknowledge that thi</w:t>
      </w:r>
      <w:r w:rsidR="008E7527" w:rsidRPr="002070E7">
        <w:rPr>
          <w:szCs w:val="23"/>
        </w:rPr>
        <w:t xml:space="preserve">s arrangement provides the maximum incentive for </w:t>
      </w:r>
      <w:r w:rsidR="00C84E10">
        <w:rPr>
          <w:szCs w:val="23"/>
        </w:rPr>
        <w:t>Queensland</w:t>
      </w:r>
      <w:r w:rsidR="008E7527" w:rsidRPr="00180560">
        <w:rPr>
          <w:szCs w:val="23"/>
        </w:rPr>
        <w:t xml:space="preserve"> to deliver projects cost effectively and efficiently.</w:t>
      </w:r>
    </w:p>
    <w:p w14:paraId="67C9FC85" w14:textId="6141657C" w:rsidR="00814667" w:rsidRDefault="003A2157" w:rsidP="008D310C">
      <w:pPr>
        <w:pStyle w:val="Heading1"/>
        <w:tabs>
          <w:tab w:val="left" w:pos="6662"/>
        </w:tabs>
      </w:pPr>
      <w:bookmarkStart w:id="2" w:name="top"/>
      <w:bookmarkEnd w:id="2"/>
      <w:r>
        <w:lastRenderedPageBreak/>
        <w:t xml:space="preserve">Part </w:t>
      </w:r>
      <w:r w:rsidR="000B4080">
        <w:t>6</w:t>
      </w:r>
      <w:r w:rsidR="00814667">
        <w:t xml:space="preserve"> — governance arrangements</w:t>
      </w:r>
      <w:r w:rsidR="00236E91">
        <w:tab/>
      </w:r>
    </w:p>
    <w:p w14:paraId="4AE975B9" w14:textId="77777777" w:rsidR="00BC4728" w:rsidRDefault="00BC4728" w:rsidP="00BC4728">
      <w:pPr>
        <w:pStyle w:val="Heading2"/>
      </w:pPr>
      <w:r w:rsidRPr="006F096A">
        <w:t>Enforceability of the Agreement</w:t>
      </w:r>
    </w:p>
    <w:p w14:paraId="79561A43" w14:textId="77777777" w:rsidR="00BC4728" w:rsidRPr="00C40EBC" w:rsidRDefault="00BC4728" w:rsidP="00B619AA">
      <w:pPr>
        <w:pStyle w:val="Normalnumbered"/>
        <w:numPr>
          <w:ilvl w:val="0"/>
          <w:numId w:val="23"/>
        </w:numPr>
        <w:spacing w:line="240" w:lineRule="auto"/>
      </w:pPr>
      <w:r>
        <w:rPr>
          <w:szCs w:val="23"/>
        </w:rPr>
        <w:t>The Parties do not intend any of the provisions of this Agreement to be legally enforceable. However, that does not lessen the Parties’ commitment to this Agreement.</w:t>
      </w:r>
    </w:p>
    <w:p w14:paraId="773A774B" w14:textId="77777777" w:rsidR="00814667" w:rsidRDefault="00814667">
      <w:pPr>
        <w:pStyle w:val="Heading2"/>
      </w:pPr>
      <w:r>
        <w:t>Variation of the Agreement</w:t>
      </w:r>
    </w:p>
    <w:p w14:paraId="18FF7B4C" w14:textId="77777777" w:rsidR="00292587" w:rsidRDefault="00607B03" w:rsidP="004B7CAB">
      <w:pPr>
        <w:pStyle w:val="Normalnumbered"/>
        <w:numPr>
          <w:ilvl w:val="0"/>
          <w:numId w:val="23"/>
        </w:numPr>
      </w:pPr>
      <w:r>
        <w:t>The A</w:t>
      </w:r>
      <w:r w:rsidR="00814667">
        <w:t xml:space="preserve">greement may be amended at any time by agreement in writing by </w:t>
      </w:r>
      <w:r w:rsidR="004B7CAB">
        <w:t>both</w:t>
      </w:r>
      <w:r w:rsidR="002B1C50" w:rsidRPr="00DE36EB">
        <w:t xml:space="preserve"> </w:t>
      </w:r>
      <w:r w:rsidR="00814667" w:rsidRPr="00DE36EB">
        <w:t>the Parties.</w:t>
      </w:r>
    </w:p>
    <w:p w14:paraId="1C29E09D" w14:textId="77777777" w:rsidR="009526E4" w:rsidRDefault="009526E4" w:rsidP="0036119D">
      <w:pPr>
        <w:pStyle w:val="Heading2"/>
      </w:pPr>
      <w:r>
        <w:t>Delegations</w:t>
      </w:r>
    </w:p>
    <w:p w14:paraId="0D9A9DE3" w14:textId="77777777" w:rsidR="009526E4" w:rsidRDefault="009526E4" w:rsidP="00244500">
      <w:pPr>
        <w:pStyle w:val="Normalnumbered"/>
        <w:numPr>
          <w:ilvl w:val="0"/>
          <w:numId w:val="23"/>
        </w:numPr>
      </w:pPr>
      <w:r>
        <w:t xml:space="preserve">The </w:t>
      </w:r>
      <w:r w:rsidR="00C84E10">
        <w:t xml:space="preserve">relevant </w:t>
      </w:r>
      <w:r>
        <w:t xml:space="preserve">Commonwealth Minister may delegate the assessment of performance </w:t>
      </w:r>
      <w:r w:rsidR="00115A97">
        <w:t>against</w:t>
      </w:r>
      <w:r>
        <w:t xml:space="preserve"> milestones and the authorisation of related project payments to senior Commonwealth officials, having regard to the financial and policy risks associated with those payments.</w:t>
      </w:r>
    </w:p>
    <w:p w14:paraId="7FA7BF70" w14:textId="77777777" w:rsidR="0036119D" w:rsidRPr="00DE36EB" w:rsidRDefault="0036119D" w:rsidP="004B7CAB">
      <w:pPr>
        <w:pStyle w:val="Heading2"/>
      </w:pPr>
      <w:r>
        <w:t>Dispute resolution</w:t>
      </w:r>
    </w:p>
    <w:p w14:paraId="616831CF" w14:textId="77777777" w:rsidR="0036119D" w:rsidRPr="00DE36EB" w:rsidRDefault="00697494" w:rsidP="00244500">
      <w:pPr>
        <w:pStyle w:val="Normalnumbered"/>
        <w:numPr>
          <w:ilvl w:val="0"/>
          <w:numId w:val="23"/>
        </w:numPr>
      </w:pPr>
      <w:r w:rsidRPr="00DE36EB">
        <w:t>E</w:t>
      </w:r>
      <w:r w:rsidR="002B1C50" w:rsidRPr="00DE36EB">
        <w:t xml:space="preserve">ither </w:t>
      </w:r>
      <w:r w:rsidR="0036119D" w:rsidRPr="00DE36EB">
        <w:t xml:space="preserve">Party may give notice to other </w:t>
      </w:r>
      <w:r w:rsidR="00684EC1" w:rsidRPr="00DE36EB">
        <w:t xml:space="preserve">Party </w:t>
      </w:r>
      <w:r w:rsidR="0036119D" w:rsidRPr="00DE36EB">
        <w:t>of a dispute under this Agreement.</w:t>
      </w:r>
    </w:p>
    <w:p w14:paraId="754BB16E" w14:textId="77777777" w:rsidR="0036119D" w:rsidRPr="00DE36EB" w:rsidRDefault="0036119D" w:rsidP="00244500">
      <w:pPr>
        <w:pStyle w:val="Normalnumbered"/>
        <w:numPr>
          <w:ilvl w:val="0"/>
          <w:numId w:val="23"/>
        </w:numPr>
      </w:pPr>
      <w:r w:rsidRPr="00DE36EB">
        <w:t xml:space="preserve">Officials of </w:t>
      </w:r>
      <w:r w:rsidR="002B1C50" w:rsidRPr="00DE36EB">
        <w:t>both</w:t>
      </w:r>
      <w:r w:rsidR="002B1C50" w:rsidRPr="00DE36EB">
        <w:rPr>
          <w:i/>
        </w:rPr>
        <w:t xml:space="preserve"> </w:t>
      </w:r>
      <w:r w:rsidRPr="00DE36EB">
        <w:t>Parties will attempt to resolve any dispute in the first instance.</w:t>
      </w:r>
    </w:p>
    <w:p w14:paraId="73E2C3FE" w14:textId="77777777" w:rsidR="0036119D" w:rsidRPr="00DE36EB" w:rsidRDefault="0036119D" w:rsidP="00244500">
      <w:pPr>
        <w:pStyle w:val="Normalnumbered"/>
        <w:numPr>
          <w:ilvl w:val="0"/>
          <w:numId w:val="23"/>
        </w:numPr>
      </w:pPr>
      <w:r w:rsidRPr="00DE36EB">
        <w:t>If a dispute cannot be resolved by officials, it may be escalated to the relevant Ministers.</w:t>
      </w:r>
    </w:p>
    <w:p w14:paraId="5D85CB00" w14:textId="77777777" w:rsidR="0036119D" w:rsidRDefault="0036119D" w:rsidP="000614F9">
      <w:pPr>
        <w:pStyle w:val="Normalnumbered"/>
        <w:numPr>
          <w:ilvl w:val="0"/>
          <w:numId w:val="0"/>
        </w:numPr>
        <w:jc w:val="left"/>
        <w:sectPr w:rsidR="0036119D" w:rsidSect="00CB6703">
          <w:headerReference w:type="even" r:id="rId14"/>
          <w:headerReference w:type="default" r:id="rId15"/>
          <w:footerReference w:type="even" r:id="rId16"/>
          <w:footerReference w:type="default" r:id="rId17"/>
          <w:footerReference w:type="first" r:id="rId18"/>
          <w:pgSz w:w="11906" w:h="16838" w:code="9"/>
          <w:pgMar w:top="1134" w:right="1134" w:bottom="1134" w:left="1134" w:header="709" w:footer="709" w:gutter="0"/>
          <w:cols w:space="708"/>
          <w:titlePg/>
          <w:docGrid w:linePitch="360"/>
        </w:sectPr>
      </w:pPr>
    </w:p>
    <w:p w14:paraId="70C9B635" w14:textId="26DABACB" w:rsidR="00814667" w:rsidRDefault="00814667">
      <w:pPr>
        <w:rPr>
          <w:lang w:val="en-GB"/>
        </w:rPr>
      </w:pPr>
      <w:r w:rsidRPr="00A50751">
        <w:rPr>
          <w:lang w:val="en-GB"/>
        </w:rPr>
        <w:lastRenderedPageBreak/>
        <w:t xml:space="preserve">The </w:t>
      </w:r>
      <w:r w:rsidRPr="00C57BB9">
        <w:rPr>
          <w:sz w:val="24"/>
          <w:szCs w:val="24"/>
        </w:rPr>
        <w:t>Parties</w:t>
      </w:r>
      <w:r w:rsidRPr="00A50751">
        <w:rPr>
          <w:lang w:val="en-GB"/>
        </w:rPr>
        <w:t xml:space="preserve"> have confirmed their commitment to this </w:t>
      </w:r>
      <w:r w:rsidR="00FD1E85">
        <w:rPr>
          <w:lang w:val="en-GB"/>
        </w:rPr>
        <w:t>A</w:t>
      </w:r>
      <w:r w:rsidRPr="00A50751">
        <w:rPr>
          <w:lang w:val="en-GB"/>
        </w:rPr>
        <w:t>greement as follows:</w:t>
      </w:r>
    </w:p>
    <w:p w14:paraId="05600F16" w14:textId="77777777" w:rsidR="00C84E10" w:rsidRPr="00A50751" w:rsidRDefault="00C84E10">
      <w:pPr>
        <w:rPr>
          <w:lang w:val="en-GB"/>
        </w:rPr>
      </w:pPr>
    </w:p>
    <w:tbl>
      <w:tblPr>
        <w:tblW w:w="0" w:type="auto"/>
        <w:jc w:val="center"/>
        <w:tblLayout w:type="fixed"/>
        <w:tblLook w:val="01E0" w:firstRow="1" w:lastRow="1" w:firstColumn="1" w:lastColumn="1" w:noHBand="0" w:noVBand="0"/>
      </w:tblPr>
      <w:tblGrid>
        <w:gridCol w:w="4536"/>
        <w:gridCol w:w="284"/>
        <w:gridCol w:w="4536"/>
      </w:tblGrid>
      <w:tr w:rsidR="003C364B" w:rsidRPr="00A50751" w14:paraId="41EC0E4C" w14:textId="77777777">
        <w:trPr>
          <w:cantSplit/>
          <w:jc w:val="center"/>
        </w:trPr>
        <w:tc>
          <w:tcPr>
            <w:tcW w:w="4536" w:type="dxa"/>
          </w:tcPr>
          <w:p w14:paraId="512F6DF9" w14:textId="77777777" w:rsidR="003C364B" w:rsidRPr="004A0AE7" w:rsidRDefault="003C364B" w:rsidP="003C364B">
            <w:pPr>
              <w:pStyle w:val="Signed"/>
            </w:pPr>
            <w:r>
              <w:rPr>
                <w:rStyle w:val="SignedBold"/>
              </w:rPr>
              <w:t>Signed</w:t>
            </w:r>
            <w:r w:rsidRPr="004A0AE7">
              <w:t xml:space="preserve"> for and on behalf of the</w:t>
            </w:r>
            <w:r>
              <w:t xml:space="preserve"> </w:t>
            </w:r>
            <w:r w:rsidRPr="004A0AE7">
              <w:t xml:space="preserve">Commonwealth of </w:t>
            </w:r>
            <w:smartTag w:uri="urn:schemas-microsoft-com:office:smarttags" w:element="country-region">
              <w:smartTag w:uri="urn:schemas-microsoft-com:office:smarttags" w:element="place">
                <w:r w:rsidRPr="004A0AE7">
                  <w:t>Australia</w:t>
                </w:r>
              </w:smartTag>
            </w:smartTag>
            <w:r w:rsidRPr="004A0AE7">
              <w:t xml:space="preserve"> by</w:t>
            </w:r>
          </w:p>
          <w:p w14:paraId="239ABF07" w14:textId="77777777" w:rsidR="003C364B" w:rsidRPr="00A50751" w:rsidRDefault="003C364B" w:rsidP="003C364B">
            <w:pPr>
              <w:pStyle w:val="LineForSignature"/>
            </w:pPr>
            <w:r>
              <w:tab/>
            </w:r>
          </w:p>
          <w:p w14:paraId="029F33A8" w14:textId="77777777" w:rsidR="003C364B" w:rsidRDefault="003C364B" w:rsidP="003C364B">
            <w:pPr>
              <w:pStyle w:val="SingleParagraph"/>
              <w:rPr>
                <w:rStyle w:val="Bold"/>
              </w:rPr>
            </w:pPr>
            <w:r>
              <w:rPr>
                <w:rStyle w:val="Bold"/>
              </w:rPr>
              <w:t xml:space="preserve">The Honourable </w:t>
            </w:r>
            <w:r w:rsidR="00C84E10">
              <w:rPr>
                <w:rStyle w:val="Bold"/>
              </w:rPr>
              <w:t>Alan Tudge</w:t>
            </w:r>
            <w:r>
              <w:rPr>
                <w:rStyle w:val="Bold"/>
              </w:rPr>
              <w:t xml:space="preserve"> MP</w:t>
            </w:r>
          </w:p>
          <w:p w14:paraId="308D6BC7" w14:textId="75143F0E" w:rsidR="003C364B" w:rsidRDefault="003C364B" w:rsidP="003C364B">
            <w:pPr>
              <w:pStyle w:val="Position"/>
              <w:rPr>
                <w:lang w:val="en-GB"/>
              </w:rPr>
            </w:pPr>
            <w:r>
              <w:rPr>
                <w:lang w:val="en-GB"/>
              </w:rPr>
              <w:t xml:space="preserve">Minister for </w:t>
            </w:r>
            <w:r w:rsidR="003A0C5F">
              <w:rPr>
                <w:lang w:val="en-GB"/>
              </w:rPr>
              <w:t xml:space="preserve">Population, </w:t>
            </w:r>
            <w:r w:rsidR="00C84E10">
              <w:rPr>
                <w:lang w:val="en-GB"/>
              </w:rPr>
              <w:t>Cities</w:t>
            </w:r>
            <w:r w:rsidR="003A0C5F">
              <w:rPr>
                <w:lang w:val="en-GB"/>
              </w:rPr>
              <w:t xml:space="preserve"> and Urban Infrastructure</w:t>
            </w:r>
          </w:p>
          <w:p w14:paraId="24C3F1E0" w14:textId="2953F17D" w:rsidR="00927DA7" w:rsidRDefault="00927DA7" w:rsidP="003C364B">
            <w:pPr>
              <w:pStyle w:val="Position"/>
              <w:rPr>
                <w:lang w:val="en-GB"/>
              </w:rPr>
            </w:pPr>
          </w:p>
          <w:p w14:paraId="1463FE5D" w14:textId="77777777" w:rsidR="00927DA7" w:rsidRDefault="00927DA7" w:rsidP="003C364B">
            <w:pPr>
              <w:pStyle w:val="Position"/>
              <w:rPr>
                <w:lang w:val="en-GB"/>
              </w:rPr>
            </w:pPr>
          </w:p>
          <w:p w14:paraId="3C6C9088" w14:textId="77777777" w:rsidR="003C364B" w:rsidRDefault="003C364B" w:rsidP="003C364B">
            <w:pPr>
              <w:pStyle w:val="SingleParagraph"/>
              <w:tabs>
                <w:tab w:val="num" w:pos="1134"/>
              </w:tabs>
              <w:spacing w:after="240"/>
              <w:ind w:left="1134" w:hanging="567"/>
              <w:rPr>
                <w:b/>
                <w:lang w:val="en-GB"/>
              </w:rPr>
            </w:pPr>
            <w:r>
              <w:rPr>
                <w:lang w:val="en-GB"/>
              </w:rPr>
              <w:t>[Day]  [Month]  [Year]</w:t>
            </w:r>
          </w:p>
        </w:tc>
        <w:tc>
          <w:tcPr>
            <w:tcW w:w="284" w:type="dxa"/>
            <w:tcMar>
              <w:left w:w="0" w:type="dxa"/>
              <w:right w:w="0" w:type="dxa"/>
            </w:tcMar>
          </w:tcPr>
          <w:p w14:paraId="2BF176B7" w14:textId="77777777" w:rsidR="003C364B" w:rsidRPr="00A50751" w:rsidRDefault="003C364B" w:rsidP="003C364B">
            <w:pPr>
              <w:rPr>
                <w:rFonts w:ascii="Book Antiqua" w:hAnsi="Book Antiqua"/>
                <w:lang w:val="en-GB"/>
              </w:rPr>
            </w:pPr>
          </w:p>
        </w:tc>
        <w:tc>
          <w:tcPr>
            <w:tcW w:w="4536" w:type="dxa"/>
          </w:tcPr>
          <w:p w14:paraId="696424FE" w14:textId="77777777" w:rsidR="003C364B" w:rsidRDefault="003C364B" w:rsidP="003C364B">
            <w:pPr>
              <w:pStyle w:val="SingleParagraph"/>
              <w:tabs>
                <w:tab w:val="num" w:pos="1134"/>
              </w:tabs>
              <w:spacing w:after="240"/>
              <w:ind w:left="1134" w:hanging="567"/>
              <w:rPr>
                <w:b/>
                <w:lang w:val="en-GB"/>
              </w:rPr>
            </w:pPr>
          </w:p>
        </w:tc>
      </w:tr>
      <w:tr w:rsidR="003C364B" w:rsidRPr="00A50751" w14:paraId="5E71F5A4" w14:textId="77777777">
        <w:trPr>
          <w:cantSplit/>
          <w:jc w:val="center"/>
        </w:trPr>
        <w:tc>
          <w:tcPr>
            <w:tcW w:w="4536" w:type="dxa"/>
          </w:tcPr>
          <w:p w14:paraId="17ED5446" w14:textId="77777777" w:rsidR="003C364B" w:rsidRPr="00A50751" w:rsidRDefault="003C364B" w:rsidP="003C364B">
            <w:pPr>
              <w:pStyle w:val="SingleParagraph"/>
              <w:rPr>
                <w:rFonts w:ascii="Book Antiqua" w:hAnsi="Book Antiqua"/>
                <w:lang w:val="en-GB"/>
              </w:rPr>
            </w:pPr>
          </w:p>
        </w:tc>
        <w:tc>
          <w:tcPr>
            <w:tcW w:w="284" w:type="dxa"/>
            <w:tcMar>
              <w:left w:w="0" w:type="dxa"/>
              <w:right w:w="0" w:type="dxa"/>
            </w:tcMar>
          </w:tcPr>
          <w:p w14:paraId="06C6D308" w14:textId="77777777" w:rsidR="003C364B" w:rsidRPr="00A50751" w:rsidRDefault="003C364B" w:rsidP="003C364B">
            <w:pPr>
              <w:pStyle w:val="SingleParagraph"/>
              <w:rPr>
                <w:rFonts w:ascii="Book Antiqua" w:hAnsi="Book Antiqua"/>
                <w:lang w:val="en-GB"/>
              </w:rPr>
            </w:pPr>
          </w:p>
        </w:tc>
        <w:tc>
          <w:tcPr>
            <w:tcW w:w="4536" w:type="dxa"/>
          </w:tcPr>
          <w:p w14:paraId="149A85F8" w14:textId="77777777" w:rsidR="003C364B" w:rsidRDefault="003C364B" w:rsidP="003C364B">
            <w:pPr>
              <w:pStyle w:val="SingleParagraph"/>
              <w:rPr>
                <w:rFonts w:ascii="Book Antiqua" w:hAnsi="Book Antiqua"/>
                <w:lang w:val="en-GB"/>
              </w:rPr>
            </w:pPr>
          </w:p>
          <w:p w14:paraId="07122715" w14:textId="77777777" w:rsidR="00C84E10" w:rsidRPr="00A50751" w:rsidRDefault="00C84E10" w:rsidP="003C364B">
            <w:pPr>
              <w:pStyle w:val="SingleParagraph"/>
              <w:rPr>
                <w:rFonts w:ascii="Book Antiqua" w:hAnsi="Book Antiqua"/>
                <w:lang w:val="en-GB"/>
              </w:rPr>
            </w:pPr>
          </w:p>
        </w:tc>
      </w:tr>
      <w:tr w:rsidR="003C364B" w:rsidRPr="00A50751" w14:paraId="34AE2787" w14:textId="77777777">
        <w:trPr>
          <w:cantSplit/>
          <w:jc w:val="center"/>
        </w:trPr>
        <w:tc>
          <w:tcPr>
            <w:tcW w:w="4536" w:type="dxa"/>
          </w:tcPr>
          <w:p w14:paraId="54E98A70" w14:textId="77777777" w:rsidR="003C364B" w:rsidRPr="00A50751" w:rsidRDefault="003C364B" w:rsidP="003C364B">
            <w:pPr>
              <w:pStyle w:val="SingleParagraph"/>
              <w:rPr>
                <w:rFonts w:ascii="Book Antiqua" w:hAnsi="Book Antiqua"/>
                <w:lang w:val="en-GB"/>
              </w:rPr>
            </w:pPr>
          </w:p>
        </w:tc>
        <w:tc>
          <w:tcPr>
            <w:tcW w:w="284" w:type="dxa"/>
            <w:tcMar>
              <w:left w:w="0" w:type="dxa"/>
              <w:right w:w="0" w:type="dxa"/>
            </w:tcMar>
          </w:tcPr>
          <w:p w14:paraId="1E70E02D" w14:textId="77777777" w:rsidR="003C364B" w:rsidRPr="00A50751" w:rsidRDefault="003C364B" w:rsidP="003C364B">
            <w:pPr>
              <w:pStyle w:val="SingleParagraph"/>
              <w:rPr>
                <w:rFonts w:ascii="Book Antiqua" w:hAnsi="Book Antiqua"/>
                <w:lang w:val="en-GB"/>
              </w:rPr>
            </w:pPr>
          </w:p>
        </w:tc>
        <w:tc>
          <w:tcPr>
            <w:tcW w:w="4536" w:type="dxa"/>
          </w:tcPr>
          <w:p w14:paraId="6B54F0FE" w14:textId="77777777" w:rsidR="003C364B" w:rsidRPr="00A50751" w:rsidRDefault="003C364B" w:rsidP="003C364B">
            <w:pPr>
              <w:pStyle w:val="SingleParagraph"/>
              <w:rPr>
                <w:rFonts w:ascii="Book Antiqua" w:hAnsi="Book Antiqua"/>
                <w:lang w:val="en-GB"/>
              </w:rPr>
            </w:pPr>
          </w:p>
        </w:tc>
      </w:tr>
      <w:tr w:rsidR="003C364B" w:rsidRPr="00A50751" w14:paraId="27AC5CC8" w14:textId="77777777">
        <w:trPr>
          <w:cantSplit/>
          <w:jc w:val="center"/>
        </w:trPr>
        <w:tc>
          <w:tcPr>
            <w:tcW w:w="4536" w:type="dxa"/>
          </w:tcPr>
          <w:p w14:paraId="182F2536" w14:textId="77777777" w:rsidR="003C364B" w:rsidRPr="004A0AE7" w:rsidRDefault="003C364B" w:rsidP="003C364B">
            <w:pPr>
              <w:pStyle w:val="Signed"/>
            </w:pPr>
            <w:r>
              <w:rPr>
                <w:rStyle w:val="SignedBold"/>
              </w:rPr>
              <w:t>Signed</w:t>
            </w:r>
            <w:r w:rsidRPr="004A0AE7">
              <w:t xml:space="preserve"> for and on behalf of the</w:t>
            </w:r>
            <w:r w:rsidRPr="004A0AE7">
              <w:br/>
              <w:t>State of Queensland by</w:t>
            </w:r>
          </w:p>
          <w:p w14:paraId="63B340D0" w14:textId="77777777" w:rsidR="003C364B" w:rsidRPr="00A50751" w:rsidRDefault="003C364B" w:rsidP="003C364B">
            <w:pPr>
              <w:pStyle w:val="LineForSignature"/>
            </w:pPr>
            <w:r w:rsidRPr="00A50751">
              <w:tab/>
            </w:r>
          </w:p>
          <w:p w14:paraId="3F13BFD4" w14:textId="11329C8F" w:rsidR="00526D3A" w:rsidRDefault="00526D3A" w:rsidP="00526D3A">
            <w:pPr>
              <w:pStyle w:val="SingleParagraph"/>
              <w:rPr>
                <w:rStyle w:val="Bold"/>
              </w:rPr>
            </w:pPr>
            <w:r>
              <w:rPr>
                <w:rStyle w:val="Bold"/>
              </w:rPr>
              <w:t>The Honourable Jackie Trad MP</w:t>
            </w:r>
          </w:p>
          <w:p w14:paraId="78D48522" w14:textId="703B0E0D" w:rsidR="00526D3A" w:rsidRDefault="00526D3A" w:rsidP="00526D3A">
            <w:pPr>
              <w:pStyle w:val="SingleParagraph"/>
              <w:rPr>
                <w:rStyle w:val="Bold"/>
              </w:rPr>
            </w:pPr>
            <w:r>
              <w:rPr>
                <w:rStyle w:val="Bold"/>
              </w:rPr>
              <w:t>Deputy Premier</w:t>
            </w:r>
          </w:p>
          <w:p w14:paraId="2497082D" w14:textId="4020426A" w:rsidR="00526D3A" w:rsidRDefault="00526D3A" w:rsidP="00526D3A">
            <w:pPr>
              <w:pStyle w:val="SingleParagraph"/>
              <w:rPr>
                <w:rStyle w:val="Bold"/>
              </w:rPr>
            </w:pPr>
            <w:r>
              <w:rPr>
                <w:rStyle w:val="Bold"/>
              </w:rPr>
              <w:t xml:space="preserve">Treasurer </w:t>
            </w:r>
          </w:p>
          <w:p w14:paraId="73EFA155" w14:textId="34C33C3D" w:rsidR="00526D3A" w:rsidRDefault="00526D3A" w:rsidP="00526D3A">
            <w:pPr>
              <w:pStyle w:val="Position"/>
              <w:rPr>
                <w:lang w:val="en-GB"/>
              </w:rPr>
            </w:pPr>
            <w:r>
              <w:rPr>
                <w:lang w:val="en-GB"/>
              </w:rPr>
              <w:t>Minister for Aboriginal and Torres Strait Islander Partnerships</w:t>
            </w:r>
          </w:p>
          <w:p w14:paraId="2ECCDA2F" w14:textId="77777777" w:rsidR="00526D3A" w:rsidRDefault="00526D3A" w:rsidP="00526D3A">
            <w:pPr>
              <w:pStyle w:val="SingleParagraph"/>
              <w:rPr>
                <w:rStyle w:val="Bold"/>
              </w:rPr>
            </w:pPr>
          </w:p>
          <w:p w14:paraId="0D558D97" w14:textId="77777777" w:rsidR="00E24A02" w:rsidRDefault="00E24A02" w:rsidP="003133D5">
            <w:pPr>
              <w:pStyle w:val="SingleParagraph"/>
              <w:rPr>
                <w:b/>
              </w:rPr>
            </w:pPr>
          </w:p>
          <w:p w14:paraId="2B14B1D6" w14:textId="77777777" w:rsidR="00E24A02" w:rsidRDefault="00E24A02" w:rsidP="003133D5">
            <w:pPr>
              <w:pStyle w:val="SingleParagraph"/>
              <w:rPr>
                <w:b/>
              </w:rPr>
            </w:pPr>
          </w:p>
          <w:p w14:paraId="6ECA4E3E" w14:textId="39A7B058" w:rsidR="003C364B" w:rsidRDefault="003C364B" w:rsidP="003133D5">
            <w:pPr>
              <w:pStyle w:val="SingleParagraph"/>
              <w:rPr>
                <w:b/>
              </w:rPr>
            </w:pPr>
            <w:bookmarkStart w:id="3" w:name="_GoBack"/>
            <w:bookmarkEnd w:id="3"/>
          </w:p>
          <w:p w14:paraId="0BE6AE55" w14:textId="0D24D675" w:rsidR="003C364B" w:rsidRPr="00A50751" w:rsidRDefault="003C364B" w:rsidP="003C364B">
            <w:pPr>
              <w:pStyle w:val="SingleParagraph"/>
              <w:tabs>
                <w:tab w:val="num" w:pos="1134"/>
              </w:tabs>
              <w:spacing w:after="240"/>
              <w:ind w:left="1134" w:hanging="567"/>
              <w:rPr>
                <w:lang w:val="en-GB"/>
              </w:rPr>
            </w:pPr>
            <w:r>
              <w:rPr>
                <w:lang w:val="en-GB"/>
              </w:rPr>
              <w:t>[Day]  [Month]  [Year]</w:t>
            </w:r>
          </w:p>
        </w:tc>
        <w:tc>
          <w:tcPr>
            <w:tcW w:w="284" w:type="dxa"/>
            <w:tcMar>
              <w:left w:w="0" w:type="dxa"/>
              <w:right w:w="0" w:type="dxa"/>
            </w:tcMar>
          </w:tcPr>
          <w:p w14:paraId="2BBAB052" w14:textId="77777777" w:rsidR="003C364B" w:rsidRPr="00A50751" w:rsidRDefault="003C364B" w:rsidP="003C364B">
            <w:pPr>
              <w:rPr>
                <w:rFonts w:ascii="Book Antiqua" w:hAnsi="Book Antiqua"/>
                <w:lang w:val="en-GB"/>
              </w:rPr>
            </w:pPr>
          </w:p>
        </w:tc>
        <w:tc>
          <w:tcPr>
            <w:tcW w:w="4536" w:type="dxa"/>
          </w:tcPr>
          <w:p w14:paraId="340B1188" w14:textId="77777777" w:rsidR="003C364B" w:rsidRPr="00A50751" w:rsidRDefault="003C364B" w:rsidP="003C364B">
            <w:pPr>
              <w:pStyle w:val="SingleParagraph"/>
              <w:tabs>
                <w:tab w:val="num" w:pos="1134"/>
              </w:tabs>
              <w:spacing w:after="240"/>
              <w:ind w:left="1134" w:hanging="567"/>
              <w:rPr>
                <w:lang w:val="en-GB"/>
              </w:rPr>
            </w:pPr>
          </w:p>
        </w:tc>
      </w:tr>
      <w:tr w:rsidR="003C364B" w:rsidRPr="00A50751" w14:paraId="7B460BAC" w14:textId="77777777">
        <w:trPr>
          <w:cantSplit/>
          <w:jc w:val="center"/>
        </w:trPr>
        <w:tc>
          <w:tcPr>
            <w:tcW w:w="4536" w:type="dxa"/>
          </w:tcPr>
          <w:p w14:paraId="1A703E59" w14:textId="77777777" w:rsidR="003C364B" w:rsidRPr="00A50751" w:rsidRDefault="003C364B" w:rsidP="003C364B">
            <w:pPr>
              <w:pStyle w:val="SingleParagraph"/>
              <w:rPr>
                <w:rFonts w:ascii="Book Antiqua" w:hAnsi="Book Antiqua"/>
                <w:lang w:val="en-GB"/>
              </w:rPr>
            </w:pPr>
          </w:p>
        </w:tc>
        <w:tc>
          <w:tcPr>
            <w:tcW w:w="284" w:type="dxa"/>
            <w:tcMar>
              <w:left w:w="0" w:type="dxa"/>
              <w:right w:w="0" w:type="dxa"/>
            </w:tcMar>
          </w:tcPr>
          <w:p w14:paraId="5F14A011" w14:textId="77777777" w:rsidR="003C364B" w:rsidRPr="00A50751" w:rsidRDefault="003C364B" w:rsidP="003C364B">
            <w:pPr>
              <w:pStyle w:val="SingleParagraph"/>
              <w:rPr>
                <w:rFonts w:ascii="Book Antiqua" w:hAnsi="Book Antiqua"/>
                <w:lang w:val="en-GB"/>
              </w:rPr>
            </w:pPr>
          </w:p>
        </w:tc>
        <w:tc>
          <w:tcPr>
            <w:tcW w:w="4536" w:type="dxa"/>
          </w:tcPr>
          <w:p w14:paraId="354D8DCF" w14:textId="77777777" w:rsidR="003C364B" w:rsidRPr="00A50751" w:rsidRDefault="003C364B" w:rsidP="003C364B">
            <w:pPr>
              <w:pStyle w:val="SingleParagraph"/>
              <w:rPr>
                <w:rFonts w:ascii="Book Antiqua" w:hAnsi="Book Antiqua"/>
                <w:lang w:val="en-GB"/>
              </w:rPr>
            </w:pPr>
          </w:p>
        </w:tc>
      </w:tr>
      <w:tr w:rsidR="003C364B" w:rsidRPr="00A50751" w14:paraId="17158EDF" w14:textId="77777777">
        <w:trPr>
          <w:cantSplit/>
          <w:trHeight w:val="143"/>
          <w:jc w:val="center"/>
        </w:trPr>
        <w:tc>
          <w:tcPr>
            <w:tcW w:w="4536" w:type="dxa"/>
          </w:tcPr>
          <w:p w14:paraId="493ABEA5" w14:textId="77777777" w:rsidR="003C364B" w:rsidRPr="00A50751" w:rsidRDefault="003C364B" w:rsidP="003C364B">
            <w:pPr>
              <w:pStyle w:val="SingleParagraph"/>
              <w:tabs>
                <w:tab w:val="num" w:pos="1134"/>
              </w:tabs>
              <w:spacing w:after="240"/>
              <w:ind w:left="1134" w:hanging="567"/>
              <w:rPr>
                <w:lang w:val="en-GB"/>
              </w:rPr>
            </w:pPr>
          </w:p>
        </w:tc>
        <w:tc>
          <w:tcPr>
            <w:tcW w:w="284" w:type="dxa"/>
            <w:tcMar>
              <w:left w:w="0" w:type="dxa"/>
              <w:right w:w="0" w:type="dxa"/>
            </w:tcMar>
          </w:tcPr>
          <w:p w14:paraId="6DB08ED7" w14:textId="77777777" w:rsidR="003C364B" w:rsidRPr="00A50751" w:rsidRDefault="003C364B" w:rsidP="003C364B">
            <w:pPr>
              <w:rPr>
                <w:rFonts w:ascii="Book Antiqua" w:hAnsi="Book Antiqua"/>
                <w:lang w:val="en-GB"/>
              </w:rPr>
            </w:pPr>
          </w:p>
        </w:tc>
        <w:tc>
          <w:tcPr>
            <w:tcW w:w="4536" w:type="dxa"/>
          </w:tcPr>
          <w:p w14:paraId="2964B236" w14:textId="77777777" w:rsidR="003C364B" w:rsidRPr="00A50751" w:rsidRDefault="003C364B" w:rsidP="003C364B">
            <w:pPr>
              <w:pStyle w:val="SingleParagraph"/>
              <w:tabs>
                <w:tab w:val="num" w:pos="1134"/>
              </w:tabs>
              <w:spacing w:after="240"/>
              <w:ind w:left="1134" w:hanging="567"/>
              <w:rPr>
                <w:lang w:val="en-GB"/>
              </w:rPr>
            </w:pPr>
          </w:p>
        </w:tc>
      </w:tr>
      <w:tr w:rsidR="003C364B" w:rsidRPr="00A50751" w14:paraId="7216F639" w14:textId="77777777">
        <w:trPr>
          <w:cantSplit/>
          <w:jc w:val="center"/>
        </w:trPr>
        <w:tc>
          <w:tcPr>
            <w:tcW w:w="4536" w:type="dxa"/>
          </w:tcPr>
          <w:p w14:paraId="3116BEE7" w14:textId="77777777" w:rsidR="003C364B" w:rsidRPr="00A50751" w:rsidRDefault="003C364B" w:rsidP="003C364B">
            <w:pPr>
              <w:pStyle w:val="SingleParagraph"/>
              <w:rPr>
                <w:rFonts w:ascii="Book Antiqua" w:hAnsi="Book Antiqua"/>
                <w:lang w:val="en-GB"/>
              </w:rPr>
            </w:pPr>
          </w:p>
        </w:tc>
        <w:tc>
          <w:tcPr>
            <w:tcW w:w="284" w:type="dxa"/>
            <w:tcMar>
              <w:left w:w="0" w:type="dxa"/>
              <w:right w:w="0" w:type="dxa"/>
            </w:tcMar>
          </w:tcPr>
          <w:p w14:paraId="50A67F1B" w14:textId="77777777" w:rsidR="003C364B" w:rsidRPr="00A50751" w:rsidRDefault="003C364B" w:rsidP="003C364B">
            <w:pPr>
              <w:pStyle w:val="SingleParagraph"/>
              <w:rPr>
                <w:rFonts w:ascii="Book Antiqua" w:hAnsi="Book Antiqua"/>
                <w:lang w:val="en-GB"/>
              </w:rPr>
            </w:pPr>
          </w:p>
        </w:tc>
        <w:tc>
          <w:tcPr>
            <w:tcW w:w="4536" w:type="dxa"/>
          </w:tcPr>
          <w:p w14:paraId="1E670AD3" w14:textId="77777777" w:rsidR="003C364B" w:rsidRPr="00A50751" w:rsidRDefault="003C364B" w:rsidP="003C364B">
            <w:pPr>
              <w:pStyle w:val="SingleParagraph"/>
              <w:rPr>
                <w:rFonts w:ascii="Book Antiqua" w:hAnsi="Book Antiqua"/>
                <w:lang w:val="en-GB"/>
              </w:rPr>
            </w:pPr>
          </w:p>
        </w:tc>
      </w:tr>
      <w:tr w:rsidR="003C364B" w:rsidRPr="00A50751" w14:paraId="441226A0" w14:textId="77777777">
        <w:trPr>
          <w:cantSplit/>
          <w:jc w:val="center"/>
        </w:trPr>
        <w:tc>
          <w:tcPr>
            <w:tcW w:w="4536" w:type="dxa"/>
          </w:tcPr>
          <w:p w14:paraId="75F0E409" w14:textId="77777777" w:rsidR="003C364B" w:rsidRPr="00A50751" w:rsidRDefault="003C364B" w:rsidP="003C364B">
            <w:pPr>
              <w:pStyle w:val="SingleParagraph"/>
              <w:tabs>
                <w:tab w:val="num" w:pos="1134"/>
              </w:tabs>
              <w:spacing w:after="240"/>
              <w:ind w:left="1134" w:hanging="567"/>
              <w:rPr>
                <w:szCs w:val="22"/>
                <w:lang w:val="en-GB"/>
              </w:rPr>
            </w:pPr>
          </w:p>
        </w:tc>
        <w:tc>
          <w:tcPr>
            <w:tcW w:w="284" w:type="dxa"/>
            <w:tcMar>
              <w:left w:w="0" w:type="dxa"/>
              <w:right w:w="0" w:type="dxa"/>
            </w:tcMar>
          </w:tcPr>
          <w:p w14:paraId="35692CE0" w14:textId="77777777" w:rsidR="003C364B" w:rsidRPr="00A50751" w:rsidRDefault="003C364B" w:rsidP="003C364B">
            <w:pPr>
              <w:rPr>
                <w:rFonts w:ascii="Book Antiqua" w:hAnsi="Book Antiqua"/>
                <w:lang w:val="en-GB"/>
              </w:rPr>
            </w:pPr>
          </w:p>
        </w:tc>
        <w:tc>
          <w:tcPr>
            <w:tcW w:w="4536" w:type="dxa"/>
          </w:tcPr>
          <w:p w14:paraId="1EEB4DBE" w14:textId="77777777" w:rsidR="003C364B" w:rsidRPr="00A50751" w:rsidRDefault="003C364B" w:rsidP="003C364B">
            <w:pPr>
              <w:pStyle w:val="SingleParagraph"/>
              <w:tabs>
                <w:tab w:val="num" w:pos="1134"/>
              </w:tabs>
              <w:spacing w:after="240"/>
              <w:ind w:left="1134" w:hanging="567"/>
              <w:rPr>
                <w:lang w:val="en-GB"/>
              </w:rPr>
            </w:pPr>
          </w:p>
        </w:tc>
      </w:tr>
    </w:tbl>
    <w:p w14:paraId="07608F3C" w14:textId="77777777" w:rsidR="008843EE" w:rsidRDefault="008843EE" w:rsidP="0020144E"/>
    <w:sectPr w:rsidR="008843EE" w:rsidSect="00C606F6">
      <w:headerReference w:type="first" r:id="rId19"/>
      <w:footerReference w:type="first" r:id="rId20"/>
      <w:type w:val="oddPage"/>
      <w:pgSz w:w="11906" w:h="16838" w:code="9"/>
      <w:pgMar w:top="1134" w:right="1134" w:bottom="1134" w:left="1134" w:header="709" w:footer="709" w:gutter="0"/>
      <w:pgNumType w:start="1" w:chapStyle="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CDC6D" w14:textId="77777777" w:rsidR="000B549A" w:rsidRDefault="000B549A">
      <w:r>
        <w:separator/>
      </w:r>
    </w:p>
  </w:endnote>
  <w:endnote w:type="continuationSeparator" w:id="0">
    <w:p w14:paraId="5E302103" w14:textId="77777777" w:rsidR="000B549A" w:rsidRDefault="000B549A">
      <w:r>
        <w:continuationSeparator/>
      </w:r>
    </w:p>
  </w:endnote>
  <w:endnote w:type="continuationNotice" w:id="1">
    <w:p w14:paraId="038B001A" w14:textId="77777777" w:rsidR="000B549A" w:rsidRDefault="000B5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Zapf Dingbats"/>
    <w:panose1 w:val="00000000000000000000"/>
    <w:charset w:val="02"/>
    <w:family w:val="decorative"/>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onsolas">
    <w:altName w:val="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2D62" w14:textId="77777777" w:rsidR="00991980" w:rsidRDefault="00991980">
    <w:pPr>
      <w:pStyle w:val="FooterEven"/>
      <w:keepNext/>
      <w:tabs>
        <w:tab w:val="num" w:pos="1701"/>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A4D7CE" w14:textId="77777777" w:rsidR="00991980" w:rsidRDefault="00991980">
    <w:pPr>
      <w:pStyle w:val="FooterEven"/>
      <w:keepNext/>
      <w:tabs>
        <w:tab w:val="num" w:pos="1701"/>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081E" w14:textId="6655149C" w:rsidR="00991980" w:rsidRDefault="00991980">
    <w:pPr>
      <w:pStyle w:val="FooterOdd"/>
      <w:keepNext/>
      <w:tabs>
        <w:tab w:val="num" w:pos="567"/>
      </w:tabs>
    </w:pPr>
    <w:r>
      <w:t xml:space="preserve">Page </w:t>
    </w:r>
    <w:r>
      <w:rPr>
        <w:rStyle w:val="PageNumber"/>
      </w:rPr>
      <w:fldChar w:fldCharType="begin"/>
    </w:r>
    <w:r>
      <w:rPr>
        <w:rStyle w:val="PageNumber"/>
      </w:rPr>
      <w:instrText xml:space="preserve"> PAGE </w:instrText>
    </w:r>
    <w:r>
      <w:rPr>
        <w:rStyle w:val="PageNumber"/>
      </w:rPr>
      <w:fldChar w:fldCharType="separate"/>
    </w:r>
    <w:r w:rsidR="00C4706E">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2DB4" w14:textId="25FC81FE" w:rsidR="00991980" w:rsidRDefault="00991980">
    <w:pPr>
      <w:pStyle w:val="FooterOdd"/>
      <w:keepNext/>
      <w:tabs>
        <w:tab w:val="num" w:pos="567"/>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706E">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B891" w14:textId="53C0C478" w:rsidR="00991980" w:rsidRDefault="00991980" w:rsidP="00751725">
    <w:pPr>
      <w:pStyle w:val="FooterEven"/>
      <w:jc w:val="right"/>
    </w:pPr>
    <w:r>
      <w:t xml:space="preserve">Page </w:t>
    </w:r>
    <w:r w:rsidR="00C4706E">
      <w:rPr>
        <w:rStyle w:val="PageNumber"/>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31E99" w14:textId="77777777" w:rsidR="000B549A" w:rsidRDefault="000B549A">
      <w:r>
        <w:separator/>
      </w:r>
    </w:p>
  </w:footnote>
  <w:footnote w:type="continuationSeparator" w:id="0">
    <w:p w14:paraId="16365FA8" w14:textId="77777777" w:rsidR="000B549A" w:rsidRDefault="000B549A">
      <w:r>
        <w:continuationSeparator/>
      </w:r>
    </w:p>
  </w:footnote>
  <w:footnote w:type="continuationNotice" w:id="1">
    <w:p w14:paraId="0E01AEE1" w14:textId="77777777" w:rsidR="000B549A" w:rsidRDefault="000B549A">
      <w:pPr>
        <w:spacing w:after="0" w:line="240" w:lineRule="auto"/>
      </w:pPr>
    </w:p>
  </w:footnote>
  <w:footnote w:id="2">
    <w:p w14:paraId="26583D04" w14:textId="77777777" w:rsidR="00CB7B4B" w:rsidRPr="00CB7B4B" w:rsidRDefault="00CB7B4B">
      <w:pPr>
        <w:pStyle w:val="FootnoteText"/>
        <w:rPr>
          <w:lang w:val="en-US"/>
        </w:rPr>
      </w:pPr>
      <w:r>
        <w:rPr>
          <w:rStyle w:val="FootnoteReference"/>
        </w:rPr>
        <w:footnoteRef/>
      </w:r>
      <w:r>
        <w:t xml:space="preserve"> </w:t>
      </w:r>
      <w:r w:rsidRPr="00EC5309">
        <w:rPr>
          <w:szCs w:val="23"/>
        </w:rPr>
        <w:t>ABS data</w:t>
      </w:r>
      <w:r>
        <w:rPr>
          <w:szCs w:val="23"/>
        </w:rPr>
        <w:t xml:space="preserve"> </w:t>
      </w:r>
      <w:r w:rsidRPr="00EC5309">
        <w:rPr>
          <w:szCs w:val="23"/>
        </w:rPr>
        <w:t>indicate</w:t>
      </w:r>
      <w:r>
        <w:rPr>
          <w:szCs w:val="23"/>
        </w:rPr>
        <w:t>s</w:t>
      </w:r>
      <w:r w:rsidRPr="00EC5309">
        <w:rPr>
          <w:szCs w:val="23"/>
        </w:rPr>
        <w:t xml:space="preserve"> that Indigenous </w:t>
      </w:r>
      <w:r>
        <w:rPr>
          <w:szCs w:val="23"/>
        </w:rPr>
        <w:t>Australians</w:t>
      </w:r>
      <w:r w:rsidRPr="00EC5309">
        <w:rPr>
          <w:szCs w:val="23"/>
        </w:rPr>
        <w:t xml:space="preserve"> represent 6.</w:t>
      </w:r>
      <w:r>
        <w:rPr>
          <w:szCs w:val="23"/>
        </w:rPr>
        <w:t>6</w:t>
      </w:r>
      <w:r w:rsidRPr="00EC5309">
        <w:rPr>
          <w:szCs w:val="23"/>
        </w:rPr>
        <w:t>% of the working-age population of the Townsville area</w:t>
      </w:r>
      <w:r>
        <w:rPr>
          <w:szCs w:val="2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4429" w14:textId="77777777" w:rsidR="00991980" w:rsidRPr="00814590" w:rsidRDefault="00991980">
    <w:pPr>
      <w:rPr>
        <w:color w:val="800000"/>
        <w:sz w:val="18"/>
        <w:szCs w:val="18"/>
      </w:rPr>
    </w:pPr>
    <w:r>
      <w:rPr>
        <w:color w:val="800000"/>
        <w:sz w:val="18"/>
        <w:szCs w:val="18"/>
      </w:rPr>
      <w:t>Project Agreement for [title of Project]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456FD" w14:textId="0CB0C5CB" w:rsidR="00991980" w:rsidRPr="00814590" w:rsidRDefault="00991980">
    <w:pPr>
      <w:pStyle w:val="HeaderOdd"/>
      <w:tabs>
        <w:tab w:val="num" w:pos="1134"/>
      </w:tabs>
      <w:rPr>
        <w:color w:val="800000"/>
      </w:rPr>
    </w:pPr>
    <w:r>
      <w:rPr>
        <w:color w:val="800000"/>
      </w:rPr>
      <w:t>Project Agreement for Port of Townsville Channel Capacity Upgrade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14BF" w14:textId="07D110B6" w:rsidR="00991980" w:rsidRPr="00751725" w:rsidRDefault="00991980" w:rsidP="00236E91">
    <w:pPr>
      <w:pStyle w:val="HeaderOdd"/>
      <w:tabs>
        <w:tab w:val="num" w:pos="1134"/>
      </w:tabs>
    </w:pPr>
    <w:r>
      <w:rPr>
        <w:color w:val="800000"/>
      </w:rPr>
      <w:t xml:space="preserve">Project Agreement </w:t>
    </w:r>
    <w:r w:rsidR="00236E91">
      <w:rPr>
        <w:color w:val="800000"/>
      </w:rPr>
      <w:t>for Port of Townsville Channel Capacity Upgrade</w:t>
    </w:r>
    <w:r w:rsidR="00236E91" w:rsidDel="00236E91">
      <w:rPr>
        <w:color w:val="8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14EA84"/>
    <w:lvl w:ilvl="0">
      <w:start w:val="1"/>
      <w:numFmt w:val="bullet"/>
      <w:pStyle w:val="Normalnumbered"/>
      <w:lvlText w:val=""/>
      <w:lvlJc w:val="left"/>
      <w:pPr>
        <w:tabs>
          <w:tab w:val="num" w:pos="360"/>
        </w:tabs>
        <w:ind w:left="360" w:hanging="360"/>
      </w:pPr>
      <w:rPr>
        <w:rFonts w:ascii="Symbol" w:hAnsi="Symbol" w:hint="default"/>
      </w:rPr>
    </w:lvl>
  </w:abstractNum>
  <w:abstractNum w:abstractNumId="1" w15:restartNumberingAfterBreak="0">
    <w:nsid w:val="006F5162"/>
    <w:multiLevelType w:val="hybridMultilevel"/>
    <w:tmpl w:val="DC901E84"/>
    <w:lvl w:ilvl="0" w:tplc="B438712C">
      <w:start w:val="2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CDC7973"/>
    <w:multiLevelType w:val="multilevel"/>
    <w:tmpl w:val="85DCB1C2"/>
    <w:lvl w:ilvl="0">
      <w:start w:val="1"/>
      <w:numFmt w:val="lowerRoman"/>
      <w:lvlRestart w:val="0"/>
      <w:pStyle w:val="Romannumeral"/>
      <w:lvlText w:val="(%1)"/>
      <w:lvlJc w:val="left"/>
      <w:pPr>
        <w:tabs>
          <w:tab w:val="num" w:pos="1701"/>
        </w:tabs>
        <w:ind w:left="1701" w:hanging="567"/>
      </w:pPr>
      <w:rPr>
        <w:rFonts w:cs="Times New Roman" w:hint="default"/>
        <w:b w:val="0"/>
        <w:i w:val="0"/>
        <w:color w:val="000000"/>
      </w:rPr>
    </w:lvl>
    <w:lvl w:ilvl="1">
      <w:start w:val="1"/>
      <w:numFmt w:val="decimal"/>
      <w:lvlText w:val="(%2)"/>
      <w:lvlJc w:val="left"/>
      <w:pPr>
        <w:tabs>
          <w:tab w:val="num" w:pos="1701"/>
        </w:tabs>
        <w:ind w:left="1701" w:hanging="283"/>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3" w15:restartNumberingAfterBreak="0">
    <w:nsid w:val="11690F13"/>
    <w:multiLevelType w:val="multilevel"/>
    <w:tmpl w:val="73ECACC0"/>
    <w:lvl w:ilvl="0">
      <w:start w:val="1"/>
      <w:numFmt w:val="lowerLetter"/>
      <w:lvlRestart w:val="0"/>
      <w:lvlText w:val="(%1)"/>
      <w:lvlJc w:val="left"/>
      <w:pPr>
        <w:tabs>
          <w:tab w:val="num" w:pos="1701"/>
        </w:tabs>
        <w:ind w:left="1134"/>
      </w:pPr>
      <w:rPr>
        <w:rFonts w:cs="Times New Roman" w:hint="default"/>
        <w:b w:val="0"/>
        <w:i w:val="0"/>
        <w:color w:val="000000"/>
      </w:rPr>
    </w:lvl>
    <w:lvl w:ilvl="1">
      <w:start w:val="1"/>
      <w:numFmt w:val="decimal"/>
      <w:lvlText w:val="%2"/>
      <w:lvlJc w:val="left"/>
      <w:pPr>
        <w:tabs>
          <w:tab w:val="num" w:pos="1701"/>
        </w:tabs>
        <w:ind w:left="1701"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4" w15:restartNumberingAfterBreak="0">
    <w:nsid w:val="16F90129"/>
    <w:multiLevelType w:val="multilevel"/>
    <w:tmpl w:val="73ECACC0"/>
    <w:lvl w:ilvl="0">
      <w:start w:val="1"/>
      <w:numFmt w:val="lowerLetter"/>
      <w:lvlRestart w:val="0"/>
      <w:lvlText w:val="(%1)"/>
      <w:lvlJc w:val="left"/>
      <w:pPr>
        <w:tabs>
          <w:tab w:val="num" w:pos="1701"/>
        </w:tabs>
        <w:ind w:left="1134"/>
      </w:pPr>
      <w:rPr>
        <w:rFonts w:cs="Times New Roman" w:hint="default"/>
        <w:b w:val="0"/>
        <w:i w:val="0"/>
        <w:color w:val="000000"/>
      </w:rPr>
    </w:lvl>
    <w:lvl w:ilvl="1">
      <w:start w:val="1"/>
      <w:numFmt w:val="decimal"/>
      <w:lvlText w:val="%2"/>
      <w:lvlJc w:val="left"/>
      <w:pPr>
        <w:tabs>
          <w:tab w:val="num" w:pos="1701"/>
        </w:tabs>
        <w:ind w:left="1701"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5"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pStyle w:val="Dash"/>
      <w:lvlText w:val="%2"/>
      <w:lvlJc w:val="left"/>
      <w:pPr>
        <w:tabs>
          <w:tab w:val="num" w:pos="1134"/>
        </w:tabs>
        <w:ind w:left="1134" w:hanging="567"/>
      </w:pPr>
      <w:rPr>
        <w:rFonts w:ascii="Times New Roman" w:hAnsi="Times New Roman" w:cs="Times New Roman"/>
        <w:b w:val="0"/>
        <w:i w:val="0"/>
        <w:color w:val="000000"/>
      </w:rPr>
    </w:lvl>
    <w:lvl w:ilvl="2">
      <w:start w:val="1"/>
      <w:numFmt w:val="decimal"/>
      <w:pStyle w:val="DoubleDot"/>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6" w15:restartNumberingAfterBreak="0">
    <w:nsid w:val="1E58547B"/>
    <w:multiLevelType w:val="multilevel"/>
    <w:tmpl w:val="5BEA893E"/>
    <w:lvl w:ilvl="0">
      <w:start w:val="1"/>
      <w:numFmt w:val="upperLetter"/>
      <w:pStyle w:val="ScheduleList"/>
      <w:lvlText w:val="%1"/>
      <w:lvlJc w:val="left"/>
      <w:pPr>
        <w:tabs>
          <w:tab w:val="num" w:pos="567"/>
        </w:tabs>
        <w:ind w:left="567" w:hanging="567"/>
      </w:pPr>
      <w:rPr>
        <w:rFonts w:cs="Times New Roman" w:hint="default"/>
      </w:rPr>
    </w:lvl>
    <w:lvl w:ilvl="1">
      <w:start w:val="1"/>
      <w:numFmt w:val="decimal"/>
      <w:pStyle w:val="ScheduleListSubHeading"/>
      <w:lvlText w:val="%1%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22B242CC"/>
    <w:multiLevelType w:val="multilevel"/>
    <w:tmpl w:val="E60E4706"/>
    <w:name w:val="AGSTableDash"/>
    <w:lvl w:ilvl="0">
      <w:start w:val="1"/>
      <w:numFmt w:val="none"/>
      <w:lvlRestart w:val="0"/>
      <w:pStyle w:val="IndentHanging"/>
      <w:suff w:val="nothing"/>
      <w:lvlText w:val=""/>
      <w:lvlJc w:val="left"/>
      <w:pPr>
        <w:tabs>
          <w:tab w:val="num" w:pos="850"/>
        </w:tabs>
        <w:ind w:left="850" w:hanging="425"/>
      </w:pPr>
      <w:rPr>
        <w:rFonts w:cs="Times New Roman"/>
      </w:rPr>
    </w:lvl>
    <w:lvl w:ilvl="1">
      <w:start w:val="1"/>
      <w:numFmt w:val="none"/>
      <w:lvlRestart w:val="0"/>
      <w:pStyle w:val="IndentHanging1"/>
      <w:suff w:val="nothing"/>
      <w:lvlText w:val=""/>
      <w:lvlJc w:val="left"/>
      <w:pPr>
        <w:tabs>
          <w:tab w:val="num" w:pos="850"/>
        </w:tabs>
        <w:ind w:left="850" w:hanging="425"/>
      </w:pPr>
      <w:rPr>
        <w:rFonts w:cs="Times New Roman"/>
      </w:rPr>
    </w:lvl>
    <w:lvl w:ilvl="2">
      <w:start w:val="1"/>
      <w:numFmt w:val="none"/>
      <w:lvlRestart w:val="0"/>
      <w:pStyle w:val="IndentHanging2"/>
      <w:suff w:val="nothing"/>
      <w:lvlText w:val=""/>
      <w:lvlJc w:val="left"/>
      <w:pPr>
        <w:tabs>
          <w:tab w:val="num" w:pos="1276"/>
        </w:tabs>
        <w:ind w:left="1276" w:hanging="426"/>
      </w:pPr>
      <w:rPr>
        <w:rFonts w:cs="Times New Roman"/>
      </w:rPr>
    </w:lvl>
    <w:lvl w:ilvl="3">
      <w:start w:val="1"/>
      <w:numFmt w:val="none"/>
      <w:lvlRestart w:val="0"/>
      <w:pStyle w:val="IndentHanging3"/>
      <w:suff w:val="nothing"/>
      <w:lvlText w:val=""/>
      <w:lvlJc w:val="left"/>
      <w:pPr>
        <w:tabs>
          <w:tab w:val="num" w:pos="1701"/>
        </w:tabs>
        <w:ind w:left="1701" w:hanging="425"/>
      </w:pPr>
      <w:rPr>
        <w:rFonts w:cs="Times New Roman"/>
      </w:rPr>
    </w:lvl>
    <w:lvl w:ilvl="4">
      <w:start w:val="1"/>
      <w:numFmt w:val="none"/>
      <w:lvlRestart w:val="0"/>
      <w:pStyle w:val="IndentHanging4"/>
      <w:suff w:val="nothing"/>
      <w:lvlText w:val=""/>
      <w:lvlJc w:val="left"/>
      <w:pPr>
        <w:tabs>
          <w:tab w:val="num" w:pos="2126"/>
        </w:tabs>
        <w:ind w:left="2126" w:hanging="425"/>
      </w:pPr>
      <w:rPr>
        <w:rFonts w:cs="Times New Roman"/>
      </w:rPr>
    </w:lvl>
    <w:lvl w:ilvl="5">
      <w:start w:val="1"/>
      <w:numFmt w:val="none"/>
      <w:lvlRestart w:val="0"/>
      <w:pStyle w:val="IndentHanging5"/>
      <w:suff w:val="nothing"/>
      <w:lvlText w:val=""/>
      <w:lvlJc w:val="left"/>
      <w:pPr>
        <w:tabs>
          <w:tab w:val="num" w:pos="2551"/>
        </w:tabs>
        <w:ind w:left="2551" w:hanging="425"/>
      </w:pPr>
      <w:rPr>
        <w:rFonts w:cs="Times New Roman"/>
      </w:rPr>
    </w:lvl>
    <w:lvl w:ilvl="6">
      <w:start w:val="1"/>
      <w:numFmt w:val="none"/>
      <w:lvlRestart w:val="0"/>
      <w:pStyle w:val="IndentHanging6"/>
      <w:suff w:val="nothing"/>
      <w:lvlText w:val=""/>
      <w:lvlJc w:val="left"/>
      <w:pPr>
        <w:tabs>
          <w:tab w:val="num" w:pos="2976"/>
        </w:tabs>
        <w:ind w:left="2976" w:hanging="425"/>
      </w:pPr>
      <w:rPr>
        <w:rFonts w:cs="Times New Roman"/>
      </w:rPr>
    </w:lvl>
    <w:lvl w:ilvl="7">
      <w:start w:val="1"/>
      <w:numFmt w:val="none"/>
      <w:lvlRestart w:val="0"/>
      <w:pStyle w:val="IndentHanging7"/>
      <w:suff w:val="nothing"/>
      <w:lvlText w:val=""/>
      <w:lvlJc w:val="left"/>
      <w:pPr>
        <w:tabs>
          <w:tab w:val="num" w:pos="3402"/>
        </w:tabs>
        <w:ind w:left="3402" w:hanging="426"/>
      </w:pPr>
      <w:rPr>
        <w:rFonts w:cs="Times New Roman"/>
      </w:rPr>
    </w:lvl>
    <w:lvl w:ilvl="8">
      <w:start w:val="1"/>
      <w:numFmt w:val="none"/>
      <w:lvlRestart w:val="0"/>
      <w:pStyle w:val="IndentHanging8"/>
      <w:suff w:val="nothing"/>
      <w:lvlText w:val=""/>
      <w:lvlJc w:val="left"/>
      <w:pPr>
        <w:tabs>
          <w:tab w:val="num" w:pos="3827"/>
        </w:tabs>
        <w:ind w:left="3827" w:hanging="425"/>
      </w:pPr>
      <w:rPr>
        <w:rFonts w:cs="Times New Roman"/>
      </w:rPr>
    </w:lvl>
  </w:abstractNum>
  <w:abstractNum w:abstractNumId="8" w15:restartNumberingAfterBreak="0">
    <w:nsid w:val="23425C06"/>
    <w:multiLevelType w:val="multilevel"/>
    <w:tmpl w:val="39B2E1B8"/>
    <w:lvl w:ilvl="0">
      <w:start w:val="1"/>
      <w:numFmt w:val="lowerLetter"/>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9" w15:restartNumberingAfterBreak="0">
    <w:nsid w:val="244237C5"/>
    <w:multiLevelType w:val="multilevel"/>
    <w:tmpl w:val="59163354"/>
    <w:lvl w:ilvl="0">
      <w:start w:val="1"/>
      <w:numFmt w:val="lowerLetter"/>
      <w:pStyle w:val="OutlineNumbered1"/>
      <w:lvlText w:val="%1)"/>
      <w:lvlJc w:val="left"/>
      <w:pPr>
        <w:tabs>
          <w:tab w:val="num" w:pos="543"/>
        </w:tabs>
        <w:ind w:left="543" w:hanging="543"/>
      </w:pPr>
      <w:rPr>
        <w:rFonts w:cs="Times New Roman"/>
        <w:b w:val="0"/>
        <w:i w:val="0"/>
      </w:rPr>
    </w:lvl>
    <w:lvl w:ilvl="1">
      <w:start w:val="1"/>
      <w:numFmt w:val="decimal"/>
      <w:pStyle w:val="OutlineNumbered2"/>
      <w:lvlText w:val="%1.%2."/>
      <w:lvlJc w:val="left"/>
      <w:pPr>
        <w:tabs>
          <w:tab w:val="num" w:pos="1086"/>
        </w:tabs>
        <w:ind w:left="1086" w:hanging="543"/>
      </w:pPr>
      <w:rPr>
        <w:rFonts w:cs="Times New Roman"/>
        <w:b w:val="0"/>
        <w:i w:val="0"/>
      </w:rPr>
    </w:lvl>
    <w:lvl w:ilvl="2">
      <w:start w:val="1"/>
      <w:numFmt w:val="decimal"/>
      <w:pStyle w:val="OutlineNumbered3"/>
      <w:lvlText w:val="%1.%2.%3."/>
      <w:lvlJc w:val="left"/>
      <w:pPr>
        <w:tabs>
          <w:tab w:val="num" w:pos="1629"/>
        </w:tabs>
        <w:ind w:left="1629" w:hanging="543"/>
      </w:pPr>
      <w:rPr>
        <w:rFonts w:cs="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0" w15:restartNumberingAfterBreak="0">
    <w:nsid w:val="27440C8B"/>
    <w:multiLevelType w:val="multilevel"/>
    <w:tmpl w:val="F2A403A2"/>
    <w:lvl w:ilvl="0">
      <w:start w:val="1"/>
      <w:numFmt w:val="bullet"/>
      <w:lvlRestart w:val="0"/>
      <w:lvlText w:val="•"/>
      <w:lvlJc w:val="left"/>
      <w:pPr>
        <w:tabs>
          <w:tab w:val="num" w:pos="566"/>
        </w:tabs>
        <w:ind w:left="566" w:hanging="283"/>
      </w:pPr>
      <w:rPr>
        <w:rFonts w:ascii="Times New Roman" w:hAnsi="Times New Roman"/>
        <w:b w:val="0"/>
        <w:i w:val="0"/>
      </w:rPr>
    </w:lvl>
    <w:lvl w:ilvl="1">
      <w:start w:val="1"/>
      <w:numFmt w:val="bullet"/>
      <w:lvlText w:val="–"/>
      <w:lvlJc w:val="left"/>
      <w:pPr>
        <w:tabs>
          <w:tab w:val="num" w:pos="850"/>
        </w:tabs>
        <w:ind w:left="850" w:hanging="284"/>
      </w:pPr>
      <w:rPr>
        <w:rFonts w:ascii="Times New Roman" w:hAnsi="Times New Roman"/>
        <w:b w:val="0"/>
        <w:i w:val="0"/>
      </w:rPr>
    </w:lvl>
    <w:lvl w:ilvl="2">
      <w:start w:val="1"/>
      <w:numFmt w:val="bullet"/>
      <w:lvlText w:val=":"/>
      <w:lvlJc w:val="left"/>
      <w:pPr>
        <w:tabs>
          <w:tab w:val="num" w:pos="1133"/>
        </w:tabs>
        <w:ind w:left="1133" w:hanging="283"/>
      </w:pPr>
      <w:rPr>
        <w:rFonts w:ascii="Times New Roman" w:hAnsi="Times New Roman"/>
        <w:b w:val="0"/>
        <w:i w:val="0"/>
      </w:rPr>
    </w:lvl>
    <w:lvl w:ilvl="3">
      <w:start w:val="1"/>
      <w:numFmt w:val="decimal"/>
      <w:lvlText w:val="(%4)"/>
      <w:lvlJc w:val="left"/>
      <w:pPr>
        <w:tabs>
          <w:tab w:val="num" w:pos="1723"/>
        </w:tabs>
        <w:ind w:left="1723" w:hanging="360"/>
      </w:pPr>
      <w:rPr>
        <w:rFonts w:cs="Times New Roman"/>
        <w:b w:val="0"/>
        <w:i w:val="0"/>
      </w:rPr>
    </w:lvl>
    <w:lvl w:ilvl="4">
      <w:start w:val="1"/>
      <w:numFmt w:val="lowerLetter"/>
      <w:lvlText w:val="(%5)"/>
      <w:lvlJc w:val="left"/>
      <w:pPr>
        <w:tabs>
          <w:tab w:val="num" w:pos="2083"/>
        </w:tabs>
        <w:ind w:left="2083" w:hanging="360"/>
      </w:pPr>
      <w:rPr>
        <w:rFonts w:cs="Times New Roman"/>
        <w:b w:val="0"/>
        <w:i w:val="0"/>
      </w:rPr>
    </w:lvl>
    <w:lvl w:ilvl="5">
      <w:start w:val="1"/>
      <w:numFmt w:val="lowerRoman"/>
      <w:lvlText w:val="(%6)"/>
      <w:lvlJc w:val="left"/>
      <w:pPr>
        <w:tabs>
          <w:tab w:val="num" w:pos="2443"/>
        </w:tabs>
        <w:ind w:left="2443" w:hanging="360"/>
      </w:pPr>
      <w:rPr>
        <w:rFonts w:cs="Times New Roman"/>
        <w:b w:val="0"/>
        <w:i w:val="0"/>
      </w:rPr>
    </w:lvl>
    <w:lvl w:ilvl="6">
      <w:start w:val="1"/>
      <w:numFmt w:val="decimal"/>
      <w:lvlText w:val="%7."/>
      <w:lvlJc w:val="left"/>
      <w:pPr>
        <w:tabs>
          <w:tab w:val="num" w:pos="2803"/>
        </w:tabs>
        <w:ind w:left="2803" w:hanging="360"/>
      </w:pPr>
      <w:rPr>
        <w:rFonts w:cs="Times New Roman"/>
        <w:b w:val="0"/>
        <w:i w:val="0"/>
      </w:rPr>
    </w:lvl>
    <w:lvl w:ilvl="7">
      <w:start w:val="1"/>
      <w:numFmt w:val="lowerLetter"/>
      <w:lvlText w:val="%8."/>
      <w:lvlJc w:val="left"/>
      <w:pPr>
        <w:tabs>
          <w:tab w:val="num" w:pos="3163"/>
        </w:tabs>
        <w:ind w:left="3163" w:hanging="360"/>
      </w:pPr>
      <w:rPr>
        <w:rFonts w:cs="Times New Roman"/>
        <w:b w:val="0"/>
        <w:i w:val="0"/>
      </w:rPr>
    </w:lvl>
    <w:lvl w:ilvl="8">
      <w:start w:val="1"/>
      <w:numFmt w:val="lowerRoman"/>
      <w:lvlText w:val="%9."/>
      <w:lvlJc w:val="left"/>
      <w:pPr>
        <w:tabs>
          <w:tab w:val="num" w:pos="3523"/>
        </w:tabs>
        <w:ind w:left="3523" w:hanging="360"/>
      </w:pPr>
      <w:rPr>
        <w:rFonts w:cs="Times New Roman"/>
        <w:b w:val="0"/>
        <w:i w:val="0"/>
      </w:rPr>
    </w:lvl>
  </w:abstractNum>
  <w:abstractNum w:abstractNumId="11" w15:restartNumberingAfterBreak="0">
    <w:nsid w:val="278D78E7"/>
    <w:multiLevelType w:val="multilevel"/>
    <w:tmpl w:val="5C4AE05C"/>
    <w:lvl w:ilvl="0">
      <w:start w:val="1"/>
      <w:numFmt w:val="lowerRoman"/>
      <w:lvlRestart w:val="0"/>
      <w:lvlText w:val="(%1)"/>
      <w:lvlJc w:val="left"/>
      <w:pPr>
        <w:tabs>
          <w:tab w:val="num" w:pos="1418"/>
        </w:tabs>
        <w:ind w:left="1418" w:hanging="284"/>
      </w:pPr>
      <w:rPr>
        <w:rFonts w:cs="Times New Roman" w:hint="default"/>
        <w:b w:val="0"/>
        <w:i w:val="0"/>
        <w:color w:val="000000"/>
      </w:rPr>
    </w:lvl>
    <w:lvl w:ilvl="1">
      <w:start w:val="1"/>
      <w:numFmt w:val="decimal"/>
      <w:pStyle w:val="Indentednumberpara"/>
      <w:lvlText w:val="(%2)"/>
      <w:lvlJc w:val="left"/>
      <w:pPr>
        <w:tabs>
          <w:tab w:val="num" w:pos="2268"/>
        </w:tabs>
        <w:ind w:left="2268"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12" w15:restartNumberingAfterBreak="0">
    <w:nsid w:val="297A625E"/>
    <w:multiLevelType w:val="multilevel"/>
    <w:tmpl w:val="4412DE6C"/>
    <w:name w:val="AGSDash"/>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13" w15:restartNumberingAfterBreak="0">
    <w:nsid w:val="328B3D39"/>
    <w:multiLevelType w:val="hybridMultilevel"/>
    <w:tmpl w:val="652836B2"/>
    <w:lvl w:ilvl="0" w:tplc="A27C1DFA">
      <w:start w:val="1"/>
      <w:numFmt w:val="bullet"/>
      <w:lvlText w:val=""/>
      <w:lvlJc w:val="left"/>
      <w:pPr>
        <w:tabs>
          <w:tab w:val="num" w:pos="1134"/>
        </w:tabs>
        <w:ind w:left="1134" w:hanging="567"/>
      </w:pPr>
      <w:rPr>
        <w:rFonts w:ascii="ZapfDingbats" w:hAnsi="ZapfDingbats" w:hint="default"/>
        <w:color w:val="000080"/>
        <w:sz w:val="20"/>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33806B5B"/>
    <w:multiLevelType w:val="hybridMultilevel"/>
    <w:tmpl w:val="83FE5102"/>
    <w:lvl w:ilvl="0" w:tplc="65060E9A">
      <w:start w:val="9"/>
      <w:numFmt w:val="lowerLetter"/>
      <w:lvlText w:val="(%1)"/>
      <w:lvlJc w:val="left"/>
      <w:pPr>
        <w:ind w:left="1494" w:hanging="360"/>
      </w:pPr>
      <w:rPr>
        <w:rFonts w:cs="Times New Roman" w:hint="default"/>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15" w15:restartNumberingAfterBreak="0">
    <w:nsid w:val="33FF7E26"/>
    <w:multiLevelType w:val="hybridMultilevel"/>
    <w:tmpl w:val="93CC6628"/>
    <w:lvl w:ilvl="0" w:tplc="A674538A">
      <w:start w:val="20"/>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5951914"/>
    <w:multiLevelType w:val="hybridMultilevel"/>
    <w:tmpl w:val="88603EB4"/>
    <w:lvl w:ilvl="0" w:tplc="660EB73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67958A1"/>
    <w:multiLevelType w:val="multilevel"/>
    <w:tmpl w:val="4796CDC2"/>
    <w:lvl w:ilvl="0">
      <w:start w:val="1"/>
      <w:numFmt w:val="upperLetter"/>
      <w:pStyle w:val="ScheduleStartNnumber"/>
      <w:suff w:val="nothing"/>
      <w:lvlText w:val="%1"/>
      <w:lvlJc w:val="left"/>
      <w:rPr>
        <w:rFonts w:cs="Times New Roman" w:hint="default"/>
      </w:rPr>
    </w:lvl>
    <w:lvl w:ilvl="1">
      <w:start w:val="1"/>
      <w:numFmt w:val="decimal"/>
      <w:pStyle w:val="ScheduleNumberedPara"/>
      <w:lvlText w:val="%1%2"/>
      <w:lvlJc w:val="left"/>
      <w:pPr>
        <w:tabs>
          <w:tab w:val="num" w:pos="567"/>
        </w:tabs>
        <w:ind w:left="567" w:hanging="567"/>
      </w:pPr>
      <w:rPr>
        <w:rFonts w:cs="Times New Roman"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18" w15:restartNumberingAfterBreak="0">
    <w:nsid w:val="492725F5"/>
    <w:multiLevelType w:val="multilevel"/>
    <w:tmpl w:val="BD1A2058"/>
    <w:lvl w:ilvl="0">
      <w:start w:val="1"/>
      <w:numFmt w:val="lowerLetter"/>
      <w:lvlRestart w:val="0"/>
      <w:lvlText w:val="(%1)"/>
      <w:lvlJc w:val="left"/>
      <w:pPr>
        <w:tabs>
          <w:tab w:val="num" w:pos="1701"/>
        </w:tabs>
        <w:ind w:left="1134"/>
      </w:pPr>
      <w:rPr>
        <w:rFonts w:cs="Times New Roman" w:hint="default"/>
        <w:b w:val="0"/>
        <w:i w:val="0"/>
        <w:color w:val="000000"/>
      </w:rPr>
    </w:lvl>
    <w:lvl w:ilvl="1">
      <w:start w:val="1"/>
      <w:numFmt w:val="bullet"/>
      <w:lvlText w:val=""/>
      <w:lvlJc w:val="left"/>
      <w:pPr>
        <w:tabs>
          <w:tab w:val="num" w:pos="1701"/>
        </w:tabs>
        <w:ind w:left="1701" w:hanging="567"/>
      </w:pPr>
      <w:rPr>
        <w:rFonts w:ascii="Symbol" w:hAnsi="Symbol"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19" w15:restartNumberingAfterBreak="0">
    <w:nsid w:val="4AB5373F"/>
    <w:multiLevelType w:val="hybridMultilevel"/>
    <w:tmpl w:val="50EABAC0"/>
    <w:lvl w:ilvl="0" w:tplc="0B4A571C">
      <w:start w:val="1"/>
      <w:numFmt w:val="decimal"/>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0" w15:restartNumberingAfterBreak="0">
    <w:nsid w:val="4CE06931"/>
    <w:multiLevelType w:val="singleLevel"/>
    <w:tmpl w:val="4366EF18"/>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21" w15:restartNumberingAfterBreak="0">
    <w:nsid w:val="55CE0768"/>
    <w:multiLevelType w:val="hybridMultilevel"/>
    <w:tmpl w:val="9190AFEA"/>
    <w:lvl w:ilvl="0" w:tplc="0206F444">
      <w:start w:val="1"/>
      <w:numFmt w:val="bullet"/>
      <w:pStyle w:val="AgreementParties"/>
      <w:lvlText w:val=""/>
      <w:lvlJc w:val="left"/>
      <w:pPr>
        <w:tabs>
          <w:tab w:val="num" w:pos="567"/>
        </w:tabs>
        <w:ind w:left="567" w:hanging="567"/>
      </w:pPr>
      <w:rPr>
        <w:rFonts w:ascii="ZapfDingbats" w:hAnsi="ZapfDingbats" w:hint="default"/>
        <w:color w:val="000080"/>
        <w:sz w:val="20"/>
      </w:rPr>
    </w:lvl>
    <w:lvl w:ilvl="1" w:tplc="54E077B4" w:tentative="1">
      <w:start w:val="1"/>
      <w:numFmt w:val="bullet"/>
      <w:lvlText w:val="o"/>
      <w:lvlJc w:val="left"/>
      <w:pPr>
        <w:tabs>
          <w:tab w:val="num" w:pos="1440"/>
        </w:tabs>
        <w:ind w:left="1440" w:hanging="360"/>
      </w:pPr>
      <w:rPr>
        <w:rFonts w:ascii="Courier New" w:hAnsi="Courier New" w:hint="default"/>
      </w:rPr>
    </w:lvl>
    <w:lvl w:ilvl="2" w:tplc="C0E6D21E" w:tentative="1">
      <w:start w:val="1"/>
      <w:numFmt w:val="bullet"/>
      <w:lvlText w:val=""/>
      <w:lvlJc w:val="left"/>
      <w:pPr>
        <w:tabs>
          <w:tab w:val="num" w:pos="2160"/>
        </w:tabs>
        <w:ind w:left="2160" w:hanging="360"/>
      </w:pPr>
      <w:rPr>
        <w:rFonts w:ascii="Wingdings" w:hAnsi="Wingdings" w:hint="default"/>
      </w:rPr>
    </w:lvl>
    <w:lvl w:ilvl="3" w:tplc="4964E6A6" w:tentative="1">
      <w:start w:val="1"/>
      <w:numFmt w:val="bullet"/>
      <w:lvlText w:val=""/>
      <w:lvlJc w:val="left"/>
      <w:pPr>
        <w:tabs>
          <w:tab w:val="num" w:pos="2880"/>
        </w:tabs>
        <w:ind w:left="2880" w:hanging="360"/>
      </w:pPr>
      <w:rPr>
        <w:rFonts w:ascii="Symbol" w:hAnsi="Symbol" w:hint="default"/>
      </w:rPr>
    </w:lvl>
    <w:lvl w:ilvl="4" w:tplc="1758C9A0" w:tentative="1">
      <w:start w:val="1"/>
      <w:numFmt w:val="bullet"/>
      <w:lvlText w:val="o"/>
      <w:lvlJc w:val="left"/>
      <w:pPr>
        <w:tabs>
          <w:tab w:val="num" w:pos="3600"/>
        </w:tabs>
        <w:ind w:left="3600" w:hanging="360"/>
      </w:pPr>
      <w:rPr>
        <w:rFonts w:ascii="Courier New" w:hAnsi="Courier New" w:hint="default"/>
      </w:rPr>
    </w:lvl>
    <w:lvl w:ilvl="5" w:tplc="918063DA" w:tentative="1">
      <w:start w:val="1"/>
      <w:numFmt w:val="bullet"/>
      <w:lvlText w:val=""/>
      <w:lvlJc w:val="left"/>
      <w:pPr>
        <w:tabs>
          <w:tab w:val="num" w:pos="4320"/>
        </w:tabs>
        <w:ind w:left="4320" w:hanging="360"/>
      </w:pPr>
      <w:rPr>
        <w:rFonts w:ascii="Wingdings" w:hAnsi="Wingdings" w:hint="default"/>
      </w:rPr>
    </w:lvl>
    <w:lvl w:ilvl="6" w:tplc="310CFC8A" w:tentative="1">
      <w:start w:val="1"/>
      <w:numFmt w:val="bullet"/>
      <w:lvlText w:val=""/>
      <w:lvlJc w:val="left"/>
      <w:pPr>
        <w:tabs>
          <w:tab w:val="num" w:pos="5040"/>
        </w:tabs>
        <w:ind w:left="5040" w:hanging="360"/>
      </w:pPr>
      <w:rPr>
        <w:rFonts w:ascii="Symbol" w:hAnsi="Symbol" w:hint="default"/>
      </w:rPr>
    </w:lvl>
    <w:lvl w:ilvl="7" w:tplc="C9C07C10" w:tentative="1">
      <w:start w:val="1"/>
      <w:numFmt w:val="bullet"/>
      <w:lvlText w:val="o"/>
      <w:lvlJc w:val="left"/>
      <w:pPr>
        <w:tabs>
          <w:tab w:val="num" w:pos="5760"/>
        </w:tabs>
        <w:ind w:left="5760" w:hanging="360"/>
      </w:pPr>
      <w:rPr>
        <w:rFonts w:ascii="Courier New" w:hAnsi="Courier New" w:hint="default"/>
      </w:rPr>
    </w:lvl>
    <w:lvl w:ilvl="8" w:tplc="F5929A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3" w15:restartNumberingAfterBreak="0">
    <w:nsid w:val="59B70749"/>
    <w:multiLevelType w:val="multilevel"/>
    <w:tmpl w:val="73ECACC0"/>
    <w:lvl w:ilvl="0">
      <w:start w:val="1"/>
      <w:numFmt w:val="lowerLetter"/>
      <w:lvlRestart w:val="0"/>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4" w15:restartNumberingAfterBreak="0">
    <w:nsid w:val="5E0A6F8D"/>
    <w:multiLevelType w:val="multilevel"/>
    <w:tmpl w:val="51941ED6"/>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5" w15:restartNumberingAfterBreak="0">
    <w:nsid w:val="5F2267F4"/>
    <w:multiLevelType w:val="hybridMultilevel"/>
    <w:tmpl w:val="392CB1C2"/>
    <w:lvl w:ilvl="0" w:tplc="7B888D2C">
      <w:start w:val="1"/>
      <w:numFmt w:val="lowerRoman"/>
      <w:lvlText w:val="(%1)"/>
      <w:lvlJc w:val="left"/>
      <w:pPr>
        <w:ind w:left="1494" w:hanging="360"/>
      </w:pPr>
      <w:rPr>
        <w:rFonts w:hint="default"/>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26" w15:restartNumberingAfterBreak="0">
    <w:nsid w:val="68F539CD"/>
    <w:multiLevelType w:val="hybridMultilevel"/>
    <w:tmpl w:val="68420772"/>
    <w:lvl w:ilvl="0" w:tplc="E4760E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C610208"/>
    <w:multiLevelType w:val="multilevel"/>
    <w:tmpl w:val="73ECACC0"/>
    <w:lvl w:ilvl="0">
      <w:start w:val="1"/>
      <w:numFmt w:val="lowerLetter"/>
      <w:lvlRestart w:val="0"/>
      <w:lvlText w:val="(%1)"/>
      <w:lvlJc w:val="left"/>
      <w:pPr>
        <w:tabs>
          <w:tab w:val="num" w:pos="1701"/>
        </w:tabs>
        <w:ind w:left="1134"/>
      </w:pPr>
      <w:rPr>
        <w:rFonts w:cs="Times New Roman" w:hint="default"/>
        <w:b w:val="0"/>
        <w:i w:val="0"/>
        <w:color w:val="000000"/>
      </w:rPr>
    </w:lvl>
    <w:lvl w:ilvl="1">
      <w:start w:val="1"/>
      <w:numFmt w:val="decimal"/>
      <w:lvlText w:val="%2"/>
      <w:lvlJc w:val="left"/>
      <w:pPr>
        <w:tabs>
          <w:tab w:val="num" w:pos="1701"/>
        </w:tabs>
        <w:ind w:left="1701"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28" w15:restartNumberingAfterBreak="0">
    <w:nsid w:val="6D7A39BC"/>
    <w:multiLevelType w:val="multilevel"/>
    <w:tmpl w:val="8684E98A"/>
    <w:lvl w:ilvl="0">
      <w:start w:val="1"/>
      <w:numFmt w:val="none"/>
      <w:lvlText w:val="%1"/>
      <w:lvlJc w:val="left"/>
      <w:pPr>
        <w:tabs>
          <w:tab w:val="num" w:pos="0"/>
        </w:tabs>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upperLetter"/>
      <w:lvlRestart w:val="0"/>
      <w:pStyle w:val="Heading9"/>
      <w:suff w:val="space"/>
      <w:lvlText w:val="Schedule %9"/>
      <w:lvlJc w:val="left"/>
      <w:rPr>
        <w:rFonts w:cs="Times New Roman" w:hint="default"/>
        <w:color w:val="800000"/>
      </w:rPr>
    </w:lvl>
  </w:abstractNum>
  <w:abstractNum w:abstractNumId="29" w15:restartNumberingAfterBreak="0">
    <w:nsid w:val="72D81726"/>
    <w:multiLevelType w:val="hybridMultilevel"/>
    <w:tmpl w:val="A320A2B0"/>
    <w:lvl w:ilvl="0" w:tplc="E4760E08">
      <w:start w:val="1"/>
      <w:numFmt w:val="lowerLetter"/>
      <w:lvlText w:val="(%1)"/>
      <w:lvlJc w:val="left"/>
      <w:pPr>
        <w:tabs>
          <w:tab w:val="num" w:pos="567"/>
        </w:tabs>
        <w:ind w:left="567" w:hanging="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6A100C"/>
    <w:multiLevelType w:val="multilevel"/>
    <w:tmpl w:val="E1C621AE"/>
    <w:lvl w:ilvl="0">
      <w:start w:val="2"/>
      <w:numFmt w:val="decimal"/>
      <w:pStyle w:val="NumberedParagraph"/>
      <w:lvlText w:val="%1."/>
      <w:lvlJc w:val="left"/>
      <w:pPr>
        <w:tabs>
          <w:tab w:val="num" w:pos="567"/>
        </w:tabs>
      </w:pPr>
      <w:rPr>
        <w:rFonts w:cs="Bauhaus 93" w:hint="default"/>
      </w:rPr>
    </w:lvl>
    <w:lvl w:ilvl="1">
      <w:start w:val="1"/>
      <w:numFmt w:val="lowerLetter"/>
      <w:lvlText w:val="(%2)"/>
      <w:lvlJc w:val="left"/>
      <w:pPr>
        <w:tabs>
          <w:tab w:val="num" w:pos="1701"/>
        </w:tabs>
        <w:ind w:left="1701" w:hanging="567"/>
      </w:pPr>
      <w:rPr>
        <w:rFonts w:cs="Bauhaus 93" w:hint="default"/>
      </w:rPr>
    </w:lvl>
    <w:lvl w:ilvl="2">
      <w:start w:val="1"/>
      <w:numFmt w:val="lowerRoman"/>
      <w:lvlText w:val="(%3)"/>
      <w:lvlJc w:val="left"/>
      <w:pPr>
        <w:tabs>
          <w:tab w:val="num" w:pos="2268"/>
        </w:tabs>
        <w:ind w:left="2268" w:hanging="567"/>
      </w:pPr>
      <w:rPr>
        <w:rFonts w:cs="Bauhaus 93" w:hint="default"/>
      </w:rPr>
    </w:lvl>
    <w:lvl w:ilvl="3">
      <w:start w:val="1"/>
      <w:numFmt w:val="decimal"/>
      <w:lvlText w:val="(%4)"/>
      <w:lvlJc w:val="left"/>
      <w:pPr>
        <w:tabs>
          <w:tab w:val="num" w:pos="2007"/>
        </w:tabs>
        <w:ind w:left="2007" w:hanging="360"/>
      </w:pPr>
      <w:rPr>
        <w:rFonts w:cs="Bauhaus 93" w:hint="default"/>
      </w:rPr>
    </w:lvl>
    <w:lvl w:ilvl="4">
      <w:start w:val="1"/>
      <w:numFmt w:val="lowerLetter"/>
      <w:lvlText w:val="(%5)"/>
      <w:lvlJc w:val="left"/>
      <w:pPr>
        <w:tabs>
          <w:tab w:val="num" w:pos="2367"/>
        </w:tabs>
        <w:ind w:left="2367" w:hanging="360"/>
      </w:pPr>
      <w:rPr>
        <w:rFonts w:cs="Bauhaus 93" w:hint="default"/>
      </w:rPr>
    </w:lvl>
    <w:lvl w:ilvl="5">
      <w:start w:val="1"/>
      <w:numFmt w:val="lowerRoman"/>
      <w:lvlText w:val="(%6)"/>
      <w:lvlJc w:val="left"/>
      <w:pPr>
        <w:tabs>
          <w:tab w:val="num" w:pos="2727"/>
        </w:tabs>
        <w:ind w:left="2727" w:hanging="360"/>
      </w:pPr>
      <w:rPr>
        <w:rFonts w:cs="Bauhaus 93" w:hint="default"/>
      </w:rPr>
    </w:lvl>
    <w:lvl w:ilvl="6">
      <w:start w:val="1"/>
      <w:numFmt w:val="decimal"/>
      <w:lvlText w:val="%7."/>
      <w:lvlJc w:val="left"/>
      <w:pPr>
        <w:tabs>
          <w:tab w:val="num" w:pos="3087"/>
        </w:tabs>
        <w:ind w:left="3087" w:hanging="360"/>
      </w:pPr>
      <w:rPr>
        <w:rFonts w:cs="Bauhaus 93" w:hint="default"/>
      </w:rPr>
    </w:lvl>
    <w:lvl w:ilvl="7">
      <w:start w:val="1"/>
      <w:numFmt w:val="lowerLetter"/>
      <w:lvlText w:val="%8."/>
      <w:lvlJc w:val="left"/>
      <w:pPr>
        <w:tabs>
          <w:tab w:val="num" w:pos="3447"/>
        </w:tabs>
        <w:ind w:left="3447" w:hanging="360"/>
      </w:pPr>
      <w:rPr>
        <w:rFonts w:cs="Bauhaus 93" w:hint="default"/>
      </w:rPr>
    </w:lvl>
    <w:lvl w:ilvl="8">
      <w:start w:val="1"/>
      <w:numFmt w:val="lowerRoman"/>
      <w:lvlText w:val="%9."/>
      <w:lvlJc w:val="left"/>
      <w:pPr>
        <w:tabs>
          <w:tab w:val="num" w:pos="3807"/>
        </w:tabs>
        <w:ind w:left="3807" w:hanging="360"/>
      </w:pPr>
      <w:rPr>
        <w:rFonts w:cs="Bauhaus 93" w:hint="default"/>
      </w:rPr>
    </w:lvl>
  </w:abstractNum>
  <w:abstractNum w:abstractNumId="31" w15:restartNumberingAfterBreak="0">
    <w:nsid w:val="78854AAC"/>
    <w:multiLevelType w:val="hybridMultilevel"/>
    <w:tmpl w:val="54B4E8A4"/>
    <w:lvl w:ilvl="0" w:tplc="C76AB8CE">
      <w:start w:val="1"/>
      <w:numFmt w:val="decimal"/>
      <w:lvlText w:val="%1."/>
      <w:lvlJc w:val="left"/>
      <w:pPr>
        <w:tabs>
          <w:tab w:val="num" w:pos="567"/>
        </w:tabs>
        <w:ind w:left="567" w:hanging="567"/>
      </w:pPr>
      <w:rPr>
        <w:rFonts w:cs="Times New Roman" w:hint="default"/>
        <w:b w:val="0"/>
        <w:color w:val="auto"/>
        <w:sz w:val="23"/>
        <w:szCs w:val="23"/>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78FA50DE"/>
    <w:multiLevelType w:val="hybridMultilevel"/>
    <w:tmpl w:val="392CB1C2"/>
    <w:lvl w:ilvl="0" w:tplc="7B888D2C">
      <w:start w:val="1"/>
      <w:numFmt w:val="lowerRoman"/>
      <w:lvlText w:val="(%1)"/>
      <w:lvlJc w:val="left"/>
      <w:pPr>
        <w:ind w:left="1494" w:hanging="360"/>
      </w:pPr>
      <w:rPr>
        <w:rFonts w:hint="default"/>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9"/>
  </w:num>
  <w:num w:numId="15">
    <w:abstractNumId w:val="20"/>
  </w:num>
  <w:num w:numId="16">
    <w:abstractNumId w:val="22"/>
  </w:num>
  <w:num w:numId="17">
    <w:abstractNumId w:val="5"/>
  </w:num>
  <w:num w:numId="18">
    <w:abstractNumId w:val="24"/>
  </w:num>
  <w:num w:numId="19">
    <w:abstractNumId w:val="10"/>
  </w:num>
  <w:num w:numId="20">
    <w:abstractNumId w:val="13"/>
  </w:num>
  <w:num w:numId="21">
    <w:abstractNumId w:val="6"/>
  </w:num>
  <w:num w:numId="22">
    <w:abstractNumId w:val="11"/>
  </w:num>
  <w:num w:numId="23">
    <w:abstractNumId w:val="31"/>
  </w:num>
  <w:num w:numId="24">
    <w:abstractNumId w:val="2"/>
  </w:num>
  <w:num w:numId="25">
    <w:abstractNumId w:val="21"/>
  </w:num>
  <w:num w:numId="26">
    <w:abstractNumId w:val="28"/>
  </w:num>
  <w:num w:numId="27">
    <w:abstractNumId w:val="17"/>
  </w:num>
  <w:num w:numId="28">
    <w:abstractNumId w:val="23"/>
  </w:num>
  <w:num w:numId="29">
    <w:abstractNumId w:val="30"/>
  </w:num>
  <w:num w:numId="30">
    <w:abstractNumId w:val="7"/>
  </w:num>
  <w:num w:numId="31">
    <w:abstractNumId w:val="1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num>
  <w:num w:numId="39">
    <w:abstractNumId w:val="26"/>
  </w:num>
  <w:num w:numId="40">
    <w:abstractNumId w:val="29"/>
  </w:num>
  <w:num w:numId="41">
    <w:abstractNumId w:val="0"/>
  </w:num>
  <w:num w:numId="42">
    <w:abstractNumId w:val="0"/>
  </w:num>
  <w:num w:numId="43">
    <w:abstractNumId w:val="10"/>
  </w:num>
  <w:num w:numId="44">
    <w:abstractNumId w:val="0"/>
  </w:num>
  <w:num w:numId="45">
    <w:abstractNumId w:val="1"/>
  </w:num>
  <w:num w:numId="46">
    <w:abstractNumId w:val="16"/>
  </w:num>
  <w:num w:numId="47">
    <w:abstractNumId w:val="14"/>
  </w:num>
  <w:num w:numId="48">
    <w:abstractNumId w:val="19"/>
  </w:num>
  <w:num w:numId="49">
    <w:abstractNumId w:val="32"/>
  </w:num>
  <w:num w:numId="50">
    <w:abstractNumId w:val="3"/>
  </w:num>
  <w:num w:numId="51">
    <w:abstractNumId w:val="4"/>
  </w:num>
  <w:num w:numId="52">
    <w:abstractNumId w:val="0"/>
  </w:num>
  <w:num w:numId="53">
    <w:abstractNumId w:val="27"/>
  </w:num>
  <w:num w:numId="54">
    <w:abstractNumId w:val="18"/>
  </w:num>
  <w:num w:numId="5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67"/>
    <w:rsid w:val="00005A5D"/>
    <w:rsid w:val="000076D9"/>
    <w:rsid w:val="00010235"/>
    <w:rsid w:val="00016684"/>
    <w:rsid w:val="00021708"/>
    <w:rsid w:val="000243F6"/>
    <w:rsid w:val="00030CB2"/>
    <w:rsid w:val="000328D2"/>
    <w:rsid w:val="000343F1"/>
    <w:rsid w:val="00044700"/>
    <w:rsid w:val="0004742B"/>
    <w:rsid w:val="0006051B"/>
    <w:rsid w:val="000614F9"/>
    <w:rsid w:val="0006451A"/>
    <w:rsid w:val="0006551D"/>
    <w:rsid w:val="00065679"/>
    <w:rsid w:val="0007004C"/>
    <w:rsid w:val="000724F6"/>
    <w:rsid w:val="00074611"/>
    <w:rsid w:val="00074A62"/>
    <w:rsid w:val="00086712"/>
    <w:rsid w:val="00091DF8"/>
    <w:rsid w:val="000931C2"/>
    <w:rsid w:val="00093CB6"/>
    <w:rsid w:val="00093DD8"/>
    <w:rsid w:val="00097794"/>
    <w:rsid w:val="000A0C9E"/>
    <w:rsid w:val="000A5191"/>
    <w:rsid w:val="000B4080"/>
    <w:rsid w:val="000B549A"/>
    <w:rsid w:val="000B7685"/>
    <w:rsid w:val="000C714F"/>
    <w:rsid w:val="000C75F3"/>
    <w:rsid w:val="000D0A4C"/>
    <w:rsid w:val="000D19D8"/>
    <w:rsid w:val="000D1C37"/>
    <w:rsid w:val="000D4377"/>
    <w:rsid w:val="000D5DE6"/>
    <w:rsid w:val="000E075D"/>
    <w:rsid w:val="000E2AF6"/>
    <w:rsid w:val="000E36B7"/>
    <w:rsid w:val="000E3C70"/>
    <w:rsid w:val="000E48C3"/>
    <w:rsid w:val="000F0880"/>
    <w:rsid w:val="000F25D5"/>
    <w:rsid w:val="000F6CF6"/>
    <w:rsid w:val="00103FD6"/>
    <w:rsid w:val="00104C24"/>
    <w:rsid w:val="001065EE"/>
    <w:rsid w:val="00110F5D"/>
    <w:rsid w:val="001134AC"/>
    <w:rsid w:val="00115166"/>
    <w:rsid w:val="00115A97"/>
    <w:rsid w:val="00122DBA"/>
    <w:rsid w:val="001262B5"/>
    <w:rsid w:val="00132587"/>
    <w:rsid w:val="001404A9"/>
    <w:rsid w:val="00140F43"/>
    <w:rsid w:val="00145D5C"/>
    <w:rsid w:val="00151133"/>
    <w:rsid w:val="00156E7E"/>
    <w:rsid w:val="00160506"/>
    <w:rsid w:val="0016131F"/>
    <w:rsid w:val="001629FA"/>
    <w:rsid w:val="00165CAB"/>
    <w:rsid w:val="00166312"/>
    <w:rsid w:val="00167BB8"/>
    <w:rsid w:val="00172360"/>
    <w:rsid w:val="00172E3A"/>
    <w:rsid w:val="00173F81"/>
    <w:rsid w:val="00174C2A"/>
    <w:rsid w:val="00175FB9"/>
    <w:rsid w:val="00177A0A"/>
    <w:rsid w:val="00180560"/>
    <w:rsid w:val="00180F76"/>
    <w:rsid w:val="00183EAB"/>
    <w:rsid w:val="00185CC1"/>
    <w:rsid w:val="00187BEB"/>
    <w:rsid w:val="001931E8"/>
    <w:rsid w:val="00194232"/>
    <w:rsid w:val="00194587"/>
    <w:rsid w:val="001A0F3C"/>
    <w:rsid w:val="001A1422"/>
    <w:rsid w:val="001A14C1"/>
    <w:rsid w:val="001A19F5"/>
    <w:rsid w:val="001A22ED"/>
    <w:rsid w:val="001A3A9A"/>
    <w:rsid w:val="001A3D81"/>
    <w:rsid w:val="001A3F52"/>
    <w:rsid w:val="001A4093"/>
    <w:rsid w:val="001A4A94"/>
    <w:rsid w:val="001A79C1"/>
    <w:rsid w:val="001A7A15"/>
    <w:rsid w:val="001B19A0"/>
    <w:rsid w:val="001B1CA3"/>
    <w:rsid w:val="001B447F"/>
    <w:rsid w:val="001B580E"/>
    <w:rsid w:val="001B5CCF"/>
    <w:rsid w:val="001B7933"/>
    <w:rsid w:val="001C0902"/>
    <w:rsid w:val="001C346E"/>
    <w:rsid w:val="001C3717"/>
    <w:rsid w:val="001C5CC5"/>
    <w:rsid w:val="001D2C27"/>
    <w:rsid w:val="001D3CAD"/>
    <w:rsid w:val="001D6E9A"/>
    <w:rsid w:val="001E0149"/>
    <w:rsid w:val="001E20EC"/>
    <w:rsid w:val="001E4479"/>
    <w:rsid w:val="001E7173"/>
    <w:rsid w:val="001E74D0"/>
    <w:rsid w:val="001E7803"/>
    <w:rsid w:val="001F0CD0"/>
    <w:rsid w:val="001F1D48"/>
    <w:rsid w:val="001F6F39"/>
    <w:rsid w:val="001F6FE8"/>
    <w:rsid w:val="0020144E"/>
    <w:rsid w:val="00205E18"/>
    <w:rsid w:val="00206773"/>
    <w:rsid w:val="002069F9"/>
    <w:rsid w:val="002070E7"/>
    <w:rsid w:val="00212869"/>
    <w:rsid w:val="00217ECB"/>
    <w:rsid w:val="00220539"/>
    <w:rsid w:val="00221308"/>
    <w:rsid w:val="00222C97"/>
    <w:rsid w:val="00225761"/>
    <w:rsid w:val="00233835"/>
    <w:rsid w:val="00236E91"/>
    <w:rsid w:val="00241BB0"/>
    <w:rsid w:val="00241EE9"/>
    <w:rsid w:val="00243EB7"/>
    <w:rsid w:val="00244500"/>
    <w:rsid w:val="00247D45"/>
    <w:rsid w:val="00252551"/>
    <w:rsid w:val="00261ABA"/>
    <w:rsid w:val="0026272A"/>
    <w:rsid w:val="00262E18"/>
    <w:rsid w:val="0026571E"/>
    <w:rsid w:val="0028030C"/>
    <w:rsid w:val="00281874"/>
    <w:rsid w:val="00282C25"/>
    <w:rsid w:val="00282D9A"/>
    <w:rsid w:val="00284884"/>
    <w:rsid w:val="00285003"/>
    <w:rsid w:val="0028644C"/>
    <w:rsid w:val="002869F5"/>
    <w:rsid w:val="002875B7"/>
    <w:rsid w:val="00287DCC"/>
    <w:rsid w:val="00291CF1"/>
    <w:rsid w:val="00292587"/>
    <w:rsid w:val="002A143D"/>
    <w:rsid w:val="002A3DE9"/>
    <w:rsid w:val="002A493A"/>
    <w:rsid w:val="002A530A"/>
    <w:rsid w:val="002A5884"/>
    <w:rsid w:val="002A6863"/>
    <w:rsid w:val="002A6981"/>
    <w:rsid w:val="002B1C50"/>
    <w:rsid w:val="002B207C"/>
    <w:rsid w:val="002B2D8B"/>
    <w:rsid w:val="002B3915"/>
    <w:rsid w:val="002B7922"/>
    <w:rsid w:val="002B7E1B"/>
    <w:rsid w:val="002C2529"/>
    <w:rsid w:val="002C2861"/>
    <w:rsid w:val="002C2A03"/>
    <w:rsid w:val="002C32E9"/>
    <w:rsid w:val="002C62B3"/>
    <w:rsid w:val="002C7620"/>
    <w:rsid w:val="002D122C"/>
    <w:rsid w:val="002D7CF9"/>
    <w:rsid w:val="002E144A"/>
    <w:rsid w:val="002E2DE2"/>
    <w:rsid w:val="002E4B66"/>
    <w:rsid w:val="002F576A"/>
    <w:rsid w:val="002F576E"/>
    <w:rsid w:val="002F5B29"/>
    <w:rsid w:val="002F5B54"/>
    <w:rsid w:val="002F5C6C"/>
    <w:rsid w:val="002F7377"/>
    <w:rsid w:val="002F7E40"/>
    <w:rsid w:val="003012DA"/>
    <w:rsid w:val="00307C5C"/>
    <w:rsid w:val="00312CFE"/>
    <w:rsid w:val="003133D5"/>
    <w:rsid w:val="00313480"/>
    <w:rsid w:val="00313C98"/>
    <w:rsid w:val="00313FD9"/>
    <w:rsid w:val="003155BD"/>
    <w:rsid w:val="003177B9"/>
    <w:rsid w:val="00321E0A"/>
    <w:rsid w:val="00326B50"/>
    <w:rsid w:val="00333506"/>
    <w:rsid w:val="00333D1E"/>
    <w:rsid w:val="0033493C"/>
    <w:rsid w:val="00340987"/>
    <w:rsid w:val="003410AA"/>
    <w:rsid w:val="0034465F"/>
    <w:rsid w:val="00347B78"/>
    <w:rsid w:val="00352A6B"/>
    <w:rsid w:val="00352EC1"/>
    <w:rsid w:val="00361054"/>
    <w:rsid w:val="0036119D"/>
    <w:rsid w:val="003637A0"/>
    <w:rsid w:val="0036474E"/>
    <w:rsid w:val="00364CF3"/>
    <w:rsid w:val="00365CAA"/>
    <w:rsid w:val="00367EAB"/>
    <w:rsid w:val="00370CB8"/>
    <w:rsid w:val="00372573"/>
    <w:rsid w:val="003739AE"/>
    <w:rsid w:val="00377AB2"/>
    <w:rsid w:val="00381169"/>
    <w:rsid w:val="003877C3"/>
    <w:rsid w:val="0039283B"/>
    <w:rsid w:val="00396EA4"/>
    <w:rsid w:val="003A0C5F"/>
    <w:rsid w:val="003A2157"/>
    <w:rsid w:val="003A3363"/>
    <w:rsid w:val="003A3905"/>
    <w:rsid w:val="003A3CC1"/>
    <w:rsid w:val="003A6635"/>
    <w:rsid w:val="003A6B0E"/>
    <w:rsid w:val="003A78C6"/>
    <w:rsid w:val="003A7AE1"/>
    <w:rsid w:val="003B5562"/>
    <w:rsid w:val="003B6104"/>
    <w:rsid w:val="003B6363"/>
    <w:rsid w:val="003B737F"/>
    <w:rsid w:val="003C0CF7"/>
    <w:rsid w:val="003C2E5D"/>
    <w:rsid w:val="003C364B"/>
    <w:rsid w:val="003C59E0"/>
    <w:rsid w:val="003C6F2A"/>
    <w:rsid w:val="003D743C"/>
    <w:rsid w:val="003E2924"/>
    <w:rsid w:val="003E33BA"/>
    <w:rsid w:val="003E6BA0"/>
    <w:rsid w:val="003E73DB"/>
    <w:rsid w:val="003F0ADC"/>
    <w:rsid w:val="003F59E6"/>
    <w:rsid w:val="003F5BE6"/>
    <w:rsid w:val="003F6C00"/>
    <w:rsid w:val="003F77A6"/>
    <w:rsid w:val="004120B1"/>
    <w:rsid w:val="00413E74"/>
    <w:rsid w:val="0041421D"/>
    <w:rsid w:val="00414566"/>
    <w:rsid w:val="0041490D"/>
    <w:rsid w:val="00414A5C"/>
    <w:rsid w:val="004156B4"/>
    <w:rsid w:val="0041697F"/>
    <w:rsid w:val="00420235"/>
    <w:rsid w:val="004208CD"/>
    <w:rsid w:val="004223AA"/>
    <w:rsid w:val="00423104"/>
    <w:rsid w:val="004267D3"/>
    <w:rsid w:val="00427E2A"/>
    <w:rsid w:val="00433E65"/>
    <w:rsid w:val="004374B2"/>
    <w:rsid w:val="00441BFB"/>
    <w:rsid w:val="00442AB8"/>
    <w:rsid w:val="004436EA"/>
    <w:rsid w:val="0044456C"/>
    <w:rsid w:val="00446629"/>
    <w:rsid w:val="00450B39"/>
    <w:rsid w:val="00453BC6"/>
    <w:rsid w:val="00454498"/>
    <w:rsid w:val="004547B2"/>
    <w:rsid w:val="00456C59"/>
    <w:rsid w:val="00471450"/>
    <w:rsid w:val="0047157F"/>
    <w:rsid w:val="00477931"/>
    <w:rsid w:val="00490198"/>
    <w:rsid w:val="00490E28"/>
    <w:rsid w:val="00497362"/>
    <w:rsid w:val="00497C77"/>
    <w:rsid w:val="004A00E8"/>
    <w:rsid w:val="004A0AE7"/>
    <w:rsid w:val="004A523F"/>
    <w:rsid w:val="004A6062"/>
    <w:rsid w:val="004A673A"/>
    <w:rsid w:val="004A770F"/>
    <w:rsid w:val="004B0813"/>
    <w:rsid w:val="004B136A"/>
    <w:rsid w:val="004B1F38"/>
    <w:rsid w:val="004B21C5"/>
    <w:rsid w:val="004B2EF6"/>
    <w:rsid w:val="004B34A6"/>
    <w:rsid w:val="004B5612"/>
    <w:rsid w:val="004B5AA7"/>
    <w:rsid w:val="004B6083"/>
    <w:rsid w:val="004B6927"/>
    <w:rsid w:val="004B7CAB"/>
    <w:rsid w:val="004B7E5C"/>
    <w:rsid w:val="004C3CC4"/>
    <w:rsid w:val="004C4D5E"/>
    <w:rsid w:val="004D11ED"/>
    <w:rsid w:val="004D310E"/>
    <w:rsid w:val="004D37D8"/>
    <w:rsid w:val="004D4B81"/>
    <w:rsid w:val="004E28F5"/>
    <w:rsid w:val="004F5DCD"/>
    <w:rsid w:val="004F6B2B"/>
    <w:rsid w:val="005005DF"/>
    <w:rsid w:val="00505045"/>
    <w:rsid w:val="00510B96"/>
    <w:rsid w:val="00511501"/>
    <w:rsid w:val="00511B5B"/>
    <w:rsid w:val="00515AF2"/>
    <w:rsid w:val="0051640E"/>
    <w:rsid w:val="00516741"/>
    <w:rsid w:val="0051684E"/>
    <w:rsid w:val="00526D3A"/>
    <w:rsid w:val="00527ABC"/>
    <w:rsid w:val="0054193D"/>
    <w:rsid w:val="00542A8C"/>
    <w:rsid w:val="00542D59"/>
    <w:rsid w:val="00543637"/>
    <w:rsid w:val="00545DF7"/>
    <w:rsid w:val="00546CA2"/>
    <w:rsid w:val="005539F5"/>
    <w:rsid w:val="0055415C"/>
    <w:rsid w:val="00554AAC"/>
    <w:rsid w:val="0055503F"/>
    <w:rsid w:val="005572D7"/>
    <w:rsid w:val="00563797"/>
    <w:rsid w:val="005651B5"/>
    <w:rsid w:val="00566234"/>
    <w:rsid w:val="0057262B"/>
    <w:rsid w:val="0057284C"/>
    <w:rsid w:val="005815B3"/>
    <w:rsid w:val="00581946"/>
    <w:rsid w:val="00582A03"/>
    <w:rsid w:val="00587E37"/>
    <w:rsid w:val="00593821"/>
    <w:rsid w:val="00596E88"/>
    <w:rsid w:val="00597CBD"/>
    <w:rsid w:val="005A0969"/>
    <w:rsid w:val="005A5E7A"/>
    <w:rsid w:val="005B0DEF"/>
    <w:rsid w:val="005B2A03"/>
    <w:rsid w:val="005B4C1B"/>
    <w:rsid w:val="005B5B09"/>
    <w:rsid w:val="005C2684"/>
    <w:rsid w:val="005C2DDC"/>
    <w:rsid w:val="005C449A"/>
    <w:rsid w:val="005C5620"/>
    <w:rsid w:val="005C578C"/>
    <w:rsid w:val="005D1F0F"/>
    <w:rsid w:val="005D29DB"/>
    <w:rsid w:val="005D41F9"/>
    <w:rsid w:val="005E4143"/>
    <w:rsid w:val="005E6F4B"/>
    <w:rsid w:val="005E724B"/>
    <w:rsid w:val="005F2447"/>
    <w:rsid w:val="00601F7C"/>
    <w:rsid w:val="00602A48"/>
    <w:rsid w:val="00602EF7"/>
    <w:rsid w:val="00606F11"/>
    <w:rsid w:val="00607B03"/>
    <w:rsid w:val="0061059D"/>
    <w:rsid w:val="0061326F"/>
    <w:rsid w:val="00614393"/>
    <w:rsid w:val="006146F2"/>
    <w:rsid w:val="00614C00"/>
    <w:rsid w:val="00623567"/>
    <w:rsid w:val="00632001"/>
    <w:rsid w:val="006412B5"/>
    <w:rsid w:val="00641932"/>
    <w:rsid w:val="00644083"/>
    <w:rsid w:val="0064429B"/>
    <w:rsid w:val="0064477C"/>
    <w:rsid w:val="006451EA"/>
    <w:rsid w:val="00650903"/>
    <w:rsid w:val="006650A8"/>
    <w:rsid w:val="006679C0"/>
    <w:rsid w:val="0067332F"/>
    <w:rsid w:val="00680ED5"/>
    <w:rsid w:val="00681956"/>
    <w:rsid w:val="00682FBA"/>
    <w:rsid w:val="00683370"/>
    <w:rsid w:val="00684EC1"/>
    <w:rsid w:val="006903F9"/>
    <w:rsid w:val="006923C8"/>
    <w:rsid w:val="00692430"/>
    <w:rsid w:val="00694D53"/>
    <w:rsid w:val="00696AB4"/>
    <w:rsid w:val="00696BB7"/>
    <w:rsid w:val="00697494"/>
    <w:rsid w:val="006976BF"/>
    <w:rsid w:val="006A05D7"/>
    <w:rsid w:val="006A4628"/>
    <w:rsid w:val="006B3F39"/>
    <w:rsid w:val="006B4213"/>
    <w:rsid w:val="006B43AF"/>
    <w:rsid w:val="006B4DF0"/>
    <w:rsid w:val="006C1013"/>
    <w:rsid w:val="006C163A"/>
    <w:rsid w:val="006C228B"/>
    <w:rsid w:val="006C2931"/>
    <w:rsid w:val="006D16A7"/>
    <w:rsid w:val="006D466E"/>
    <w:rsid w:val="006D4B70"/>
    <w:rsid w:val="006D4C35"/>
    <w:rsid w:val="006D7A92"/>
    <w:rsid w:val="006E0812"/>
    <w:rsid w:val="006E3B48"/>
    <w:rsid w:val="006E6184"/>
    <w:rsid w:val="006E631B"/>
    <w:rsid w:val="006F096A"/>
    <w:rsid w:val="006F22E3"/>
    <w:rsid w:val="006F3095"/>
    <w:rsid w:val="006F5455"/>
    <w:rsid w:val="006F5CB6"/>
    <w:rsid w:val="006F79D3"/>
    <w:rsid w:val="00703194"/>
    <w:rsid w:val="00706E50"/>
    <w:rsid w:val="0070737C"/>
    <w:rsid w:val="00711229"/>
    <w:rsid w:val="00712061"/>
    <w:rsid w:val="00715018"/>
    <w:rsid w:val="007179FE"/>
    <w:rsid w:val="00717F25"/>
    <w:rsid w:val="007201B1"/>
    <w:rsid w:val="007201D7"/>
    <w:rsid w:val="00724E14"/>
    <w:rsid w:val="00725AD5"/>
    <w:rsid w:val="00725BA4"/>
    <w:rsid w:val="00726DB5"/>
    <w:rsid w:val="00726EB4"/>
    <w:rsid w:val="00731945"/>
    <w:rsid w:val="007363DE"/>
    <w:rsid w:val="0073698D"/>
    <w:rsid w:val="00736C0B"/>
    <w:rsid w:val="00744D93"/>
    <w:rsid w:val="00746531"/>
    <w:rsid w:val="00750F59"/>
    <w:rsid w:val="00751725"/>
    <w:rsid w:val="00752028"/>
    <w:rsid w:val="00752A39"/>
    <w:rsid w:val="0075450A"/>
    <w:rsid w:val="0075717D"/>
    <w:rsid w:val="0076017E"/>
    <w:rsid w:val="00760DB6"/>
    <w:rsid w:val="0076361C"/>
    <w:rsid w:val="007661AE"/>
    <w:rsid w:val="00766A51"/>
    <w:rsid w:val="00771FFF"/>
    <w:rsid w:val="00772818"/>
    <w:rsid w:val="0077685D"/>
    <w:rsid w:val="0077788E"/>
    <w:rsid w:val="00784439"/>
    <w:rsid w:val="00787E75"/>
    <w:rsid w:val="00797257"/>
    <w:rsid w:val="007A3157"/>
    <w:rsid w:val="007A6E20"/>
    <w:rsid w:val="007B10ED"/>
    <w:rsid w:val="007B2B2E"/>
    <w:rsid w:val="007B3BFC"/>
    <w:rsid w:val="007B4B03"/>
    <w:rsid w:val="007C4F31"/>
    <w:rsid w:val="007C5ADD"/>
    <w:rsid w:val="007E5257"/>
    <w:rsid w:val="007E5391"/>
    <w:rsid w:val="007F0BE0"/>
    <w:rsid w:val="007F4EF5"/>
    <w:rsid w:val="00804105"/>
    <w:rsid w:val="00806D94"/>
    <w:rsid w:val="00807AD8"/>
    <w:rsid w:val="00811800"/>
    <w:rsid w:val="00812E1C"/>
    <w:rsid w:val="00813CFF"/>
    <w:rsid w:val="008140C5"/>
    <w:rsid w:val="00814590"/>
    <w:rsid w:val="00814667"/>
    <w:rsid w:val="008148E2"/>
    <w:rsid w:val="008149E4"/>
    <w:rsid w:val="008156B7"/>
    <w:rsid w:val="008166B0"/>
    <w:rsid w:val="00817D90"/>
    <w:rsid w:val="00822355"/>
    <w:rsid w:val="0082332D"/>
    <w:rsid w:val="0082402C"/>
    <w:rsid w:val="00825FF5"/>
    <w:rsid w:val="008262F1"/>
    <w:rsid w:val="00827CC0"/>
    <w:rsid w:val="008311FA"/>
    <w:rsid w:val="008317EF"/>
    <w:rsid w:val="008326B4"/>
    <w:rsid w:val="00845BCC"/>
    <w:rsid w:val="00851465"/>
    <w:rsid w:val="008514B8"/>
    <w:rsid w:val="00852ED8"/>
    <w:rsid w:val="0085330A"/>
    <w:rsid w:val="008550CA"/>
    <w:rsid w:val="0085533A"/>
    <w:rsid w:val="00855543"/>
    <w:rsid w:val="0085738D"/>
    <w:rsid w:val="00862395"/>
    <w:rsid w:val="00864DD3"/>
    <w:rsid w:val="008708D6"/>
    <w:rsid w:val="00874608"/>
    <w:rsid w:val="008760D0"/>
    <w:rsid w:val="00881317"/>
    <w:rsid w:val="008843EE"/>
    <w:rsid w:val="00892CA4"/>
    <w:rsid w:val="00896477"/>
    <w:rsid w:val="00896BD6"/>
    <w:rsid w:val="00896F5A"/>
    <w:rsid w:val="008A3C37"/>
    <w:rsid w:val="008B1840"/>
    <w:rsid w:val="008B6546"/>
    <w:rsid w:val="008B70D3"/>
    <w:rsid w:val="008B73A2"/>
    <w:rsid w:val="008B7FE2"/>
    <w:rsid w:val="008C0BBA"/>
    <w:rsid w:val="008C2450"/>
    <w:rsid w:val="008C7817"/>
    <w:rsid w:val="008C7F5B"/>
    <w:rsid w:val="008D079A"/>
    <w:rsid w:val="008D2F40"/>
    <w:rsid w:val="008D310C"/>
    <w:rsid w:val="008D5B52"/>
    <w:rsid w:val="008E0AD6"/>
    <w:rsid w:val="008E4209"/>
    <w:rsid w:val="008E48FC"/>
    <w:rsid w:val="008E55BD"/>
    <w:rsid w:val="008E7527"/>
    <w:rsid w:val="008F2AD6"/>
    <w:rsid w:val="008F44F1"/>
    <w:rsid w:val="008F4BA8"/>
    <w:rsid w:val="008F5C07"/>
    <w:rsid w:val="008F696D"/>
    <w:rsid w:val="008F7777"/>
    <w:rsid w:val="00901CF5"/>
    <w:rsid w:val="00901F53"/>
    <w:rsid w:val="00906431"/>
    <w:rsid w:val="009115AF"/>
    <w:rsid w:val="00913276"/>
    <w:rsid w:val="009221DF"/>
    <w:rsid w:val="009224FD"/>
    <w:rsid w:val="00927DA7"/>
    <w:rsid w:val="0093296C"/>
    <w:rsid w:val="00935CC7"/>
    <w:rsid w:val="0094002F"/>
    <w:rsid w:val="0094129D"/>
    <w:rsid w:val="00941BB7"/>
    <w:rsid w:val="00944760"/>
    <w:rsid w:val="00946A91"/>
    <w:rsid w:val="00946AE5"/>
    <w:rsid w:val="00950865"/>
    <w:rsid w:val="00951BAD"/>
    <w:rsid w:val="0095223D"/>
    <w:rsid w:val="009526E4"/>
    <w:rsid w:val="00953AA1"/>
    <w:rsid w:val="00954B44"/>
    <w:rsid w:val="009644B8"/>
    <w:rsid w:val="00965888"/>
    <w:rsid w:val="0096732C"/>
    <w:rsid w:val="009703B6"/>
    <w:rsid w:val="00971A4C"/>
    <w:rsid w:val="00975EB5"/>
    <w:rsid w:val="00983979"/>
    <w:rsid w:val="00983DC2"/>
    <w:rsid w:val="00983DF0"/>
    <w:rsid w:val="00991980"/>
    <w:rsid w:val="0099742A"/>
    <w:rsid w:val="009A0446"/>
    <w:rsid w:val="009A062C"/>
    <w:rsid w:val="009A48AF"/>
    <w:rsid w:val="009A522D"/>
    <w:rsid w:val="009B0C68"/>
    <w:rsid w:val="009B3F77"/>
    <w:rsid w:val="009B43D1"/>
    <w:rsid w:val="009B5132"/>
    <w:rsid w:val="009C166A"/>
    <w:rsid w:val="009C2059"/>
    <w:rsid w:val="009C6FFB"/>
    <w:rsid w:val="009C7EF5"/>
    <w:rsid w:val="009D0C93"/>
    <w:rsid w:val="009D24BE"/>
    <w:rsid w:val="009D2FAC"/>
    <w:rsid w:val="009E093C"/>
    <w:rsid w:val="009E1311"/>
    <w:rsid w:val="009E151E"/>
    <w:rsid w:val="009E3ACF"/>
    <w:rsid w:val="009E5DB6"/>
    <w:rsid w:val="009F777E"/>
    <w:rsid w:val="009F7F52"/>
    <w:rsid w:val="00A011AF"/>
    <w:rsid w:val="00A0202C"/>
    <w:rsid w:val="00A0227E"/>
    <w:rsid w:val="00A05C1E"/>
    <w:rsid w:val="00A0603F"/>
    <w:rsid w:val="00A112E6"/>
    <w:rsid w:val="00A14966"/>
    <w:rsid w:val="00A15CAB"/>
    <w:rsid w:val="00A16E8F"/>
    <w:rsid w:val="00A17CCB"/>
    <w:rsid w:val="00A201DE"/>
    <w:rsid w:val="00A211A9"/>
    <w:rsid w:val="00A2422A"/>
    <w:rsid w:val="00A25265"/>
    <w:rsid w:val="00A26FC8"/>
    <w:rsid w:val="00A303A1"/>
    <w:rsid w:val="00A42386"/>
    <w:rsid w:val="00A46EB1"/>
    <w:rsid w:val="00A50751"/>
    <w:rsid w:val="00A50E72"/>
    <w:rsid w:val="00A51FA9"/>
    <w:rsid w:val="00A54B81"/>
    <w:rsid w:val="00A54BE7"/>
    <w:rsid w:val="00A564EB"/>
    <w:rsid w:val="00A62737"/>
    <w:rsid w:val="00A6500A"/>
    <w:rsid w:val="00A65333"/>
    <w:rsid w:val="00A6719E"/>
    <w:rsid w:val="00A72DF7"/>
    <w:rsid w:val="00A733AB"/>
    <w:rsid w:val="00A739F1"/>
    <w:rsid w:val="00A73EA5"/>
    <w:rsid w:val="00A758DE"/>
    <w:rsid w:val="00A76D14"/>
    <w:rsid w:val="00A8189A"/>
    <w:rsid w:val="00A81C2E"/>
    <w:rsid w:val="00A81D92"/>
    <w:rsid w:val="00A81EC4"/>
    <w:rsid w:val="00A83B8E"/>
    <w:rsid w:val="00A8478F"/>
    <w:rsid w:val="00A858C4"/>
    <w:rsid w:val="00A9141E"/>
    <w:rsid w:val="00A9341B"/>
    <w:rsid w:val="00A95908"/>
    <w:rsid w:val="00A974CA"/>
    <w:rsid w:val="00A97E12"/>
    <w:rsid w:val="00AA2CD5"/>
    <w:rsid w:val="00AA4F6C"/>
    <w:rsid w:val="00AB16AE"/>
    <w:rsid w:val="00AB392A"/>
    <w:rsid w:val="00AB41BC"/>
    <w:rsid w:val="00AB5801"/>
    <w:rsid w:val="00AB5A64"/>
    <w:rsid w:val="00AB6B13"/>
    <w:rsid w:val="00AB71A5"/>
    <w:rsid w:val="00AB76C6"/>
    <w:rsid w:val="00AB79E9"/>
    <w:rsid w:val="00AC10C6"/>
    <w:rsid w:val="00AC5567"/>
    <w:rsid w:val="00AD04F4"/>
    <w:rsid w:val="00AD576C"/>
    <w:rsid w:val="00AD670F"/>
    <w:rsid w:val="00AD6C71"/>
    <w:rsid w:val="00AD759F"/>
    <w:rsid w:val="00AE027B"/>
    <w:rsid w:val="00AE1E4B"/>
    <w:rsid w:val="00AE1E54"/>
    <w:rsid w:val="00AE2AFD"/>
    <w:rsid w:val="00AE4372"/>
    <w:rsid w:val="00AE478A"/>
    <w:rsid w:val="00AF0C8D"/>
    <w:rsid w:val="00B00778"/>
    <w:rsid w:val="00B04E8C"/>
    <w:rsid w:val="00B050C0"/>
    <w:rsid w:val="00B05642"/>
    <w:rsid w:val="00B06097"/>
    <w:rsid w:val="00B10045"/>
    <w:rsid w:val="00B100DF"/>
    <w:rsid w:val="00B10CAE"/>
    <w:rsid w:val="00B12190"/>
    <w:rsid w:val="00B1294B"/>
    <w:rsid w:val="00B137C3"/>
    <w:rsid w:val="00B171BB"/>
    <w:rsid w:val="00B2247A"/>
    <w:rsid w:val="00B26393"/>
    <w:rsid w:val="00B30A7A"/>
    <w:rsid w:val="00B36551"/>
    <w:rsid w:val="00B36E9E"/>
    <w:rsid w:val="00B40E38"/>
    <w:rsid w:val="00B45C9E"/>
    <w:rsid w:val="00B51ACE"/>
    <w:rsid w:val="00B611D1"/>
    <w:rsid w:val="00B619AA"/>
    <w:rsid w:val="00B623D7"/>
    <w:rsid w:val="00B66E7A"/>
    <w:rsid w:val="00B8096A"/>
    <w:rsid w:val="00B91564"/>
    <w:rsid w:val="00B9206A"/>
    <w:rsid w:val="00B9279E"/>
    <w:rsid w:val="00BA1CFA"/>
    <w:rsid w:val="00BA4284"/>
    <w:rsid w:val="00BA5462"/>
    <w:rsid w:val="00BB77EB"/>
    <w:rsid w:val="00BC1029"/>
    <w:rsid w:val="00BC2720"/>
    <w:rsid w:val="00BC4728"/>
    <w:rsid w:val="00BC4BF4"/>
    <w:rsid w:val="00BC60B3"/>
    <w:rsid w:val="00BD2253"/>
    <w:rsid w:val="00BD7496"/>
    <w:rsid w:val="00BE042D"/>
    <w:rsid w:val="00BE4802"/>
    <w:rsid w:val="00BE7212"/>
    <w:rsid w:val="00BF0D7C"/>
    <w:rsid w:val="00BF331F"/>
    <w:rsid w:val="00C053A4"/>
    <w:rsid w:val="00C05CC6"/>
    <w:rsid w:val="00C068C7"/>
    <w:rsid w:val="00C073C2"/>
    <w:rsid w:val="00C13C12"/>
    <w:rsid w:val="00C160F4"/>
    <w:rsid w:val="00C20F99"/>
    <w:rsid w:val="00C2120D"/>
    <w:rsid w:val="00C215E7"/>
    <w:rsid w:val="00C233E9"/>
    <w:rsid w:val="00C2605C"/>
    <w:rsid w:val="00C26C5B"/>
    <w:rsid w:val="00C2711B"/>
    <w:rsid w:val="00C303B4"/>
    <w:rsid w:val="00C40EBC"/>
    <w:rsid w:val="00C41265"/>
    <w:rsid w:val="00C4202E"/>
    <w:rsid w:val="00C42ACA"/>
    <w:rsid w:val="00C4706E"/>
    <w:rsid w:val="00C51308"/>
    <w:rsid w:val="00C51F78"/>
    <w:rsid w:val="00C539F8"/>
    <w:rsid w:val="00C53A47"/>
    <w:rsid w:val="00C57BB9"/>
    <w:rsid w:val="00C606F6"/>
    <w:rsid w:val="00C6082E"/>
    <w:rsid w:val="00C61699"/>
    <w:rsid w:val="00C61BC6"/>
    <w:rsid w:val="00C62B02"/>
    <w:rsid w:val="00C6325B"/>
    <w:rsid w:val="00C64908"/>
    <w:rsid w:val="00C705B5"/>
    <w:rsid w:val="00C7093C"/>
    <w:rsid w:val="00C738BD"/>
    <w:rsid w:val="00C75D40"/>
    <w:rsid w:val="00C83627"/>
    <w:rsid w:val="00C84E10"/>
    <w:rsid w:val="00C854A5"/>
    <w:rsid w:val="00C857B6"/>
    <w:rsid w:val="00C85E44"/>
    <w:rsid w:val="00C92F94"/>
    <w:rsid w:val="00C95D81"/>
    <w:rsid w:val="00C960AA"/>
    <w:rsid w:val="00CA121E"/>
    <w:rsid w:val="00CA501D"/>
    <w:rsid w:val="00CA55C4"/>
    <w:rsid w:val="00CB1789"/>
    <w:rsid w:val="00CB1CB2"/>
    <w:rsid w:val="00CB2557"/>
    <w:rsid w:val="00CB44C4"/>
    <w:rsid w:val="00CB47FE"/>
    <w:rsid w:val="00CB4D35"/>
    <w:rsid w:val="00CB6703"/>
    <w:rsid w:val="00CB7B4B"/>
    <w:rsid w:val="00CC281A"/>
    <w:rsid w:val="00CC39B1"/>
    <w:rsid w:val="00CC3D90"/>
    <w:rsid w:val="00CD526B"/>
    <w:rsid w:val="00CD5B93"/>
    <w:rsid w:val="00CD7039"/>
    <w:rsid w:val="00CE3B32"/>
    <w:rsid w:val="00CE4A24"/>
    <w:rsid w:val="00CE613B"/>
    <w:rsid w:val="00CE7403"/>
    <w:rsid w:val="00CF0826"/>
    <w:rsid w:val="00CF0D8A"/>
    <w:rsid w:val="00CF267F"/>
    <w:rsid w:val="00CF7DA0"/>
    <w:rsid w:val="00D0312C"/>
    <w:rsid w:val="00D04614"/>
    <w:rsid w:val="00D1723F"/>
    <w:rsid w:val="00D26B64"/>
    <w:rsid w:val="00D30AA4"/>
    <w:rsid w:val="00D30CE5"/>
    <w:rsid w:val="00D3674A"/>
    <w:rsid w:val="00D40383"/>
    <w:rsid w:val="00D4085D"/>
    <w:rsid w:val="00D428F4"/>
    <w:rsid w:val="00D434F3"/>
    <w:rsid w:val="00D469B6"/>
    <w:rsid w:val="00D46E83"/>
    <w:rsid w:val="00D51035"/>
    <w:rsid w:val="00D51386"/>
    <w:rsid w:val="00D52914"/>
    <w:rsid w:val="00D5485B"/>
    <w:rsid w:val="00D57346"/>
    <w:rsid w:val="00D61911"/>
    <w:rsid w:val="00D62258"/>
    <w:rsid w:val="00D625A7"/>
    <w:rsid w:val="00D677F9"/>
    <w:rsid w:val="00D702F1"/>
    <w:rsid w:val="00D729FA"/>
    <w:rsid w:val="00D7336A"/>
    <w:rsid w:val="00D73591"/>
    <w:rsid w:val="00D802FC"/>
    <w:rsid w:val="00D8532B"/>
    <w:rsid w:val="00D85463"/>
    <w:rsid w:val="00D874E0"/>
    <w:rsid w:val="00D973A5"/>
    <w:rsid w:val="00DA205D"/>
    <w:rsid w:val="00DA35F3"/>
    <w:rsid w:val="00DA7233"/>
    <w:rsid w:val="00DB69EA"/>
    <w:rsid w:val="00DC4D62"/>
    <w:rsid w:val="00DC50E5"/>
    <w:rsid w:val="00DC76C7"/>
    <w:rsid w:val="00DD26A6"/>
    <w:rsid w:val="00DD4BCD"/>
    <w:rsid w:val="00DE311A"/>
    <w:rsid w:val="00DE36EB"/>
    <w:rsid w:val="00DE4A6C"/>
    <w:rsid w:val="00DE64C1"/>
    <w:rsid w:val="00DF5BAB"/>
    <w:rsid w:val="00DF689B"/>
    <w:rsid w:val="00E10555"/>
    <w:rsid w:val="00E11087"/>
    <w:rsid w:val="00E16E0A"/>
    <w:rsid w:val="00E204BB"/>
    <w:rsid w:val="00E220BC"/>
    <w:rsid w:val="00E24A02"/>
    <w:rsid w:val="00E31096"/>
    <w:rsid w:val="00E33938"/>
    <w:rsid w:val="00E33F03"/>
    <w:rsid w:val="00E354D8"/>
    <w:rsid w:val="00E3658A"/>
    <w:rsid w:val="00E3706A"/>
    <w:rsid w:val="00E3738B"/>
    <w:rsid w:val="00E37446"/>
    <w:rsid w:val="00E37730"/>
    <w:rsid w:val="00E4099E"/>
    <w:rsid w:val="00E456AA"/>
    <w:rsid w:val="00E5201F"/>
    <w:rsid w:val="00E579FF"/>
    <w:rsid w:val="00E6698B"/>
    <w:rsid w:val="00E7195E"/>
    <w:rsid w:val="00E72F4A"/>
    <w:rsid w:val="00E7467D"/>
    <w:rsid w:val="00E82115"/>
    <w:rsid w:val="00E832FF"/>
    <w:rsid w:val="00E83448"/>
    <w:rsid w:val="00E838D3"/>
    <w:rsid w:val="00E90BF8"/>
    <w:rsid w:val="00E91870"/>
    <w:rsid w:val="00E92C8A"/>
    <w:rsid w:val="00E9346D"/>
    <w:rsid w:val="00E955E0"/>
    <w:rsid w:val="00E96FA0"/>
    <w:rsid w:val="00E97208"/>
    <w:rsid w:val="00EA21BF"/>
    <w:rsid w:val="00EA594C"/>
    <w:rsid w:val="00EA7329"/>
    <w:rsid w:val="00EA7A1C"/>
    <w:rsid w:val="00EB5170"/>
    <w:rsid w:val="00EB7EDA"/>
    <w:rsid w:val="00EC3E78"/>
    <w:rsid w:val="00EC4243"/>
    <w:rsid w:val="00EC5206"/>
    <w:rsid w:val="00EC5D22"/>
    <w:rsid w:val="00ED0175"/>
    <w:rsid w:val="00ED0AC8"/>
    <w:rsid w:val="00ED2AC4"/>
    <w:rsid w:val="00ED4036"/>
    <w:rsid w:val="00EE041B"/>
    <w:rsid w:val="00EE57AC"/>
    <w:rsid w:val="00EE74C4"/>
    <w:rsid w:val="00EE7D29"/>
    <w:rsid w:val="00EF33DE"/>
    <w:rsid w:val="00EF6486"/>
    <w:rsid w:val="00EF72D4"/>
    <w:rsid w:val="00F11A23"/>
    <w:rsid w:val="00F11DDE"/>
    <w:rsid w:val="00F120E6"/>
    <w:rsid w:val="00F12ACD"/>
    <w:rsid w:val="00F164E6"/>
    <w:rsid w:val="00F16589"/>
    <w:rsid w:val="00F2068C"/>
    <w:rsid w:val="00F234AB"/>
    <w:rsid w:val="00F24478"/>
    <w:rsid w:val="00F31B0B"/>
    <w:rsid w:val="00F31DE0"/>
    <w:rsid w:val="00F3245D"/>
    <w:rsid w:val="00F34C91"/>
    <w:rsid w:val="00F34E70"/>
    <w:rsid w:val="00F40578"/>
    <w:rsid w:val="00F4377A"/>
    <w:rsid w:val="00F46237"/>
    <w:rsid w:val="00F47765"/>
    <w:rsid w:val="00F501C6"/>
    <w:rsid w:val="00F630DB"/>
    <w:rsid w:val="00F630EF"/>
    <w:rsid w:val="00F6403E"/>
    <w:rsid w:val="00F71346"/>
    <w:rsid w:val="00F715F2"/>
    <w:rsid w:val="00F730C7"/>
    <w:rsid w:val="00F76C87"/>
    <w:rsid w:val="00F76CBF"/>
    <w:rsid w:val="00F86308"/>
    <w:rsid w:val="00F8684A"/>
    <w:rsid w:val="00F904BC"/>
    <w:rsid w:val="00F94C3D"/>
    <w:rsid w:val="00F95D26"/>
    <w:rsid w:val="00F979C5"/>
    <w:rsid w:val="00FA0CBF"/>
    <w:rsid w:val="00FA0E45"/>
    <w:rsid w:val="00FA2EC0"/>
    <w:rsid w:val="00FA4E87"/>
    <w:rsid w:val="00FA64FD"/>
    <w:rsid w:val="00FB1591"/>
    <w:rsid w:val="00FB4200"/>
    <w:rsid w:val="00FB5750"/>
    <w:rsid w:val="00FB6A2E"/>
    <w:rsid w:val="00FC055C"/>
    <w:rsid w:val="00FD1E85"/>
    <w:rsid w:val="00FD4437"/>
    <w:rsid w:val="00FE26A5"/>
    <w:rsid w:val="00FE347C"/>
    <w:rsid w:val="00FE4A16"/>
    <w:rsid w:val="00FF5029"/>
    <w:rsid w:val="00FF6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32E530BB"/>
  <w14:defaultImageDpi w14:val="0"/>
  <w15:docId w15:val="{40B8E4A5-10FA-4ECD-AB35-7D98A62F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386"/>
    <w:pPr>
      <w:spacing w:after="240" w:line="260" w:lineRule="exact"/>
      <w:jc w:val="both"/>
    </w:pPr>
    <w:rPr>
      <w:rFonts w:ascii="Corbel" w:hAnsi="Corbel"/>
      <w:color w:val="000000"/>
      <w:sz w:val="23"/>
    </w:rPr>
  </w:style>
  <w:style w:type="paragraph" w:styleId="Heading1">
    <w:name w:val="heading 1"/>
    <w:basedOn w:val="HeadingBase"/>
    <w:next w:val="Normal"/>
    <w:link w:val="Heading1Char"/>
    <w:uiPriority w:val="9"/>
    <w:qFormat/>
    <w:rsid w:val="00D51386"/>
    <w:pPr>
      <w:spacing w:before="480" w:after="180"/>
      <w:outlineLvl w:val="0"/>
    </w:pPr>
    <w:rPr>
      <w:rFonts w:ascii="Consolas" w:hAnsi="Consolas" w:cs="Arial"/>
      <w:bCs/>
      <w:caps/>
      <w:kern w:val="32"/>
      <w:sz w:val="32"/>
      <w:szCs w:val="36"/>
    </w:rPr>
  </w:style>
  <w:style w:type="paragraph" w:styleId="Heading2">
    <w:name w:val="heading 2"/>
    <w:basedOn w:val="HeadingBase"/>
    <w:next w:val="Normal"/>
    <w:link w:val="Heading2Char"/>
    <w:uiPriority w:val="99"/>
    <w:qFormat/>
    <w:rsid w:val="00D51386"/>
    <w:pPr>
      <w:spacing w:before="180" w:after="120"/>
      <w:outlineLvl w:val="1"/>
    </w:pPr>
    <w:rPr>
      <w:rFonts w:cs="Arial"/>
      <w:b/>
      <w:bCs/>
      <w:iCs/>
      <w:sz w:val="29"/>
      <w:szCs w:val="28"/>
    </w:rPr>
  </w:style>
  <w:style w:type="paragraph" w:styleId="Heading3">
    <w:name w:val="heading 3"/>
    <w:basedOn w:val="HeadingBase"/>
    <w:next w:val="Normal"/>
    <w:link w:val="Heading3Char"/>
    <w:uiPriority w:val="9"/>
    <w:qFormat/>
    <w:rsid w:val="00D51386"/>
    <w:pPr>
      <w:spacing w:before="240" w:after="120"/>
      <w:outlineLvl w:val="2"/>
    </w:pPr>
    <w:rPr>
      <w:rFonts w:cs="Arial"/>
      <w:b/>
      <w:bCs/>
      <w:spacing w:val="10"/>
      <w:sz w:val="23"/>
      <w:szCs w:val="26"/>
    </w:rPr>
  </w:style>
  <w:style w:type="paragraph" w:styleId="Heading4">
    <w:name w:val="heading 4"/>
    <w:basedOn w:val="HeadingBase"/>
    <w:next w:val="Normal"/>
    <w:link w:val="Heading4Char"/>
    <w:uiPriority w:val="9"/>
    <w:qFormat/>
    <w:rsid w:val="00D51386"/>
    <w:pPr>
      <w:spacing w:before="120" w:after="240"/>
      <w:outlineLvl w:val="3"/>
    </w:pPr>
    <w:rPr>
      <w:b/>
      <w:bCs/>
      <w:caps/>
      <w:szCs w:val="22"/>
    </w:rPr>
  </w:style>
  <w:style w:type="paragraph" w:styleId="Heading5">
    <w:name w:val="heading 5"/>
    <w:basedOn w:val="HeadingBase"/>
    <w:next w:val="Normal"/>
    <w:link w:val="Heading5Char"/>
    <w:uiPriority w:val="9"/>
    <w:qFormat/>
    <w:rsid w:val="00D51386"/>
    <w:pPr>
      <w:spacing w:after="120"/>
      <w:outlineLvl w:val="4"/>
    </w:pPr>
    <w:rPr>
      <w:b/>
      <w:bCs/>
      <w:iCs/>
    </w:rPr>
  </w:style>
  <w:style w:type="paragraph" w:styleId="Heading6">
    <w:name w:val="heading 6"/>
    <w:basedOn w:val="HeadingBase"/>
    <w:next w:val="Normal"/>
    <w:link w:val="Heading6Char"/>
    <w:uiPriority w:val="9"/>
    <w:qFormat/>
    <w:rsid w:val="00D51386"/>
    <w:pPr>
      <w:spacing w:after="120"/>
      <w:outlineLvl w:val="5"/>
    </w:pPr>
    <w:rPr>
      <w:bCs/>
      <w:szCs w:val="22"/>
    </w:rPr>
  </w:style>
  <w:style w:type="paragraph" w:styleId="Heading7">
    <w:name w:val="heading 7"/>
    <w:basedOn w:val="HeadingBase"/>
    <w:next w:val="Normal"/>
    <w:link w:val="Heading7Char"/>
    <w:uiPriority w:val="9"/>
    <w:qFormat/>
    <w:rsid w:val="00D51386"/>
    <w:pPr>
      <w:spacing w:after="120"/>
      <w:outlineLvl w:val="6"/>
    </w:pPr>
    <w:rPr>
      <w:szCs w:val="24"/>
    </w:rPr>
  </w:style>
  <w:style w:type="paragraph" w:styleId="Heading8">
    <w:name w:val="heading 8"/>
    <w:basedOn w:val="HeadingBase"/>
    <w:next w:val="Normal"/>
    <w:link w:val="Heading8Char"/>
    <w:uiPriority w:val="9"/>
    <w:qFormat/>
    <w:rsid w:val="00D51386"/>
    <w:pPr>
      <w:spacing w:after="120"/>
      <w:outlineLvl w:val="7"/>
    </w:pPr>
    <w:rPr>
      <w:iCs/>
      <w:szCs w:val="24"/>
    </w:rPr>
  </w:style>
  <w:style w:type="paragraph" w:styleId="Heading9">
    <w:name w:val="heading 9"/>
    <w:basedOn w:val="CoverTitleMain"/>
    <w:next w:val="Normal"/>
    <w:link w:val="Heading9Char"/>
    <w:uiPriority w:val="9"/>
    <w:qFormat/>
    <w:rsid w:val="00D51386"/>
    <w:pPr>
      <w:numPr>
        <w:ilvl w:val="8"/>
        <w:numId w:val="26"/>
      </w:numPr>
      <w:spacing w:before="120" w:after="120"/>
      <w:jc w:val="right"/>
      <w:outlineLvl w:val="8"/>
    </w:pPr>
    <w:rPr>
      <w:rFonts w:ascii="Corbel" w:hAnsi="Corbel" w:cs="Arial"/>
      <w:caps w:val="0"/>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6F5A"/>
    <w:rPr>
      <w:rFonts w:ascii="Consolas" w:hAnsi="Consolas" w:cs="Times New Roman"/>
      <w:caps/>
      <w:color w:val="3D4B67"/>
      <w:kern w:val="32"/>
      <w:sz w:val="36"/>
      <w:lang w:val="en-AU" w:eastAsia="en-AU"/>
    </w:rPr>
  </w:style>
  <w:style w:type="character" w:customStyle="1" w:styleId="Heading2Char">
    <w:name w:val="Heading 2 Char"/>
    <w:basedOn w:val="DefaultParagraphFont"/>
    <w:link w:val="Heading2"/>
    <w:uiPriority w:val="99"/>
    <w:locked/>
    <w:rsid w:val="00E220BC"/>
    <w:rPr>
      <w:rFonts w:ascii="Corbel" w:hAnsi="Corbel" w:cs="Times New Roman"/>
      <w:b/>
      <w:color w:val="3D4B67"/>
      <w:sz w:val="28"/>
      <w:lang w:val="en-AU" w:eastAsia="en-AU"/>
    </w:rPr>
  </w:style>
  <w:style w:type="character" w:customStyle="1" w:styleId="Heading3Char">
    <w:name w:val="Heading 3 Char"/>
    <w:basedOn w:val="DefaultParagraphFont"/>
    <w:link w:val="Heading3"/>
    <w:uiPriority w:val="9"/>
    <w:locked/>
    <w:rsid w:val="005C5620"/>
    <w:rPr>
      <w:rFonts w:ascii="Corbel" w:hAnsi="Corbel" w:cs="Times New Roman"/>
      <w:b/>
      <w:color w:val="3D4B67"/>
      <w:spacing w:val="10"/>
      <w:sz w:val="26"/>
      <w:lang w:val="en-AU" w:eastAsia="en-AU"/>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color w:val="000000"/>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color w:val="000000"/>
      <w:sz w:val="24"/>
      <w:szCs w:val="24"/>
    </w:rPr>
  </w:style>
  <w:style w:type="character" w:customStyle="1" w:styleId="Heading9Char">
    <w:name w:val="Heading 9 Char"/>
    <w:basedOn w:val="DefaultParagraphFont"/>
    <w:link w:val="Heading9"/>
    <w:uiPriority w:val="9"/>
    <w:locked/>
    <w:rPr>
      <w:rFonts w:ascii="Corbel" w:hAnsi="Corbel" w:cs="Arial"/>
      <w:color w:val="3D4B67"/>
      <w:sz w:val="36"/>
      <w:szCs w:val="22"/>
    </w:rPr>
  </w:style>
  <w:style w:type="paragraph" w:customStyle="1" w:styleId="SingleParagraph">
    <w:name w:val="Single Paragraph"/>
    <w:basedOn w:val="Normal"/>
    <w:rsid w:val="00D51386"/>
    <w:pPr>
      <w:spacing w:after="0"/>
    </w:pPr>
  </w:style>
  <w:style w:type="character" w:styleId="Hyperlink">
    <w:name w:val="Hyperlink"/>
    <w:basedOn w:val="DefaultParagraphFont"/>
    <w:uiPriority w:val="99"/>
    <w:rsid w:val="00D51386"/>
    <w:rPr>
      <w:rFonts w:cs="Times New Roman"/>
      <w:color w:val="auto"/>
      <w:u w:val="none"/>
    </w:rPr>
  </w:style>
  <w:style w:type="character" w:customStyle="1" w:styleId="BoldandItalic">
    <w:name w:val="Bold and Italic"/>
    <w:rsid w:val="00D51386"/>
    <w:rPr>
      <w:rFonts w:ascii="Corbel" w:hAnsi="Corbel"/>
      <w:b/>
      <w:i/>
    </w:rPr>
  </w:style>
  <w:style w:type="table" w:styleId="TableGrid">
    <w:name w:val="Table Grid"/>
    <w:basedOn w:val="TableNormal"/>
    <w:uiPriority w:val="59"/>
    <w:semiHidden/>
    <w:rsid w:val="00D51386"/>
    <w:pPr>
      <w:spacing w:after="240" w:line="260" w:lineRule="exact"/>
    </w:pPr>
    <w:rPr>
      <w:rFonts w:ascii="Corbel" w:hAnsi="Corbel"/>
    </w:rPr>
    <w:tblPr/>
    <w:trPr>
      <w:cantSplit/>
    </w:trPr>
  </w:style>
  <w:style w:type="paragraph" w:customStyle="1" w:styleId="TableColumnHeadingBase">
    <w:name w:val="Table Column Heading Base"/>
    <w:basedOn w:val="Normal"/>
    <w:rsid w:val="00D51386"/>
    <w:pPr>
      <w:spacing w:before="40" w:after="40" w:line="240" w:lineRule="auto"/>
    </w:pPr>
    <w:rPr>
      <w:rFonts w:ascii="Consolas" w:hAnsi="Consolas"/>
      <w:b/>
      <w:color w:val="3D4B67"/>
      <w:sz w:val="22"/>
    </w:rPr>
  </w:style>
  <w:style w:type="paragraph" w:styleId="FootnoteText">
    <w:name w:val="footnote text"/>
    <w:basedOn w:val="Normal"/>
    <w:link w:val="FootnoteTextChar"/>
    <w:uiPriority w:val="99"/>
    <w:rsid w:val="00D51386"/>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semiHidden/>
    <w:locked/>
    <w:rPr>
      <w:rFonts w:ascii="Corbel" w:hAnsi="Corbel" w:cs="Times New Roman"/>
      <w:color w:val="000000"/>
    </w:rPr>
  </w:style>
  <w:style w:type="paragraph" w:customStyle="1" w:styleId="Bullet">
    <w:name w:val="Bullet"/>
    <w:basedOn w:val="Normal"/>
    <w:link w:val="BulletChar"/>
    <w:rsid w:val="00D51386"/>
    <w:pPr>
      <w:tabs>
        <w:tab w:val="num" w:pos="283"/>
        <w:tab w:val="num" w:pos="566"/>
      </w:tabs>
      <w:ind w:left="566" w:hanging="283"/>
    </w:pPr>
  </w:style>
  <w:style w:type="paragraph" w:customStyle="1" w:styleId="Dash">
    <w:name w:val="Dash"/>
    <w:basedOn w:val="Normal"/>
    <w:rsid w:val="00D51386"/>
    <w:pPr>
      <w:numPr>
        <w:ilvl w:val="1"/>
        <w:numId w:val="17"/>
      </w:numPr>
      <w:tabs>
        <w:tab w:val="num" w:pos="567"/>
        <w:tab w:val="num" w:pos="850"/>
      </w:tabs>
      <w:ind w:left="850" w:hanging="284"/>
    </w:pPr>
  </w:style>
  <w:style w:type="paragraph" w:customStyle="1" w:styleId="DoubleDot">
    <w:name w:val="Double Dot"/>
    <w:basedOn w:val="Normal"/>
    <w:rsid w:val="00D51386"/>
    <w:pPr>
      <w:numPr>
        <w:ilvl w:val="2"/>
        <w:numId w:val="17"/>
      </w:numPr>
      <w:tabs>
        <w:tab w:val="num" w:pos="850"/>
        <w:tab w:val="num" w:pos="1133"/>
      </w:tabs>
      <w:ind w:left="1133" w:hanging="283"/>
    </w:pPr>
  </w:style>
  <w:style w:type="paragraph" w:customStyle="1" w:styleId="OutlineNumbered1">
    <w:name w:val="Outline Numbered 1"/>
    <w:basedOn w:val="Normal"/>
    <w:rsid w:val="00D51386"/>
    <w:pPr>
      <w:numPr>
        <w:numId w:val="14"/>
      </w:numPr>
    </w:pPr>
  </w:style>
  <w:style w:type="paragraph" w:customStyle="1" w:styleId="OutlineNumbered2">
    <w:name w:val="Outline Numbered 2"/>
    <w:basedOn w:val="Normal"/>
    <w:rsid w:val="00D51386"/>
    <w:pPr>
      <w:numPr>
        <w:ilvl w:val="1"/>
        <w:numId w:val="14"/>
      </w:numPr>
    </w:pPr>
  </w:style>
  <w:style w:type="paragraph" w:customStyle="1" w:styleId="OutlineNumbered3">
    <w:name w:val="Outline Numbered 3"/>
    <w:basedOn w:val="Normal"/>
    <w:rsid w:val="00D51386"/>
    <w:pPr>
      <w:numPr>
        <w:ilvl w:val="2"/>
        <w:numId w:val="14"/>
      </w:numPr>
    </w:pPr>
  </w:style>
  <w:style w:type="paragraph" w:customStyle="1" w:styleId="AlphaParagraph">
    <w:name w:val="Alpha Paragraph"/>
    <w:basedOn w:val="Normal"/>
    <w:link w:val="AlphaParagraphCharChar"/>
    <w:rsid w:val="00D51386"/>
    <w:pPr>
      <w:tabs>
        <w:tab w:val="num" w:pos="0"/>
        <w:tab w:val="num" w:pos="283"/>
        <w:tab w:val="num" w:pos="567"/>
        <w:tab w:val="num" w:pos="1134"/>
        <w:tab w:val="num" w:pos="1418"/>
        <w:tab w:val="num" w:pos="1701"/>
      </w:tabs>
      <w:ind w:left="567" w:hanging="363"/>
    </w:pPr>
  </w:style>
  <w:style w:type="paragraph" w:customStyle="1" w:styleId="HeadingBase">
    <w:name w:val="Heading Base"/>
    <w:next w:val="Normal"/>
    <w:link w:val="HeadingBaseChar"/>
    <w:rsid w:val="00D51386"/>
    <w:pPr>
      <w:keepNext/>
    </w:pPr>
    <w:rPr>
      <w:rFonts w:ascii="Corbel" w:hAnsi="Corbel"/>
      <w:color w:val="3D4B67"/>
    </w:rPr>
  </w:style>
  <w:style w:type="paragraph" w:customStyle="1" w:styleId="AppendixHeading">
    <w:name w:val="Appendix Heading"/>
    <w:basedOn w:val="HeadingBase"/>
    <w:next w:val="Normal"/>
    <w:rsid w:val="00D51386"/>
    <w:pPr>
      <w:spacing w:before="720" w:after="360"/>
      <w:jc w:val="right"/>
      <w:outlineLvl w:val="0"/>
    </w:pPr>
    <w:rPr>
      <w:rFonts w:ascii="Consolas" w:hAnsi="Consolas"/>
      <w:caps/>
      <w:sz w:val="32"/>
      <w:szCs w:val="36"/>
    </w:rPr>
  </w:style>
  <w:style w:type="character" w:customStyle="1" w:styleId="Bold">
    <w:name w:val="Bold"/>
    <w:rsid w:val="00D51386"/>
    <w:rPr>
      <w:b/>
    </w:rPr>
  </w:style>
  <w:style w:type="paragraph" w:customStyle="1" w:styleId="BoxHeading">
    <w:name w:val="Box Heading"/>
    <w:basedOn w:val="HeadingBase"/>
    <w:next w:val="BoxText"/>
    <w:rsid w:val="00D51386"/>
    <w:pPr>
      <w:spacing w:before="240" w:after="120"/>
    </w:pPr>
    <w:rPr>
      <w:b/>
      <w:sz w:val="22"/>
    </w:rPr>
  </w:style>
  <w:style w:type="paragraph" w:customStyle="1" w:styleId="BoxTextBase">
    <w:name w:val="Box Text Base"/>
    <w:basedOn w:val="Normal"/>
    <w:rsid w:val="00D51386"/>
  </w:style>
  <w:style w:type="paragraph" w:customStyle="1" w:styleId="ChartandTableFootnoteAlpha">
    <w:name w:val="Chart and Table Footnote Alpha"/>
    <w:rsid w:val="00D51386"/>
    <w:pPr>
      <w:numPr>
        <w:numId w:val="15"/>
      </w:numPr>
      <w:jc w:val="both"/>
    </w:pPr>
    <w:rPr>
      <w:rFonts w:ascii="Arial" w:hAnsi="Arial"/>
      <w:color w:val="000000"/>
      <w:sz w:val="16"/>
      <w:szCs w:val="16"/>
    </w:rPr>
  </w:style>
  <w:style w:type="paragraph" w:customStyle="1" w:styleId="ChartGraphic">
    <w:name w:val="Chart Graphic"/>
    <w:basedOn w:val="HeadingBase"/>
    <w:next w:val="Normal"/>
    <w:rsid w:val="00D51386"/>
    <w:pPr>
      <w:jc w:val="center"/>
    </w:pPr>
  </w:style>
  <w:style w:type="paragraph" w:customStyle="1" w:styleId="ChartMainHeading">
    <w:name w:val="Chart Main Heading"/>
    <w:basedOn w:val="HeadingBase"/>
    <w:next w:val="ChartGraphic"/>
    <w:rsid w:val="00D51386"/>
    <w:pPr>
      <w:spacing w:after="20"/>
      <w:jc w:val="center"/>
    </w:pPr>
    <w:rPr>
      <w:b/>
      <w:sz w:val="22"/>
    </w:rPr>
  </w:style>
  <w:style w:type="paragraph" w:customStyle="1" w:styleId="ChartorTableNote">
    <w:name w:val="Chart or Table Note"/>
    <w:next w:val="Normal"/>
    <w:rsid w:val="00D51386"/>
    <w:pPr>
      <w:jc w:val="both"/>
    </w:pPr>
    <w:rPr>
      <w:rFonts w:ascii="Arial" w:hAnsi="Arial"/>
      <w:color w:val="000000"/>
      <w:sz w:val="16"/>
    </w:rPr>
  </w:style>
  <w:style w:type="paragraph" w:customStyle="1" w:styleId="ChartSecondHeading">
    <w:name w:val="Chart Second Heading"/>
    <w:basedOn w:val="HeadingBase"/>
    <w:next w:val="ChartGraphic"/>
    <w:rsid w:val="00D51386"/>
    <w:pPr>
      <w:spacing w:after="20"/>
      <w:jc w:val="center"/>
    </w:pPr>
  </w:style>
  <w:style w:type="paragraph" w:customStyle="1" w:styleId="Classification">
    <w:name w:val="Classification"/>
    <w:basedOn w:val="HeadingBase"/>
    <w:next w:val="Footer"/>
    <w:semiHidden/>
    <w:rsid w:val="00D51386"/>
    <w:pPr>
      <w:spacing w:after="120"/>
      <w:jc w:val="center"/>
    </w:pPr>
    <w:rPr>
      <w:b/>
      <w:smallCaps/>
    </w:rPr>
  </w:style>
  <w:style w:type="paragraph" w:styleId="Footer">
    <w:name w:val="footer"/>
    <w:basedOn w:val="HeadingBase"/>
    <w:link w:val="FooterChar"/>
    <w:uiPriority w:val="99"/>
    <w:rsid w:val="00D51386"/>
    <w:rPr>
      <w:sz w:val="18"/>
    </w:rPr>
  </w:style>
  <w:style w:type="character" w:customStyle="1" w:styleId="FooterChar">
    <w:name w:val="Footer Char"/>
    <w:basedOn w:val="DefaultParagraphFont"/>
    <w:link w:val="Footer"/>
    <w:uiPriority w:val="99"/>
    <w:semiHidden/>
    <w:locked/>
    <w:rPr>
      <w:rFonts w:ascii="Corbel" w:hAnsi="Corbel" w:cs="Times New Roman"/>
      <w:color w:val="000000"/>
      <w:sz w:val="23"/>
    </w:rPr>
  </w:style>
  <w:style w:type="paragraph" w:customStyle="1" w:styleId="ContentsHeading">
    <w:name w:val="Contents Heading"/>
    <w:basedOn w:val="HeadingBase"/>
    <w:next w:val="Normal"/>
    <w:rsid w:val="00D51386"/>
    <w:pPr>
      <w:spacing w:after="360"/>
    </w:pPr>
    <w:rPr>
      <w:smallCaps/>
      <w:sz w:val="36"/>
      <w:szCs w:val="36"/>
    </w:rPr>
  </w:style>
  <w:style w:type="paragraph" w:customStyle="1" w:styleId="CoverTitleMain">
    <w:name w:val="Cover Title Main"/>
    <w:basedOn w:val="HeadingBase"/>
    <w:next w:val="Normal"/>
    <w:rsid w:val="00D51386"/>
    <w:rPr>
      <w:rFonts w:ascii="Consolas" w:hAnsi="Consolas"/>
      <w:caps/>
      <w:sz w:val="84"/>
    </w:rPr>
  </w:style>
  <w:style w:type="paragraph" w:customStyle="1" w:styleId="CoverTitleSub">
    <w:name w:val="Cover Title Sub"/>
    <w:basedOn w:val="HeadingBase"/>
    <w:rsid w:val="00D51386"/>
    <w:rPr>
      <w:color w:val="FFFFFF"/>
      <w:sz w:val="36"/>
    </w:rPr>
  </w:style>
  <w:style w:type="paragraph" w:customStyle="1" w:styleId="FooterCentered">
    <w:name w:val="Footer Centered"/>
    <w:basedOn w:val="Footer"/>
    <w:rsid w:val="00D51386"/>
    <w:pPr>
      <w:jc w:val="center"/>
    </w:pPr>
  </w:style>
  <w:style w:type="paragraph" w:customStyle="1" w:styleId="FooterEven">
    <w:name w:val="Footer Even"/>
    <w:basedOn w:val="Footer"/>
    <w:rsid w:val="00D51386"/>
    <w:pPr>
      <w:keepNext w:val="0"/>
    </w:pPr>
  </w:style>
  <w:style w:type="paragraph" w:customStyle="1" w:styleId="FooterOdd">
    <w:name w:val="Footer Odd"/>
    <w:basedOn w:val="Footer"/>
    <w:rsid w:val="00D51386"/>
    <w:pPr>
      <w:keepNext w:val="0"/>
      <w:jc w:val="right"/>
    </w:pPr>
  </w:style>
  <w:style w:type="character" w:customStyle="1" w:styleId="FramedFooter">
    <w:name w:val="Framed Footer"/>
    <w:rsid w:val="00D51386"/>
    <w:rPr>
      <w:rFonts w:ascii="Arial" w:hAnsi="Arial"/>
      <w:sz w:val="18"/>
    </w:rPr>
  </w:style>
  <w:style w:type="character" w:customStyle="1" w:styleId="FramedHeader">
    <w:name w:val="Framed Header"/>
    <w:rsid w:val="00D51386"/>
    <w:rPr>
      <w:rFonts w:ascii="Arial" w:hAnsi="Arial"/>
      <w:color w:val="auto"/>
      <w:sz w:val="18"/>
      <w:vertAlign w:val="baseline"/>
    </w:rPr>
  </w:style>
  <w:style w:type="paragraph" w:styleId="Header">
    <w:name w:val="header"/>
    <w:basedOn w:val="HeadingBase"/>
    <w:link w:val="HeaderChar"/>
    <w:uiPriority w:val="99"/>
    <w:rsid w:val="00D51386"/>
    <w:rPr>
      <w:sz w:val="18"/>
    </w:rPr>
  </w:style>
  <w:style w:type="character" w:customStyle="1" w:styleId="HeaderChar">
    <w:name w:val="Header Char"/>
    <w:basedOn w:val="DefaultParagraphFont"/>
    <w:link w:val="Header"/>
    <w:uiPriority w:val="99"/>
    <w:semiHidden/>
    <w:locked/>
    <w:rPr>
      <w:rFonts w:ascii="Corbel" w:hAnsi="Corbel" w:cs="Times New Roman"/>
      <w:color w:val="000000"/>
      <w:sz w:val="23"/>
    </w:rPr>
  </w:style>
  <w:style w:type="paragraph" w:customStyle="1" w:styleId="HeaderEven">
    <w:name w:val="Header Even"/>
    <w:basedOn w:val="Header"/>
    <w:rsid w:val="00D51386"/>
    <w:pPr>
      <w:keepNext w:val="0"/>
    </w:pPr>
  </w:style>
  <w:style w:type="paragraph" w:customStyle="1" w:styleId="HeaderOdd">
    <w:name w:val="Header Odd"/>
    <w:basedOn w:val="Header"/>
    <w:rsid w:val="00D51386"/>
    <w:pPr>
      <w:jc w:val="right"/>
    </w:pPr>
  </w:style>
  <w:style w:type="paragraph" w:styleId="NormalIndent">
    <w:name w:val="Normal Indent"/>
    <w:basedOn w:val="Normal"/>
    <w:link w:val="NormalIndentChar"/>
    <w:uiPriority w:val="99"/>
    <w:rsid w:val="00D51386"/>
    <w:pPr>
      <w:ind w:left="567"/>
    </w:pPr>
  </w:style>
  <w:style w:type="paragraph" w:customStyle="1" w:styleId="RecommendationHeading">
    <w:name w:val="Recommendation Heading"/>
    <w:basedOn w:val="HeadingBase"/>
    <w:next w:val="RecommendationText"/>
    <w:rsid w:val="00D51386"/>
    <w:pPr>
      <w:spacing w:before="120" w:after="240"/>
    </w:pPr>
    <w:rPr>
      <w:b/>
      <w:sz w:val="22"/>
    </w:rPr>
  </w:style>
  <w:style w:type="paragraph" w:customStyle="1" w:styleId="RecommendationTextBase">
    <w:name w:val="Recommendation Text Base"/>
    <w:basedOn w:val="Normal"/>
    <w:rsid w:val="00D51386"/>
    <w:rPr>
      <w:i/>
    </w:rPr>
  </w:style>
  <w:style w:type="paragraph" w:customStyle="1" w:styleId="RecommendationText">
    <w:name w:val="Recommendation Text"/>
    <w:basedOn w:val="RecommendationTextBase"/>
    <w:rsid w:val="00D51386"/>
  </w:style>
  <w:style w:type="paragraph" w:customStyle="1" w:styleId="TableTextBase">
    <w:name w:val="Table Text Base"/>
    <w:rsid w:val="00D51386"/>
    <w:pPr>
      <w:spacing w:before="40" w:after="40"/>
      <w:jc w:val="both"/>
    </w:pPr>
    <w:rPr>
      <w:rFonts w:ascii="Corbel" w:hAnsi="Corbel"/>
      <w:color w:val="000000"/>
      <w:sz w:val="21"/>
    </w:rPr>
  </w:style>
  <w:style w:type="paragraph" w:customStyle="1" w:styleId="TableColumnHeadingCentred">
    <w:name w:val="Table Column Heading Centred"/>
    <w:basedOn w:val="TableColumnHeadingBase"/>
    <w:rsid w:val="00D51386"/>
    <w:pPr>
      <w:jc w:val="center"/>
    </w:pPr>
  </w:style>
  <w:style w:type="paragraph" w:customStyle="1" w:styleId="TableColumnHeadingLeft">
    <w:name w:val="Table Column Heading Left"/>
    <w:basedOn w:val="TableColumnHeadingBase"/>
    <w:rsid w:val="00D51386"/>
  </w:style>
  <w:style w:type="paragraph" w:customStyle="1" w:styleId="TableColumnHeadingRight">
    <w:name w:val="Table Column Heading Right"/>
    <w:basedOn w:val="TableColumnHeadingBase"/>
    <w:rsid w:val="00D51386"/>
    <w:pPr>
      <w:jc w:val="right"/>
    </w:pPr>
  </w:style>
  <w:style w:type="paragraph" w:customStyle="1" w:styleId="TableGraphic">
    <w:name w:val="Table Graphic"/>
    <w:basedOn w:val="HeadingBase"/>
    <w:next w:val="Normal"/>
    <w:rsid w:val="00D51386"/>
  </w:style>
  <w:style w:type="paragraph" w:customStyle="1" w:styleId="TableMainHeading">
    <w:name w:val="Table Main Heading"/>
    <w:basedOn w:val="HeadingBase"/>
    <w:next w:val="TableGraphic"/>
    <w:rsid w:val="00D51386"/>
    <w:pPr>
      <w:spacing w:after="20"/>
    </w:pPr>
    <w:rPr>
      <w:rFonts w:ascii="Consolas" w:hAnsi="Consolas"/>
      <w:b/>
      <w:sz w:val="24"/>
    </w:rPr>
  </w:style>
  <w:style w:type="paragraph" w:customStyle="1" w:styleId="TableMainHeadingContd">
    <w:name w:val="Table Main Heading Contd"/>
    <w:basedOn w:val="HeadingBase"/>
    <w:next w:val="TableGraphic"/>
    <w:rsid w:val="00D51386"/>
    <w:pPr>
      <w:pageBreakBefore/>
      <w:spacing w:after="20"/>
    </w:pPr>
    <w:rPr>
      <w:rFonts w:ascii="Consolas" w:hAnsi="Consolas"/>
      <w:b/>
      <w:sz w:val="24"/>
    </w:rPr>
  </w:style>
  <w:style w:type="paragraph" w:customStyle="1" w:styleId="TableSecondHeading">
    <w:name w:val="Table Second Heading"/>
    <w:basedOn w:val="HeadingBase"/>
    <w:next w:val="TableGraphic"/>
    <w:rsid w:val="00D51386"/>
    <w:pPr>
      <w:spacing w:after="20"/>
    </w:pPr>
  </w:style>
  <w:style w:type="paragraph" w:customStyle="1" w:styleId="TableTextCentered">
    <w:name w:val="Table Text Centered"/>
    <w:basedOn w:val="TableTextBase"/>
    <w:rsid w:val="00D51386"/>
    <w:pPr>
      <w:jc w:val="center"/>
    </w:pPr>
  </w:style>
  <w:style w:type="paragraph" w:customStyle="1" w:styleId="TableTextIndented">
    <w:name w:val="Table Text Indented"/>
    <w:basedOn w:val="TableTextBase"/>
    <w:rsid w:val="00D51386"/>
    <w:pPr>
      <w:ind w:left="284"/>
    </w:pPr>
  </w:style>
  <w:style w:type="paragraph" w:customStyle="1" w:styleId="TableTextLeft">
    <w:name w:val="Table Text Left"/>
    <w:basedOn w:val="TableTextBase"/>
    <w:rsid w:val="00D51386"/>
  </w:style>
  <w:style w:type="paragraph" w:customStyle="1" w:styleId="TableTextRight">
    <w:name w:val="Table Text Right"/>
    <w:basedOn w:val="TableTextBase"/>
    <w:rsid w:val="00D51386"/>
    <w:pPr>
      <w:jc w:val="right"/>
    </w:pPr>
  </w:style>
  <w:style w:type="paragraph" w:styleId="TOC1">
    <w:name w:val="toc 1"/>
    <w:basedOn w:val="HeadingBase"/>
    <w:next w:val="Normal"/>
    <w:uiPriority w:val="39"/>
    <w:rsid w:val="00D51386"/>
    <w:pPr>
      <w:tabs>
        <w:tab w:val="right" w:leader="dot" w:pos="9072"/>
      </w:tabs>
      <w:spacing w:before="180"/>
      <w:ind w:right="851"/>
    </w:pPr>
    <w:rPr>
      <w:rFonts w:ascii="Arial Bold" w:hAnsi="Arial Bold"/>
      <w:b/>
      <w:smallCaps/>
      <w:sz w:val="22"/>
      <w:szCs w:val="22"/>
    </w:rPr>
  </w:style>
  <w:style w:type="paragraph" w:styleId="TOC2">
    <w:name w:val="toc 2"/>
    <w:basedOn w:val="HeadingBase"/>
    <w:next w:val="Normal"/>
    <w:uiPriority w:val="39"/>
    <w:rsid w:val="00D51386"/>
    <w:pPr>
      <w:tabs>
        <w:tab w:val="right" w:leader="dot" w:pos="9072"/>
      </w:tabs>
      <w:spacing w:before="40" w:after="20"/>
      <w:ind w:right="851"/>
    </w:pPr>
  </w:style>
  <w:style w:type="paragraph" w:styleId="TOC3">
    <w:name w:val="toc 3"/>
    <w:basedOn w:val="Normal"/>
    <w:next w:val="Normal"/>
    <w:uiPriority w:val="39"/>
    <w:rsid w:val="00D51386"/>
    <w:pPr>
      <w:tabs>
        <w:tab w:val="right" w:leader="dot" w:pos="9072"/>
      </w:tabs>
      <w:spacing w:before="20" w:after="0" w:line="240" w:lineRule="auto"/>
      <w:ind w:left="284" w:right="851"/>
    </w:pPr>
  </w:style>
  <w:style w:type="paragraph" w:styleId="TOC4">
    <w:name w:val="toc 4"/>
    <w:basedOn w:val="Normal"/>
    <w:next w:val="Normal"/>
    <w:uiPriority w:val="39"/>
    <w:rsid w:val="00D51386"/>
    <w:pPr>
      <w:tabs>
        <w:tab w:val="right" w:leader="dot" w:pos="9072"/>
      </w:tabs>
      <w:spacing w:after="0" w:line="240" w:lineRule="auto"/>
      <w:ind w:left="284" w:right="851"/>
    </w:pPr>
  </w:style>
  <w:style w:type="character" w:customStyle="1" w:styleId="italic">
    <w:name w:val="italic"/>
    <w:rsid w:val="00D51386"/>
    <w:rPr>
      <w:i/>
    </w:rPr>
  </w:style>
  <w:style w:type="paragraph" w:customStyle="1" w:styleId="OneLevelNumberedParagraph">
    <w:name w:val="One Level Numbered Paragraph"/>
    <w:basedOn w:val="Normal"/>
    <w:rsid w:val="00D51386"/>
    <w:pPr>
      <w:numPr>
        <w:numId w:val="17"/>
      </w:numPr>
    </w:pPr>
  </w:style>
  <w:style w:type="paragraph" w:customStyle="1" w:styleId="BoxText">
    <w:name w:val="Box Text"/>
    <w:basedOn w:val="BoxTextBase"/>
    <w:rsid w:val="00D51386"/>
  </w:style>
  <w:style w:type="paragraph" w:customStyle="1" w:styleId="BoxBullet">
    <w:name w:val="Box Bullet"/>
    <w:basedOn w:val="BoxTextBase"/>
    <w:uiPriority w:val="99"/>
    <w:rsid w:val="00D51386"/>
    <w:pPr>
      <w:numPr>
        <w:numId w:val="16"/>
      </w:numPr>
    </w:pPr>
  </w:style>
  <w:style w:type="paragraph" w:customStyle="1" w:styleId="BoxDash">
    <w:name w:val="Box Dash"/>
    <w:basedOn w:val="Normal"/>
    <w:uiPriority w:val="99"/>
    <w:rsid w:val="00D51386"/>
    <w:pPr>
      <w:numPr>
        <w:ilvl w:val="1"/>
        <w:numId w:val="16"/>
      </w:numPr>
    </w:pPr>
  </w:style>
  <w:style w:type="paragraph" w:customStyle="1" w:styleId="BoxDoubleDot">
    <w:name w:val="Box Double Dot"/>
    <w:basedOn w:val="BoxTextBase"/>
    <w:uiPriority w:val="99"/>
    <w:rsid w:val="00D51386"/>
    <w:pPr>
      <w:numPr>
        <w:ilvl w:val="2"/>
        <w:numId w:val="16"/>
      </w:numPr>
    </w:pPr>
  </w:style>
  <w:style w:type="paragraph" w:customStyle="1" w:styleId="RecommendationBullet">
    <w:name w:val="Recommendation Bullet"/>
    <w:basedOn w:val="RecommendationTextBase"/>
    <w:rsid w:val="00D51386"/>
    <w:pPr>
      <w:numPr>
        <w:numId w:val="18"/>
      </w:numPr>
    </w:pPr>
  </w:style>
  <w:style w:type="paragraph" w:customStyle="1" w:styleId="RecommendationDash">
    <w:name w:val="Recommendation Dash"/>
    <w:basedOn w:val="RecommendationTextBase"/>
    <w:rsid w:val="00D51386"/>
    <w:pPr>
      <w:numPr>
        <w:ilvl w:val="1"/>
        <w:numId w:val="18"/>
      </w:numPr>
    </w:pPr>
  </w:style>
  <w:style w:type="paragraph" w:customStyle="1" w:styleId="RecommendationDoubleDot">
    <w:name w:val="Recommendation Double Dot"/>
    <w:basedOn w:val="RecommendationTextBase"/>
    <w:rsid w:val="00D51386"/>
    <w:pPr>
      <w:numPr>
        <w:ilvl w:val="2"/>
        <w:numId w:val="18"/>
      </w:numPr>
    </w:pPr>
  </w:style>
  <w:style w:type="character" w:styleId="FollowedHyperlink">
    <w:name w:val="FollowedHyperlink"/>
    <w:basedOn w:val="DefaultParagraphFont"/>
    <w:uiPriority w:val="99"/>
    <w:rsid w:val="00D51386"/>
    <w:rPr>
      <w:rFonts w:cs="Times New Roman"/>
      <w:color w:val="auto"/>
      <w:u w:val="none"/>
    </w:rPr>
  </w:style>
  <w:style w:type="paragraph" w:customStyle="1" w:styleId="Heading1NotNumbered">
    <w:name w:val="Heading 1 Not Numbered"/>
    <w:basedOn w:val="HeadingBase"/>
    <w:next w:val="Normal"/>
    <w:rsid w:val="00D51386"/>
    <w:pPr>
      <w:spacing w:before="720" w:after="360"/>
    </w:pPr>
    <w:rPr>
      <w:rFonts w:ascii="Consolas" w:hAnsi="Consolas"/>
      <w:caps/>
      <w:sz w:val="32"/>
      <w:szCs w:val="36"/>
    </w:rPr>
  </w:style>
  <w:style w:type="paragraph" w:customStyle="1" w:styleId="Heading2NotNumbered">
    <w:name w:val="Heading 2 Not Numbered"/>
    <w:basedOn w:val="HeadingBase"/>
    <w:next w:val="Normal"/>
    <w:rsid w:val="00D51386"/>
    <w:pPr>
      <w:spacing w:before="360" w:after="180"/>
    </w:pPr>
    <w:rPr>
      <w:b/>
      <w:sz w:val="29"/>
      <w:szCs w:val="28"/>
    </w:rPr>
  </w:style>
  <w:style w:type="paragraph" w:customStyle="1" w:styleId="Heading3NotNumbered">
    <w:name w:val="Heading 3 Not Numbered"/>
    <w:basedOn w:val="HeadingBase"/>
    <w:next w:val="Normal"/>
    <w:rsid w:val="00D51386"/>
    <w:pPr>
      <w:spacing w:before="240" w:after="120"/>
    </w:pPr>
    <w:rPr>
      <w:b/>
      <w:sz w:val="23"/>
      <w:szCs w:val="26"/>
    </w:rPr>
  </w:style>
  <w:style w:type="paragraph" w:customStyle="1" w:styleId="Heading4NotNumbered">
    <w:name w:val="Heading 4 Not Numbered"/>
    <w:basedOn w:val="HeadingBase"/>
    <w:rsid w:val="00D51386"/>
    <w:pPr>
      <w:spacing w:before="120" w:after="120"/>
      <w:outlineLvl w:val="3"/>
    </w:pPr>
    <w:rPr>
      <w:b/>
      <w:caps/>
    </w:rPr>
  </w:style>
  <w:style w:type="paragraph" w:styleId="BalloonText">
    <w:name w:val="Balloon Text"/>
    <w:basedOn w:val="Normal"/>
    <w:link w:val="BalloonTextChar"/>
    <w:uiPriority w:val="99"/>
    <w:semiHidden/>
    <w:rsid w:val="00D5138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rPr>
  </w:style>
  <w:style w:type="paragraph" w:styleId="Caption">
    <w:name w:val="caption"/>
    <w:basedOn w:val="Normal"/>
    <w:next w:val="Normal"/>
    <w:link w:val="CaptionChar"/>
    <w:uiPriority w:val="35"/>
    <w:qFormat/>
    <w:rsid w:val="00D51386"/>
    <w:rPr>
      <w:b/>
      <w:bCs/>
    </w:rPr>
  </w:style>
  <w:style w:type="character" w:styleId="CommentReference">
    <w:name w:val="annotation reference"/>
    <w:basedOn w:val="DefaultParagraphFont"/>
    <w:uiPriority w:val="99"/>
    <w:semiHidden/>
    <w:rsid w:val="00D51386"/>
    <w:rPr>
      <w:rFonts w:cs="Times New Roman"/>
      <w:sz w:val="16"/>
    </w:rPr>
  </w:style>
  <w:style w:type="paragraph" w:styleId="CommentText">
    <w:name w:val="annotation text"/>
    <w:basedOn w:val="Normal"/>
    <w:link w:val="CommentTextChar"/>
    <w:uiPriority w:val="99"/>
    <w:semiHidden/>
    <w:rsid w:val="00D51386"/>
  </w:style>
  <w:style w:type="character" w:customStyle="1" w:styleId="CommentTextChar">
    <w:name w:val="Comment Text Char"/>
    <w:basedOn w:val="DefaultParagraphFont"/>
    <w:link w:val="CommentText"/>
    <w:uiPriority w:val="99"/>
    <w:semiHidden/>
    <w:locked/>
    <w:rPr>
      <w:rFonts w:ascii="Corbel" w:hAnsi="Corbel" w:cs="Times New Roman"/>
      <w:color w:val="000000"/>
    </w:rPr>
  </w:style>
  <w:style w:type="paragraph" w:styleId="CommentSubject">
    <w:name w:val="annotation subject"/>
    <w:basedOn w:val="CommentText"/>
    <w:next w:val="CommentText"/>
    <w:link w:val="CommentSubjectChar"/>
    <w:uiPriority w:val="99"/>
    <w:semiHidden/>
    <w:rsid w:val="00D51386"/>
    <w:rPr>
      <w:b/>
      <w:bCs/>
    </w:rPr>
  </w:style>
  <w:style w:type="character" w:customStyle="1" w:styleId="CommentSubjectChar">
    <w:name w:val="Comment Subject Char"/>
    <w:basedOn w:val="CommentTextChar"/>
    <w:link w:val="CommentSubject"/>
    <w:uiPriority w:val="99"/>
    <w:semiHidden/>
    <w:locked/>
    <w:rPr>
      <w:rFonts w:ascii="Corbel" w:hAnsi="Corbel" w:cs="Times New Roman"/>
      <w:b/>
      <w:bCs/>
      <w:color w:val="000000"/>
    </w:rPr>
  </w:style>
  <w:style w:type="paragraph" w:styleId="DocumentMap">
    <w:name w:val="Document Map"/>
    <w:basedOn w:val="Normal"/>
    <w:link w:val="DocumentMapChar"/>
    <w:uiPriority w:val="99"/>
    <w:semiHidden/>
    <w:rsid w:val="00D5138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color w:val="000000"/>
      <w:sz w:val="16"/>
      <w:szCs w:val="16"/>
    </w:rPr>
  </w:style>
  <w:style w:type="character" w:styleId="EndnoteReference">
    <w:name w:val="endnote reference"/>
    <w:basedOn w:val="DefaultParagraphFont"/>
    <w:uiPriority w:val="99"/>
    <w:semiHidden/>
    <w:rsid w:val="00D51386"/>
    <w:rPr>
      <w:rFonts w:cs="Times New Roman"/>
      <w:vertAlign w:val="superscript"/>
    </w:rPr>
  </w:style>
  <w:style w:type="paragraph" w:styleId="EndnoteText">
    <w:name w:val="endnote text"/>
    <w:basedOn w:val="Normal"/>
    <w:link w:val="EndnoteTextChar"/>
    <w:uiPriority w:val="99"/>
    <w:semiHidden/>
    <w:rsid w:val="00D51386"/>
  </w:style>
  <w:style w:type="character" w:customStyle="1" w:styleId="EndnoteTextChar">
    <w:name w:val="Endnote Text Char"/>
    <w:basedOn w:val="DefaultParagraphFont"/>
    <w:link w:val="EndnoteText"/>
    <w:uiPriority w:val="99"/>
    <w:semiHidden/>
    <w:locked/>
    <w:rPr>
      <w:rFonts w:ascii="Corbel" w:hAnsi="Corbel" w:cs="Times New Roman"/>
      <w:color w:val="000000"/>
    </w:rPr>
  </w:style>
  <w:style w:type="character" w:styleId="FootnoteReference">
    <w:name w:val="footnote reference"/>
    <w:basedOn w:val="DefaultParagraphFont"/>
    <w:uiPriority w:val="99"/>
    <w:rsid w:val="00D51386"/>
    <w:rPr>
      <w:rFonts w:cs="Times New Roman"/>
      <w:vertAlign w:val="superscript"/>
    </w:rPr>
  </w:style>
  <w:style w:type="paragraph" w:styleId="Index1">
    <w:name w:val="index 1"/>
    <w:basedOn w:val="Normal"/>
    <w:next w:val="Normal"/>
    <w:autoRedefine/>
    <w:uiPriority w:val="99"/>
    <w:semiHidden/>
    <w:rsid w:val="00D51386"/>
    <w:pPr>
      <w:ind w:left="200" w:hanging="200"/>
    </w:pPr>
  </w:style>
  <w:style w:type="paragraph" w:styleId="Index2">
    <w:name w:val="index 2"/>
    <w:basedOn w:val="Normal"/>
    <w:next w:val="Normal"/>
    <w:autoRedefine/>
    <w:uiPriority w:val="99"/>
    <w:semiHidden/>
    <w:rsid w:val="00D51386"/>
    <w:pPr>
      <w:ind w:left="400" w:hanging="200"/>
    </w:pPr>
  </w:style>
  <w:style w:type="paragraph" w:styleId="Index3">
    <w:name w:val="index 3"/>
    <w:basedOn w:val="Normal"/>
    <w:next w:val="Normal"/>
    <w:autoRedefine/>
    <w:uiPriority w:val="99"/>
    <w:semiHidden/>
    <w:rsid w:val="00D51386"/>
    <w:pPr>
      <w:ind w:left="600" w:hanging="200"/>
    </w:pPr>
  </w:style>
  <w:style w:type="paragraph" w:styleId="Index4">
    <w:name w:val="index 4"/>
    <w:basedOn w:val="Normal"/>
    <w:next w:val="Normal"/>
    <w:autoRedefine/>
    <w:uiPriority w:val="99"/>
    <w:semiHidden/>
    <w:rsid w:val="00D51386"/>
    <w:pPr>
      <w:ind w:left="800" w:hanging="200"/>
    </w:pPr>
  </w:style>
  <w:style w:type="paragraph" w:styleId="Index5">
    <w:name w:val="index 5"/>
    <w:basedOn w:val="Normal"/>
    <w:next w:val="Normal"/>
    <w:autoRedefine/>
    <w:uiPriority w:val="99"/>
    <w:semiHidden/>
    <w:rsid w:val="00D51386"/>
    <w:pPr>
      <w:ind w:left="1000" w:hanging="200"/>
    </w:pPr>
  </w:style>
  <w:style w:type="paragraph" w:styleId="Index6">
    <w:name w:val="index 6"/>
    <w:basedOn w:val="Normal"/>
    <w:next w:val="Normal"/>
    <w:autoRedefine/>
    <w:uiPriority w:val="99"/>
    <w:semiHidden/>
    <w:rsid w:val="00D51386"/>
    <w:pPr>
      <w:ind w:left="1200" w:hanging="200"/>
    </w:pPr>
  </w:style>
  <w:style w:type="paragraph" w:styleId="Index7">
    <w:name w:val="index 7"/>
    <w:basedOn w:val="Normal"/>
    <w:next w:val="Normal"/>
    <w:autoRedefine/>
    <w:uiPriority w:val="99"/>
    <w:semiHidden/>
    <w:rsid w:val="00D51386"/>
    <w:pPr>
      <w:ind w:left="1400" w:hanging="200"/>
    </w:pPr>
  </w:style>
  <w:style w:type="paragraph" w:styleId="Index8">
    <w:name w:val="index 8"/>
    <w:basedOn w:val="Normal"/>
    <w:next w:val="Normal"/>
    <w:autoRedefine/>
    <w:uiPriority w:val="99"/>
    <w:semiHidden/>
    <w:rsid w:val="00D51386"/>
    <w:pPr>
      <w:ind w:left="1600" w:hanging="200"/>
    </w:pPr>
  </w:style>
  <w:style w:type="paragraph" w:styleId="Index9">
    <w:name w:val="index 9"/>
    <w:basedOn w:val="Normal"/>
    <w:next w:val="Normal"/>
    <w:autoRedefine/>
    <w:uiPriority w:val="99"/>
    <w:semiHidden/>
    <w:rsid w:val="00D51386"/>
    <w:pPr>
      <w:ind w:left="1800" w:hanging="200"/>
    </w:pPr>
  </w:style>
  <w:style w:type="paragraph" w:styleId="IndexHeading">
    <w:name w:val="index heading"/>
    <w:basedOn w:val="Normal"/>
    <w:next w:val="Index1"/>
    <w:uiPriority w:val="99"/>
    <w:semiHidden/>
    <w:rsid w:val="00D51386"/>
    <w:rPr>
      <w:rFonts w:ascii="Arial" w:hAnsi="Arial" w:cs="Arial"/>
      <w:b/>
      <w:bCs/>
    </w:rPr>
  </w:style>
  <w:style w:type="paragraph" w:styleId="MacroText">
    <w:name w:val="macro"/>
    <w:link w:val="MacroTextChar"/>
    <w:uiPriority w:val="99"/>
    <w:semiHidden/>
    <w:rsid w:val="00D513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basedOn w:val="DefaultParagraphFont"/>
    <w:link w:val="MacroText"/>
    <w:uiPriority w:val="99"/>
    <w:semiHidden/>
    <w:locked/>
    <w:rPr>
      <w:rFonts w:ascii="Courier New" w:hAnsi="Courier New" w:cs="Courier New"/>
      <w:color w:val="000000"/>
    </w:rPr>
  </w:style>
  <w:style w:type="paragraph" w:styleId="TableofAuthorities">
    <w:name w:val="table of authorities"/>
    <w:basedOn w:val="Normal"/>
    <w:next w:val="Normal"/>
    <w:uiPriority w:val="99"/>
    <w:rsid w:val="00D51386"/>
    <w:pPr>
      <w:ind w:left="200" w:hanging="200"/>
    </w:pPr>
  </w:style>
  <w:style w:type="paragraph" w:styleId="TableofFigures">
    <w:name w:val="table of figures"/>
    <w:basedOn w:val="Normal"/>
    <w:next w:val="Normal"/>
    <w:uiPriority w:val="99"/>
    <w:rsid w:val="00D51386"/>
  </w:style>
  <w:style w:type="paragraph" w:styleId="TOAHeading">
    <w:name w:val="toa heading"/>
    <w:basedOn w:val="Normal"/>
    <w:next w:val="Normal"/>
    <w:uiPriority w:val="99"/>
    <w:semiHidden/>
    <w:rsid w:val="00D51386"/>
    <w:pPr>
      <w:spacing w:before="120"/>
    </w:pPr>
    <w:rPr>
      <w:rFonts w:ascii="Arial" w:hAnsi="Arial" w:cs="Arial"/>
      <w:b/>
      <w:bCs/>
      <w:sz w:val="24"/>
      <w:szCs w:val="24"/>
    </w:rPr>
  </w:style>
  <w:style w:type="paragraph" w:styleId="TOC5">
    <w:name w:val="toc 5"/>
    <w:basedOn w:val="Normal"/>
    <w:next w:val="Normal"/>
    <w:autoRedefine/>
    <w:uiPriority w:val="39"/>
    <w:semiHidden/>
    <w:rsid w:val="00D51386"/>
    <w:pPr>
      <w:ind w:left="800"/>
    </w:pPr>
  </w:style>
  <w:style w:type="paragraph" w:styleId="TOC6">
    <w:name w:val="toc 6"/>
    <w:basedOn w:val="Normal"/>
    <w:next w:val="Normal"/>
    <w:autoRedefine/>
    <w:uiPriority w:val="39"/>
    <w:semiHidden/>
    <w:rsid w:val="00D51386"/>
    <w:pPr>
      <w:ind w:left="1000"/>
    </w:pPr>
  </w:style>
  <w:style w:type="paragraph" w:styleId="TOC7">
    <w:name w:val="toc 7"/>
    <w:basedOn w:val="Normal"/>
    <w:next w:val="Normal"/>
    <w:autoRedefine/>
    <w:uiPriority w:val="39"/>
    <w:semiHidden/>
    <w:rsid w:val="00D51386"/>
    <w:pPr>
      <w:ind w:left="1200"/>
    </w:pPr>
  </w:style>
  <w:style w:type="paragraph" w:styleId="TOC8">
    <w:name w:val="toc 8"/>
    <w:basedOn w:val="Normal"/>
    <w:next w:val="Normal"/>
    <w:autoRedefine/>
    <w:uiPriority w:val="39"/>
    <w:semiHidden/>
    <w:rsid w:val="00D51386"/>
    <w:pPr>
      <w:ind w:left="1400"/>
    </w:pPr>
  </w:style>
  <w:style w:type="paragraph" w:styleId="TOC9">
    <w:name w:val="toc 9"/>
    <w:basedOn w:val="Normal"/>
    <w:next w:val="Normal"/>
    <w:autoRedefine/>
    <w:uiPriority w:val="39"/>
    <w:semiHidden/>
    <w:rsid w:val="00D51386"/>
    <w:pPr>
      <w:ind w:left="1600"/>
    </w:pPr>
  </w:style>
  <w:style w:type="paragraph" w:customStyle="1" w:styleId="Heading5NotNumbered">
    <w:name w:val="Heading 5 Not Numbered"/>
    <w:basedOn w:val="HeadingBase"/>
    <w:rsid w:val="00D51386"/>
    <w:pPr>
      <w:spacing w:after="120"/>
      <w:outlineLvl w:val="4"/>
    </w:pPr>
    <w:rPr>
      <w:b/>
    </w:rPr>
  </w:style>
  <w:style w:type="paragraph" w:customStyle="1" w:styleId="Normalnumbered">
    <w:name w:val="Normal numbered"/>
    <w:basedOn w:val="Normal"/>
    <w:link w:val="NormalnumberedChar"/>
    <w:rsid w:val="00D51386"/>
    <w:pPr>
      <w:numPr>
        <w:numId w:val="5"/>
      </w:numPr>
    </w:pPr>
  </w:style>
  <w:style w:type="paragraph" w:customStyle="1" w:styleId="Romannumeral">
    <w:name w:val="Roman numeral"/>
    <w:basedOn w:val="Normal"/>
    <w:rsid w:val="00D51386"/>
    <w:pPr>
      <w:numPr>
        <w:numId w:val="24"/>
      </w:numPr>
    </w:pPr>
  </w:style>
  <w:style w:type="paragraph" w:customStyle="1" w:styleId="FileProperties">
    <w:name w:val="File Properties"/>
    <w:basedOn w:val="Normal"/>
    <w:rsid w:val="00D51386"/>
    <w:rPr>
      <w:i/>
      <w:color w:val="auto"/>
    </w:rPr>
  </w:style>
  <w:style w:type="paragraph" w:customStyle="1" w:styleId="StatesList">
    <w:name w:val="StatesList"/>
    <w:basedOn w:val="AgreementParties"/>
    <w:rsid w:val="00D51386"/>
    <w:pPr>
      <w:tabs>
        <w:tab w:val="num" w:pos="1134"/>
      </w:tabs>
      <w:ind w:left="1134"/>
    </w:pPr>
  </w:style>
  <w:style w:type="paragraph" w:customStyle="1" w:styleId="Abstract">
    <w:name w:val="Abstract"/>
    <w:basedOn w:val="Normal"/>
    <w:rsid w:val="00D51386"/>
    <w:pPr>
      <w:spacing w:before="240" w:line="240" w:lineRule="auto"/>
    </w:pPr>
    <w:rPr>
      <w:rFonts w:ascii="Consolas" w:hAnsi="Consolas"/>
      <w:color w:val="3D4B67"/>
      <w:sz w:val="20"/>
      <w:szCs w:val="26"/>
    </w:rPr>
  </w:style>
  <w:style w:type="paragraph" w:customStyle="1" w:styleId="ScheduleStartNnumber">
    <w:name w:val="ScheduleStartNnumber"/>
    <w:rsid w:val="00D51386"/>
    <w:pPr>
      <w:numPr>
        <w:numId w:val="27"/>
      </w:numPr>
    </w:pPr>
    <w:rPr>
      <w:rFonts w:ascii="Consolas" w:hAnsi="Consolas" w:cs="Arial"/>
      <w:bCs/>
      <w:vanish/>
      <w:color w:val="000000"/>
      <w:kern w:val="32"/>
      <w:sz w:val="12"/>
      <w:szCs w:val="36"/>
    </w:rPr>
  </w:style>
  <w:style w:type="paragraph" w:styleId="Subtitle">
    <w:name w:val="Subtitle"/>
    <w:basedOn w:val="Normal"/>
    <w:link w:val="SubtitleChar"/>
    <w:uiPriority w:val="11"/>
    <w:qFormat/>
    <w:rsid w:val="00814667"/>
    <w:pPr>
      <w:spacing w:after="600" w:line="240" w:lineRule="auto"/>
      <w:jc w:val="left"/>
    </w:pPr>
    <w:rPr>
      <w:rFonts w:ascii="Consolas" w:hAnsi="Consolas"/>
      <w:b/>
      <w:caps/>
      <w:color w:val="C7823E"/>
      <w:spacing w:val="50"/>
      <w:sz w:val="24"/>
      <w:szCs w:val="22"/>
      <w:lang w:eastAsia="ja-JP"/>
    </w:rPr>
  </w:style>
  <w:style w:type="character" w:customStyle="1" w:styleId="SubtitleChar">
    <w:name w:val="Subtitle Char"/>
    <w:basedOn w:val="DefaultParagraphFont"/>
    <w:link w:val="Subtitle"/>
    <w:uiPriority w:val="11"/>
    <w:locked/>
    <w:rsid w:val="00814667"/>
    <w:rPr>
      <w:rFonts w:ascii="Consolas" w:hAnsi="Consolas" w:cs="Times New Roman"/>
      <w:b/>
      <w:caps/>
      <w:color w:val="C7823E"/>
      <w:spacing w:val="50"/>
      <w:sz w:val="22"/>
      <w:lang w:val="en-AU" w:eastAsia="ja-JP"/>
    </w:rPr>
  </w:style>
  <w:style w:type="paragraph" w:styleId="Title">
    <w:name w:val="Title"/>
    <w:basedOn w:val="Normal"/>
    <w:next w:val="Subtitle"/>
    <w:link w:val="TitleChar"/>
    <w:uiPriority w:val="10"/>
    <w:qFormat/>
    <w:rsid w:val="00814667"/>
    <w:pPr>
      <w:spacing w:after="0" w:line="240" w:lineRule="auto"/>
      <w:jc w:val="left"/>
    </w:pPr>
    <w:rPr>
      <w:color w:val="3D4B67"/>
      <w:sz w:val="72"/>
      <w:szCs w:val="48"/>
      <w:lang w:eastAsia="ja-JP"/>
    </w:rPr>
  </w:style>
  <w:style w:type="character" w:customStyle="1" w:styleId="TitleChar">
    <w:name w:val="Title Char"/>
    <w:basedOn w:val="DefaultParagraphFont"/>
    <w:link w:val="Title"/>
    <w:uiPriority w:val="10"/>
    <w:locked/>
    <w:rsid w:val="00814667"/>
    <w:rPr>
      <w:rFonts w:ascii="Corbel" w:hAnsi="Corbel" w:cs="Times New Roman"/>
      <w:color w:val="3D4B67"/>
      <w:sz w:val="48"/>
      <w:lang w:val="en-AU" w:eastAsia="ja-JP"/>
    </w:rPr>
  </w:style>
  <w:style w:type="paragraph" w:customStyle="1" w:styleId="TableBullet">
    <w:name w:val="TableBullet"/>
    <w:basedOn w:val="Bullet"/>
    <w:rsid w:val="00D51386"/>
    <w:pPr>
      <w:tabs>
        <w:tab w:val="clear" w:pos="283"/>
      </w:tabs>
      <w:spacing w:before="40" w:after="60"/>
      <w:ind w:left="0" w:firstLine="0"/>
    </w:pPr>
  </w:style>
  <w:style w:type="paragraph" w:customStyle="1" w:styleId="ScheduleList">
    <w:name w:val="ScheduleList"/>
    <w:basedOn w:val="Normal"/>
    <w:rsid w:val="00D51386"/>
    <w:pPr>
      <w:numPr>
        <w:numId w:val="21"/>
      </w:numPr>
    </w:pPr>
    <w:rPr>
      <w:b/>
    </w:rPr>
  </w:style>
  <w:style w:type="paragraph" w:customStyle="1" w:styleId="ScheduleListSubHeading">
    <w:name w:val="ScheduleListSubHeading"/>
    <w:basedOn w:val="ScheduleList"/>
    <w:rsid w:val="00D51386"/>
    <w:pPr>
      <w:numPr>
        <w:ilvl w:val="1"/>
      </w:numPr>
      <w:tabs>
        <w:tab w:val="num" w:pos="2574"/>
      </w:tabs>
      <w:ind w:hanging="360"/>
    </w:pPr>
  </w:style>
  <w:style w:type="paragraph" w:customStyle="1" w:styleId="Signed">
    <w:name w:val="Signed"/>
    <w:basedOn w:val="Normal"/>
    <w:rsid w:val="00D51386"/>
    <w:pPr>
      <w:spacing w:after="120" w:line="240" w:lineRule="auto"/>
    </w:pPr>
    <w:rPr>
      <w:rFonts w:ascii="Book Antiqua" w:hAnsi="Book Antiqua"/>
      <w:bCs/>
      <w:i/>
      <w:sz w:val="22"/>
    </w:rPr>
  </w:style>
  <w:style w:type="paragraph" w:customStyle="1" w:styleId="AgreementHeading">
    <w:name w:val="AgreementHeading"/>
    <w:basedOn w:val="StatesList"/>
    <w:next w:val="StatesList"/>
    <w:rsid w:val="00D51386"/>
    <w:pPr>
      <w:numPr>
        <w:numId w:val="0"/>
      </w:numPr>
      <w:ind w:left="1560"/>
    </w:pPr>
  </w:style>
  <w:style w:type="character" w:styleId="PageNumber">
    <w:name w:val="page number"/>
    <w:basedOn w:val="DefaultParagraphFont"/>
    <w:uiPriority w:val="99"/>
    <w:rsid w:val="00D51386"/>
    <w:rPr>
      <w:rFonts w:cs="Times New Roman"/>
    </w:rPr>
  </w:style>
  <w:style w:type="paragraph" w:customStyle="1" w:styleId="CoverStatesList">
    <w:name w:val="CoverStatesList"/>
    <w:basedOn w:val="Normal"/>
    <w:rsid w:val="00D51386"/>
    <w:pPr>
      <w:keepNext/>
      <w:tabs>
        <w:tab w:val="num" w:pos="284"/>
      </w:tabs>
      <w:spacing w:before="240" w:after="60" w:line="240" w:lineRule="auto"/>
      <w:ind w:left="284" w:hanging="284"/>
      <w:jc w:val="left"/>
    </w:pPr>
    <w:rPr>
      <w:rFonts w:ascii="Consolas" w:hAnsi="Consolas"/>
      <w:color w:val="auto"/>
      <w:sz w:val="30"/>
      <w:szCs w:val="32"/>
      <w:lang w:eastAsia="ja-JP"/>
    </w:rPr>
  </w:style>
  <w:style w:type="paragraph" w:customStyle="1" w:styleId="Position">
    <w:name w:val="Position"/>
    <w:basedOn w:val="Normal"/>
    <w:rsid w:val="00D51386"/>
    <w:pPr>
      <w:spacing w:after="120"/>
    </w:pPr>
    <w:rPr>
      <w:bCs/>
      <w:sz w:val="20"/>
    </w:rPr>
  </w:style>
  <w:style w:type="character" w:customStyle="1" w:styleId="SignedBold">
    <w:name w:val="SignedBold"/>
    <w:rsid w:val="00D51386"/>
    <w:rPr>
      <w:b/>
      <w:i/>
    </w:rPr>
  </w:style>
  <w:style w:type="paragraph" w:customStyle="1" w:styleId="LineForSignature">
    <w:name w:val="LineForSignature"/>
    <w:basedOn w:val="Normal"/>
    <w:rsid w:val="00D51386"/>
    <w:pPr>
      <w:tabs>
        <w:tab w:val="left" w:leader="underscore" w:pos="3686"/>
      </w:tabs>
      <w:spacing w:before="360" w:after="60"/>
    </w:pPr>
    <w:rPr>
      <w:rFonts w:ascii="Book Antiqua" w:hAnsi="Book Antiqua"/>
      <w:color w:val="C0C0C0"/>
      <w:lang w:val="en-GB"/>
    </w:rPr>
  </w:style>
  <w:style w:type="paragraph" w:customStyle="1" w:styleId="ScheduleNumberedPara">
    <w:name w:val="ScheduleNumberedPara"/>
    <w:basedOn w:val="Normalnumbered"/>
    <w:link w:val="ScheduleNumberedParaChar"/>
    <w:rsid w:val="00D51386"/>
    <w:pPr>
      <w:numPr>
        <w:ilvl w:val="1"/>
        <w:numId w:val="27"/>
      </w:numPr>
      <w:tabs>
        <w:tab w:val="num" w:pos="2268"/>
      </w:tabs>
    </w:pPr>
  </w:style>
  <w:style w:type="paragraph" w:customStyle="1" w:styleId="Heading1Red">
    <w:name w:val="Heading 1 Red"/>
    <w:basedOn w:val="Heading1"/>
    <w:rsid w:val="00D51386"/>
    <w:rPr>
      <w:color w:val="980033"/>
    </w:rPr>
  </w:style>
  <w:style w:type="paragraph" w:customStyle="1" w:styleId="Indentednumberpara">
    <w:name w:val="Indented number para"/>
    <w:basedOn w:val="Romannumeral"/>
    <w:rsid w:val="00D51386"/>
    <w:pPr>
      <w:numPr>
        <w:ilvl w:val="1"/>
        <w:numId w:val="22"/>
      </w:numPr>
    </w:pPr>
  </w:style>
  <w:style w:type="paragraph" w:customStyle="1" w:styleId="AgreementParties">
    <w:name w:val="AgreementParties"/>
    <w:rsid w:val="00D51386"/>
    <w:pPr>
      <w:numPr>
        <w:numId w:val="25"/>
      </w:numPr>
      <w:spacing w:before="120" w:after="120"/>
    </w:pPr>
    <w:rPr>
      <w:rFonts w:ascii="Consolas" w:hAnsi="Consolas"/>
      <w:color w:val="3D4B67"/>
      <w:sz w:val="30"/>
      <w:szCs w:val="32"/>
      <w:lang w:eastAsia="ja-JP"/>
    </w:rPr>
  </w:style>
  <w:style w:type="paragraph" w:customStyle="1" w:styleId="IndentedQuote">
    <w:name w:val="Indented Quote"/>
    <w:basedOn w:val="Normal"/>
    <w:qFormat/>
    <w:rsid w:val="00D51386"/>
    <w:pPr>
      <w:pBdr>
        <w:top w:val="single" w:sz="2" w:space="10" w:color="000080"/>
        <w:bottom w:val="single" w:sz="2" w:space="10" w:color="000080"/>
      </w:pBdr>
      <w:shd w:val="clear" w:color="auto" w:fill="FFFFFF"/>
      <w:spacing w:before="240" w:line="280" w:lineRule="exact"/>
      <w:ind w:left="567" w:right="567"/>
      <w:contextualSpacing/>
    </w:pPr>
    <w:rPr>
      <w:color w:val="3D4B67"/>
      <w:lang w:eastAsia="ja-JP"/>
    </w:rPr>
  </w:style>
  <w:style w:type="paragraph" w:customStyle="1" w:styleId="IndentItalic">
    <w:name w:val="IndentItalic"/>
    <w:basedOn w:val="NormalIndent"/>
    <w:rsid w:val="00D51386"/>
    <w:rPr>
      <w:i/>
    </w:rPr>
  </w:style>
  <w:style w:type="paragraph" w:customStyle="1" w:styleId="HeaderEvenRed">
    <w:name w:val="Header Even Red"/>
    <w:basedOn w:val="HeaderEven"/>
    <w:rsid w:val="00D51386"/>
    <w:rPr>
      <w:color w:val="980033"/>
    </w:rPr>
  </w:style>
  <w:style w:type="paragraph" w:customStyle="1" w:styleId="HeaderOddRed">
    <w:name w:val="Header Odd Red"/>
    <w:basedOn w:val="HeaderOdd"/>
    <w:rsid w:val="00D51386"/>
    <w:rPr>
      <w:color w:val="980033"/>
    </w:rPr>
  </w:style>
  <w:style w:type="paragraph" w:styleId="ListBullet">
    <w:name w:val="List Bullet"/>
    <w:basedOn w:val="Normal"/>
    <w:link w:val="ListBulletChar"/>
    <w:uiPriority w:val="99"/>
    <w:rsid w:val="00C7093C"/>
    <w:pPr>
      <w:tabs>
        <w:tab w:val="num" w:pos="0"/>
        <w:tab w:val="num" w:pos="283"/>
        <w:tab w:val="num" w:pos="567"/>
        <w:tab w:val="num" w:pos="1134"/>
        <w:tab w:val="num" w:pos="1418"/>
        <w:tab w:val="num" w:pos="1701"/>
      </w:tabs>
      <w:spacing w:after="113" w:line="240" w:lineRule="auto"/>
      <w:ind w:left="720" w:hanging="363"/>
      <w:jc w:val="left"/>
    </w:pPr>
    <w:rPr>
      <w:rFonts w:ascii="Times New Roman" w:hAnsi="Times New Roman"/>
      <w:color w:val="auto"/>
      <w:sz w:val="22"/>
      <w:szCs w:val="22"/>
      <w:lang w:eastAsia="en-US"/>
    </w:rPr>
  </w:style>
  <w:style w:type="character" w:customStyle="1" w:styleId="ListBulletChar">
    <w:name w:val="List Bullet Char"/>
    <w:link w:val="ListBullet"/>
    <w:uiPriority w:val="99"/>
    <w:locked/>
    <w:rsid w:val="00C7093C"/>
    <w:rPr>
      <w:sz w:val="22"/>
      <w:lang w:val="x-none" w:eastAsia="en-US"/>
    </w:rPr>
  </w:style>
  <w:style w:type="character" w:customStyle="1" w:styleId="NormalnumberedChar">
    <w:name w:val="Normal numbered Char"/>
    <w:link w:val="Normalnumbered"/>
    <w:locked/>
    <w:rsid w:val="00C7093C"/>
    <w:rPr>
      <w:rFonts w:ascii="Corbel" w:hAnsi="Corbel"/>
      <w:color w:val="000000"/>
      <w:sz w:val="23"/>
    </w:rPr>
  </w:style>
  <w:style w:type="paragraph" w:customStyle="1" w:styleId="Bodycopy">
    <w:name w:val="Body copy"/>
    <w:basedOn w:val="Normal"/>
    <w:link w:val="BodycopyChar"/>
    <w:rsid w:val="00F979C5"/>
    <w:pPr>
      <w:spacing w:after="113" w:line="240" w:lineRule="auto"/>
      <w:jc w:val="left"/>
    </w:pPr>
    <w:rPr>
      <w:rFonts w:ascii="Times New Roman" w:hAnsi="Times New Roman"/>
      <w:color w:val="auto"/>
      <w:sz w:val="22"/>
      <w:szCs w:val="22"/>
      <w:lang w:eastAsia="en-US"/>
    </w:rPr>
  </w:style>
  <w:style w:type="character" w:customStyle="1" w:styleId="BodycopyChar">
    <w:name w:val="Body copy Char"/>
    <w:link w:val="Bodycopy"/>
    <w:locked/>
    <w:rsid w:val="00F979C5"/>
    <w:rPr>
      <w:sz w:val="22"/>
      <w:lang w:val="en-AU" w:eastAsia="en-US"/>
    </w:rPr>
  </w:style>
  <w:style w:type="paragraph" w:customStyle="1" w:styleId="TableText">
    <w:name w:val="Table Text"/>
    <w:basedOn w:val="Bodycopy"/>
    <w:rsid w:val="00F979C5"/>
    <w:pPr>
      <w:spacing w:before="60" w:after="60"/>
    </w:pPr>
    <w:rPr>
      <w:rFonts w:ascii="Arial" w:hAnsi="Arial" w:cs="Arial"/>
      <w:sz w:val="16"/>
    </w:rPr>
  </w:style>
  <w:style w:type="paragraph" w:customStyle="1" w:styleId="TableHeading">
    <w:name w:val="Table Heading"/>
    <w:basedOn w:val="TableText"/>
    <w:rsid w:val="00F979C5"/>
    <w:rPr>
      <w:b/>
      <w:color w:val="FFFFFF"/>
    </w:rPr>
  </w:style>
  <w:style w:type="paragraph" w:customStyle="1" w:styleId="SectionHeading">
    <w:name w:val="Section Heading"/>
    <w:basedOn w:val="Heading4"/>
    <w:rsid w:val="00F979C5"/>
    <w:pPr>
      <w:spacing w:before="240" w:after="60"/>
    </w:pPr>
    <w:rPr>
      <w:rFonts w:ascii="Times New Roman" w:hAnsi="Times New Roman"/>
      <w:caps w:val="0"/>
      <w:color w:val="7584BD"/>
      <w:sz w:val="22"/>
      <w:szCs w:val="28"/>
      <w:lang w:eastAsia="en-US"/>
    </w:rPr>
  </w:style>
  <w:style w:type="character" w:customStyle="1" w:styleId="CaptionChar">
    <w:name w:val="Caption Char"/>
    <w:link w:val="Caption"/>
    <w:locked/>
    <w:rsid w:val="00F979C5"/>
    <w:rPr>
      <w:rFonts w:ascii="Corbel" w:hAnsi="Corbel"/>
      <w:b/>
      <w:color w:val="000000"/>
      <w:sz w:val="23"/>
      <w:lang w:val="en-AU" w:eastAsia="en-AU"/>
    </w:rPr>
  </w:style>
  <w:style w:type="character" w:customStyle="1" w:styleId="HeadingBaseChar">
    <w:name w:val="Heading Base Char"/>
    <w:link w:val="HeadingBase"/>
    <w:locked/>
    <w:rsid w:val="00E220BC"/>
    <w:rPr>
      <w:rFonts w:ascii="Corbel" w:hAnsi="Corbel"/>
      <w:color w:val="3D4B67"/>
      <w:lang w:val="en-AU" w:eastAsia="en-AU"/>
    </w:rPr>
  </w:style>
  <w:style w:type="character" w:customStyle="1" w:styleId="AlphaParagraphCharChar">
    <w:name w:val="Alpha Paragraph Char Char"/>
    <w:link w:val="AlphaParagraph"/>
    <w:locked/>
    <w:rsid w:val="00725AD5"/>
    <w:rPr>
      <w:rFonts w:ascii="Corbel" w:hAnsi="Corbel"/>
      <w:color w:val="000000"/>
      <w:sz w:val="23"/>
    </w:rPr>
  </w:style>
  <w:style w:type="character" w:customStyle="1" w:styleId="BulletChar">
    <w:name w:val="Bullet Char"/>
    <w:link w:val="Bullet"/>
    <w:locked/>
    <w:rsid w:val="004B1F38"/>
    <w:rPr>
      <w:rFonts w:ascii="Corbel" w:hAnsi="Corbel"/>
      <w:color w:val="000000"/>
      <w:sz w:val="23"/>
    </w:rPr>
  </w:style>
  <w:style w:type="paragraph" w:customStyle="1" w:styleId="NumberedParagraph">
    <w:name w:val="Numbered Paragraph"/>
    <w:basedOn w:val="Normal"/>
    <w:rsid w:val="004B1F38"/>
    <w:pPr>
      <w:numPr>
        <w:numId w:val="29"/>
      </w:numPr>
      <w:spacing w:line="240" w:lineRule="auto"/>
      <w:jc w:val="left"/>
    </w:pPr>
    <w:rPr>
      <w:rFonts w:ascii="Times New Roman" w:hAnsi="Times New Roman"/>
      <w:color w:val="auto"/>
      <w:sz w:val="24"/>
    </w:rPr>
  </w:style>
  <w:style w:type="character" w:customStyle="1" w:styleId="CharChar4">
    <w:name w:val="Char Char4"/>
    <w:semiHidden/>
    <w:rsid w:val="006F096A"/>
    <w:rPr>
      <w:rFonts w:ascii="Corbel" w:hAnsi="Corbel"/>
      <w:b/>
      <w:color w:val="3D4B67"/>
      <w:sz w:val="28"/>
      <w:lang w:val="en-AU" w:eastAsia="en-AU"/>
    </w:rPr>
  </w:style>
  <w:style w:type="paragraph" w:customStyle="1" w:styleId="Default">
    <w:name w:val="Default"/>
    <w:rsid w:val="00D802FC"/>
    <w:pPr>
      <w:autoSpaceDE w:val="0"/>
      <w:autoSpaceDN w:val="0"/>
      <w:adjustRightInd w:val="0"/>
    </w:pPr>
    <w:rPr>
      <w:rFonts w:ascii="Corbel" w:hAnsi="Corbel" w:cs="Corbel"/>
      <w:color w:val="000000"/>
      <w:sz w:val="24"/>
      <w:szCs w:val="24"/>
    </w:rPr>
  </w:style>
  <w:style w:type="character" w:customStyle="1" w:styleId="NormalIndentChar">
    <w:name w:val="Normal Indent Char"/>
    <w:link w:val="NormalIndent"/>
    <w:locked/>
    <w:rsid w:val="00E354D8"/>
    <w:rPr>
      <w:rFonts w:ascii="Corbel" w:hAnsi="Corbel"/>
      <w:color w:val="000000"/>
      <w:sz w:val="23"/>
      <w:lang w:val="en-AU" w:eastAsia="en-AU"/>
    </w:rPr>
  </w:style>
  <w:style w:type="paragraph" w:customStyle="1" w:styleId="IndentHanging">
    <w:name w:val="Indent: Hanging"/>
    <w:basedOn w:val="Normal"/>
    <w:semiHidden/>
    <w:rsid w:val="001E7173"/>
    <w:pPr>
      <w:numPr>
        <w:numId w:val="30"/>
      </w:numPr>
      <w:spacing w:after="140" w:line="280" w:lineRule="atLeast"/>
      <w:jc w:val="left"/>
    </w:pPr>
    <w:rPr>
      <w:rFonts w:ascii="Arial" w:hAnsi="Arial" w:cs="Arial"/>
      <w:color w:val="auto"/>
      <w:sz w:val="22"/>
      <w:szCs w:val="22"/>
    </w:rPr>
  </w:style>
  <w:style w:type="paragraph" w:customStyle="1" w:styleId="IndentHanging1">
    <w:name w:val="Indent: Hanging 1"/>
    <w:basedOn w:val="IndentHanging"/>
    <w:rsid w:val="001E7173"/>
    <w:pPr>
      <w:numPr>
        <w:ilvl w:val="1"/>
      </w:numPr>
      <w:tabs>
        <w:tab w:val="num" w:pos="1440"/>
        <w:tab w:val="num" w:pos="1701"/>
      </w:tabs>
      <w:ind w:left="1440" w:hanging="360"/>
    </w:pPr>
  </w:style>
  <w:style w:type="paragraph" w:customStyle="1" w:styleId="IndentHanging2">
    <w:name w:val="Indent: Hanging 2"/>
    <w:basedOn w:val="IndentHanging1"/>
    <w:semiHidden/>
    <w:rsid w:val="001E7173"/>
    <w:pPr>
      <w:numPr>
        <w:ilvl w:val="2"/>
      </w:numPr>
      <w:tabs>
        <w:tab w:val="num" w:pos="2160"/>
        <w:tab w:val="num" w:pos="2268"/>
      </w:tabs>
    </w:pPr>
  </w:style>
  <w:style w:type="paragraph" w:customStyle="1" w:styleId="IndentHanging3">
    <w:name w:val="Indent: Hanging 3"/>
    <w:basedOn w:val="IndentHanging2"/>
    <w:semiHidden/>
    <w:rsid w:val="001E7173"/>
    <w:pPr>
      <w:numPr>
        <w:ilvl w:val="3"/>
      </w:numPr>
      <w:tabs>
        <w:tab w:val="num" w:pos="1440"/>
        <w:tab w:val="num" w:pos="2007"/>
        <w:tab w:val="num" w:pos="2880"/>
      </w:tabs>
    </w:pPr>
  </w:style>
  <w:style w:type="paragraph" w:customStyle="1" w:styleId="IndentHanging4">
    <w:name w:val="Indent: Hanging 4"/>
    <w:basedOn w:val="IndentHanging3"/>
    <w:semiHidden/>
    <w:rsid w:val="001E7173"/>
    <w:pPr>
      <w:numPr>
        <w:ilvl w:val="4"/>
      </w:numPr>
      <w:tabs>
        <w:tab w:val="num" w:pos="1701"/>
        <w:tab w:val="num" w:pos="2367"/>
        <w:tab w:val="num" w:pos="3600"/>
      </w:tabs>
      <w:ind w:hanging="360"/>
    </w:pPr>
  </w:style>
  <w:style w:type="paragraph" w:customStyle="1" w:styleId="IndentHanging5">
    <w:name w:val="Indent: Hanging 5"/>
    <w:basedOn w:val="IndentHanging4"/>
    <w:semiHidden/>
    <w:rsid w:val="001E7173"/>
    <w:pPr>
      <w:numPr>
        <w:ilvl w:val="5"/>
      </w:numPr>
      <w:tabs>
        <w:tab w:val="num" w:pos="2007"/>
        <w:tab w:val="num" w:pos="2727"/>
        <w:tab w:val="num" w:pos="4320"/>
      </w:tabs>
      <w:ind w:hanging="360"/>
    </w:pPr>
  </w:style>
  <w:style w:type="paragraph" w:customStyle="1" w:styleId="IndentHanging6">
    <w:name w:val="Indent: Hanging 6"/>
    <w:basedOn w:val="IndentHanging5"/>
    <w:semiHidden/>
    <w:rsid w:val="001E7173"/>
    <w:pPr>
      <w:numPr>
        <w:ilvl w:val="6"/>
      </w:numPr>
      <w:tabs>
        <w:tab w:val="clear" w:pos="2880"/>
        <w:tab w:val="num" w:pos="2126"/>
        <w:tab w:val="num" w:pos="3087"/>
        <w:tab w:val="num" w:pos="5040"/>
      </w:tabs>
      <w:ind w:hanging="360"/>
    </w:pPr>
  </w:style>
  <w:style w:type="paragraph" w:customStyle="1" w:styleId="IndentHanging7">
    <w:name w:val="Indent: Hanging 7"/>
    <w:basedOn w:val="IndentHanging6"/>
    <w:semiHidden/>
    <w:rsid w:val="001E7173"/>
    <w:pPr>
      <w:numPr>
        <w:ilvl w:val="7"/>
      </w:numPr>
      <w:tabs>
        <w:tab w:val="num" w:pos="2160"/>
        <w:tab w:val="num" w:pos="3447"/>
        <w:tab w:val="num" w:pos="5760"/>
      </w:tabs>
    </w:pPr>
  </w:style>
  <w:style w:type="paragraph" w:customStyle="1" w:styleId="IndentHanging8">
    <w:name w:val="Indent: Hanging 8"/>
    <w:basedOn w:val="IndentHanging7"/>
    <w:semiHidden/>
    <w:rsid w:val="001E7173"/>
    <w:pPr>
      <w:numPr>
        <w:ilvl w:val="8"/>
      </w:numPr>
      <w:tabs>
        <w:tab w:val="clear" w:pos="3600"/>
        <w:tab w:val="num" w:pos="2268"/>
        <w:tab w:val="num" w:pos="6480"/>
      </w:tabs>
    </w:pPr>
  </w:style>
  <w:style w:type="paragraph" w:customStyle="1" w:styleId="TableIndentHanging">
    <w:name w:val="Table: Indent: Hanging"/>
    <w:basedOn w:val="Normal"/>
    <w:semiHidden/>
    <w:rsid w:val="001E7173"/>
    <w:pPr>
      <w:numPr>
        <w:numId w:val="31"/>
      </w:numPr>
      <w:tabs>
        <w:tab w:val="left" w:pos="283"/>
      </w:tabs>
      <w:spacing w:after="60" w:line="240" w:lineRule="atLeast"/>
      <w:jc w:val="left"/>
    </w:pPr>
    <w:rPr>
      <w:rFonts w:ascii="Arial" w:hAnsi="Arial" w:cs="Arial"/>
      <w:color w:val="auto"/>
      <w:sz w:val="20"/>
      <w:szCs w:val="22"/>
    </w:rPr>
  </w:style>
  <w:style w:type="paragraph" w:customStyle="1" w:styleId="TableIndentHanging1">
    <w:name w:val="Table: Indent: Hanging 1"/>
    <w:basedOn w:val="Normal"/>
    <w:rsid w:val="001E7173"/>
    <w:pPr>
      <w:numPr>
        <w:ilvl w:val="1"/>
        <w:numId w:val="31"/>
      </w:numPr>
      <w:tabs>
        <w:tab w:val="left" w:pos="283"/>
      </w:tabs>
      <w:spacing w:after="60" w:line="240" w:lineRule="atLeast"/>
      <w:jc w:val="left"/>
    </w:pPr>
    <w:rPr>
      <w:rFonts w:ascii="Arial" w:hAnsi="Arial" w:cs="Arial"/>
      <w:color w:val="auto"/>
      <w:sz w:val="20"/>
      <w:szCs w:val="22"/>
    </w:rPr>
  </w:style>
  <w:style w:type="paragraph" w:customStyle="1" w:styleId="TableIndentHanging2">
    <w:name w:val="Table: Indent: Hanging 2"/>
    <w:basedOn w:val="Normal"/>
    <w:semiHidden/>
    <w:rsid w:val="001E7173"/>
    <w:pPr>
      <w:numPr>
        <w:ilvl w:val="2"/>
        <w:numId w:val="31"/>
      </w:numPr>
      <w:tabs>
        <w:tab w:val="left" w:pos="567"/>
      </w:tabs>
      <w:spacing w:after="60" w:line="240" w:lineRule="atLeast"/>
      <w:jc w:val="left"/>
    </w:pPr>
    <w:rPr>
      <w:rFonts w:ascii="Arial" w:hAnsi="Arial" w:cs="Arial"/>
      <w:color w:val="auto"/>
      <w:sz w:val="20"/>
      <w:szCs w:val="22"/>
    </w:rPr>
  </w:style>
  <w:style w:type="paragraph" w:customStyle="1" w:styleId="TableIndentHanging3">
    <w:name w:val="Table: Indent: Hanging 3"/>
    <w:basedOn w:val="Normal"/>
    <w:semiHidden/>
    <w:rsid w:val="001E7173"/>
    <w:pPr>
      <w:numPr>
        <w:ilvl w:val="3"/>
        <w:numId w:val="31"/>
      </w:numPr>
      <w:tabs>
        <w:tab w:val="left" w:pos="850"/>
      </w:tabs>
      <w:spacing w:after="60" w:line="240" w:lineRule="atLeast"/>
      <w:jc w:val="left"/>
    </w:pPr>
    <w:rPr>
      <w:rFonts w:ascii="Arial" w:hAnsi="Arial" w:cs="Arial"/>
      <w:color w:val="auto"/>
      <w:sz w:val="20"/>
      <w:szCs w:val="22"/>
    </w:rPr>
  </w:style>
  <w:style w:type="paragraph" w:customStyle="1" w:styleId="TableIndentHanging4">
    <w:name w:val="Table: Indent: Hanging 4"/>
    <w:basedOn w:val="Normal"/>
    <w:semiHidden/>
    <w:rsid w:val="001E7173"/>
    <w:pPr>
      <w:numPr>
        <w:ilvl w:val="4"/>
        <w:numId w:val="31"/>
      </w:numPr>
      <w:tabs>
        <w:tab w:val="left" w:pos="1134"/>
      </w:tabs>
      <w:spacing w:after="60" w:line="240" w:lineRule="atLeast"/>
      <w:jc w:val="left"/>
    </w:pPr>
    <w:rPr>
      <w:rFonts w:ascii="Arial" w:hAnsi="Arial" w:cs="Arial"/>
      <w:color w:val="auto"/>
      <w:sz w:val="20"/>
      <w:szCs w:val="22"/>
    </w:rPr>
  </w:style>
  <w:style w:type="paragraph" w:customStyle="1" w:styleId="TableIndentHanging5">
    <w:name w:val="Table: Indent: Hanging 5"/>
    <w:basedOn w:val="Normal"/>
    <w:semiHidden/>
    <w:rsid w:val="001E7173"/>
    <w:pPr>
      <w:numPr>
        <w:ilvl w:val="5"/>
        <w:numId w:val="31"/>
      </w:numPr>
      <w:tabs>
        <w:tab w:val="left" w:pos="1417"/>
      </w:tabs>
      <w:spacing w:after="60" w:line="240" w:lineRule="atLeast"/>
      <w:jc w:val="left"/>
    </w:pPr>
    <w:rPr>
      <w:rFonts w:ascii="Arial" w:hAnsi="Arial" w:cs="Arial"/>
      <w:color w:val="auto"/>
      <w:sz w:val="20"/>
      <w:szCs w:val="22"/>
    </w:rPr>
  </w:style>
  <w:style w:type="paragraph" w:customStyle="1" w:styleId="TableIndentHanging6">
    <w:name w:val="Table: Indent: Hanging 6"/>
    <w:basedOn w:val="Normal"/>
    <w:semiHidden/>
    <w:rsid w:val="001E7173"/>
    <w:pPr>
      <w:numPr>
        <w:ilvl w:val="6"/>
        <w:numId w:val="31"/>
      </w:numPr>
      <w:tabs>
        <w:tab w:val="left" w:pos="1701"/>
      </w:tabs>
      <w:spacing w:after="60" w:line="240" w:lineRule="atLeast"/>
      <w:jc w:val="left"/>
    </w:pPr>
    <w:rPr>
      <w:rFonts w:ascii="Arial" w:hAnsi="Arial" w:cs="Arial"/>
      <w:color w:val="auto"/>
      <w:sz w:val="20"/>
      <w:szCs w:val="22"/>
    </w:rPr>
  </w:style>
  <w:style w:type="paragraph" w:customStyle="1" w:styleId="TableIndentHanging7">
    <w:name w:val="Table: Indent: Hanging 7"/>
    <w:basedOn w:val="Normal"/>
    <w:semiHidden/>
    <w:rsid w:val="001E7173"/>
    <w:pPr>
      <w:numPr>
        <w:ilvl w:val="7"/>
        <w:numId w:val="31"/>
      </w:numPr>
      <w:tabs>
        <w:tab w:val="left" w:pos="1984"/>
      </w:tabs>
      <w:spacing w:after="60" w:line="240" w:lineRule="atLeast"/>
      <w:jc w:val="left"/>
    </w:pPr>
    <w:rPr>
      <w:rFonts w:ascii="Arial" w:hAnsi="Arial" w:cs="Arial"/>
      <w:color w:val="auto"/>
      <w:sz w:val="20"/>
      <w:szCs w:val="22"/>
    </w:rPr>
  </w:style>
  <w:style w:type="paragraph" w:customStyle="1" w:styleId="TableIndentHanging8">
    <w:name w:val="Table: Indent: Hanging 8"/>
    <w:basedOn w:val="Normal"/>
    <w:semiHidden/>
    <w:rsid w:val="001E7173"/>
    <w:pPr>
      <w:numPr>
        <w:ilvl w:val="8"/>
        <w:numId w:val="31"/>
      </w:numPr>
      <w:tabs>
        <w:tab w:val="left" w:pos="2268"/>
      </w:tabs>
      <w:spacing w:after="60" w:line="240" w:lineRule="atLeast"/>
      <w:jc w:val="left"/>
    </w:pPr>
    <w:rPr>
      <w:rFonts w:ascii="Arial" w:hAnsi="Arial" w:cs="Arial"/>
      <w:color w:val="auto"/>
      <w:sz w:val="20"/>
      <w:szCs w:val="22"/>
    </w:rPr>
  </w:style>
  <w:style w:type="paragraph" w:styleId="ListParagraph">
    <w:name w:val="List Paragraph"/>
    <w:basedOn w:val="Normal"/>
    <w:uiPriority w:val="34"/>
    <w:qFormat/>
    <w:rsid w:val="004156B4"/>
    <w:pPr>
      <w:spacing w:after="0" w:line="240" w:lineRule="auto"/>
      <w:ind w:left="720"/>
      <w:jc w:val="left"/>
    </w:pPr>
    <w:rPr>
      <w:rFonts w:ascii="Times New Roman" w:hAnsi="Times New Roman"/>
      <w:color w:val="auto"/>
      <w:sz w:val="24"/>
      <w:szCs w:val="24"/>
    </w:rPr>
  </w:style>
  <w:style w:type="character" w:customStyle="1" w:styleId="ScheduleNumberedParaChar">
    <w:name w:val="ScheduleNumberedPara Char"/>
    <w:link w:val="ScheduleNumberedPara"/>
    <w:locked/>
    <w:rsid w:val="00F4377A"/>
    <w:rPr>
      <w:rFonts w:ascii="Corbel" w:hAnsi="Corbel"/>
      <w:color w:val="000000"/>
      <w:sz w:val="23"/>
    </w:rPr>
  </w:style>
  <w:style w:type="table" w:customStyle="1" w:styleId="LightGrid-Accent11">
    <w:name w:val="Light Grid - Accent 11"/>
    <w:basedOn w:val="TableNormal"/>
    <w:uiPriority w:val="62"/>
    <w:rsid w:val="00B8096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Revision">
    <w:name w:val="Revision"/>
    <w:hidden/>
    <w:uiPriority w:val="99"/>
    <w:semiHidden/>
    <w:rsid w:val="00E24A02"/>
    <w:rPr>
      <w:rFonts w:ascii="Corbel" w:hAnsi="Corbe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76632">
      <w:bodyDiv w:val="1"/>
      <w:marLeft w:val="0"/>
      <w:marRight w:val="0"/>
      <w:marTop w:val="0"/>
      <w:marBottom w:val="0"/>
      <w:divBdr>
        <w:top w:val="none" w:sz="0" w:space="0" w:color="auto"/>
        <w:left w:val="none" w:sz="0" w:space="0" w:color="auto"/>
        <w:bottom w:val="none" w:sz="0" w:space="0" w:color="auto"/>
        <w:right w:val="none" w:sz="0" w:space="0" w:color="auto"/>
      </w:divBdr>
    </w:div>
    <w:div w:id="861437338">
      <w:marLeft w:val="0"/>
      <w:marRight w:val="0"/>
      <w:marTop w:val="0"/>
      <w:marBottom w:val="0"/>
      <w:divBdr>
        <w:top w:val="none" w:sz="0" w:space="0" w:color="auto"/>
        <w:left w:val="none" w:sz="0" w:space="0" w:color="auto"/>
        <w:bottom w:val="none" w:sz="0" w:space="0" w:color="auto"/>
        <w:right w:val="none" w:sz="0" w:space="0" w:color="auto"/>
      </w:divBdr>
    </w:div>
    <w:div w:id="861437339">
      <w:marLeft w:val="0"/>
      <w:marRight w:val="0"/>
      <w:marTop w:val="0"/>
      <w:marBottom w:val="0"/>
      <w:divBdr>
        <w:top w:val="none" w:sz="0" w:space="0" w:color="auto"/>
        <w:left w:val="none" w:sz="0" w:space="0" w:color="auto"/>
        <w:bottom w:val="none" w:sz="0" w:space="0" w:color="auto"/>
        <w:right w:val="none" w:sz="0" w:space="0" w:color="auto"/>
      </w:divBdr>
    </w:div>
    <w:div w:id="8614373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CO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TaxCatchAll xmlns="0f563589-9cf9-4143-b1eb-fb0534803d38">
      <Value>2</Value>
    </TaxCatchAll>
    <_dlc_DocId xmlns="0f563589-9cf9-4143-b1eb-fb0534803d38">2020FG-64-73864</_dlc_DocId>
    <_dlc_DocIdUrl xmlns="0f563589-9cf9-4143-b1eb-fb0534803d38">
      <Url>http://tweb/sites/fg/csrd/_layouts/15/DocIdRedir.aspx?ID=2020FG-64-73864</Url>
      <Description>2020FG-64-73864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CDF45B49E80F24CAD80DFC012154DA9" ma:contentTypeVersion="31235" ma:contentTypeDescription=" " ma:contentTypeScope="" ma:versionID="631628baa2cd0761122b48b9e87bb5ee">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2de41cb074d60f016f2d6a24a4e6a081"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CA73D-198C-4219-ADE7-E1E176A05BBA}">
  <ds:schemaRefs>
    <ds:schemaRef ds:uri="Microsoft.SharePoint.Taxonomy.ContentTypeSync"/>
  </ds:schemaRefs>
</ds:datastoreItem>
</file>

<file path=customXml/itemProps2.xml><?xml version="1.0" encoding="utf-8"?>
<ds:datastoreItem xmlns:ds="http://schemas.openxmlformats.org/officeDocument/2006/customXml" ds:itemID="{6C3FF16F-EE6F-4EC9-AE7B-F49F11DE3010}">
  <ds:schemaRefs>
    <ds:schemaRef ds:uri="http://schemas.microsoft.com/sharepoint/v3/contenttype/forms"/>
  </ds:schemaRefs>
</ds:datastoreItem>
</file>

<file path=customXml/itemProps3.xml><?xml version="1.0" encoding="utf-8"?>
<ds:datastoreItem xmlns:ds="http://schemas.openxmlformats.org/officeDocument/2006/customXml" ds:itemID="{CD541591-8DB1-43C4-9329-9DC71298C078}">
  <ds:schemaRefs>
    <ds:schemaRef ds:uri="e544e5cc-ab70-42e1-849e-1a0f8bb1f4ef"/>
    <ds:schemaRef ds:uri="http://purl.org/dc/terms/"/>
    <ds:schemaRef ds:uri="0f563589-9cf9-4143-b1eb-fb0534803d3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4"/>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CE8CEB83-4C75-4DD8-BCB3-D3B63BA07107}">
  <ds:schemaRefs>
    <ds:schemaRef ds:uri="http://schemas.microsoft.com/sharepoint/events"/>
  </ds:schemaRefs>
</ds:datastoreItem>
</file>

<file path=customXml/itemProps5.xml><?xml version="1.0" encoding="utf-8"?>
<ds:datastoreItem xmlns:ds="http://schemas.openxmlformats.org/officeDocument/2006/customXml" ds:itemID="{8A753A4A-9F96-4AB8-9083-B8360533606F}"/>
</file>

<file path=customXml/itemProps6.xml><?xml version="1.0" encoding="utf-8"?>
<ds:datastoreItem xmlns:ds="http://schemas.openxmlformats.org/officeDocument/2006/customXml" ds:itemID="{B8DB1D47-264A-4A5E-8C4E-09752D8ADCF0}">
  <ds:schemaRefs>
    <ds:schemaRef ds:uri="office.server.policy"/>
  </ds:schemaRefs>
</ds:datastoreItem>
</file>

<file path=customXml/itemProps7.xml><?xml version="1.0" encoding="utf-8"?>
<ds:datastoreItem xmlns:ds="http://schemas.openxmlformats.org/officeDocument/2006/customXml" ds:itemID="{4E72BCF3-F9A7-432B-86DC-80D51FB7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COAG.dot</Template>
  <TotalTime>6</TotalTime>
  <Pages>9</Pages>
  <Words>2048</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Project Agreement Template</vt:lpstr>
    </vt:vector>
  </TitlesOfParts>
  <Company>Australian Government - The Treasury</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Agreement Template</dc:title>
  <dc:creator>Council of Australian Governments</dc:creator>
  <cp:lastModifiedBy>MAXWELL John</cp:lastModifiedBy>
  <cp:revision>4</cp:revision>
  <cp:lastPrinted>2019-08-13T01:55:00Z</cp:lastPrinted>
  <dcterms:created xsi:type="dcterms:W3CDTF">2019-08-20T23:32:00Z</dcterms:created>
  <dcterms:modified xsi:type="dcterms:W3CDTF">2019-12-16T22:23:00Z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0x010100348D01E61E107C4DA4B97E380EA20D47005CDF45B49E80F24CAD80DFC012154DA9</vt:lpwstr>
  </property>
  <property fmtid="{D5CDD505-2E9C-101B-9397-08002B2CF9AE}" pid="3" name="TSYRecordClass">
    <vt:lpwstr>2;#TSY RA-8748 - Retain as national archives|243f2231-dbfc-4282-b24a-c9b768286bd0</vt:lpwstr>
  </property>
  <property fmtid="{D5CDD505-2E9C-101B-9397-08002B2CF9AE}" pid="4" name="_dlc_DocIdItemGuid">
    <vt:lpwstr>bcec24a6-b1ff-41ec-a90d-80aee6ad7184</vt:lpwstr>
  </property>
  <property fmtid="{D5CDD505-2E9C-101B-9397-08002B2CF9AE}" pid="5" name="RecordPoint_ActiveItemUniqueId">
    <vt:lpwstr>{bcec24a6-b1ff-41ec-a90d-80aee6ad7184}</vt:lpwstr>
  </property>
  <property fmtid="{D5CDD505-2E9C-101B-9397-08002B2CF9AE}" pid="6" name="RecordPoint_SubmissionCompleted">
    <vt:lpwstr>2020-05-01T19:22:06.4683213+10:00</vt:lpwstr>
  </property>
  <property fmtid="{D5CDD505-2E9C-101B-9397-08002B2CF9AE}" pid="7" name="RecordPoint_WorkflowType">
    <vt:lpwstr>ActiveSubmitStub</vt:lpwstr>
  </property>
  <property fmtid="{D5CDD505-2E9C-101B-9397-08002B2CF9AE}" pid="8" name="RecordPoint_ActiveItemListId">
    <vt:lpwstr>{4435c73b-6585-4bc2-a76a-5d21b1a02e06}</vt:lpwstr>
  </property>
  <property fmtid="{D5CDD505-2E9C-101B-9397-08002B2CF9AE}" pid="9" name="RecordPoint_ActiveItemWebId">
    <vt:lpwstr>{a4589788-615f-4b8b-8296-7f9f6dfbab44}</vt:lpwstr>
  </property>
  <property fmtid="{D5CDD505-2E9C-101B-9397-08002B2CF9AE}" pid="10" name="RecordPoint_ActiveItemSiteId">
    <vt:lpwstr>{a3a280d1-e8f1-4ce7-94f0-aaa2322da0dd}</vt:lpwstr>
  </property>
  <property fmtid="{D5CDD505-2E9C-101B-9397-08002B2CF9AE}" pid="11" name="RecordPoint_RecordNumberSubmitted">
    <vt:lpwstr>R0002259927</vt:lpwstr>
  </property>
  <property fmtid="{D5CDD505-2E9C-101B-9397-08002B2CF9AE}" pid="12" name="_NewReviewCycle">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