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552762A9" w14:textId="77777777">
        <w:tc>
          <w:tcPr>
            <w:tcW w:w="5000" w:type="pct"/>
            <w:gridSpan w:val="2"/>
          </w:tcPr>
          <w:p w14:paraId="285B6466" w14:textId="77777777" w:rsidR="00814667" w:rsidRDefault="00BA4284" w:rsidP="00FA150E">
            <w:pPr>
              <w:pStyle w:val="CoverTitleMain"/>
            </w:pPr>
            <w:r>
              <w:t>Project AGreement</w:t>
            </w:r>
            <w:r w:rsidR="00292587">
              <w:t xml:space="preserve"> FOR </w:t>
            </w:r>
            <w:r w:rsidR="00C15347">
              <w:t>Wi</w:t>
            </w:r>
            <w:r w:rsidR="00FC7E41">
              <w:t>-</w:t>
            </w:r>
            <w:r w:rsidR="00C15347">
              <w:t>Fi and Mobile Coverage on Trains</w:t>
            </w:r>
          </w:p>
        </w:tc>
      </w:tr>
      <w:tr w:rsidR="00814667" w14:paraId="1517DF54" w14:textId="77777777">
        <w:tc>
          <w:tcPr>
            <w:tcW w:w="767" w:type="pct"/>
          </w:tcPr>
          <w:p w14:paraId="6300E3C8" w14:textId="77777777" w:rsidR="00814667" w:rsidRDefault="00814667">
            <w:pPr>
              <w:pStyle w:val="SingleParagraph"/>
              <w:tabs>
                <w:tab w:val="num" w:pos="1134"/>
              </w:tabs>
              <w:spacing w:after="240"/>
              <w:ind w:left="1134" w:hanging="567"/>
            </w:pPr>
          </w:p>
        </w:tc>
        <w:tc>
          <w:tcPr>
            <w:tcW w:w="4233" w:type="pct"/>
          </w:tcPr>
          <w:p w14:paraId="342F4932" w14:textId="77777777" w:rsidR="00814667" w:rsidRDefault="00814667">
            <w:pPr>
              <w:pStyle w:val="SingleParagraph"/>
              <w:tabs>
                <w:tab w:val="num" w:pos="1134"/>
              </w:tabs>
              <w:spacing w:after="240"/>
              <w:ind w:left="1134" w:hanging="567"/>
            </w:pPr>
          </w:p>
        </w:tc>
      </w:tr>
      <w:tr w:rsidR="00814667" w14:paraId="7E5E0AE7" w14:textId="77777777">
        <w:tc>
          <w:tcPr>
            <w:tcW w:w="767" w:type="pct"/>
          </w:tcPr>
          <w:p w14:paraId="4FDF5D06" w14:textId="77777777" w:rsidR="00814667" w:rsidRDefault="00814667">
            <w:pPr>
              <w:pStyle w:val="SingleParagraph"/>
              <w:tabs>
                <w:tab w:val="num" w:pos="1134"/>
              </w:tabs>
              <w:spacing w:after="240"/>
              <w:ind w:left="1134" w:hanging="567"/>
            </w:pPr>
          </w:p>
        </w:tc>
        <w:tc>
          <w:tcPr>
            <w:tcW w:w="4233" w:type="pct"/>
          </w:tcPr>
          <w:p w14:paraId="4700A245" w14:textId="77777777" w:rsidR="00814667" w:rsidRPr="001E74D0" w:rsidRDefault="00814667">
            <w:pPr>
              <w:pStyle w:val="SingleParagraph"/>
              <w:tabs>
                <w:tab w:val="num" w:pos="1134"/>
              </w:tabs>
              <w:spacing w:after="240"/>
              <w:ind w:left="1134" w:hanging="567"/>
            </w:pPr>
          </w:p>
        </w:tc>
      </w:tr>
      <w:tr w:rsidR="00814667" w14:paraId="26D06508" w14:textId="77777777">
        <w:tc>
          <w:tcPr>
            <w:tcW w:w="5000" w:type="pct"/>
            <w:gridSpan w:val="2"/>
          </w:tcPr>
          <w:p w14:paraId="78D537F3" w14:textId="77777777" w:rsidR="00814667" w:rsidRDefault="00814667">
            <w:pPr>
              <w:pStyle w:val="AgreementHeading"/>
              <w:tabs>
                <w:tab w:val="clear" w:pos="1134"/>
              </w:tabs>
            </w:pPr>
            <w:r>
              <w:t>An agreement between</w:t>
            </w:r>
            <w:r w:rsidR="00697494">
              <w:t>:</w:t>
            </w:r>
          </w:p>
        </w:tc>
      </w:tr>
      <w:tr w:rsidR="00814667" w14:paraId="79B2E91A" w14:textId="77777777">
        <w:tc>
          <w:tcPr>
            <w:tcW w:w="767" w:type="pct"/>
          </w:tcPr>
          <w:p w14:paraId="23C0B235" w14:textId="77777777" w:rsidR="00814667" w:rsidRPr="001E74D0" w:rsidRDefault="00814667">
            <w:pPr>
              <w:pStyle w:val="AgreementHeading"/>
              <w:tabs>
                <w:tab w:val="clear" w:pos="1134"/>
              </w:tabs>
              <w:ind w:left="522"/>
            </w:pPr>
          </w:p>
        </w:tc>
        <w:tc>
          <w:tcPr>
            <w:tcW w:w="4233" w:type="pct"/>
          </w:tcPr>
          <w:p w14:paraId="32816DFA"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2A64D7AE" w14:textId="77777777" w:rsidR="00814667" w:rsidRPr="001E74D0" w:rsidRDefault="00C15347" w:rsidP="00636C4E">
            <w:pPr>
              <w:pStyle w:val="AgreementParties"/>
            </w:pPr>
            <w:r>
              <w:rPr>
                <w:rStyle w:val="Bold"/>
              </w:rPr>
              <w:t>New South Wales.</w:t>
            </w:r>
          </w:p>
        </w:tc>
      </w:tr>
      <w:tr w:rsidR="00814667" w14:paraId="019307FC" w14:textId="77777777">
        <w:tc>
          <w:tcPr>
            <w:tcW w:w="767" w:type="pct"/>
          </w:tcPr>
          <w:p w14:paraId="5FA581CE" w14:textId="77777777" w:rsidR="00814667" w:rsidRDefault="00814667">
            <w:pPr>
              <w:pStyle w:val="SingleParagraph"/>
              <w:tabs>
                <w:tab w:val="num" w:pos="1134"/>
              </w:tabs>
              <w:spacing w:after="240"/>
              <w:ind w:left="1134" w:hanging="567"/>
            </w:pPr>
          </w:p>
        </w:tc>
        <w:tc>
          <w:tcPr>
            <w:tcW w:w="4233" w:type="pct"/>
            <w:tcBorders>
              <w:left w:val="nil"/>
            </w:tcBorders>
          </w:tcPr>
          <w:p w14:paraId="6B71A34F" w14:textId="77777777" w:rsidR="00EB7EDA" w:rsidRPr="00C15347" w:rsidRDefault="00EB7EDA" w:rsidP="00C15347">
            <w:pPr>
              <w:pStyle w:val="StatesList"/>
              <w:numPr>
                <w:ilvl w:val="0"/>
                <w:numId w:val="0"/>
              </w:numPr>
              <w:tabs>
                <w:tab w:val="clear" w:pos="1134"/>
              </w:tabs>
            </w:pPr>
          </w:p>
        </w:tc>
      </w:tr>
      <w:tr w:rsidR="00814667" w14:paraId="7E2C54E1" w14:textId="77777777">
        <w:tc>
          <w:tcPr>
            <w:tcW w:w="5000" w:type="pct"/>
            <w:gridSpan w:val="2"/>
          </w:tcPr>
          <w:p w14:paraId="00A612D0" w14:textId="77777777" w:rsidR="00814667" w:rsidRDefault="00814667">
            <w:pPr>
              <w:pStyle w:val="SingleParagraph"/>
              <w:tabs>
                <w:tab w:val="num" w:pos="1134"/>
              </w:tabs>
              <w:spacing w:after="240"/>
              <w:ind w:left="1134" w:hanging="567"/>
            </w:pPr>
          </w:p>
        </w:tc>
      </w:tr>
      <w:tr w:rsidR="00814667" w14:paraId="62714851" w14:textId="77777777">
        <w:tc>
          <w:tcPr>
            <w:tcW w:w="5000" w:type="pct"/>
            <w:gridSpan w:val="2"/>
          </w:tcPr>
          <w:p w14:paraId="05C14499" w14:textId="77777777" w:rsidR="00814667" w:rsidRDefault="00771FFF" w:rsidP="001F1DF0">
            <w:pPr>
              <w:pStyle w:val="Abstract"/>
            </w:pPr>
            <w:r>
              <w:t>The output of this project will be</w:t>
            </w:r>
            <w:r w:rsidR="00845BCC">
              <w:t xml:space="preserve"> </w:t>
            </w:r>
            <w:r w:rsidR="00C15347">
              <w:t xml:space="preserve">the establishment of continuous </w:t>
            </w:r>
            <w:r w:rsidR="00F156AB">
              <w:t xml:space="preserve">internet connectivity </w:t>
            </w:r>
            <w:r w:rsidR="001F1DF0">
              <w:t xml:space="preserve">on station platforms </w:t>
            </w:r>
            <w:r w:rsidR="00F156AB">
              <w:t xml:space="preserve">and </w:t>
            </w:r>
            <w:r w:rsidR="00C15347">
              <w:t xml:space="preserve">mobile </w:t>
            </w:r>
            <w:r w:rsidR="001F1DF0">
              <w:t xml:space="preserve">coverage </w:t>
            </w:r>
            <w:r w:rsidR="00C15347">
              <w:t>in trains and on station platforms for the train route between Hornsby and Wyong</w:t>
            </w:r>
            <w:r w:rsidR="00F156AB">
              <w:t>.</w:t>
            </w:r>
          </w:p>
        </w:tc>
      </w:tr>
    </w:tbl>
    <w:p w14:paraId="2EF0481C"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C15347">
        <w:t>Wi</w:t>
      </w:r>
      <w:r w:rsidR="00FC7E41">
        <w:t>-</w:t>
      </w:r>
      <w:r w:rsidR="00C15347">
        <w:t>F</w:t>
      </w:r>
      <w:r w:rsidR="00636C4E">
        <w:t>i and Mobile Coverage</w:t>
      </w:r>
      <w:r w:rsidR="003F3CC0">
        <w:t xml:space="preserve"> on Trains</w:t>
      </w:r>
    </w:p>
    <w:p w14:paraId="530B173D" w14:textId="77777777" w:rsidR="005D1F0F" w:rsidRPr="00804105" w:rsidRDefault="005D1F0F" w:rsidP="00777BB8">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rPr>
          <w:i/>
          <w:color w:val="auto"/>
        </w:rPr>
      </w:pPr>
    </w:p>
    <w:p w14:paraId="6B875A6C"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42A4C437" w14:textId="77777777" w:rsidR="00C960AA" w:rsidRPr="0096732C" w:rsidRDefault="00C960AA" w:rsidP="005304C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460849DF"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706CC53" w14:textId="24066CDF" w:rsidR="0096732C" w:rsidRDefault="007A5627" w:rsidP="005304C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7A5627">
        <w:t xml:space="preserve">The output of this project will be the establishment of continuous </w:t>
      </w:r>
      <w:r w:rsidR="00F156AB" w:rsidRPr="007A5627">
        <w:t xml:space="preserve">internet </w:t>
      </w:r>
      <w:r w:rsidR="001F1DF0" w:rsidRPr="007A5627">
        <w:t xml:space="preserve">connectivity on station platforms </w:t>
      </w:r>
      <w:r w:rsidR="009F5224">
        <w:t>and mobile</w:t>
      </w:r>
      <w:r w:rsidR="001F1DF0">
        <w:t xml:space="preserve"> coverage</w:t>
      </w:r>
      <w:r w:rsidR="009F5224">
        <w:t xml:space="preserve"> </w:t>
      </w:r>
      <w:r w:rsidR="00A87E77">
        <w:t>(voice and data)</w:t>
      </w:r>
      <w:r w:rsidRPr="007A5627">
        <w:t xml:space="preserve"> in trains </w:t>
      </w:r>
      <w:r w:rsidR="0012370C">
        <w:t xml:space="preserve">and on station platforms </w:t>
      </w:r>
      <w:r w:rsidRPr="007A5627">
        <w:t xml:space="preserve">for the train </w:t>
      </w:r>
      <w:r>
        <w:t>route between Hornsby and Wyong</w:t>
      </w:r>
      <w:r w:rsidRPr="007A5627">
        <w:t>.</w:t>
      </w:r>
    </w:p>
    <w:p w14:paraId="6AD95D9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FE8A16E" w14:textId="77777777" w:rsidR="0096732C" w:rsidRDefault="00C15347" w:rsidP="005304C9">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New South Wales</w:t>
      </w:r>
      <w:r w:rsidR="0096732C">
        <w:t xml:space="preserve"> will report </w:t>
      </w:r>
      <w:r w:rsidR="00670289">
        <w:t xml:space="preserve">annually </w:t>
      </w:r>
      <w:r w:rsidR="0096732C">
        <w:t xml:space="preserve">against the agreed milestones during the operation of this Agreement, as set out in Part 4 – Project Milestones, Reporting and Payments. </w:t>
      </w:r>
    </w:p>
    <w:p w14:paraId="0A85D38E"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4B1192DA" w14:textId="77777777" w:rsidR="009F5224" w:rsidRDefault="0096732C" w:rsidP="00777BB8">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left"/>
      </w:pPr>
      <w:r w:rsidRPr="007179FE">
        <w:t xml:space="preserve">The Commonwealth will provide </w:t>
      </w:r>
      <w:r>
        <w:t>a</w:t>
      </w:r>
      <w:r w:rsidR="00F234AB">
        <w:t>n estimated</w:t>
      </w:r>
      <w:r>
        <w:t xml:space="preserve"> total </w:t>
      </w:r>
      <w:r w:rsidRPr="007179FE">
        <w:t xml:space="preserve">financial contribution to </w:t>
      </w:r>
      <w:r w:rsidR="00C15347">
        <w:t>New South Wales</w:t>
      </w:r>
      <w:r w:rsidRPr="007179FE">
        <w:t xml:space="preserve"> </w:t>
      </w:r>
      <w:r>
        <w:t>of $</w:t>
      </w:r>
      <w:r w:rsidR="00C15347">
        <w:t>12 million</w:t>
      </w:r>
      <w:r w:rsidR="00F234AB">
        <w:t>, exclusive of GST</w:t>
      </w:r>
      <w:r w:rsidR="00AB5085">
        <w: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7C3B8BBC" w14:textId="77777777" w:rsidR="009F5224" w:rsidRDefault="009F5224" w:rsidP="00777BB8">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left"/>
      </w:pPr>
    </w:p>
    <w:p w14:paraId="136CA3A2" w14:textId="77777777" w:rsidR="00814667" w:rsidRDefault="00814667">
      <w:pPr>
        <w:pStyle w:val="Heading1"/>
      </w:pPr>
      <w:r>
        <w:t>Part 1 — Formalities</w:t>
      </w:r>
    </w:p>
    <w:p w14:paraId="49CE4CC0" w14:textId="77777777" w:rsidR="00804105" w:rsidRDefault="00804105" w:rsidP="005304C9">
      <w:pPr>
        <w:pStyle w:val="Normalnumbered"/>
        <w:numPr>
          <w:ilvl w:val="0"/>
          <w:numId w:val="9"/>
        </w:numPr>
      </w:pPr>
      <w:r>
        <w:t>This Agreement constitutes the entire agreement for this project.</w:t>
      </w:r>
    </w:p>
    <w:p w14:paraId="0A6345DC" w14:textId="77777777" w:rsidR="00814667" w:rsidRDefault="00814667">
      <w:pPr>
        <w:pStyle w:val="Heading2"/>
      </w:pPr>
      <w:r>
        <w:t>Parties to this Agreement</w:t>
      </w:r>
    </w:p>
    <w:p w14:paraId="1D7BAFD0" w14:textId="76543E5A" w:rsidR="007B4B03" w:rsidRPr="007B4B03" w:rsidRDefault="00E7195E" w:rsidP="005304C9">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31F94">
        <w:t>New South Wales</w:t>
      </w:r>
      <w:r w:rsidR="006A0D29">
        <w:t>.</w:t>
      </w:r>
    </w:p>
    <w:p w14:paraId="2D147C74" w14:textId="77777777" w:rsidR="00814667" w:rsidRDefault="00814667">
      <w:pPr>
        <w:pStyle w:val="Heading2"/>
      </w:pPr>
      <w:r>
        <w:t>Term of the Agreement</w:t>
      </w:r>
    </w:p>
    <w:p w14:paraId="05F74955" w14:textId="77777777" w:rsidR="002E4B66" w:rsidRDefault="00814667" w:rsidP="005304C9">
      <w:pPr>
        <w:pStyle w:val="Normalnumbered"/>
        <w:numPr>
          <w:ilvl w:val="0"/>
          <w:numId w:val="9"/>
        </w:numPr>
      </w:pPr>
      <w:r w:rsidRPr="00DE36EB">
        <w:t xml:space="preserve">This Agreement will commence as soon as the Commonwealth and </w:t>
      </w:r>
      <w:r w:rsidR="00931F94">
        <w:t>New South Wales</w:t>
      </w:r>
      <w:r w:rsidR="00726DB5" w:rsidRPr="00DE36EB">
        <w:t xml:space="preserve"> sign</w:t>
      </w:r>
      <w:r w:rsidRPr="00DE36EB">
        <w:t xml:space="preserve"> </w:t>
      </w:r>
      <w:r w:rsidR="0096732C">
        <w:t xml:space="preserve">it </w:t>
      </w:r>
      <w:r w:rsidRPr="00DE36EB">
        <w:t>and will expire on</w:t>
      </w:r>
      <w:r w:rsidR="00C7093C" w:rsidRPr="00DE36EB">
        <w:t xml:space="preserve"> </w:t>
      </w:r>
      <w:r w:rsidR="009F5224">
        <w:t xml:space="preserve">30 June </w:t>
      </w:r>
      <w:r w:rsidR="00931F94">
        <w:t>20</w:t>
      </w:r>
      <w:r w:rsidR="009F5224">
        <w:t>20</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7AC4F786"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001E625C">
        <w:rPr>
          <w:rFonts w:ascii="Consolas" w:hAnsi="Consolas"/>
          <w:b w:val="0"/>
          <w:iCs w:val="0"/>
          <w:caps/>
          <w:kern w:val="32"/>
          <w:sz w:val="32"/>
          <w:szCs w:val="36"/>
        </w:rPr>
        <w:t>S</w:t>
      </w:r>
    </w:p>
    <w:p w14:paraId="7158D1FA" w14:textId="77777777" w:rsidR="00814667" w:rsidRDefault="00814667">
      <w:pPr>
        <w:pStyle w:val="Heading2"/>
      </w:pPr>
      <w:r>
        <w:t>Output</w:t>
      </w:r>
      <w:r w:rsidR="001E625C">
        <w:t>s</w:t>
      </w:r>
    </w:p>
    <w:p w14:paraId="777C5F39" w14:textId="77777777" w:rsidR="0085738D" w:rsidRDefault="00814667" w:rsidP="009842D5">
      <w:pPr>
        <w:pStyle w:val="Normalnumbered"/>
        <w:numPr>
          <w:ilvl w:val="0"/>
          <w:numId w:val="9"/>
        </w:numPr>
        <w:spacing w:after="120"/>
        <w:jc w:val="left"/>
      </w:pPr>
      <w:r w:rsidRPr="0085738D">
        <w:t xml:space="preserve">The </w:t>
      </w:r>
      <w:r w:rsidRPr="0053712B">
        <w:t>o</w:t>
      </w:r>
      <w:r w:rsidR="006F79D3" w:rsidRPr="0053712B">
        <w:t>utput</w:t>
      </w:r>
      <w:r w:rsidR="001E625C">
        <w:t>s</w:t>
      </w:r>
      <w:r w:rsidR="006F79D3" w:rsidRPr="0053712B">
        <w:t xml:space="preserve"> of this Agreement will be:</w:t>
      </w:r>
    </w:p>
    <w:p w14:paraId="795E1433" w14:textId="74C19BB7" w:rsidR="009F5224" w:rsidRDefault="0012370C" w:rsidP="009842D5">
      <w:pPr>
        <w:pStyle w:val="Normalnumbered"/>
        <w:numPr>
          <w:ilvl w:val="0"/>
          <w:numId w:val="25"/>
        </w:numPr>
        <w:spacing w:after="120"/>
        <w:ind w:left="1134" w:hanging="567"/>
        <w:jc w:val="left"/>
      </w:pPr>
      <w:r>
        <w:lastRenderedPageBreak/>
        <w:t>c</w:t>
      </w:r>
      <w:r w:rsidR="001F1DF0">
        <w:t xml:space="preserve">ontinuous internet </w:t>
      </w:r>
      <w:r w:rsidR="009F5224">
        <w:t xml:space="preserve"> connectivity </w:t>
      </w:r>
      <w:r w:rsidR="001F1DF0">
        <w:t xml:space="preserve">on station platforms and mobile coverage </w:t>
      </w:r>
      <w:r>
        <w:t xml:space="preserve">(voice and data) </w:t>
      </w:r>
      <w:r w:rsidR="009F5224">
        <w:t>in</w:t>
      </w:r>
      <w:r w:rsidR="001F1DF0">
        <w:t xml:space="preserve"> </w:t>
      </w:r>
      <w:r w:rsidR="009F5224">
        <w:t>train</w:t>
      </w:r>
      <w:r w:rsidR="001F1DF0">
        <w:t>s</w:t>
      </w:r>
      <w:r w:rsidR="009F5224">
        <w:t xml:space="preserve"> </w:t>
      </w:r>
      <w:r>
        <w:t xml:space="preserve">and on station platforms </w:t>
      </w:r>
      <w:r w:rsidR="009F5224">
        <w:t>for the train route between Hornsby and Wyong, delivered through:</w:t>
      </w:r>
    </w:p>
    <w:p w14:paraId="2939EA88" w14:textId="77777777" w:rsidR="00A87E77" w:rsidRDefault="00D53D31" w:rsidP="009842D5">
      <w:pPr>
        <w:pStyle w:val="Normalnumbered"/>
        <w:numPr>
          <w:ilvl w:val="1"/>
          <w:numId w:val="42"/>
        </w:numPr>
        <w:spacing w:after="120"/>
        <w:ind w:left="1701" w:hanging="567"/>
        <w:jc w:val="left"/>
      </w:pPr>
      <w:r w:rsidRPr="009C3AC6">
        <w:t>80-90 Wi</w:t>
      </w:r>
      <w:r w:rsidR="00224F12">
        <w:t>-</w:t>
      </w:r>
      <w:r w:rsidRPr="009C3AC6">
        <w:t>Fi access points</w:t>
      </w:r>
      <w:r w:rsidR="00A0603A">
        <w:rPr>
          <w:rStyle w:val="FootnoteReference"/>
        </w:rPr>
        <w:footnoteReference w:id="1"/>
      </w:r>
      <w:r w:rsidRPr="009C3AC6">
        <w:t xml:space="preserve"> at train station platforms between Hornsby and Wyong</w:t>
      </w:r>
      <w:r>
        <w:t>;</w:t>
      </w:r>
    </w:p>
    <w:p w14:paraId="2DE71C94" w14:textId="77777777" w:rsidR="001C3470" w:rsidRPr="009C3AC6" w:rsidRDefault="009C3AC6" w:rsidP="009842D5">
      <w:pPr>
        <w:pStyle w:val="Normalnumbered"/>
        <w:numPr>
          <w:ilvl w:val="1"/>
          <w:numId w:val="42"/>
        </w:numPr>
        <w:spacing w:after="120"/>
        <w:ind w:left="1701" w:hanging="567"/>
        <w:jc w:val="left"/>
      </w:pPr>
      <w:r w:rsidRPr="009C3AC6">
        <w:t>16-26 new macro and mini-macro base stations</w:t>
      </w:r>
      <w:r w:rsidR="00A87E77">
        <w:t xml:space="preserve">, as well as up to </w:t>
      </w:r>
      <w:r w:rsidR="00A87E77" w:rsidRPr="009C3AC6">
        <w:t>3 existing base station upgrades</w:t>
      </w:r>
      <w:r w:rsidR="00777BB8">
        <w:rPr>
          <w:rStyle w:val="FootnoteReference"/>
        </w:rPr>
        <w:footnoteReference w:id="2"/>
      </w:r>
      <w:r w:rsidRPr="009C3AC6">
        <w:t>;</w:t>
      </w:r>
      <w:r w:rsidR="00D13099">
        <w:t xml:space="preserve"> and</w:t>
      </w:r>
    </w:p>
    <w:p w14:paraId="164023F3" w14:textId="77777777" w:rsidR="00D53D31" w:rsidRPr="0053712B" w:rsidRDefault="009C3AC6" w:rsidP="00FA150E">
      <w:pPr>
        <w:pStyle w:val="Normalnumbered"/>
        <w:numPr>
          <w:ilvl w:val="1"/>
          <w:numId w:val="42"/>
        </w:numPr>
        <w:ind w:left="1701" w:hanging="567"/>
        <w:jc w:val="left"/>
      </w:pPr>
      <w:r w:rsidRPr="009C3AC6">
        <w:t>4-7 in</w:t>
      </w:r>
      <w:r w:rsidR="00D53D31">
        <w:t>-</w:t>
      </w:r>
      <w:r w:rsidRPr="009C3AC6">
        <w:t xml:space="preserve">building </w:t>
      </w:r>
      <w:r w:rsidR="00D53D31">
        <w:t xml:space="preserve">mobile telephony </w:t>
      </w:r>
      <w:r w:rsidRPr="009C3AC6">
        <w:t>coverage solutions</w:t>
      </w:r>
      <w:r w:rsidR="00777BB8" w:rsidRPr="00777BB8">
        <w:rPr>
          <w:vertAlign w:val="superscript"/>
        </w:rPr>
        <w:t>2</w:t>
      </w:r>
      <w:r w:rsidRPr="009C3AC6">
        <w:t xml:space="preserve"> using distributed antenna systems (to provide solutions to the 7 tunnels) along the rail corridor between Sydney and the Central Coast</w:t>
      </w:r>
      <w:r w:rsidR="00A0603A">
        <w:t>.</w:t>
      </w:r>
    </w:p>
    <w:p w14:paraId="35AFCE03" w14:textId="77777777" w:rsidR="008F44F1" w:rsidRDefault="008F44F1" w:rsidP="009842D5">
      <w:pPr>
        <w:pStyle w:val="Heading1"/>
        <w:spacing w:before="360"/>
      </w:pPr>
      <w:r>
        <w:t>Part 3 — roles and responsibilities of each party</w:t>
      </w:r>
    </w:p>
    <w:p w14:paraId="347F0D6D" w14:textId="77777777" w:rsidR="008F44F1" w:rsidRDefault="008F44F1" w:rsidP="008F44F1">
      <w:pPr>
        <w:pStyle w:val="Heading2"/>
      </w:pPr>
      <w:r w:rsidRPr="00814590">
        <w:t>Role of the Commonwealth</w:t>
      </w:r>
    </w:p>
    <w:p w14:paraId="0932DB41" w14:textId="77777777" w:rsidR="008F44F1" w:rsidRDefault="008F44F1" w:rsidP="009842D5">
      <w:pPr>
        <w:pStyle w:val="Normalnumbered"/>
        <w:numPr>
          <w:ilvl w:val="0"/>
          <w:numId w:val="9"/>
        </w:numPr>
        <w:spacing w:after="120"/>
        <w:jc w:val="left"/>
      </w:pPr>
      <w:r>
        <w:t>The Commonwealth will be responsible for:</w:t>
      </w:r>
    </w:p>
    <w:p w14:paraId="7F11F91E" w14:textId="77777777" w:rsidR="008F44F1" w:rsidRPr="000614F9" w:rsidRDefault="008F44F1" w:rsidP="009842D5">
      <w:pPr>
        <w:pStyle w:val="AlphaParagraph"/>
        <w:numPr>
          <w:ilvl w:val="0"/>
          <w:numId w:val="20"/>
        </w:numPr>
        <w:tabs>
          <w:tab w:val="clear" w:pos="283"/>
          <w:tab w:val="clear" w:pos="567"/>
          <w:tab w:val="clear" w:pos="1134"/>
          <w:tab w:val="clear" w:pos="1277"/>
          <w:tab w:val="clear" w:pos="1418"/>
          <w:tab w:val="clear" w:pos="1701"/>
        </w:tabs>
        <w:spacing w:after="120"/>
        <w:ind w:left="1134" w:hanging="567"/>
      </w:pPr>
      <w:r w:rsidRPr="000614F9">
        <w:rPr>
          <w:color w:val="auto"/>
        </w:rPr>
        <w:t>monitoring</w:t>
      </w:r>
      <w:r w:rsidRPr="004B6083">
        <w:t xml:space="preserve"> and assessing achievement against milestones in the delivery of the </w:t>
      </w:r>
      <w:r w:rsidR="00224F12">
        <w:t>Wi-Fi</w:t>
      </w:r>
      <w:r w:rsidR="003A35F1">
        <w:t xml:space="preserve"> and </w:t>
      </w:r>
      <w:r w:rsidR="007633A8">
        <w:t>m</w:t>
      </w:r>
      <w:r w:rsidR="003A35F1">
        <w:t xml:space="preserve">obile </w:t>
      </w:r>
      <w:r w:rsidR="007633A8">
        <w:t>c</w:t>
      </w:r>
      <w:r w:rsidR="003A35F1">
        <w:t xml:space="preserve">overage </w:t>
      </w:r>
      <w:r w:rsidR="003F3CC0">
        <w:t>in</w:t>
      </w:r>
      <w:r w:rsidR="003A35F1">
        <w:t xml:space="preserve"> </w:t>
      </w:r>
      <w:r w:rsidR="007633A8">
        <w:t>t</w:t>
      </w:r>
      <w:r w:rsidR="003A35F1">
        <w:t xml:space="preserve">rains </w:t>
      </w:r>
      <w:r w:rsidRPr="000614F9">
        <w:rPr>
          <w:color w:val="auto"/>
        </w:rPr>
        <w:t>under</w:t>
      </w:r>
      <w:r w:rsidRPr="004B6083">
        <w:t xml:space="preserve"> this Agreement to ensure that outputs are delivered within the agreed timeframe; </w:t>
      </w:r>
    </w:p>
    <w:p w14:paraId="6F8EF00D" w14:textId="77777777" w:rsidR="008F44F1" w:rsidRDefault="008F44F1" w:rsidP="009842D5">
      <w:pPr>
        <w:pStyle w:val="AlphaParagraph"/>
        <w:numPr>
          <w:ilvl w:val="0"/>
          <w:numId w:val="20"/>
        </w:numPr>
        <w:tabs>
          <w:tab w:val="clear" w:pos="283"/>
          <w:tab w:val="clear" w:pos="567"/>
          <w:tab w:val="clear" w:pos="1134"/>
          <w:tab w:val="clear" w:pos="1277"/>
          <w:tab w:val="clear" w:pos="1418"/>
          <w:tab w:val="clear" w:pos="1701"/>
        </w:tabs>
        <w:spacing w:after="120"/>
        <w:ind w:left="1134" w:hanging="567"/>
        <w:rPr>
          <w:color w:val="auto"/>
        </w:rPr>
      </w:pPr>
      <w:r w:rsidRPr="004B6083">
        <w:rPr>
          <w:color w:val="auto"/>
        </w:rPr>
        <w:t xml:space="preserve">providing a consequent financial contribution to </w:t>
      </w:r>
      <w:r w:rsidR="003A35F1">
        <w:rPr>
          <w:color w:val="auto"/>
        </w:rPr>
        <w:t>New South Wales</w:t>
      </w:r>
      <w:r w:rsidRPr="004B6083">
        <w:rPr>
          <w:color w:val="auto"/>
        </w:rPr>
        <w:t xml:space="preserve"> to support the </w:t>
      </w:r>
      <w:r w:rsidRPr="000614F9">
        <w:t>implementation</w:t>
      </w:r>
      <w:r w:rsidRPr="004B6083">
        <w:rPr>
          <w:color w:val="auto"/>
        </w:rPr>
        <w:t xml:space="preserve"> of this Agreement;</w:t>
      </w:r>
    </w:p>
    <w:p w14:paraId="599C222D" w14:textId="77777777" w:rsidR="00F736B6" w:rsidRPr="00F736B6" w:rsidRDefault="00F736B6" w:rsidP="009842D5">
      <w:pPr>
        <w:pStyle w:val="AlphaParagraph"/>
        <w:numPr>
          <w:ilvl w:val="0"/>
          <w:numId w:val="20"/>
        </w:numPr>
        <w:tabs>
          <w:tab w:val="clear" w:pos="283"/>
          <w:tab w:val="clear" w:pos="567"/>
          <w:tab w:val="clear" w:pos="1134"/>
          <w:tab w:val="clear" w:pos="1277"/>
          <w:tab w:val="clear" w:pos="1418"/>
          <w:tab w:val="clear" w:pos="1701"/>
        </w:tabs>
        <w:spacing w:after="120"/>
        <w:ind w:left="1134" w:hanging="567"/>
        <w:rPr>
          <w:color w:val="auto"/>
        </w:rPr>
      </w:pPr>
      <w:r>
        <w:rPr>
          <w:color w:val="auto"/>
        </w:rPr>
        <w:t xml:space="preserve">in accordance with the </w:t>
      </w:r>
      <w:r>
        <w:rPr>
          <w:i/>
          <w:color w:val="auto"/>
        </w:rPr>
        <w:t>Building and Construction Industry (Improving Productivity) Act 2016</w:t>
      </w:r>
      <w:r w:rsidRPr="00F736B6">
        <w:rPr>
          <w:color w:val="auto"/>
        </w:rPr>
        <w:t>, ensuring that financial contributions to a building project or projects as defined under the Fair Work (Building Industry – Accreditation Scheme) Regulations 2016 are only made where a builder or builders accredited by the Australian Government Building and Construction WHS Accreditation Scheme is contracted; and</w:t>
      </w:r>
    </w:p>
    <w:p w14:paraId="55D7F123" w14:textId="77777777" w:rsidR="00F736B6" w:rsidRPr="000614F9" w:rsidRDefault="00F736B6" w:rsidP="00C860ED">
      <w:pPr>
        <w:pStyle w:val="AlphaParagraph"/>
        <w:numPr>
          <w:ilvl w:val="0"/>
          <w:numId w:val="20"/>
        </w:numPr>
        <w:tabs>
          <w:tab w:val="clear" w:pos="283"/>
          <w:tab w:val="clear" w:pos="567"/>
          <w:tab w:val="clear" w:pos="1134"/>
          <w:tab w:val="clear" w:pos="1277"/>
          <w:tab w:val="clear" w:pos="1418"/>
          <w:tab w:val="clear" w:pos="1701"/>
        </w:tabs>
        <w:ind w:left="1134" w:hanging="567"/>
        <w:rPr>
          <w:color w:val="auto"/>
        </w:rPr>
      </w:pPr>
      <w:proofErr w:type="gramStart"/>
      <w:r>
        <w:rPr>
          <w:color w:val="auto"/>
        </w:rPr>
        <w:t>ensuring</w:t>
      </w:r>
      <w:proofErr w:type="gramEnd"/>
      <w:r>
        <w:rPr>
          <w:color w:val="auto"/>
        </w:rPr>
        <w:t xml:space="preserve"> that compliance with the Code for the tendering and Performance of Building Work 2016 (Building Code 2016) is a condition of Australian Government funding.</w:t>
      </w:r>
    </w:p>
    <w:p w14:paraId="584AAEEB" w14:textId="77777777" w:rsidR="008F44F1" w:rsidRPr="00751725" w:rsidRDefault="008F44F1" w:rsidP="008F44F1">
      <w:pPr>
        <w:pStyle w:val="Heading2"/>
      </w:pPr>
      <w:r w:rsidRPr="00751725">
        <w:t xml:space="preserve">Role of </w:t>
      </w:r>
      <w:r w:rsidR="00AB5085">
        <w:t>New South Wales</w:t>
      </w:r>
    </w:p>
    <w:p w14:paraId="44255A18" w14:textId="77777777" w:rsidR="008F44F1" w:rsidRPr="00751725" w:rsidRDefault="00AB5085" w:rsidP="009842D5">
      <w:pPr>
        <w:pStyle w:val="Normalnumbered"/>
        <w:numPr>
          <w:ilvl w:val="0"/>
          <w:numId w:val="9"/>
        </w:numPr>
        <w:spacing w:after="120"/>
        <w:jc w:val="left"/>
      </w:pPr>
      <w:r>
        <w:t>New South Wales</w:t>
      </w:r>
      <w:r w:rsidR="00545DF7">
        <w:t xml:space="preserve"> </w:t>
      </w:r>
      <w:r w:rsidR="008F44F1">
        <w:t>will be responsible for</w:t>
      </w:r>
      <w:r w:rsidR="00545DF7">
        <w:t>:</w:t>
      </w:r>
    </w:p>
    <w:p w14:paraId="67FE13B2" w14:textId="77777777" w:rsidR="008F44F1" w:rsidRDefault="008F44F1" w:rsidP="009842D5">
      <w:pPr>
        <w:pStyle w:val="AlphaParagraph"/>
        <w:numPr>
          <w:ilvl w:val="0"/>
          <w:numId w:val="18"/>
        </w:numPr>
        <w:tabs>
          <w:tab w:val="clear" w:pos="567"/>
          <w:tab w:val="clear" w:pos="1418"/>
          <w:tab w:val="clear" w:pos="1701"/>
        </w:tabs>
        <w:spacing w:after="120"/>
        <w:ind w:left="1134" w:hanging="567"/>
      </w:pPr>
      <w:r w:rsidRPr="00751725">
        <w:t>providing a</w:t>
      </w:r>
      <w:r>
        <w:t xml:space="preserve"> </w:t>
      </w:r>
      <w:r w:rsidR="007A5627">
        <w:t xml:space="preserve">financial </w:t>
      </w:r>
      <w:r w:rsidRPr="00751725">
        <w:t>contribution to support the implementation of this Agreement;</w:t>
      </w:r>
    </w:p>
    <w:p w14:paraId="194690B9" w14:textId="77777777" w:rsidR="008F44F1" w:rsidRPr="00C860ED" w:rsidRDefault="008F44F1" w:rsidP="009842D5">
      <w:pPr>
        <w:pStyle w:val="AlphaParagraph"/>
        <w:numPr>
          <w:ilvl w:val="0"/>
          <w:numId w:val="20"/>
        </w:numPr>
        <w:tabs>
          <w:tab w:val="clear" w:pos="567"/>
          <w:tab w:val="clear" w:pos="1277"/>
          <w:tab w:val="clear" w:pos="1418"/>
          <w:tab w:val="clear" w:pos="1701"/>
        </w:tabs>
        <w:spacing w:after="120"/>
        <w:ind w:left="1134" w:hanging="567"/>
        <w:rPr>
          <w:color w:val="auto"/>
        </w:rPr>
      </w:pPr>
      <w:r w:rsidRPr="00C860ED">
        <w:rPr>
          <w:color w:val="auto"/>
        </w:rPr>
        <w:t>all aspects of delivering on the project outputs set out in this Agreement;</w:t>
      </w:r>
    </w:p>
    <w:p w14:paraId="432AC2C1" w14:textId="77777777" w:rsidR="00F736B6" w:rsidRDefault="00A6719E" w:rsidP="009842D5">
      <w:pPr>
        <w:pStyle w:val="AlphaParagraph"/>
        <w:numPr>
          <w:ilvl w:val="0"/>
          <w:numId w:val="20"/>
        </w:numPr>
        <w:tabs>
          <w:tab w:val="clear" w:pos="567"/>
          <w:tab w:val="clear" w:pos="1277"/>
          <w:tab w:val="clear" w:pos="1418"/>
          <w:tab w:val="clear" w:pos="1701"/>
        </w:tabs>
        <w:spacing w:after="120"/>
        <w:ind w:left="1134" w:hanging="567"/>
        <w:rPr>
          <w:color w:val="auto"/>
        </w:rPr>
      </w:pPr>
      <w:r w:rsidRPr="00C860ED">
        <w:rPr>
          <w:color w:val="auto"/>
        </w:rPr>
        <w:t>reporting on the delivery of outputs as set out in Part 4 – Project Milestones, Reporting and Payments</w:t>
      </w:r>
      <w:r w:rsidR="00F736B6">
        <w:rPr>
          <w:color w:val="auto"/>
        </w:rPr>
        <w:t>;</w:t>
      </w:r>
    </w:p>
    <w:p w14:paraId="5A7E2CC5" w14:textId="77777777" w:rsidR="00A6719E" w:rsidRDefault="00F736B6" w:rsidP="009842D5">
      <w:pPr>
        <w:pStyle w:val="AlphaParagraph"/>
        <w:numPr>
          <w:ilvl w:val="0"/>
          <w:numId w:val="20"/>
        </w:numPr>
        <w:tabs>
          <w:tab w:val="clear" w:pos="567"/>
          <w:tab w:val="clear" w:pos="1277"/>
          <w:tab w:val="clear" w:pos="1418"/>
          <w:tab w:val="clear" w:pos="1701"/>
        </w:tabs>
        <w:spacing w:after="120"/>
        <w:ind w:left="1134" w:hanging="567"/>
        <w:rPr>
          <w:color w:val="auto"/>
        </w:rPr>
      </w:pPr>
      <w:r>
        <w:rPr>
          <w:color w:val="auto"/>
        </w:rPr>
        <w:t>ensuring that only a builder or builders accredited under the Australian Government Building and Construction WHS Accreditation Scheme is contracted, and providing the necessary assurances to the Commonwealth; and</w:t>
      </w:r>
    </w:p>
    <w:p w14:paraId="3588666C" w14:textId="311EDF4B" w:rsidR="00F736B6" w:rsidRPr="00C860ED" w:rsidRDefault="00DB70E0" w:rsidP="00C860ED">
      <w:pPr>
        <w:pStyle w:val="AlphaParagraph"/>
        <w:numPr>
          <w:ilvl w:val="0"/>
          <w:numId w:val="20"/>
        </w:numPr>
        <w:tabs>
          <w:tab w:val="clear" w:pos="567"/>
          <w:tab w:val="clear" w:pos="1277"/>
          <w:tab w:val="clear" w:pos="1418"/>
          <w:tab w:val="clear" w:pos="1701"/>
        </w:tabs>
        <w:ind w:left="1134" w:hanging="567"/>
        <w:rPr>
          <w:color w:val="auto"/>
        </w:rPr>
      </w:pPr>
      <w:proofErr w:type="gramStart"/>
      <w:r>
        <w:rPr>
          <w:color w:val="auto"/>
        </w:rPr>
        <w:t>e</w:t>
      </w:r>
      <w:r w:rsidR="00F736B6">
        <w:rPr>
          <w:color w:val="auto"/>
        </w:rPr>
        <w:t>nsuring</w:t>
      </w:r>
      <w:proofErr w:type="gramEnd"/>
      <w:r w:rsidR="00F736B6">
        <w:rPr>
          <w:color w:val="auto"/>
        </w:rPr>
        <w:t xml:space="preserve"> that compliance with the Building Code 2016 is made a condition of tender for performance of building work by all contractors and subcontractors, and providing necessary assurances to the Commonwealth.</w:t>
      </w:r>
    </w:p>
    <w:p w14:paraId="4CCE0371" w14:textId="77777777" w:rsidR="008F44F1" w:rsidRDefault="008F44F1" w:rsidP="008F44F1">
      <w:pPr>
        <w:pStyle w:val="Heading2"/>
      </w:pPr>
      <w:r>
        <w:lastRenderedPageBreak/>
        <w:t>Shared roles</w:t>
      </w:r>
    </w:p>
    <w:p w14:paraId="1666E776" w14:textId="77777777" w:rsidR="00615699" w:rsidRPr="00615699" w:rsidRDefault="00F156AB" w:rsidP="009842D5">
      <w:pPr>
        <w:pStyle w:val="Normalnumbered"/>
        <w:numPr>
          <w:ilvl w:val="0"/>
          <w:numId w:val="9"/>
        </w:numPr>
        <w:spacing w:after="120"/>
      </w:pPr>
      <w:r>
        <w:rPr>
          <w:color w:val="auto"/>
        </w:rPr>
        <w:t xml:space="preserve">The </w:t>
      </w:r>
      <w:r w:rsidRPr="0064558D">
        <w:rPr>
          <w:color w:val="auto"/>
        </w:rPr>
        <w:t>Commonwealth</w:t>
      </w:r>
      <w:r>
        <w:rPr>
          <w:color w:val="auto"/>
        </w:rPr>
        <w:t xml:space="preserve"> and New South Wales </w:t>
      </w:r>
      <w:r w:rsidR="00F736B6">
        <w:rPr>
          <w:color w:val="auto"/>
        </w:rPr>
        <w:t>will</w:t>
      </w:r>
      <w:r>
        <w:rPr>
          <w:color w:val="auto"/>
        </w:rPr>
        <w:t xml:space="preserve"> be jointly responsible for</w:t>
      </w:r>
      <w:r w:rsidR="00595BC4">
        <w:rPr>
          <w:color w:val="auto"/>
        </w:rPr>
        <w:t xml:space="preserve"> agreeing</w:t>
      </w:r>
      <w:r w:rsidR="00DD2137">
        <w:rPr>
          <w:color w:val="auto"/>
        </w:rPr>
        <w:t>:</w:t>
      </w:r>
    </w:p>
    <w:p w14:paraId="04CA5271" w14:textId="77777777" w:rsidR="00615699" w:rsidRPr="00615699" w:rsidRDefault="00F156AB" w:rsidP="009842D5">
      <w:pPr>
        <w:pStyle w:val="AlphaParagraph"/>
        <w:numPr>
          <w:ilvl w:val="0"/>
          <w:numId w:val="36"/>
        </w:numPr>
        <w:tabs>
          <w:tab w:val="clear" w:pos="283"/>
          <w:tab w:val="clear" w:pos="567"/>
          <w:tab w:val="clear" w:pos="1134"/>
          <w:tab w:val="clear" w:pos="1277"/>
          <w:tab w:val="clear" w:pos="1418"/>
          <w:tab w:val="clear" w:pos="1701"/>
        </w:tabs>
        <w:spacing w:after="120"/>
        <w:ind w:left="1134" w:hanging="567"/>
      </w:pPr>
      <w:r>
        <w:rPr>
          <w:color w:val="auto"/>
        </w:rPr>
        <w:t xml:space="preserve">the </w:t>
      </w:r>
      <w:r w:rsidRPr="00615699">
        <w:t>exact</w:t>
      </w:r>
      <w:r>
        <w:rPr>
          <w:color w:val="auto"/>
        </w:rPr>
        <w:t xml:space="preserve"> number of </w:t>
      </w:r>
      <w:r w:rsidR="00224F12">
        <w:rPr>
          <w:color w:val="auto"/>
        </w:rPr>
        <w:t>Wi-Fi</w:t>
      </w:r>
      <w:r>
        <w:rPr>
          <w:color w:val="auto"/>
        </w:rPr>
        <w:t xml:space="preserve"> access points on each train station</w:t>
      </w:r>
      <w:r w:rsidR="00615699">
        <w:rPr>
          <w:color w:val="auto"/>
        </w:rPr>
        <w:t>;</w:t>
      </w:r>
      <w:r w:rsidR="00A87E77">
        <w:rPr>
          <w:color w:val="auto"/>
        </w:rPr>
        <w:t xml:space="preserve"> and</w:t>
      </w:r>
    </w:p>
    <w:p w14:paraId="60C971D8" w14:textId="77777777" w:rsidR="00F156AB" w:rsidRDefault="00146DB6" w:rsidP="00615699">
      <w:pPr>
        <w:pStyle w:val="AlphaParagraph"/>
        <w:numPr>
          <w:ilvl w:val="0"/>
          <w:numId w:val="36"/>
        </w:numPr>
        <w:tabs>
          <w:tab w:val="clear" w:pos="283"/>
          <w:tab w:val="clear" w:pos="567"/>
          <w:tab w:val="clear" w:pos="1134"/>
          <w:tab w:val="clear" w:pos="1277"/>
          <w:tab w:val="clear" w:pos="1418"/>
          <w:tab w:val="clear" w:pos="1701"/>
        </w:tabs>
        <w:ind w:left="1134" w:hanging="567"/>
      </w:pPr>
      <w:proofErr w:type="gramStart"/>
      <w:r>
        <w:rPr>
          <w:color w:val="auto"/>
        </w:rPr>
        <w:t>the</w:t>
      </w:r>
      <w:proofErr w:type="gramEnd"/>
      <w:r>
        <w:rPr>
          <w:color w:val="auto"/>
        </w:rPr>
        <w:t xml:space="preserve"> exact number of </w:t>
      </w:r>
      <w:r>
        <w:t>base stations, site upgrades</w:t>
      </w:r>
      <w:r w:rsidRPr="00A0603A">
        <w:t xml:space="preserve"> </w:t>
      </w:r>
      <w:r>
        <w:t>and tunnel solutions</w:t>
      </w:r>
      <w:r w:rsidR="00A87E77">
        <w:t>.</w:t>
      </w:r>
    </w:p>
    <w:p w14:paraId="2B215F89" w14:textId="77777777" w:rsidR="009C3AC6" w:rsidRDefault="008F44F1" w:rsidP="009842D5">
      <w:pPr>
        <w:pStyle w:val="Normalnumbered"/>
        <w:numPr>
          <w:ilvl w:val="0"/>
          <w:numId w:val="9"/>
        </w:numPr>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3A5ACC1C" w14:textId="77777777" w:rsidR="00814667" w:rsidRPr="00CA33EC" w:rsidRDefault="00814667" w:rsidP="009842D5">
      <w:pPr>
        <w:pStyle w:val="Heading1"/>
        <w:spacing w:before="360"/>
      </w:pPr>
      <w:r w:rsidRPr="00CA33EC">
        <w:t xml:space="preserve">Part 4 — </w:t>
      </w:r>
      <w:r w:rsidR="0095223D" w:rsidRPr="00CA33EC">
        <w:t xml:space="preserve">Project </w:t>
      </w:r>
      <w:r w:rsidR="00F8684A" w:rsidRPr="00CA33EC">
        <w:t>milestones</w:t>
      </w:r>
      <w:r w:rsidR="0095223D" w:rsidRPr="00CA33EC">
        <w:t xml:space="preserve">, </w:t>
      </w:r>
      <w:r w:rsidRPr="00CA33EC">
        <w:t>reporting</w:t>
      </w:r>
      <w:r w:rsidR="00B8096A" w:rsidRPr="00CA33EC">
        <w:t xml:space="preserve"> and Payment</w:t>
      </w:r>
      <w:r w:rsidR="0095223D" w:rsidRPr="00CA33EC">
        <w:t>s</w:t>
      </w:r>
    </w:p>
    <w:p w14:paraId="485510A2" w14:textId="77777777" w:rsidR="004B6083" w:rsidRPr="00CA33EC" w:rsidRDefault="00545DF7" w:rsidP="005304C9">
      <w:pPr>
        <w:pStyle w:val="Normalnumbered"/>
        <w:numPr>
          <w:ilvl w:val="0"/>
          <w:numId w:val="9"/>
        </w:numPr>
      </w:pPr>
      <w:r w:rsidRPr="00CA33EC">
        <w:t>T</w:t>
      </w:r>
      <w:r w:rsidR="007C4F31" w:rsidRPr="00CA33EC">
        <w:t xml:space="preserve">able </w:t>
      </w:r>
      <w:r w:rsidRPr="00CA33EC">
        <w:t xml:space="preserve">1 </w:t>
      </w:r>
      <w:r w:rsidR="007C4F31" w:rsidRPr="00CA33EC">
        <w:t xml:space="preserve">summarises the milestones for the project, their relationship to the outputs, expected completion dates, relevant reporting dates and expected payments </w:t>
      </w:r>
      <w:r w:rsidR="0077685D" w:rsidRPr="00CA33EC">
        <w:t>to be made</w:t>
      </w:r>
      <w:r w:rsidR="00ED2AC4" w:rsidRPr="00CA33EC">
        <w:t>. The Commonwealth will make payments subject to the performance report</w:t>
      </w:r>
      <w:r w:rsidR="00C90F44" w:rsidRPr="00CA33EC">
        <w:t>s</w:t>
      </w:r>
      <w:r w:rsidR="00ED2AC4" w:rsidRPr="00CA33EC">
        <w:t xml:space="preserve"> demonstrating the relevant </w:t>
      </w:r>
      <w:r w:rsidR="00ED2AC4" w:rsidRPr="00CA33EC">
        <w:rPr>
          <w:szCs w:val="23"/>
        </w:rPr>
        <w:t xml:space="preserve">milestone </w:t>
      </w:r>
      <w:r w:rsidR="00ED2AC4" w:rsidRPr="00CA33EC">
        <w:t>has been met.</w:t>
      </w:r>
    </w:p>
    <w:p w14:paraId="026BF51E" w14:textId="77777777" w:rsidR="00F3245D" w:rsidRPr="0093758E" w:rsidRDefault="0095223D" w:rsidP="00C860ED">
      <w:pPr>
        <w:pStyle w:val="Normalnumbered"/>
        <w:keepNext/>
        <w:numPr>
          <w:ilvl w:val="0"/>
          <w:numId w:val="0"/>
        </w:numPr>
        <w:spacing w:after="120"/>
      </w:pPr>
      <w:r w:rsidRPr="00AC1A04">
        <w:rPr>
          <w:b/>
        </w:rPr>
        <w:t xml:space="preserve">Table </w:t>
      </w:r>
      <w:r w:rsidR="00E204BB" w:rsidRPr="00AC1A04">
        <w:rPr>
          <w:b/>
        </w:rPr>
        <w:t>1</w:t>
      </w:r>
      <w:r w:rsidRPr="00AC1A04">
        <w:t xml:space="preserve">: </w:t>
      </w:r>
      <w:r w:rsidR="00806D94" w:rsidRPr="00AC1A04">
        <w:rPr>
          <w:b/>
        </w:rPr>
        <w:t>Performance requirements</w:t>
      </w:r>
      <w:r w:rsidRPr="00AC1A04">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27"/>
        <w:gridCol w:w="3827"/>
        <w:gridCol w:w="1473"/>
        <w:gridCol w:w="1241"/>
      </w:tblGrid>
      <w:tr w:rsidR="0055415C" w:rsidRPr="00CA33EC" w14:paraId="50773C30" w14:textId="77777777" w:rsidTr="00FD3C3F">
        <w:trPr>
          <w:trHeight w:val="751"/>
        </w:trPr>
        <w:tc>
          <w:tcPr>
            <w:tcW w:w="3227" w:type="dxa"/>
            <w:tcBorders>
              <w:bottom w:val="single" w:sz="18" w:space="0" w:color="4F81BD"/>
            </w:tcBorders>
          </w:tcPr>
          <w:p w14:paraId="02A72059" w14:textId="77777777" w:rsidR="0055415C" w:rsidRPr="00CA33EC" w:rsidRDefault="0053712B" w:rsidP="0001303B">
            <w:pPr>
              <w:pStyle w:val="Heading2"/>
              <w:rPr>
                <w:bCs w:val="0"/>
                <w:sz w:val="24"/>
                <w:szCs w:val="24"/>
              </w:rPr>
            </w:pPr>
            <w:r w:rsidRPr="00CA33EC">
              <w:rPr>
                <w:bCs w:val="0"/>
                <w:sz w:val="24"/>
                <w:szCs w:val="24"/>
              </w:rPr>
              <w:t>Output</w:t>
            </w:r>
          </w:p>
        </w:tc>
        <w:tc>
          <w:tcPr>
            <w:tcW w:w="3827" w:type="dxa"/>
            <w:tcBorders>
              <w:bottom w:val="single" w:sz="18" w:space="0" w:color="4F81BD"/>
            </w:tcBorders>
          </w:tcPr>
          <w:p w14:paraId="60909C65" w14:textId="77777777" w:rsidR="0055415C" w:rsidRPr="00CA33EC" w:rsidRDefault="0055415C" w:rsidP="00F156AB">
            <w:pPr>
              <w:pStyle w:val="Heading2"/>
              <w:rPr>
                <w:bCs w:val="0"/>
                <w:sz w:val="24"/>
                <w:szCs w:val="24"/>
              </w:rPr>
            </w:pPr>
            <w:r w:rsidRPr="00CA33EC">
              <w:rPr>
                <w:bCs w:val="0"/>
                <w:sz w:val="24"/>
                <w:szCs w:val="24"/>
              </w:rPr>
              <w:t>Performance milestones</w:t>
            </w:r>
          </w:p>
        </w:tc>
        <w:tc>
          <w:tcPr>
            <w:tcW w:w="1473" w:type="dxa"/>
            <w:tcBorders>
              <w:bottom w:val="single" w:sz="18" w:space="0" w:color="4F81BD"/>
            </w:tcBorders>
          </w:tcPr>
          <w:p w14:paraId="26CCCA05" w14:textId="77777777" w:rsidR="0055415C" w:rsidRPr="00CA33EC" w:rsidRDefault="0055415C" w:rsidP="0026571E">
            <w:pPr>
              <w:pStyle w:val="Heading2"/>
              <w:rPr>
                <w:sz w:val="18"/>
                <w:szCs w:val="18"/>
              </w:rPr>
            </w:pPr>
            <w:r w:rsidRPr="00CA33EC">
              <w:rPr>
                <w:bCs w:val="0"/>
                <w:sz w:val="24"/>
                <w:szCs w:val="24"/>
              </w:rPr>
              <w:t xml:space="preserve">Report due </w:t>
            </w:r>
          </w:p>
        </w:tc>
        <w:tc>
          <w:tcPr>
            <w:tcW w:w="1241" w:type="dxa"/>
            <w:tcBorders>
              <w:bottom w:val="single" w:sz="18" w:space="0" w:color="4F81BD"/>
            </w:tcBorders>
          </w:tcPr>
          <w:p w14:paraId="196EF344" w14:textId="77777777" w:rsidR="0055415C" w:rsidRPr="00CA33EC" w:rsidRDefault="0055415C" w:rsidP="00F3245D">
            <w:pPr>
              <w:pStyle w:val="Heading2"/>
              <w:rPr>
                <w:bCs w:val="0"/>
                <w:sz w:val="24"/>
                <w:szCs w:val="24"/>
              </w:rPr>
            </w:pPr>
            <w:r w:rsidRPr="00CA33EC">
              <w:rPr>
                <w:bCs w:val="0"/>
                <w:sz w:val="24"/>
                <w:szCs w:val="24"/>
              </w:rPr>
              <w:t>Payment</w:t>
            </w:r>
          </w:p>
        </w:tc>
      </w:tr>
      <w:tr w:rsidR="00550FB0" w:rsidRPr="00CA33EC" w14:paraId="19560A5B" w14:textId="77777777" w:rsidTr="00A87E77">
        <w:tc>
          <w:tcPr>
            <w:tcW w:w="3227" w:type="dxa"/>
            <w:vMerge w:val="restart"/>
          </w:tcPr>
          <w:p w14:paraId="094CD808" w14:textId="2A733779" w:rsidR="00C90F44" w:rsidRPr="00CA33EC" w:rsidRDefault="00C860ED" w:rsidP="00A87E77">
            <w:pPr>
              <w:spacing w:before="180"/>
            </w:pPr>
            <w:r w:rsidRPr="00CA33EC">
              <w:t>In accordance with clause 8 of this Agreement</w:t>
            </w:r>
          </w:p>
        </w:tc>
        <w:tc>
          <w:tcPr>
            <w:tcW w:w="3827" w:type="dxa"/>
            <w:shd w:val="clear" w:color="auto" w:fill="auto"/>
            <w:vAlign w:val="center"/>
          </w:tcPr>
          <w:p w14:paraId="64084F2B" w14:textId="0F2C1D78" w:rsidR="00C860ED" w:rsidRPr="00CA33EC" w:rsidRDefault="00AC1A04" w:rsidP="00AC1A04">
            <w:pPr>
              <w:pStyle w:val="Heading2"/>
            </w:pPr>
            <w:r>
              <w:rPr>
                <w:b w:val="0"/>
                <w:color w:val="auto"/>
                <w:sz w:val="23"/>
                <w:szCs w:val="23"/>
              </w:rPr>
              <w:t>Project initiation and procurement of supporting infrastructure for construction</w:t>
            </w:r>
          </w:p>
        </w:tc>
        <w:tc>
          <w:tcPr>
            <w:tcW w:w="1473" w:type="dxa"/>
            <w:shd w:val="clear" w:color="auto" w:fill="auto"/>
          </w:tcPr>
          <w:p w14:paraId="2DD22187" w14:textId="77777777" w:rsidR="00E37251" w:rsidRPr="00CA33EC" w:rsidRDefault="00550FB0" w:rsidP="001F1DF0">
            <w:pPr>
              <w:pStyle w:val="Heading2"/>
              <w:rPr>
                <w:b w:val="0"/>
                <w:color w:val="auto"/>
                <w:sz w:val="23"/>
                <w:szCs w:val="23"/>
              </w:rPr>
            </w:pPr>
            <w:r w:rsidRPr="00CA33EC">
              <w:rPr>
                <w:b w:val="0"/>
                <w:color w:val="auto"/>
                <w:sz w:val="23"/>
                <w:szCs w:val="23"/>
              </w:rPr>
              <w:t>01/05/2018</w:t>
            </w:r>
          </w:p>
        </w:tc>
        <w:tc>
          <w:tcPr>
            <w:tcW w:w="1241" w:type="dxa"/>
            <w:shd w:val="clear" w:color="auto" w:fill="auto"/>
          </w:tcPr>
          <w:p w14:paraId="715D0A03" w14:textId="77777777" w:rsidR="00E37251" w:rsidRPr="00CA33EC" w:rsidRDefault="00550FB0" w:rsidP="00CA33EC">
            <w:pPr>
              <w:pStyle w:val="Heading2"/>
              <w:rPr>
                <w:b w:val="0"/>
                <w:color w:val="auto"/>
                <w:sz w:val="23"/>
                <w:szCs w:val="23"/>
              </w:rPr>
            </w:pPr>
            <w:r w:rsidRPr="00CA33EC">
              <w:rPr>
                <w:b w:val="0"/>
                <w:color w:val="auto"/>
                <w:sz w:val="23"/>
                <w:szCs w:val="23"/>
              </w:rPr>
              <w:t>$2.00m</w:t>
            </w:r>
          </w:p>
        </w:tc>
      </w:tr>
      <w:tr w:rsidR="00DD2137" w:rsidRPr="00CA33EC" w14:paraId="743D8A25" w14:textId="77777777" w:rsidTr="00FD3C3F">
        <w:tc>
          <w:tcPr>
            <w:tcW w:w="3227" w:type="dxa"/>
            <w:vMerge/>
          </w:tcPr>
          <w:p w14:paraId="14D802E1" w14:textId="77777777" w:rsidR="00DD2137" w:rsidRPr="00CA33EC" w:rsidRDefault="00DD2137" w:rsidP="00C90F44">
            <w:pPr>
              <w:pStyle w:val="Heading2"/>
              <w:rPr>
                <w:b w:val="0"/>
                <w:bCs w:val="0"/>
                <w:sz w:val="23"/>
                <w:szCs w:val="23"/>
              </w:rPr>
            </w:pPr>
          </w:p>
        </w:tc>
        <w:tc>
          <w:tcPr>
            <w:tcW w:w="3827" w:type="dxa"/>
            <w:shd w:val="clear" w:color="auto" w:fill="D3DFEE"/>
          </w:tcPr>
          <w:p w14:paraId="09751E0D" w14:textId="77777777" w:rsidR="00DD2137" w:rsidRDefault="00DD2137" w:rsidP="00C90F44">
            <w:pPr>
              <w:pStyle w:val="Heading2"/>
              <w:rPr>
                <w:b w:val="0"/>
                <w:color w:val="auto"/>
                <w:sz w:val="23"/>
                <w:szCs w:val="23"/>
              </w:rPr>
            </w:pPr>
            <w:r>
              <w:rPr>
                <w:b w:val="0"/>
                <w:color w:val="auto"/>
                <w:sz w:val="23"/>
                <w:szCs w:val="23"/>
              </w:rPr>
              <w:t>Design development completion and identification and preparation of sites for construction</w:t>
            </w:r>
          </w:p>
          <w:p w14:paraId="2D91C8A7" w14:textId="77777777" w:rsidR="006A0D29" w:rsidRDefault="006A0D29" w:rsidP="006A0D29">
            <w:pPr>
              <w:rPr>
                <w:color w:val="auto"/>
                <w:szCs w:val="23"/>
              </w:rPr>
            </w:pPr>
            <w:r>
              <w:rPr>
                <w:color w:val="auto"/>
                <w:szCs w:val="23"/>
              </w:rPr>
              <w:t>Initial Stage completion of agreed number of new macro and mini-macro base stations and any site upgrades</w:t>
            </w:r>
          </w:p>
          <w:p w14:paraId="3DF31F98" w14:textId="4CCB7B05" w:rsidR="006A0D29" w:rsidRPr="006A0D29" w:rsidRDefault="006A0D29" w:rsidP="006A0D29">
            <w:r>
              <w:rPr>
                <w:color w:val="auto"/>
                <w:szCs w:val="23"/>
              </w:rPr>
              <w:t>Achievement of station Wi-Fi connectivity with expected performance standards</w:t>
            </w:r>
          </w:p>
        </w:tc>
        <w:tc>
          <w:tcPr>
            <w:tcW w:w="1473" w:type="dxa"/>
            <w:shd w:val="clear" w:color="auto" w:fill="D3DFEE"/>
          </w:tcPr>
          <w:p w14:paraId="010FB8EE" w14:textId="77777777" w:rsidR="00DD2137" w:rsidRPr="00CA33EC" w:rsidRDefault="00DD2137" w:rsidP="006A0D29">
            <w:pPr>
              <w:pStyle w:val="Heading2"/>
              <w:spacing w:before="1440"/>
              <w:rPr>
                <w:b w:val="0"/>
                <w:color w:val="auto"/>
                <w:sz w:val="23"/>
                <w:szCs w:val="23"/>
              </w:rPr>
            </w:pPr>
            <w:r w:rsidRPr="00CA33EC">
              <w:rPr>
                <w:b w:val="0"/>
                <w:color w:val="auto"/>
                <w:sz w:val="23"/>
                <w:szCs w:val="23"/>
              </w:rPr>
              <w:t>01/05/2019</w:t>
            </w:r>
          </w:p>
        </w:tc>
        <w:tc>
          <w:tcPr>
            <w:tcW w:w="1241" w:type="dxa"/>
            <w:shd w:val="clear" w:color="auto" w:fill="D3DFEE"/>
          </w:tcPr>
          <w:p w14:paraId="02FB0D65" w14:textId="77777777" w:rsidR="00DD2137" w:rsidRPr="00CA33EC" w:rsidRDefault="00DD2137" w:rsidP="006A0D29">
            <w:pPr>
              <w:pStyle w:val="Heading2"/>
              <w:spacing w:before="1440"/>
              <w:rPr>
                <w:b w:val="0"/>
                <w:color w:val="auto"/>
                <w:sz w:val="23"/>
                <w:szCs w:val="23"/>
              </w:rPr>
            </w:pPr>
            <w:r w:rsidRPr="00CA33EC">
              <w:rPr>
                <w:b w:val="0"/>
                <w:color w:val="auto"/>
                <w:sz w:val="23"/>
                <w:szCs w:val="23"/>
              </w:rPr>
              <w:t>$8.00m</w:t>
            </w:r>
          </w:p>
        </w:tc>
      </w:tr>
      <w:tr w:rsidR="00DD2137" w:rsidRPr="001021A0" w14:paraId="161EB1F0" w14:textId="77777777" w:rsidTr="00A87E77">
        <w:tc>
          <w:tcPr>
            <w:tcW w:w="3227" w:type="dxa"/>
            <w:vMerge/>
          </w:tcPr>
          <w:p w14:paraId="01366944" w14:textId="77777777" w:rsidR="00DD2137" w:rsidRPr="00DD2137" w:rsidRDefault="00DD2137" w:rsidP="00C90F44">
            <w:pPr>
              <w:pStyle w:val="Heading2"/>
              <w:rPr>
                <w:b w:val="0"/>
                <w:bCs w:val="0"/>
                <w:sz w:val="23"/>
                <w:szCs w:val="23"/>
              </w:rPr>
            </w:pPr>
          </w:p>
        </w:tc>
        <w:tc>
          <w:tcPr>
            <w:tcW w:w="3827" w:type="dxa"/>
            <w:vAlign w:val="center"/>
          </w:tcPr>
          <w:p w14:paraId="507DC232" w14:textId="77777777" w:rsidR="00DD2137" w:rsidRDefault="00DD2137" w:rsidP="005216D9">
            <w:pPr>
              <w:pStyle w:val="Heading2"/>
              <w:rPr>
                <w:b w:val="0"/>
                <w:color w:val="auto"/>
                <w:sz w:val="23"/>
                <w:szCs w:val="23"/>
              </w:rPr>
            </w:pPr>
            <w:r>
              <w:rPr>
                <w:b w:val="0"/>
                <w:color w:val="auto"/>
                <w:sz w:val="23"/>
                <w:szCs w:val="23"/>
              </w:rPr>
              <w:t>Final Stage completion of the agreed number of macro, mini and tunnel solutions</w:t>
            </w:r>
          </w:p>
          <w:p w14:paraId="1F70F9BF" w14:textId="038FE125" w:rsidR="006A0D29" w:rsidRPr="006A0D29" w:rsidRDefault="006A0D29" w:rsidP="006A0D29">
            <w:r>
              <w:t>Achievement of mobile connectivity on trains with expected performance standards</w:t>
            </w:r>
          </w:p>
        </w:tc>
        <w:tc>
          <w:tcPr>
            <w:tcW w:w="1473" w:type="dxa"/>
          </w:tcPr>
          <w:p w14:paraId="7C048E03" w14:textId="77777777" w:rsidR="00DD2137" w:rsidRPr="00CA33EC" w:rsidRDefault="00DD2137" w:rsidP="006A0D29">
            <w:pPr>
              <w:spacing w:before="840"/>
            </w:pPr>
            <w:r>
              <w:t>15/04/2020</w:t>
            </w:r>
          </w:p>
        </w:tc>
        <w:tc>
          <w:tcPr>
            <w:tcW w:w="1241" w:type="dxa"/>
          </w:tcPr>
          <w:p w14:paraId="1CDAEF65" w14:textId="77777777" w:rsidR="00DD2137" w:rsidRPr="00CA33EC" w:rsidRDefault="00DD2137" w:rsidP="006A0D29">
            <w:pPr>
              <w:pStyle w:val="Heading2"/>
              <w:spacing w:before="840"/>
              <w:rPr>
                <w:b w:val="0"/>
                <w:color w:val="auto"/>
                <w:sz w:val="23"/>
                <w:szCs w:val="23"/>
              </w:rPr>
            </w:pPr>
            <w:r w:rsidRPr="00CA33EC">
              <w:rPr>
                <w:b w:val="0"/>
                <w:color w:val="auto"/>
                <w:sz w:val="23"/>
                <w:szCs w:val="23"/>
              </w:rPr>
              <w:t>$2.00m</w:t>
            </w:r>
          </w:p>
        </w:tc>
      </w:tr>
    </w:tbl>
    <w:p w14:paraId="26174F85" w14:textId="078264BF" w:rsidR="00172360" w:rsidRPr="00CA33EC" w:rsidRDefault="002E144A" w:rsidP="009842D5">
      <w:pPr>
        <w:pStyle w:val="Normalnumbered"/>
        <w:numPr>
          <w:ilvl w:val="0"/>
          <w:numId w:val="9"/>
        </w:numPr>
        <w:spacing w:before="120" w:line="240" w:lineRule="auto"/>
      </w:pPr>
      <w:r w:rsidRPr="00CA33EC">
        <w:t>If</w:t>
      </w:r>
      <w:r w:rsidR="00172360" w:rsidRPr="00CA33EC">
        <w:t xml:space="preserve"> a milestone is met in advance of the due date, </w:t>
      </w:r>
      <w:r w:rsidRPr="00CA33EC">
        <w:t xml:space="preserve">where </w:t>
      </w:r>
      <w:r w:rsidR="00172360" w:rsidRPr="00CA33EC">
        <w:t>the relevant performance report demonstrat</w:t>
      </w:r>
      <w:r w:rsidRPr="00CA33EC">
        <w:t>es</w:t>
      </w:r>
      <w:r w:rsidR="00172360" w:rsidRPr="00CA33EC">
        <w:t xml:space="preserve"> </w:t>
      </w:r>
      <w:r w:rsidR="00413E74" w:rsidRPr="00CA33EC">
        <w:t xml:space="preserve">that </w:t>
      </w:r>
      <w:r w:rsidR="00172360" w:rsidRPr="00CA33EC">
        <w:t xml:space="preserve">the milestone has been met, the Commonwealth may make the associated payment earlier than scheduled provided it falls within the same financial year </w:t>
      </w:r>
      <w:r w:rsidR="009842D5">
        <w:t>as the original milestone date.</w:t>
      </w:r>
    </w:p>
    <w:p w14:paraId="67525AEF" w14:textId="77777777" w:rsidR="00F3245D" w:rsidRPr="00CA33EC" w:rsidRDefault="00F3245D" w:rsidP="00F3245D">
      <w:pPr>
        <w:pStyle w:val="Heading2"/>
      </w:pPr>
      <w:r w:rsidRPr="00CA33EC">
        <w:lastRenderedPageBreak/>
        <w:t>Reporting arrangements</w:t>
      </w:r>
    </w:p>
    <w:p w14:paraId="5D7776D0" w14:textId="248A9BAD" w:rsidR="00ED2AC4" w:rsidRPr="00CA33EC" w:rsidRDefault="003A35F1" w:rsidP="005304C9">
      <w:pPr>
        <w:pStyle w:val="Normalnumbered"/>
        <w:numPr>
          <w:ilvl w:val="0"/>
          <w:numId w:val="9"/>
        </w:numPr>
        <w:spacing w:before="120" w:line="240" w:lineRule="auto"/>
        <w:rPr>
          <w:szCs w:val="23"/>
        </w:rPr>
      </w:pPr>
      <w:r w:rsidRPr="00CA33EC">
        <w:t>New South Wales</w:t>
      </w:r>
      <w:r w:rsidR="0076361C" w:rsidRPr="00CA33EC">
        <w:t xml:space="preserve"> </w:t>
      </w:r>
      <w:r w:rsidR="009E151E" w:rsidRPr="00CA33EC">
        <w:t xml:space="preserve">will </w:t>
      </w:r>
      <w:r w:rsidR="0095223D" w:rsidRPr="00CA33EC">
        <w:t xml:space="preserve">provide performance reports in accordance with </w:t>
      </w:r>
      <w:r w:rsidR="00C2605C" w:rsidRPr="00CA33EC">
        <w:t>T</w:t>
      </w:r>
      <w:r w:rsidR="0095223D" w:rsidRPr="00CA33EC">
        <w:t xml:space="preserve">able </w:t>
      </w:r>
      <w:r w:rsidR="00C2605C" w:rsidRPr="00CA33EC">
        <w:t xml:space="preserve">1 </w:t>
      </w:r>
      <w:r w:rsidR="009E151E" w:rsidRPr="00CA33EC">
        <w:t>during</w:t>
      </w:r>
      <w:r w:rsidR="00C42ACA" w:rsidRPr="00CA33EC">
        <w:t xml:space="preserve"> </w:t>
      </w:r>
      <w:r w:rsidR="009E151E" w:rsidRPr="00CA33EC">
        <w:t>t</w:t>
      </w:r>
      <w:r w:rsidR="00515AF2" w:rsidRPr="00CA33EC">
        <w:t xml:space="preserve">he operation of the Agreement.  </w:t>
      </w:r>
      <w:r w:rsidR="0095223D" w:rsidRPr="00CA33EC">
        <w:t>Each performance report is to contai</w:t>
      </w:r>
      <w:r w:rsidR="00ED2AC4" w:rsidRPr="00CA33EC">
        <w:t>n a description of actual performance in the period to date against the project milestones.</w:t>
      </w:r>
    </w:p>
    <w:p w14:paraId="4B15EA4B" w14:textId="77777777" w:rsidR="008E7527" w:rsidRDefault="008E7527" w:rsidP="009842D5">
      <w:pPr>
        <w:pStyle w:val="Heading1"/>
        <w:spacing w:before="360"/>
      </w:pPr>
      <w:r>
        <w:t>Part 5</w:t>
      </w:r>
      <w:r w:rsidRPr="00751725">
        <w:t xml:space="preserve"> — financial arrangements</w:t>
      </w:r>
    </w:p>
    <w:p w14:paraId="22CA2C32" w14:textId="77777777" w:rsidR="008E7527" w:rsidRDefault="008E7527" w:rsidP="005304C9">
      <w:pPr>
        <w:pStyle w:val="Normalnumbered"/>
        <w:numPr>
          <w:ilvl w:val="0"/>
          <w:numId w:val="9"/>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3A35F1">
        <w:t xml:space="preserve">New South Wales of </w:t>
      </w:r>
      <w:r w:rsidRPr="00CD526B">
        <w:t>$</w:t>
      </w:r>
      <w:r w:rsidR="003A35F1">
        <w:t xml:space="preserve">12 </w:t>
      </w:r>
      <w:r>
        <w:t>m</w:t>
      </w:r>
      <w:r w:rsidR="003A35F1">
        <w:t>illion</w:t>
      </w:r>
      <w:r>
        <w:t xml:space="preserve"> in respect of this Agreement. </w:t>
      </w:r>
      <w:r w:rsidRPr="000E48C3">
        <w:t xml:space="preserve"> </w:t>
      </w:r>
      <w:r>
        <w:t>All payments are GST exclusive.</w:t>
      </w:r>
    </w:p>
    <w:p w14:paraId="410E31B0" w14:textId="77777777" w:rsidR="008E7527" w:rsidRDefault="005A5E7A" w:rsidP="005304C9">
      <w:pPr>
        <w:pStyle w:val="Normalnumbered"/>
        <w:numPr>
          <w:ilvl w:val="0"/>
          <w:numId w:val="9"/>
        </w:numPr>
      </w:pPr>
      <w:r>
        <w:t>T</w:t>
      </w:r>
      <w:r w:rsidR="008E7527" w:rsidRPr="002B7E1B">
        <w:t xml:space="preserve">he Commonwealth’s funding contribution will not be reduced where </w:t>
      </w:r>
      <w:r w:rsidR="003A35F1">
        <w:t>New South Wales</w:t>
      </w:r>
      <w:r w:rsidR="008E7527" w:rsidRPr="002B7E1B">
        <w:t xml:space="preserve"> secure funding from other activity partners</w:t>
      </w:r>
      <w:r w:rsidR="002E144A">
        <w:t>.</w:t>
      </w:r>
    </w:p>
    <w:p w14:paraId="5894F744" w14:textId="77777777" w:rsidR="00873ED3" w:rsidRPr="0093758E" w:rsidRDefault="008E7527" w:rsidP="005304C9">
      <w:pPr>
        <w:pStyle w:val="Normalnumbered"/>
        <w:keepNext/>
        <w:keepLines/>
        <w:numPr>
          <w:ilvl w:val="0"/>
          <w:numId w:val="9"/>
        </w:numPr>
      </w:pPr>
      <w:r w:rsidRPr="00751725">
        <w:t>The Commonwealth</w:t>
      </w:r>
      <w:r>
        <w:t>’s</w:t>
      </w:r>
      <w:r w:rsidRPr="00751725">
        <w:t xml:space="preserve"> and </w:t>
      </w:r>
      <w:r w:rsidR="003A35F1">
        <w:t>New South Wales’</w:t>
      </w:r>
      <w:r w:rsidRPr="00751725">
        <w:t xml:space="preserve"> </w:t>
      </w:r>
      <w:r>
        <w:t xml:space="preserve">estimated </w:t>
      </w:r>
      <w:r w:rsidRPr="00751725">
        <w:t>financial contribution</w:t>
      </w:r>
      <w:r w:rsidR="002E144A">
        <w:t>s</w:t>
      </w:r>
      <w:r w:rsidRPr="00751725">
        <w:t xml:space="preserve"> to the operation of </w:t>
      </w:r>
      <w:r>
        <w:t xml:space="preserve">this </w:t>
      </w:r>
      <w:r w:rsidRPr="0053712B">
        <w:t xml:space="preserve">Agreement, including through National Partnership payments to the States paid in </w:t>
      </w:r>
      <w:r w:rsidRPr="0093758E">
        <w:t xml:space="preserve">accordance with </w:t>
      </w:r>
      <w:r w:rsidRPr="0093758E">
        <w:rPr>
          <w:i/>
        </w:rPr>
        <w:t>Schedule D — Payment Arrangements</w:t>
      </w:r>
      <w:r w:rsidRPr="0093758E">
        <w:t xml:space="preserve"> of the </w:t>
      </w:r>
      <w:r w:rsidR="00C41265" w:rsidRPr="0093758E">
        <w:t>IGA FFR</w:t>
      </w:r>
      <w:r w:rsidR="00C2605C" w:rsidRPr="0093758E">
        <w:t>, are shown in Table 2</w:t>
      </w:r>
      <w:r w:rsidRPr="0093758E">
        <w:t>.</w:t>
      </w:r>
    </w:p>
    <w:p w14:paraId="65DECCBC" w14:textId="77777777" w:rsidR="008E7527" w:rsidRPr="0093758E" w:rsidRDefault="00E204BB" w:rsidP="00D53D31">
      <w:pPr>
        <w:pStyle w:val="Normalnumbered"/>
        <w:numPr>
          <w:ilvl w:val="0"/>
          <w:numId w:val="0"/>
        </w:numPr>
        <w:spacing w:after="120"/>
        <w:rPr>
          <w:b/>
        </w:rPr>
      </w:pPr>
      <w:r w:rsidRPr="0093758E">
        <w:rPr>
          <w:b/>
        </w:rPr>
        <w:t>Table 2</w:t>
      </w:r>
      <w:r w:rsidR="008E7527" w:rsidRPr="0093758E">
        <w:rPr>
          <w:b/>
        </w:rPr>
        <w:t>: Estimated financial contributions</w:t>
      </w:r>
    </w:p>
    <w:tbl>
      <w:tblPr>
        <w:tblW w:w="0" w:type="auto"/>
        <w:tblLook w:val="01E0" w:firstRow="1" w:lastRow="1" w:firstColumn="1" w:lastColumn="1" w:noHBand="0" w:noVBand="0"/>
      </w:tblPr>
      <w:tblGrid>
        <w:gridCol w:w="4659"/>
        <w:gridCol w:w="1245"/>
        <w:gridCol w:w="1245"/>
        <w:gridCol w:w="1245"/>
        <w:gridCol w:w="1244"/>
      </w:tblGrid>
      <w:tr w:rsidR="007A5627" w:rsidRPr="0093758E" w14:paraId="2C173185" w14:textId="77777777" w:rsidTr="007A5627">
        <w:trPr>
          <w:cantSplit/>
        </w:trPr>
        <w:tc>
          <w:tcPr>
            <w:tcW w:w="4786" w:type="dxa"/>
            <w:tcBorders>
              <w:top w:val="single" w:sz="4" w:space="0" w:color="000080"/>
            </w:tcBorders>
          </w:tcPr>
          <w:p w14:paraId="2F612AC1" w14:textId="77777777" w:rsidR="007A5627" w:rsidRPr="0093758E" w:rsidRDefault="007A5627" w:rsidP="00AB71A5">
            <w:pPr>
              <w:keepNext/>
              <w:keepLines/>
              <w:spacing w:before="40" w:after="40"/>
              <w:jc w:val="left"/>
              <w:rPr>
                <w:b/>
              </w:rPr>
            </w:pPr>
            <w:r w:rsidRPr="0093758E">
              <w:rPr>
                <w:b/>
              </w:rPr>
              <w:t>($ million)</w:t>
            </w:r>
          </w:p>
        </w:tc>
        <w:tc>
          <w:tcPr>
            <w:tcW w:w="1267" w:type="dxa"/>
            <w:tcBorders>
              <w:top w:val="single" w:sz="4" w:space="0" w:color="000080"/>
              <w:bottom w:val="single" w:sz="4" w:space="0" w:color="000080"/>
            </w:tcBorders>
          </w:tcPr>
          <w:p w14:paraId="3DB1FB84" w14:textId="77777777" w:rsidR="007A5627" w:rsidRPr="0093758E" w:rsidRDefault="007A5627" w:rsidP="00AB71A5">
            <w:pPr>
              <w:keepNext/>
              <w:keepLines/>
              <w:spacing w:before="40" w:after="40"/>
              <w:jc w:val="right"/>
            </w:pPr>
            <w:r w:rsidRPr="0093758E">
              <w:t>2017-18</w:t>
            </w:r>
          </w:p>
        </w:tc>
        <w:tc>
          <w:tcPr>
            <w:tcW w:w="1267" w:type="dxa"/>
            <w:tcBorders>
              <w:top w:val="single" w:sz="4" w:space="0" w:color="000080"/>
              <w:bottom w:val="single" w:sz="4" w:space="0" w:color="000080"/>
            </w:tcBorders>
          </w:tcPr>
          <w:p w14:paraId="700AC2C7" w14:textId="77777777" w:rsidR="007A5627" w:rsidRPr="0093758E" w:rsidRDefault="007A5627" w:rsidP="00AB71A5">
            <w:pPr>
              <w:keepNext/>
              <w:keepLines/>
              <w:spacing w:before="40" w:after="40"/>
              <w:jc w:val="right"/>
            </w:pPr>
            <w:r w:rsidRPr="0093758E">
              <w:t>2018-19</w:t>
            </w:r>
          </w:p>
        </w:tc>
        <w:tc>
          <w:tcPr>
            <w:tcW w:w="1267" w:type="dxa"/>
            <w:tcBorders>
              <w:top w:val="single" w:sz="4" w:space="0" w:color="000080"/>
              <w:bottom w:val="single" w:sz="4" w:space="0" w:color="000080"/>
            </w:tcBorders>
          </w:tcPr>
          <w:p w14:paraId="67DF459A" w14:textId="77777777" w:rsidR="007A5627" w:rsidRPr="0093758E" w:rsidRDefault="007A5627" w:rsidP="00AB71A5">
            <w:pPr>
              <w:keepNext/>
              <w:keepLines/>
              <w:spacing w:before="40" w:after="40"/>
              <w:jc w:val="right"/>
            </w:pPr>
            <w:r w:rsidRPr="0093758E">
              <w:t>2019-20</w:t>
            </w:r>
          </w:p>
        </w:tc>
        <w:tc>
          <w:tcPr>
            <w:tcW w:w="1267" w:type="dxa"/>
            <w:tcBorders>
              <w:top w:val="single" w:sz="4" w:space="0" w:color="000080"/>
              <w:bottom w:val="single" w:sz="4" w:space="0" w:color="000080"/>
            </w:tcBorders>
          </w:tcPr>
          <w:p w14:paraId="7B7E01C7" w14:textId="77777777" w:rsidR="007A5627" w:rsidRPr="0093758E" w:rsidRDefault="007A5627" w:rsidP="00AB71A5">
            <w:pPr>
              <w:keepNext/>
              <w:keepLines/>
              <w:spacing w:before="40" w:after="40"/>
              <w:jc w:val="right"/>
            </w:pPr>
            <w:r w:rsidRPr="0093758E">
              <w:t>Total</w:t>
            </w:r>
          </w:p>
        </w:tc>
      </w:tr>
      <w:tr w:rsidR="007A5627" w:rsidRPr="0093758E" w14:paraId="2CD91FD2" w14:textId="77777777" w:rsidTr="007A5627">
        <w:trPr>
          <w:cantSplit/>
        </w:trPr>
        <w:tc>
          <w:tcPr>
            <w:tcW w:w="4786" w:type="dxa"/>
          </w:tcPr>
          <w:p w14:paraId="10D38952" w14:textId="77777777" w:rsidR="007A5627" w:rsidRPr="0093758E" w:rsidRDefault="007A5627" w:rsidP="00AB71A5">
            <w:pPr>
              <w:keepNext/>
              <w:keepLines/>
              <w:spacing w:before="60" w:after="60"/>
              <w:rPr>
                <w:b/>
              </w:rPr>
            </w:pPr>
            <w:r w:rsidRPr="0093758E">
              <w:rPr>
                <w:b/>
              </w:rPr>
              <w:t>Estimated total budget</w:t>
            </w:r>
          </w:p>
        </w:tc>
        <w:tc>
          <w:tcPr>
            <w:tcW w:w="1267" w:type="dxa"/>
            <w:tcBorders>
              <w:top w:val="single" w:sz="4" w:space="0" w:color="000080"/>
            </w:tcBorders>
          </w:tcPr>
          <w:p w14:paraId="1E47C5A4" w14:textId="77777777" w:rsidR="007A5627" w:rsidRPr="0093758E" w:rsidRDefault="00DD2137" w:rsidP="00AB71A5">
            <w:pPr>
              <w:keepNext/>
              <w:keepLines/>
              <w:spacing w:before="40" w:after="40"/>
              <w:jc w:val="right"/>
              <w:rPr>
                <w:b/>
              </w:rPr>
            </w:pPr>
            <w:r>
              <w:rPr>
                <w:b/>
              </w:rPr>
              <w:t>2</w:t>
            </w:r>
            <w:r w:rsidR="007A5627" w:rsidRPr="0093758E">
              <w:rPr>
                <w:b/>
              </w:rPr>
              <w:t>.0</w:t>
            </w:r>
          </w:p>
        </w:tc>
        <w:tc>
          <w:tcPr>
            <w:tcW w:w="1267" w:type="dxa"/>
            <w:tcBorders>
              <w:top w:val="single" w:sz="4" w:space="0" w:color="000080"/>
            </w:tcBorders>
          </w:tcPr>
          <w:p w14:paraId="4275D68E" w14:textId="77777777" w:rsidR="007A5627" w:rsidRPr="0093758E" w:rsidRDefault="0064558D" w:rsidP="00AB71A5">
            <w:pPr>
              <w:keepNext/>
              <w:keepLines/>
              <w:spacing w:before="40" w:after="40"/>
              <w:jc w:val="right"/>
              <w:rPr>
                <w:b/>
              </w:rPr>
            </w:pPr>
            <w:r w:rsidRPr="0093758E">
              <w:rPr>
                <w:b/>
              </w:rPr>
              <w:t>10</w:t>
            </w:r>
            <w:r w:rsidR="007A5627" w:rsidRPr="0093758E">
              <w:rPr>
                <w:b/>
              </w:rPr>
              <w:t>.0</w:t>
            </w:r>
          </w:p>
        </w:tc>
        <w:tc>
          <w:tcPr>
            <w:tcW w:w="1267" w:type="dxa"/>
            <w:tcBorders>
              <w:top w:val="single" w:sz="4" w:space="0" w:color="000080"/>
            </w:tcBorders>
          </w:tcPr>
          <w:p w14:paraId="3DB4E558" w14:textId="77777777" w:rsidR="007A5627" w:rsidRPr="0093758E" w:rsidRDefault="00DD2137" w:rsidP="0021550C">
            <w:pPr>
              <w:keepNext/>
              <w:keepLines/>
              <w:spacing w:before="40" w:after="40"/>
              <w:jc w:val="right"/>
              <w:rPr>
                <w:b/>
              </w:rPr>
            </w:pPr>
            <w:r>
              <w:rPr>
                <w:b/>
              </w:rPr>
              <w:t>4</w:t>
            </w:r>
            <w:r w:rsidR="007A5627" w:rsidRPr="0093758E">
              <w:rPr>
                <w:b/>
              </w:rPr>
              <w:t>.0</w:t>
            </w:r>
          </w:p>
        </w:tc>
        <w:tc>
          <w:tcPr>
            <w:tcW w:w="1267" w:type="dxa"/>
            <w:tcBorders>
              <w:top w:val="single" w:sz="4" w:space="0" w:color="000080"/>
            </w:tcBorders>
          </w:tcPr>
          <w:p w14:paraId="5FCF400D" w14:textId="77777777" w:rsidR="007A5627" w:rsidRPr="0093758E" w:rsidRDefault="007A5627" w:rsidP="0021550C">
            <w:pPr>
              <w:keepNext/>
              <w:keepLines/>
              <w:spacing w:before="40" w:after="40"/>
              <w:jc w:val="right"/>
              <w:rPr>
                <w:b/>
              </w:rPr>
            </w:pPr>
            <w:r w:rsidRPr="0093758E">
              <w:rPr>
                <w:b/>
              </w:rPr>
              <w:t>16.0</w:t>
            </w:r>
          </w:p>
        </w:tc>
      </w:tr>
      <w:tr w:rsidR="007A5627" w:rsidRPr="0093758E" w14:paraId="3DDF2A01" w14:textId="77777777" w:rsidTr="007A5627">
        <w:trPr>
          <w:cantSplit/>
        </w:trPr>
        <w:tc>
          <w:tcPr>
            <w:tcW w:w="4786" w:type="dxa"/>
          </w:tcPr>
          <w:p w14:paraId="20A680C0" w14:textId="77777777" w:rsidR="007A5627" w:rsidRPr="0093758E" w:rsidRDefault="007A5627" w:rsidP="00AB71A5">
            <w:pPr>
              <w:keepNext/>
              <w:keepLines/>
              <w:spacing w:before="60" w:after="60"/>
            </w:pPr>
            <w:r w:rsidRPr="0093758E">
              <w:t>Less estimated National Partnership Payments</w:t>
            </w:r>
          </w:p>
        </w:tc>
        <w:tc>
          <w:tcPr>
            <w:tcW w:w="1267" w:type="dxa"/>
            <w:tcBorders>
              <w:bottom w:val="single" w:sz="4" w:space="0" w:color="000080"/>
            </w:tcBorders>
          </w:tcPr>
          <w:p w14:paraId="2EA607D7" w14:textId="77777777" w:rsidR="007A5627" w:rsidRPr="0093758E" w:rsidRDefault="009B6AD4" w:rsidP="00AB71A5">
            <w:pPr>
              <w:keepNext/>
              <w:keepLines/>
              <w:spacing w:before="40" w:after="40"/>
              <w:jc w:val="right"/>
            </w:pPr>
            <w:r w:rsidRPr="0093758E">
              <w:t>2.0</w:t>
            </w:r>
          </w:p>
        </w:tc>
        <w:tc>
          <w:tcPr>
            <w:tcW w:w="1267" w:type="dxa"/>
            <w:tcBorders>
              <w:bottom w:val="single" w:sz="4" w:space="0" w:color="000080"/>
            </w:tcBorders>
          </w:tcPr>
          <w:p w14:paraId="32877E86" w14:textId="77777777" w:rsidR="007A5627" w:rsidRPr="0093758E" w:rsidRDefault="009B6AD4" w:rsidP="007A5627">
            <w:pPr>
              <w:keepNext/>
              <w:keepLines/>
              <w:spacing w:before="40" w:after="40"/>
              <w:jc w:val="right"/>
            </w:pPr>
            <w:r w:rsidRPr="0093758E">
              <w:t>8.0</w:t>
            </w:r>
          </w:p>
        </w:tc>
        <w:tc>
          <w:tcPr>
            <w:tcW w:w="1267" w:type="dxa"/>
            <w:tcBorders>
              <w:bottom w:val="single" w:sz="4" w:space="0" w:color="000080"/>
            </w:tcBorders>
          </w:tcPr>
          <w:p w14:paraId="130DB618" w14:textId="77777777" w:rsidR="007A5627" w:rsidRPr="0093758E" w:rsidRDefault="007A5627" w:rsidP="00AB71A5">
            <w:pPr>
              <w:keepNext/>
              <w:keepLines/>
              <w:spacing w:before="40" w:after="40"/>
              <w:jc w:val="right"/>
            </w:pPr>
            <w:r w:rsidRPr="0093758E">
              <w:t>2.0</w:t>
            </w:r>
          </w:p>
        </w:tc>
        <w:tc>
          <w:tcPr>
            <w:tcW w:w="1267" w:type="dxa"/>
            <w:tcBorders>
              <w:bottom w:val="single" w:sz="4" w:space="0" w:color="000080"/>
            </w:tcBorders>
          </w:tcPr>
          <w:p w14:paraId="100F8147" w14:textId="77777777" w:rsidR="007A5627" w:rsidRPr="0093758E" w:rsidRDefault="007A5627" w:rsidP="00AB71A5">
            <w:pPr>
              <w:keepNext/>
              <w:keepLines/>
              <w:spacing w:before="40" w:after="40"/>
              <w:jc w:val="right"/>
            </w:pPr>
            <w:r w:rsidRPr="0093758E">
              <w:t>12.0</w:t>
            </w:r>
          </w:p>
        </w:tc>
      </w:tr>
      <w:tr w:rsidR="007A5627" w:rsidRPr="0053712B" w14:paraId="56D55DD2" w14:textId="77777777" w:rsidTr="007A5627">
        <w:trPr>
          <w:cantSplit/>
        </w:trPr>
        <w:tc>
          <w:tcPr>
            <w:tcW w:w="4786" w:type="dxa"/>
            <w:tcBorders>
              <w:bottom w:val="single" w:sz="4" w:space="0" w:color="000080"/>
            </w:tcBorders>
          </w:tcPr>
          <w:p w14:paraId="355B3E75" w14:textId="77777777" w:rsidR="007A5627" w:rsidRPr="0093758E" w:rsidRDefault="007A5627" w:rsidP="00AB71A5">
            <w:pPr>
              <w:keepNext/>
              <w:keepLines/>
              <w:spacing w:before="40" w:after="40"/>
            </w:pPr>
            <w:r w:rsidRPr="0093758E">
              <w:t>Balance of non-Commonwealth contributions</w:t>
            </w:r>
          </w:p>
        </w:tc>
        <w:tc>
          <w:tcPr>
            <w:tcW w:w="1267" w:type="dxa"/>
            <w:tcBorders>
              <w:bottom w:val="single" w:sz="4" w:space="0" w:color="000080"/>
            </w:tcBorders>
          </w:tcPr>
          <w:p w14:paraId="0877DD08" w14:textId="77777777" w:rsidR="007A5627" w:rsidRPr="00DD2137" w:rsidRDefault="00DD2137" w:rsidP="00AB71A5">
            <w:pPr>
              <w:keepNext/>
              <w:keepLines/>
              <w:spacing w:before="40" w:after="40"/>
              <w:jc w:val="right"/>
            </w:pPr>
            <w:r w:rsidRPr="00DD2137">
              <w:t>0.0</w:t>
            </w:r>
          </w:p>
        </w:tc>
        <w:tc>
          <w:tcPr>
            <w:tcW w:w="1267" w:type="dxa"/>
            <w:tcBorders>
              <w:bottom w:val="single" w:sz="4" w:space="0" w:color="000080"/>
            </w:tcBorders>
          </w:tcPr>
          <w:p w14:paraId="79673D2A" w14:textId="77777777" w:rsidR="007A5627" w:rsidRPr="00DD2137" w:rsidRDefault="00DD2137" w:rsidP="00AB71A5">
            <w:pPr>
              <w:keepNext/>
              <w:keepLines/>
              <w:spacing w:before="40" w:after="40"/>
              <w:jc w:val="right"/>
            </w:pPr>
            <w:r w:rsidRPr="00DD2137">
              <w:t>2.0</w:t>
            </w:r>
          </w:p>
        </w:tc>
        <w:tc>
          <w:tcPr>
            <w:tcW w:w="1267" w:type="dxa"/>
            <w:tcBorders>
              <w:bottom w:val="single" w:sz="4" w:space="0" w:color="000080"/>
            </w:tcBorders>
          </w:tcPr>
          <w:p w14:paraId="08A27C7B" w14:textId="77777777" w:rsidR="007A5627" w:rsidRPr="00DD2137" w:rsidRDefault="00DD2137" w:rsidP="00AB71A5">
            <w:pPr>
              <w:keepNext/>
              <w:keepLines/>
              <w:spacing w:before="40" w:after="40"/>
              <w:jc w:val="right"/>
            </w:pPr>
            <w:r w:rsidRPr="00DD2137">
              <w:t>2.</w:t>
            </w:r>
            <w:r w:rsidR="007A5627" w:rsidRPr="00DD2137">
              <w:t>0</w:t>
            </w:r>
          </w:p>
        </w:tc>
        <w:tc>
          <w:tcPr>
            <w:tcW w:w="1267" w:type="dxa"/>
            <w:tcBorders>
              <w:bottom w:val="single" w:sz="4" w:space="0" w:color="000080"/>
            </w:tcBorders>
          </w:tcPr>
          <w:p w14:paraId="5C8E36B3" w14:textId="77777777" w:rsidR="007A5627" w:rsidRPr="00DD2137" w:rsidRDefault="007A5627" w:rsidP="00AB71A5">
            <w:pPr>
              <w:keepNext/>
              <w:keepLines/>
              <w:spacing w:before="40" w:after="40"/>
              <w:jc w:val="right"/>
            </w:pPr>
            <w:r w:rsidRPr="00DD2137">
              <w:t>4.0</w:t>
            </w:r>
          </w:p>
        </w:tc>
      </w:tr>
    </w:tbl>
    <w:p w14:paraId="527D379A" w14:textId="305F9C73" w:rsidR="008E7527" w:rsidRPr="0053712B" w:rsidRDefault="008E7527" w:rsidP="0064558D">
      <w:pPr>
        <w:pStyle w:val="Normalnumbered"/>
        <w:numPr>
          <w:ilvl w:val="0"/>
          <w:numId w:val="9"/>
        </w:numPr>
        <w:spacing w:before="240"/>
      </w:pPr>
      <w:r w:rsidRPr="0053712B">
        <w:t xml:space="preserve">Having regard to the agreed estimated costs of projects specified in </w:t>
      </w:r>
      <w:r w:rsidR="006B43AF" w:rsidRPr="0053712B">
        <w:t>this</w:t>
      </w:r>
      <w:r w:rsidRPr="0053712B">
        <w:t xml:space="preserve"> Agreement, </w:t>
      </w:r>
      <w:r w:rsidR="000467E1" w:rsidRPr="0053712B">
        <w:t>New South Wales</w:t>
      </w:r>
      <w:r w:rsidRPr="0053712B">
        <w:t xml:space="preserve"> will not be required to pay a refund to the Commonwealth if the actual cost of the project is less than the agreed</w:t>
      </w:r>
      <w:r w:rsidR="00515AF2" w:rsidRPr="0053712B">
        <w:t xml:space="preserve"> estimated cost of the project.  </w:t>
      </w:r>
      <w:r w:rsidRPr="0053712B">
        <w:t xml:space="preserve">Similarly, </w:t>
      </w:r>
      <w:r w:rsidR="0063219E" w:rsidRPr="0053712B">
        <w:t>New South Wales</w:t>
      </w:r>
      <w:r w:rsidRPr="0053712B">
        <w:t xml:space="preserve"> bear all risk should the costs of a project exceed the agreed estimated costs</w:t>
      </w:r>
      <w:r w:rsidR="0021550C" w:rsidRPr="0053712B">
        <w:t xml:space="preserve">. </w:t>
      </w:r>
      <w:r w:rsidR="009842D5">
        <w:t xml:space="preserve"> </w:t>
      </w:r>
      <w:r w:rsidRPr="0053712B">
        <w:t xml:space="preserve">The Parties acknowledge that this arrangement provides the maximum incentive for </w:t>
      </w:r>
      <w:r w:rsidR="0063219E" w:rsidRPr="0053712B">
        <w:t>New South Wales</w:t>
      </w:r>
      <w:r w:rsidRPr="0053712B">
        <w:t xml:space="preserve"> to deliver</w:t>
      </w:r>
      <w:r w:rsidR="0063219E" w:rsidRPr="0053712B">
        <w:t xml:space="preserve"> the</w:t>
      </w:r>
      <w:r w:rsidRPr="0053712B">
        <w:t xml:space="preserve"> project cost effectively and efficiently.</w:t>
      </w:r>
    </w:p>
    <w:p w14:paraId="28CAE185" w14:textId="77777777" w:rsidR="00814667" w:rsidRDefault="003A2157" w:rsidP="009842D5">
      <w:pPr>
        <w:pStyle w:val="Heading1"/>
        <w:spacing w:before="360"/>
      </w:pPr>
      <w:bookmarkStart w:id="0" w:name="top"/>
      <w:bookmarkEnd w:id="0"/>
      <w:r>
        <w:t xml:space="preserve">Part </w:t>
      </w:r>
      <w:r w:rsidR="000B4080">
        <w:t>6</w:t>
      </w:r>
      <w:r w:rsidR="00814667">
        <w:t xml:space="preserve"> — governance arrangements</w:t>
      </w:r>
    </w:p>
    <w:p w14:paraId="0A3A653D" w14:textId="77777777" w:rsidR="00BC4728" w:rsidRDefault="00BC4728" w:rsidP="00BC4728">
      <w:pPr>
        <w:pStyle w:val="Heading2"/>
      </w:pPr>
      <w:r w:rsidRPr="006F096A">
        <w:t>Enforceability of the Agreement</w:t>
      </w:r>
    </w:p>
    <w:p w14:paraId="7D4A984B" w14:textId="77777777" w:rsidR="00BC4728" w:rsidRPr="00C40EBC" w:rsidRDefault="00BC4728" w:rsidP="005304C9">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31C16BDC" w14:textId="77777777" w:rsidR="00814667" w:rsidRDefault="00814667">
      <w:pPr>
        <w:pStyle w:val="Heading2"/>
      </w:pPr>
      <w:r>
        <w:t>Variation of the Agreement</w:t>
      </w:r>
    </w:p>
    <w:p w14:paraId="64539F13" w14:textId="77777777" w:rsidR="00814667" w:rsidRPr="00DE36EB" w:rsidRDefault="00607B03" w:rsidP="005304C9">
      <w:pPr>
        <w:pStyle w:val="Normalnumbered"/>
        <w:numPr>
          <w:ilvl w:val="0"/>
          <w:numId w:val="9"/>
        </w:numPr>
      </w:pPr>
      <w:r>
        <w:t>The A</w:t>
      </w:r>
      <w:r w:rsidR="00814667">
        <w:t xml:space="preserve">greement may be amended at any time by agreement in writing by </w:t>
      </w:r>
      <w:r w:rsidR="002B1C50" w:rsidRPr="00DE36EB">
        <w:t xml:space="preserve">both </w:t>
      </w:r>
      <w:r w:rsidR="00814667" w:rsidRPr="00DE36EB">
        <w:t>the Parties.</w:t>
      </w:r>
    </w:p>
    <w:p w14:paraId="770A9908" w14:textId="77777777" w:rsidR="00292587" w:rsidRDefault="00C2605C" w:rsidP="005304C9">
      <w:pPr>
        <w:pStyle w:val="Normalnumbered"/>
        <w:numPr>
          <w:ilvl w:val="0"/>
          <w:numId w:val="9"/>
        </w:numPr>
      </w:pPr>
      <w:r w:rsidRPr="00DE36EB">
        <w:t xml:space="preserve">Either </w:t>
      </w:r>
      <w:r w:rsidR="00814667" w:rsidRPr="00DE36EB">
        <w:t>Party to the Agreement may terminate their part</w:t>
      </w:r>
      <w:r w:rsidR="00814667">
        <w:t>icipation in the Agreement at any time by notifying the other Part</w:t>
      </w:r>
      <w:r>
        <w:t>y</w:t>
      </w:r>
      <w:r>
        <w:rPr>
          <w:i/>
        </w:rPr>
        <w:t xml:space="preserve"> </w:t>
      </w:r>
      <w:r w:rsidR="00814667">
        <w:t>in writing.</w:t>
      </w:r>
    </w:p>
    <w:p w14:paraId="6C9DAEC8" w14:textId="77777777" w:rsidR="009526E4" w:rsidRDefault="009526E4" w:rsidP="0036119D">
      <w:pPr>
        <w:pStyle w:val="Heading2"/>
      </w:pPr>
      <w:r>
        <w:t>Delegations</w:t>
      </w:r>
    </w:p>
    <w:p w14:paraId="784717A1" w14:textId="77777777" w:rsidR="009526E4" w:rsidRDefault="009526E4" w:rsidP="005304C9">
      <w:pPr>
        <w:pStyle w:val="Normalnumbered"/>
        <w:numPr>
          <w:ilvl w:val="0"/>
          <w:numId w:val="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5A6267C2" w14:textId="77777777" w:rsidR="0036119D" w:rsidRDefault="0036119D" w:rsidP="0036119D">
      <w:pPr>
        <w:pStyle w:val="Heading2"/>
      </w:pPr>
      <w:r>
        <w:lastRenderedPageBreak/>
        <w:t>Dispute resolution</w:t>
      </w:r>
    </w:p>
    <w:p w14:paraId="0C336974" w14:textId="77777777" w:rsidR="0036119D" w:rsidRPr="00DE36EB" w:rsidRDefault="00697494" w:rsidP="005304C9">
      <w:pPr>
        <w:pStyle w:val="Normalnumbered"/>
        <w:numPr>
          <w:ilvl w:val="0"/>
          <w:numId w:val="9"/>
        </w:numPr>
      </w:pPr>
      <w:r w:rsidRPr="00DE36EB">
        <w:t>E</w:t>
      </w:r>
      <w:r w:rsidR="002B1C50" w:rsidRPr="00DE36EB">
        <w:t xml:space="preserve">ither </w:t>
      </w:r>
      <w:r w:rsidR="0036119D" w:rsidRPr="00DE36EB">
        <w:t xml:space="preserve">Party may give notice to other </w:t>
      </w:r>
      <w:r w:rsidR="00684EC1" w:rsidRPr="00DE36EB">
        <w:t xml:space="preserve">Party </w:t>
      </w:r>
      <w:r w:rsidR="0036119D" w:rsidRPr="00DE36EB">
        <w:t>of a dispute under this Agreement.</w:t>
      </w:r>
    </w:p>
    <w:p w14:paraId="2B6130CD" w14:textId="77777777" w:rsidR="0036119D" w:rsidRPr="00DE36EB" w:rsidRDefault="0036119D" w:rsidP="005304C9">
      <w:pPr>
        <w:pStyle w:val="Normalnumbered"/>
        <w:numPr>
          <w:ilvl w:val="0"/>
          <w:numId w:val="9"/>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4A9A0203" w14:textId="77777777" w:rsidR="0036119D" w:rsidRDefault="0036119D" w:rsidP="005304C9">
      <w:pPr>
        <w:pStyle w:val="Normalnumbered"/>
        <w:numPr>
          <w:ilvl w:val="0"/>
          <w:numId w:val="9"/>
        </w:numPr>
      </w:pPr>
      <w:r w:rsidRPr="00DE36EB">
        <w:t>If a dispute cannot be resolved by officials, it may be escalated to the relevant Ministers.</w:t>
      </w:r>
    </w:p>
    <w:p w14:paraId="114C0941" w14:textId="77777777" w:rsidR="009B62FE" w:rsidRDefault="009B62FE">
      <w:pPr>
        <w:spacing w:after="0" w:line="240" w:lineRule="auto"/>
        <w:jc w:val="left"/>
      </w:pPr>
      <w:r>
        <w:br w:type="page"/>
      </w:r>
    </w:p>
    <w:p w14:paraId="2D0BC620" w14:textId="77777777" w:rsidR="009B62FE" w:rsidRPr="0063219E" w:rsidRDefault="009B62FE" w:rsidP="009B62FE">
      <w:pPr>
        <w:pStyle w:val="Normalnumbered"/>
        <w:numPr>
          <w:ilvl w:val="0"/>
          <w:numId w:val="0"/>
        </w:numPr>
        <w:ind w:left="360" w:hanging="360"/>
        <w:sectPr w:rsidR="009B62FE" w:rsidRPr="0063219E"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37BC865A" w14:textId="77777777" w:rsidR="00814667" w:rsidRPr="00A50751" w:rsidRDefault="009B62FE">
      <w:pPr>
        <w:rPr>
          <w:lang w:val="en-GB"/>
        </w:rPr>
      </w:pPr>
      <w:r>
        <w:rPr>
          <w:lang w:val="en-GB"/>
        </w:rPr>
        <w:lastRenderedPageBreak/>
        <w:t>T</w:t>
      </w:r>
      <w:r w:rsidR="00814667" w:rsidRPr="00A50751">
        <w:rPr>
          <w:lang w:val="en-GB"/>
        </w:rPr>
        <w:t xml:space="preserve">he </w:t>
      </w:r>
      <w:r w:rsidR="00814667" w:rsidRPr="00C57BB9">
        <w:rPr>
          <w:sz w:val="24"/>
          <w:szCs w:val="24"/>
        </w:rPr>
        <w:t>Parties</w:t>
      </w:r>
      <w:r w:rsidR="00814667"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1DEDD3A6" w14:textId="77777777">
        <w:trPr>
          <w:cantSplit/>
          <w:jc w:val="center"/>
        </w:trPr>
        <w:tc>
          <w:tcPr>
            <w:tcW w:w="4536" w:type="dxa"/>
          </w:tcPr>
          <w:p w14:paraId="567B0489"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4869CD71" w14:textId="77777777" w:rsidR="00814667" w:rsidRPr="00A50751" w:rsidRDefault="00814667">
            <w:pPr>
              <w:pStyle w:val="LineForSignature"/>
            </w:pPr>
            <w:r>
              <w:tab/>
            </w:r>
          </w:p>
          <w:p w14:paraId="1DFB4171" w14:textId="77777777" w:rsidR="00814667" w:rsidRDefault="0063219E">
            <w:pPr>
              <w:pStyle w:val="SingleParagraph"/>
              <w:rPr>
                <w:rStyle w:val="Bold"/>
              </w:rPr>
            </w:pPr>
            <w:r>
              <w:rPr>
                <w:rStyle w:val="Bold"/>
              </w:rPr>
              <w:t xml:space="preserve">Senator </w:t>
            </w:r>
            <w:r w:rsidR="00814667">
              <w:rPr>
                <w:rStyle w:val="Bold"/>
              </w:rPr>
              <w:t xml:space="preserve">The Honourable </w:t>
            </w:r>
            <w:r>
              <w:rPr>
                <w:rStyle w:val="Bold"/>
              </w:rPr>
              <w:t>Mitch Fifield</w:t>
            </w:r>
          </w:p>
          <w:p w14:paraId="4B0A5A47" w14:textId="77777777" w:rsidR="00814667" w:rsidRDefault="0099742A">
            <w:pPr>
              <w:pStyle w:val="Position"/>
              <w:rPr>
                <w:lang w:val="en-GB"/>
              </w:rPr>
            </w:pPr>
            <w:r>
              <w:rPr>
                <w:lang w:val="en-GB"/>
              </w:rPr>
              <w:t xml:space="preserve">Minister for </w:t>
            </w:r>
            <w:r w:rsidR="0063219E">
              <w:rPr>
                <w:lang w:val="en-GB"/>
              </w:rPr>
              <w:t>Communications and the Arts</w:t>
            </w:r>
            <w:r>
              <w:rPr>
                <w:lang w:val="en-GB"/>
              </w:rPr>
              <w:t xml:space="preserve"> </w:t>
            </w:r>
          </w:p>
          <w:p w14:paraId="6736218B" w14:textId="5C95F8AF" w:rsidR="00814667" w:rsidRDefault="005F0AB3" w:rsidP="005F0AB3">
            <w:pPr>
              <w:pStyle w:val="SingleParagraph"/>
              <w:tabs>
                <w:tab w:val="num" w:pos="1134"/>
              </w:tabs>
              <w:spacing w:after="240"/>
              <w:ind w:left="1134" w:hanging="567"/>
              <w:rPr>
                <w:b/>
                <w:lang w:val="en-GB"/>
              </w:rPr>
            </w:pPr>
            <w:r w:rsidRPr="005F0AB3">
              <w:rPr>
                <w:lang w:val="en-GB"/>
              </w:rPr>
              <w:t xml:space="preserve">             </w:t>
            </w:r>
            <w:r w:rsidR="006679C0" w:rsidRPr="005F0AB3">
              <w:rPr>
                <w:lang w:val="en-GB"/>
              </w:rPr>
              <w:t xml:space="preserve">  </w:t>
            </w:r>
            <w:r w:rsidRPr="005F0AB3">
              <w:rPr>
                <w:lang w:val="en-GB"/>
              </w:rPr>
              <w:t>April</w:t>
            </w:r>
            <w:r w:rsidR="001B1CA3" w:rsidRPr="005F0AB3">
              <w:rPr>
                <w:lang w:val="en-GB"/>
              </w:rPr>
              <w:t xml:space="preserve"> </w:t>
            </w:r>
            <w:r w:rsidRPr="005F0AB3">
              <w:rPr>
                <w:lang w:val="en-GB"/>
              </w:rPr>
              <w:t>2018</w:t>
            </w:r>
          </w:p>
        </w:tc>
        <w:tc>
          <w:tcPr>
            <w:tcW w:w="284" w:type="dxa"/>
            <w:tcMar>
              <w:left w:w="0" w:type="dxa"/>
              <w:right w:w="0" w:type="dxa"/>
            </w:tcMar>
          </w:tcPr>
          <w:p w14:paraId="22B1C3D7" w14:textId="77777777" w:rsidR="00814667" w:rsidRPr="00A50751" w:rsidRDefault="00814667">
            <w:pPr>
              <w:rPr>
                <w:rFonts w:ascii="Book Antiqua" w:hAnsi="Book Antiqua"/>
                <w:lang w:val="en-GB"/>
              </w:rPr>
            </w:pPr>
          </w:p>
        </w:tc>
        <w:tc>
          <w:tcPr>
            <w:tcW w:w="4536" w:type="dxa"/>
          </w:tcPr>
          <w:p w14:paraId="18B2C9A1" w14:textId="77777777" w:rsidR="00814667" w:rsidRPr="00A50751" w:rsidRDefault="00814667">
            <w:pPr>
              <w:rPr>
                <w:rFonts w:ascii="Book Antiqua" w:hAnsi="Book Antiqua"/>
                <w:lang w:val="en-GB"/>
              </w:rPr>
            </w:pPr>
          </w:p>
        </w:tc>
      </w:tr>
      <w:tr w:rsidR="00814667" w:rsidRPr="00A50751" w14:paraId="2D921627" w14:textId="77777777">
        <w:trPr>
          <w:cantSplit/>
          <w:jc w:val="center"/>
        </w:trPr>
        <w:tc>
          <w:tcPr>
            <w:tcW w:w="4536" w:type="dxa"/>
          </w:tcPr>
          <w:p w14:paraId="47DD3696"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C83E393" w14:textId="77777777" w:rsidR="00814667" w:rsidRPr="00A50751" w:rsidRDefault="00814667">
            <w:pPr>
              <w:pStyle w:val="SingleParagraph"/>
              <w:rPr>
                <w:rFonts w:ascii="Book Antiqua" w:hAnsi="Book Antiqua"/>
                <w:lang w:val="en-GB"/>
              </w:rPr>
            </w:pPr>
          </w:p>
        </w:tc>
        <w:tc>
          <w:tcPr>
            <w:tcW w:w="4536" w:type="dxa"/>
          </w:tcPr>
          <w:p w14:paraId="3ABE3207" w14:textId="77777777" w:rsidR="00814667" w:rsidRPr="00A50751" w:rsidRDefault="00814667">
            <w:pPr>
              <w:pStyle w:val="SingleParagraph"/>
              <w:rPr>
                <w:rFonts w:ascii="Book Antiqua" w:hAnsi="Book Antiqua"/>
                <w:lang w:val="en-GB"/>
              </w:rPr>
            </w:pPr>
          </w:p>
        </w:tc>
      </w:tr>
      <w:tr w:rsidR="00814667" w:rsidRPr="00A50751" w14:paraId="38BCE091" w14:textId="77777777">
        <w:trPr>
          <w:cantSplit/>
          <w:jc w:val="center"/>
        </w:trPr>
        <w:tc>
          <w:tcPr>
            <w:tcW w:w="4536" w:type="dxa"/>
          </w:tcPr>
          <w:p w14:paraId="5868A750" w14:textId="77777777"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41E79D67" w14:textId="77777777" w:rsidR="00814667" w:rsidRPr="00A50751" w:rsidRDefault="00814667">
            <w:pPr>
              <w:pStyle w:val="LineForSignature"/>
            </w:pPr>
            <w:r w:rsidRPr="00A50751">
              <w:tab/>
            </w:r>
          </w:p>
          <w:p w14:paraId="6D8E3D20" w14:textId="77777777" w:rsidR="00814667" w:rsidRDefault="00814667">
            <w:pPr>
              <w:pStyle w:val="SingleParagraph"/>
              <w:rPr>
                <w:rStyle w:val="Bold"/>
              </w:rPr>
            </w:pPr>
            <w:r>
              <w:rPr>
                <w:rStyle w:val="Bold"/>
              </w:rPr>
              <w:t xml:space="preserve">The Honourable </w:t>
            </w:r>
            <w:r w:rsidR="0063219E">
              <w:rPr>
                <w:rStyle w:val="Bold"/>
              </w:rPr>
              <w:t>Andrew Constance</w:t>
            </w:r>
            <w:r w:rsidR="0099742A">
              <w:rPr>
                <w:rStyle w:val="Bold"/>
              </w:rPr>
              <w:t xml:space="preserve"> </w:t>
            </w:r>
            <w:r>
              <w:rPr>
                <w:rStyle w:val="Bold"/>
              </w:rPr>
              <w:t>MP</w:t>
            </w:r>
          </w:p>
          <w:p w14:paraId="04CBE41F" w14:textId="77777777" w:rsidR="00542A8C" w:rsidRDefault="0063219E" w:rsidP="00542A8C">
            <w:pPr>
              <w:pStyle w:val="Position"/>
              <w:rPr>
                <w:lang w:val="en-GB"/>
              </w:rPr>
            </w:pPr>
            <w:r>
              <w:rPr>
                <w:lang w:val="en-GB"/>
              </w:rPr>
              <w:t>Minister for Transport and Infrastructure</w:t>
            </w:r>
            <w:r w:rsidR="00542A8C">
              <w:rPr>
                <w:lang w:val="en-GB"/>
              </w:rPr>
              <w:t xml:space="preserve"> </w:t>
            </w:r>
          </w:p>
          <w:p w14:paraId="1CFB3788" w14:textId="2D573508" w:rsidR="00814667" w:rsidRPr="00A50751" w:rsidRDefault="005F0AB3">
            <w:pPr>
              <w:pStyle w:val="SingleParagraph"/>
              <w:tabs>
                <w:tab w:val="num" w:pos="1134"/>
              </w:tabs>
              <w:spacing w:after="240"/>
              <w:ind w:left="1134" w:hanging="567"/>
              <w:rPr>
                <w:szCs w:val="22"/>
                <w:lang w:val="en-GB"/>
              </w:rPr>
            </w:pPr>
            <w:r w:rsidRPr="005F0AB3">
              <w:rPr>
                <w:lang w:val="en-GB"/>
              </w:rPr>
              <w:t xml:space="preserve">               April 2018</w:t>
            </w:r>
          </w:p>
        </w:tc>
        <w:tc>
          <w:tcPr>
            <w:tcW w:w="284" w:type="dxa"/>
            <w:tcMar>
              <w:left w:w="0" w:type="dxa"/>
              <w:right w:w="0" w:type="dxa"/>
            </w:tcMar>
          </w:tcPr>
          <w:p w14:paraId="6C8E0DB5" w14:textId="77777777" w:rsidR="00814667" w:rsidRPr="00A50751" w:rsidRDefault="00814667">
            <w:pPr>
              <w:rPr>
                <w:rFonts w:ascii="Book Antiqua" w:hAnsi="Book Antiqua"/>
                <w:lang w:val="en-GB"/>
              </w:rPr>
            </w:pPr>
          </w:p>
        </w:tc>
        <w:tc>
          <w:tcPr>
            <w:tcW w:w="4536" w:type="dxa"/>
          </w:tcPr>
          <w:p w14:paraId="20B0C687" w14:textId="77777777" w:rsidR="00814667" w:rsidRPr="00A50751" w:rsidRDefault="00814667">
            <w:pPr>
              <w:pStyle w:val="SingleParagraph"/>
              <w:tabs>
                <w:tab w:val="num" w:pos="1134"/>
              </w:tabs>
              <w:spacing w:after="240"/>
              <w:ind w:left="1134" w:hanging="567"/>
              <w:rPr>
                <w:lang w:val="en-GB"/>
              </w:rPr>
            </w:pPr>
          </w:p>
        </w:tc>
      </w:tr>
      <w:tr w:rsidR="00814667" w:rsidRPr="00A50751" w14:paraId="204B4835" w14:textId="77777777">
        <w:trPr>
          <w:cantSplit/>
          <w:jc w:val="center"/>
        </w:trPr>
        <w:tc>
          <w:tcPr>
            <w:tcW w:w="4536" w:type="dxa"/>
          </w:tcPr>
          <w:p w14:paraId="40FFE501"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4013865" w14:textId="77777777" w:rsidR="00814667" w:rsidRPr="00A50751" w:rsidRDefault="00814667">
            <w:pPr>
              <w:pStyle w:val="SingleParagraph"/>
              <w:rPr>
                <w:rFonts w:ascii="Book Antiqua" w:hAnsi="Book Antiqua"/>
                <w:lang w:val="en-GB"/>
              </w:rPr>
            </w:pPr>
          </w:p>
        </w:tc>
        <w:tc>
          <w:tcPr>
            <w:tcW w:w="4536" w:type="dxa"/>
          </w:tcPr>
          <w:p w14:paraId="2DDD5D26" w14:textId="77777777" w:rsidR="00814667" w:rsidRPr="00A50751" w:rsidRDefault="00814667">
            <w:pPr>
              <w:pStyle w:val="SingleParagraph"/>
              <w:rPr>
                <w:rFonts w:ascii="Book Antiqua" w:hAnsi="Book Antiqua"/>
                <w:lang w:val="en-GB"/>
              </w:rPr>
            </w:pPr>
            <w:bookmarkStart w:id="1" w:name="_GoBack"/>
            <w:bookmarkEnd w:id="1"/>
          </w:p>
        </w:tc>
      </w:tr>
      <w:tr w:rsidR="00814667" w:rsidRPr="00A50751" w14:paraId="5FB73C27" w14:textId="77777777">
        <w:trPr>
          <w:cantSplit/>
          <w:jc w:val="center"/>
        </w:trPr>
        <w:tc>
          <w:tcPr>
            <w:tcW w:w="4536" w:type="dxa"/>
          </w:tcPr>
          <w:p w14:paraId="031DE516" w14:textId="7777777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2CEA2993" w14:textId="77777777" w:rsidR="00814667" w:rsidRPr="00A50751" w:rsidRDefault="00814667">
            <w:pPr>
              <w:rPr>
                <w:rFonts w:ascii="Book Antiqua" w:hAnsi="Book Antiqua"/>
                <w:lang w:val="en-GB"/>
              </w:rPr>
            </w:pPr>
          </w:p>
        </w:tc>
        <w:tc>
          <w:tcPr>
            <w:tcW w:w="4536" w:type="dxa"/>
          </w:tcPr>
          <w:p w14:paraId="2E49C92B" w14:textId="77777777" w:rsidR="00814667" w:rsidRPr="00A50751" w:rsidRDefault="00814667">
            <w:pPr>
              <w:pStyle w:val="SingleParagraph"/>
              <w:tabs>
                <w:tab w:val="num" w:pos="1134"/>
              </w:tabs>
              <w:spacing w:after="240"/>
              <w:ind w:left="1134" w:hanging="567"/>
              <w:rPr>
                <w:lang w:val="en-GB"/>
              </w:rPr>
            </w:pPr>
          </w:p>
        </w:tc>
      </w:tr>
      <w:tr w:rsidR="00814667" w:rsidRPr="00A50751" w14:paraId="5BD87C1C" w14:textId="77777777">
        <w:trPr>
          <w:cantSplit/>
          <w:jc w:val="center"/>
        </w:trPr>
        <w:tc>
          <w:tcPr>
            <w:tcW w:w="4536" w:type="dxa"/>
          </w:tcPr>
          <w:p w14:paraId="138B9397"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6CA9BF26" w14:textId="77777777" w:rsidR="00814667" w:rsidRPr="00A50751" w:rsidRDefault="00814667">
            <w:pPr>
              <w:pStyle w:val="SingleParagraph"/>
              <w:rPr>
                <w:rFonts w:ascii="Book Antiqua" w:hAnsi="Book Antiqua"/>
                <w:lang w:val="en-GB"/>
              </w:rPr>
            </w:pPr>
          </w:p>
        </w:tc>
        <w:tc>
          <w:tcPr>
            <w:tcW w:w="4536" w:type="dxa"/>
          </w:tcPr>
          <w:p w14:paraId="471716F4" w14:textId="77777777" w:rsidR="00814667" w:rsidRPr="00A50751" w:rsidRDefault="00814667">
            <w:pPr>
              <w:pStyle w:val="SingleParagraph"/>
              <w:rPr>
                <w:rFonts w:ascii="Book Antiqua" w:hAnsi="Book Antiqua"/>
                <w:lang w:val="en-GB"/>
              </w:rPr>
            </w:pPr>
          </w:p>
        </w:tc>
      </w:tr>
      <w:tr w:rsidR="00814667" w:rsidRPr="00A50751" w14:paraId="4B8782CB" w14:textId="77777777">
        <w:trPr>
          <w:cantSplit/>
          <w:trHeight w:val="143"/>
          <w:jc w:val="center"/>
        </w:trPr>
        <w:tc>
          <w:tcPr>
            <w:tcW w:w="4536" w:type="dxa"/>
          </w:tcPr>
          <w:p w14:paraId="1B1E267A" w14:textId="7777777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6EB6C3CD" w14:textId="77777777" w:rsidR="00814667" w:rsidRPr="00A50751" w:rsidRDefault="00814667">
            <w:pPr>
              <w:rPr>
                <w:rFonts w:ascii="Book Antiqua" w:hAnsi="Book Antiqua"/>
                <w:lang w:val="en-GB"/>
              </w:rPr>
            </w:pPr>
          </w:p>
        </w:tc>
        <w:tc>
          <w:tcPr>
            <w:tcW w:w="4536" w:type="dxa"/>
          </w:tcPr>
          <w:p w14:paraId="74827320" w14:textId="77777777" w:rsidR="00814667" w:rsidRPr="00A50751" w:rsidRDefault="00814667">
            <w:pPr>
              <w:pStyle w:val="SingleParagraph"/>
              <w:tabs>
                <w:tab w:val="num" w:pos="1134"/>
              </w:tabs>
              <w:spacing w:after="240"/>
              <w:ind w:left="1134" w:hanging="567"/>
              <w:rPr>
                <w:lang w:val="en-GB"/>
              </w:rPr>
            </w:pPr>
          </w:p>
        </w:tc>
      </w:tr>
      <w:tr w:rsidR="00814667" w:rsidRPr="00A50751" w14:paraId="736EC103" w14:textId="77777777">
        <w:trPr>
          <w:cantSplit/>
          <w:jc w:val="center"/>
        </w:trPr>
        <w:tc>
          <w:tcPr>
            <w:tcW w:w="4536" w:type="dxa"/>
          </w:tcPr>
          <w:p w14:paraId="28B17C71"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BFFB499" w14:textId="77777777" w:rsidR="00814667" w:rsidRPr="00A50751" w:rsidRDefault="00814667">
            <w:pPr>
              <w:pStyle w:val="SingleParagraph"/>
              <w:rPr>
                <w:rFonts w:ascii="Book Antiqua" w:hAnsi="Book Antiqua"/>
                <w:lang w:val="en-GB"/>
              </w:rPr>
            </w:pPr>
          </w:p>
        </w:tc>
        <w:tc>
          <w:tcPr>
            <w:tcW w:w="4536" w:type="dxa"/>
          </w:tcPr>
          <w:p w14:paraId="5BC0183D" w14:textId="77777777" w:rsidR="00814667" w:rsidRPr="00A50751" w:rsidRDefault="00814667">
            <w:pPr>
              <w:pStyle w:val="SingleParagraph"/>
              <w:rPr>
                <w:rFonts w:ascii="Book Antiqua" w:hAnsi="Book Antiqua"/>
                <w:lang w:val="en-GB"/>
              </w:rPr>
            </w:pPr>
          </w:p>
        </w:tc>
      </w:tr>
      <w:tr w:rsidR="00814667" w:rsidRPr="00A50751" w14:paraId="6595D9B3" w14:textId="77777777">
        <w:trPr>
          <w:cantSplit/>
          <w:jc w:val="center"/>
        </w:trPr>
        <w:tc>
          <w:tcPr>
            <w:tcW w:w="4536" w:type="dxa"/>
          </w:tcPr>
          <w:p w14:paraId="7AEF7CA8"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508E40E0" w14:textId="77777777" w:rsidR="00814667" w:rsidRPr="00A50751" w:rsidRDefault="00814667">
            <w:pPr>
              <w:rPr>
                <w:rFonts w:ascii="Book Antiqua" w:hAnsi="Book Antiqua"/>
                <w:lang w:val="en-GB"/>
              </w:rPr>
            </w:pPr>
          </w:p>
        </w:tc>
        <w:tc>
          <w:tcPr>
            <w:tcW w:w="4536" w:type="dxa"/>
          </w:tcPr>
          <w:p w14:paraId="7C5BB759" w14:textId="77777777" w:rsidR="00814667" w:rsidRPr="00A50751" w:rsidRDefault="00814667">
            <w:pPr>
              <w:pStyle w:val="SingleParagraph"/>
              <w:tabs>
                <w:tab w:val="num" w:pos="1134"/>
              </w:tabs>
              <w:spacing w:after="240"/>
              <w:ind w:left="1134" w:hanging="567"/>
              <w:rPr>
                <w:lang w:val="en-GB"/>
              </w:rPr>
            </w:pPr>
          </w:p>
        </w:tc>
      </w:tr>
    </w:tbl>
    <w:p w14:paraId="40CD9858" w14:textId="77777777" w:rsidR="008843EE" w:rsidRDefault="008843EE" w:rsidP="0020144E"/>
    <w:sectPr w:rsidR="008843EE" w:rsidSect="009B62FE">
      <w:headerReference w:type="first" r:id="rId19"/>
      <w:footerReference w:type="first" r:id="rId20"/>
      <w:type w:val="oddPage"/>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F8B05" w14:textId="77777777" w:rsidR="00B20F34" w:rsidRDefault="00B20F34">
      <w:r>
        <w:separator/>
      </w:r>
    </w:p>
  </w:endnote>
  <w:endnote w:type="continuationSeparator" w:id="0">
    <w:p w14:paraId="5D9FE236" w14:textId="77777777" w:rsidR="00B20F34" w:rsidRDefault="00B2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D7CB"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26D1">
      <w:rPr>
        <w:rStyle w:val="PageNumber"/>
        <w:noProof/>
      </w:rPr>
      <w:t>7</w:t>
    </w:r>
    <w:r>
      <w:rPr>
        <w:rStyle w:val="PageNumber"/>
      </w:rPr>
      <w:fldChar w:fldCharType="end"/>
    </w:r>
  </w:p>
  <w:p w14:paraId="056E623D" w14:textId="77777777" w:rsidR="00AB76C6" w:rsidRDefault="00AB76C6">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43A3F" w14:textId="77777777"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5F0AB3">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E525" w14:textId="77777777"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0AB3">
      <w:rPr>
        <w:rStyle w:val="PageNumber"/>
        <w:noProof/>
      </w:rPr>
      <w:t>1</w:t>
    </w:r>
    <w:r>
      <w:rPr>
        <w:rStyle w:val="PageNumber"/>
      </w:rPr>
      <w:fldChar w:fldCharType="end"/>
    </w:r>
  </w:p>
  <w:p w14:paraId="567DB1B4" w14:textId="77777777"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5F0AB3">
      <w:rPr>
        <w:noProof/>
      </w:rPr>
      <w:t>4/04/2018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74CA" w14:textId="77777777"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F0AB3">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1CEA" w14:textId="77777777" w:rsidR="00B20F34" w:rsidRDefault="00B20F34">
      <w:r>
        <w:separator/>
      </w:r>
    </w:p>
  </w:footnote>
  <w:footnote w:type="continuationSeparator" w:id="0">
    <w:p w14:paraId="6498B3F8" w14:textId="77777777" w:rsidR="00B20F34" w:rsidRDefault="00B20F34">
      <w:r>
        <w:continuationSeparator/>
      </w:r>
    </w:p>
  </w:footnote>
  <w:footnote w:id="1">
    <w:p w14:paraId="4F01A886" w14:textId="77777777" w:rsidR="00A0603A" w:rsidRDefault="00A0603A" w:rsidP="00A0603A">
      <w:pPr>
        <w:pStyle w:val="FootnoteText"/>
      </w:pPr>
      <w:r>
        <w:rPr>
          <w:rStyle w:val="FootnoteReference"/>
        </w:rPr>
        <w:footnoteRef/>
      </w:r>
      <w:r>
        <w:t xml:space="preserve"> The exact number of </w:t>
      </w:r>
      <w:r w:rsidR="00224F12">
        <w:t>Wi-Fi</w:t>
      </w:r>
      <w:r>
        <w:t xml:space="preserve"> access points on each train station will </w:t>
      </w:r>
      <w:r w:rsidR="00146DB6">
        <w:t xml:space="preserve">be agreed by the Commonwealth and New South Wales in accordance with clause 11 of this Agreement, </w:t>
      </w:r>
      <w:r>
        <w:t>depend</w:t>
      </w:r>
      <w:r w:rsidR="00146DB6">
        <w:t>ing</w:t>
      </w:r>
      <w:r>
        <w:t xml:space="preserve"> on the layout and size of each location and the state </w:t>
      </w:r>
      <w:r w:rsidR="00224F12">
        <w:t>Wi-Fi</w:t>
      </w:r>
      <w:r>
        <w:t xml:space="preserve"> strategy being developed by New South Wales.</w:t>
      </w:r>
    </w:p>
  </w:footnote>
  <w:footnote w:id="2">
    <w:p w14:paraId="0DAB01D6" w14:textId="77777777" w:rsidR="00777BB8" w:rsidRDefault="00777BB8" w:rsidP="00777BB8">
      <w:pPr>
        <w:pStyle w:val="FootnoteText"/>
      </w:pPr>
      <w:r>
        <w:rPr>
          <w:rStyle w:val="FootnoteReference"/>
        </w:rPr>
        <w:footnoteRef/>
      </w:r>
      <w:r>
        <w:t xml:space="preserve"> The exact number of base stations, site upgrades</w:t>
      </w:r>
      <w:r w:rsidRPr="00A0603A">
        <w:t xml:space="preserve"> </w:t>
      </w:r>
      <w:r>
        <w:t>and tunnel solutions will not be known until construction commences due to the variable nature of coverage patterns that can be achieved in hilly terrain, at which point they will be agreed by the Commonwealth and New South Wales in accordance with clause 11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ACEC"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1DBD3" w14:textId="77777777" w:rsidR="00AB76C6" w:rsidRPr="00814590" w:rsidRDefault="00AB76C6">
    <w:pPr>
      <w:pStyle w:val="HeaderOdd"/>
      <w:tabs>
        <w:tab w:val="num" w:pos="1134"/>
      </w:tabs>
      <w:rPr>
        <w:color w:val="800000"/>
      </w:rPr>
    </w:pPr>
    <w:r>
      <w:rPr>
        <w:color w:val="800000"/>
      </w:rPr>
      <w:t xml:space="preserve">Project Agreement for </w:t>
    </w:r>
    <w:r w:rsidR="00224F12">
      <w:rPr>
        <w:color w:val="800000"/>
      </w:rPr>
      <w:t>Wi-Fi</w:t>
    </w:r>
    <w:r w:rsidR="00FD3C3F">
      <w:rPr>
        <w:color w:val="800000"/>
      </w:rPr>
      <w:t xml:space="preserve"> and Mobile Coverage on Trains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F743" w14:textId="77777777" w:rsidR="004958CB" w:rsidRPr="00814590" w:rsidRDefault="004958CB" w:rsidP="004958CB">
    <w:pPr>
      <w:pStyle w:val="HeaderOdd"/>
      <w:tabs>
        <w:tab w:val="num" w:pos="1134"/>
      </w:tabs>
      <w:rPr>
        <w:color w:val="800000"/>
      </w:rPr>
    </w:pPr>
    <w:r>
      <w:rPr>
        <w:color w:val="800000"/>
      </w:rPr>
      <w:t>Project Agreement for Wi-Fi and Mobile Coverage on Trains</w:t>
    </w:r>
  </w:p>
  <w:p w14:paraId="06C27F1D" w14:textId="77777777" w:rsidR="00AB76C6" w:rsidRPr="00751725" w:rsidRDefault="00AB76C6"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2192A04"/>
    <w:multiLevelType w:val="hybridMultilevel"/>
    <w:tmpl w:val="201A037C"/>
    <w:lvl w:ilvl="0" w:tplc="3B9AE3B4">
      <w:start w:val="3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F885218"/>
    <w:multiLevelType w:val="hybridMultilevel"/>
    <w:tmpl w:val="A11AF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2C660276"/>
    <w:multiLevelType w:val="hybridMultilevel"/>
    <w:tmpl w:val="360A7F6E"/>
    <w:lvl w:ilvl="0" w:tplc="D5BC44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EC33B1"/>
    <w:multiLevelType w:val="multilevel"/>
    <w:tmpl w:val="1BE6AC66"/>
    <w:lvl w:ilvl="0">
      <w:start w:val="1"/>
      <w:numFmt w:val="lowerLetter"/>
      <w:lvlRestart w:val="0"/>
      <w:lvlText w:val="(%1)"/>
      <w:lvlJc w:val="left"/>
      <w:pPr>
        <w:tabs>
          <w:tab w:val="num" w:pos="1277"/>
        </w:tabs>
        <w:ind w:left="710" w:firstLine="0"/>
      </w:pPr>
      <w:rPr>
        <w:rFonts w:cs="Times New Roman" w:hint="default"/>
        <w:b w:val="0"/>
        <w:i w:val="0"/>
        <w:color w:val="000000"/>
      </w:rPr>
    </w:lvl>
    <w:lvl w:ilvl="1">
      <w:start w:val="1"/>
      <w:numFmt w:val="decimal"/>
      <w:lvlText w:val="%2"/>
      <w:lvlJc w:val="left"/>
      <w:pPr>
        <w:tabs>
          <w:tab w:val="num" w:pos="1277"/>
        </w:tabs>
        <w:ind w:left="1277" w:hanging="567"/>
      </w:pPr>
      <w:rPr>
        <w:rFonts w:cs="Times New Roman" w:hint="default"/>
        <w:b w:val="0"/>
        <w:i w:val="0"/>
        <w:color w:val="000000"/>
      </w:rPr>
    </w:lvl>
    <w:lvl w:ilvl="2">
      <w:start w:val="1"/>
      <w:numFmt w:val="decimal"/>
      <w:lvlText w:val="%3"/>
      <w:lvlJc w:val="left"/>
      <w:pPr>
        <w:tabs>
          <w:tab w:val="num" w:pos="1844"/>
        </w:tabs>
        <w:ind w:left="1844" w:hanging="567"/>
      </w:pPr>
      <w:rPr>
        <w:rFonts w:cs="Times New Roman" w:hint="default"/>
        <w:b w:val="0"/>
        <w:i w:val="0"/>
        <w:color w:val="000000"/>
      </w:rPr>
    </w:lvl>
    <w:lvl w:ilvl="3">
      <w:start w:val="1"/>
      <w:numFmt w:val="decimal"/>
      <w:lvlText w:val="%4"/>
      <w:lvlJc w:val="left"/>
      <w:pPr>
        <w:tabs>
          <w:tab w:val="num" w:pos="2411"/>
        </w:tabs>
        <w:ind w:left="2411" w:hanging="567"/>
      </w:pPr>
      <w:rPr>
        <w:rFonts w:cs="Times New Roman" w:hint="default"/>
        <w:b w:val="0"/>
        <w:i w:val="0"/>
        <w:color w:val="000000"/>
      </w:rPr>
    </w:lvl>
    <w:lvl w:ilvl="4">
      <w:start w:val="1"/>
      <w:numFmt w:val="decimal"/>
      <w:lvlText w:val="%5"/>
      <w:lvlJc w:val="left"/>
      <w:pPr>
        <w:tabs>
          <w:tab w:val="num" w:pos="2978"/>
        </w:tabs>
        <w:ind w:left="2978" w:hanging="567"/>
      </w:pPr>
      <w:rPr>
        <w:rFonts w:cs="Times New Roman" w:hint="default"/>
        <w:b w:val="0"/>
        <w:i w:val="0"/>
        <w:color w:val="000000"/>
      </w:rPr>
    </w:lvl>
    <w:lvl w:ilvl="5">
      <w:start w:val="1"/>
      <w:numFmt w:val="decimal"/>
      <w:lvlText w:val="%6"/>
      <w:lvlJc w:val="left"/>
      <w:pPr>
        <w:tabs>
          <w:tab w:val="num" w:pos="3545"/>
        </w:tabs>
        <w:ind w:left="3545" w:hanging="567"/>
      </w:pPr>
      <w:rPr>
        <w:rFonts w:cs="Times New Roman" w:hint="default"/>
        <w:b w:val="0"/>
        <w:i w:val="0"/>
        <w:color w:val="000000"/>
      </w:rPr>
    </w:lvl>
    <w:lvl w:ilvl="6">
      <w:start w:val="1"/>
      <w:numFmt w:val="decimal"/>
      <w:lvlText w:val="%7"/>
      <w:lvlJc w:val="left"/>
      <w:pPr>
        <w:tabs>
          <w:tab w:val="num" w:pos="4112"/>
        </w:tabs>
        <w:ind w:left="4112" w:hanging="567"/>
      </w:pPr>
      <w:rPr>
        <w:rFonts w:cs="Times New Roman" w:hint="default"/>
        <w:b w:val="0"/>
        <w:i w:val="0"/>
        <w:color w:val="000000"/>
      </w:rPr>
    </w:lvl>
    <w:lvl w:ilvl="7">
      <w:start w:val="1"/>
      <w:numFmt w:val="decimal"/>
      <w:lvlText w:val="%8"/>
      <w:lvlJc w:val="left"/>
      <w:pPr>
        <w:tabs>
          <w:tab w:val="num" w:pos="4679"/>
        </w:tabs>
        <w:ind w:left="4679" w:hanging="567"/>
      </w:pPr>
      <w:rPr>
        <w:rFonts w:cs="Times New Roman" w:hint="default"/>
        <w:b w:val="0"/>
        <w:i w:val="0"/>
        <w:color w:val="000000"/>
      </w:rPr>
    </w:lvl>
    <w:lvl w:ilvl="8">
      <w:start w:val="1"/>
      <w:numFmt w:val="decimal"/>
      <w:lvlText w:val="%9"/>
      <w:lvlJc w:val="left"/>
      <w:pPr>
        <w:tabs>
          <w:tab w:val="num" w:pos="5246"/>
        </w:tabs>
        <w:ind w:left="5246" w:hanging="567"/>
      </w:pPr>
      <w:rPr>
        <w:rFonts w:cs="Times New Roman" w:hint="default"/>
        <w:b w:val="0"/>
        <w:i w:val="0"/>
        <w:color w:val="000000"/>
      </w:rPr>
    </w:lvl>
  </w:abstractNum>
  <w:abstractNum w:abstractNumId="12" w15:restartNumberingAfterBreak="0">
    <w:nsid w:val="39E702C8"/>
    <w:multiLevelType w:val="hybridMultilevel"/>
    <w:tmpl w:val="D3A2A9D2"/>
    <w:lvl w:ilvl="0" w:tplc="C1D4603C">
      <w:start w:val="6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59B70749"/>
    <w:multiLevelType w:val="multilevel"/>
    <w:tmpl w:val="73ECACC0"/>
    <w:lvl w:ilvl="0">
      <w:start w:val="1"/>
      <w:numFmt w:val="lowerLetter"/>
      <w:lvlRestart w:val="0"/>
      <w:lvlText w:val="(%1)"/>
      <w:lvlJc w:val="left"/>
      <w:pPr>
        <w:tabs>
          <w:tab w:val="num" w:pos="1277"/>
        </w:tabs>
        <w:ind w:left="710"/>
      </w:pPr>
      <w:rPr>
        <w:rFonts w:cs="Times New Roman" w:hint="default"/>
        <w:b w:val="0"/>
        <w:i w:val="0"/>
        <w:color w:val="000000"/>
      </w:rPr>
    </w:lvl>
    <w:lvl w:ilvl="1">
      <w:start w:val="1"/>
      <w:numFmt w:val="decimal"/>
      <w:lvlText w:val="%2"/>
      <w:lvlJc w:val="left"/>
      <w:pPr>
        <w:tabs>
          <w:tab w:val="num" w:pos="1277"/>
        </w:tabs>
        <w:ind w:left="1277" w:hanging="567"/>
      </w:pPr>
      <w:rPr>
        <w:rFonts w:cs="Times New Roman" w:hint="default"/>
        <w:b w:val="0"/>
        <w:i w:val="0"/>
        <w:color w:val="000000"/>
      </w:rPr>
    </w:lvl>
    <w:lvl w:ilvl="2">
      <w:start w:val="1"/>
      <w:numFmt w:val="decimal"/>
      <w:lvlText w:val="%3"/>
      <w:lvlJc w:val="left"/>
      <w:pPr>
        <w:tabs>
          <w:tab w:val="num" w:pos="1844"/>
        </w:tabs>
        <w:ind w:left="1844" w:hanging="567"/>
      </w:pPr>
      <w:rPr>
        <w:rFonts w:cs="Times New Roman" w:hint="default"/>
        <w:b w:val="0"/>
        <w:i w:val="0"/>
        <w:color w:val="000000"/>
      </w:rPr>
    </w:lvl>
    <w:lvl w:ilvl="3">
      <w:start w:val="1"/>
      <w:numFmt w:val="decimal"/>
      <w:lvlText w:val="%4"/>
      <w:lvlJc w:val="left"/>
      <w:pPr>
        <w:tabs>
          <w:tab w:val="num" w:pos="2411"/>
        </w:tabs>
        <w:ind w:left="2411" w:hanging="567"/>
      </w:pPr>
      <w:rPr>
        <w:rFonts w:cs="Times New Roman" w:hint="default"/>
        <w:b w:val="0"/>
        <w:i w:val="0"/>
        <w:color w:val="000000"/>
      </w:rPr>
    </w:lvl>
    <w:lvl w:ilvl="4">
      <w:start w:val="1"/>
      <w:numFmt w:val="decimal"/>
      <w:lvlText w:val="%5"/>
      <w:lvlJc w:val="left"/>
      <w:pPr>
        <w:tabs>
          <w:tab w:val="num" w:pos="2978"/>
        </w:tabs>
        <w:ind w:left="2978" w:hanging="567"/>
      </w:pPr>
      <w:rPr>
        <w:rFonts w:cs="Times New Roman" w:hint="default"/>
        <w:b w:val="0"/>
        <w:i w:val="0"/>
        <w:color w:val="000000"/>
      </w:rPr>
    </w:lvl>
    <w:lvl w:ilvl="5">
      <w:start w:val="1"/>
      <w:numFmt w:val="decimal"/>
      <w:lvlText w:val="%6"/>
      <w:lvlJc w:val="left"/>
      <w:pPr>
        <w:tabs>
          <w:tab w:val="num" w:pos="3545"/>
        </w:tabs>
        <w:ind w:left="3545" w:hanging="567"/>
      </w:pPr>
      <w:rPr>
        <w:rFonts w:cs="Times New Roman" w:hint="default"/>
        <w:b w:val="0"/>
        <w:i w:val="0"/>
        <w:color w:val="000000"/>
      </w:rPr>
    </w:lvl>
    <w:lvl w:ilvl="6">
      <w:start w:val="1"/>
      <w:numFmt w:val="decimal"/>
      <w:lvlText w:val="%7"/>
      <w:lvlJc w:val="left"/>
      <w:pPr>
        <w:tabs>
          <w:tab w:val="num" w:pos="4112"/>
        </w:tabs>
        <w:ind w:left="4112" w:hanging="567"/>
      </w:pPr>
      <w:rPr>
        <w:rFonts w:cs="Times New Roman" w:hint="default"/>
        <w:b w:val="0"/>
        <w:i w:val="0"/>
        <w:color w:val="000000"/>
      </w:rPr>
    </w:lvl>
    <w:lvl w:ilvl="7">
      <w:start w:val="1"/>
      <w:numFmt w:val="decimal"/>
      <w:lvlText w:val="%8"/>
      <w:lvlJc w:val="left"/>
      <w:pPr>
        <w:tabs>
          <w:tab w:val="num" w:pos="4679"/>
        </w:tabs>
        <w:ind w:left="4679" w:hanging="567"/>
      </w:pPr>
      <w:rPr>
        <w:rFonts w:cs="Times New Roman" w:hint="default"/>
        <w:b w:val="0"/>
        <w:i w:val="0"/>
        <w:color w:val="000000"/>
      </w:rPr>
    </w:lvl>
    <w:lvl w:ilvl="8">
      <w:start w:val="1"/>
      <w:numFmt w:val="decimal"/>
      <w:lvlText w:val="%9"/>
      <w:lvlJc w:val="left"/>
      <w:pPr>
        <w:tabs>
          <w:tab w:val="num" w:pos="5246"/>
        </w:tabs>
        <w:ind w:left="5246" w:hanging="567"/>
      </w:pPr>
      <w:rPr>
        <w:rFonts w:cs="Times New Roman" w:hint="default"/>
        <w:b w:val="0"/>
        <w:i w:val="0"/>
        <w:color w:val="000000"/>
      </w:rPr>
    </w:lvl>
  </w:abstractNum>
  <w:abstractNum w:abstractNumId="18" w15:restartNumberingAfterBreak="0">
    <w:nsid w:val="5CEC00FA"/>
    <w:multiLevelType w:val="hybridMultilevel"/>
    <w:tmpl w:val="F21CA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9663908"/>
    <w:multiLevelType w:val="hybridMultilevel"/>
    <w:tmpl w:val="5C523D04"/>
    <w:lvl w:ilvl="0" w:tplc="31AE5A90">
      <w:start w:val="4"/>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15:restartNumberingAfterBreak="0">
    <w:nsid w:val="75092005"/>
    <w:multiLevelType w:val="hybridMultilevel"/>
    <w:tmpl w:val="8B94341C"/>
    <w:lvl w:ilvl="0" w:tplc="0C09001B">
      <w:start w:val="1"/>
      <w:numFmt w:val="lowerRoman"/>
      <w:lvlText w:val="%1."/>
      <w:lvlJc w:val="right"/>
      <w:pPr>
        <w:ind w:left="1800" w:hanging="360"/>
      </w:p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15:restartNumberingAfterBreak="0">
    <w:nsid w:val="78854AAC"/>
    <w:multiLevelType w:val="hybridMultilevel"/>
    <w:tmpl w:val="8C32C2C8"/>
    <w:lvl w:ilvl="0" w:tplc="0C09000F">
      <w:start w:val="1"/>
      <w:numFmt w:val="decimal"/>
      <w:lvlText w:val="%1."/>
      <w:lvlJc w:val="left"/>
      <w:pPr>
        <w:tabs>
          <w:tab w:val="num" w:pos="567"/>
        </w:tabs>
        <w:ind w:left="567" w:hanging="567"/>
      </w:pPr>
      <w:rPr>
        <w:rFonts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475A01"/>
    <w:multiLevelType w:val="hybridMultilevel"/>
    <w:tmpl w:val="C0EA862E"/>
    <w:lvl w:ilvl="0" w:tplc="660EB736">
      <w:start w:val="1"/>
      <w:numFmt w:val="lowerLetter"/>
      <w:lvlText w:val="(%1)"/>
      <w:lvlJc w:val="left"/>
      <w:pPr>
        <w:ind w:left="720" w:hanging="360"/>
      </w:pPr>
      <w:rPr>
        <w:rFonts w:hint="default"/>
      </w:rPr>
    </w:lvl>
    <w:lvl w:ilvl="1" w:tplc="D898FCB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043E4D"/>
    <w:multiLevelType w:val="hybridMultilevel"/>
    <w:tmpl w:val="8E1AE052"/>
    <w:lvl w:ilvl="0" w:tplc="660EB736">
      <w:start w:val="1"/>
      <w:numFmt w:val="lowerLetter"/>
      <w:lvlText w:val="(%1)"/>
      <w:lvlJc w:val="left"/>
      <w:pPr>
        <w:tabs>
          <w:tab w:val="num" w:pos="567"/>
        </w:tabs>
        <w:ind w:left="567" w:hanging="567"/>
      </w:pPr>
      <w:rPr>
        <w:rFonts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4"/>
  </w:num>
  <w:num w:numId="4">
    <w:abstractNumId w:val="16"/>
  </w:num>
  <w:num w:numId="5">
    <w:abstractNumId w:val="3"/>
  </w:num>
  <w:num w:numId="6">
    <w:abstractNumId w:val="19"/>
  </w:num>
  <w:num w:numId="7">
    <w:abstractNumId w:val="4"/>
  </w:num>
  <w:num w:numId="8">
    <w:abstractNumId w:val="8"/>
  </w:num>
  <w:num w:numId="9">
    <w:abstractNumId w:val="24"/>
  </w:num>
  <w:num w:numId="10">
    <w:abstractNumId w:val="2"/>
  </w:num>
  <w:num w:numId="11">
    <w:abstractNumId w:val="15"/>
  </w:num>
  <w:num w:numId="12">
    <w:abstractNumId w:val="21"/>
  </w:num>
  <w:num w:numId="13">
    <w:abstractNumId w:val="13"/>
  </w:num>
  <w:num w:numId="14">
    <w:abstractNumId w:val="17"/>
  </w:num>
  <w:num w:numId="15">
    <w:abstractNumId w:val="23"/>
  </w:num>
  <w:num w:numId="16">
    <w:abstractNumId w:val="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0"/>
  </w:num>
  <w:num w:numId="24">
    <w:abstractNumId w:val="0"/>
  </w:num>
  <w:num w:numId="25">
    <w:abstractNumId w:val="25"/>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num>
  <w:num w:numId="37">
    <w:abstractNumId w:val="1"/>
  </w:num>
  <w:num w:numId="38">
    <w:abstractNumId w:val="12"/>
  </w:num>
  <w:num w:numId="39">
    <w:abstractNumId w:val="20"/>
  </w:num>
  <w:num w:numId="40">
    <w:abstractNumId w:val="5"/>
  </w:num>
  <w:num w:numId="41">
    <w:abstractNumId w:val="18"/>
  </w:num>
  <w:num w:numId="42">
    <w:abstractNumId w:val="22"/>
  </w:num>
  <w:num w:numId="43">
    <w:abstractNumId w:val="0"/>
  </w:num>
  <w:num w:numId="4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1303B"/>
    <w:rsid w:val="00021708"/>
    <w:rsid w:val="00030CB2"/>
    <w:rsid w:val="000343F1"/>
    <w:rsid w:val="00044700"/>
    <w:rsid w:val="000467E1"/>
    <w:rsid w:val="0006051B"/>
    <w:rsid w:val="000614F9"/>
    <w:rsid w:val="0006451A"/>
    <w:rsid w:val="0006551D"/>
    <w:rsid w:val="00065679"/>
    <w:rsid w:val="0007004C"/>
    <w:rsid w:val="000724F6"/>
    <w:rsid w:val="00074611"/>
    <w:rsid w:val="00074A62"/>
    <w:rsid w:val="00086712"/>
    <w:rsid w:val="00091DF8"/>
    <w:rsid w:val="00093CB6"/>
    <w:rsid w:val="00093DD8"/>
    <w:rsid w:val="00097794"/>
    <w:rsid w:val="000A0C9E"/>
    <w:rsid w:val="000A5191"/>
    <w:rsid w:val="000A6E76"/>
    <w:rsid w:val="000B4080"/>
    <w:rsid w:val="000B7685"/>
    <w:rsid w:val="000C714F"/>
    <w:rsid w:val="000D19D8"/>
    <w:rsid w:val="000D1C37"/>
    <w:rsid w:val="000D4377"/>
    <w:rsid w:val="000E075D"/>
    <w:rsid w:val="000E2AF6"/>
    <w:rsid w:val="000E36B7"/>
    <w:rsid w:val="000E3C70"/>
    <w:rsid w:val="000E434C"/>
    <w:rsid w:val="000E48C3"/>
    <w:rsid w:val="000F0880"/>
    <w:rsid w:val="000F25D5"/>
    <w:rsid w:val="000F6CF6"/>
    <w:rsid w:val="001021A0"/>
    <w:rsid w:val="00103FD6"/>
    <w:rsid w:val="001065EE"/>
    <w:rsid w:val="00110F5D"/>
    <w:rsid w:val="001134AC"/>
    <w:rsid w:val="00115166"/>
    <w:rsid w:val="00115A97"/>
    <w:rsid w:val="00116E88"/>
    <w:rsid w:val="00122DBA"/>
    <w:rsid w:val="0012370C"/>
    <w:rsid w:val="001262B5"/>
    <w:rsid w:val="00132587"/>
    <w:rsid w:val="001404A9"/>
    <w:rsid w:val="00140F43"/>
    <w:rsid w:val="00145D5C"/>
    <w:rsid w:val="00146DB6"/>
    <w:rsid w:val="00151133"/>
    <w:rsid w:val="00160506"/>
    <w:rsid w:val="001629FA"/>
    <w:rsid w:val="00165CAB"/>
    <w:rsid w:val="00166312"/>
    <w:rsid w:val="00167BB8"/>
    <w:rsid w:val="00172360"/>
    <w:rsid w:val="00172E3A"/>
    <w:rsid w:val="00173F81"/>
    <w:rsid w:val="00174C2A"/>
    <w:rsid w:val="00175FB9"/>
    <w:rsid w:val="00177A0A"/>
    <w:rsid w:val="00180F76"/>
    <w:rsid w:val="00182201"/>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346E"/>
    <w:rsid w:val="001C3470"/>
    <w:rsid w:val="001C3717"/>
    <w:rsid w:val="001C5CC5"/>
    <w:rsid w:val="001D2C27"/>
    <w:rsid w:val="001D3CAD"/>
    <w:rsid w:val="001D6E9A"/>
    <w:rsid w:val="001E20EC"/>
    <w:rsid w:val="001E4479"/>
    <w:rsid w:val="001E625C"/>
    <w:rsid w:val="001E7173"/>
    <w:rsid w:val="001E74D0"/>
    <w:rsid w:val="001E7803"/>
    <w:rsid w:val="001F1D48"/>
    <w:rsid w:val="001F1DF0"/>
    <w:rsid w:val="001F6F39"/>
    <w:rsid w:val="001F6FE8"/>
    <w:rsid w:val="0020144E"/>
    <w:rsid w:val="00205E18"/>
    <w:rsid w:val="00206773"/>
    <w:rsid w:val="002069F9"/>
    <w:rsid w:val="00212869"/>
    <w:rsid w:val="0021550C"/>
    <w:rsid w:val="00217DC8"/>
    <w:rsid w:val="00221308"/>
    <w:rsid w:val="002216CA"/>
    <w:rsid w:val="00222C97"/>
    <w:rsid w:val="00224F12"/>
    <w:rsid w:val="00225761"/>
    <w:rsid w:val="00233835"/>
    <w:rsid w:val="00241EE9"/>
    <w:rsid w:val="00244500"/>
    <w:rsid w:val="00247D45"/>
    <w:rsid w:val="00252551"/>
    <w:rsid w:val="00261ABA"/>
    <w:rsid w:val="00262E18"/>
    <w:rsid w:val="0026571E"/>
    <w:rsid w:val="002771E5"/>
    <w:rsid w:val="00281874"/>
    <w:rsid w:val="00282C25"/>
    <w:rsid w:val="002832F0"/>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61EF"/>
    <w:rsid w:val="002F7E40"/>
    <w:rsid w:val="003012DA"/>
    <w:rsid w:val="00307C5C"/>
    <w:rsid w:val="00312CFE"/>
    <w:rsid w:val="00313480"/>
    <w:rsid w:val="00313C98"/>
    <w:rsid w:val="00313FD9"/>
    <w:rsid w:val="003155BD"/>
    <w:rsid w:val="003177B9"/>
    <w:rsid w:val="00321C95"/>
    <w:rsid w:val="00321E0A"/>
    <w:rsid w:val="00333506"/>
    <w:rsid w:val="00340987"/>
    <w:rsid w:val="003410AA"/>
    <w:rsid w:val="0034465F"/>
    <w:rsid w:val="00352A6B"/>
    <w:rsid w:val="00352EC1"/>
    <w:rsid w:val="00361054"/>
    <w:rsid w:val="0036119D"/>
    <w:rsid w:val="003637A0"/>
    <w:rsid w:val="0036474E"/>
    <w:rsid w:val="00364CF3"/>
    <w:rsid w:val="00365CAA"/>
    <w:rsid w:val="00367EAB"/>
    <w:rsid w:val="00372573"/>
    <w:rsid w:val="00377AB2"/>
    <w:rsid w:val="003877C3"/>
    <w:rsid w:val="00390BF0"/>
    <w:rsid w:val="0039283B"/>
    <w:rsid w:val="00396EA4"/>
    <w:rsid w:val="003A2157"/>
    <w:rsid w:val="003A3363"/>
    <w:rsid w:val="003A35F1"/>
    <w:rsid w:val="003A3905"/>
    <w:rsid w:val="003A3CC1"/>
    <w:rsid w:val="003A6635"/>
    <w:rsid w:val="003A6B0E"/>
    <w:rsid w:val="003A78C6"/>
    <w:rsid w:val="003B4774"/>
    <w:rsid w:val="003B5562"/>
    <w:rsid w:val="003B6363"/>
    <w:rsid w:val="003B737F"/>
    <w:rsid w:val="003C0CF7"/>
    <w:rsid w:val="003C2E5D"/>
    <w:rsid w:val="003C59E0"/>
    <w:rsid w:val="003C6F2A"/>
    <w:rsid w:val="003D743C"/>
    <w:rsid w:val="003E0814"/>
    <w:rsid w:val="003E33BA"/>
    <w:rsid w:val="003E6BA0"/>
    <w:rsid w:val="003E73DB"/>
    <w:rsid w:val="003F0ADC"/>
    <w:rsid w:val="003F3CC0"/>
    <w:rsid w:val="003F59E6"/>
    <w:rsid w:val="003F5BE6"/>
    <w:rsid w:val="003F6C00"/>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50B39"/>
    <w:rsid w:val="00453BC6"/>
    <w:rsid w:val="00454498"/>
    <w:rsid w:val="00456C59"/>
    <w:rsid w:val="00477931"/>
    <w:rsid w:val="00480B05"/>
    <w:rsid w:val="00490198"/>
    <w:rsid w:val="00490E28"/>
    <w:rsid w:val="004958CB"/>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F6B2B"/>
    <w:rsid w:val="005005DF"/>
    <w:rsid w:val="00505045"/>
    <w:rsid w:val="00510B96"/>
    <w:rsid w:val="00511501"/>
    <w:rsid w:val="00511B5B"/>
    <w:rsid w:val="00515AF2"/>
    <w:rsid w:val="0051640E"/>
    <w:rsid w:val="00516741"/>
    <w:rsid w:val="0051684E"/>
    <w:rsid w:val="005216D9"/>
    <w:rsid w:val="00527ABC"/>
    <w:rsid w:val="005304C9"/>
    <w:rsid w:val="0053712B"/>
    <w:rsid w:val="0054193D"/>
    <w:rsid w:val="00542A8C"/>
    <w:rsid w:val="00542D59"/>
    <w:rsid w:val="00543637"/>
    <w:rsid w:val="00545DF7"/>
    <w:rsid w:val="00546CA2"/>
    <w:rsid w:val="00550FB0"/>
    <w:rsid w:val="005539F5"/>
    <w:rsid w:val="0055415C"/>
    <w:rsid w:val="00554AAC"/>
    <w:rsid w:val="0055503F"/>
    <w:rsid w:val="005572D7"/>
    <w:rsid w:val="00563797"/>
    <w:rsid w:val="005651B5"/>
    <w:rsid w:val="00566234"/>
    <w:rsid w:val="0057262B"/>
    <w:rsid w:val="005815B3"/>
    <w:rsid w:val="00582A03"/>
    <w:rsid w:val="00587E37"/>
    <w:rsid w:val="00593821"/>
    <w:rsid w:val="00595BC4"/>
    <w:rsid w:val="00596E88"/>
    <w:rsid w:val="00597CBD"/>
    <w:rsid w:val="005A0969"/>
    <w:rsid w:val="005A5E7A"/>
    <w:rsid w:val="005B0DEF"/>
    <w:rsid w:val="005B2A03"/>
    <w:rsid w:val="005B4C1B"/>
    <w:rsid w:val="005C2684"/>
    <w:rsid w:val="005C2DDC"/>
    <w:rsid w:val="005C5620"/>
    <w:rsid w:val="005C578C"/>
    <w:rsid w:val="005D1F0F"/>
    <w:rsid w:val="005D248D"/>
    <w:rsid w:val="005D29DB"/>
    <w:rsid w:val="005D41F9"/>
    <w:rsid w:val="005E4143"/>
    <w:rsid w:val="005E724B"/>
    <w:rsid w:val="005F0AB3"/>
    <w:rsid w:val="00601F7C"/>
    <w:rsid w:val="00602A48"/>
    <w:rsid w:val="00602EF7"/>
    <w:rsid w:val="00606F11"/>
    <w:rsid w:val="00607B03"/>
    <w:rsid w:val="0061059D"/>
    <w:rsid w:val="0061326F"/>
    <w:rsid w:val="00614393"/>
    <w:rsid w:val="006146F2"/>
    <w:rsid w:val="00614C00"/>
    <w:rsid w:val="00615699"/>
    <w:rsid w:val="00623567"/>
    <w:rsid w:val="0063219E"/>
    <w:rsid w:val="00636C4E"/>
    <w:rsid w:val="006412B5"/>
    <w:rsid w:val="00641932"/>
    <w:rsid w:val="00644083"/>
    <w:rsid w:val="0064429B"/>
    <w:rsid w:val="0064477C"/>
    <w:rsid w:val="0064558D"/>
    <w:rsid w:val="00650903"/>
    <w:rsid w:val="00660663"/>
    <w:rsid w:val="006650A8"/>
    <w:rsid w:val="006679C0"/>
    <w:rsid w:val="00670289"/>
    <w:rsid w:val="00680ED5"/>
    <w:rsid w:val="00681956"/>
    <w:rsid w:val="00682FBA"/>
    <w:rsid w:val="00683370"/>
    <w:rsid w:val="00684EC1"/>
    <w:rsid w:val="006903F9"/>
    <w:rsid w:val="006923C8"/>
    <w:rsid w:val="00696AB4"/>
    <w:rsid w:val="00697494"/>
    <w:rsid w:val="006976BF"/>
    <w:rsid w:val="006A05D7"/>
    <w:rsid w:val="006A0D29"/>
    <w:rsid w:val="006A4628"/>
    <w:rsid w:val="006A7325"/>
    <w:rsid w:val="006B3F39"/>
    <w:rsid w:val="006B4213"/>
    <w:rsid w:val="006B43AF"/>
    <w:rsid w:val="006B4DF0"/>
    <w:rsid w:val="006C1013"/>
    <w:rsid w:val="006C163A"/>
    <w:rsid w:val="006C228B"/>
    <w:rsid w:val="006C2931"/>
    <w:rsid w:val="006C4CC7"/>
    <w:rsid w:val="006D029F"/>
    <w:rsid w:val="006D466E"/>
    <w:rsid w:val="006D4B70"/>
    <w:rsid w:val="006D4C35"/>
    <w:rsid w:val="006D7A92"/>
    <w:rsid w:val="006E3B48"/>
    <w:rsid w:val="006E6184"/>
    <w:rsid w:val="006E631B"/>
    <w:rsid w:val="006E7E9B"/>
    <w:rsid w:val="006F096A"/>
    <w:rsid w:val="006F22E3"/>
    <w:rsid w:val="006F3095"/>
    <w:rsid w:val="006F5455"/>
    <w:rsid w:val="006F5CB6"/>
    <w:rsid w:val="006F79D3"/>
    <w:rsid w:val="00703194"/>
    <w:rsid w:val="00706E50"/>
    <w:rsid w:val="0070737C"/>
    <w:rsid w:val="00711229"/>
    <w:rsid w:val="00715018"/>
    <w:rsid w:val="007179FE"/>
    <w:rsid w:val="00717F25"/>
    <w:rsid w:val="007201B1"/>
    <w:rsid w:val="007201D7"/>
    <w:rsid w:val="00720494"/>
    <w:rsid w:val="00724E14"/>
    <w:rsid w:val="00725AD5"/>
    <w:rsid w:val="00726DB5"/>
    <w:rsid w:val="00726EB4"/>
    <w:rsid w:val="00731945"/>
    <w:rsid w:val="007363DE"/>
    <w:rsid w:val="0073698D"/>
    <w:rsid w:val="00736C0B"/>
    <w:rsid w:val="00744D93"/>
    <w:rsid w:val="00746531"/>
    <w:rsid w:val="00751725"/>
    <w:rsid w:val="00752028"/>
    <w:rsid w:val="0075450A"/>
    <w:rsid w:val="0075717D"/>
    <w:rsid w:val="0076017E"/>
    <w:rsid w:val="00760DB6"/>
    <w:rsid w:val="00763011"/>
    <w:rsid w:val="007633A8"/>
    <w:rsid w:val="0076361C"/>
    <w:rsid w:val="007661AE"/>
    <w:rsid w:val="00766A51"/>
    <w:rsid w:val="007715C7"/>
    <w:rsid w:val="00771FFF"/>
    <w:rsid w:val="00772818"/>
    <w:rsid w:val="0077685D"/>
    <w:rsid w:val="0077788E"/>
    <w:rsid w:val="00777BB8"/>
    <w:rsid w:val="00784439"/>
    <w:rsid w:val="00787E75"/>
    <w:rsid w:val="00797257"/>
    <w:rsid w:val="007A3157"/>
    <w:rsid w:val="007A5627"/>
    <w:rsid w:val="007A6A4D"/>
    <w:rsid w:val="007A6E20"/>
    <w:rsid w:val="007B10ED"/>
    <w:rsid w:val="007B2B2E"/>
    <w:rsid w:val="007B3BFC"/>
    <w:rsid w:val="007B4B03"/>
    <w:rsid w:val="007C4F31"/>
    <w:rsid w:val="007E5257"/>
    <w:rsid w:val="007E5391"/>
    <w:rsid w:val="007E78A0"/>
    <w:rsid w:val="007F09D8"/>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367B1"/>
    <w:rsid w:val="00845BCC"/>
    <w:rsid w:val="00851465"/>
    <w:rsid w:val="008514B8"/>
    <w:rsid w:val="00852ED8"/>
    <w:rsid w:val="0085330A"/>
    <w:rsid w:val="008550CA"/>
    <w:rsid w:val="0085533A"/>
    <w:rsid w:val="00855543"/>
    <w:rsid w:val="0085738D"/>
    <w:rsid w:val="00862395"/>
    <w:rsid w:val="008640FD"/>
    <w:rsid w:val="00864DD3"/>
    <w:rsid w:val="008708D6"/>
    <w:rsid w:val="00873ED3"/>
    <w:rsid w:val="00874608"/>
    <w:rsid w:val="008760D0"/>
    <w:rsid w:val="00881317"/>
    <w:rsid w:val="008843EE"/>
    <w:rsid w:val="00892CA4"/>
    <w:rsid w:val="00896477"/>
    <w:rsid w:val="00896BD6"/>
    <w:rsid w:val="00896F5A"/>
    <w:rsid w:val="008A3C37"/>
    <w:rsid w:val="008B1840"/>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1F94"/>
    <w:rsid w:val="0093296C"/>
    <w:rsid w:val="00935CC7"/>
    <w:rsid w:val="0093758E"/>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29E7"/>
    <w:rsid w:val="00975EB5"/>
    <w:rsid w:val="00983979"/>
    <w:rsid w:val="00983DC2"/>
    <w:rsid w:val="00983DF0"/>
    <w:rsid w:val="009842D5"/>
    <w:rsid w:val="0099742A"/>
    <w:rsid w:val="009A0446"/>
    <w:rsid w:val="009A062C"/>
    <w:rsid w:val="009A48AF"/>
    <w:rsid w:val="009A522D"/>
    <w:rsid w:val="009B0C68"/>
    <w:rsid w:val="009B35AF"/>
    <w:rsid w:val="009B3F77"/>
    <w:rsid w:val="009B5132"/>
    <w:rsid w:val="009B62FE"/>
    <w:rsid w:val="009B6AD4"/>
    <w:rsid w:val="009C166A"/>
    <w:rsid w:val="009C2059"/>
    <w:rsid w:val="009C3AC6"/>
    <w:rsid w:val="009C6FFB"/>
    <w:rsid w:val="009C7EF5"/>
    <w:rsid w:val="009D0C93"/>
    <w:rsid w:val="009D246C"/>
    <w:rsid w:val="009D2FAC"/>
    <w:rsid w:val="009E093C"/>
    <w:rsid w:val="009E1311"/>
    <w:rsid w:val="009E151E"/>
    <w:rsid w:val="009E3ACF"/>
    <w:rsid w:val="009E5DB6"/>
    <w:rsid w:val="009F5224"/>
    <w:rsid w:val="009F6246"/>
    <w:rsid w:val="009F777E"/>
    <w:rsid w:val="009F7F52"/>
    <w:rsid w:val="00A0202C"/>
    <w:rsid w:val="00A0227E"/>
    <w:rsid w:val="00A05C1E"/>
    <w:rsid w:val="00A0603A"/>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478F"/>
    <w:rsid w:val="00A858C4"/>
    <w:rsid w:val="00A87E77"/>
    <w:rsid w:val="00A9141E"/>
    <w:rsid w:val="00A9341B"/>
    <w:rsid w:val="00A942C9"/>
    <w:rsid w:val="00A974CA"/>
    <w:rsid w:val="00AA2CD5"/>
    <w:rsid w:val="00AA4F6C"/>
    <w:rsid w:val="00AB16AE"/>
    <w:rsid w:val="00AB392A"/>
    <w:rsid w:val="00AB5085"/>
    <w:rsid w:val="00AB5801"/>
    <w:rsid w:val="00AB5A64"/>
    <w:rsid w:val="00AB71A5"/>
    <w:rsid w:val="00AB76C6"/>
    <w:rsid w:val="00AB79E9"/>
    <w:rsid w:val="00AC1A04"/>
    <w:rsid w:val="00AC430E"/>
    <w:rsid w:val="00AC5567"/>
    <w:rsid w:val="00AD04F4"/>
    <w:rsid w:val="00AD282F"/>
    <w:rsid w:val="00AD576C"/>
    <w:rsid w:val="00AD670F"/>
    <w:rsid w:val="00AD6C71"/>
    <w:rsid w:val="00AE1E4B"/>
    <w:rsid w:val="00AE1E54"/>
    <w:rsid w:val="00AE2AFD"/>
    <w:rsid w:val="00AE4372"/>
    <w:rsid w:val="00AE478A"/>
    <w:rsid w:val="00AF0C8D"/>
    <w:rsid w:val="00B00778"/>
    <w:rsid w:val="00B04E8C"/>
    <w:rsid w:val="00B050C0"/>
    <w:rsid w:val="00B05642"/>
    <w:rsid w:val="00B06097"/>
    <w:rsid w:val="00B06FE0"/>
    <w:rsid w:val="00B10045"/>
    <w:rsid w:val="00B100DF"/>
    <w:rsid w:val="00B10CAE"/>
    <w:rsid w:val="00B12190"/>
    <w:rsid w:val="00B1294B"/>
    <w:rsid w:val="00B137C3"/>
    <w:rsid w:val="00B171BB"/>
    <w:rsid w:val="00B1778E"/>
    <w:rsid w:val="00B20F34"/>
    <w:rsid w:val="00B2247A"/>
    <w:rsid w:val="00B36551"/>
    <w:rsid w:val="00B36E9E"/>
    <w:rsid w:val="00B40E38"/>
    <w:rsid w:val="00B45C9E"/>
    <w:rsid w:val="00B47865"/>
    <w:rsid w:val="00B51ACE"/>
    <w:rsid w:val="00B619AA"/>
    <w:rsid w:val="00B623D7"/>
    <w:rsid w:val="00B66E7A"/>
    <w:rsid w:val="00B8096A"/>
    <w:rsid w:val="00B91564"/>
    <w:rsid w:val="00B9206A"/>
    <w:rsid w:val="00B9279E"/>
    <w:rsid w:val="00B9498A"/>
    <w:rsid w:val="00BA1CFA"/>
    <w:rsid w:val="00BA4284"/>
    <w:rsid w:val="00BC1029"/>
    <w:rsid w:val="00BC2720"/>
    <w:rsid w:val="00BC4728"/>
    <w:rsid w:val="00BC4BF4"/>
    <w:rsid w:val="00BC60B3"/>
    <w:rsid w:val="00BC60ED"/>
    <w:rsid w:val="00BD17B8"/>
    <w:rsid w:val="00BD2253"/>
    <w:rsid w:val="00BD7496"/>
    <w:rsid w:val="00BE042D"/>
    <w:rsid w:val="00BE155A"/>
    <w:rsid w:val="00BE4802"/>
    <w:rsid w:val="00BE7212"/>
    <w:rsid w:val="00BF0D7C"/>
    <w:rsid w:val="00BF331F"/>
    <w:rsid w:val="00C053A4"/>
    <w:rsid w:val="00C05CC6"/>
    <w:rsid w:val="00C068C7"/>
    <w:rsid w:val="00C073C2"/>
    <w:rsid w:val="00C13C12"/>
    <w:rsid w:val="00C15347"/>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860ED"/>
    <w:rsid w:val="00C90F44"/>
    <w:rsid w:val="00C92F94"/>
    <w:rsid w:val="00C95D81"/>
    <w:rsid w:val="00C960AA"/>
    <w:rsid w:val="00CA121E"/>
    <w:rsid w:val="00CA33EC"/>
    <w:rsid w:val="00CA501D"/>
    <w:rsid w:val="00CA55C4"/>
    <w:rsid w:val="00CB1789"/>
    <w:rsid w:val="00CB1CB2"/>
    <w:rsid w:val="00CB2557"/>
    <w:rsid w:val="00CB44C4"/>
    <w:rsid w:val="00CB47FE"/>
    <w:rsid w:val="00CB4853"/>
    <w:rsid w:val="00CB4D35"/>
    <w:rsid w:val="00CB6703"/>
    <w:rsid w:val="00CB6B49"/>
    <w:rsid w:val="00CC39B1"/>
    <w:rsid w:val="00CD526B"/>
    <w:rsid w:val="00CD5B93"/>
    <w:rsid w:val="00CD7039"/>
    <w:rsid w:val="00CE3B32"/>
    <w:rsid w:val="00CE4A24"/>
    <w:rsid w:val="00CE5784"/>
    <w:rsid w:val="00CE613B"/>
    <w:rsid w:val="00CE7403"/>
    <w:rsid w:val="00CF0826"/>
    <w:rsid w:val="00CF0D8A"/>
    <w:rsid w:val="00CF267F"/>
    <w:rsid w:val="00CF7BED"/>
    <w:rsid w:val="00CF7DA0"/>
    <w:rsid w:val="00D00BAA"/>
    <w:rsid w:val="00D0229D"/>
    <w:rsid w:val="00D0312C"/>
    <w:rsid w:val="00D04614"/>
    <w:rsid w:val="00D13099"/>
    <w:rsid w:val="00D1723F"/>
    <w:rsid w:val="00D23208"/>
    <w:rsid w:val="00D26B64"/>
    <w:rsid w:val="00D30AA4"/>
    <w:rsid w:val="00D30CE5"/>
    <w:rsid w:val="00D3674A"/>
    <w:rsid w:val="00D40383"/>
    <w:rsid w:val="00D4085D"/>
    <w:rsid w:val="00D428F4"/>
    <w:rsid w:val="00D434F3"/>
    <w:rsid w:val="00D46E83"/>
    <w:rsid w:val="00D51386"/>
    <w:rsid w:val="00D52914"/>
    <w:rsid w:val="00D538D2"/>
    <w:rsid w:val="00D53D31"/>
    <w:rsid w:val="00D5485B"/>
    <w:rsid w:val="00D57346"/>
    <w:rsid w:val="00D61911"/>
    <w:rsid w:val="00D62258"/>
    <w:rsid w:val="00D625A7"/>
    <w:rsid w:val="00D677F9"/>
    <w:rsid w:val="00D702F1"/>
    <w:rsid w:val="00D729FA"/>
    <w:rsid w:val="00D7336A"/>
    <w:rsid w:val="00D73591"/>
    <w:rsid w:val="00D802FC"/>
    <w:rsid w:val="00D8532B"/>
    <w:rsid w:val="00D85463"/>
    <w:rsid w:val="00D96CFF"/>
    <w:rsid w:val="00D973A5"/>
    <w:rsid w:val="00DA205D"/>
    <w:rsid w:val="00DA7233"/>
    <w:rsid w:val="00DB70E0"/>
    <w:rsid w:val="00DC4D62"/>
    <w:rsid w:val="00DC50E5"/>
    <w:rsid w:val="00DC76C7"/>
    <w:rsid w:val="00DD2137"/>
    <w:rsid w:val="00DE26D1"/>
    <w:rsid w:val="00DE311A"/>
    <w:rsid w:val="00DE36EB"/>
    <w:rsid w:val="00DE4009"/>
    <w:rsid w:val="00DE4A6C"/>
    <w:rsid w:val="00DE64C1"/>
    <w:rsid w:val="00DF5BAB"/>
    <w:rsid w:val="00E10555"/>
    <w:rsid w:val="00E11087"/>
    <w:rsid w:val="00E16E0A"/>
    <w:rsid w:val="00E204BB"/>
    <w:rsid w:val="00E220BC"/>
    <w:rsid w:val="00E31096"/>
    <w:rsid w:val="00E33938"/>
    <w:rsid w:val="00E33F03"/>
    <w:rsid w:val="00E354D8"/>
    <w:rsid w:val="00E3658A"/>
    <w:rsid w:val="00E3706A"/>
    <w:rsid w:val="00E37251"/>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BF8"/>
    <w:rsid w:val="00E92C8A"/>
    <w:rsid w:val="00E9346D"/>
    <w:rsid w:val="00EA21BF"/>
    <w:rsid w:val="00EA594C"/>
    <w:rsid w:val="00EA7329"/>
    <w:rsid w:val="00EA7997"/>
    <w:rsid w:val="00EA7A1C"/>
    <w:rsid w:val="00EB5170"/>
    <w:rsid w:val="00EB7EDA"/>
    <w:rsid w:val="00EC3E78"/>
    <w:rsid w:val="00EC5206"/>
    <w:rsid w:val="00EC5D22"/>
    <w:rsid w:val="00ED0175"/>
    <w:rsid w:val="00ED0AC8"/>
    <w:rsid w:val="00ED115D"/>
    <w:rsid w:val="00ED2AC4"/>
    <w:rsid w:val="00ED4036"/>
    <w:rsid w:val="00EE041B"/>
    <w:rsid w:val="00EE57AC"/>
    <w:rsid w:val="00EE74C4"/>
    <w:rsid w:val="00EE7D29"/>
    <w:rsid w:val="00EF33DE"/>
    <w:rsid w:val="00EF6486"/>
    <w:rsid w:val="00EF72D4"/>
    <w:rsid w:val="00F04F3A"/>
    <w:rsid w:val="00F11A23"/>
    <w:rsid w:val="00F11DDE"/>
    <w:rsid w:val="00F120E6"/>
    <w:rsid w:val="00F12ACD"/>
    <w:rsid w:val="00F156AB"/>
    <w:rsid w:val="00F16589"/>
    <w:rsid w:val="00F2068C"/>
    <w:rsid w:val="00F215B1"/>
    <w:rsid w:val="00F234AB"/>
    <w:rsid w:val="00F24478"/>
    <w:rsid w:val="00F31DE0"/>
    <w:rsid w:val="00F3245D"/>
    <w:rsid w:val="00F34E70"/>
    <w:rsid w:val="00F4377A"/>
    <w:rsid w:val="00F46237"/>
    <w:rsid w:val="00F47765"/>
    <w:rsid w:val="00F501C6"/>
    <w:rsid w:val="00F630DB"/>
    <w:rsid w:val="00F630EF"/>
    <w:rsid w:val="00F6403E"/>
    <w:rsid w:val="00F71346"/>
    <w:rsid w:val="00F715F2"/>
    <w:rsid w:val="00F730C7"/>
    <w:rsid w:val="00F736B6"/>
    <w:rsid w:val="00F76C87"/>
    <w:rsid w:val="00F8684A"/>
    <w:rsid w:val="00F94C3D"/>
    <w:rsid w:val="00F95D26"/>
    <w:rsid w:val="00F979C5"/>
    <w:rsid w:val="00FA0CBF"/>
    <w:rsid w:val="00FA0E45"/>
    <w:rsid w:val="00FA150E"/>
    <w:rsid w:val="00FA2EC0"/>
    <w:rsid w:val="00FA4E87"/>
    <w:rsid w:val="00FA61D1"/>
    <w:rsid w:val="00FA64FD"/>
    <w:rsid w:val="00FB4200"/>
    <w:rsid w:val="00FB5750"/>
    <w:rsid w:val="00FB6A2E"/>
    <w:rsid w:val="00FC055C"/>
    <w:rsid w:val="00FC7E41"/>
    <w:rsid w:val="00FD3C3F"/>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BE42D2"/>
  <w14:defaultImageDpi w14:val="0"/>
  <w15:docId w15:val="{A05B97FA-020B-4C7B-B376-7122D4BB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9C3AC6"/>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1023">
      <w:marLeft w:val="0"/>
      <w:marRight w:val="0"/>
      <w:marTop w:val="0"/>
      <w:marBottom w:val="0"/>
      <w:divBdr>
        <w:top w:val="none" w:sz="0" w:space="0" w:color="auto"/>
        <w:left w:val="none" w:sz="0" w:space="0" w:color="auto"/>
        <w:bottom w:val="none" w:sz="0" w:space="0" w:color="auto"/>
        <w:right w:val="none" w:sz="0" w:space="0" w:color="auto"/>
      </w:divBdr>
    </w:div>
    <w:div w:id="873151024">
      <w:marLeft w:val="0"/>
      <w:marRight w:val="0"/>
      <w:marTop w:val="0"/>
      <w:marBottom w:val="0"/>
      <w:divBdr>
        <w:top w:val="none" w:sz="0" w:space="0" w:color="auto"/>
        <w:left w:val="none" w:sz="0" w:space="0" w:color="auto"/>
        <w:bottom w:val="none" w:sz="0" w:space="0" w:color="auto"/>
        <w:right w:val="none" w:sz="0" w:space="0" w:color="auto"/>
      </w:divBdr>
    </w:div>
    <w:div w:id="873151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11" Type="http://schemas.openxmlformats.org/officeDocument/2006/relationships/webSettings" Target="webSettings.xml"/><Relationship Id="rId24" Type="http://schemas.openxmlformats.org/officeDocument/2006/relationships/customXml" Target="../customXml/item9.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35" ma:contentTypeDescription=" " ma:contentTypeScope="" ma:versionID="631628baa2cd0761122b48b9e87bb5e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2020FG-64-73870</_dlc_DocId>
    <_dlc_DocIdUrl xmlns="0f563589-9cf9-4143-b1eb-fb0534803d38">
      <Url>http://tweb/sites/fg/csrd/_layouts/15/DocIdRedir.aspx?ID=2020FG-64-73870</Url>
      <Description>2020FG-64-73870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0116" ma:contentTypeDescription=" " ma:contentTypeScope="" ma:versionID="c13ef6656388114d8ecc25d63859ba55">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F9249210-41F3-42D4-BD5C-4190FA219737}"/>
</file>

<file path=customXml/itemProps10.xml><?xml version="1.0" encoding="utf-8"?>
<ds:datastoreItem xmlns:ds="http://schemas.openxmlformats.org/officeDocument/2006/customXml" ds:itemID="{A7703E68-4D41-4E5D-A9EF-658C95C1FEE6}"/>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74BA25F6-87A6-43FC-8C53-E95EAAB05694}">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e544e5cc-ab70-42e1-849e-1a0f8bb1f4ef"/>
    <ds:schemaRef ds:uri="http://www.w3.org/XML/1998/namespace"/>
  </ds:schemaRefs>
</ds:datastoreItem>
</file>

<file path=customXml/itemProps4.xml><?xml version="1.0" encoding="utf-8"?>
<ds:datastoreItem xmlns:ds="http://schemas.openxmlformats.org/officeDocument/2006/customXml" ds:itemID="{B402E660-EAA1-489C-B031-206D927FA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D2B1E-9A89-4463-88E0-D6CA6C82CB7C}">
  <ds:schemaRefs>
    <ds:schemaRef ds:uri="Microsoft.SharePoint.Taxonomy.ContentTypeSync"/>
  </ds:schemaRefs>
</ds:datastoreItem>
</file>

<file path=customXml/itemProps6.xml><?xml version="1.0" encoding="utf-8"?>
<ds:datastoreItem xmlns:ds="http://schemas.openxmlformats.org/officeDocument/2006/customXml" ds:itemID="{9791FA21-AC7A-4572-9D5C-95586EC305F5}">
  <ds:schemaRefs>
    <ds:schemaRef ds:uri="http://schemas.microsoft.com/sharepoint/events"/>
  </ds:schemaRefs>
</ds:datastoreItem>
</file>

<file path=customXml/itemProps7.xml><?xml version="1.0" encoding="utf-8"?>
<ds:datastoreItem xmlns:ds="http://schemas.openxmlformats.org/officeDocument/2006/customXml" ds:itemID="{ECA93EE9-8ABF-44E2-8C13-0746ECD42B8F}">
  <ds:schemaRefs>
    <ds:schemaRef ds:uri="http://schemas.openxmlformats.org/officeDocument/2006/bibliography"/>
  </ds:schemaRefs>
</ds:datastoreItem>
</file>

<file path=customXml/itemProps8.xml><?xml version="1.0" encoding="utf-8"?>
<ds:datastoreItem xmlns:ds="http://schemas.openxmlformats.org/officeDocument/2006/customXml" ds:itemID="{0CB89C39-E410-4D98-85A2-ED35510D5C41}"/>
</file>

<file path=customXml/itemProps9.xml><?xml version="1.0" encoding="utf-8"?>
<ds:datastoreItem xmlns:ds="http://schemas.openxmlformats.org/officeDocument/2006/customXml" ds:itemID="{AFB208AF-C360-41B4-B2B6-FA45251FF56B}"/>
</file>

<file path=docProps/app.xml><?xml version="1.0" encoding="utf-8"?>
<Properties xmlns="http://schemas.openxmlformats.org/officeDocument/2006/extended-properties" xmlns:vt="http://schemas.openxmlformats.org/officeDocument/2006/docPropsVTypes">
  <Template>COAG.dot</Template>
  <TotalTime>1</TotalTime>
  <Pages>7</Pages>
  <Words>1443</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Agreement - WiFi and Mobile Coverage on Trains - 5 March 2018</vt:lpstr>
    </vt:vector>
  </TitlesOfParts>
  <Company>Australian Government - The Treasury</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 WiFi and Mobile Coverage on Trains - 5 March 2018</dc:title>
  <dc:creator>Council of Australian Governments</dc:creator>
  <cp:lastModifiedBy>Crowley, Benjamin</cp:lastModifiedBy>
  <cp:revision>3</cp:revision>
  <cp:lastPrinted>2018-03-08T01:26:00Z</cp:lastPrinted>
  <dcterms:created xsi:type="dcterms:W3CDTF">2018-03-29T04:43:00Z</dcterms:created>
  <dcterms:modified xsi:type="dcterms:W3CDTF">2018-04-04T06:32:00Z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1def87c9-67b3-4f41-aa70-c3d6f19ee3c3</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{1def87c9-67b3-4f41-aa70-c3d6f19ee3c3}</vt:lpwstr>
  </property>
  <property fmtid="{D5CDD505-2E9C-101B-9397-08002B2CF9AE}" pid="9" name="RecordPoint_ActiveItemWebId">
    <vt:lpwstr>{a4589788-615f-4b8b-8296-7f9f6dfbab44}</vt:lpwstr>
  </property>
  <property fmtid="{D5CDD505-2E9C-101B-9397-08002B2CF9AE}" pid="10" name="RecordPoint_RecordNumberSubmitted">
    <vt:lpwstr>R0002259932</vt:lpwstr>
  </property>
  <property fmtid="{D5CDD505-2E9C-101B-9397-08002B2CF9AE}" pid="11" name="RecordPoint_SubmissionCompleted">
    <vt:lpwstr>2020-05-01T19:26:13.8466850+10:00</vt:lpwstr>
  </property>
  <property fmtid="{D5CDD505-2E9C-101B-9397-08002B2CF9AE}" pid="12" name="_NewReviewCycle">
    <vt:lpwstr/>
  </property>
  <property fmtid="{D5CDD505-2E9C-101B-9397-08002B2CF9AE}" pid="13" name="TrimRevisionNumber">
    <vt:i4>1</vt:i4>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