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1512"/>
        <w:gridCol w:w="8342"/>
      </w:tblGrid>
      <w:tr w:rsidR="00814667" w14:paraId="00911253" w14:textId="77777777">
        <w:tc>
          <w:tcPr>
            <w:tcW w:w="5000" w:type="pct"/>
            <w:gridSpan w:val="2"/>
          </w:tcPr>
          <w:p w14:paraId="3AFC6A91" w14:textId="77777777" w:rsidR="00814667" w:rsidRDefault="00BA4284" w:rsidP="003425B0">
            <w:pPr>
              <w:pStyle w:val="CoverTitleMain"/>
            </w:pPr>
            <w:r>
              <w:t>Project AGreement</w:t>
            </w:r>
            <w:r w:rsidR="00292587">
              <w:t xml:space="preserve"> FOR </w:t>
            </w:r>
            <w:r w:rsidR="003425B0">
              <w:t>the victorian cytology service</w:t>
            </w:r>
          </w:p>
        </w:tc>
      </w:tr>
      <w:tr w:rsidR="00814667" w14:paraId="38B44C4A" w14:textId="77777777">
        <w:tc>
          <w:tcPr>
            <w:tcW w:w="767" w:type="pct"/>
          </w:tcPr>
          <w:p w14:paraId="58789EDE" w14:textId="77777777" w:rsidR="00814667" w:rsidRDefault="00814667">
            <w:pPr>
              <w:pStyle w:val="SingleParagraph"/>
              <w:tabs>
                <w:tab w:val="num" w:pos="1134"/>
              </w:tabs>
              <w:spacing w:after="240"/>
              <w:ind w:left="1134" w:hanging="567"/>
            </w:pPr>
          </w:p>
        </w:tc>
        <w:tc>
          <w:tcPr>
            <w:tcW w:w="4233" w:type="pct"/>
          </w:tcPr>
          <w:p w14:paraId="267384A4" w14:textId="77777777" w:rsidR="00814667" w:rsidRDefault="00814667">
            <w:pPr>
              <w:pStyle w:val="SingleParagraph"/>
              <w:tabs>
                <w:tab w:val="num" w:pos="1134"/>
              </w:tabs>
              <w:spacing w:after="240"/>
              <w:ind w:left="1134" w:hanging="567"/>
            </w:pPr>
          </w:p>
        </w:tc>
      </w:tr>
      <w:tr w:rsidR="00814667" w14:paraId="0AEF6197" w14:textId="77777777">
        <w:tc>
          <w:tcPr>
            <w:tcW w:w="767" w:type="pct"/>
          </w:tcPr>
          <w:p w14:paraId="77DF7C02" w14:textId="77777777" w:rsidR="00814667" w:rsidRDefault="00814667">
            <w:pPr>
              <w:pStyle w:val="SingleParagraph"/>
              <w:tabs>
                <w:tab w:val="num" w:pos="1134"/>
              </w:tabs>
              <w:spacing w:after="240"/>
              <w:ind w:left="1134" w:hanging="567"/>
            </w:pPr>
          </w:p>
        </w:tc>
        <w:tc>
          <w:tcPr>
            <w:tcW w:w="4233" w:type="pct"/>
          </w:tcPr>
          <w:p w14:paraId="53A563B8" w14:textId="77777777" w:rsidR="00814667" w:rsidRPr="001E74D0" w:rsidRDefault="00814667">
            <w:pPr>
              <w:pStyle w:val="SingleParagraph"/>
              <w:tabs>
                <w:tab w:val="num" w:pos="1134"/>
              </w:tabs>
              <w:spacing w:after="240"/>
              <w:ind w:left="1134" w:hanging="567"/>
            </w:pPr>
          </w:p>
        </w:tc>
      </w:tr>
      <w:tr w:rsidR="00814667" w14:paraId="633F6F56" w14:textId="77777777">
        <w:tc>
          <w:tcPr>
            <w:tcW w:w="5000" w:type="pct"/>
            <w:gridSpan w:val="2"/>
          </w:tcPr>
          <w:p w14:paraId="1C7F85DF" w14:textId="77777777" w:rsidR="00814667" w:rsidRDefault="00814667">
            <w:pPr>
              <w:pStyle w:val="AgreementHeading"/>
              <w:tabs>
                <w:tab w:val="clear" w:pos="1134"/>
              </w:tabs>
            </w:pPr>
            <w:r>
              <w:t>An agreement between</w:t>
            </w:r>
            <w:r w:rsidR="00697494">
              <w:t>:</w:t>
            </w:r>
          </w:p>
        </w:tc>
      </w:tr>
      <w:tr w:rsidR="00814667" w14:paraId="481F71EA" w14:textId="77777777">
        <w:tc>
          <w:tcPr>
            <w:tcW w:w="767" w:type="pct"/>
          </w:tcPr>
          <w:p w14:paraId="139F2058" w14:textId="77777777" w:rsidR="00814667" w:rsidRPr="001E74D0" w:rsidRDefault="00814667">
            <w:pPr>
              <w:pStyle w:val="AgreementHeading"/>
              <w:tabs>
                <w:tab w:val="clear" w:pos="1134"/>
              </w:tabs>
              <w:ind w:left="522"/>
            </w:pPr>
          </w:p>
        </w:tc>
        <w:tc>
          <w:tcPr>
            <w:tcW w:w="4233" w:type="pct"/>
          </w:tcPr>
          <w:p w14:paraId="5AA88B3C" w14:textId="5E969E85" w:rsidR="00814667" w:rsidRDefault="00814667" w:rsidP="003425B0">
            <w:pPr>
              <w:pStyle w:val="AgreementParties"/>
            </w:pPr>
            <w:r>
              <w:t xml:space="preserve">the </w:t>
            </w:r>
            <w:r>
              <w:rPr>
                <w:rStyle w:val="Bold"/>
              </w:rPr>
              <w:t>Commonwealth of Australia</w:t>
            </w:r>
            <w:r>
              <w:t xml:space="preserve"> and</w:t>
            </w:r>
          </w:p>
          <w:p w14:paraId="0EF270A4" w14:textId="77777777" w:rsidR="003425B0" w:rsidRDefault="003425B0" w:rsidP="003425B0">
            <w:pPr>
              <w:pStyle w:val="AgreementParties"/>
            </w:pPr>
            <w:r>
              <w:t>Victoria</w:t>
            </w:r>
            <w:r w:rsidR="008B3A95">
              <w:t>.</w:t>
            </w:r>
          </w:p>
          <w:p w14:paraId="05D7F004" w14:textId="77777777" w:rsidR="00814667" w:rsidRPr="001E74D0" w:rsidRDefault="00814667" w:rsidP="003425B0">
            <w:pPr>
              <w:pStyle w:val="AgreementParties"/>
              <w:numPr>
                <w:ilvl w:val="0"/>
                <w:numId w:val="0"/>
              </w:numPr>
            </w:pPr>
          </w:p>
        </w:tc>
      </w:tr>
      <w:tr w:rsidR="00814667" w14:paraId="3EEC8BD0" w14:textId="77777777">
        <w:tc>
          <w:tcPr>
            <w:tcW w:w="5000" w:type="pct"/>
            <w:gridSpan w:val="2"/>
          </w:tcPr>
          <w:p w14:paraId="7961FB24" w14:textId="77777777" w:rsidR="00814667" w:rsidRDefault="00814667">
            <w:pPr>
              <w:pStyle w:val="SingleParagraph"/>
              <w:tabs>
                <w:tab w:val="num" w:pos="1134"/>
              </w:tabs>
              <w:spacing w:after="240"/>
              <w:ind w:left="1134" w:hanging="567"/>
            </w:pPr>
          </w:p>
        </w:tc>
      </w:tr>
      <w:tr w:rsidR="00814667" w14:paraId="43B163C3" w14:textId="77777777">
        <w:tc>
          <w:tcPr>
            <w:tcW w:w="5000" w:type="pct"/>
            <w:gridSpan w:val="2"/>
          </w:tcPr>
          <w:p w14:paraId="13BC8E72" w14:textId="7AEE4550" w:rsidR="00814667" w:rsidRDefault="00C21E86" w:rsidP="0099458D">
            <w:pPr>
              <w:pStyle w:val="Abstract"/>
            </w:pPr>
            <w:r>
              <w:t>The</w:t>
            </w:r>
            <w:r w:rsidR="00771FFF">
              <w:t xml:space="preserve"> output</w:t>
            </w:r>
            <w:r w:rsidR="008B3A95">
              <w:t>s</w:t>
            </w:r>
            <w:r w:rsidR="00771FFF">
              <w:t xml:space="preserve"> of this project will be</w:t>
            </w:r>
            <w:r w:rsidR="00845BCC">
              <w:t xml:space="preserve"> </w:t>
            </w:r>
            <w:bookmarkStart w:id="0" w:name="OLE_LINK3"/>
            <w:bookmarkStart w:id="1" w:name="OLE_LINK4"/>
            <w:r w:rsidR="005E7C1A">
              <w:t xml:space="preserve">the processing of </w:t>
            </w:r>
            <w:r w:rsidR="007208F7">
              <w:t xml:space="preserve">primary </w:t>
            </w:r>
            <w:r w:rsidR="005E7C1A">
              <w:t xml:space="preserve">cervical cancer screening tests taken by health </w:t>
            </w:r>
            <w:r w:rsidR="006E476B">
              <w:t xml:space="preserve">practitioners or self-collected, </w:t>
            </w:r>
            <w:r w:rsidR="005E7C1A">
              <w:t>and</w:t>
            </w:r>
            <w:r w:rsidR="008B3A95">
              <w:t xml:space="preserve"> the</w:t>
            </w:r>
            <w:r w:rsidR="005E7C1A">
              <w:t xml:space="preserve"> provision of benchmarking data on the pricing</w:t>
            </w:r>
            <w:r w:rsidR="00620E29">
              <w:t xml:space="preserve"> and quality</w:t>
            </w:r>
            <w:r w:rsidR="005E7C1A">
              <w:t xml:space="preserve"> of cervical screening</w:t>
            </w:r>
            <w:bookmarkEnd w:id="0"/>
            <w:bookmarkEnd w:id="1"/>
            <w:r w:rsidR="00B10DE3">
              <w:t>.</w:t>
            </w:r>
          </w:p>
        </w:tc>
      </w:tr>
    </w:tbl>
    <w:p w14:paraId="074CFA19" w14:textId="77777777" w:rsidR="00814667" w:rsidRDefault="00FF5029">
      <w:pPr>
        <w:pStyle w:val="Title"/>
        <w:pageBreakBefore/>
      </w:pPr>
      <w:r>
        <w:lastRenderedPageBreak/>
        <w:t xml:space="preserve">Project </w:t>
      </w:r>
      <w:r w:rsidR="00D7336A">
        <w:t>Agreement</w:t>
      </w:r>
      <w:r>
        <w:t xml:space="preserve"> for</w:t>
      </w:r>
      <w:r w:rsidR="00C7093C">
        <w:t xml:space="preserve"> </w:t>
      </w:r>
      <w:r w:rsidR="007A6E20">
        <w:br/>
      </w:r>
      <w:r w:rsidR="005E7C1A">
        <w:t>the Victorian Cytology Service</w:t>
      </w:r>
    </w:p>
    <w:p w14:paraId="2F2344C9" w14:textId="77777777" w:rsidR="004B2EF6" w:rsidRPr="004B2EF6" w:rsidRDefault="00804105" w:rsidP="00804105">
      <w:pPr>
        <w:pStyle w:val="Heading1"/>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t>overview</w:t>
      </w:r>
    </w:p>
    <w:p w14:paraId="7712933B" w14:textId="77777777" w:rsidR="00C960AA" w:rsidRPr="0096732C" w:rsidRDefault="00C960AA" w:rsidP="00C0310C">
      <w:pPr>
        <w:pStyle w:val="Normalnumbered"/>
        <w:numPr>
          <w:ilvl w:val="0"/>
          <w:numId w:val="16"/>
        </w:numPr>
        <w:pBdr>
          <w:top w:val="single" w:sz="4" w:space="1" w:color="auto"/>
          <w:left w:val="single" w:sz="4" w:space="4" w:color="auto"/>
          <w:bottom w:val="single" w:sz="4" w:space="1" w:color="auto"/>
          <w:right w:val="single" w:sz="4" w:space="4" w:color="auto"/>
        </w:pBdr>
        <w:shd w:val="clear" w:color="auto" w:fill="DAEEF3" w:themeFill="accent5" w:themeFillTint="33"/>
      </w:pPr>
      <w:r w:rsidRPr="004B1F38">
        <w:rPr>
          <w:color w:val="auto"/>
        </w:rPr>
        <w:t xml:space="preserve">This </w:t>
      </w:r>
      <w:r w:rsidR="00CB4D35">
        <w:rPr>
          <w:color w:val="auto"/>
        </w:rPr>
        <w:t>Project Agreement</w:t>
      </w:r>
      <w:r w:rsidRPr="004B1F38">
        <w:rPr>
          <w:color w:val="auto"/>
        </w:rPr>
        <w:t xml:space="preserve"> (the Agreement) is created subject to the provis</w:t>
      </w:r>
      <w:r w:rsidRPr="004B6083">
        <w:rPr>
          <w:color w:val="auto"/>
        </w:rPr>
        <w:t>i</w:t>
      </w:r>
      <w:r w:rsidRPr="004B1F38">
        <w:rPr>
          <w:color w:val="auto"/>
        </w:rPr>
        <w:t xml:space="preserve">ons of the </w:t>
      </w:r>
      <w:r w:rsidRPr="000614F9">
        <w:rPr>
          <w:color w:val="auto"/>
        </w:rPr>
        <w:t>Intergovernmental Agreement on Federal Financial Relations</w:t>
      </w:r>
      <w:r w:rsidRPr="004B1F38">
        <w:rPr>
          <w:color w:val="auto"/>
        </w:rPr>
        <w:t xml:space="preserve"> </w:t>
      </w:r>
      <w:r w:rsidR="00C2605C" w:rsidRPr="00DE36EB">
        <w:rPr>
          <w:color w:val="auto"/>
        </w:rPr>
        <w:t xml:space="preserve">(IGA FFR) </w:t>
      </w:r>
      <w:r w:rsidRPr="00DE36EB">
        <w:rPr>
          <w:color w:val="auto"/>
        </w:rPr>
        <w:t xml:space="preserve">and should be read in conjunction with that Agreement and </w:t>
      </w:r>
      <w:r w:rsidR="001C346E" w:rsidRPr="00DE36EB">
        <w:rPr>
          <w:color w:val="auto"/>
        </w:rPr>
        <w:t>its</w:t>
      </w:r>
      <w:r w:rsidRPr="00DE36EB">
        <w:rPr>
          <w:color w:val="auto"/>
        </w:rPr>
        <w:t xml:space="preserve"> </w:t>
      </w:r>
      <w:r w:rsidR="001C346E" w:rsidRPr="00DE36EB">
        <w:rPr>
          <w:color w:val="auto"/>
        </w:rPr>
        <w:t>S</w:t>
      </w:r>
      <w:r w:rsidRPr="00DE36EB">
        <w:rPr>
          <w:color w:val="auto"/>
        </w:rPr>
        <w:t>chedules</w:t>
      </w:r>
      <w:r w:rsidR="001C346E" w:rsidRPr="00DE36EB">
        <w:rPr>
          <w:color w:val="auto"/>
        </w:rPr>
        <w:t xml:space="preserve">, which provide information in relation to </w:t>
      </w:r>
      <w:r w:rsidRPr="00DE36EB">
        <w:rPr>
          <w:color w:val="auto"/>
        </w:rPr>
        <w:t>performance reporting and payment arrangements</w:t>
      </w:r>
      <w:r w:rsidR="001C346E" w:rsidRPr="00DE36EB">
        <w:rPr>
          <w:color w:val="auto"/>
        </w:rPr>
        <w:t xml:space="preserve"> under the </w:t>
      </w:r>
      <w:r w:rsidR="008148E2" w:rsidRPr="00DE36EB">
        <w:rPr>
          <w:color w:val="auto"/>
        </w:rPr>
        <w:t>I</w:t>
      </w:r>
      <w:r w:rsidR="00C2605C" w:rsidRPr="00DE36EB">
        <w:rPr>
          <w:color w:val="auto"/>
        </w:rPr>
        <w:t>GA FFR</w:t>
      </w:r>
      <w:r w:rsidRPr="00DE36EB">
        <w:rPr>
          <w:color w:val="auto"/>
        </w:rPr>
        <w:t>.</w:t>
      </w:r>
    </w:p>
    <w:p w14:paraId="21F7568E" w14:textId="624BF1B9" w:rsidR="0096732C" w:rsidRPr="004B1F38" w:rsidRDefault="0096732C" w:rsidP="00804105">
      <w:pPr>
        <w:pStyle w:val="Heading2"/>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rsidRPr="0096732C">
        <w:t>Purpose</w:t>
      </w:r>
    </w:p>
    <w:p w14:paraId="28C03A1D" w14:textId="19B8B4C0" w:rsidR="0096732C" w:rsidRDefault="00852ED8" w:rsidP="00C0310C">
      <w:pPr>
        <w:pStyle w:val="Normalnumbered"/>
        <w:numPr>
          <w:ilvl w:val="0"/>
          <w:numId w:val="16"/>
        </w:numPr>
        <w:pBdr>
          <w:top w:val="single" w:sz="4" w:space="1" w:color="auto"/>
          <w:left w:val="single" w:sz="4" w:space="4" w:color="auto"/>
          <w:bottom w:val="single" w:sz="4" w:space="1" w:color="auto"/>
          <w:right w:val="single" w:sz="4" w:space="4" w:color="auto"/>
        </w:pBdr>
        <w:shd w:val="clear" w:color="auto" w:fill="DAEEF3" w:themeFill="accent5" w:themeFillTint="33"/>
        <w:tabs>
          <w:tab w:val="left" w:pos="567"/>
        </w:tabs>
      </w:pPr>
      <w:r w:rsidRPr="004B1F38">
        <w:t xml:space="preserve">This Agreement will </w:t>
      </w:r>
      <w:r w:rsidR="006146F2">
        <w:t xml:space="preserve">support the </w:t>
      </w:r>
      <w:r w:rsidR="00190235">
        <w:t>Victorian Cytology Service (VCS),</w:t>
      </w:r>
      <w:r w:rsidR="00FF4E35">
        <w:t xml:space="preserve"> </w:t>
      </w:r>
      <w:r w:rsidR="00190235">
        <w:t xml:space="preserve">a national centre of excellence in the early detection of pre-cancerous cervical abnormalities, </w:t>
      </w:r>
      <w:r w:rsidR="008B3A95">
        <w:t xml:space="preserve">to provide </w:t>
      </w:r>
      <w:r w:rsidR="00190235">
        <w:t xml:space="preserve">accurate reporting of </w:t>
      </w:r>
      <w:r w:rsidR="007208F7">
        <w:t xml:space="preserve">primary </w:t>
      </w:r>
      <w:r w:rsidR="00190235">
        <w:t xml:space="preserve">cervical screening tests and benchmarking data on the pricing and quality of </w:t>
      </w:r>
      <w:r w:rsidR="007208F7">
        <w:t xml:space="preserve">primary </w:t>
      </w:r>
      <w:r w:rsidR="00190235">
        <w:t>cervical screening tests.</w:t>
      </w:r>
    </w:p>
    <w:p w14:paraId="71822AAC" w14:textId="77777777" w:rsidR="0096732C"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96732C">
        <w:rPr>
          <w:rFonts w:cs="Arial"/>
          <w:b/>
          <w:bCs/>
          <w:iCs/>
          <w:color w:val="3D4B67"/>
          <w:sz w:val="29"/>
          <w:szCs w:val="28"/>
        </w:rPr>
        <w:t>Reporting Arrangements</w:t>
      </w:r>
      <w:r>
        <w:t xml:space="preserve"> </w:t>
      </w:r>
    </w:p>
    <w:p w14:paraId="29ABF4E8" w14:textId="3D2F7B89" w:rsidR="0096732C" w:rsidRDefault="00190235" w:rsidP="00C0310C">
      <w:pPr>
        <w:pStyle w:val="Normalnumbered"/>
        <w:numPr>
          <w:ilvl w:val="0"/>
          <w:numId w:val="16"/>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t>Victoria will report annually</w:t>
      </w:r>
      <w:r w:rsidR="0096732C">
        <w:t xml:space="preserve"> against the agreed milestones during the operation of this Agreement, as set out in Part 4 – Project Milestones, Reporting and Payments. </w:t>
      </w:r>
    </w:p>
    <w:p w14:paraId="44DF3BD4" w14:textId="77777777" w:rsidR="0096732C" w:rsidRPr="0096732C"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rPr>
          <w:rFonts w:cs="Arial"/>
          <w:b/>
          <w:bCs/>
          <w:iCs/>
          <w:color w:val="3D4B67"/>
          <w:sz w:val="29"/>
          <w:szCs w:val="28"/>
        </w:rPr>
      </w:pPr>
      <w:r w:rsidRPr="0096732C">
        <w:rPr>
          <w:rFonts w:cs="Arial"/>
          <w:b/>
          <w:bCs/>
          <w:iCs/>
          <w:color w:val="3D4B67"/>
          <w:sz w:val="29"/>
          <w:szCs w:val="28"/>
        </w:rPr>
        <w:t xml:space="preserve">Financial Arrangements </w:t>
      </w:r>
    </w:p>
    <w:p w14:paraId="4306FBCC" w14:textId="77777777" w:rsidR="0096732C" w:rsidRPr="004B1F38" w:rsidRDefault="0096732C" w:rsidP="002D2C01">
      <w:pPr>
        <w:pStyle w:val="Normalnumbered"/>
        <w:numPr>
          <w:ilvl w:val="0"/>
          <w:numId w:val="16"/>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7179FE">
        <w:t xml:space="preserve">The Commonwealth will provide </w:t>
      </w:r>
      <w:r>
        <w:t>a</w:t>
      </w:r>
      <w:r w:rsidR="00F234AB">
        <w:t>n estimated</w:t>
      </w:r>
      <w:r>
        <w:t xml:space="preserve"> total </w:t>
      </w:r>
      <w:r w:rsidRPr="007179FE">
        <w:t xml:space="preserve">financial contribution to </w:t>
      </w:r>
      <w:r w:rsidR="002811B7">
        <w:t>Victoria</w:t>
      </w:r>
      <w:r w:rsidRPr="007179FE">
        <w:t xml:space="preserve"> </w:t>
      </w:r>
      <w:r w:rsidR="003E24EE">
        <w:t>of $41,553</w:t>
      </w:r>
      <w:r w:rsidR="00F234AB">
        <w:t>,</w:t>
      </w:r>
      <w:r w:rsidR="003E24EE">
        <w:t>000</w:t>
      </w:r>
      <w:r w:rsidR="009A7D9D">
        <w:t xml:space="preserve"> </w:t>
      </w:r>
      <w:r w:rsidR="00B10DE3">
        <w:t>(</w:t>
      </w:r>
      <w:r w:rsidR="00F234AB">
        <w:t>exclusive of GST</w:t>
      </w:r>
      <w:r w:rsidR="00B10DE3">
        <w:t>)</w:t>
      </w:r>
      <w:r w:rsidR="00EF33DE">
        <w:t xml:space="preserve"> </w:t>
      </w:r>
      <w:r>
        <w:t>in respect of this Agreement</w:t>
      </w:r>
      <w:r w:rsidR="00FC055C">
        <w:t>,</w:t>
      </w:r>
      <w:r>
        <w:t xml:space="preserve"> as set out </w:t>
      </w:r>
      <w:r w:rsidRPr="007179FE">
        <w:t xml:space="preserve">in </w:t>
      </w:r>
      <w:r>
        <w:t>Part 5 – Financial Arrangements</w:t>
      </w:r>
      <w:r w:rsidRPr="007179FE">
        <w:t>.</w:t>
      </w:r>
    </w:p>
    <w:p w14:paraId="7DF69B65" w14:textId="77777777" w:rsidR="00814667" w:rsidRDefault="00814667">
      <w:pPr>
        <w:pStyle w:val="Heading1"/>
      </w:pPr>
      <w:r>
        <w:t>Part 1 — Formalities</w:t>
      </w:r>
    </w:p>
    <w:p w14:paraId="78B46D2C" w14:textId="77777777" w:rsidR="00804105" w:rsidRDefault="00804105" w:rsidP="00C0310C">
      <w:pPr>
        <w:pStyle w:val="Normalnumbered"/>
        <w:numPr>
          <w:ilvl w:val="0"/>
          <w:numId w:val="16"/>
        </w:numPr>
      </w:pPr>
      <w:r>
        <w:t>This Agreement constitutes the entire agreement for this project.</w:t>
      </w:r>
    </w:p>
    <w:p w14:paraId="3CCD1803" w14:textId="77777777" w:rsidR="00814667" w:rsidRDefault="00814667">
      <w:pPr>
        <w:pStyle w:val="Heading2"/>
      </w:pPr>
      <w:r>
        <w:t>Parties to this Agreement</w:t>
      </w:r>
    </w:p>
    <w:p w14:paraId="231EFBA4" w14:textId="77777777" w:rsidR="007B4B03" w:rsidRPr="007B4B03" w:rsidRDefault="00E7195E" w:rsidP="00C0310C">
      <w:pPr>
        <w:pStyle w:val="Normalnumbered"/>
        <w:numPr>
          <w:ilvl w:val="0"/>
          <w:numId w:val="16"/>
        </w:numPr>
      </w:pPr>
      <w:r w:rsidRPr="003012DA">
        <w:t xml:space="preserve">This </w:t>
      </w:r>
      <w:r w:rsidR="00E31096">
        <w:t xml:space="preserve">Agreement </w:t>
      </w:r>
      <w:r w:rsidRPr="003012DA">
        <w:t>is between the Commonwealth of Australia (the</w:t>
      </w:r>
      <w:r w:rsidR="00593821">
        <w:t xml:space="preserve"> Commonwealth</w:t>
      </w:r>
      <w:r w:rsidRPr="003012DA">
        <w:t xml:space="preserve">) and </w:t>
      </w:r>
      <w:r w:rsidR="00D41392">
        <w:t>Victoria.</w:t>
      </w:r>
    </w:p>
    <w:p w14:paraId="76A8802B" w14:textId="77777777" w:rsidR="00814667" w:rsidRDefault="00814667">
      <w:pPr>
        <w:pStyle w:val="Heading2"/>
      </w:pPr>
      <w:r>
        <w:t>Term of the Agreement</w:t>
      </w:r>
    </w:p>
    <w:p w14:paraId="3949D74D" w14:textId="77777777" w:rsidR="00814667" w:rsidRPr="00DE36EB" w:rsidRDefault="00814667" w:rsidP="00C0310C">
      <w:pPr>
        <w:pStyle w:val="Normalnumbered"/>
        <w:numPr>
          <w:ilvl w:val="0"/>
          <w:numId w:val="16"/>
        </w:numPr>
      </w:pPr>
      <w:r w:rsidRPr="00DE36EB">
        <w:t xml:space="preserve">This Agreement will commence </w:t>
      </w:r>
      <w:r w:rsidR="0064674B">
        <w:t xml:space="preserve">as soon as the Commonwealth and Victoria sign </w:t>
      </w:r>
      <w:r w:rsidR="002811B7">
        <w:t>it</w:t>
      </w:r>
      <w:r w:rsidR="0064674B">
        <w:t xml:space="preserve"> and </w:t>
      </w:r>
      <w:r w:rsidRPr="00DE36EB">
        <w:t>will expire on</w:t>
      </w:r>
      <w:r w:rsidR="00C7093C" w:rsidRPr="00DE36EB">
        <w:t xml:space="preserve"> </w:t>
      </w:r>
      <w:r w:rsidR="0064674B">
        <w:t xml:space="preserve">30 June 2021 </w:t>
      </w:r>
      <w:r w:rsidR="00284884" w:rsidRPr="00DE36EB">
        <w:t>or on</w:t>
      </w:r>
      <w:r w:rsidR="00FA2EC0" w:rsidRPr="00DE36EB">
        <w:t xml:space="preserve"> complet</w:t>
      </w:r>
      <w:r w:rsidR="00284884" w:rsidRPr="00DE36EB">
        <w:t>ion of the project, including final performance reporting an</w:t>
      </w:r>
      <w:r w:rsidR="00AE2AFD" w:rsidRPr="00DE36EB">
        <w:t>d</w:t>
      </w:r>
      <w:r w:rsidR="00284884" w:rsidRPr="00DE36EB">
        <w:t xml:space="preserve"> processing of final payments against milestones</w:t>
      </w:r>
      <w:r w:rsidRPr="00DE36EB">
        <w:t xml:space="preserve">, </w:t>
      </w:r>
      <w:r w:rsidR="00852ED8" w:rsidRPr="00DE36EB">
        <w:t xml:space="preserve">unless </w:t>
      </w:r>
      <w:r w:rsidRPr="00DE36EB">
        <w:t>terminat</w:t>
      </w:r>
      <w:r w:rsidR="00852ED8" w:rsidRPr="00DE36EB">
        <w:t xml:space="preserve">ed </w:t>
      </w:r>
      <w:r w:rsidR="001A7A15" w:rsidRPr="00DE36EB">
        <w:t xml:space="preserve">earlier </w:t>
      </w:r>
      <w:r w:rsidR="00852ED8" w:rsidRPr="00DE36EB">
        <w:t xml:space="preserve">or extended </w:t>
      </w:r>
      <w:r w:rsidRPr="00DE36EB">
        <w:t>as agreed in writing by the Parties.</w:t>
      </w:r>
    </w:p>
    <w:p w14:paraId="60D56B2E" w14:textId="77777777" w:rsidR="00784439" w:rsidRPr="008C7382" w:rsidRDefault="00784439" w:rsidP="00784439">
      <w:pPr>
        <w:pStyle w:val="Heading2"/>
        <w:ind w:right="-568"/>
        <w:rPr>
          <w:b w:val="0"/>
          <w:sz w:val="23"/>
          <w:szCs w:val="23"/>
        </w:rPr>
      </w:pPr>
      <w:r w:rsidRPr="00784439">
        <w:rPr>
          <w:rFonts w:ascii="Consolas" w:hAnsi="Consolas"/>
          <w:b w:val="0"/>
          <w:iCs w:val="0"/>
          <w:caps/>
          <w:kern w:val="32"/>
          <w:sz w:val="32"/>
          <w:szCs w:val="36"/>
        </w:rPr>
        <w:t>P</w:t>
      </w:r>
      <w:r w:rsidR="00814667" w:rsidRPr="00784439">
        <w:rPr>
          <w:rFonts w:ascii="Consolas" w:hAnsi="Consolas"/>
          <w:b w:val="0"/>
          <w:iCs w:val="0"/>
          <w:caps/>
          <w:kern w:val="32"/>
          <w:sz w:val="32"/>
          <w:szCs w:val="36"/>
        </w:rPr>
        <w:t xml:space="preserve">art 2 — </w:t>
      </w:r>
      <w:r w:rsidR="00FF5029" w:rsidRPr="00784439">
        <w:rPr>
          <w:rFonts w:ascii="Consolas" w:hAnsi="Consolas"/>
          <w:b w:val="0"/>
          <w:iCs w:val="0"/>
          <w:caps/>
          <w:kern w:val="32"/>
          <w:sz w:val="32"/>
          <w:szCs w:val="36"/>
        </w:rPr>
        <w:t>Project</w:t>
      </w:r>
      <w:r w:rsidR="00814667" w:rsidRPr="00784439">
        <w:rPr>
          <w:rFonts w:ascii="Consolas" w:hAnsi="Consolas"/>
          <w:b w:val="0"/>
          <w:iCs w:val="0"/>
          <w:caps/>
          <w:kern w:val="32"/>
          <w:sz w:val="32"/>
          <w:szCs w:val="36"/>
        </w:rPr>
        <w:t xml:space="preserve"> outputs</w:t>
      </w:r>
    </w:p>
    <w:p w14:paraId="767DA51D" w14:textId="77777777" w:rsidR="00814667" w:rsidRDefault="00814667">
      <w:pPr>
        <w:pStyle w:val="Heading2"/>
      </w:pPr>
      <w:r>
        <w:t>Outputs</w:t>
      </w:r>
    </w:p>
    <w:p w14:paraId="4D344ED5" w14:textId="77777777" w:rsidR="0085738D" w:rsidRDefault="00814667" w:rsidP="00C0310C">
      <w:pPr>
        <w:pStyle w:val="Normalnumbered"/>
        <w:numPr>
          <w:ilvl w:val="0"/>
          <w:numId w:val="16"/>
        </w:numPr>
        <w:jc w:val="left"/>
      </w:pPr>
      <w:r w:rsidRPr="0085738D">
        <w:t>The o</w:t>
      </w:r>
      <w:r w:rsidR="00620E29">
        <w:t>utputs</w:t>
      </w:r>
      <w:r w:rsidR="006F79D3">
        <w:t xml:space="preserve"> of this Agreement will be</w:t>
      </w:r>
      <w:r w:rsidR="00435079">
        <w:t xml:space="preserve"> the delivery of</w:t>
      </w:r>
      <w:r w:rsidR="006F79D3">
        <w:t>:</w:t>
      </w:r>
    </w:p>
    <w:p w14:paraId="6AC1209C" w14:textId="48DE542D" w:rsidR="00B06097" w:rsidRDefault="00620E29" w:rsidP="009B08A7">
      <w:pPr>
        <w:pStyle w:val="AlphaParagraph"/>
        <w:numPr>
          <w:ilvl w:val="0"/>
          <w:numId w:val="37"/>
        </w:numPr>
        <w:tabs>
          <w:tab w:val="clear" w:pos="283"/>
          <w:tab w:val="clear" w:pos="567"/>
          <w:tab w:val="clear" w:pos="1418"/>
          <w:tab w:val="clear" w:pos="1701"/>
        </w:tabs>
        <w:ind w:left="1134" w:hanging="567"/>
      </w:pPr>
      <w:r>
        <w:t>process</w:t>
      </w:r>
      <w:r w:rsidR="00435079">
        <w:t>ed</w:t>
      </w:r>
      <w:r>
        <w:t xml:space="preserve"> </w:t>
      </w:r>
      <w:r w:rsidR="00FD22C5">
        <w:t xml:space="preserve">primary </w:t>
      </w:r>
      <w:r>
        <w:t xml:space="preserve">cervical screening tests </w:t>
      </w:r>
      <w:r w:rsidR="00D9592B">
        <w:t xml:space="preserve">in Victoria </w:t>
      </w:r>
      <w:r>
        <w:t>taken by health practitioners,</w:t>
      </w:r>
      <w:r w:rsidR="006E476B">
        <w:t xml:space="preserve"> or self-collected</w:t>
      </w:r>
      <w:r w:rsidR="00BA3AE7">
        <w:t xml:space="preserve">, </w:t>
      </w:r>
      <w:r>
        <w:t xml:space="preserve"> in line with the National Cervical Screening Program</w:t>
      </w:r>
      <w:r w:rsidR="00AF1F87">
        <w:t xml:space="preserve"> (NCSP)</w:t>
      </w:r>
      <w:r w:rsidR="003B737F">
        <w:t>;</w:t>
      </w:r>
    </w:p>
    <w:p w14:paraId="0E0CFBB5" w14:textId="424D811A" w:rsidR="00C31639" w:rsidRDefault="00620E29" w:rsidP="009B08A7">
      <w:pPr>
        <w:pStyle w:val="AlphaParagraph"/>
        <w:numPr>
          <w:ilvl w:val="0"/>
          <w:numId w:val="37"/>
        </w:numPr>
        <w:tabs>
          <w:tab w:val="clear" w:pos="283"/>
          <w:tab w:val="clear" w:pos="567"/>
          <w:tab w:val="clear" w:pos="1418"/>
          <w:tab w:val="clear" w:pos="1701"/>
        </w:tabs>
        <w:ind w:left="1134" w:hanging="567"/>
      </w:pPr>
      <w:r>
        <w:lastRenderedPageBreak/>
        <w:t xml:space="preserve">benchmarking data </w:t>
      </w:r>
      <w:r w:rsidR="008B3A95">
        <w:t xml:space="preserve">to the Commonwealth </w:t>
      </w:r>
      <w:r>
        <w:t xml:space="preserve">on the pricing and quality of </w:t>
      </w:r>
      <w:r w:rsidR="007208F7">
        <w:t>primary</w:t>
      </w:r>
      <w:r w:rsidR="00423002">
        <w:t xml:space="preserve"> </w:t>
      </w:r>
      <w:r>
        <w:t>cervical screening tests</w:t>
      </w:r>
      <w:r w:rsidR="00B06097">
        <w:t>;</w:t>
      </w:r>
    </w:p>
    <w:p w14:paraId="23210BF9" w14:textId="77777777" w:rsidR="00C31639" w:rsidRDefault="00C31639" w:rsidP="009B08A7">
      <w:pPr>
        <w:pStyle w:val="AlphaParagraph"/>
        <w:numPr>
          <w:ilvl w:val="0"/>
          <w:numId w:val="37"/>
        </w:numPr>
        <w:tabs>
          <w:tab w:val="clear" w:pos="283"/>
          <w:tab w:val="clear" w:pos="567"/>
          <w:tab w:val="clear" w:pos="1418"/>
          <w:tab w:val="clear" w:pos="1701"/>
        </w:tabs>
        <w:ind w:left="1134" w:hanging="567"/>
      </w:pPr>
      <w:r>
        <w:t>reporting on the impact of the renewed NCSP</w:t>
      </w:r>
      <w:r w:rsidR="00574D26">
        <w:rPr>
          <w:rStyle w:val="FootnoteReference"/>
        </w:rPr>
        <w:footnoteReference w:id="2"/>
      </w:r>
      <w:r>
        <w:t>;</w:t>
      </w:r>
    </w:p>
    <w:p w14:paraId="45D5124B" w14:textId="4DB35FA3" w:rsidR="00C31639" w:rsidRDefault="00A61571" w:rsidP="009B08A7">
      <w:pPr>
        <w:pStyle w:val="AlphaParagraph"/>
        <w:numPr>
          <w:ilvl w:val="0"/>
          <w:numId w:val="37"/>
        </w:numPr>
        <w:tabs>
          <w:tab w:val="clear" w:pos="283"/>
          <w:tab w:val="clear" w:pos="567"/>
          <w:tab w:val="clear" w:pos="1418"/>
          <w:tab w:val="clear" w:pos="1701"/>
        </w:tabs>
        <w:ind w:left="1134" w:hanging="567"/>
      </w:pPr>
      <w:r>
        <w:t>education, training and support for cervical</w:t>
      </w:r>
      <w:r w:rsidR="000F6C05">
        <w:t xml:space="preserve"> </w:t>
      </w:r>
      <w:r>
        <w:t>screening test collectors to support the NCSP</w:t>
      </w:r>
      <w:r w:rsidR="00C31639">
        <w:t>;</w:t>
      </w:r>
    </w:p>
    <w:p w14:paraId="1A2BA1FD" w14:textId="5639FF32" w:rsidR="00814667" w:rsidRDefault="00C31639" w:rsidP="009B08A7">
      <w:pPr>
        <w:pStyle w:val="AlphaParagraph"/>
        <w:numPr>
          <w:ilvl w:val="0"/>
          <w:numId w:val="37"/>
        </w:numPr>
        <w:tabs>
          <w:tab w:val="clear" w:pos="283"/>
          <w:tab w:val="clear" w:pos="567"/>
          <w:tab w:val="clear" w:pos="1418"/>
          <w:tab w:val="clear" w:pos="1701"/>
        </w:tabs>
        <w:ind w:left="1134" w:hanging="567"/>
      </w:pPr>
      <w:r>
        <w:t>assess</w:t>
      </w:r>
      <w:r w:rsidR="00574D26">
        <w:t>ment</w:t>
      </w:r>
      <w:r>
        <w:t xml:space="preserve"> </w:t>
      </w:r>
      <w:r w:rsidR="00574D26">
        <w:t xml:space="preserve">of </w:t>
      </w:r>
      <w:r>
        <w:t xml:space="preserve">the new </w:t>
      </w:r>
      <w:r w:rsidR="000F6C05">
        <w:t xml:space="preserve">primary </w:t>
      </w:r>
      <w:r>
        <w:t xml:space="preserve">cervical screening tests </w:t>
      </w:r>
      <w:r w:rsidR="006E476B">
        <w:t xml:space="preserve">taken in Victoria </w:t>
      </w:r>
      <w:r>
        <w:t xml:space="preserve">to support the COMPASS trial; </w:t>
      </w:r>
      <w:r w:rsidR="00814590">
        <w:t>and</w:t>
      </w:r>
    </w:p>
    <w:p w14:paraId="16F2191D" w14:textId="482F3C1F" w:rsidR="00681956" w:rsidRPr="0085738D" w:rsidRDefault="00AF1F87" w:rsidP="009B08A7">
      <w:pPr>
        <w:pStyle w:val="AlphaParagraph"/>
        <w:numPr>
          <w:ilvl w:val="0"/>
          <w:numId w:val="37"/>
        </w:numPr>
        <w:tabs>
          <w:tab w:val="clear" w:pos="283"/>
          <w:tab w:val="clear" w:pos="567"/>
          <w:tab w:val="clear" w:pos="1418"/>
          <w:tab w:val="clear" w:pos="1701"/>
        </w:tabs>
        <w:ind w:left="1134" w:hanging="567"/>
      </w:pPr>
      <w:r>
        <w:t xml:space="preserve">research </w:t>
      </w:r>
      <w:r w:rsidR="00D01D30">
        <w:t xml:space="preserve">and support </w:t>
      </w:r>
      <w:r>
        <w:t xml:space="preserve">activities that </w:t>
      </w:r>
      <w:r w:rsidR="00D01D30">
        <w:t>promote</w:t>
      </w:r>
      <w:r>
        <w:t xml:space="preserve"> continued participation in the NCSP</w:t>
      </w:r>
      <w:r w:rsidR="00814590">
        <w:t>.</w:t>
      </w:r>
    </w:p>
    <w:p w14:paraId="60BA3BD5" w14:textId="77777777" w:rsidR="008F44F1" w:rsidRDefault="008F44F1">
      <w:pPr>
        <w:pStyle w:val="Heading1"/>
      </w:pPr>
      <w:r>
        <w:t>Part 3 — roles and responsibilities of each party</w:t>
      </w:r>
    </w:p>
    <w:p w14:paraId="63965376" w14:textId="77777777" w:rsidR="008F44F1" w:rsidRDefault="008F44F1" w:rsidP="008F44F1">
      <w:pPr>
        <w:pStyle w:val="Heading2"/>
      </w:pPr>
      <w:r w:rsidRPr="00814590">
        <w:t>Role of the Commonwealth</w:t>
      </w:r>
    </w:p>
    <w:p w14:paraId="190CC417" w14:textId="77777777" w:rsidR="008F44F1" w:rsidRDefault="008F44F1" w:rsidP="00C0310C">
      <w:pPr>
        <w:pStyle w:val="Normalnumbered"/>
        <w:numPr>
          <w:ilvl w:val="0"/>
          <w:numId w:val="16"/>
        </w:numPr>
        <w:jc w:val="left"/>
      </w:pPr>
      <w:r>
        <w:t>The Commonwealth will be responsible for:</w:t>
      </w:r>
    </w:p>
    <w:p w14:paraId="19CB6140" w14:textId="77777777" w:rsidR="008F44F1" w:rsidRPr="000614F9" w:rsidRDefault="008F44F1" w:rsidP="009B08A7">
      <w:pPr>
        <w:pStyle w:val="AlphaParagraph"/>
        <w:numPr>
          <w:ilvl w:val="0"/>
          <w:numId w:val="38"/>
        </w:numPr>
        <w:tabs>
          <w:tab w:val="clear" w:pos="283"/>
          <w:tab w:val="clear" w:pos="567"/>
          <w:tab w:val="clear" w:pos="1418"/>
          <w:tab w:val="clear" w:pos="1701"/>
        </w:tabs>
        <w:ind w:left="1134" w:hanging="567"/>
      </w:pPr>
      <w:r w:rsidRPr="000614F9">
        <w:rPr>
          <w:color w:val="auto"/>
        </w:rPr>
        <w:t>monitoring</w:t>
      </w:r>
      <w:r w:rsidRPr="004B6083">
        <w:t xml:space="preserve"> and assessing achievement against mil</w:t>
      </w:r>
      <w:r w:rsidR="00516FE2">
        <w:t xml:space="preserve">estones </w:t>
      </w:r>
      <w:r w:rsidRPr="000614F9">
        <w:rPr>
          <w:color w:val="auto"/>
        </w:rPr>
        <w:t>under</w:t>
      </w:r>
      <w:r w:rsidRPr="004B6083">
        <w:t xml:space="preserve"> this Agreement to ensure that outputs are delivered within the agreed timeframe; </w:t>
      </w:r>
    </w:p>
    <w:p w14:paraId="2A5EA540" w14:textId="77777777" w:rsidR="005B3605" w:rsidRDefault="008F44F1" w:rsidP="009B08A7">
      <w:pPr>
        <w:pStyle w:val="AlphaParagraph"/>
        <w:numPr>
          <w:ilvl w:val="0"/>
          <w:numId w:val="38"/>
        </w:numPr>
        <w:tabs>
          <w:tab w:val="clear" w:pos="283"/>
          <w:tab w:val="clear" w:pos="567"/>
          <w:tab w:val="clear" w:pos="1418"/>
          <w:tab w:val="clear" w:pos="1701"/>
        </w:tabs>
        <w:ind w:left="1134" w:hanging="567"/>
        <w:rPr>
          <w:color w:val="auto"/>
        </w:rPr>
      </w:pPr>
      <w:r w:rsidRPr="004B6083">
        <w:rPr>
          <w:color w:val="auto"/>
        </w:rPr>
        <w:t xml:space="preserve">providing a consequent financial contribution </w:t>
      </w:r>
      <w:r w:rsidR="00AF1F87">
        <w:rPr>
          <w:color w:val="auto"/>
        </w:rPr>
        <w:t>to Victoria</w:t>
      </w:r>
      <w:r w:rsidRPr="004B6083">
        <w:rPr>
          <w:color w:val="auto"/>
        </w:rPr>
        <w:t xml:space="preserve"> to support the </w:t>
      </w:r>
      <w:r w:rsidRPr="000614F9">
        <w:t>implementation</w:t>
      </w:r>
      <w:r w:rsidR="00053011">
        <w:rPr>
          <w:color w:val="auto"/>
        </w:rPr>
        <w:t xml:space="preserve"> of this Agreement</w:t>
      </w:r>
      <w:r w:rsidR="005B3605">
        <w:rPr>
          <w:color w:val="auto"/>
        </w:rPr>
        <w:t>; and</w:t>
      </w:r>
    </w:p>
    <w:p w14:paraId="0BF6494B" w14:textId="77777777" w:rsidR="008F44F1" w:rsidRPr="000614F9" w:rsidRDefault="005B3605" w:rsidP="009B08A7">
      <w:pPr>
        <w:pStyle w:val="AlphaParagraph"/>
        <w:numPr>
          <w:ilvl w:val="0"/>
          <w:numId w:val="38"/>
        </w:numPr>
        <w:tabs>
          <w:tab w:val="clear" w:pos="283"/>
          <w:tab w:val="clear" w:pos="567"/>
          <w:tab w:val="clear" w:pos="1418"/>
          <w:tab w:val="clear" w:pos="1701"/>
        </w:tabs>
        <w:ind w:left="1134" w:hanging="567"/>
        <w:rPr>
          <w:color w:val="auto"/>
        </w:rPr>
      </w:pPr>
      <w:r>
        <w:rPr>
          <w:color w:val="auto"/>
        </w:rPr>
        <w:t>conducting a review of services and outputs delivered under this Agreement within twelve months of its expiry</w:t>
      </w:r>
      <w:r w:rsidR="00053011">
        <w:rPr>
          <w:color w:val="auto"/>
        </w:rPr>
        <w:t>.</w:t>
      </w:r>
    </w:p>
    <w:p w14:paraId="026668D7" w14:textId="77777777" w:rsidR="008F44F1" w:rsidRPr="00751725" w:rsidRDefault="008F44F1" w:rsidP="008F44F1">
      <w:pPr>
        <w:pStyle w:val="Heading2"/>
      </w:pPr>
      <w:r w:rsidRPr="00751725">
        <w:t xml:space="preserve">Role of </w:t>
      </w:r>
      <w:r w:rsidR="00053011">
        <w:t>Victoria</w:t>
      </w:r>
    </w:p>
    <w:p w14:paraId="2DD0A220" w14:textId="77777777" w:rsidR="008F44F1" w:rsidRPr="00751725" w:rsidRDefault="00053011" w:rsidP="00C0310C">
      <w:pPr>
        <w:pStyle w:val="Normalnumbered"/>
        <w:numPr>
          <w:ilvl w:val="0"/>
          <w:numId w:val="16"/>
        </w:numPr>
        <w:jc w:val="left"/>
      </w:pPr>
      <w:r>
        <w:t xml:space="preserve">Victoria </w:t>
      </w:r>
      <w:r w:rsidR="008F44F1">
        <w:t>will be responsible for</w:t>
      </w:r>
      <w:r w:rsidR="00545DF7">
        <w:t>:</w:t>
      </w:r>
    </w:p>
    <w:p w14:paraId="37E86AF0" w14:textId="77777777" w:rsidR="008F44F1" w:rsidRDefault="008F44F1" w:rsidP="009B08A7">
      <w:pPr>
        <w:pStyle w:val="AlphaParagraph"/>
        <w:numPr>
          <w:ilvl w:val="0"/>
          <w:numId w:val="39"/>
        </w:numPr>
        <w:tabs>
          <w:tab w:val="clear" w:pos="283"/>
          <w:tab w:val="clear" w:pos="567"/>
          <w:tab w:val="clear" w:pos="1418"/>
          <w:tab w:val="clear" w:pos="1701"/>
          <w:tab w:val="left" w:pos="1134"/>
        </w:tabs>
        <w:ind w:hanging="567"/>
      </w:pPr>
      <w:r>
        <w:t>all aspects of delivering on the project ou</w:t>
      </w:r>
      <w:r w:rsidR="00053011">
        <w:t>tputs set out in this Agreement;</w:t>
      </w:r>
    </w:p>
    <w:p w14:paraId="6A5B4457" w14:textId="77777777" w:rsidR="005B3605" w:rsidRDefault="00A6719E" w:rsidP="009B08A7">
      <w:pPr>
        <w:pStyle w:val="AlphaParagraph"/>
        <w:numPr>
          <w:ilvl w:val="0"/>
          <w:numId w:val="39"/>
        </w:numPr>
        <w:tabs>
          <w:tab w:val="clear" w:pos="283"/>
          <w:tab w:val="clear" w:pos="567"/>
          <w:tab w:val="clear" w:pos="1418"/>
          <w:tab w:val="clear" w:pos="1701"/>
        </w:tabs>
        <w:ind w:hanging="567"/>
      </w:pPr>
      <w:r w:rsidRPr="006B4DF0">
        <w:t xml:space="preserve">reporting on the delivery of </w:t>
      </w:r>
      <w:r>
        <w:t>outputs</w:t>
      </w:r>
      <w:r w:rsidRPr="006B4DF0">
        <w:t xml:space="preserve"> </w:t>
      </w:r>
      <w:r>
        <w:t>as set out in Part 4</w:t>
      </w:r>
      <w:r w:rsidRPr="006B4DF0">
        <w:t xml:space="preserve"> – P</w:t>
      </w:r>
      <w:r>
        <w:t>roject Milestones, Reporting and Payments</w:t>
      </w:r>
      <w:r w:rsidR="005B3605">
        <w:t>; and</w:t>
      </w:r>
    </w:p>
    <w:p w14:paraId="4A599E90" w14:textId="77777777" w:rsidR="00A6719E" w:rsidRDefault="005B3605" w:rsidP="009B08A7">
      <w:pPr>
        <w:pStyle w:val="AlphaParagraph"/>
        <w:numPr>
          <w:ilvl w:val="0"/>
          <w:numId w:val="39"/>
        </w:numPr>
        <w:tabs>
          <w:tab w:val="clear" w:pos="283"/>
          <w:tab w:val="clear" w:pos="567"/>
          <w:tab w:val="clear" w:pos="1418"/>
          <w:tab w:val="clear" w:pos="1701"/>
        </w:tabs>
        <w:ind w:hanging="567"/>
      </w:pPr>
      <w:r>
        <w:t>participating in a review of services and outputs delivered under this Agreement</w:t>
      </w:r>
      <w:r w:rsidR="00053011">
        <w:t>.</w:t>
      </w:r>
    </w:p>
    <w:p w14:paraId="6B24D5CC" w14:textId="77777777" w:rsidR="008F44F1" w:rsidRDefault="008F44F1" w:rsidP="008F44F1">
      <w:pPr>
        <w:pStyle w:val="Heading2"/>
      </w:pPr>
      <w:r>
        <w:t>Shared roles</w:t>
      </w:r>
    </w:p>
    <w:p w14:paraId="7F2AEAFE" w14:textId="77777777" w:rsidR="008F44F1" w:rsidRDefault="008F44F1" w:rsidP="00C0310C">
      <w:pPr>
        <w:pStyle w:val="Normalnumbered"/>
        <w:numPr>
          <w:ilvl w:val="0"/>
          <w:numId w:val="16"/>
        </w:numPr>
        <w:spacing w:after="480"/>
      </w:pPr>
      <w:r>
        <w:rPr>
          <w:color w:val="auto"/>
        </w:rPr>
        <w:t>The</w:t>
      </w:r>
      <w:r w:rsidRPr="00166312">
        <w:rPr>
          <w:color w:val="auto"/>
        </w:rPr>
        <w:t xml:space="preserve"> Parties will</w:t>
      </w:r>
      <w:r>
        <w:rPr>
          <w:color w:val="auto"/>
        </w:rPr>
        <w:t xml:space="preserve"> </w:t>
      </w:r>
      <w:r>
        <w:t xml:space="preserve">meet the requirements of Schedule E, Clause 26 of </w:t>
      </w:r>
      <w:r w:rsidRPr="00183EAB">
        <w:rPr>
          <w:color w:val="auto"/>
        </w:rPr>
        <w:t xml:space="preserve">the </w:t>
      </w:r>
      <w:r w:rsidR="00C41265">
        <w:rPr>
          <w:color w:val="auto"/>
        </w:rPr>
        <w:t>IGA FFR</w:t>
      </w:r>
      <w:r w:rsidRPr="000614F9">
        <w:rPr>
          <w:color w:val="auto"/>
        </w:rPr>
        <w:t>, by ensuring that prior agreemen</w:t>
      </w:r>
      <w:r>
        <w:t>t is reached on the nature and content of any events, announcements, promotional material or publicity relating to activities under this Agreement, and that the roles of both Parties will be acknowledged and recognised appropriately.</w:t>
      </w:r>
    </w:p>
    <w:p w14:paraId="2C860417" w14:textId="77777777" w:rsidR="00814667" w:rsidRPr="00814590" w:rsidRDefault="00814667">
      <w:pPr>
        <w:pStyle w:val="Heading1"/>
      </w:pPr>
      <w:r w:rsidRPr="00814590">
        <w:lastRenderedPageBreak/>
        <w:t xml:space="preserve">Part 4 — </w:t>
      </w:r>
      <w:r w:rsidR="0095223D" w:rsidRPr="00814590">
        <w:t>P</w:t>
      </w:r>
      <w:r w:rsidR="0095223D">
        <w:t>roject</w:t>
      </w:r>
      <w:r w:rsidR="0095223D" w:rsidRPr="00814590">
        <w:t xml:space="preserve"> </w:t>
      </w:r>
      <w:r w:rsidR="00F8684A">
        <w:t>milestones</w:t>
      </w:r>
      <w:r w:rsidR="0095223D">
        <w:t xml:space="preserve">, </w:t>
      </w:r>
      <w:r w:rsidRPr="00814590">
        <w:t>reporting</w:t>
      </w:r>
      <w:r w:rsidR="00B8096A">
        <w:t xml:space="preserve"> and Payment</w:t>
      </w:r>
      <w:r w:rsidR="0095223D">
        <w:t>s</w:t>
      </w:r>
    </w:p>
    <w:p w14:paraId="2C57BCE6" w14:textId="77777777" w:rsidR="004B6083" w:rsidRDefault="00545DF7" w:rsidP="00C0310C">
      <w:pPr>
        <w:pStyle w:val="Normalnumbered"/>
        <w:numPr>
          <w:ilvl w:val="0"/>
          <w:numId w:val="16"/>
        </w:numPr>
      </w:pPr>
      <w:r w:rsidRPr="00DE36EB">
        <w:t>T</w:t>
      </w:r>
      <w:r w:rsidR="007C4F31" w:rsidRPr="00DE36EB">
        <w:t xml:space="preserve">able </w:t>
      </w:r>
      <w:r w:rsidRPr="00DE36EB">
        <w:t>1</w:t>
      </w:r>
      <w:r>
        <w:t xml:space="preserve"> </w:t>
      </w:r>
      <w:r w:rsidR="007C4F31">
        <w:t xml:space="preserve">summarises the milestones for the project, their relationship to the outputs, expected completion dates, relevant reporting dates and expected payments </w:t>
      </w:r>
      <w:r w:rsidR="0077685D">
        <w:t>to be made</w:t>
      </w:r>
      <w:r w:rsidR="00ED2AC4">
        <w:t xml:space="preserve">. The Commonwealth will make payments subject to the </w:t>
      </w:r>
      <w:r w:rsidR="00516FE2">
        <w:t>regular corresp</w:t>
      </w:r>
      <w:r w:rsidR="008B3A95">
        <w:t>o</w:t>
      </w:r>
      <w:r w:rsidR="00516FE2">
        <w:t>nding</w:t>
      </w:r>
      <w:r w:rsidR="00ED2AC4">
        <w:t xml:space="preserve"> performance report demonstrating the relevant </w:t>
      </w:r>
      <w:r w:rsidR="00ED2AC4" w:rsidRPr="00EF6486">
        <w:rPr>
          <w:szCs w:val="23"/>
        </w:rPr>
        <w:t>milestone</w:t>
      </w:r>
      <w:r w:rsidR="00F92F1A">
        <w:rPr>
          <w:szCs w:val="23"/>
        </w:rPr>
        <w:t>s</w:t>
      </w:r>
      <w:r w:rsidR="00ED2AC4" w:rsidRPr="00EF6486">
        <w:rPr>
          <w:szCs w:val="23"/>
        </w:rPr>
        <w:t xml:space="preserve"> </w:t>
      </w:r>
      <w:r w:rsidR="00ED2AC4">
        <w:t>ha</w:t>
      </w:r>
      <w:r w:rsidR="00F92F1A">
        <w:t>ve</w:t>
      </w:r>
      <w:r w:rsidR="00ED2AC4">
        <w:t xml:space="preserve"> been met</w:t>
      </w:r>
      <w:r w:rsidR="00D9592B">
        <w:t>.</w:t>
      </w:r>
    </w:p>
    <w:p w14:paraId="3CF69587" w14:textId="77777777" w:rsidR="00F3245D" w:rsidRPr="000E2AF6" w:rsidRDefault="0095223D" w:rsidP="008E0AD6">
      <w:pPr>
        <w:pStyle w:val="Normalnumbered"/>
        <w:keepNext/>
        <w:numPr>
          <w:ilvl w:val="0"/>
          <w:numId w:val="0"/>
        </w:numPr>
      </w:pPr>
      <w:r w:rsidRPr="001D3CAD">
        <w:rPr>
          <w:b/>
        </w:rPr>
        <w:t xml:space="preserve">Table </w:t>
      </w:r>
      <w:r w:rsidR="00E204BB">
        <w:rPr>
          <w:b/>
        </w:rPr>
        <w:t>1</w:t>
      </w:r>
      <w:r w:rsidRPr="001D3CAD">
        <w:t xml:space="preserve">: </w:t>
      </w:r>
      <w:r w:rsidR="00806D94">
        <w:rPr>
          <w:b/>
        </w:rPr>
        <w:t>Performance requirements</w:t>
      </w:r>
      <w:r w:rsidRPr="001D3CAD">
        <w:rPr>
          <w:b/>
        </w:rPr>
        <w:t>, reporting and payment summary</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853"/>
        <w:gridCol w:w="3449"/>
        <w:gridCol w:w="1344"/>
        <w:gridCol w:w="1667"/>
        <w:gridCol w:w="1541"/>
      </w:tblGrid>
      <w:tr w:rsidR="00730A8E" w:rsidRPr="00C26C5B" w14:paraId="340710C8" w14:textId="77777777" w:rsidTr="001826B3">
        <w:trPr>
          <w:trHeight w:val="1171"/>
        </w:trPr>
        <w:tc>
          <w:tcPr>
            <w:tcW w:w="940" w:type="pct"/>
            <w:tcBorders>
              <w:bottom w:val="single" w:sz="18" w:space="0" w:color="4F81BD"/>
            </w:tcBorders>
          </w:tcPr>
          <w:p w14:paraId="5AD32AF1" w14:textId="77777777" w:rsidR="00064A43" w:rsidRPr="00C26C5B" w:rsidRDefault="00064A43" w:rsidP="00DE0CDF">
            <w:pPr>
              <w:pStyle w:val="Heading2"/>
              <w:rPr>
                <w:bCs w:val="0"/>
                <w:sz w:val="24"/>
                <w:szCs w:val="24"/>
              </w:rPr>
            </w:pPr>
            <w:r w:rsidRPr="00C26C5B">
              <w:rPr>
                <w:bCs w:val="0"/>
                <w:sz w:val="24"/>
                <w:szCs w:val="24"/>
              </w:rPr>
              <w:t>Output</w:t>
            </w:r>
            <w:r>
              <w:rPr>
                <w:bCs w:val="0"/>
                <w:sz w:val="24"/>
                <w:szCs w:val="24"/>
              </w:rPr>
              <w:br/>
            </w:r>
          </w:p>
        </w:tc>
        <w:tc>
          <w:tcPr>
            <w:tcW w:w="1750" w:type="pct"/>
            <w:tcBorders>
              <w:bottom w:val="single" w:sz="18" w:space="0" w:color="4F81BD"/>
            </w:tcBorders>
          </w:tcPr>
          <w:p w14:paraId="722343A7" w14:textId="77777777" w:rsidR="00064A43" w:rsidRPr="00C26C5B" w:rsidRDefault="00064A43" w:rsidP="00D01D30">
            <w:pPr>
              <w:pStyle w:val="Heading2"/>
              <w:rPr>
                <w:bCs w:val="0"/>
                <w:sz w:val="24"/>
                <w:szCs w:val="24"/>
              </w:rPr>
            </w:pPr>
            <w:r>
              <w:rPr>
                <w:bCs w:val="0"/>
                <w:sz w:val="24"/>
                <w:szCs w:val="24"/>
              </w:rPr>
              <w:t>Performance m</w:t>
            </w:r>
            <w:r w:rsidRPr="00C26C5B">
              <w:rPr>
                <w:bCs w:val="0"/>
                <w:sz w:val="24"/>
                <w:szCs w:val="24"/>
              </w:rPr>
              <w:t>ilestone</w:t>
            </w:r>
            <w:r>
              <w:rPr>
                <w:bCs w:val="0"/>
                <w:sz w:val="24"/>
                <w:szCs w:val="24"/>
              </w:rPr>
              <w:t>s</w:t>
            </w:r>
            <w:r>
              <w:rPr>
                <w:bCs w:val="0"/>
                <w:sz w:val="24"/>
                <w:szCs w:val="24"/>
              </w:rPr>
              <w:br/>
            </w:r>
          </w:p>
        </w:tc>
        <w:tc>
          <w:tcPr>
            <w:tcW w:w="682" w:type="pct"/>
            <w:tcBorders>
              <w:bottom w:val="single" w:sz="18" w:space="0" w:color="4F81BD"/>
            </w:tcBorders>
          </w:tcPr>
          <w:p w14:paraId="4DE75148" w14:textId="77777777" w:rsidR="00064A43" w:rsidRPr="00D0312C" w:rsidRDefault="00064A43" w:rsidP="0026571E">
            <w:pPr>
              <w:pStyle w:val="Heading2"/>
              <w:rPr>
                <w:sz w:val="18"/>
                <w:szCs w:val="18"/>
              </w:rPr>
            </w:pPr>
            <w:r w:rsidRPr="00DE36EB">
              <w:rPr>
                <w:bCs w:val="0"/>
                <w:sz w:val="24"/>
                <w:szCs w:val="24"/>
              </w:rPr>
              <w:t>Report due</w:t>
            </w:r>
            <w:r>
              <w:rPr>
                <w:bCs w:val="0"/>
                <w:sz w:val="24"/>
                <w:szCs w:val="24"/>
              </w:rPr>
              <w:t xml:space="preserve"> </w:t>
            </w:r>
          </w:p>
        </w:tc>
        <w:tc>
          <w:tcPr>
            <w:tcW w:w="846" w:type="pct"/>
            <w:tcBorders>
              <w:bottom w:val="single" w:sz="18" w:space="0" w:color="4F81BD"/>
            </w:tcBorders>
          </w:tcPr>
          <w:p w14:paraId="3E261B7C" w14:textId="77777777" w:rsidR="00064A43" w:rsidRPr="00C26C5B" w:rsidRDefault="00064A43" w:rsidP="00F3245D">
            <w:pPr>
              <w:pStyle w:val="Heading2"/>
              <w:rPr>
                <w:bCs w:val="0"/>
                <w:sz w:val="24"/>
                <w:szCs w:val="24"/>
              </w:rPr>
            </w:pPr>
            <w:r>
              <w:rPr>
                <w:bCs w:val="0"/>
                <w:sz w:val="24"/>
                <w:szCs w:val="24"/>
              </w:rPr>
              <w:t>Report period</w:t>
            </w:r>
          </w:p>
        </w:tc>
        <w:tc>
          <w:tcPr>
            <w:tcW w:w="783" w:type="pct"/>
            <w:tcBorders>
              <w:bottom w:val="single" w:sz="18" w:space="0" w:color="4F81BD"/>
            </w:tcBorders>
          </w:tcPr>
          <w:p w14:paraId="56F94634" w14:textId="544CE0E8" w:rsidR="00064A43" w:rsidRPr="00C26C5B" w:rsidRDefault="00064A43" w:rsidP="00F3245D">
            <w:pPr>
              <w:pStyle w:val="Heading2"/>
              <w:rPr>
                <w:bCs w:val="0"/>
                <w:sz w:val="24"/>
                <w:szCs w:val="24"/>
              </w:rPr>
            </w:pPr>
            <w:r w:rsidRPr="00C26C5B">
              <w:rPr>
                <w:bCs w:val="0"/>
                <w:sz w:val="24"/>
                <w:szCs w:val="24"/>
              </w:rPr>
              <w:t>Payment</w:t>
            </w:r>
          </w:p>
        </w:tc>
      </w:tr>
      <w:tr w:rsidR="00730A8E" w:rsidRPr="00C26C5B" w14:paraId="3462BEC1" w14:textId="77777777" w:rsidTr="001826B3">
        <w:tc>
          <w:tcPr>
            <w:tcW w:w="940" w:type="pct"/>
            <w:vMerge w:val="restart"/>
            <w:shd w:val="clear" w:color="auto" w:fill="D3DFEE"/>
          </w:tcPr>
          <w:p w14:paraId="0E1BA4F9" w14:textId="77777777" w:rsidR="00064A43" w:rsidRPr="00A22AED" w:rsidRDefault="00FF4E35" w:rsidP="00A22AED">
            <w:pPr>
              <w:pStyle w:val="Heading2"/>
              <w:rPr>
                <w:b w:val="0"/>
                <w:color w:val="auto"/>
                <w:sz w:val="23"/>
                <w:szCs w:val="23"/>
              </w:rPr>
            </w:pPr>
            <w:r>
              <w:rPr>
                <w:b w:val="0"/>
                <w:color w:val="auto"/>
                <w:sz w:val="23"/>
                <w:szCs w:val="23"/>
              </w:rPr>
              <w:t>Activities</w:t>
            </w:r>
            <w:r w:rsidR="00290DB8">
              <w:rPr>
                <w:b w:val="0"/>
                <w:color w:val="auto"/>
                <w:sz w:val="23"/>
                <w:szCs w:val="23"/>
              </w:rPr>
              <w:t xml:space="preserve"> i</w:t>
            </w:r>
            <w:r w:rsidR="00ED3C15">
              <w:rPr>
                <w:b w:val="0"/>
                <w:color w:val="auto"/>
                <w:sz w:val="23"/>
                <w:szCs w:val="23"/>
              </w:rPr>
              <w:t>n accordance with clause 8 of this Agreement</w:t>
            </w:r>
          </w:p>
          <w:p w14:paraId="55948F8A" w14:textId="77777777" w:rsidR="00064A43" w:rsidRPr="00C26C5B" w:rsidRDefault="00064A43" w:rsidP="00F8684A">
            <w:pPr>
              <w:pStyle w:val="Heading2"/>
              <w:rPr>
                <w:b w:val="0"/>
                <w:bCs w:val="0"/>
                <w:color w:val="auto"/>
                <w:sz w:val="23"/>
                <w:szCs w:val="23"/>
              </w:rPr>
            </w:pPr>
          </w:p>
        </w:tc>
        <w:tc>
          <w:tcPr>
            <w:tcW w:w="1750" w:type="pct"/>
            <w:vMerge w:val="restart"/>
            <w:shd w:val="clear" w:color="auto" w:fill="D3DFEE"/>
          </w:tcPr>
          <w:p w14:paraId="3F538BFB" w14:textId="77777777" w:rsidR="00064A43" w:rsidRDefault="008C7382" w:rsidP="00597CBD">
            <w:pPr>
              <w:pStyle w:val="Heading2"/>
              <w:rPr>
                <w:b w:val="0"/>
                <w:color w:val="auto"/>
                <w:sz w:val="23"/>
                <w:szCs w:val="23"/>
              </w:rPr>
            </w:pPr>
            <w:r>
              <w:rPr>
                <w:b w:val="0"/>
                <w:color w:val="auto"/>
                <w:sz w:val="23"/>
                <w:szCs w:val="23"/>
              </w:rPr>
              <w:t>Demonstration, through the provision</w:t>
            </w:r>
            <w:r w:rsidR="00F92F1A">
              <w:rPr>
                <w:b w:val="0"/>
                <w:color w:val="auto"/>
                <w:sz w:val="23"/>
                <w:szCs w:val="23"/>
              </w:rPr>
              <w:t xml:space="preserve"> </w:t>
            </w:r>
            <w:r w:rsidR="00064A43">
              <w:rPr>
                <w:b w:val="0"/>
                <w:color w:val="auto"/>
                <w:sz w:val="23"/>
                <w:szCs w:val="23"/>
              </w:rPr>
              <w:t>of</w:t>
            </w:r>
            <w:r w:rsidR="00BC58DB">
              <w:rPr>
                <w:b w:val="0"/>
                <w:color w:val="auto"/>
                <w:sz w:val="23"/>
                <w:szCs w:val="23"/>
              </w:rPr>
              <w:t xml:space="preserve"> performance</w:t>
            </w:r>
            <w:r w:rsidR="00064A43">
              <w:rPr>
                <w:b w:val="0"/>
                <w:color w:val="auto"/>
                <w:sz w:val="23"/>
                <w:szCs w:val="23"/>
              </w:rPr>
              <w:t xml:space="preserve"> reports</w:t>
            </w:r>
            <w:r>
              <w:rPr>
                <w:b w:val="0"/>
                <w:color w:val="auto"/>
                <w:sz w:val="23"/>
                <w:szCs w:val="23"/>
              </w:rPr>
              <w:t>, of</w:t>
            </w:r>
            <w:r w:rsidR="00064A43">
              <w:rPr>
                <w:b w:val="0"/>
                <w:color w:val="auto"/>
                <w:sz w:val="23"/>
                <w:szCs w:val="23"/>
              </w:rPr>
              <w:t>:</w:t>
            </w:r>
          </w:p>
          <w:p w14:paraId="032DF6C7" w14:textId="0C69F82C" w:rsidR="00064A43" w:rsidRPr="00BC2661" w:rsidRDefault="00064A43" w:rsidP="00C0310C">
            <w:pPr>
              <w:pStyle w:val="ListParagraph"/>
              <w:numPr>
                <w:ilvl w:val="0"/>
                <w:numId w:val="29"/>
              </w:numPr>
              <w:ind w:left="317" w:hanging="283"/>
              <w:rPr>
                <w:rFonts w:ascii="Corbel" w:hAnsi="Corbel"/>
                <w:sz w:val="23"/>
                <w:szCs w:val="23"/>
              </w:rPr>
            </w:pPr>
            <w:r w:rsidRPr="00BC2661">
              <w:rPr>
                <w:rFonts w:ascii="Corbel" w:hAnsi="Corbel"/>
                <w:sz w:val="23"/>
                <w:szCs w:val="23"/>
              </w:rPr>
              <w:t>The processing of a</w:t>
            </w:r>
            <w:r w:rsidR="0081206C">
              <w:rPr>
                <w:rFonts w:ascii="Corbel" w:hAnsi="Corbel"/>
                <w:sz w:val="23"/>
                <w:szCs w:val="23"/>
              </w:rPr>
              <w:t>t</w:t>
            </w:r>
            <w:r w:rsidRPr="00BC2661">
              <w:rPr>
                <w:rFonts w:ascii="Corbel" w:hAnsi="Corbel"/>
                <w:sz w:val="23"/>
                <w:szCs w:val="23"/>
              </w:rPr>
              <w:t xml:space="preserve"> least 45 per cent annually of all </w:t>
            </w:r>
            <w:r w:rsidR="00B64CA1">
              <w:rPr>
                <w:rFonts w:ascii="Corbel" w:hAnsi="Corbel"/>
                <w:sz w:val="23"/>
                <w:szCs w:val="23"/>
              </w:rPr>
              <w:t xml:space="preserve">primary </w:t>
            </w:r>
            <w:r w:rsidRPr="00BC2661">
              <w:rPr>
                <w:rFonts w:ascii="Corbel" w:hAnsi="Corbel"/>
                <w:sz w:val="23"/>
                <w:szCs w:val="23"/>
              </w:rPr>
              <w:t>cervical scr</w:t>
            </w:r>
            <w:r w:rsidR="000E4FE8">
              <w:rPr>
                <w:rFonts w:ascii="Corbel" w:hAnsi="Corbel"/>
                <w:sz w:val="23"/>
                <w:szCs w:val="23"/>
              </w:rPr>
              <w:t>eening tests taken in Victoria;</w:t>
            </w:r>
          </w:p>
          <w:p w14:paraId="1560D490" w14:textId="77777777" w:rsidR="00064A43" w:rsidRPr="00BC2661" w:rsidRDefault="002D2C01" w:rsidP="00C0310C">
            <w:pPr>
              <w:pStyle w:val="ListParagraph"/>
              <w:numPr>
                <w:ilvl w:val="0"/>
                <w:numId w:val="29"/>
              </w:numPr>
              <w:ind w:left="317" w:hanging="283"/>
              <w:rPr>
                <w:rFonts w:ascii="Corbel" w:hAnsi="Corbel"/>
                <w:sz w:val="23"/>
                <w:szCs w:val="23"/>
              </w:rPr>
            </w:pPr>
            <w:r>
              <w:rPr>
                <w:rFonts w:ascii="Corbel" w:hAnsi="Corbel"/>
                <w:sz w:val="23"/>
                <w:szCs w:val="23"/>
              </w:rPr>
              <w:t>Data on</w:t>
            </w:r>
            <w:r w:rsidR="00FF4E35">
              <w:rPr>
                <w:rFonts w:ascii="Corbel" w:hAnsi="Corbel"/>
                <w:sz w:val="23"/>
                <w:szCs w:val="23"/>
              </w:rPr>
              <w:t xml:space="preserve"> costs and quality of </w:t>
            </w:r>
            <w:r w:rsidR="00B64CA1" w:rsidRPr="006E476B">
              <w:rPr>
                <w:rFonts w:ascii="Corbel" w:hAnsi="Corbel"/>
              </w:rPr>
              <w:t>primary</w:t>
            </w:r>
            <w:r w:rsidR="00EC4472" w:rsidRPr="006E476B">
              <w:rPr>
                <w:rFonts w:ascii="Corbel" w:hAnsi="Corbel"/>
              </w:rPr>
              <w:t xml:space="preserve"> </w:t>
            </w:r>
            <w:r w:rsidR="00FF4E35">
              <w:rPr>
                <w:rFonts w:ascii="Corbel" w:hAnsi="Corbel"/>
                <w:sz w:val="23"/>
                <w:szCs w:val="23"/>
              </w:rPr>
              <w:t>cervical screening tests</w:t>
            </w:r>
            <w:r>
              <w:rPr>
                <w:rFonts w:ascii="Corbel" w:hAnsi="Corbel"/>
                <w:sz w:val="23"/>
                <w:szCs w:val="23"/>
              </w:rPr>
              <w:t xml:space="preserve"> </w:t>
            </w:r>
            <w:r w:rsidR="00064A43" w:rsidRPr="00BC2661">
              <w:rPr>
                <w:rFonts w:ascii="Corbel" w:hAnsi="Corbel"/>
                <w:sz w:val="23"/>
                <w:szCs w:val="23"/>
              </w:rPr>
              <w:t>including</w:t>
            </w:r>
            <w:r w:rsidR="00FF4E35">
              <w:rPr>
                <w:rFonts w:ascii="Corbel" w:hAnsi="Corbel"/>
                <w:sz w:val="23"/>
                <w:szCs w:val="23"/>
              </w:rPr>
              <w:t>:</w:t>
            </w:r>
          </w:p>
          <w:p w14:paraId="3EC7487E" w14:textId="17305CA1" w:rsidR="00FF4E35" w:rsidRDefault="000F6C05" w:rsidP="006E476B">
            <w:pPr>
              <w:pStyle w:val="ListParagraph"/>
              <w:numPr>
                <w:ilvl w:val="0"/>
                <w:numId w:val="48"/>
              </w:numPr>
              <w:rPr>
                <w:rFonts w:ascii="Corbel" w:hAnsi="Corbel"/>
                <w:sz w:val="23"/>
                <w:szCs w:val="23"/>
              </w:rPr>
            </w:pPr>
            <w:r>
              <w:rPr>
                <w:rFonts w:ascii="Corbel" w:hAnsi="Corbel"/>
                <w:sz w:val="23"/>
                <w:szCs w:val="23"/>
              </w:rPr>
              <w:t>t</w:t>
            </w:r>
            <w:r w:rsidR="00FF4E35" w:rsidRPr="00BC2661">
              <w:rPr>
                <w:rFonts w:ascii="Corbel" w:hAnsi="Corbel"/>
                <w:sz w:val="23"/>
                <w:szCs w:val="23"/>
              </w:rPr>
              <w:t>he average unit cost of processing cervical screening tests</w:t>
            </w:r>
            <w:r w:rsidR="00FF4E35">
              <w:rPr>
                <w:rFonts w:ascii="Corbel" w:hAnsi="Corbel"/>
                <w:sz w:val="23"/>
                <w:szCs w:val="23"/>
              </w:rPr>
              <w:t>;</w:t>
            </w:r>
          </w:p>
          <w:p w14:paraId="7E34F2BF" w14:textId="355E4669" w:rsidR="00064A43" w:rsidRPr="00BC2661" w:rsidRDefault="000F6C05" w:rsidP="006E476B">
            <w:pPr>
              <w:pStyle w:val="ListParagraph"/>
              <w:numPr>
                <w:ilvl w:val="0"/>
                <w:numId w:val="48"/>
              </w:numPr>
              <w:rPr>
                <w:rFonts w:ascii="Corbel" w:hAnsi="Corbel"/>
                <w:sz w:val="23"/>
                <w:szCs w:val="23"/>
              </w:rPr>
            </w:pPr>
            <w:r>
              <w:rPr>
                <w:rFonts w:ascii="Corbel" w:hAnsi="Corbel"/>
                <w:sz w:val="23"/>
                <w:szCs w:val="23"/>
              </w:rPr>
              <w:t>a</w:t>
            </w:r>
            <w:r w:rsidR="00064A43" w:rsidRPr="00BC2661">
              <w:rPr>
                <w:rFonts w:ascii="Corbel" w:hAnsi="Corbel"/>
                <w:sz w:val="23"/>
                <w:szCs w:val="23"/>
              </w:rPr>
              <w:t xml:space="preserve"> breakdown of the number of tests ordered by medical practitioners/ nurses and other health workers; </w:t>
            </w:r>
          </w:p>
          <w:p w14:paraId="50517595" w14:textId="7CBFED47" w:rsidR="00064A43" w:rsidRDefault="000F6C05" w:rsidP="006E476B">
            <w:pPr>
              <w:pStyle w:val="ListParagraph"/>
              <w:numPr>
                <w:ilvl w:val="0"/>
                <w:numId w:val="48"/>
              </w:numPr>
              <w:rPr>
                <w:rFonts w:ascii="Corbel" w:hAnsi="Corbel"/>
                <w:sz w:val="23"/>
                <w:szCs w:val="23"/>
              </w:rPr>
            </w:pPr>
            <w:r>
              <w:rPr>
                <w:rFonts w:ascii="Corbel" w:hAnsi="Corbel"/>
                <w:sz w:val="23"/>
                <w:szCs w:val="23"/>
              </w:rPr>
              <w:t>n</w:t>
            </w:r>
            <w:r w:rsidR="00064A43" w:rsidRPr="00BC2661">
              <w:rPr>
                <w:rFonts w:ascii="Corbel" w:hAnsi="Corbel"/>
                <w:sz w:val="23"/>
                <w:szCs w:val="23"/>
              </w:rPr>
              <w:t>umber of each type of cervical cancer screening tests processed</w:t>
            </w:r>
            <w:r w:rsidR="00FF4E35">
              <w:rPr>
                <w:rFonts w:ascii="Corbel" w:hAnsi="Corbel"/>
                <w:sz w:val="23"/>
                <w:szCs w:val="23"/>
              </w:rPr>
              <w:t>; and</w:t>
            </w:r>
          </w:p>
          <w:p w14:paraId="6018BA0E" w14:textId="69FEB367" w:rsidR="0014738B" w:rsidRDefault="000F6C05" w:rsidP="006E476B">
            <w:pPr>
              <w:pStyle w:val="ListParagraph"/>
              <w:numPr>
                <w:ilvl w:val="0"/>
                <w:numId w:val="48"/>
              </w:numPr>
              <w:rPr>
                <w:rFonts w:ascii="Corbel" w:hAnsi="Corbel"/>
                <w:sz w:val="23"/>
                <w:szCs w:val="23"/>
              </w:rPr>
            </w:pPr>
            <w:r>
              <w:rPr>
                <w:rFonts w:ascii="Corbel" w:hAnsi="Corbel"/>
                <w:sz w:val="23"/>
                <w:szCs w:val="23"/>
              </w:rPr>
              <w:t>t</w:t>
            </w:r>
            <w:r w:rsidR="0014738B">
              <w:rPr>
                <w:rFonts w:ascii="Corbel" w:hAnsi="Corbel"/>
                <w:sz w:val="23"/>
                <w:szCs w:val="23"/>
              </w:rPr>
              <w:t>he quality of the cervical screening assessments</w:t>
            </w:r>
          </w:p>
          <w:p w14:paraId="2FA69EA0" w14:textId="4DCE2A83" w:rsidR="00064A43" w:rsidRPr="00BC2661" w:rsidRDefault="00EC4472" w:rsidP="00EC4472">
            <w:pPr>
              <w:pStyle w:val="ListParagraph"/>
              <w:numPr>
                <w:ilvl w:val="0"/>
                <w:numId w:val="29"/>
              </w:numPr>
              <w:ind w:left="317" w:hanging="283"/>
            </w:pPr>
            <w:r>
              <w:rPr>
                <w:rFonts w:ascii="Corbel" w:hAnsi="Corbel"/>
                <w:sz w:val="23"/>
                <w:szCs w:val="23"/>
              </w:rPr>
              <w:t>Any r</w:t>
            </w:r>
            <w:r w:rsidR="00064A43">
              <w:rPr>
                <w:rFonts w:ascii="Corbel" w:hAnsi="Corbel"/>
                <w:sz w:val="23"/>
                <w:szCs w:val="23"/>
              </w:rPr>
              <w:t>esearch</w:t>
            </w:r>
            <w:r w:rsidR="00FF4E35">
              <w:rPr>
                <w:rFonts w:ascii="Corbel" w:hAnsi="Corbel"/>
                <w:sz w:val="23"/>
                <w:szCs w:val="23"/>
              </w:rPr>
              <w:t>, education</w:t>
            </w:r>
            <w:r w:rsidR="00064A43">
              <w:rPr>
                <w:rFonts w:ascii="Corbel" w:hAnsi="Corbel"/>
                <w:sz w:val="23"/>
                <w:szCs w:val="23"/>
              </w:rPr>
              <w:t xml:space="preserve"> and other activities undertaken to </w:t>
            </w:r>
            <w:r w:rsidR="00064A43" w:rsidRPr="00D01D30">
              <w:rPr>
                <w:rFonts w:ascii="Corbel" w:hAnsi="Corbel"/>
                <w:sz w:val="23"/>
                <w:szCs w:val="23"/>
              </w:rPr>
              <w:t xml:space="preserve">support </w:t>
            </w:r>
            <w:r w:rsidR="006856E7">
              <w:rPr>
                <w:rFonts w:ascii="Corbel" w:hAnsi="Corbel"/>
                <w:sz w:val="23"/>
                <w:szCs w:val="23"/>
              </w:rPr>
              <w:t>the NCSP</w:t>
            </w:r>
            <w:r w:rsidR="00FF4E35">
              <w:rPr>
                <w:rFonts w:ascii="Corbel" w:hAnsi="Corbel"/>
                <w:sz w:val="23"/>
                <w:szCs w:val="23"/>
              </w:rPr>
              <w:t>, the broader cytology workforce</w:t>
            </w:r>
            <w:r w:rsidR="006856E7">
              <w:rPr>
                <w:rFonts w:ascii="Corbel" w:hAnsi="Corbel"/>
                <w:sz w:val="23"/>
                <w:szCs w:val="23"/>
              </w:rPr>
              <w:t xml:space="preserve"> and </w:t>
            </w:r>
            <w:r w:rsidR="00064A43" w:rsidRPr="00D01D30">
              <w:rPr>
                <w:rFonts w:ascii="Corbel" w:hAnsi="Corbel"/>
                <w:sz w:val="23"/>
                <w:szCs w:val="23"/>
              </w:rPr>
              <w:t>the introduction of the new cervical screening test of the NCSP</w:t>
            </w:r>
            <w:r w:rsidR="00A81191">
              <w:rPr>
                <w:rFonts w:ascii="Corbel" w:hAnsi="Corbel"/>
                <w:sz w:val="23"/>
                <w:szCs w:val="23"/>
              </w:rPr>
              <w:t>.</w:t>
            </w:r>
          </w:p>
        </w:tc>
        <w:tc>
          <w:tcPr>
            <w:tcW w:w="682" w:type="pct"/>
            <w:shd w:val="clear" w:color="auto" w:fill="D3DFEE"/>
          </w:tcPr>
          <w:p w14:paraId="26203D6A" w14:textId="14500F3A" w:rsidR="00064A43" w:rsidRPr="003A591D" w:rsidRDefault="006E476B" w:rsidP="003A591D">
            <w:pPr>
              <w:rPr>
                <w:rFonts w:cs="Arial"/>
                <w:bCs/>
                <w:iCs/>
                <w:color w:val="auto"/>
                <w:szCs w:val="23"/>
              </w:rPr>
            </w:pPr>
            <w:r>
              <w:rPr>
                <w:rFonts w:cs="Arial"/>
                <w:bCs/>
                <w:iCs/>
                <w:color w:val="auto"/>
                <w:szCs w:val="23"/>
              </w:rPr>
              <w:t>31</w:t>
            </w:r>
            <w:r w:rsidR="00064A43" w:rsidRPr="003A591D">
              <w:rPr>
                <w:rFonts w:cs="Arial"/>
                <w:bCs/>
                <w:iCs/>
                <w:color w:val="auto"/>
                <w:szCs w:val="23"/>
              </w:rPr>
              <w:t>/05/2018</w:t>
            </w:r>
          </w:p>
        </w:tc>
        <w:tc>
          <w:tcPr>
            <w:tcW w:w="846" w:type="pct"/>
            <w:shd w:val="clear" w:color="auto" w:fill="D3DFEE"/>
          </w:tcPr>
          <w:p w14:paraId="3DE0C474" w14:textId="77777777" w:rsidR="00064A43" w:rsidRPr="00064A43" w:rsidRDefault="00064A43" w:rsidP="002D2C01">
            <w:pPr>
              <w:jc w:val="left"/>
            </w:pPr>
            <w:r>
              <w:rPr>
                <w:color w:val="auto"/>
                <w:szCs w:val="23"/>
              </w:rPr>
              <w:t xml:space="preserve">1 July 2017 to </w:t>
            </w:r>
            <w:r w:rsidRPr="00730A8E">
              <w:rPr>
                <w:rFonts w:cs="Arial"/>
                <w:bCs/>
                <w:iCs/>
                <w:color w:val="auto"/>
                <w:szCs w:val="23"/>
              </w:rPr>
              <w:t>30 April 2018</w:t>
            </w:r>
          </w:p>
        </w:tc>
        <w:tc>
          <w:tcPr>
            <w:tcW w:w="783" w:type="pct"/>
            <w:shd w:val="clear" w:color="auto" w:fill="D3DFEE"/>
          </w:tcPr>
          <w:p w14:paraId="72DD71C6" w14:textId="77777777" w:rsidR="00064A43" w:rsidRPr="002D2C01" w:rsidRDefault="008F0C93" w:rsidP="002D2C01">
            <w:pPr>
              <w:jc w:val="left"/>
              <w:rPr>
                <w:color w:val="auto"/>
                <w:szCs w:val="23"/>
              </w:rPr>
            </w:pPr>
            <w:r w:rsidRPr="00C26C5B">
              <w:rPr>
                <w:color w:val="auto"/>
                <w:szCs w:val="23"/>
              </w:rPr>
              <w:t>$</w:t>
            </w:r>
            <w:r w:rsidR="00730A8E">
              <w:rPr>
                <w:color w:val="auto"/>
                <w:szCs w:val="23"/>
              </w:rPr>
              <w:t>10,168,000</w:t>
            </w:r>
          </w:p>
        </w:tc>
      </w:tr>
      <w:tr w:rsidR="00730A8E" w:rsidRPr="00C26C5B" w14:paraId="43E7720A" w14:textId="77777777" w:rsidTr="001826B3">
        <w:tc>
          <w:tcPr>
            <w:tcW w:w="940" w:type="pct"/>
            <w:vMerge/>
          </w:tcPr>
          <w:p w14:paraId="4B3CB553" w14:textId="77777777" w:rsidR="00DF5477" w:rsidRPr="00C26C5B" w:rsidRDefault="00DF5477" w:rsidP="00F3245D">
            <w:pPr>
              <w:pStyle w:val="Heading2"/>
              <w:rPr>
                <w:b w:val="0"/>
                <w:bCs w:val="0"/>
                <w:sz w:val="23"/>
                <w:szCs w:val="23"/>
              </w:rPr>
            </w:pPr>
          </w:p>
        </w:tc>
        <w:tc>
          <w:tcPr>
            <w:tcW w:w="1750" w:type="pct"/>
            <w:vMerge/>
            <w:shd w:val="clear" w:color="auto" w:fill="D3DFEE"/>
          </w:tcPr>
          <w:p w14:paraId="7305085E" w14:textId="77777777" w:rsidR="00DF5477" w:rsidRDefault="00DF5477" w:rsidP="00E6698B">
            <w:pPr>
              <w:pStyle w:val="Heading2"/>
              <w:rPr>
                <w:b w:val="0"/>
                <w:color w:val="auto"/>
                <w:sz w:val="23"/>
                <w:szCs w:val="23"/>
              </w:rPr>
            </w:pPr>
          </w:p>
        </w:tc>
        <w:tc>
          <w:tcPr>
            <w:tcW w:w="682" w:type="pct"/>
            <w:shd w:val="clear" w:color="auto" w:fill="D3DFEE"/>
          </w:tcPr>
          <w:p w14:paraId="231EE879" w14:textId="5E64E57B" w:rsidR="00DF5477" w:rsidRPr="00DF5477" w:rsidRDefault="006E476B" w:rsidP="009E5995">
            <w:pPr>
              <w:rPr>
                <w:rFonts w:cs="Arial"/>
                <w:bCs/>
                <w:iCs/>
                <w:color w:val="auto"/>
                <w:szCs w:val="23"/>
              </w:rPr>
            </w:pPr>
            <w:r>
              <w:rPr>
                <w:rFonts w:cs="Arial"/>
                <w:bCs/>
                <w:iCs/>
                <w:color w:val="auto"/>
                <w:szCs w:val="23"/>
              </w:rPr>
              <w:t>31</w:t>
            </w:r>
            <w:r w:rsidR="00DF5477" w:rsidRPr="00DF5477">
              <w:rPr>
                <w:rFonts w:cs="Arial"/>
                <w:bCs/>
                <w:iCs/>
                <w:color w:val="auto"/>
                <w:szCs w:val="23"/>
              </w:rPr>
              <w:t>/05/2019</w:t>
            </w:r>
          </w:p>
        </w:tc>
        <w:tc>
          <w:tcPr>
            <w:tcW w:w="846" w:type="pct"/>
            <w:shd w:val="clear" w:color="auto" w:fill="D3DFEE"/>
          </w:tcPr>
          <w:p w14:paraId="73C93A34" w14:textId="77777777" w:rsidR="00DF5477" w:rsidRPr="002D2C01" w:rsidRDefault="00DF5477" w:rsidP="002D2C01">
            <w:pPr>
              <w:jc w:val="left"/>
              <w:rPr>
                <w:color w:val="auto"/>
                <w:szCs w:val="23"/>
              </w:rPr>
            </w:pPr>
            <w:r>
              <w:rPr>
                <w:color w:val="auto"/>
                <w:szCs w:val="23"/>
              </w:rPr>
              <w:t xml:space="preserve">1 May 2018 </w:t>
            </w:r>
            <w:r w:rsidRPr="00730A8E">
              <w:rPr>
                <w:color w:val="auto"/>
                <w:szCs w:val="23"/>
              </w:rPr>
              <w:t>to 30 April 2019</w:t>
            </w:r>
          </w:p>
        </w:tc>
        <w:tc>
          <w:tcPr>
            <w:tcW w:w="783" w:type="pct"/>
            <w:shd w:val="clear" w:color="auto" w:fill="D3DFEE"/>
          </w:tcPr>
          <w:p w14:paraId="09CACB57" w14:textId="77777777" w:rsidR="00DF5477" w:rsidRPr="002D2C01" w:rsidRDefault="00730A8E" w:rsidP="002D2C01">
            <w:pPr>
              <w:jc w:val="left"/>
              <w:rPr>
                <w:color w:val="auto"/>
                <w:szCs w:val="23"/>
              </w:rPr>
            </w:pPr>
            <w:r w:rsidRPr="002D2C01">
              <w:rPr>
                <w:color w:val="auto"/>
                <w:szCs w:val="23"/>
              </w:rPr>
              <w:t>$10,310,000</w:t>
            </w:r>
          </w:p>
        </w:tc>
      </w:tr>
      <w:tr w:rsidR="00730A8E" w:rsidRPr="00C26C5B" w14:paraId="284BA19A" w14:textId="77777777" w:rsidTr="001826B3">
        <w:tc>
          <w:tcPr>
            <w:tcW w:w="940" w:type="pct"/>
            <w:vMerge/>
          </w:tcPr>
          <w:p w14:paraId="210ED4A2" w14:textId="77777777" w:rsidR="00DF5477" w:rsidRPr="00C26C5B" w:rsidRDefault="00DF5477" w:rsidP="00F3245D">
            <w:pPr>
              <w:pStyle w:val="Heading2"/>
              <w:rPr>
                <w:b w:val="0"/>
                <w:bCs w:val="0"/>
                <w:sz w:val="23"/>
                <w:szCs w:val="23"/>
              </w:rPr>
            </w:pPr>
          </w:p>
        </w:tc>
        <w:tc>
          <w:tcPr>
            <w:tcW w:w="1750" w:type="pct"/>
            <w:vMerge/>
            <w:shd w:val="clear" w:color="auto" w:fill="D3DFEE"/>
          </w:tcPr>
          <w:p w14:paraId="51000D03" w14:textId="77777777" w:rsidR="00DF5477" w:rsidRDefault="00DF5477" w:rsidP="00E6698B">
            <w:pPr>
              <w:pStyle w:val="Heading2"/>
              <w:rPr>
                <w:b w:val="0"/>
                <w:color w:val="auto"/>
                <w:sz w:val="23"/>
                <w:szCs w:val="23"/>
              </w:rPr>
            </w:pPr>
          </w:p>
        </w:tc>
        <w:tc>
          <w:tcPr>
            <w:tcW w:w="682" w:type="pct"/>
            <w:shd w:val="clear" w:color="auto" w:fill="D3DFEE"/>
          </w:tcPr>
          <w:p w14:paraId="0A0014D8" w14:textId="5FC48F7A" w:rsidR="00DF5477" w:rsidRPr="00DF5477" w:rsidRDefault="006E476B" w:rsidP="00DF5477">
            <w:r>
              <w:t>31</w:t>
            </w:r>
            <w:r w:rsidR="00DF5477">
              <w:t>/05/2020</w:t>
            </w:r>
          </w:p>
        </w:tc>
        <w:tc>
          <w:tcPr>
            <w:tcW w:w="846" w:type="pct"/>
            <w:shd w:val="clear" w:color="auto" w:fill="D3DFEE"/>
          </w:tcPr>
          <w:p w14:paraId="402C5366" w14:textId="77777777" w:rsidR="00DF5477" w:rsidRPr="002D2C01" w:rsidRDefault="00DF5477" w:rsidP="002D2C01">
            <w:pPr>
              <w:jc w:val="left"/>
              <w:rPr>
                <w:color w:val="auto"/>
                <w:szCs w:val="23"/>
              </w:rPr>
            </w:pPr>
            <w:r>
              <w:rPr>
                <w:color w:val="auto"/>
                <w:szCs w:val="23"/>
              </w:rPr>
              <w:t xml:space="preserve">1 May 2019 </w:t>
            </w:r>
            <w:r w:rsidR="00CD5A2E" w:rsidRPr="00730A8E">
              <w:rPr>
                <w:color w:val="auto"/>
                <w:szCs w:val="23"/>
              </w:rPr>
              <w:t>to 30 April 2020</w:t>
            </w:r>
          </w:p>
        </w:tc>
        <w:tc>
          <w:tcPr>
            <w:tcW w:w="783" w:type="pct"/>
            <w:shd w:val="clear" w:color="auto" w:fill="D3DFEE"/>
          </w:tcPr>
          <w:p w14:paraId="7F883AFB" w14:textId="77777777" w:rsidR="00CD5A2E" w:rsidRPr="002D2C01" w:rsidRDefault="00CD5A2E" w:rsidP="002D2C01">
            <w:pPr>
              <w:jc w:val="left"/>
              <w:rPr>
                <w:color w:val="auto"/>
                <w:szCs w:val="23"/>
              </w:rPr>
            </w:pPr>
            <w:r>
              <w:rPr>
                <w:color w:val="auto"/>
                <w:szCs w:val="23"/>
              </w:rPr>
              <w:t>$</w:t>
            </w:r>
            <w:r w:rsidR="00730A8E">
              <w:rPr>
                <w:color w:val="auto"/>
                <w:szCs w:val="23"/>
              </w:rPr>
              <w:t>10,464,000</w:t>
            </w:r>
          </w:p>
        </w:tc>
      </w:tr>
      <w:tr w:rsidR="00730A8E" w:rsidRPr="00C26C5B" w14:paraId="6DA2D666" w14:textId="77777777" w:rsidTr="001826B3">
        <w:tc>
          <w:tcPr>
            <w:tcW w:w="940" w:type="pct"/>
            <w:vMerge/>
          </w:tcPr>
          <w:p w14:paraId="78835281" w14:textId="77777777" w:rsidR="00DF5477" w:rsidRPr="00C26C5B" w:rsidRDefault="00DF5477" w:rsidP="00F3245D">
            <w:pPr>
              <w:pStyle w:val="Heading2"/>
              <w:rPr>
                <w:b w:val="0"/>
                <w:bCs w:val="0"/>
                <w:sz w:val="23"/>
                <w:szCs w:val="23"/>
              </w:rPr>
            </w:pPr>
          </w:p>
        </w:tc>
        <w:tc>
          <w:tcPr>
            <w:tcW w:w="1750" w:type="pct"/>
            <w:vMerge/>
            <w:shd w:val="clear" w:color="auto" w:fill="D3DFEE"/>
          </w:tcPr>
          <w:p w14:paraId="61011C97" w14:textId="77777777" w:rsidR="00DF5477" w:rsidRDefault="00DF5477" w:rsidP="00E6698B">
            <w:pPr>
              <w:pStyle w:val="Heading2"/>
              <w:rPr>
                <w:b w:val="0"/>
                <w:color w:val="auto"/>
                <w:sz w:val="23"/>
                <w:szCs w:val="23"/>
              </w:rPr>
            </w:pPr>
          </w:p>
        </w:tc>
        <w:tc>
          <w:tcPr>
            <w:tcW w:w="682" w:type="pct"/>
            <w:shd w:val="clear" w:color="auto" w:fill="D3DFEE"/>
          </w:tcPr>
          <w:p w14:paraId="02B2C51F" w14:textId="12C11576" w:rsidR="00CD5A2E" w:rsidRPr="00CD5A2E" w:rsidRDefault="006E476B" w:rsidP="00CD5A2E">
            <w:r>
              <w:t>31</w:t>
            </w:r>
            <w:r w:rsidR="00CD5A2E">
              <w:t>/05/2021</w:t>
            </w:r>
          </w:p>
        </w:tc>
        <w:tc>
          <w:tcPr>
            <w:tcW w:w="846" w:type="pct"/>
            <w:shd w:val="clear" w:color="auto" w:fill="D3DFEE"/>
          </w:tcPr>
          <w:p w14:paraId="1F40D7D5" w14:textId="77777777" w:rsidR="00CD5A2E" w:rsidRPr="002D2C01" w:rsidRDefault="00CD5A2E" w:rsidP="002D2C01">
            <w:pPr>
              <w:jc w:val="left"/>
              <w:rPr>
                <w:color w:val="auto"/>
                <w:szCs w:val="23"/>
              </w:rPr>
            </w:pPr>
            <w:r>
              <w:rPr>
                <w:color w:val="auto"/>
                <w:szCs w:val="23"/>
              </w:rPr>
              <w:t xml:space="preserve">1 May 2020 </w:t>
            </w:r>
            <w:r w:rsidR="000B60A5" w:rsidRPr="00730A8E">
              <w:rPr>
                <w:color w:val="auto"/>
                <w:szCs w:val="23"/>
              </w:rPr>
              <w:t>to 30 April 2021</w:t>
            </w:r>
          </w:p>
        </w:tc>
        <w:tc>
          <w:tcPr>
            <w:tcW w:w="783" w:type="pct"/>
            <w:shd w:val="clear" w:color="auto" w:fill="D3DFEE"/>
          </w:tcPr>
          <w:p w14:paraId="15A4C83F" w14:textId="77777777" w:rsidR="000B60A5" w:rsidRPr="002D2C01" w:rsidRDefault="00DF5477" w:rsidP="002D2C01">
            <w:pPr>
              <w:jc w:val="left"/>
              <w:rPr>
                <w:color w:val="auto"/>
                <w:szCs w:val="23"/>
              </w:rPr>
            </w:pPr>
            <w:r w:rsidRPr="00C26C5B">
              <w:rPr>
                <w:color w:val="auto"/>
                <w:szCs w:val="23"/>
              </w:rPr>
              <w:t>$</w:t>
            </w:r>
            <w:r w:rsidR="00730A8E">
              <w:rPr>
                <w:color w:val="auto"/>
                <w:szCs w:val="23"/>
              </w:rPr>
              <w:t>10,611,000</w:t>
            </w:r>
          </w:p>
        </w:tc>
      </w:tr>
    </w:tbl>
    <w:p w14:paraId="1EC6183F" w14:textId="45B05EEC" w:rsidR="00172360" w:rsidRDefault="002E144A" w:rsidP="001826B3">
      <w:pPr>
        <w:pStyle w:val="Normalnumbered"/>
        <w:numPr>
          <w:ilvl w:val="0"/>
          <w:numId w:val="16"/>
        </w:numPr>
        <w:spacing w:before="240"/>
      </w:pPr>
      <w:r>
        <w:t>If</w:t>
      </w:r>
      <w:r w:rsidR="00172360" w:rsidRPr="00804105">
        <w:t xml:space="preserve"> a milestone is met in advance of the due date, </w:t>
      </w:r>
      <w:r>
        <w:t xml:space="preserve">where </w:t>
      </w:r>
      <w:r w:rsidR="00172360" w:rsidRPr="00804105">
        <w:t>the relevant performance report demonstrat</w:t>
      </w:r>
      <w:r>
        <w:t>es</w:t>
      </w:r>
      <w:r w:rsidR="00172360" w:rsidRPr="00804105">
        <w:t xml:space="preserve"> </w:t>
      </w:r>
      <w:r w:rsidR="00413E74">
        <w:t xml:space="preserve">that </w:t>
      </w:r>
      <w:r w:rsidR="00172360" w:rsidRPr="00804105">
        <w:t>the milestone has been met, the Commonwealth may make the associated payment earlier than scheduled provided it falls within the same financial year as the original milestone date.</w:t>
      </w:r>
      <w:r w:rsidR="00172360">
        <w:t xml:space="preserve"> </w:t>
      </w:r>
    </w:p>
    <w:p w14:paraId="309CDC97" w14:textId="77777777" w:rsidR="00F3245D" w:rsidRDefault="00F3245D" w:rsidP="00F3245D">
      <w:pPr>
        <w:pStyle w:val="Heading2"/>
      </w:pPr>
      <w:r>
        <w:t>Reporting arrangements</w:t>
      </w:r>
    </w:p>
    <w:p w14:paraId="0CC74D13" w14:textId="77777777" w:rsidR="00BC58DB" w:rsidRPr="00BC58DB" w:rsidRDefault="00BC58DB" w:rsidP="00C0310C">
      <w:pPr>
        <w:pStyle w:val="Normalnumbered"/>
        <w:numPr>
          <w:ilvl w:val="0"/>
          <w:numId w:val="16"/>
        </w:numPr>
        <w:spacing w:before="120" w:line="240" w:lineRule="auto"/>
        <w:rPr>
          <w:szCs w:val="23"/>
        </w:rPr>
      </w:pPr>
      <w:r>
        <w:t>Victoria</w:t>
      </w:r>
      <w:r w:rsidR="0076361C">
        <w:t xml:space="preserve"> </w:t>
      </w:r>
      <w:r w:rsidR="009E151E">
        <w:t xml:space="preserve">will </w:t>
      </w:r>
      <w:r w:rsidR="0095223D">
        <w:t xml:space="preserve">provide performance reports in accordance with </w:t>
      </w:r>
      <w:r w:rsidR="00C2605C">
        <w:t>T</w:t>
      </w:r>
      <w:r w:rsidR="0095223D">
        <w:t xml:space="preserve">able </w:t>
      </w:r>
      <w:r w:rsidR="00C2605C">
        <w:t xml:space="preserve">1 </w:t>
      </w:r>
      <w:r w:rsidR="009E151E">
        <w:t>during</w:t>
      </w:r>
      <w:r w:rsidR="00C42ACA">
        <w:t xml:space="preserve"> </w:t>
      </w:r>
      <w:r w:rsidR="009E151E">
        <w:t>t</w:t>
      </w:r>
      <w:r w:rsidR="00515AF2">
        <w:t xml:space="preserve">he operation of the Agreement.  </w:t>
      </w:r>
      <w:r w:rsidRPr="00EC7632">
        <w:t xml:space="preserve">Each </w:t>
      </w:r>
      <w:r>
        <w:t>performance</w:t>
      </w:r>
      <w:r w:rsidRPr="00EC7632">
        <w:t xml:space="preserve"> report is to contain the following information:</w:t>
      </w:r>
    </w:p>
    <w:p w14:paraId="54E47890" w14:textId="77777777" w:rsidR="00BC58DB" w:rsidRPr="00EC7632" w:rsidRDefault="00BC58DB" w:rsidP="00C0310C">
      <w:pPr>
        <w:pStyle w:val="AlphaParagraph"/>
        <w:numPr>
          <w:ilvl w:val="0"/>
          <w:numId w:val="31"/>
        </w:numPr>
        <w:tabs>
          <w:tab w:val="clear" w:pos="283"/>
          <w:tab w:val="clear" w:pos="567"/>
          <w:tab w:val="clear" w:pos="1418"/>
          <w:tab w:val="clear" w:pos="1701"/>
        </w:tabs>
        <w:ind w:left="1134" w:hanging="567"/>
      </w:pPr>
      <w:r w:rsidRPr="00EC7632">
        <w:t xml:space="preserve">a description of actual performance of </w:t>
      </w:r>
      <w:r>
        <w:t>Victoria</w:t>
      </w:r>
      <w:r w:rsidRPr="00EC7632">
        <w:t xml:space="preserve"> in the period to date against the project milestones;</w:t>
      </w:r>
      <w:r>
        <w:t xml:space="preserve"> </w:t>
      </w:r>
    </w:p>
    <w:p w14:paraId="5BF22206" w14:textId="77777777" w:rsidR="00123270" w:rsidRDefault="00BC58DB" w:rsidP="00A61571">
      <w:pPr>
        <w:pStyle w:val="AlphaParagraph"/>
        <w:numPr>
          <w:ilvl w:val="0"/>
          <w:numId w:val="31"/>
        </w:numPr>
        <w:tabs>
          <w:tab w:val="clear" w:pos="283"/>
          <w:tab w:val="clear" w:pos="567"/>
          <w:tab w:val="clear" w:pos="1418"/>
          <w:tab w:val="clear" w:pos="1701"/>
        </w:tabs>
        <w:ind w:left="1134" w:hanging="567"/>
      </w:pPr>
      <w:r w:rsidRPr="00EC7632">
        <w:t xml:space="preserve">details of any matter(s) that have arisen which could adversely impact on the delivery of the output, and how </w:t>
      </w:r>
      <w:r>
        <w:t>Victoria</w:t>
      </w:r>
      <w:r w:rsidRPr="00EC7632">
        <w:t xml:space="preserve"> propose</w:t>
      </w:r>
      <w:r w:rsidR="00B94C4C">
        <w:t>s</w:t>
      </w:r>
      <w:r w:rsidRPr="00EC7632">
        <w:t xml:space="preserve"> to resolve this/these matte</w:t>
      </w:r>
      <w:r>
        <w:t>r(s)</w:t>
      </w:r>
      <w:r w:rsidR="00123270">
        <w:t xml:space="preserve">; </w:t>
      </w:r>
    </w:p>
    <w:p w14:paraId="731027BA" w14:textId="3AA6B82F" w:rsidR="00DA3678" w:rsidRDefault="006919EC" w:rsidP="00C0310C">
      <w:pPr>
        <w:pStyle w:val="AlphaParagraph"/>
        <w:numPr>
          <w:ilvl w:val="0"/>
          <w:numId w:val="31"/>
        </w:numPr>
        <w:tabs>
          <w:tab w:val="clear" w:pos="283"/>
          <w:tab w:val="clear" w:pos="567"/>
          <w:tab w:val="clear" w:pos="1418"/>
          <w:tab w:val="clear" w:pos="1701"/>
        </w:tabs>
        <w:ind w:left="1134" w:hanging="567"/>
      </w:pPr>
      <w:r>
        <w:t>a</w:t>
      </w:r>
      <w:r w:rsidR="00EC3033">
        <w:t xml:space="preserve"> report </w:t>
      </w:r>
      <w:r w:rsidR="00066A56">
        <w:t>on the impact of the renewed NCSP</w:t>
      </w:r>
      <w:r w:rsidR="00DA3678">
        <w:t xml:space="preserve"> and referrals from the new testing regime</w:t>
      </w:r>
      <w:r w:rsidR="00572EFC">
        <w:t>;</w:t>
      </w:r>
    </w:p>
    <w:p w14:paraId="4DD10BD2" w14:textId="77777777" w:rsidR="00AA734D" w:rsidRDefault="00DA3678" w:rsidP="00C0310C">
      <w:pPr>
        <w:pStyle w:val="AlphaParagraph"/>
        <w:numPr>
          <w:ilvl w:val="0"/>
          <w:numId w:val="31"/>
        </w:numPr>
        <w:tabs>
          <w:tab w:val="clear" w:pos="283"/>
          <w:tab w:val="clear" w:pos="567"/>
          <w:tab w:val="clear" w:pos="1418"/>
          <w:tab w:val="clear" w:pos="1701"/>
        </w:tabs>
        <w:ind w:left="1134" w:hanging="567"/>
      </w:pPr>
      <w:r>
        <w:t xml:space="preserve">an update on activities </w:t>
      </w:r>
      <w:r w:rsidR="00123270">
        <w:t xml:space="preserve">that target </w:t>
      </w:r>
      <w:r w:rsidR="000558A4">
        <w:t>under screened or never screened women</w:t>
      </w:r>
      <w:r w:rsidR="003E6777">
        <w:t>; and</w:t>
      </w:r>
    </w:p>
    <w:p w14:paraId="67BF5DDD" w14:textId="77777777" w:rsidR="003E6777" w:rsidRPr="003E6777" w:rsidRDefault="00AA734D" w:rsidP="00C0310C">
      <w:pPr>
        <w:pStyle w:val="AlphaParagraph"/>
        <w:numPr>
          <w:ilvl w:val="0"/>
          <w:numId w:val="31"/>
        </w:numPr>
        <w:tabs>
          <w:tab w:val="clear" w:pos="283"/>
          <w:tab w:val="clear" w:pos="567"/>
          <w:tab w:val="clear" w:pos="1418"/>
          <w:tab w:val="clear" w:pos="1701"/>
        </w:tabs>
        <w:ind w:left="1134" w:hanging="567"/>
      </w:pPr>
      <w:r>
        <w:rPr>
          <w:szCs w:val="23"/>
        </w:rPr>
        <w:t>e</w:t>
      </w:r>
      <w:r w:rsidRPr="00BC2661">
        <w:rPr>
          <w:szCs w:val="23"/>
        </w:rPr>
        <w:t>vidence on N</w:t>
      </w:r>
      <w:r>
        <w:rPr>
          <w:szCs w:val="23"/>
        </w:rPr>
        <w:t xml:space="preserve">ational </w:t>
      </w:r>
      <w:r w:rsidRPr="00BC2661">
        <w:rPr>
          <w:szCs w:val="23"/>
        </w:rPr>
        <w:t>A</w:t>
      </w:r>
      <w:r>
        <w:rPr>
          <w:szCs w:val="23"/>
        </w:rPr>
        <w:t xml:space="preserve">ssociation of </w:t>
      </w:r>
      <w:r w:rsidRPr="00BC2661">
        <w:rPr>
          <w:szCs w:val="23"/>
        </w:rPr>
        <w:t>T</w:t>
      </w:r>
      <w:r>
        <w:rPr>
          <w:szCs w:val="23"/>
        </w:rPr>
        <w:t xml:space="preserve">esting </w:t>
      </w:r>
      <w:r w:rsidRPr="00BC2661">
        <w:rPr>
          <w:szCs w:val="23"/>
        </w:rPr>
        <w:t>A</w:t>
      </w:r>
      <w:r>
        <w:rPr>
          <w:szCs w:val="23"/>
        </w:rPr>
        <w:t>uthority</w:t>
      </w:r>
      <w:r w:rsidRPr="00BC2661">
        <w:rPr>
          <w:szCs w:val="23"/>
        </w:rPr>
        <w:t>/R</w:t>
      </w:r>
      <w:r>
        <w:rPr>
          <w:szCs w:val="23"/>
        </w:rPr>
        <w:t xml:space="preserve">oyal </w:t>
      </w:r>
      <w:r w:rsidRPr="00BC2661">
        <w:rPr>
          <w:szCs w:val="23"/>
        </w:rPr>
        <w:t>C</w:t>
      </w:r>
      <w:r>
        <w:rPr>
          <w:szCs w:val="23"/>
        </w:rPr>
        <w:t xml:space="preserve">ollege of </w:t>
      </w:r>
      <w:r w:rsidRPr="00BC2661">
        <w:rPr>
          <w:szCs w:val="23"/>
        </w:rPr>
        <w:t>P</w:t>
      </w:r>
      <w:r>
        <w:rPr>
          <w:szCs w:val="23"/>
        </w:rPr>
        <w:t xml:space="preserve">athologists </w:t>
      </w:r>
      <w:r w:rsidRPr="00BC2661">
        <w:rPr>
          <w:szCs w:val="23"/>
        </w:rPr>
        <w:t>A</w:t>
      </w:r>
      <w:r>
        <w:rPr>
          <w:szCs w:val="23"/>
        </w:rPr>
        <w:t>ustralasia accreditation for cervical cytology.</w:t>
      </w:r>
    </w:p>
    <w:p w14:paraId="3380DAAD" w14:textId="77777777" w:rsidR="00F05CD0" w:rsidRPr="00EC7632" w:rsidRDefault="003E6777" w:rsidP="003E6777">
      <w:pPr>
        <w:pStyle w:val="Normalnumbered"/>
        <w:numPr>
          <w:ilvl w:val="0"/>
          <w:numId w:val="16"/>
        </w:numPr>
        <w:spacing w:before="120" w:line="240" w:lineRule="auto"/>
      </w:pPr>
      <w:r>
        <w:t>Victoria will provide a final performance report for the 1 May 2021 to 30 June 2021 by no later than 31 July 2021.</w:t>
      </w:r>
    </w:p>
    <w:p w14:paraId="7151EE32" w14:textId="77777777" w:rsidR="008E7527" w:rsidRDefault="008E7527" w:rsidP="009E093C">
      <w:pPr>
        <w:pStyle w:val="Heading1"/>
      </w:pPr>
      <w:r>
        <w:t>Part 5</w:t>
      </w:r>
      <w:r w:rsidRPr="00751725">
        <w:t xml:space="preserve"> — financial arrangements</w:t>
      </w:r>
    </w:p>
    <w:p w14:paraId="6F2BDBB6" w14:textId="6311F05F" w:rsidR="008E7527" w:rsidRDefault="008E7527" w:rsidP="00C0310C">
      <w:pPr>
        <w:pStyle w:val="Normalnumbered"/>
        <w:numPr>
          <w:ilvl w:val="0"/>
          <w:numId w:val="16"/>
        </w:numPr>
        <w:jc w:val="left"/>
      </w:pPr>
      <w:r w:rsidRPr="000E48C3">
        <w:t xml:space="preserve">The Commonwealth will </w:t>
      </w:r>
      <w:r>
        <w:t>provide</w:t>
      </w:r>
      <w:r w:rsidRPr="000E48C3">
        <w:t xml:space="preserve"> a</w:t>
      </w:r>
      <w:r w:rsidR="002E144A">
        <w:t>n estimated</w:t>
      </w:r>
      <w:r>
        <w:t xml:space="preserve"> total</w:t>
      </w:r>
      <w:r w:rsidRPr="000E48C3">
        <w:t xml:space="preserve"> financial contribution to </w:t>
      </w:r>
      <w:r w:rsidR="00A4777F">
        <w:t>Victoria</w:t>
      </w:r>
      <w:r w:rsidR="00F0239B">
        <w:t xml:space="preserve"> of</w:t>
      </w:r>
      <w:r w:rsidR="00A4777F">
        <w:t xml:space="preserve"> </w:t>
      </w:r>
      <w:r w:rsidR="00E110B3">
        <w:t xml:space="preserve">$41,533,000 </w:t>
      </w:r>
      <w:r>
        <w:t xml:space="preserve">in respect of this Agreement. </w:t>
      </w:r>
      <w:r w:rsidRPr="000E48C3">
        <w:t xml:space="preserve"> </w:t>
      </w:r>
      <w:r>
        <w:t>All payments are GST exclusive.</w:t>
      </w:r>
    </w:p>
    <w:p w14:paraId="0098D65F" w14:textId="77777777" w:rsidR="008E7527" w:rsidRDefault="005A5E7A" w:rsidP="00C0310C">
      <w:pPr>
        <w:pStyle w:val="Normalnumbered"/>
        <w:numPr>
          <w:ilvl w:val="0"/>
          <w:numId w:val="16"/>
        </w:numPr>
      </w:pPr>
      <w:r>
        <w:t>T</w:t>
      </w:r>
      <w:r w:rsidR="008E7527" w:rsidRPr="002B7E1B">
        <w:t xml:space="preserve">he Commonwealth’s funding contribution will not be reduced where </w:t>
      </w:r>
      <w:r w:rsidR="00EE2397">
        <w:t>Victoria</w:t>
      </w:r>
      <w:r w:rsidR="008E7527" w:rsidRPr="002B7E1B">
        <w:t xml:space="preserve"> secure</w:t>
      </w:r>
      <w:r w:rsidR="00E63F24">
        <w:t>s</w:t>
      </w:r>
      <w:r w:rsidR="008E7527" w:rsidRPr="002B7E1B">
        <w:t xml:space="preserve"> funding from other activity partners</w:t>
      </w:r>
      <w:r w:rsidR="002E144A">
        <w:t>.</w:t>
      </w:r>
    </w:p>
    <w:p w14:paraId="0264BABB" w14:textId="423F66CB" w:rsidR="008E7527" w:rsidRPr="00751725" w:rsidRDefault="008E7527" w:rsidP="00C0310C">
      <w:pPr>
        <w:pStyle w:val="Normalnumbered"/>
        <w:keepNext/>
        <w:keepLines/>
        <w:numPr>
          <w:ilvl w:val="0"/>
          <w:numId w:val="16"/>
        </w:numPr>
      </w:pPr>
      <w:r w:rsidRPr="00751725">
        <w:t>The Commonwealth</w:t>
      </w:r>
      <w:r>
        <w:t>’s</w:t>
      </w:r>
      <w:r w:rsidRPr="00751725">
        <w:t xml:space="preserve"> </w:t>
      </w:r>
      <w:r>
        <w:t xml:space="preserve">estimated </w:t>
      </w:r>
      <w:r w:rsidRPr="00751725">
        <w:t>financial contribution</w:t>
      </w:r>
      <w:r w:rsidR="002E144A">
        <w:t>s</w:t>
      </w:r>
      <w:r w:rsidRPr="00751725">
        <w:t xml:space="preserve"> to the operation of </w:t>
      </w:r>
      <w:r>
        <w:t xml:space="preserve">this Agreement, including through National Partnership payments to </w:t>
      </w:r>
      <w:r w:rsidR="006A0418">
        <w:t>Victoria</w:t>
      </w:r>
      <w:r>
        <w:t xml:space="preserve"> paid in accordance with </w:t>
      </w:r>
      <w:r w:rsidRPr="002B7E1B">
        <w:rPr>
          <w:i/>
        </w:rPr>
        <w:t>Schedule</w:t>
      </w:r>
      <w:r>
        <w:rPr>
          <w:i/>
        </w:rPr>
        <w:t> </w:t>
      </w:r>
      <w:r w:rsidRPr="002B7E1B">
        <w:rPr>
          <w:i/>
        </w:rPr>
        <w:t>D — Payment Arrangements</w:t>
      </w:r>
      <w:r>
        <w:t xml:space="preserve"> of the </w:t>
      </w:r>
      <w:r w:rsidR="00C41265">
        <w:t>IGA FFR</w:t>
      </w:r>
      <w:r w:rsidR="00C2605C">
        <w:t>, are shown in Table 2</w:t>
      </w:r>
      <w:r w:rsidRPr="00751725">
        <w:t>.</w:t>
      </w:r>
    </w:p>
    <w:p w14:paraId="6D5C3E98" w14:textId="77777777" w:rsidR="008E7527" w:rsidRPr="002D2C01" w:rsidRDefault="00E204BB" w:rsidP="002D2C01">
      <w:pPr>
        <w:pStyle w:val="Normalnumbered"/>
        <w:numPr>
          <w:ilvl w:val="0"/>
          <w:numId w:val="0"/>
        </w:numPr>
        <w:spacing w:after="120"/>
        <w:rPr>
          <w:b/>
        </w:rPr>
      </w:pPr>
      <w:r>
        <w:rPr>
          <w:b/>
        </w:rPr>
        <w:t>Table 2</w:t>
      </w:r>
      <w:r w:rsidR="008E7527" w:rsidRPr="00E204BB">
        <w:rPr>
          <w:b/>
        </w:rPr>
        <w:t>: Estimated financial contributions</w:t>
      </w:r>
    </w:p>
    <w:tbl>
      <w:tblPr>
        <w:tblW w:w="0" w:type="auto"/>
        <w:tblLook w:val="01E0" w:firstRow="1" w:lastRow="1" w:firstColumn="1" w:lastColumn="1" w:noHBand="0" w:noVBand="0"/>
      </w:tblPr>
      <w:tblGrid>
        <w:gridCol w:w="4786"/>
        <w:gridCol w:w="1013"/>
        <w:gridCol w:w="1014"/>
        <w:gridCol w:w="1013"/>
        <w:gridCol w:w="1014"/>
        <w:gridCol w:w="1014"/>
      </w:tblGrid>
      <w:tr w:rsidR="008E7527" w14:paraId="4E515F0E" w14:textId="77777777" w:rsidTr="00572EFC">
        <w:trPr>
          <w:cantSplit/>
        </w:trPr>
        <w:tc>
          <w:tcPr>
            <w:tcW w:w="4786" w:type="dxa"/>
            <w:tcBorders>
              <w:top w:val="single" w:sz="4" w:space="0" w:color="000080"/>
            </w:tcBorders>
          </w:tcPr>
          <w:p w14:paraId="06DA4E6F" w14:textId="77777777" w:rsidR="008E7527" w:rsidRPr="00C2711B" w:rsidRDefault="008E7527" w:rsidP="00AB71A5">
            <w:pPr>
              <w:keepNext/>
              <w:keepLines/>
              <w:spacing w:before="40" w:after="40"/>
              <w:jc w:val="left"/>
              <w:rPr>
                <w:b/>
              </w:rPr>
            </w:pPr>
            <w:r w:rsidRPr="00C2711B">
              <w:rPr>
                <w:b/>
              </w:rPr>
              <w:t>($ million)</w:t>
            </w:r>
          </w:p>
        </w:tc>
        <w:tc>
          <w:tcPr>
            <w:tcW w:w="1013" w:type="dxa"/>
            <w:tcBorders>
              <w:top w:val="single" w:sz="4" w:space="0" w:color="000080"/>
              <w:bottom w:val="single" w:sz="4" w:space="0" w:color="000080"/>
            </w:tcBorders>
          </w:tcPr>
          <w:p w14:paraId="7FFFB131" w14:textId="77777777" w:rsidR="008E7527" w:rsidRDefault="006A0418" w:rsidP="00AB71A5">
            <w:pPr>
              <w:keepNext/>
              <w:keepLines/>
              <w:spacing w:before="40" w:after="40"/>
              <w:jc w:val="right"/>
            </w:pPr>
            <w:r>
              <w:t>2017-18</w:t>
            </w:r>
          </w:p>
        </w:tc>
        <w:tc>
          <w:tcPr>
            <w:tcW w:w="1014" w:type="dxa"/>
            <w:tcBorders>
              <w:top w:val="single" w:sz="4" w:space="0" w:color="000080"/>
              <w:bottom w:val="single" w:sz="4" w:space="0" w:color="000080"/>
            </w:tcBorders>
          </w:tcPr>
          <w:p w14:paraId="0F3D9FD6" w14:textId="77777777" w:rsidR="008E7527" w:rsidRDefault="006A0418" w:rsidP="00AB71A5">
            <w:pPr>
              <w:keepNext/>
              <w:keepLines/>
              <w:spacing w:before="40" w:after="40"/>
              <w:jc w:val="right"/>
            </w:pPr>
            <w:r>
              <w:t>2018-19</w:t>
            </w:r>
          </w:p>
        </w:tc>
        <w:tc>
          <w:tcPr>
            <w:tcW w:w="1013" w:type="dxa"/>
            <w:tcBorders>
              <w:top w:val="single" w:sz="4" w:space="0" w:color="000080"/>
              <w:bottom w:val="single" w:sz="4" w:space="0" w:color="000080"/>
            </w:tcBorders>
          </w:tcPr>
          <w:p w14:paraId="4A2991F5" w14:textId="77777777" w:rsidR="008E7527" w:rsidRDefault="006A0418" w:rsidP="00AB71A5">
            <w:pPr>
              <w:keepNext/>
              <w:keepLines/>
              <w:spacing w:before="40" w:after="40"/>
              <w:jc w:val="right"/>
            </w:pPr>
            <w:r>
              <w:t>2019-20</w:t>
            </w:r>
          </w:p>
        </w:tc>
        <w:tc>
          <w:tcPr>
            <w:tcW w:w="1014" w:type="dxa"/>
            <w:tcBorders>
              <w:top w:val="single" w:sz="4" w:space="0" w:color="000080"/>
              <w:bottom w:val="single" w:sz="4" w:space="0" w:color="000080"/>
            </w:tcBorders>
          </w:tcPr>
          <w:p w14:paraId="37D14D34" w14:textId="77777777" w:rsidR="008E7527" w:rsidRDefault="006A0418" w:rsidP="00AB71A5">
            <w:pPr>
              <w:keepNext/>
              <w:keepLines/>
              <w:spacing w:before="40" w:after="40"/>
              <w:jc w:val="right"/>
            </w:pPr>
            <w:r>
              <w:t>2020-21</w:t>
            </w:r>
          </w:p>
        </w:tc>
        <w:tc>
          <w:tcPr>
            <w:tcW w:w="1014" w:type="dxa"/>
            <w:tcBorders>
              <w:top w:val="single" w:sz="4" w:space="0" w:color="000080"/>
              <w:bottom w:val="single" w:sz="4" w:space="0" w:color="000080"/>
            </w:tcBorders>
          </w:tcPr>
          <w:p w14:paraId="738B9EA0" w14:textId="77777777" w:rsidR="008E7527" w:rsidRDefault="008E7527" w:rsidP="00AB71A5">
            <w:pPr>
              <w:keepNext/>
              <w:keepLines/>
              <w:spacing w:before="40" w:after="40"/>
              <w:jc w:val="right"/>
            </w:pPr>
            <w:r>
              <w:t>Total</w:t>
            </w:r>
          </w:p>
        </w:tc>
      </w:tr>
      <w:tr w:rsidR="008E7527" w14:paraId="054F647A" w14:textId="77777777" w:rsidTr="00572EFC">
        <w:trPr>
          <w:cantSplit/>
        </w:trPr>
        <w:tc>
          <w:tcPr>
            <w:tcW w:w="4786" w:type="dxa"/>
          </w:tcPr>
          <w:p w14:paraId="22B86A63" w14:textId="77777777" w:rsidR="008E7527" w:rsidRPr="005B4C1B" w:rsidRDefault="008E7527" w:rsidP="00AB71A5">
            <w:pPr>
              <w:keepNext/>
              <w:keepLines/>
              <w:spacing w:before="60" w:after="60"/>
              <w:rPr>
                <w:b/>
              </w:rPr>
            </w:pPr>
            <w:r w:rsidRPr="005B4C1B">
              <w:rPr>
                <w:b/>
              </w:rPr>
              <w:t>Estimated total budget</w:t>
            </w:r>
          </w:p>
        </w:tc>
        <w:tc>
          <w:tcPr>
            <w:tcW w:w="1013" w:type="dxa"/>
            <w:tcBorders>
              <w:top w:val="single" w:sz="4" w:space="0" w:color="000080"/>
            </w:tcBorders>
          </w:tcPr>
          <w:p w14:paraId="17D62AB0" w14:textId="77777777" w:rsidR="008E7527" w:rsidRPr="005B4C1B" w:rsidRDefault="008E7527" w:rsidP="00AB71A5">
            <w:pPr>
              <w:keepNext/>
              <w:keepLines/>
              <w:spacing w:before="40" w:after="40"/>
              <w:jc w:val="right"/>
              <w:rPr>
                <w:b/>
              </w:rPr>
            </w:pPr>
            <w:r w:rsidRPr="005B4C1B">
              <w:rPr>
                <w:b/>
              </w:rPr>
              <w:t>1</w:t>
            </w:r>
            <w:r w:rsidR="006A0418">
              <w:rPr>
                <w:b/>
              </w:rPr>
              <w:t>0.2</w:t>
            </w:r>
          </w:p>
        </w:tc>
        <w:tc>
          <w:tcPr>
            <w:tcW w:w="1014" w:type="dxa"/>
            <w:tcBorders>
              <w:top w:val="single" w:sz="4" w:space="0" w:color="000080"/>
            </w:tcBorders>
          </w:tcPr>
          <w:p w14:paraId="0E3069CC" w14:textId="77777777" w:rsidR="008E7527" w:rsidRPr="005B4C1B" w:rsidRDefault="008E7527" w:rsidP="00AB71A5">
            <w:pPr>
              <w:keepNext/>
              <w:keepLines/>
              <w:spacing w:before="40" w:after="40"/>
              <w:jc w:val="right"/>
              <w:rPr>
                <w:b/>
              </w:rPr>
            </w:pPr>
            <w:r w:rsidRPr="005B4C1B">
              <w:rPr>
                <w:b/>
              </w:rPr>
              <w:t>1</w:t>
            </w:r>
            <w:r w:rsidR="006A0418">
              <w:rPr>
                <w:b/>
              </w:rPr>
              <w:t>0.3</w:t>
            </w:r>
          </w:p>
        </w:tc>
        <w:tc>
          <w:tcPr>
            <w:tcW w:w="1013" w:type="dxa"/>
            <w:tcBorders>
              <w:top w:val="single" w:sz="4" w:space="0" w:color="000080"/>
            </w:tcBorders>
          </w:tcPr>
          <w:p w14:paraId="72577200" w14:textId="77777777" w:rsidR="008E7527" w:rsidRPr="005B4C1B" w:rsidRDefault="008E7527" w:rsidP="00AB71A5">
            <w:pPr>
              <w:keepNext/>
              <w:keepLines/>
              <w:spacing w:before="40" w:after="40"/>
              <w:jc w:val="right"/>
              <w:rPr>
                <w:b/>
              </w:rPr>
            </w:pPr>
            <w:r w:rsidRPr="005B4C1B">
              <w:rPr>
                <w:b/>
              </w:rPr>
              <w:t>1</w:t>
            </w:r>
            <w:r w:rsidR="006A0418">
              <w:rPr>
                <w:b/>
              </w:rPr>
              <w:t>0.5</w:t>
            </w:r>
          </w:p>
        </w:tc>
        <w:tc>
          <w:tcPr>
            <w:tcW w:w="1014" w:type="dxa"/>
            <w:tcBorders>
              <w:top w:val="single" w:sz="4" w:space="0" w:color="000080"/>
            </w:tcBorders>
          </w:tcPr>
          <w:p w14:paraId="1FBD615D" w14:textId="77777777" w:rsidR="008E7527" w:rsidRPr="005B4C1B" w:rsidRDefault="008E7527" w:rsidP="00AB71A5">
            <w:pPr>
              <w:keepNext/>
              <w:keepLines/>
              <w:spacing w:before="40" w:after="40"/>
              <w:jc w:val="right"/>
              <w:rPr>
                <w:b/>
              </w:rPr>
            </w:pPr>
            <w:r w:rsidRPr="005B4C1B">
              <w:rPr>
                <w:b/>
              </w:rPr>
              <w:t>1</w:t>
            </w:r>
            <w:r w:rsidR="006A0418">
              <w:rPr>
                <w:b/>
              </w:rPr>
              <w:t>0.6</w:t>
            </w:r>
          </w:p>
        </w:tc>
        <w:tc>
          <w:tcPr>
            <w:tcW w:w="1014" w:type="dxa"/>
            <w:tcBorders>
              <w:top w:val="single" w:sz="4" w:space="0" w:color="000080"/>
            </w:tcBorders>
          </w:tcPr>
          <w:p w14:paraId="3F4CEDE6" w14:textId="77777777" w:rsidR="008E7527" w:rsidRPr="005B4C1B" w:rsidRDefault="008E7527" w:rsidP="00AB71A5">
            <w:pPr>
              <w:keepNext/>
              <w:keepLines/>
              <w:spacing w:before="40" w:after="40"/>
              <w:jc w:val="right"/>
              <w:rPr>
                <w:b/>
              </w:rPr>
            </w:pPr>
            <w:r w:rsidRPr="005B4C1B">
              <w:rPr>
                <w:b/>
              </w:rPr>
              <w:t>4</w:t>
            </w:r>
            <w:r w:rsidR="006A0418">
              <w:rPr>
                <w:b/>
              </w:rPr>
              <w:t>1.6</w:t>
            </w:r>
          </w:p>
        </w:tc>
      </w:tr>
      <w:tr w:rsidR="006A0418" w14:paraId="043F05F9" w14:textId="77777777" w:rsidTr="00572EFC">
        <w:trPr>
          <w:cantSplit/>
        </w:trPr>
        <w:tc>
          <w:tcPr>
            <w:tcW w:w="4786" w:type="dxa"/>
          </w:tcPr>
          <w:p w14:paraId="51CE6094" w14:textId="77777777" w:rsidR="006A0418" w:rsidRPr="004A673A" w:rsidRDefault="006A0418" w:rsidP="00AB71A5">
            <w:pPr>
              <w:keepNext/>
              <w:keepLines/>
              <w:spacing w:before="60" w:after="60"/>
            </w:pPr>
            <w:r>
              <w:t>Less estimated National Partnership Payments</w:t>
            </w:r>
          </w:p>
        </w:tc>
        <w:tc>
          <w:tcPr>
            <w:tcW w:w="1013" w:type="dxa"/>
            <w:tcBorders>
              <w:bottom w:val="single" w:sz="4" w:space="0" w:color="000080"/>
            </w:tcBorders>
          </w:tcPr>
          <w:p w14:paraId="755BF9CF" w14:textId="77777777" w:rsidR="006A0418" w:rsidRPr="005B4C1B" w:rsidRDefault="006A0418" w:rsidP="009E5995">
            <w:pPr>
              <w:keepNext/>
              <w:keepLines/>
              <w:spacing w:before="40" w:after="40"/>
              <w:jc w:val="right"/>
              <w:rPr>
                <w:b/>
              </w:rPr>
            </w:pPr>
            <w:r w:rsidRPr="005B4C1B">
              <w:rPr>
                <w:b/>
              </w:rPr>
              <w:t>1</w:t>
            </w:r>
            <w:r>
              <w:rPr>
                <w:b/>
              </w:rPr>
              <w:t>0.2</w:t>
            </w:r>
          </w:p>
        </w:tc>
        <w:tc>
          <w:tcPr>
            <w:tcW w:w="1014" w:type="dxa"/>
            <w:tcBorders>
              <w:bottom w:val="single" w:sz="4" w:space="0" w:color="000080"/>
            </w:tcBorders>
          </w:tcPr>
          <w:p w14:paraId="648B778D" w14:textId="77777777" w:rsidR="006A0418" w:rsidRPr="005B4C1B" w:rsidRDefault="006A0418" w:rsidP="009E5995">
            <w:pPr>
              <w:keepNext/>
              <w:keepLines/>
              <w:spacing w:before="40" w:after="40"/>
              <w:jc w:val="right"/>
              <w:rPr>
                <w:b/>
              </w:rPr>
            </w:pPr>
            <w:r w:rsidRPr="005B4C1B">
              <w:rPr>
                <w:b/>
              </w:rPr>
              <w:t>1</w:t>
            </w:r>
            <w:r>
              <w:rPr>
                <w:b/>
              </w:rPr>
              <w:t>0.3</w:t>
            </w:r>
          </w:p>
        </w:tc>
        <w:tc>
          <w:tcPr>
            <w:tcW w:w="1013" w:type="dxa"/>
            <w:tcBorders>
              <w:bottom w:val="single" w:sz="4" w:space="0" w:color="000080"/>
            </w:tcBorders>
          </w:tcPr>
          <w:p w14:paraId="55765814" w14:textId="77777777" w:rsidR="006A0418" w:rsidRPr="005B4C1B" w:rsidRDefault="006A0418" w:rsidP="009E5995">
            <w:pPr>
              <w:keepNext/>
              <w:keepLines/>
              <w:spacing w:before="40" w:after="40"/>
              <w:jc w:val="right"/>
              <w:rPr>
                <w:b/>
              </w:rPr>
            </w:pPr>
            <w:r w:rsidRPr="005B4C1B">
              <w:rPr>
                <w:b/>
              </w:rPr>
              <w:t>1</w:t>
            </w:r>
            <w:r>
              <w:rPr>
                <w:b/>
              </w:rPr>
              <w:t>0.5</w:t>
            </w:r>
          </w:p>
        </w:tc>
        <w:tc>
          <w:tcPr>
            <w:tcW w:w="1014" w:type="dxa"/>
            <w:tcBorders>
              <w:bottom w:val="single" w:sz="4" w:space="0" w:color="000080"/>
            </w:tcBorders>
          </w:tcPr>
          <w:p w14:paraId="381DDAC5" w14:textId="77777777" w:rsidR="006A0418" w:rsidRPr="005B4C1B" w:rsidRDefault="006A0418" w:rsidP="009E5995">
            <w:pPr>
              <w:keepNext/>
              <w:keepLines/>
              <w:spacing w:before="40" w:after="40"/>
              <w:jc w:val="right"/>
              <w:rPr>
                <w:b/>
              </w:rPr>
            </w:pPr>
            <w:r w:rsidRPr="005B4C1B">
              <w:rPr>
                <w:b/>
              </w:rPr>
              <w:t>1</w:t>
            </w:r>
            <w:r>
              <w:rPr>
                <w:b/>
              </w:rPr>
              <w:t>0.6</w:t>
            </w:r>
          </w:p>
        </w:tc>
        <w:tc>
          <w:tcPr>
            <w:tcW w:w="1014" w:type="dxa"/>
            <w:tcBorders>
              <w:bottom w:val="single" w:sz="4" w:space="0" w:color="000080"/>
            </w:tcBorders>
          </w:tcPr>
          <w:p w14:paraId="6C5E99CC" w14:textId="77777777" w:rsidR="006A0418" w:rsidRPr="005B4C1B" w:rsidRDefault="006A0418" w:rsidP="009E5995">
            <w:pPr>
              <w:keepNext/>
              <w:keepLines/>
              <w:spacing w:before="40" w:after="40"/>
              <w:jc w:val="right"/>
              <w:rPr>
                <w:b/>
              </w:rPr>
            </w:pPr>
            <w:r w:rsidRPr="005B4C1B">
              <w:rPr>
                <w:b/>
              </w:rPr>
              <w:t>4</w:t>
            </w:r>
            <w:r>
              <w:rPr>
                <w:b/>
              </w:rPr>
              <w:t>1.6</w:t>
            </w:r>
          </w:p>
        </w:tc>
      </w:tr>
      <w:tr w:rsidR="008E7527" w14:paraId="269C6F36" w14:textId="77777777" w:rsidTr="00572EFC">
        <w:trPr>
          <w:cantSplit/>
        </w:trPr>
        <w:tc>
          <w:tcPr>
            <w:tcW w:w="4786" w:type="dxa"/>
            <w:tcBorders>
              <w:bottom w:val="single" w:sz="4" w:space="0" w:color="000080"/>
            </w:tcBorders>
          </w:tcPr>
          <w:p w14:paraId="00D4D34A" w14:textId="77777777" w:rsidR="008E7527" w:rsidRPr="006146F2" w:rsidRDefault="008E7527" w:rsidP="00AB71A5">
            <w:pPr>
              <w:keepNext/>
              <w:keepLines/>
              <w:spacing w:before="40" w:after="40"/>
            </w:pPr>
            <w:r w:rsidRPr="006146F2">
              <w:t>Balance of non-Commonwealth contribution</w:t>
            </w:r>
            <w:r>
              <w:t>s</w:t>
            </w:r>
            <w:r w:rsidR="00B35ECB">
              <w:t xml:space="preserve"> </w:t>
            </w:r>
            <w:r w:rsidR="00B35ECB" w:rsidRPr="00BC6EB0">
              <w:rPr>
                <w:vertAlign w:val="superscript"/>
              </w:rPr>
              <w:t>(a)</w:t>
            </w:r>
          </w:p>
        </w:tc>
        <w:tc>
          <w:tcPr>
            <w:tcW w:w="1013" w:type="dxa"/>
            <w:tcBorders>
              <w:bottom w:val="single" w:sz="4" w:space="0" w:color="000080"/>
            </w:tcBorders>
          </w:tcPr>
          <w:p w14:paraId="7FBA6956" w14:textId="77777777" w:rsidR="008E7527" w:rsidRDefault="008E7527" w:rsidP="00AB71A5">
            <w:pPr>
              <w:keepNext/>
              <w:keepLines/>
              <w:spacing w:before="40" w:after="40"/>
              <w:jc w:val="right"/>
            </w:pPr>
            <w:r>
              <w:t>0.0</w:t>
            </w:r>
          </w:p>
        </w:tc>
        <w:tc>
          <w:tcPr>
            <w:tcW w:w="1014" w:type="dxa"/>
            <w:tcBorders>
              <w:bottom w:val="single" w:sz="4" w:space="0" w:color="000080"/>
            </w:tcBorders>
          </w:tcPr>
          <w:p w14:paraId="2D6815EF" w14:textId="77777777" w:rsidR="008E7527" w:rsidRDefault="008E7527" w:rsidP="00AB71A5">
            <w:pPr>
              <w:keepNext/>
              <w:keepLines/>
              <w:spacing w:before="40" w:after="40"/>
              <w:jc w:val="right"/>
            </w:pPr>
            <w:r>
              <w:t>0.0</w:t>
            </w:r>
          </w:p>
        </w:tc>
        <w:tc>
          <w:tcPr>
            <w:tcW w:w="1013" w:type="dxa"/>
            <w:tcBorders>
              <w:bottom w:val="single" w:sz="4" w:space="0" w:color="000080"/>
            </w:tcBorders>
          </w:tcPr>
          <w:p w14:paraId="0D1E4346" w14:textId="77777777" w:rsidR="008E7527" w:rsidRDefault="006A0418" w:rsidP="00AB71A5">
            <w:pPr>
              <w:keepNext/>
              <w:keepLines/>
              <w:spacing w:before="40" w:after="40"/>
              <w:jc w:val="right"/>
            </w:pPr>
            <w:r>
              <w:t>0</w:t>
            </w:r>
            <w:r w:rsidR="008E7527">
              <w:t>.0</w:t>
            </w:r>
          </w:p>
        </w:tc>
        <w:tc>
          <w:tcPr>
            <w:tcW w:w="1014" w:type="dxa"/>
            <w:tcBorders>
              <w:bottom w:val="single" w:sz="4" w:space="0" w:color="000080"/>
            </w:tcBorders>
          </w:tcPr>
          <w:p w14:paraId="5D0798EA" w14:textId="77777777" w:rsidR="008E7527" w:rsidRDefault="006A0418" w:rsidP="00AB71A5">
            <w:pPr>
              <w:keepNext/>
              <w:keepLines/>
              <w:spacing w:before="40" w:after="40"/>
              <w:jc w:val="right"/>
            </w:pPr>
            <w:r>
              <w:t>0</w:t>
            </w:r>
            <w:r w:rsidR="008E7527">
              <w:t>.0</w:t>
            </w:r>
          </w:p>
        </w:tc>
        <w:tc>
          <w:tcPr>
            <w:tcW w:w="1014" w:type="dxa"/>
            <w:tcBorders>
              <w:bottom w:val="single" w:sz="4" w:space="0" w:color="000080"/>
            </w:tcBorders>
          </w:tcPr>
          <w:p w14:paraId="0782239A" w14:textId="77777777" w:rsidR="008E7527" w:rsidRDefault="006A0418" w:rsidP="00AB71A5">
            <w:pPr>
              <w:keepNext/>
              <w:keepLines/>
              <w:spacing w:before="40" w:after="40"/>
              <w:jc w:val="right"/>
            </w:pPr>
            <w:r>
              <w:t>0</w:t>
            </w:r>
            <w:r w:rsidR="008E7527">
              <w:t>.0</w:t>
            </w:r>
          </w:p>
        </w:tc>
      </w:tr>
    </w:tbl>
    <w:p w14:paraId="5A634128" w14:textId="6197D4ED" w:rsidR="008E7527" w:rsidRDefault="00DA3678" w:rsidP="000614F9">
      <w:pPr>
        <w:pStyle w:val="ChartandTableFootnoteAlpha"/>
        <w:spacing w:after="240"/>
      </w:pPr>
      <w:r w:rsidRPr="00574D26">
        <w:rPr>
          <w:color w:val="auto"/>
        </w:rPr>
        <w:t>Victorian Cytology Service</w:t>
      </w:r>
      <w:r w:rsidR="0080763D">
        <w:t xml:space="preserve"> is a State government funded and operated organisation</w:t>
      </w:r>
      <w:r w:rsidR="00D46EA0">
        <w:t xml:space="preserve">.  </w:t>
      </w:r>
      <w:r w:rsidR="0080763D">
        <w:t xml:space="preserve">Victoria is not required to provide financial and/or in-kind contributions under the terms of this Agreement, </w:t>
      </w:r>
      <w:r w:rsidR="00D46EA0">
        <w:t xml:space="preserve">however </w:t>
      </w:r>
      <w:r w:rsidR="0080763D">
        <w:t>it allocates its own source funding and provides in-kind contributions to support achievement of the outputs of this Agreement.</w:t>
      </w:r>
    </w:p>
    <w:p w14:paraId="7F807A8B" w14:textId="6379636A" w:rsidR="00952846" w:rsidRDefault="008E7527" w:rsidP="00C0310C">
      <w:pPr>
        <w:pStyle w:val="Normalnumbered"/>
        <w:numPr>
          <w:ilvl w:val="0"/>
          <w:numId w:val="16"/>
        </w:numPr>
      </w:pPr>
      <w:r w:rsidRPr="00C738BD">
        <w:t xml:space="preserve">Having regard to the agreed estimated costs of projects specified in </w:t>
      </w:r>
      <w:r w:rsidR="006B43AF">
        <w:t>this</w:t>
      </w:r>
      <w:r>
        <w:t xml:space="preserve"> Agreement</w:t>
      </w:r>
      <w:r w:rsidRPr="00C738BD">
        <w:t xml:space="preserve">, </w:t>
      </w:r>
      <w:r w:rsidR="0080763D">
        <w:t xml:space="preserve">Victoria </w:t>
      </w:r>
      <w:r w:rsidRPr="00C738BD">
        <w:t>will not be required to pay a refund to the Commonwealth if the actual cost of the project is less than the agreed</w:t>
      </w:r>
      <w:r w:rsidR="00515AF2">
        <w:t xml:space="preserve"> estimated cost of the project.  </w:t>
      </w:r>
      <w:r w:rsidRPr="00C738BD">
        <w:t xml:space="preserve">Similarly, </w:t>
      </w:r>
      <w:r w:rsidR="0080763D">
        <w:t>Victoria</w:t>
      </w:r>
      <w:r>
        <w:t xml:space="preserve"> </w:t>
      </w:r>
      <w:r w:rsidRPr="00C738BD">
        <w:t>bear</w:t>
      </w:r>
      <w:r w:rsidR="0080763D">
        <w:t>s</w:t>
      </w:r>
      <w:r w:rsidRPr="00C738BD">
        <w:t xml:space="preserve"> all risk should the costs of a project exceed the agreed estimated cost</w:t>
      </w:r>
      <w:r>
        <w:t>s.</w:t>
      </w:r>
      <w:r w:rsidRPr="00C738BD">
        <w:t xml:space="preserve"> </w:t>
      </w:r>
      <w:r w:rsidR="00D46EA0">
        <w:t xml:space="preserve"> </w:t>
      </w:r>
      <w:r w:rsidRPr="00C738BD">
        <w:t xml:space="preserve">The Parties acknowledge that this arrangement provides the maximum incentive for </w:t>
      </w:r>
      <w:r w:rsidR="0080763D">
        <w:t>Victoria</w:t>
      </w:r>
      <w:r w:rsidRPr="00C738BD">
        <w:t xml:space="preserve"> to deliver projects cost effectively and efficiently.</w:t>
      </w:r>
    </w:p>
    <w:p w14:paraId="7EEA30F6" w14:textId="77777777" w:rsidR="00814667" w:rsidRDefault="003A2157">
      <w:pPr>
        <w:pStyle w:val="Heading1"/>
      </w:pPr>
      <w:bookmarkStart w:id="2" w:name="top"/>
      <w:bookmarkEnd w:id="2"/>
      <w:r>
        <w:t xml:space="preserve">Part </w:t>
      </w:r>
      <w:r w:rsidR="000B4080">
        <w:t>6</w:t>
      </w:r>
      <w:r w:rsidR="00814667">
        <w:t xml:space="preserve"> — governance arrangements</w:t>
      </w:r>
    </w:p>
    <w:p w14:paraId="796540FA" w14:textId="77777777" w:rsidR="00BC4728" w:rsidRDefault="00BC4728" w:rsidP="00BC4728">
      <w:pPr>
        <w:pStyle w:val="Heading2"/>
      </w:pPr>
      <w:r w:rsidRPr="006F096A">
        <w:t>Enforceability of the Agreement</w:t>
      </w:r>
    </w:p>
    <w:p w14:paraId="3C7AC183" w14:textId="77777777" w:rsidR="00BC4728" w:rsidRPr="00C40EBC" w:rsidRDefault="00BC4728" w:rsidP="00C0310C">
      <w:pPr>
        <w:pStyle w:val="Normalnumbered"/>
        <w:numPr>
          <w:ilvl w:val="0"/>
          <w:numId w:val="16"/>
        </w:numPr>
        <w:spacing w:line="240" w:lineRule="auto"/>
      </w:pPr>
      <w:r>
        <w:rPr>
          <w:szCs w:val="23"/>
        </w:rPr>
        <w:t>The Parties do not intend any of the provisions of this Agreement to be legally enforceable. However, that does not lessen the Parties’ commitment to this Agreement.</w:t>
      </w:r>
    </w:p>
    <w:p w14:paraId="4C5EA0D2" w14:textId="77777777" w:rsidR="00814667" w:rsidRDefault="00814667">
      <w:pPr>
        <w:pStyle w:val="Heading2"/>
      </w:pPr>
      <w:r>
        <w:t>Variation of the Agreement</w:t>
      </w:r>
    </w:p>
    <w:p w14:paraId="654C7725" w14:textId="77777777" w:rsidR="00814667" w:rsidRPr="00DE36EB" w:rsidRDefault="00607B03" w:rsidP="00C0310C">
      <w:pPr>
        <w:pStyle w:val="Normalnumbered"/>
        <w:numPr>
          <w:ilvl w:val="0"/>
          <w:numId w:val="16"/>
        </w:numPr>
      </w:pPr>
      <w:r>
        <w:t>The A</w:t>
      </w:r>
      <w:r w:rsidR="00814667">
        <w:t xml:space="preserve">greement may be amended at any time by agreement in writing by </w:t>
      </w:r>
      <w:r w:rsidR="0080763D">
        <w:t xml:space="preserve">both </w:t>
      </w:r>
      <w:r w:rsidR="00814667" w:rsidRPr="00DE36EB">
        <w:t>Parties.</w:t>
      </w:r>
    </w:p>
    <w:p w14:paraId="4183C4FF" w14:textId="77777777" w:rsidR="00292587" w:rsidRDefault="00F073D4" w:rsidP="00C0310C">
      <w:pPr>
        <w:pStyle w:val="Normalnumbered"/>
        <w:numPr>
          <w:ilvl w:val="0"/>
          <w:numId w:val="16"/>
        </w:numPr>
      </w:pPr>
      <w:r>
        <w:t xml:space="preserve">Either </w:t>
      </w:r>
      <w:r w:rsidR="00814667" w:rsidRPr="00DE36EB">
        <w:t>Party to the Agreement may terminate their part</w:t>
      </w:r>
      <w:r w:rsidR="00814667">
        <w:t>icipation in the Agreement at any time by notifying the other Part</w:t>
      </w:r>
      <w:r>
        <w:t>y</w:t>
      </w:r>
      <w:r w:rsidR="00C2605C">
        <w:rPr>
          <w:i/>
        </w:rPr>
        <w:t xml:space="preserve"> </w:t>
      </w:r>
      <w:r w:rsidR="00814667">
        <w:t>in writing.</w:t>
      </w:r>
    </w:p>
    <w:p w14:paraId="77293C75" w14:textId="77777777" w:rsidR="009526E4" w:rsidRDefault="009526E4" w:rsidP="0036119D">
      <w:pPr>
        <w:pStyle w:val="Heading2"/>
      </w:pPr>
      <w:r>
        <w:t>Delegations</w:t>
      </w:r>
    </w:p>
    <w:p w14:paraId="04013BD6" w14:textId="77777777" w:rsidR="009526E4" w:rsidRDefault="009526E4" w:rsidP="00C0310C">
      <w:pPr>
        <w:pStyle w:val="Normalnumbered"/>
        <w:numPr>
          <w:ilvl w:val="0"/>
          <w:numId w:val="16"/>
        </w:numPr>
      </w:pPr>
      <w:r>
        <w:t xml:space="preserve">The Commonwealth Minister may delegate the assessment of performance </w:t>
      </w:r>
      <w:r w:rsidR="00115A97">
        <w:t>against</w:t>
      </w:r>
      <w:r>
        <w:t xml:space="preserve"> milestones and the authorisation of related project payments to senior Commonwealth officials, having regard to the financial and policy risks associated with those payments.</w:t>
      </w:r>
    </w:p>
    <w:p w14:paraId="3E612070" w14:textId="77777777" w:rsidR="0036119D" w:rsidRPr="00DE36EB" w:rsidRDefault="0036119D" w:rsidP="00240F36">
      <w:pPr>
        <w:pStyle w:val="Heading2"/>
      </w:pPr>
      <w:r>
        <w:t>Dispute resolution</w:t>
      </w:r>
    </w:p>
    <w:p w14:paraId="2F263C29" w14:textId="77777777" w:rsidR="0036119D" w:rsidRPr="00DE36EB" w:rsidRDefault="00697494" w:rsidP="00C0310C">
      <w:pPr>
        <w:pStyle w:val="Normalnumbered"/>
        <w:numPr>
          <w:ilvl w:val="0"/>
          <w:numId w:val="16"/>
        </w:numPr>
      </w:pPr>
      <w:r w:rsidRPr="00DE36EB">
        <w:t>E</w:t>
      </w:r>
      <w:r w:rsidR="00240F36">
        <w:t>ither</w:t>
      </w:r>
      <w:r w:rsidR="002B1C50" w:rsidRPr="00DE36EB">
        <w:t xml:space="preserve"> </w:t>
      </w:r>
      <w:r w:rsidR="0036119D" w:rsidRPr="00DE36EB">
        <w:t xml:space="preserve">Party may give notice to other </w:t>
      </w:r>
      <w:r w:rsidR="00240F36">
        <w:t>Party</w:t>
      </w:r>
      <w:r w:rsidR="00684EC1" w:rsidRPr="00DE36EB">
        <w:t xml:space="preserve"> </w:t>
      </w:r>
      <w:r w:rsidR="0036119D" w:rsidRPr="00DE36EB">
        <w:t>of a dispute under this Agreement.</w:t>
      </w:r>
    </w:p>
    <w:p w14:paraId="68DEB1B5" w14:textId="77777777" w:rsidR="0036119D" w:rsidRPr="00DE36EB" w:rsidRDefault="0036119D" w:rsidP="00C0310C">
      <w:pPr>
        <w:pStyle w:val="Normalnumbered"/>
        <w:numPr>
          <w:ilvl w:val="0"/>
          <w:numId w:val="16"/>
        </w:numPr>
      </w:pPr>
      <w:r w:rsidRPr="00DE36EB">
        <w:t xml:space="preserve">Officials of </w:t>
      </w:r>
      <w:r w:rsidR="00240F36">
        <w:t>both</w:t>
      </w:r>
      <w:r w:rsidR="002B1C50" w:rsidRPr="00DE36EB">
        <w:rPr>
          <w:i/>
        </w:rPr>
        <w:t xml:space="preserve"> </w:t>
      </w:r>
      <w:r w:rsidRPr="00DE36EB">
        <w:t>Parties will attempt to resolve any dispute in the first instance.</w:t>
      </w:r>
    </w:p>
    <w:p w14:paraId="42544B2A" w14:textId="77777777" w:rsidR="0036119D" w:rsidRPr="00DE36EB" w:rsidRDefault="0036119D" w:rsidP="00C0310C">
      <w:pPr>
        <w:pStyle w:val="Normalnumbered"/>
        <w:numPr>
          <w:ilvl w:val="0"/>
          <w:numId w:val="16"/>
        </w:numPr>
      </w:pPr>
      <w:r w:rsidRPr="00DE36EB">
        <w:t>If a dispute cannot be resolved by officials, it may be escalated to the relevant Ministers.</w:t>
      </w:r>
    </w:p>
    <w:p w14:paraId="6CCA5763" w14:textId="4D4D9927" w:rsidR="001B3A87" w:rsidRPr="00DE36EB" w:rsidRDefault="001B3A87" w:rsidP="001B3A87">
      <w:pPr>
        <w:pStyle w:val="Heading2"/>
      </w:pPr>
      <w:r>
        <w:t>Interpretation</w:t>
      </w:r>
    </w:p>
    <w:p w14:paraId="45EA3176" w14:textId="77777777" w:rsidR="000E4FE8" w:rsidRPr="000E4FE8" w:rsidRDefault="000E4FE8" w:rsidP="000E4FE8">
      <w:pPr>
        <w:pStyle w:val="Normalnumbered"/>
        <w:numPr>
          <w:ilvl w:val="0"/>
          <w:numId w:val="16"/>
        </w:numPr>
      </w:pPr>
      <w:r w:rsidRPr="000E4FE8">
        <w:t>For the purposes of this Agreement:</w:t>
      </w:r>
    </w:p>
    <w:p w14:paraId="390C25C1" w14:textId="7F8F4C07" w:rsidR="000E4FE8" w:rsidRPr="000E4FE8" w:rsidRDefault="004873DB" w:rsidP="006C7938">
      <w:pPr>
        <w:pStyle w:val="AlphaParagraph"/>
        <w:numPr>
          <w:ilvl w:val="0"/>
          <w:numId w:val="46"/>
        </w:numPr>
        <w:tabs>
          <w:tab w:val="clear" w:pos="283"/>
          <w:tab w:val="clear" w:pos="567"/>
          <w:tab w:val="clear" w:pos="1418"/>
          <w:tab w:val="clear" w:pos="1701"/>
        </w:tabs>
        <w:ind w:left="1134" w:hanging="567"/>
        <w:jc w:val="left"/>
        <w:rPr>
          <w:rFonts w:ascii="Calibri" w:hAnsi="Calibri"/>
          <w:color w:val="1F497D"/>
          <w:sz w:val="22"/>
          <w:szCs w:val="22"/>
        </w:rPr>
      </w:pPr>
      <w:r>
        <w:rPr>
          <w:color w:val="auto"/>
        </w:rPr>
        <w:t>f</w:t>
      </w:r>
      <w:r w:rsidR="000E4FE8" w:rsidRPr="000E4FE8">
        <w:rPr>
          <w:color w:val="auto"/>
        </w:rPr>
        <w:t xml:space="preserve">rom 1 July 2017 to 30 November 2017, a </w:t>
      </w:r>
      <w:r w:rsidR="000E4FE8">
        <w:rPr>
          <w:b/>
          <w:color w:val="auto"/>
        </w:rPr>
        <w:t>p</w:t>
      </w:r>
      <w:r w:rsidR="00060BCC" w:rsidRPr="00F0563E">
        <w:rPr>
          <w:b/>
          <w:color w:val="auto"/>
        </w:rPr>
        <w:t xml:space="preserve">rimary </w:t>
      </w:r>
      <w:r w:rsidR="000F6C05">
        <w:rPr>
          <w:b/>
          <w:color w:val="auto"/>
        </w:rPr>
        <w:t xml:space="preserve">cervical </w:t>
      </w:r>
      <w:r w:rsidR="00060BCC" w:rsidRPr="00F0563E">
        <w:rPr>
          <w:b/>
          <w:color w:val="auto"/>
        </w:rPr>
        <w:t>screening test</w:t>
      </w:r>
      <w:r w:rsidR="00060BCC" w:rsidRPr="00792B6C">
        <w:rPr>
          <w:color w:val="auto"/>
        </w:rPr>
        <w:t xml:space="preserve"> is a Pap test</w:t>
      </w:r>
      <w:r w:rsidR="000E4FE8">
        <w:t xml:space="preserve"> excluding </w:t>
      </w:r>
      <w:r w:rsidR="000E4FE8">
        <w:rPr>
          <w:color w:val="auto"/>
        </w:rPr>
        <w:t>secondary, confirmatory or reflex tests</w:t>
      </w:r>
      <w:r w:rsidR="002569EF">
        <w:rPr>
          <w:color w:val="auto"/>
        </w:rPr>
        <w:t>;</w:t>
      </w:r>
    </w:p>
    <w:p w14:paraId="47B03901" w14:textId="0BDD4569" w:rsidR="00060BCC" w:rsidRDefault="00060BCC" w:rsidP="006C7938">
      <w:pPr>
        <w:pStyle w:val="AlphaParagraph"/>
        <w:numPr>
          <w:ilvl w:val="0"/>
          <w:numId w:val="46"/>
        </w:numPr>
        <w:tabs>
          <w:tab w:val="clear" w:pos="283"/>
          <w:tab w:val="clear" w:pos="567"/>
          <w:tab w:val="clear" w:pos="1418"/>
          <w:tab w:val="clear" w:pos="1701"/>
        </w:tabs>
        <w:ind w:left="1134" w:hanging="567"/>
        <w:jc w:val="left"/>
        <w:rPr>
          <w:rFonts w:ascii="Calibri" w:hAnsi="Calibri"/>
          <w:color w:val="1F497D"/>
          <w:sz w:val="22"/>
          <w:szCs w:val="22"/>
        </w:rPr>
      </w:pPr>
      <w:bookmarkStart w:id="3" w:name="_GoBack"/>
      <w:bookmarkEnd w:id="3"/>
      <w:r w:rsidRPr="00792B6C">
        <w:rPr>
          <w:color w:val="auto"/>
        </w:rPr>
        <w:t>from 1 December 2017</w:t>
      </w:r>
      <w:r w:rsidR="004873DB">
        <w:rPr>
          <w:color w:val="auto"/>
        </w:rPr>
        <w:t xml:space="preserve"> to</w:t>
      </w:r>
      <w:r w:rsidRPr="00792B6C">
        <w:rPr>
          <w:color w:val="auto"/>
        </w:rPr>
        <w:t xml:space="preserve"> 30 </w:t>
      </w:r>
      <w:r w:rsidRPr="000E4FE8">
        <w:t>June</w:t>
      </w:r>
      <w:r w:rsidRPr="00792B6C">
        <w:rPr>
          <w:color w:val="auto"/>
        </w:rPr>
        <w:t xml:space="preserve"> 2021</w:t>
      </w:r>
      <w:r w:rsidR="004873DB">
        <w:rPr>
          <w:color w:val="auto"/>
        </w:rPr>
        <w:t xml:space="preserve">, </w:t>
      </w:r>
      <w:r w:rsidR="000F6C05">
        <w:rPr>
          <w:color w:val="auto"/>
        </w:rPr>
        <w:t xml:space="preserve">the </w:t>
      </w:r>
      <w:r w:rsidR="000F6C05" w:rsidRPr="000F6C05">
        <w:rPr>
          <w:b/>
          <w:color w:val="auto"/>
        </w:rPr>
        <w:t>new</w:t>
      </w:r>
      <w:r w:rsidR="004873DB" w:rsidRPr="000F6C05">
        <w:rPr>
          <w:b/>
          <w:color w:val="auto"/>
        </w:rPr>
        <w:t xml:space="preserve"> </w:t>
      </w:r>
      <w:r w:rsidR="004873DB">
        <w:rPr>
          <w:b/>
          <w:color w:val="auto"/>
        </w:rPr>
        <w:t>p</w:t>
      </w:r>
      <w:r w:rsidR="004873DB" w:rsidRPr="00F0563E">
        <w:rPr>
          <w:b/>
          <w:color w:val="auto"/>
        </w:rPr>
        <w:t xml:space="preserve">rimary </w:t>
      </w:r>
      <w:r w:rsidR="000F6C05">
        <w:rPr>
          <w:b/>
          <w:color w:val="auto"/>
        </w:rPr>
        <w:t xml:space="preserve">cervical </w:t>
      </w:r>
      <w:r w:rsidR="004873DB" w:rsidRPr="00F0563E">
        <w:rPr>
          <w:b/>
          <w:color w:val="auto"/>
        </w:rPr>
        <w:t>screening test</w:t>
      </w:r>
      <w:r w:rsidRPr="00792B6C">
        <w:rPr>
          <w:color w:val="auto"/>
        </w:rPr>
        <w:t xml:space="preserve"> is a Human </w:t>
      </w:r>
      <w:r w:rsidRPr="007208F7">
        <w:rPr>
          <w:color w:val="auto"/>
        </w:rPr>
        <w:t>Papillomavirus</w:t>
      </w:r>
      <w:r w:rsidRPr="00EC66DE">
        <w:rPr>
          <w:color w:val="auto"/>
        </w:rPr>
        <w:t xml:space="preserve"> test</w:t>
      </w:r>
      <w:r w:rsidR="00D46EA0">
        <w:rPr>
          <w:color w:val="auto"/>
        </w:rPr>
        <w:t xml:space="preserve"> </w:t>
      </w:r>
      <w:r>
        <w:rPr>
          <w:color w:val="auto"/>
        </w:rPr>
        <w:t>exclud</w:t>
      </w:r>
      <w:r w:rsidR="004873DB">
        <w:rPr>
          <w:color w:val="auto"/>
        </w:rPr>
        <w:t>ing</w:t>
      </w:r>
      <w:r>
        <w:rPr>
          <w:color w:val="auto"/>
        </w:rPr>
        <w:t xml:space="preserve"> secondary, confirmatory or reflex tests</w:t>
      </w:r>
      <w:r w:rsidR="002569EF">
        <w:rPr>
          <w:color w:val="auto"/>
        </w:rPr>
        <w:t>; and</w:t>
      </w:r>
    </w:p>
    <w:p w14:paraId="3595D805" w14:textId="39C9A78B" w:rsidR="00060BCC" w:rsidRPr="00E82169" w:rsidRDefault="00060BCC" w:rsidP="006C7938">
      <w:pPr>
        <w:pStyle w:val="AlphaParagraph"/>
        <w:numPr>
          <w:ilvl w:val="0"/>
          <w:numId w:val="46"/>
        </w:numPr>
        <w:tabs>
          <w:tab w:val="clear" w:pos="283"/>
          <w:tab w:val="clear" w:pos="567"/>
          <w:tab w:val="clear" w:pos="1418"/>
          <w:tab w:val="clear" w:pos="1701"/>
        </w:tabs>
        <w:ind w:left="1134" w:hanging="567"/>
        <w:jc w:val="left"/>
        <w:rPr>
          <w:color w:val="auto"/>
        </w:rPr>
        <w:sectPr w:rsidR="00060BCC" w:rsidRPr="00E82169" w:rsidSect="00CB6703">
          <w:headerReference w:type="even" r:id="rId16"/>
          <w:headerReference w:type="default" r:id="rId17"/>
          <w:footerReference w:type="even" r:id="rId18"/>
          <w:footerReference w:type="default" r:id="rId19"/>
          <w:footerReference w:type="first" r:id="rId20"/>
          <w:pgSz w:w="11906" w:h="16838" w:code="9"/>
          <w:pgMar w:top="1134" w:right="1134" w:bottom="1134" w:left="1134" w:header="709" w:footer="709" w:gutter="0"/>
          <w:cols w:space="708"/>
          <w:titlePg/>
          <w:docGrid w:linePitch="360"/>
        </w:sectPr>
      </w:pPr>
      <w:r w:rsidRPr="00F0563E">
        <w:rPr>
          <w:b/>
          <w:color w:val="auto"/>
        </w:rPr>
        <w:t>COMPASS</w:t>
      </w:r>
      <w:r w:rsidRPr="00E82169">
        <w:rPr>
          <w:color w:val="auto"/>
        </w:rPr>
        <w:t xml:space="preserve"> is a clinical trial comparing 2.5 -yearly Pap test screening with 5-yearly Human Papillomavirus </w:t>
      </w:r>
      <w:r w:rsidR="002569EF">
        <w:rPr>
          <w:color w:val="auto"/>
        </w:rPr>
        <w:t xml:space="preserve">(HPV) </w:t>
      </w:r>
      <w:r w:rsidRPr="00E82169">
        <w:rPr>
          <w:color w:val="auto"/>
        </w:rPr>
        <w:t>screening. It is the first large scale clinical trial internationally to assess these screening tests in an HPV</w:t>
      </w:r>
      <w:r w:rsidR="002569EF">
        <w:rPr>
          <w:color w:val="auto"/>
        </w:rPr>
        <w:t>-</w:t>
      </w:r>
      <w:r w:rsidRPr="00E82169">
        <w:rPr>
          <w:color w:val="auto"/>
        </w:rPr>
        <w:t>vaccinated population. It is being carried out in Victoria by Victorian Cytology Service in collaboration with Cancer Council NSW.</w:t>
      </w:r>
    </w:p>
    <w:p w14:paraId="117078F1" w14:textId="77777777" w:rsidR="00814667" w:rsidRPr="00A50751" w:rsidRDefault="00814667">
      <w:pPr>
        <w:rPr>
          <w:lang w:val="en-GB"/>
        </w:rPr>
      </w:pPr>
      <w:r w:rsidRPr="00A50751">
        <w:rPr>
          <w:lang w:val="en-GB"/>
        </w:rPr>
        <w:t xml:space="preserve">The </w:t>
      </w:r>
      <w:r w:rsidRPr="00C57BB9">
        <w:rPr>
          <w:sz w:val="24"/>
          <w:szCs w:val="24"/>
        </w:rPr>
        <w:t>Parties</w:t>
      </w:r>
      <w:r w:rsidRPr="00A50751">
        <w:rPr>
          <w:lang w:val="en-GB"/>
        </w:rPr>
        <w:t xml:space="preserve"> have confirmed their commitment to this agreement as follows:</w:t>
      </w:r>
    </w:p>
    <w:tbl>
      <w:tblPr>
        <w:tblW w:w="0" w:type="auto"/>
        <w:jc w:val="center"/>
        <w:tblLayout w:type="fixed"/>
        <w:tblLook w:val="01E0" w:firstRow="1" w:lastRow="1" w:firstColumn="1" w:lastColumn="1" w:noHBand="0" w:noVBand="0"/>
      </w:tblPr>
      <w:tblGrid>
        <w:gridCol w:w="4536"/>
        <w:gridCol w:w="284"/>
        <w:gridCol w:w="4536"/>
      </w:tblGrid>
      <w:tr w:rsidR="00240F36" w:rsidRPr="00A50751" w14:paraId="48EC3D12" w14:textId="77777777">
        <w:trPr>
          <w:cantSplit/>
          <w:jc w:val="center"/>
        </w:trPr>
        <w:tc>
          <w:tcPr>
            <w:tcW w:w="4536" w:type="dxa"/>
          </w:tcPr>
          <w:p w14:paraId="22DC6A4D" w14:textId="77777777" w:rsidR="00240F36" w:rsidRPr="004A0AE7" w:rsidRDefault="00240F36" w:rsidP="006544C6">
            <w:pPr>
              <w:pStyle w:val="Signed"/>
            </w:pPr>
            <w:r>
              <w:rPr>
                <w:rStyle w:val="SignedBold"/>
              </w:rPr>
              <w:t>Signed</w:t>
            </w:r>
            <w:r w:rsidRPr="004A0AE7">
              <w:t xml:space="preserve"> for and on behalf of the</w:t>
            </w:r>
            <w:r>
              <w:t xml:space="preserve"> </w:t>
            </w:r>
            <w:r w:rsidRPr="004A0AE7">
              <w:t xml:space="preserve">Commonwealth of </w:t>
            </w:r>
            <w:smartTag w:uri="urn:schemas-microsoft-com:office:smarttags" w:element="place">
              <w:smartTag w:uri="urn:schemas-microsoft-com:office:smarttags" w:element="country-region">
                <w:r w:rsidRPr="004A0AE7">
                  <w:t>Australia</w:t>
                </w:r>
              </w:smartTag>
            </w:smartTag>
            <w:r w:rsidRPr="004A0AE7">
              <w:t xml:space="preserve"> by</w:t>
            </w:r>
          </w:p>
          <w:p w14:paraId="7CE6E103" w14:textId="77777777" w:rsidR="00240F36" w:rsidRPr="00A50751" w:rsidRDefault="00240F36" w:rsidP="006544C6">
            <w:pPr>
              <w:pStyle w:val="LineForSignature"/>
            </w:pPr>
            <w:r>
              <w:tab/>
            </w:r>
          </w:p>
          <w:p w14:paraId="40533683" w14:textId="77777777" w:rsidR="00240F36" w:rsidRDefault="00240F36" w:rsidP="006544C6">
            <w:pPr>
              <w:pStyle w:val="SingleParagraph"/>
              <w:rPr>
                <w:rStyle w:val="Bold"/>
              </w:rPr>
            </w:pPr>
            <w:r>
              <w:rPr>
                <w:rStyle w:val="Bold"/>
              </w:rPr>
              <w:t>The Honourable Greg Hunt MP</w:t>
            </w:r>
          </w:p>
          <w:p w14:paraId="535F142F" w14:textId="77777777" w:rsidR="00240F36" w:rsidRDefault="00240F36" w:rsidP="006544C6">
            <w:pPr>
              <w:pStyle w:val="Position"/>
              <w:rPr>
                <w:lang w:val="en-GB"/>
              </w:rPr>
            </w:pPr>
            <w:r>
              <w:rPr>
                <w:lang w:val="en-GB"/>
              </w:rPr>
              <w:t xml:space="preserve">Minister for Health and Minister for Sport </w:t>
            </w:r>
          </w:p>
          <w:p w14:paraId="01962BB1" w14:textId="77777777" w:rsidR="00240F36" w:rsidRDefault="00240F36" w:rsidP="006544C6">
            <w:pPr>
              <w:pStyle w:val="Position"/>
              <w:rPr>
                <w:lang w:val="en-GB"/>
              </w:rPr>
            </w:pPr>
          </w:p>
          <w:p w14:paraId="7916C5E4" w14:textId="77777777" w:rsidR="00240F36" w:rsidRDefault="00240F36" w:rsidP="006544C6">
            <w:pPr>
              <w:pStyle w:val="SingleParagraph"/>
              <w:tabs>
                <w:tab w:val="left" w:pos="-2517"/>
              </w:tabs>
              <w:spacing w:after="240"/>
              <w:ind w:left="1452" w:firstLine="3"/>
              <w:jc w:val="left"/>
              <w:rPr>
                <w:b/>
                <w:lang w:val="en-GB"/>
              </w:rPr>
            </w:pPr>
            <w:r w:rsidRPr="00771F77">
              <w:rPr>
                <w:b/>
                <w:lang w:val="en-GB"/>
              </w:rPr>
              <w:t>/           /</w:t>
            </w:r>
          </w:p>
        </w:tc>
        <w:tc>
          <w:tcPr>
            <w:tcW w:w="284" w:type="dxa"/>
            <w:tcMar>
              <w:left w:w="0" w:type="dxa"/>
              <w:right w:w="0" w:type="dxa"/>
            </w:tcMar>
          </w:tcPr>
          <w:p w14:paraId="79B2BC8E" w14:textId="77777777" w:rsidR="00240F36" w:rsidRPr="00A50751" w:rsidRDefault="00240F36" w:rsidP="006544C6">
            <w:pPr>
              <w:rPr>
                <w:rFonts w:ascii="Book Antiqua" w:hAnsi="Book Antiqua"/>
                <w:lang w:val="en-GB"/>
              </w:rPr>
            </w:pPr>
          </w:p>
        </w:tc>
        <w:tc>
          <w:tcPr>
            <w:tcW w:w="4536" w:type="dxa"/>
          </w:tcPr>
          <w:p w14:paraId="58F87B36" w14:textId="77777777" w:rsidR="00240F36" w:rsidRDefault="00240F36" w:rsidP="006544C6">
            <w:pPr>
              <w:pStyle w:val="Signed"/>
            </w:pPr>
            <w:r>
              <w:rPr>
                <w:rStyle w:val="SignedBold"/>
              </w:rPr>
              <w:t>Signed</w:t>
            </w:r>
            <w:r w:rsidRPr="004A0AE7">
              <w:t xml:space="preserve"> for and on behalf of the</w:t>
            </w:r>
            <w:r w:rsidRPr="004A0AE7">
              <w:br/>
              <w:t xml:space="preserve">State of </w:t>
            </w:r>
            <w:smartTag w:uri="urn:schemas-microsoft-com:office:smarttags" w:element="place">
              <w:smartTag w:uri="urn:schemas-microsoft-com:office:smarttags" w:element="State">
                <w:r w:rsidRPr="004A0AE7">
                  <w:t>Victoria</w:t>
                </w:r>
              </w:smartTag>
            </w:smartTag>
            <w:r w:rsidRPr="004A0AE7">
              <w:t xml:space="preserve"> by</w:t>
            </w:r>
          </w:p>
          <w:p w14:paraId="4F9BA88C" w14:textId="77777777" w:rsidR="00240F36" w:rsidRPr="00A50751" w:rsidRDefault="00240F36" w:rsidP="006544C6">
            <w:pPr>
              <w:pStyle w:val="LineForSignature"/>
            </w:pPr>
            <w:r w:rsidRPr="00A50751">
              <w:tab/>
            </w:r>
          </w:p>
          <w:p w14:paraId="219DEC36" w14:textId="77777777" w:rsidR="00240F36" w:rsidRDefault="00240F36" w:rsidP="006544C6">
            <w:pPr>
              <w:pStyle w:val="SingleParagraph"/>
              <w:rPr>
                <w:rStyle w:val="Bold"/>
              </w:rPr>
            </w:pPr>
            <w:r>
              <w:rPr>
                <w:rStyle w:val="Bold"/>
              </w:rPr>
              <w:t>The Honourable Jill Hennessy MP</w:t>
            </w:r>
          </w:p>
          <w:p w14:paraId="427B95EE" w14:textId="77777777" w:rsidR="00240F36" w:rsidRDefault="00240F36" w:rsidP="006544C6">
            <w:pPr>
              <w:pStyle w:val="Position"/>
              <w:rPr>
                <w:lang w:val="en-GB"/>
              </w:rPr>
            </w:pPr>
            <w:r>
              <w:rPr>
                <w:lang w:val="en-GB"/>
              </w:rPr>
              <w:t xml:space="preserve">Minister for Health and Minister for Ambulance Services </w:t>
            </w:r>
          </w:p>
          <w:p w14:paraId="1A339BC9" w14:textId="77777777" w:rsidR="00240F36" w:rsidRPr="00A50751" w:rsidRDefault="00240F36" w:rsidP="006544C6">
            <w:pPr>
              <w:ind w:left="1594"/>
              <w:rPr>
                <w:rFonts w:ascii="Book Antiqua" w:hAnsi="Book Antiqua"/>
                <w:lang w:val="en-GB"/>
              </w:rPr>
            </w:pPr>
            <w:r w:rsidRPr="00771F77">
              <w:rPr>
                <w:b/>
                <w:lang w:val="en-GB"/>
              </w:rPr>
              <w:t>/           /</w:t>
            </w:r>
          </w:p>
        </w:tc>
      </w:tr>
      <w:tr w:rsidR="00814667" w:rsidRPr="00A50751" w14:paraId="092B582D" w14:textId="77777777">
        <w:trPr>
          <w:cantSplit/>
          <w:jc w:val="center"/>
        </w:trPr>
        <w:tc>
          <w:tcPr>
            <w:tcW w:w="4536" w:type="dxa"/>
          </w:tcPr>
          <w:p w14:paraId="29EFA738" w14:textId="77777777" w:rsidR="00814667" w:rsidRPr="00A50751" w:rsidRDefault="00814667">
            <w:pPr>
              <w:pStyle w:val="SingleParagraph"/>
              <w:rPr>
                <w:rFonts w:ascii="Book Antiqua" w:hAnsi="Book Antiqua"/>
                <w:lang w:val="en-GB"/>
              </w:rPr>
            </w:pPr>
          </w:p>
        </w:tc>
        <w:tc>
          <w:tcPr>
            <w:tcW w:w="284" w:type="dxa"/>
            <w:tcMar>
              <w:left w:w="0" w:type="dxa"/>
              <w:right w:w="0" w:type="dxa"/>
            </w:tcMar>
          </w:tcPr>
          <w:p w14:paraId="69EED45A" w14:textId="77777777" w:rsidR="00814667" w:rsidRPr="00A50751" w:rsidRDefault="00814667">
            <w:pPr>
              <w:pStyle w:val="SingleParagraph"/>
              <w:rPr>
                <w:rFonts w:ascii="Book Antiqua" w:hAnsi="Book Antiqua"/>
                <w:lang w:val="en-GB"/>
              </w:rPr>
            </w:pPr>
          </w:p>
        </w:tc>
        <w:tc>
          <w:tcPr>
            <w:tcW w:w="4536" w:type="dxa"/>
          </w:tcPr>
          <w:p w14:paraId="0A5565B4" w14:textId="77777777" w:rsidR="00814667" w:rsidRPr="00A50751" w:rsidRDefault="00814667">
            <w:pPr>
              <w:pStyle w:val="SingleParagraph"/>
              <w:rPr>
                <w:rFonts w:ascii="Book Antiqua" w:hAnsi="Book Antiqua"/>
                <w:lang w:val="en-GB"/>
              </w:rPr>
            </w:pPr>
          </w:p>
        </w:tc>
      </w:tr>
      <w:tr w:rsidR="00814667" w:rsidRPr="00A50751" w14:paraId="128052E6" w14:textId="77777777">
        <w:trPr>
          <w:cantSplit/>
          <w:jc w:val="center"/>
        </w:trPr>
        <w:tc>
          <w:tcPr>
            <w:tcW w:w="4536" w:type="dxa"/>
          </w:tcPr>
          <w:p w14:paraId="5EE26926" w14:textId="77777777" w:rsidR="00814667" w:rsidRPr="00A50751" w:rsidRDefault="00814667">
            <w:pPr>
              <w:pStyle w:val="SingleParagraph"/>
              <w:tabs>
                <w:tab w:val="num" w:pos="1134"/>
              </w:tabs>
              <w:spacing w:after="240"/>
              <w:ind w:left="1134" w:hanging="567"/>
              <w:rPr>
                <w:szCs w:val="22"/>
                <w:lang w:val="en-GB"/>
              </w:rPr>
            </w:pPr>
          </w:p>
        </w:tc>
        <w:tc>
          <w:tcPr>
            <w:tcW w:w="284" w:type="dxa"/>
            <w:tcMar>
              <w:left w:w="0" w:type="dxa"/>
              <w:right w:w="0" w:type="dxa"/>
            </w:tcMar>
          </w:tcPr>
          <w:p w14:paraId="2EE8B67D" w14:textId="77777777" w:rsidR="00814667" w:rsidRPr="00A50751" w:rsidRDefault="00814667">
            <w:pPr>
              <w:rPr>
                <w:rFonts w:ascii="Book Antiqua" w:hAnsi="Book Antiqua"/>
                <w:lang w:val="en-GB"/>
              </w:rPr>
            </w:pPr>
          </w:p>
        </w:tc>
        <w:tc>
          <w:tcPr>
            <w:tcW w:w="4536" w:type="dxa"/>
          </w:tcPr>
          <w:p w14:paraId="30ADB187" w14:textId="77777777" w:rsidR="00814667" w:rsidRPr="00A50751" w:rsidRDefault="00814667">
            <w:pPr>
              <w:pStyle w:val="SingleParagraph"/>
              <w:tabs>
                <w:tab w:val="num" w:pos="1134"/>
              </w:tabs>
              <w:spacing w:after="240"/>
              <w:ind w:left="1134" w:hanging="567"/>
              <w:rPr>
                <w:lang w:val="en-GB"/>
              </w:rPr>
            </w:pPr>
          </w:p>
        </w:tc>
      </w:tr>
      <w:tr w:rsidR="00814667" w:rsidRPr="00A50751" w14:paraId="121DE469" w14:textId="77777777">
        <w:trPr>
          <w:cantSplit/>
          <w:jc w:val="center"/>
        </w:trPr>
        <w:tc>
          <w:tcPr>
            <w:tcW w:w="4536" w:type="dxa"/>
          </w:tcPr>
          <w:p w14:paraId="5FF906A3" w14:textId="77777777" w:rsidR="00814667" w:rsidRPr="00A50751" w:rsidRDefault="00814667">
            <w:pPr>
              <w:pStyle w:val="SingleParagraph"/>
              <w:rPr>
                <w:rFonts w:ascii="Book Antiqua" w:hAnsi="Book Antiqua"/>
                <w:lang w:val="en-GB"/>
              </w:rPr>
            </w:pPr>
          </w:p>
        </w:tc>
        <w:tc>
          <w:tcPr>
            <w:tcW w:w="284" w:type="dxa"/>
            <w:tcMar>
              <w:left w:w="0" w:type="dxa"/>
              <w:right w:w="0" w:type="dxa"/>
            </w:tcMar>
          </w:tcPr>
          <w:p w14:paraId="6F80872F" w14:textId="77777777" w:rsidR="00814667" w:rsidRPr="00A50751" w:rsidRDefault="00814667">
            <w:pPr>
              <w:pStyle w:val="SingleParagraph"/>
              <w:rPr>
                <w:rFonts w:ascii="Book Antiqua" w:hAnsi="Book Antiqua"/>
                <w:lang w:val="en-GB"/>
              </w:rPr>
            </w:pPr>
          </w:p>
        </w:tc>
        <w:tc>
          <w:tcPr>
            <w:tcW w:w="4536" w:type="dxa"/>
          </w:tcPr>
          <w:p w14:paraId="30CF0C76" w14:textId="77777777" w:rsidR="00814667" w:rsidRPr="00A50751" w:rsidRDefault="00814667">
            <w:pPr>
              <w:pStyle w:val="SingleParagraph"/>
              <w:rPr>
                <w:rFonts w:ascii="Book Antiqua" w:hAnsi="Book Antiqua"/>
                <w:lang w:val="en-GB"/>
              </w:rPr>
            </w:pPr>
          </w:p>
        </w:tc>
      </w:tr>
      <w:tr w:rsidR="00814667" w:rsidRPr="00A50751" w14:paraId="405D7BFE" w14:textId="77777777">
        <w:trPr>
          <w:cantSplit/>
          <w:jc w:val="center"/>
        </w:trPr>
        <w:tc>
          <w:tcPr>
            <w:tcW w:w="4536" w:type="dxa"/>
          </w:tcPr>
          <w:p w14:paraId="1FD045F2" w14:textId="77777777" w:rsidR="00814667" w:rsidRPr="00A50751" w:rsidRDefault="00814667">
            <w:pPr>
              <w:pStyle w:val="SingleParagraph"/>
              <w:tabs>
                <w:tab w:val="num" w:pos="1134"/>
              </w:tabs>
              <w:spacing w:after="240"/>
              <w:ind w:left="1134" w:hanging="567"/>
              <w:rPr>
                <w:lang w:val="en-GB"/>
              </w:rPr>
            </w:pPr>
          </w:p>
        </w:tc>
        <w:tc>
          <w:tcPr>
            <w:tcW w:w="284" w:type="dxa"/>
            <w:tcMar>
              <w:left w:w="0" w:type="dxa"/>
              <w:right w:w="0" w:type="dxa"/>
            </w:tcMar>
          </w:tcPr>
          <w:p w14:paraId="1418186D" w14:textId="77777777" w:rsidR="00814667" w:rsidRPr="00A50751" w:rsidRDefault="00814667">
            <w:pPr>
              <w:rPr>
                <w:rFonts w:ascii="Book Antiqua" w:hAnsi="Book Antiqua"/>
                <w:lang w:val="en-GB"/>
              </w:rPr>
            </w:pPr>
          </w:p>
        </w:tc>
        <w:tc>
          <w:tcPr>
            <w:tcW w:w="4536" w:type="dxa"/>
          </w:tcPr>
          <w:p w14:paraId="7B6DDA52" w14:textId="77777777" w:rsidR="00814667" w:rsidRPr="00A50751" w:rsidRDefault="00814667">
            <w:pPr>
              <w:pStyle w:val="SingleParagraph"/>
              <w:tabs>
                <w:tab w:val="num" w:pos="1134"/>
              </w:tabs>
              <w:spacing w:after="240"/>
              <w:ind w:left="1134" w:hanging="567"/>
              <w:rPr>
                <w:lang w:val="en-GB"/>
              </w:rPr>
            </w:pPr>
          </w:p>
        </w:tc>
      </w:tr>
      <w:tr w:rsidR="00814667" w:rsidRPr="00A50751" w14:paraId="1B960B45" w14:textId="77777777">
        <w:trPr>
          <w:cantSplit/>
          <w:jc w:val="center"/>
        </w:trPr>
        <w:tc>
          <w:tcPr>
            <w:tcW w:w="4536" w:type="dxa"/>
          </w:tcPr>
          <w:p w14:paraId="5D6A9105" w14:textId="77777777" w:rsidR="00814667" w:rsidRPr="00A50751" w:rsidRDefault="00814667">
            <w:pPr>
              <w:pStyle w:val="SingleParagraph"/>
              <w:rPr>
                <w:rFonts w:ascii="Book Antiqua" w:hAnsi="Book Antiqua"/>
                <w:lang w:val="en-GB"/>
              </w:rPr>
            </w:pPr>
          </w:p>
        </w:tc>
        <w:tc>
          <w:tcPr>
            <w:tcW w:w="284" w:type="dxa"/>
            <w:tcMar>
              <w:left w:w="0" w:type="dxa"/>
              <w:right w:w="0" w:type="dxa"/>
            </w:tcMar>
          </w:tcPr>
          <w:p w14:paraId="5C4A4D2C" w14:textId="77777777" w:rsidR="00814667" w:rsidRPr="00A50751" w:rsidRDefault="00814667">
            <w:pPr>
              <w:pStyle w:val="SingleParagraph"/>
              <w:rPr>
                <w:rFonts w:ascii="Book Antiqua" w:hAnsi="Book Antiqua"/>
                <w:lang w:val="en-GB"/>
              </w:rPr>
            </w:pPr>
          </w:p>
        </w:tc>
        <w:tc>
          <w:tcPr>
            <w:tcW w:w="4536" w:type="dxa"/>
          </w:tcPr>
          <w:p w14:paraId="297F8174" w14:textId="77777777" w:rsidR="00814667" w:rsidRPr="00A50751" w:rsidRDefault="00814667">
            <w:pPr>
              <w:pStyle w:val="SingleParagraph"/>
              <w:rPr>
                <w:rFonts w:ascii="Book Antiqua" w:hAnsi="Book Antiqua"/>
                <w:lang w:val="en-GB"/>
              </w:rPr>
            </w:pPr>
          </w:p>
        </w:tc>
      </w:tr>
      <w:tr w:rsidR="00814667" w:rsidRPr="00A50751" w14:paraId="71D1BC16" w14:textId="77777777">
        <w:trPr>
          <w:cantSplit/>
          <w:trHeight w:val="143"/>
          <w:jc w:val="center"/>
        </w:trPr>
        <w:tc>
          <w:tcPr>
            <w:tcW w:w="4536" w:type="dxa"/>
          </w:tcPr>
          <w:p w14:paraId="663B1E85" w14:textId="77777777" w:rsidR="00814667" w:rsidRPr="00A50751" w:rsidRDefault="00814667">
            <w:pPr>
              <w:pStyle w:val="SingleParagraph"/>
              <w:tabs>
                <w:tab w:val="num" w:pos="1134"/>
              </w:tabs>
              <w:spacing w:after="240"/>
              <w:ind w:left="1134" w:hanging="567"/>
              <w:rPr>
                <w:lang w:val="en-GB"/>
              </w:rPr>
            </w:pPr>
          </w:p>
        </w:tc>
        <w:tc>
          <w:tcPr>
            <w:tcW w:w="284" w:type="dxa"/>
            <w:tcMar>
              <w:left w:w="0" w:type="dxa"/>
              <w:right w:w="0" w:type="dxa"/>
            </w:tcMar>
          </w:tcPr>
          <w:p w14:paraId="050EC6F6" w14:textId="77777777" w:rsidR="00814667" w:rsidRPr="00A50751" w:rsidRDefault="00814667">
            <w:pPr>
              <w:rPr>
                <w:rFonts w:ascii="Book Antiqua" w:hAnsi="Book Antiqua"/>
                <w:lang w:val="en-GB"/>
              </w:rPr>
            </w:pPr>
          </w:p>
        </w:tc>
        <w:tc>
          <w:tcPr>
            <w:tcW w:w="4536" w:type="dxa"/>
          </w:tcPr>
          <w:p w14:paraId="22F37B66" w14:textId="77777777" w:rsidR="00814667" w:rsidRPr="00A50751" w:rsidRDefault="00814667">
            <w:pPr>
              <w:pStyle w:val="SingleParagraph"/>
              <w:tabs>
                <w:tab w:val="num" w:pos="1134"/>
              </w:tabs>
              <w:spacing w:after="240"/>
              <w:ind w:left="1134" w:hanging="567"/>
              <w:rPr>
                <w:lang w:val="en-GB"/>
              </w:rPr>
            </w:pPr>
          </w:p>
        </w:tc>
      </w:tr>
      <w:tr w:rsidR="00814667" w:rsidRPr="00A50751" w14:paraId="04A5672C" w14:textId="77777777">
        <w:trPr>
          <w:cantSplit/>
          <w:jc w:val="center"/>
        </w:trPr>
        <w:tc>
          <w:tcPr>
            <w:tcW w:w="4536" w:type="dxa"/>
          </w:tcPr>
          <w:p w14:paraId="16299580" w14:textId="77777777" w:rsidR="00814667" w:rsidRPr="00A50751" w:rsidRDefault="00814667">
            <w:pPr>
              <w:pStyle w:val="SingleParagraph"/>
              <w:rPr>
                <w:rFonts w:ascii="Book Antiqua" w:hAnsi="Book Antiqua"/>
                <w:lang w:val="en-GB"/>
              </w:rPr>
            </w:pPr>
          </w:p>
        </w:tc>
        <w:tc>
          <w:tcPr>
            <w:tcW w:w="284" w:type="dxa"/>
            <w:tcMar>
              <w:left w:w="0" w:type="dxa"/>
              <w:right w:w="0" w:type="dxa"/>
            </w:tcMar>
          </w:tcPr>
          <w:p w14:paraId="54590C91" w14:textId="77777777" w:rsidR="00814667" w:rsidRPr="00A50751" w:rsidRDefault="00814667">
            <w:pPr>
              <w:pStyle w:val="SingleParagraph"/>
              <w:rPr>
                <w:rFonts w:ascii="Book Antiqua" w:hAnsi="Book Antiqua"/>
                <w:lang w:val="en-GB"/>
              </w:rPr>
            </w:pPr>
          </w:p>
        </w:tc>
        <w:tc>
          <w:tcPr>
            <w:tcW w:w="4536" w:type="dxa"/>
          </w:tcPr>
          <w:p w14:paraId="7743F1EF" w14:textId="77777777" w:rsidR="00814667" w:rsidRPr="00A50751" w:rsidRDefault="00814667">
            <w:pPr>
              <w:pStyle w:val="SingleParagraph"/>
              <w:rPr>
                <w:rFonts w:ascii="Book Antiqua" w:hAnsi="Book Antiqua"/>
                <w:lang w:val="en-GB"/>
              </w:rPr>
            </w:pPr>
          </w:p>
        </w:tc>
      </w:tr>
      <w:tr w:rsidR="00814667" w:rsidRPr="00A50751" w14:paraId="0C7DD6A3" w14:textId="77777777">
        <w:trPr>
          <w:cantSplit/>
          <w:jc w:val="center"/>
        </w:trPr>
        <w:tc>
          <w:tcPr>
            <w:tcW w:w="4536" w:type="dxa"/>
          </w:tcPr>
          <w:p w14:paraId="5873B483" w14:textId="77777777" w:rsidR="00814667" w:rsidRPr="00A50751" w:rsidRDefault="00814667">
            <w:pPr>
              <w:pStyle w:val="SingleParagraph"/>
              <w:tabs>
                <w:tab w:val="num" w:pos="1134"/>
              </w:tabs>
              <w:spacing w:after="240"/>
              <w:ind w:left="1134" w:hanging="567"/>
              <w:rPr>
                <w:szCs w:val="22"/>
                <w:lang w:val="en-GB"/>
              </w:rPr>
            </w:pPr>
          </w:p>
        </w:tc>
        <w:tc>
          <w:tcPr>
            <w:tcW w:w="284" w:type="dxa"/>
            <w:tcMar>
              <w:left w:w="0" w:type="dxa"/>
              <w:right w:w="0" w:type="dxa"/>
            </w:tcMar>
          </w:tcPr>
          <w:p w14:paraId="69E0E1E6" w14:textId="77777777" w:rsidR="00814667" w:rsidRPr="00A50751" w:rsidRDefault="00814667">
            <w:pPr>
              <w:rPr>
                <w:rFonts w:ascii="Book Antiqua" w:hAnsi="Book Antiqua"/>
                <w:lang w:val="en-GB"/>
              </w:rPr>
            </w:pPr>
          </w:p>
        </w:tc>
        <w:tc>
          <w:tcPr>
            <w:tcW w:w="4536" w:type="dxa"/>
          </w:tcPr>
          <w:p w14:paraId="73472C5D" w14:textId="77777777" w:rsidR="00814667" w:rsidRPr="00A50751" w:rsidRDefault="00814667">
            <w:pPr>
              <w:pStyle w:val="SingleParagraph"/>
              <w:tabs>
                <w:tab w:val="num" w:pos="1134"/>
              </w:tabs>
              <w:spacing w:after="240"/>
              <w:ind w:left="1134" w:hanging="567"/>
              <w:rPr>
                <w:lang w:val="en-GB"/>
              </w:rPr>
            </w:pPr>
          </w:p>
        </w:tc>
      </w:tr>
    </w:tbl>
    <w:p w14:paraId="529FDF70" w14:textId="77777777" w:rsidR="008843EE" w:rsidRDefault="008843EE" w:rsidP="0020144E"/>
    <w:sectPr w:rsidR="008843EE" w:rsidSect="00C606F6">
      <w:headerReference w:type="first" r:id="rId21"/>
      <w:footerReference w:type="first" r:id="rId22"/>
      <w:type w:val="oddPage"/>
      <w:pgSz w:w="11906" w:h="16838" w:code="9"/>
      <w:pgMar w:top="1134" w:right="1134" w:bottom="1134" w:left="1134" w:header="709" w:footer="709" w:gutter="0"/>
      <w:pgNumType w:start="1" w:chapStyle="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60C9D" w14:textId="77777777" w:rsidR="00A728AC" w:rsidRDefault="00A728AC">
      <w:r>
        <w:separator/>
      </w:r>
    </w:p>
  </w:endnote>
  <w:endnote w:type="continuationSeparator" w:id="0">
    <w:p w14:paraId="14246CB9" w14:textId="77777777" w:rsidR="00A728AC" w:rsidRDefault="00A728AC">
      <w:r>
        <w:continuationSeparator/>
      </w:r>
    </w:p>
  </w:endnote>
  <w:endnote w:type="continuationNotice" w:id="1">
    <w:p w14:paraId="41838FA0" w14:textId="77777777" w:rsidR="00A728AC" w:rsidRDefault="00A728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altName w:val="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Bauhaus 93">
    <w:panose1 w:val="04030905020B02020C02"/>
    <w:charset w:val="00"/>
    <w:family w:val="decorative"/>
    <w:pitch w:val="variable"/>
    <w:sig w:usb0="00000003" w:usb1="00000000" w:usb2="00000000" w:usb3="00000000" w:csb0="00000001" w:csb1="00000000"/>
  </w:font>
  <w:font w:name="Consolas">
    <w:altName w:val="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695C1" w14:textId="77777777" w:rsidR="009E171C" w:rsidRDefault="009E171C">
    <w:pPr>
      <w:pStyle w:val="FooterEven"/>
      <w:keepNext/>
      <w:tabs>
        <w:tab w:val="num" w:pos="1701"/>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05BE980" w14:textId="77777777" w:rsidR="009E171C" w:rsidRDefault="009E171C">
    <w:pPr>
      <w:pStyle w:val="FooterEven"/>
      <w:keepNext/>
      <w:tabs>
        <w:tab w:val="num" w:pos="170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516BD" w14:textId="77777777" w:rsidR="009E171C" w:rsidRDefault="009E171C">
    <w:pPr>
      <w:pStyle w:val="FooterOdd"/>
      <w:keepNext/>
      <w:tabs>
        <w:tab w:val="num" w:pos="567"/>
      </w:tabs>
    </w:pPr>
    <w:r>
      <w:t xml:space="preserve">Page </w:t>
    </w:r>
    <w:r>
      <w:rPr>
        <w:rStyle w:val="PageNumber"/>
      </w:rPr>
      <w:fldChar w:fldCharType="begin"/>
    </w:r>
    <w:r>
      <w:rPr>
        <w:rStyle w:val="PageNumber"/>
      </w:rPr>
      <w:instrText xml:space="preserve"> PAGE </w:instrText>
    </w:r>
    <w:r>
      <w:rPr>
        <w:rStyle w:val="PageNumber"/>
      </w:rPr>
      <w:fldChar w:fldCharType="separate"/>
    </w:r>
    <w:r w:rsidR="00212158">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F4D25" w14:textId="1260E67E" w:rsidR="009E171C" w:rsidRDefault="009E171C">
    <w:pPr>
      <w:pStyle w:val="FooterOdd"/>
      <w:keepNext/>
      <w:tabs>
        <w:tab w:val="num" w:pos="567"/>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AC988" w14:textId="4BC64E27" w:rsidR="009E171C" w:rsidRDefault="009E171C" w:rsidP="00751725">
    <w:pPr>
      <w:pStyle w:val="FooterEven"/>
      <w:jc w:val="right"/>
    </w:pPr>
    <w:r>
      <w:t xml:space="preserve">Page </w:t>
    </w:r>
    <w:r w:rsidR="00DD639D">
      <w:rPr>
        <w:rStyle w:val="PageNumber"/>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C156C" w14:textId="77777777" w:rsidR="00A728AC" w:rsidRDefault="00A728AC">
      <w:r>
        <w:separator/>
      </w:r>
    </w:p>
  </w:footnote>
  <w:footnote w:type="continuationSeparator" w:id="0">
    <w:p w14:paraId="4DF1347B" w14:textId="77777777" w:rsidR="00A728AC" w:rsidRDefault="00A728AC">
      <w:r>
        <w:continuationSeparator/>
      </w:r>
    </w:p>
  </w:footnote>
  <w:footnote w:type="continuationNotice" w:id="1">
    <w:p w14:paraId="2A50353C" w14:textId="77777777" w:rsidR="00A728AC" w:rsidRDefault="00A728AC">
      <w:pPr>
        <w:spacing w:after="0" w:line="240" w:lineRule="auto"/>
      </w:pPr>
    </w:p>
  </w:footnote>
  <w:footnote w:id="2">
    <w:p w14:paraId="1AEE4624" w14:textId="0FE96DD3" w:rsidR="009E171C" w:rsidRPr="006E476B" w:rsidRDefault="009E171C" w:rsidP="006E476B">
      <w:pPr>
        <w:spacing w:after="120" w:line="276" w:lineRule="auto"/>
        <w:rPr>
          <w:sz w:val="20"/>
        </w:rPr>
      </w:pPr>
      <w:r w:rsidRPr="00385B3C">
        <w:rPr>
          <w:rStyle w:val="FootnoteReference"/>
          <w:sz w:val="16"/>
          <w:szCs w:val="16"/>
        </w:rPr>
        <w:footnoteRef/>
      </w:r>
      <w:r w:rsidRPr="00385B3C">
        <w:rPr>
          <w:sz w:val="16"/>
          <w:szCs w:val="16"/>
        </w:rPr>
        <w:t xml:space="preserve">  </w:t>
      </w:r>
      <w:r w:rsidRPr="006E476B">
        <w:rPr>
          <w:sz w:val="20"/>
        </w:rPr>
        <w:t xml:space="preserve">The </w:t>
      </w:r>
      <w:r w:rsidRPr="00D46EA0">
        <w:rPr>
          <w:sz w:val="16"/>
          <w:szCs w:val="16"/>
        </w:rPr>
        <w:t>R</w:t>
      </w:r>
      <w:r w:rsidRPr="006E476B">
        <w:rPr>
          <w:sz w:val="20"/>
        </w:rPr>
        <w:t>enewal of the NCSP will be implemented on 1 December 2017. It aims to ensure the continuing success of the Program by introducing a new cervical screening test so that all Australian women have access to a cervical screening program based on current evidence and best practice.  This will change the target age group to women aged 25 to 74 years, and reduce the frequency of screening from every two years to every five years.</w:t>
      </w:r>
    </w:p>
    <w:p w14:paraId="42058BB9" w14:textId="77777777" w:rsidR="009E171C" w:rsidRDefault="009E171C" w:rsidP="00574D26">
      <w:pPr>
        <w:pStyle w:val="FootnoteText"/>
        <w:tabs>
          <w:tab w:val="clear" w:pos="284"/>
          <w:tab w:val="left" w:pos="142"/>
        </w:tabs>
        <w:ind w:left="142" w:hanging="14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3F2E9" w14:textId="77777777" w:rsidR="009E171C" w:rsidRPr="00814590" w:rsidRDefault="009E171C">
    <w:pPr>
      <w:rPr>
        <w:color w:val="800000"/>
        <w:sz w:val="18"/>
        <w:szCs w:val="18"/>
      </w:rPr>
    </w:pPr>
    <w:r>
      <w:rPr>
        <w:color w:val="800000"/>
        <w:sz w:val="18"/>
        <w:szCs w:val="18"/>
      </w:rPr>
      <w:t>Project Agreement for [title of Project]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F0EA4" w14:textId="77777777" w:rsidR="009E171C" w:rsidRPr="00814590" w:rsidRDefault="009E171C">
    <w:pPr>
      <w:pStyle w:val="HeaderOdd"/>
      <w:tabs>
        <w:tab w:val="num" w:pos="1134"/>
      </w:tabs>
      <w:rPr>
        <w:color w:val="800000"/>
      </w:rPr>
    </w:pPr>
    <w:r>
      <w:rPr>
        <w:color w:val="800000"/>
      </w:rPr>
      <w:t>Project Agreement for the Victorian Cytology Service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0ED57" w14:textId="77777777" w:rsidR="009E171C" w:rsidRPr="00814590" w:rsidRDefault="009E171C" w:rsidP="00B7206D">
    <w:pPr>
      <w:pStyle w:val="HeaderOdd"/>
      <w:tabs>
        <w:tab w:val="num" w:pos="1134"/>
      </w:tabs>
      <w:rPr>
        <w:color w:val="800000"/>
      </w:rPr>
    </w:pPr>
    <w:r>
      <w:rPr>
        <w:color w:val="800000"/>
      </w:rPr>
      <w:t>Project Agreement for the Victorian Cytology Service</w:t>
    </w:r>
  </w:p>
  <w:p w14:paraId="5A2DEB36" w14:textId="77777777" w:rsidR="009E171C" w:rsidRPr="00751725" w:rsidRDefault="009E171C" w:rsidP="0028187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14EA84"/>
    <w:lvl w:ilvl="0">
      <w:start w:val="1"/>
      <w:numFmt w:val="bullet"/>
      <w:pStyle w:val="Normalnumbered"/>
      <w:lvlText w:val=""/>
      <w:lvlJc w:val="left"/>
      <w:pPr>
        <w:tabs>
          <w:tab w:val="num" w:pos="360"/>
        </w:tabs>
        <w:ind w:left="360" w:hanging="360"/>
      </w:pPr>
      <w:rPr>
        <w:rFonts w:ascii="Symbol" w:hAnsi="Symbol" w:hint="default"/>
      </w:rPr>
    </w:lvl>
  </w:abstractNum>
  <w:abstractNum w:abstractNumId="1">
    <w:nsid w:val="0385389A"/>
    <w:multiLevelType w:val="multilevel"/>
    <w:tmpl w:val="D6449622"/>
    <w:lvl w:ilvl="0">
      <w:start w:val="1"/>
      <w:numFmt w:val="lowerLetter"/>
      <w:lvlText w:val="%1)"/>
      <w:lvlJc w:val="left"/>
      <w:pPr>
        <w:tabs>
          <w:tab w:val="num" w:pos="1701"/>
        </w:tabs>
        <w:ind w:left="1134"/>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2">
    <w:nsid w:val="05397C16"/>
    <w:multiLevelType w:val="hybridMultilevel"/>
    <w:tmpl w:val="7986A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107550"/>
    <w:multiLevelType w:val="multilevel"/>
    <w:tmpl w:val="A2B0A5FC"/>
    <w:lvl w:ilvl="0">
      <w:start w:val="1"/>
      <w:numFmt w:val="lowerLetter"/>
      <w:lvlText w:val="(%1)"/>
      <w:lvlJc w:val="left"/>
      <w:pPr>
        <w:tabs>
          <w:tab w:val="num" w:pos="1134"/>
        </w:tabs>
        <w:ind w:left="567"/>
      </w:pPr>
      <w:rPr>
        <w:rFonts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4">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5">
    <w:nsid w:val="111924E8"/>
    <w:multiLevelType w:val="hybridMultilevel"/>
    <w:tmpl w:val="3314D7CA"/>
    <w:lvl w:ilvl="0" w:tplc="660EB736">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6C242AE"/>
    <w:multiLevelType w:val="hybridMultilevel"/>
    <w:tmpl w:val="B7967C76"/>
    <w:lvl w:ilvl="0" w:tplc="C9A411EA">
      <w:numFmt w:val="bullet"/>
      <w:lvlText w:val="-"/>
      <w:lvlJc w:val="left"/>
      <w:pPr>
        <w:ind w:left="720" w:hanging="360"/>
      </w:pPr>
      <w:rPr>
        <w:rFonts w:ascii="Corbel" w:eastAsia="Times New Roman" w:hAnsi="Corbe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75B45A5"/>
    <w:multiLevelType w:val="multilevel"/>
    <w:tmpl w:val="4EF6C53C"/>
    <w:lvl w:ilvl="0">
      <w:start w:val="1"/>
      <w:numFmt w:val="lowerLetter"/>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8">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pStyle w:val="Dash"/>
      <w:lvlText w:val="%2"/>
      <w:lvlJc w:val="left"/>
      <w:pPr>
        <w:tabs>
          <w:tab w:val="num" w:pos="1134"/>
        </w:tabs>
        <w:ind w:left="1134" w:hanging="567"/>
      </w:pPr>
      <w:rPr>
        <w:rFonts w:ascii="Times New Roman" w:hAnsi="Times New Roman" w:cs="Times New Roman"/>
        <w:b w:val="0"/>
        <w:i w:val="0"/>
        <w:color w:val="000000"/>
      </w:rPr>
    </w:lvl>
    <w:lvl w:ilvl="2">
      <w:start w:val="1"/>
      <w:numFmt w:val="decimal"/>
      <w:pStyle w:val="DoubleDot"/>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9">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nsid w:val="202C7FB2"/>
    <w:multiLevelType w:val="hybridMultilevel"/>
    <w:tmpl w:val="06CAE368"/>
    <w:lvl w:ilvl="0" w:tplc="A1FA796E">
      <w:numFmt w:val="bullet"/>
      <w:lvlText w:val="-"/>
      <w:lvlJc w:val="left"/>
      <w:pPr>
        <w:ind w:left="720" w:hanging="360"/>
      </w:pPr>
      <w:rPr>
        <w:rFonts w:ascii="Corbel" w:eastAsia="Times New Roman" w:hAnsi="Corbe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2B242CC"/>
    <w:multiLevelType w:val="multilevel"/>
    <w:tmpl w:val="E60E4706"/>
    <w:name w:val="AGSTableDash"/>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12">
    <w:nsid w:val="244237C5"/>
    <w:multiLevelType w:val="multilevel"/>
    <w:tmpl w:val="59163354"/>
    <w:lvl w:ilvl="0">
      <w:start w:val="1"/>
      <w:numFmt w:val="lowerLetter"/>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3">
    <w:nsid w:val="278D78E7"/>
    <w:multiLevelType w:val="multilevel"/>
    <w:tmpl w:val="5C4AE05C"/>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4">
    <w:nsid w:val="297A625E"/>
    <w:multiLevelType w:val="multilevel"/>
    <w:tmpl w:val="4412DE6C"/>
    <w:name w:val="AGSDash"/>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15">
    <w:nsid w:val="426C74C5"/>
    <w:multiLevelType w:val="hybridMultilevel"/>
    <w:tmpl w:val="559EE08C"/>
    <w:lvl w:ilvl="0" w:tplc="7B96990E">
      <w:numFmt w:val="bullet"/>
      <w:lvlText w:val="-"/>
      <w:lvlJc w:val="left"/>
      <w:pPr>
        <w:ind w:left="720" w:hanging="360"/>
      </w:pPr>
      <w:rPr>
        <w:rFonts w:ascii="Corbel" w:eastAsia="Times New Roman" w:hAnsi="Corbe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5DD019E"/>
    <w:multiLevelType w:val="hybridMultilevel"/>
    <w:tmpl w:val="9056D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8">
    <w:nsid w:val="49172EB4"/>
    <w:multiLevelType w:val="multilevel"/>
    <w:tmpl w:val="E382AD5A"/>
    <w:lvl w:ilvl="0">
      <w:start w:val="1"/>
      <w:numFmt w:val="lowerLetter"/>
      <w:lvlText w:val="(%1)"/>
      <w:lvlJc w:val="left"/>
      <w:pPr>
        <w:tabs>
          <w:tab w:val="num" w:pos="1134"/>
        </w:tabs>
        <w:ind w:left="567"/>
      </w:pPr>
      <w:rPr>
        <w:rFonts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9">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20">
    <w:nsid w:val="55CE0768"/>
    <w:multiLevelType w:val="hybridMultilevel"/>
    <w:tmpl w:val="9190AFEA"/>
    <w:lvl w:ilvl="0" w:tplc="0206F444">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54E077B4" w:tentative="1">
      <w:start w:val="1"/>
      <w:numFmt w:val="bullet"/>
      <w:lvlText w:val="o"/>
      <w:lvlJc w:val="left"/>
      <w:pPr>
        <w:tabs>
          <w:tab w:val="num" w:pos="1440"/>
        </w:tabs>
        <w:ind w:left="1440" w:hanging="360"/>
      </w:pPr>
      <w:rPr>
        <w:rFonts w:ascii="Courier New" w:hAnsi="Courier New" w:hint="default"/>
      </w:rPr>
    </w:lvl>
    <w:lvl w:ilvl="2" w:tplc="C0E6D21E" w:tentative="1">
      <w:start w:val="1"/>
      <w:numFmt w:val="bullet"/>
      <w:lvlText w:val=""/>
      <w:lvlJc w:val="left"/>
      <w:pPr>
        <w:tabs>
          <w:tab w:val="num" w:pos="2160"/>
        </w:tabs>
        <w:ind w:left="2160" w:hanging="360"/>
      </w:pPr>
      <w:rPr>
        <w:rFonts w:ascii="Wingdings" w:hAnsi="Wingdings" w:hint="default"/>
      </w:rPr>
    </w:lvl>
    <w:lvl w:ilvl="3" w:tplc="4964E6A6" w:tentative="1">
      <w:start w:val="1"/>
      <w:numFmt w:val="bullet"/>
      <w:lvlText w:val=""/>
      <w:lvlJc w:val="left"/>
      <w:pPr>
        <w:tabs>
          <w:tab w:val="num" w:pos="2880"/>
        </w:tabs>
        <w:ind w:left="2880" w:hanging="360"/>
      </w:pPr>
      <w:rPr>
        <w:rFonts w:ascii="Symbol" w:hAnsi="Symbol" w:hint="default"/>
      </w:rPr>
    </w:lvl>
    <w:lvl w:ilvl="4" w:tplc="1758C9A0" w:tentative="1">
      <w:start w:val="1"/>
      <w:numFmt w:val="bullet"/>
      <w:lvlText w:val="o"/>
      <w:lvlJc w:val="left"/>
      <w:pPr>
        <w:tabs>
          <w:tab w:val="num" w:pos="3600"/>
        </w:tabs>
        <w:ind w:left="3600" w:hanging="360"/>
      </w:pPr>
      <w:rPr>
        <w:rFonts w:ascii="Courier New" w:hAnsi="Courier New" w:hint="default"/>
      </w:rPr>
    </w:lvl>
    <w:lvl w:ilvl="5" w:tplc="918063DA" w:tentative="1">
      <w:start w:val="1"/>
      <w:numFmt w:val="bullet"/>
      <w:lvlText w:val=""/>
      <w:lvlJc w:val="left"/>
      <w:pPr>
        <w:tabs>
          <w:tab w:val="num" w:pos="4320"/>
        </w:tabs>
        <w:ind w:left="4320" w:hanging="360"/>
      </w:pPr>
      <w:rPr>
        <w:rFonts w:ascii="Wingdings" w:hAnsi="Wingdings" w:hint="default"/>
      </w:rPr>
    </w:lvl>
    <w:lvl w:ilvl="6" w:tplc="310CFC8A" w:tentative="1">
      <w:start w:val="1"/>
      <w:numFmt w:val="bullet"/>
      <w:lvlText w:val=""/>
      <w:lvlJc w:val="left"/>
      <w:pPr>
        <w:tabs>
          <w:tab w:val="num" w:pos="5040"/>
        </w:tabs>
        <w:ind w:left="5040" w:hanging="360"/>
      </w:pPr>
      <w:rPr>
        <w:rFonts w:ascii="Symbol" w:hAnsi="Symbol" w:hint="default"/>
      </w:rPr>
    </w:lvl>
    <w:lvl w:ilvl="7" w:tplc="C9C07C10" w:tentative="1">
      <w:start w:val="1"/>
      <w:numFmt w:val="bullet"/>
      <w:lvlText w:val="o"/>
      <w:lvlJc w:val="left"/>
      <w:pPr>
        <w:tabs>
          <w:tab w:val="num" w:pos="5760"/>
        </w:tabs>
        <w:ind w:left="5760" w:hanging="360"/>
      </w:pPr>
      <w:rPr>
        <w:rFonts w:ascii="Courier New" w:hAnsi="Courier New" w:hint="default"/>
      </w:rPr>
    </w:lvl>
    <w:lvl w:ilvl="8" w:tplc="F5929A12" w:tentative="1">
      <w:start w:val="1"/>
      <w:numFmt w:val="bullet"/>
      <w:lvlText w:val=""/>
      <w:lvlJc w:val="left"/>
      <w:pPr>
        <w:tabs>
          <w:tab w:val="num" w:pos="6480"/>
        </w:tabs>
        <w:ind w:left="6480" w:hanging="360"/>
      </w:pPr>
      <w:rPr>
        <w:rFonts w:ascii="Wingdings" w:hAnsi="Wingdings" w:hint="default"/>
      </w:rPr>
    </w:lvl>
  </w:abstractNum>
  <w:abstractNum w:abstractNumId="21">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2">
    <w:nsid w:val="59B70749"/>
    <w:multiLevelType w:val="multilevel"/>
    <w:tmpl w:val="D6449622"/>
    <w:lvl w:ilvl="0">
      <w:start w:val="1"/>
      <w:numFmt w:val="lowerLetter"/>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3">
    <w:nsid w:val="5AB770B1"/>
    <w:multiLevelType w:val="hybridMultilevel"/>
    <w:tmpl w:val="8F24C4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5">
    <w:nsid w:val="604B6A49"/>
    <w:multiLevelType w:val="multilevel"/>
    <w:tmpl w:val="9D067BE4"/>
    <w:lvl w:ilvl="0">
      <w:start w:val="1"/>
      <w:numFmt w:val="lowerLetter"/>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6">
    <w:nsid w:val="662307EC"/>
    <w:multiLevelType w:val="hybridMultilevel"/>
    <w:tmpl w:val="92AA3016"/>
    <w:lvl w:ilvl="0" w:tplc="4BAEDD7E">
      <w:start w:val="1"/>
      <w:numFmt w:val="decimal"/>
      <w:lvlText w:val="%1."/>
      <w:lvlJc w:val="left"/>
      <w:pPr>
        <w:ind w:left="720" w:hanging="360"/>
      </w:pPr>
      <w:rPr>
        <w:rFonts w:ascii="Corbel" w:hAnsi="Corbel"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nsid w:val="66871334"/>
    <w:multiLevelType w:val="multilevel"/>
    <w:tmpl w:val="C642707E"/>
    <w:lvl w:ilvl="0">
      <w:start w:val="1"/>
      <w:numFmt w:val="lowerLetter"/>
      <w:lvlText w:val="(%1)"/>
      <w:lvlJc w:val="left"/>
      <w:pPr>
        <w:tabs>
          <w:tab w:val="num" w:pos="1701"/>
        </w:tabs>
        <w:ind w:left="1134"/>
      </w:pPr>
      <w:rPr>
        <w:rFonts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28">
    <w:nsid w:val="6D1925ED"/>
    <w:multiLevelType w:val="multilevel"/>
    <w:tmpl w:val="4EF6C53C"/>
    <w:lvl w:ilvl="0">
      <w:start w:val="1"/>
      <w:numFmt w:val="lowerLetter"/>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9">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30">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31">
    <w:nsid w:val="78854AAC"/>
    <w:multiLevelType w:val="hybridMultilevel"/>
    <w:tmpl w:val="54B4E8A4"/>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2"/>
  </w:num>
  <w:num w:numId="10">
    <w:abstractNumId w:val="19"/>
  </w:num>
  <w:num w:numId="11">
    <w:abstractNumId w:val="21"/>
  </w:num>
  <w:num w:numId="12">
    <w:abstractNumId w:val="8"/>
  </w:num>
  <w:num w:numId="13">
    <w:abstractNumId w:val="24"/>
  </w:num>
  <w:num w:numId="14">
    <w:abstractNumId w:val="9"/>
  </w:num>
  <w:num w:numId="15">
    <w:abstractNumId w:val="13"/>
  </w:num>
  <w:num w:numId="16">
    <w:abstractNumId w:val="31"/>
  </w:num>
  <w:num w:numId="17">
    <w:abstractNumId w:val="4"/>
  </w:num>
  <w:num w:numId="18">
    <w:abstractNumId w:val="20"/>
  </w:num>
  <w:num w:numId="19">
    <w:abstractNumId w:val="29"/>
  </w:num>
  <w:num w:numId="20">
    <w:abstractNumId w:val="17"/>
  </w:num>
  <w:num w:numId="21">
    <w:abstractNumId w:val="22"/>
  </w:num>
  <w:num w:numId="22">
    <w:abstractNumId w:val="30"/>
  </w:num>
  <w:num w:numId="23">
    <w:abstractNumId w:val="11"/>
  </w:num>
  <w:num w:numId="24">
    <w:abstractNumId w:val="14"/>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6"/>
  </w:num>
  <w:num w:numId="30">
    <w:abstractNumId w:val="2"/>
  </w:num>
  <w:num w:numId="31">
    <w:abstractNumId w:val="28"/>
  </w:num>
  <w:num w:numId="32">
    <w:abstractNumId w:val="25"/>
  </w:num>
  <w:num w:numId="33">
    <w:abstractNumId w:val="16"/>
  </w:num>
  <w:num w:numId="34">
    <w:abstractNumId w:val="6"/>
  </w:num>
  <w:num w:numId="35">
    <w:abstractNumId w:val="15"/>
  </w:num>
  <w:num w:numId="36">
    <w:abstractNumId w:val="10"/>
  </w:num>
  <w:num w:numId="37">
    <w:abstractNumId w:val="18"/>
  </w:num>
  <w:num w:numId="38">
    <w:abstractNumId w:val="3"/>
  </w:num>
  <w:num w:numId="39">
    <w:abstractNumId w:val="27"/>
  </w:num>
  <w:num w:numId="40">
    <w:abstractNumId w:val="0"/>
  </w:num>
  <w:num w:numId="41">
    <w:abstractNumId w:val="0"/>
  </w:num>
  <w:num w:numId="42">
    <w:abstractNumId w:val="0"/>
  </w:num>
  <w:num w:numId="43">
    <w:abstractNumId w:val="23"/>
  </w:num>
  <w:num w:numId="44">
    <w:abstractNumId w:val="0"/>
  </w:num>
  <w:num w:numId="45">
    <w:abstractNumId w:val="0"/>
  </w:num>
  <w:num w:numId="46">
    <w:abstractNumId w:val="7"/>
  </w:num>
  <w:num w:numId="47">
    <w:abstractNumId w:val="0"/>
  </w:num>
  <w:num w:numId="48">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667"/>
    <w:rsid w:val="00001714"/>
    <w:rsid w:val="00004515"/>
    <w:rsid w:val="00005A5D"/>
    <w:rsid w:val="00005E77"/>
    <w:rsid w:val="000076D9"/>
    <w:rsid w:val="00007877"/>
    <w:rsid w:val="00021708"/>
    <w:rsid w:val="00030CB2"/>
    <w:rsid w:val="000343F1"/>
    <w:rsid w:val="00044700"/>
    <w:rsid w:val="00053011"/>
    <w:rsid w:val="000558A4"/>
    <w:rsid w:val="00057060"/>
    <w:rsid w:val="0006051B"/>
    <w:rsid w:val="00060BCC"/>
    <w:rsid w:val="000614F9"/>
    <w:rsid w:val="0006451A"/>
    <w:rsid w:val="00064A43"/>
    <w:rsid w:val="0006551D"/>
    <w:rsid w:val="00065679"/>
    <w:rsid w:val="00066A56"/>
    <w:rsid w:val="00067713"/>
    <w:rsid w:val="0007004C"/>
    <w:rsid w:val="000724F6"/>
    <w:rsid w:val="00074611"/>
    <w:rsid w:val="00074A62"/>
    <w:rsid w:val="00084711"/>
    <w:rsid w:val="00086712"/>
    <w:rsid w:val="00091DF8"/>
    <w:rsid w:val="00093CB6"/>
    <w:rsid w:val="00093DD8"/>
    <w:rsid w:val="00095C12"/>
    <w:rsid w:val="000972A3"/>
    <w:rsid w:val="00097794"/>
    <w:rsid w:val="000A0C9E"/>
    <w:rsid w:val="000A1197"/>
    <w:rsid w:val="000A5191"/>
    <w:rsid w:val="000B4080"/>
    <w:rsid w:val="000B60A5"/>
    <w:rsid w:val="000B7685"/>
    <w:rsid w:val="000C300D"/>
    <w:rsid w:val="000C6014"/>
    <w:rsid w:val="000C714F"/>
    <w:rsid w:val="000D19D8"/>
    <w:rsid w:val="000D1C37"/>
    <w:rsid w:val="000D4377"/>
    <w:rsid w:val="000E075D"/>
    <w:rsid w:val="000E2AF6"/>
    <w:rsid w:val="000E36B7"/>
    <w:rsid w:val="000E3C70"/>
    <w:rsid w:val="000E48C3"/>
    <w:rsid w:val="000E4FE8"/>
    <w:rsid w:val="000F0880"/>
    <w:rsid w:val="000F25D5"/>
    <w:rsid w:val="000F6C05"/>
    <w:rsid w:val="000F6CF6"/>
    <w:rsid w:val="00103FD6"/>
    <w:rsid w:val="001065EE"/>
    <w:rsid w:val="00110F5D"/>
    <w:rsid w:val="001134AC"/>
    <w:rsid w:val="00113E57"/>
    <w:rsid w:val="00115166"/>
    <w:rsid w:val="00115A97"/>
    <w:rsid w:val="00122DBA"/>
    <w:rsid w:val="00123270"/>
    <w:rsid w:val="001262B5"/>
    <w:rsid w:val="00132587"/>
    <w:rsid w:val="00134BA9"/>
    <w:rsid w:val="00136C02"/>
    <w:rsid w:val="001404A9"/>
    <w:rsid w:val="00140F43"/>
    <w:rsid w:val="00144275"/>
    <w:rsid w:val="00145D5C"/>
    <w:rsid w:val="0014738B"/>
    <w:rsid w:val="00151133"/>
    <w:rsid w:val="001511DA"/>
    <w:rsid w:val="00160506"/>
    <w:rsid w:val="001629FA"/>
    <w:rsid w:val="00165CAB"/>
    <w:rsid w:val="00166312"/>
    <w:rsid w:val="00167BB8"/>
    <w:rsid w:val="00172360"/>
    <w:rsid w:val="00172E3A"/>
    <w:rsid w:val="00173F81"/>
    <w:rsid w:val="00174C2A"/>
    <w:rsid w:val="00175FB9"/>
    <w:rsid w:val="00177A0A"/>
    <w:rsid w:val="00180F76"/>
    <w:rsid w:val="001826B3"/>
    <w:rsid w:val="00183EAB"/>
    <w:rsid w:val="00185CC1"/>
    <w:rsid w:val="00187BEB"/>
    <w:rsid w:val="00190235"/>
    <w:rsid w:val="001931E8"/>
    <w:rsid w:val="00194232"/>
    <w:rsid w:val="00194587"/>
    <w:rsid w:val="001A1422"/>
    <w:rsid w:val="001A14C1"/>
    <w:rsid w:val="001A3A9A"/>
    <w:rsid w:val="001A3F52"/>
    <w:rsid w:val="001A4093"/>
    <w:rsid w:val="001A5EBE"/>
    <w:rsid w:val="001A79C1"/>
    <w:rsid w:val="001A7A15"/>
    <w:rsid w:val="001B19A0"/>
    <w:rsid w:val="001B1CA3"/>
    <w:rsid w:val="001B3A87"/>
    <w:rsid w:val="001B447F"/>
    <w:rsid w:val="001B580E"/>
    <w:rsid w:val="001B7933"/>
    <w:rsid w:val="001C346E"/>
    <w:rsid w:val="001C3717"/>
    <w:rsid w:val="001C5CC5"/>
    <w:rsid w:val="001D130C"/>
    <w:rsid w:val="001D2C27"/>
    <w:rsid w:val="001D3CAD"/>
    <w:rsid w:val="001D6E9A"/>
    <w:rsid w:val="001E20EC"/>
    <w:rsid w:val="001E4479"/>
    <w:rsid w:val="001E7173"/>
    <w:rsid w:val="001E74D0"/>
    <w:rsid w:val="001E7803"/>
    <w:rsid w:val="001F1587"/>
    <w:rsid w:val="001F1D48"/>
    <w:rsid w:val="001F6F39"/>
    <w:rsid w:val="001F6FE8"/>
    <w:rsid w:val="0020144E"/>
    <w:rsid w:val="00204880"/>
    <w:rsid w:val="00205E18"/>
    <w:rsid w:val="00206604"/>
    <w:rsid w:val="00206773"/>
    <w:rsid w:val="002069F9"/>
    <w:rsid w:val="00212158"/>
    <w:rsid w:val="00212869"/>
    <w:rsid w:val="00221308"/>
    <w:rsid w:val="00222C97"/>
    <w:rsid w:val="00225761"/>
    <w:rsid w:val="00233835"/>
    <w:rsid w:val="00240F36"/>
    <w:rsid w:val="00241EE9"/>
    <w:rsid w:val="00244500"/>
    <w:rsid w:val="00247D45"/>
    <w:rsid w:val="00252551"/>
    <w:rsid w:val="0025521D"/>
    <w:rsid w:val="002569EF"/>
    <w:rsid w:val="00261ABA"/>
    <w:rsid w:val="00262E18"/>
    <w:rsid w:val="0026571E"/>
    <w:rsid w:val="002811B7"/>
    <w:rsid w:val="00281874"/>
    <w:rsid w:val="00282C25"/>
    <w:rsid w:val="00284884"/>
    <w:rsid w:val="00285003"/>
    <w:rsid w:val="002869F5"/>
    <w:rsid w:val="00287DCC"/>
    <w:rsid w:val="00290DB8"/>
    <w:rsid w:val="00291CF1"/>
    <w:rsid w:val="00292587"/>
    <w:rsid w:val="002A143D"/>
    <w:rsid w:val="002A3DE9"/>
    <w:rsid w:val="002A493A"/>
    <w:rsid w:val="002A530A"/>
    <w:rsid w:val="002A5884"/>
    <w:rsid w:val="002A6981"/>
    <w:rsid w:val="002B1C50"/>
    <w:rsid w:val="002B207C"/>
    <w:rsid w:val="002B7922"/>
    <w:rsid w:val="002B7E1B"/>
    <w:rsid w:val="002C2529"/>
    <w:rsid w:val="002C2A03"/>
    <w:rsid w:val="002C4471"/>
    <w:rsid w:val="002C62B3"/>
    <w:rsid w:val="002C7620"/>
    <w:rsid w:val="002D122C"/>
    <w:rsid w:val="002D2C01"/>
    <w:rsid w:val="002D7CF9"/>
    <w:rsid w:val="002E144A"/>
    <w:rsid w:val="002E2DE2"/>
    <w:rsid w:val="002E4B66"/>
    <w:rsid w:val="002F18B9"/>
    <w:rsid w:val="002F20A4"/>
    <w:rsid w:val="002F576E"/>
    <w:rsid w:val="002F5B29"/>
    <w:rsid w:val="002F5B54"/>
    <w:rsid w:val="002F5C6C"/>
    <w:rsid w:val="002F7E40"/>
    <w:rsid w:val="003012DA"/>
    <w:rsid w:val="00307C5C"/>
    <w:rsid w:val="00312CFE"/>
    <w:rsid w:val="00313480"/>
    <w:rsid w:val="00313C98"/>
    <w:rsid w:val="00313D2F"/>
    <w:rsid w:val="00313FD9"/>
    <w:rsid w:val="003155BD"/>
    <w:rsid w:val="00316F18"/>
    <w:rsid w:val="003177B9"/>
    <w:rsid w:val="003202D4"/>
    <w:rsid w:val="00321E0A"/>
    <w:rsid w:val="00333506"/>
    <w:rsid w:val="00340987"/>
    <w:rsid w:val="003410AA"/>
    <w:rsid w:val="003425B0"/>
    <w:rsid w:val="0034465F"/>
    <w:rsid w:val="00352A6B"/>
    <w:rsid w:val="00352EC1"/>
    <w:rsid w:val="003603D5"/>
    <w:rsid w:val="00361054"/>
    <w:rsid w:val="0036119D"/>
    <w:rsid w:val="003637A0"/>
    <w:rsid w:val="0036474E"/>
    <w:rsid w:val="00364CF3"/>
    <w:rsid w:val="00365807"/>
    <w:rsid w:val="00365CAA"/>
    <w:rsid w:val="00367EAB"/>
    <w:rsid w:val="00372573"/>
    <w:rsid w:val="00373114"/>
    <w:rsid w:val="00377AB2"/>
    <w:rsid w:val="00385B3C"/>
    <w:rsid w:val="003877C3"/>
    <w:rsid w:val="0039283B"/>
    <w:rsid w:val="00396EA4"/>
    <w:rsid w:val="00397BFD"/>
    <w:rsid w:val="003A2157"/>
    <w:rsid w:val="003A3363"/>
    <w:rsid w:val="003A3905"/>
    <w:rsid w:val="003A3CC1"/>
    <w:rsid w:val="003A591D"/>
    <w:rsid w:val="003A6635"/>
    <w:rsid w:val="003A6B0E"/>
    <w:rsid w:val="003A78C6"/>
    <w:rsid w:val="003B42C3"/>
    <w:rsid w:val="003B5562"/>
    <w:rsid w:val="003B5ADC"/>
    <w:rsid w:val="003B6363"/>
    <w:rsid w:val="003B6EFD"/>
    <w:rsid w:val="003B737F"/>
    <w:rsid w:val="003C0CF7"/>
    <w:rsid w:val="003C2E5D"/>
    <w:rsid w:val="003C59E0"/>
    <w:rsid w:val="003C6F2A"/>
    <w:rsid w:val="003D743C"/>
    <w:rsid w:val="003E24EE"/>
    <w:rsid w:val="003E33BA"/>
    <w:rsid w:val="003E6777"/>
    <w:rsid w:val="003E6BA0"/>
    <w:rsid w:val="003E73DB"/>
    <w:rsid w:val="003F0765"/>
    <w:rsid w:val="003F0ADC"/>
    <w:rsid w:val="003F283C"/>
    <w:rsid w:val="003F59E6"/>
    <w:rsid w:val="003F5BE6"/>
    <w:rsid w:val="003F642E"/>
    <w:rsid w:val="003F6C00"/>
    <w:rsid w:val="004120B1"/>
    <w:rsid w:val="00413E74"/>
    <w:rsid w:val="0041421D"/>
    <w:rsid w:val="0041490D"/>
    <w:rsid w:val="00414A5C"/>
    <w:rsid w:val="004156B4"/>
    <w:rsid w:val="0041697F"/>
    <w:rsid w:val="00420235"/>
    <w:rsid w:val="004223AA"/>
    <w:rsid w:val="00423002"/>
    <w:rsid w:val="00423104"/>
    <w:rsid w:val="004267D3"/>
    <w:rsid w:val="00427E2A"/>
    <w:rsid w:val="00431FB9"/>
    <w:rsid w:val="00433E65"/>
    <w:rsid w:val="00435079"/>
    <w:rsid w:val="004374B2"/>
    <w:rsid w:val="00441F02"/>
    <w:rsid w:val="00442AB8"/>
    <w:rsid w:val="004436EA"/>
    <w:rsid w:val="0044456C"/>
    <w:rsid w:val="00450B39"/>
    <w:rsid w:val="00453BC6"/>
    <w:rsid w:val="00454037"/>
    <w:rsid w:val="00454498"/>
    <w:rsid w:val="00456C59"/>
    <w:rsid w:val="004744B5"/>
    <w:rsid w:val="00475F26"/>
    <w:rsid w:val="00477931"/>
    <w:rsid w:val="00485F7F"/>
    <w:rsid w:val="004873DB"/>
    <w:rsid w:val="00490198"/>
    <w:rsid w:val="00490E28"/>
    <w:rsid w:val="00497362"/>
    <w:rsid w:val="00497C77"/>
    <w:rsid w:val="004A0AE7"/>
    <w:rsid w:val="004A523F"/>
    <w:rsid w:val="004A6062"/>
    <w:rsid w:val="004A673A"/>
    <w:rsid w:val="004A770F"/>
    <w:rsid w:val="004B0813"/>
    <w:rsid w:val="004B136A"/>
    <w:rsid w:val="004B1BC5"/>
    <w:rsid w:val="004B1F38"/>
    <w:rsid w:val="004B21C5"/>
    <w:rsid w:val="004B2EF6"/>
    <w:rsid w:val="004B34A6"/>
    <w:rsid w:val="004B5612"/>
    <w:rsid w:val="004B5AA7"/>
    <w:rsid w:val="004B6083"/>
    <w:rsid w:val="004B6927"/>
    <w:rsid w:val="004B7E5C"/>
    <w:rsid w:val="004C3CC4"/>
    <w:rsid w:val="004C4D5E"/>
    <w:rsid w:val="004D11ED"/>
    <w:rsid w:val="004D310E"/>
    <w:rsid w:val="004D37D8"/>
    <w:rsid w:val="004D4B81"/>
    <w:rsid w:val="004F4814"/>
    <w:rsid w:val="004F6B2B"/>
    <w:rsid w:val="005005DF"/>
    <w:rsid w:val="00505045"/>
    <w:rsid w:val="00510B96"/>
    <w:rsid w:val="00511501"/>
    <w:rsid w:val="00511B5B"/>
    <w:rsid w:val="00515AF2"/>
    <w:rsid w:val="0051640E"/>
    <w:rsid w:val="00516741"/>
    <w:rsid w:val="0051684E"/>
    <w:rsid w:val="00516FE2"/>
    <w:rsid w:val="00527ABC"/>
    <w:rsid w:val="00533895"/>
    <w:rsid w:val="0054193D"/>
    <w:rsid w:val="00542A8C"/>
    <w:rsid w:val="00542D59"/>
    <w:rsid w:val="00543637"/>
    <w:rsid w:val="00545DF7"/>
    <w:rsid w:val="00546CA2"/>
    <w:rsid w:val="005539F5"/>
    <w:rsid w:val="0055415C"/>
    <w:rsid w:val="00554AAC"/>
    <w:rsid w:val="0055503F"/>
    <w:rsid w:val="005572D7"/>
    <w:rsid w:val="00563797"/>
    <w:rsid w:val="005651B5"/>
    <w:rsid w:val="00566234"/>
    <w:rsid w:val="0057262B"/>
    <w:rsid w:val="00572EFC"/>
    <w:rsid w:val="00574D26"/>
    <w:rsid w:val="005815B3"/>
    <w:rsid w:val="00582A03"/>
    <w:rsid w:val="00587E37"/>
    <w:rsid w:val="00593821"/>
    <w:rsid w:val="00596E88"/>
    <w:rsid w:val="00597CBD"/>
    <w:rsid w:val="005A0969"/>
    <w:rsid w:val="005A5E7A"/>
    <w:rsid w:val="005B0DEF"/>
    <w:rsid w:val="005B2A03"/>
    <w:rsid w:val="005B3605"/>
    <w:rsid w:val="005B4C1B"/>
    <w:rsid w:val="005B7BC1"/>
    <w:rsid w:val="005C0CD9"/>
    <w:rsid w:val="005C2684"/>
    <w:rsid w:val="005C2DDC"/>
    <w:rsid w:val="005C5620"/>
    <w:rsid w:val="005C578C"/>
    <w:rsid w:val="005D1A6C"/>
    <w:rsid w:val="005D1F0F"/>
    <w:rsid w:val="005D29DB"/>
    <w:rsid w:val="005D41F9"/>
    <w:rsid w:val="005E4143"/>
    <w:rsid w:val="005E495B"/>
    <w:rsid w:val="005E724B"/>
    <w:rsid w:val="005E7C1A"/>
    <w:rsid w:val="005F79CF"/>
    <w:rsid w:val="00601F7C"/>
    <w:rsid w:val="00602A48"/>
    <w:rsid w:val="00602EF7"/>
    <w:rsid w:val="00606F11"/>
    <w:rsid w:val="00607B03"/>
    <w:rsid w:val="0061059D"/>
    <w:rsid w:val="0061326F"/>
    <w:rsid w:val="00614393"/>
    <w:rsid w:val="006146F2"/>
    <w:rsid w:val="00614C00"/>
    <w:rsid w:val="006200A2"/>
    <w:rsid w:val="00620E29"/>
    <w:rsid w:val="00623567"/>
    <w:rsid w:val="00631291"/>
    <w:rsid w:val="006412B5"/>
    <w:rsid w:val="00641932"/>
    <w:rsid w:val="00644083"/>
    <w:rsid w:val="0064429B"/>
    <w:rsid w:val="0064477C"/>
    <w:rsid w:val="0064674B"/>
    <w:rsid w:val="00650903"/>
    <w:rsid w:val="006544C6"/>
    <w:rsid w:val="006650A8"/>
    <w:rsid w:val="006679C0"/>
    <w:rsid w:val="00680ED5"/>
    <w:rsid w:val="00681956"/>
    <w:rsid w:val="00682FBA"/>
    <w:rsid w:val="00683370"/>
    <w:rsid w:val="00684EC1"/>
    <w:rsid w:val="006856E7"/>
    <w:rsid w:val="006903F9"/>
    <w:rsid w:val="00690489"/>
    <w:rsid w:val="006919EC"/>
    <w:rsid w:val="006923C8"/>
    <w:rsid w:val="00694A85"/>
    <w:rsid w:val="00696AB4"/>
    <w:rsid w:val="00697494"/>
    <w:rsid w:val="006976BF"/>
    <w:rsid w:val="006A0418"/>
    <w:rsid w:val="006A05D7"/>
    <w:rsid w:val="006A4628"/>
    <w:rsid w:val="006B3F39"/>
    <w:rsid w:val="006B4213"/>
    <w:rsid w:val="006B43AF"/>
    <w:rsid w:val="006B4DF0"/>
    <w:rsid w:val="006C1013"/>
    <w:rsid w:val="006C163A"/>
    <w:rsid w:val="006C1701"/>
    <w:rsid w:val="006C228B"/>
    <w:rsid w:val="006C2931"/>
    <w:rsid w:val="006C7938"/>
    <w:rsid w:val="006D466E"/>
    <w:rsid w:val="006D4B70"/>
    <w:rsid w:val="006D4C35"/>
    <w:rsid w:val="006D7A92"/>
    <w:rsid w:val="006E3B48"/>
    <w:rsid w:val="006E476B"/>
    <w:rsid w:val="006E6184"/>
    <w:rsid w:val="006E631B"/>
    <w:rsid w:val="006F096A"/>
    <w:rsid w:val="006F22E3"/>
    <w:rsid w:val="006F3095"/>
    <w:rsid w:val="006F5455"/>
    <w:rsid w:val="006F5CB6"/>
    <w:rsid w:val="006F79D3"/>
    <w:rsid w:val="00703194"/>
    <w:rsid w:val="00706E50"/>
    <w:rsid w:val="0070737C"/>
    <w:rsid w:val="00711229"/>
    <w:rsid w:val="00714477"/>
    <w:rsid w:val="00715018"/>
    <w:rsid w:val="007179FE"/>
    <w:rsid w:val="00717F25"/>
    <w:rsid w:val="007201B1"/>
    <w:rsid w:val="007201D7"/>
    <w:rsid w:val="007208F7"/>
    <w:rsid w:val="00724E14"/>
    <w:rsid w:val="00725AD5"/>
    <w:rsid w:val="00726DB5"/>
    <w:rsid w:val="00726EB4"/>
    <w:rsid w:val="00730A8E"/>
    <w:rsid w:val="00731945"/>
    <w:rsid w:val="007363DE"/>
    <w:rsid w:val="0073698D"/>
    <w:rsid w:val="00736C0B"/>
    <w:rsid w:val="00744D93"/>
    <w:rsid w:val="007455D1"/>
    <w:rsid w:val="00746531"/>
    <w:rsid w:val="00751725"/>
    <w:rsid w:val="00752028"/>
    <w:rsid w:val="0075450A"/>
    <w:rsid w:val="0075717D"/>
    <w:rsid w:val="0076017E"/>
    <w:rsid w:val="00760DB6"/>
    <w:rsid w:val="007635F1"/>
    <w:rsid w:val="0076361C"/>
    <w:rsid w:val="007661AE"/>
    <w:rsid w:val="00766A51"/>
    <w:rsid w:val="00771F77"/>
    <w:rsid w:val="00771FFF"/>
    <w:rsid w:val="00772818"/>
    <w:rsid w:val="0077685D"/>
    <w:rsid w:val="0077788E"/>
    <w:rsid w:val="00784439"/>
    <w:rsid w:val="00787E75"/>
    <w:rsid w:val="00792B6C"/>
    <w:rsid w:val="007947E3"/>
    <w:rsid w:val="00797257"/>
    <w:rsid w:val="007A3157"/>
    <w:rsid w:val="007A6E20"/>
    <w:rsid w:val="007B10ED"/>
    <w:rsid w:val="007B2B2E"/>
    <w:rsid w:val="007B3BFC"/>
    <w:rsid w:val="007B4B03"/>
    <w:rsid w:val="007C4F31"/>
    <w:rsid w:val="007E4A48"/>
    <w:rsid w:val="007E5257"/>
    <w:rsid w:val="007E5391"/>
    <w:rsid w:val="007F4EF5"/>
    <w:rsid w:val="00804105"/>
    <w:rsid w:val="00804DA8"/>
    <w:rsid w:val="00806D94"/>
    <w:rsid w:val="0080763D"/>
    <w:rsid w:val="00807AD8"/>
    <w:rsid w:val="00811800"/>
    <w:rsid w:val="0081206C"/>
    <w:rsid w:val="00812E1C"/>
    <w:rsid w:val="00813CFF"/>
    <w:rsid w:val="008140C5"/>
    <w:rsid w:val="00814590"/>
    <w:rsid w:val="00814667"/>
    <w:rsid w:val="008148E2"/>
    <w:rsid w:val="008149E4"/>
    <w:rsid w:val="008156B7"/>
    <w:rsid w:val="00817D90"/>
    <w:rsid w:val="00822355"/>
    <w:rsid w:val="0082332D"/>
    <w:rsid w:val="0082402C"/>
    <w:rsid w:val="00825FF5"/>
    <w:rsid w:val="008262F1"/>
    <w:rsid w:val="0082636E"/>
    <w:rsid w:val="008271E3"/>
    <w:rsid w:val="008311FA"/>
    <w:rsid w:val="008317EF"/>
    <w:rsid w:val="00845BCC"/>
    <w:rsid w:val="00851465"/>
    <w:rsid w:val="008514B8"/>
    <w:rsid w:val="00852ED8"/>
    <w:rsid w:val="0085330A"/>
    <w:rsid w:val="008550CA"/>
    <w:rsid w:val="0085533A"/>
    <w:rsid w:val="00855543"/>
    <w:rsid w:val="0085738D"/>
    <w:rsid w:val="0086032A"/>
    <w:rsid w:val="00862395"/>
    <w:rsid w:val="00864DD3"/>
    <w:rsid w:val="008708D6"/>
    <w:rsid w:val="00874608"/>
    <w:rsid w:val="008754FA"/>
    <w:rsid w:val="008760D0"/>
    <w:rsid w:val="00880117"/>
    <w:rsid w:val="00881317"/>
    <w:rsid w:val="008843EE"/>
    <w:rsid w:val="00892CA4"/>
    <w:rsid w:val="00893CB7"/>
    <w:rsid w:val="00896477"/>
    <w:rsid w:val="00896BD6"/>
    <w:rsid w:val="00896F5A"/>
    <w:rsid w:val="00897D40"/>
    <w:rsid w:val="008A35F3"/>
    <w:rsid w:val="008A3C37"/>
    <w:rsid w:val="008B1840"/>
    <w:rsid w:val="008B3A95"/>
    <w:rsid w:val="008B70D3"/>
    <w:rsid w:val="008B73A2"/>
    <w:rsid w:val="008B7FE2"/>
    <w:rsid w:val="008C0BBA"/>
    <w:rsid w:val="008C2450"/>
    <w:rsid w:val="008C7382"/>
    <w:rsid w:val="008C7817"/>
    <w:rsid w:val="008C7F5B"/>
    <w:rsid w:val="008D079A"/>
    <w:rsid w:val="008D2F40"/>
    <w:rsid w:val="008D5B52"/>
    <w:rsid w:val="008E0AD6"/>
    <w:rsid w:val="008E4209"/>
    <w:rsid w:val="008E48FC"/>
    <w:rsid w:val="008E55BD"/>
    <w:rsid w:val="008E7527"/>
    <w:rsid w:val="008F0C93"/>
    <w:rsid w:val="008F176F"/>
    <w:rsid w:val="008F2AD6"/>
    <w:rsid w:val="008F44F1"/>
    <w:rsid w:val="008F4BA8"/>
    <w:rsid w:val="008F5C07"/>
    <w:rsid w:val="008F696D"/>
    <w:rsid w:val="008F7777"/>
    <w:rsid w:val="00900C92"/>
    <w:rsid w:val="00901CF5"/>
    <w:rsid w:val="00901F53"/>
    <w:rsid w:val="00906431"/>
    <w:rsid w:val="009115AF"/>
    <w:rsid w:val="00913276"/>
    <w:rsid w:val="00920DB3"/>
    <w:rsid w:val="009221DF"/>
    <w:rsid w:val="009224FD"/>
    <w:rsid w:val="009260A6"/>
    <w:rsid w:val="00931D4A"/>
    <w:rsid w:val="0093296C"/>
    <w:rsid w:val="00935CC7"/>
    <w:rsid w:val="0094002F"/>
    <w:rsid w:val="00940A63"/>
    <w:rsid w:val="0094129D"/>
    <w:rsid w:val="00941BB7"/>
    <w:rsid w:val="00944760"/>
    <w:rsid w:val="00946A91"/>
    <w:rsid w:val="00946AE5"/>
    <w:rsid w:val="00950865"/>
    <w:rsid w:val="00951BAD"/>
    <w:rsid w:val="0095223D"/>
    <w:rsid w:val="009526E4"/>
    <w:rsid w:val="00952846"/>
    <w:rsid w:val="009538BC"/>
    <w:rsid w:val="00953AA1"/>
    <w:rsid w:val="00954B44"/>
    <w:rsid w:val="009644B8"/>
    <w:rsid w:val="0096732C"/>
    <w:rsid w:val="009703B6"/>
    <w:rsid w:val="00970E8F"/>
    <w:rsid w:val="00971A4C"/>
    <w:rsid w:val="00975EB5"/>
    <w:rsid w:val="00983979"/>
    <w:rsid w:val="00983DC2"/>
    <w:rsid w:val="00983DF0"/>
    <w:rsid w:val="0099104F"/>
    <w:rsid w:val="0099458D"/>
    <w:rsid w:val="0099742A"/>
    <w:rsid w:val="009A0446"/>
    <w:rsid w:val="009A062C"/>
    <w:rsid w:val="009A0667"/>
    <w:rsid w:val="009A2D72"/>
    <w:rsid w:val="009A48AF"/>
    <w:rsid w:val="009A522D"/>
    <w:rsid w:val="009A7D9D"/>
    <w:rsid w:val="009B0896"/>
    <w:rsid w:val="009B08A7"/>
    <w:rsid w:val="009B0C68"/>
    <w:rsid w:val="009B3F77"/>
    <w:rsid w:val="009B5132"/>
    <w:rsid w:val="009C166A"/>
    <w:rsid w:val="009C2059"/>
    <w:rsid w:val="009C6FFB"/>
    <w:rsid w:val="009C7EF5"/>
    <w:rsid w:val="009D0C93"/>
    <w:rsid w:val="009D2FAC"/>
    <w:rsid w:val="009E093C"/>
    <w:rsid w:val="009E1311"/>
    <w:rsid w:val="009E151E"/>
    <w:rsid w:val="009E171C"/>
    <w:rsid w:val="009E3ACF"/>
    <w:rsid w:val="009E5995"/>
    <w:rsid w:val="009E5DB6"/>
    <w:rsid w:val="009F777E"/>
    <w:rsid w:val="009F7F52"/>
    <w:rsid w:val="00A0202C"/>
    <w:rsid w:val="00A0227E"/>
    <w:rsid w:val="00A05358"/>
    <w:rsid w:val="00A05C1E"/>
    <w:rsid w:val="00A0603F"/>
    <w:rsid w:val="00A112E6"/>
    <w:rsid w:val="00A14966"/>
    <w:rsid w:val="00A15CAB"/>
    <w:rsid w:val="00A16E8F"/>
    <w:rsid w:val="00A17CCB"/>
    <w:rsid w:val="00A201DE"/>
    <w:rsid w:val="00A211A9"/>
    <w:rsid w:val="00A22AED"/>
    <w:rsid w:val="00A2422A"/>
    <w:rsid w:val="00A25265"/>
    <w:rsid w:val="00A26FC8"/>
    <w:rsid w:val="00A303A1"/>
    <w:rsid w:val="00A42386"/>
    <w:rsid w:val="00A44BA8"/>
    <w:rsid w:val="00A4777F"/>
    <w:rsid w:val="00A50751"/>
    <w:rsid w:val="00A50E72"/>
    <w:rsid w:val="00A54B81"/>
    <w:rsid w:val="00A54BE7"/>
    <w:rsid w:val="00A564EB"/>
    <w:rsid w:val="00A61571"/>
    <w:rsid w:val="00A6500A"/>
    <w:rsid w:val="00A65333"/>
    <w:rsid w:val="00A6719E"/>
    <w:rsid w:val="00A70B47"/>
    <w:rsid w:val="00A7231E"/>
    <w:rsid w:val="00A728AC"/>
    <w:rsid w:val="00A739F1"/>
    <w:rsid w:val="00A758DE"/>
    <w:rsid w:val="00A81191"/>
    <w:rsid w:val="00A8189A"/>
    <w:rsid w:val="00A81C2E"/>
    <w:rsid w:val="00A81EC4"/>
    <w:rsid w:val="00A83D84"/>
    <w:rsid w:val="00A8478F"/>
    <w:rsid w:val="00A858C4"/>
    <w:rsid w:val="00A9141E"/>
    <w:rsid w:val="00A9341B"/>
    <w:rsid w:val="00A974CA"/>
    <w:rsid w:val="00AA11A9"/>
    <w:rsid w:val="00AA2CD5"/>
    <w:rsid w:val="00AA4F6C"/>
    <w:rsid w:val="00AA734D"/>
    <w:rsid w:val="00AB16AE"/>
    <w:rsid w:val="00AB392A"/>
    <w:rsid w:val="00AB5801"/>
    <w:rsid w:val="00AB5A64"/>
    <w:rsid w:val="00AB6B09"/>
    <w:rsid w:val="00AB71A5"/>
    <w:rsid w:val="00AB76C6"/>
    <w:rsid w:val="00AB79E9"/>
    <w:rsid w:val="00AC5567"/>
    <w:rsid w:val="00AD04F4"/>
    <w:rsid w:val="00AD576C"/>
    <w:rsid w:val="00AD670F"/>
    <w:rsid w:val="00AD6C71"/>
    <w:rsid w:val="00AE1E4B"/>
    <w:rsid w:val="00AE1E54"/>
    <w:rsid w:val="00AE206D"/>
    <w:rsid w:val="00AE2AFD"/>
    <w:rsid w:val="00AE4372"/>
    <w:rsid w:val="00AE478A"/>
    <w:rsid w:val="00AE4CB3"/>
    <w:rsid w:val="00AF0C8D"/>
    <w:rsid w:val="00AF1F87"/>
    <w:rsid w:val="00B00778"/>
    <w:rsid w:val="00B04E8C"/>
    <w:rsid w:val="00B050C0"/>
    <w:rsid w:val="00B05642"/>
    <w:rsid w:val="00B059BE"/>
    <w:rsid w:val="00B06097"/>
    <w:rsid w:val="00B10045"/>
    <w:rsid w:val="00B100DF"/>
    <w:rsid w:val="00B10CAE"/>
    <w:rsid w:val="00B10DE3"/>
    <w:rsid w:val="00B12190"/>
    <w:rsid w:val="00B1294B"/>
    <w:rsid w:val="00B12A36"/>
    <w:rsid w:val="00B137C3"/>
    <w:rsid w:val="00B171BB"/>
    <w:rsid w:val="00B2247A"/>
    <w:rsid w:val="00B35ECB"/>
    <w:rsid w:val="00B36551"/>
    <w:rsid w:val="00B36E9E"/>
    <w:rsid w:val="00B37069"/>
    <w:rsid w:val="00B40E38"/>
    <w:rsid w:val="00B43F9D"/>
    <w:rsid w:val="00B442EE"/>
    <w:rsid w:val="00B45C9E"/>
    <w:rsid w:val="00B47502"/>
    <w:rsid w:val="00B51ACE"/>
    <w:rsid w:val="00B619AA"/>
    <w:rsid w:val="00B623D7"/>
    <w:rsid w:val="00B64CA1"/>
    <w:rsid w:val="00B66E7A"/>
    <w:rsid w:val="00B7206D"/>
    <w:rsid w:val="00B8096A"/>
    <w:rsid w:val="00B91564"/>
    <w:rsid w:val="00B9206A"/>
    <w:rsid w:val="00B9279E"/>
    <w:rsid w:val="00B94C4C"/>
    <w:rsid w:val="00B95BEF"/>
    <w:rsid w:val="00BA1CFA"/>
    <w:rsid w:val="00BA30D9"/>
    <w:rsid w:val="00BA3AE7"/>
    <w:rsid w:val="00BA3D5F"/>
    <w:rsid w:val="00BA4284"/>
    <w:rsid w:val="00BB4A9E"/>
    <w:rsid w:val="00BC1029"/>
    <w:rsid w:val="00BC2661"/>
    <w:rsid w:val="00BC2720"/>
    <w:rsid w:val="00BC4728"/>
    <w:rsid w:val="00BC4BF4"/>
    <w:rsid w:val="00BC58DB"/>
    <w:rsid w:val="00BC60B3"/>
    <w:rsid w:val="00BC6EB0"/>
    <w:rsid w:val="00BD2253"/>
    <w:rsid w:val="00BD5137"/>
    <w:rsid w:val="00BD55F8"/>
    <w:rsid w:val="00BD7496"/>
    <w:rsid w:val="00BE042D"/>
    <w:rsid w:val="00BE4802"/>
    <w:rsid w:val="00BE7212"/>
    <w:rsid w:val="00BE7AA7"/>
    <w:rsid w:val="00BF044C"/>
    <w:rsid w:val="00BF0D7C"/>
    <w:rsid w:val="00BF13D9"/>
    <w:rsid w:val="00BF331F"/>
    <w:rsid w:val="00C0310C"/>
    <w:rsid w:val="00C053A4"/>
    <w:rsid w:val="00C05CC6"/>
    <w:rsid w:val="00C068C7"/>
    <w:rsid w:val="00C073C2"/>
    <w:rsid w:val="00C13C12"/>
    <w:rsid w:val="00C160F4"/>
    <w:rsid w:val="00C20F99"/>
    <w:rsid w:val="00C2120D"/>
    <w:rsid w:val="00C215E7"/>
    <w:rsid w:val="00C21E86"/>
    <w:rsid w:val="00C233E9"/>
    <w:rsid w:val="00C23412"/>
    <w:rsid w:val="00C257AE"/>
    <w:rsid w:val="00C2605C"/>
    <w:rsid w:val="00C26C5B"/>
    <w:rsid w:val="00C2711B"/>
    <w:rsid w:val="00C303B4"/>
    <w:rsid w:val="00C31639"/>
    <w:rsid w:val="00C40EBC"/>
    <w:rsid w:val="00C41265"/>
    <w:rsid w:val="00C41803"/>
    <w:rsid w:val="00C4202E"/>
    <w:rsid w:val="00C42ACA"/>
    <w:rsid w:val="00C51308"/>
    <w:rsid w:val="00C51F78"/>
    <w:rsid w:val="00C539F8"/>
    <w:rsid w:val="00C53A47"/>
    <w:rsid w:val="00C57BB9"/>
    <w:rsid w:val="00C606F6"/>
    <w:rsid w:val="00C6082E"/>
    <w:rsid w:val="00C61699"/>
    <w:rsid w:val="00C62B02"/>
    <w:rsid w:val="00C64908"/>
    <w:rsid w:val="00C67A84"/>
    <w:rsid w:val="00C705B5"/>
    <w:rsid w:val="00C7093C"/>
    <w:rsid w:val="00C738BD"/>
    <w:rsid w:val="00C75D40"/>
    <w:rsid w:val="00C83627"/>
    <w:rsid w:val="00C85E44"/>
    <w:rsid w:val="00C91EDE"/>
    <w:rsid w:val="00C92EA4"/>
    <w:rsid w:val="00C92F94"/>
    <w:rsid w:val="00C95D81"/>
    <w:rsid w:val="00C960AA"/>
    <w:rsid w:val="00CA121E"/>
    <w:rsid w:val="00CA1C09"/>
    <w:rsid w:val="00CA501D"/>
    <w:rsid w:val="00CA55C4"/>
    <w:rsid w:val="00CA6596"/>
    <w:rsid w:val="00CB1789"/>
    <w:rsid w:val="00CB1CB2"/>
    <w:rsid w:val="00CB2557"/>
    <w:rsid w:val="00CB44C4"/>
    <w:rsid w:val="00CB47FE"/>
    <w:rsid w:val="00CB4D35"/>
    <w:rsid w:val="00CB6703"/>
    <w:rsid w:val="00CC39B1"/>
    <w:rsid w:val="00CC52E0"/>
    <w:rsid w:val="00CD526B"/>
    <w:rsid w:val="00CD5A2E"/>
    <w:rsid w:val="00CD5B93"/>
    <w:rsid w:val="00CD7039"/>
    <w:rsid w:val="00CD7C75"/>
    <w:rsid w:val="00CE3B32"/>
    <w:rsid w:val="00CE4A24"/>
    <w:rsid w:val="00CE613B"/>
    <w:rsid w:val="00CE7403"/>
    <w:rsid w:val="00CF0826"/>
    <w:rsid w:val="00CF0D8A"/>
    <w:rsid w:val="00CF267F"/>
    <w:rsid w:val="00CF7DA0"/>
    <w:rsid w:val="00D00267"/>
    <w:rsid w:val="00D01D30"/>
    <w:rsid w:val="00D0312C"/>
    <w:rsid w:val="00D04614"/>
    <w:rsid w:val="00D1723F"/>
    <w:rsid w:val="00D26B64"/>
    <w:rsid w:val="00D30AA4"/>
    <w:rsid w:val="00D30CE5"/>
    <w:rsid w:val="00D33798"/>
    <w:rsid w:val="00D3674A"/>
    <w:rsid w:val="00D40383"/>
    <w:rsid w:val="00D4085D"/>
    <w:rsid w:val="00D41392"/>
    <w:rsid w:val="00D428F4"/>
    <w:rsid w:val="00D434F3"/>
    <w:rsid w:val="00D46E83"/>
    <w:rsid w:val="00D46EA0"/>
    <w:rsid w:val="00D47F97"/>
    <w:rsid w:val="00D51386"/>
    <w:rsid w:val="00D52914"/>
    <w:rsid w:val="00D5485B"/>
    <w:rsid w:val="00D57346"/>
    <w:rsid w:val="00D61911"/>
    <w:rsid w:val="00D62258"/>
    <w:rsid w:val="00D625A7"/>
    <w:rsid w:val="00D677F9"/>
    <w:rsid w:val="00D702F1"/>
    <w:rsid w:val="00D711D4"/>
    <w:rsid w:val="00D729FA"/>
    <w:rsid w:val="00D7336A"/>
    <w:rsid w:val="00D73591"/>
    <w:rsid w:val="00D802FC"/>
    <w:rsid w:val="00D81155"/>
    <w:rsid w:val="00D8532B"/>
    <w:rsid w:val="00D85463"/>
    <w:rsid w:val="00D854F0"/>
    <w:rsid w:val="00D9592B"/>
    <w:rsid w:val="00D973A5"/>
    <w:rsid w:val="00DA205D"/>
    <w:rsid w:val="00DA3678"/>
    <w:rsid w:val="00DA5051"/>
    <w:rsid w:val="00DA7233"/>
    <w:rsid w:val="00DB2B27"/>
    <w:rsid w:val="00DB306B"/>
    <w:rsid w:val="00DC4654"/>
    <w:rsid w:val="00DC4A28"/>
    <w:rsid w:val="00DC4D62"/>
    <w:rsid w:val="00DC50E5"/>
    <w:rsid w:val="00DC6208"/>
    <w:rsid w:val="00DC76C7"/>
    <w:rsid w:val="00DD023E"/>
    <w:rsid w:val="00DD04BD"/>
    <w:rsid w:val="00DD639D"/>
    <w:rsid w:val="00DE0CDF"/>
    <w:rsid w:val="00DE311A"/>
    <w:rsid w:val="00DE36EB"/>
    <w:rsid w:val="00DE4A6C"/>
    <w:rsid w:val="00DE5F59"/>
    <w:rsid w:val="00DE64C1"/>
    <w:rsid w:val="00DF4871"/>
    <w:rsid w:val="00DF5477"/>
    <w:rsid w:val="00DF5BAB"/>
    <w:rsid w:val="00E10555"/>
    <w:rsid w:val="00E11087"/>
    <w:rsid w:val="00E110B3"/>
    <w:rsid w:val="00E16E0A"/>
    <w:rsid w:val="00E204BB"/>
    <w:rsid w:val="00E220BC"/>
    <w:rsid w:val="00E31096"/>
    <w:rsid w:val="00E33938"/>
    <w:rsid w:val="00E33B44"/>
    <w:rsid w:val="00E33F03"/>
    <w:rsid w:val="00E354D8"/>
    <w:rsid w:val="00E3658A"/>
    <w:rsid w:val="00E3706A"/>
    <w:rsid w:val="00E3738B"/>
    <w:rsid w:val="00E37446"/>
    <w:rsid w:val="00E37730"/>
    <w:rsid w:val="00E4099E"/>
    <w:rsid w:val="00E456AA"/>
    <w:rsid w:val="00E5201F"/>
    <w:rsid w:val="00E579FF"/>
    <w:rsid w:val="00E63890"/>
    <w:rsid w:val="00E63F24"/>
    <w:rsid w:val="00E6698B"/>
    <w:rsid w:val="00E7195E"/>
    <w:rsid w:val="00E72F4A"/>
    <w:rsid w:val="00E74154"/>
    <w:rsid w:val="00E7467D"/>
    <w:rsid w:val="00E82115"/>
    <w:rsid w:val="00E82169"/>
    <w:rsid w:val="00E832FF"/>
    <w:rsid w:val="00E83448"/>
    <w:rsid w:val="00E838D3"/>
    <w:rsid w:val="00E90BF8"/>
    <w:rsid w:val="00E92C8A"/>
    <w:rsid w:val="00E9346D"/>
    <w:rsid w:val="00E97317"/>
    <w:rsid w:val="00EA21BF"/>
    <w:rsid w:val="00EA594C"/>
    <w:rsid w:val="00EA7329"/>
    <w:rsid w:val="00EA7A1C"/>
    <w:rsid w:val="00EB5170"/>
    <w:rsid w:val="00EB7EDA"/>
    <w:rsid w:val="00EC3033"/>
    <w:rsid w:val="00EC3E78"/>
    <w:rsid w:val="00EC4472"/>
    <w:rsid w:val="00EC5206"/>
    <w:rsid w:val="00EC5D22"/>
    <w:rsid w:val="00EC66DE"/>
    <w:rsid w:val="00EC7632"/>
    <w:rsid w:val="00ED0175"/>
    <w:rsid w:val="00ED0AC8"/>
    <w:rsid w:val="00ED2AC4"/>
    <w:rsid w:val="00ED3C15"/>
    <w:rsid w:val="00ED4036"/>
    <w:rsid w:val="00EE041B"/>
    <w:rsid w:val="00EE2397"/>
    <w:rsid w:val="00EE36E4"/>
    <w:rsid w:val="00EE5671"/>
    <w:rsid w:val="00EE57AC"/>
    <w:rsid w:val="00EE74C4"/>
    <w:rsid w:val="00EE7D29"/>
    <w:rsid w:val="00EF33DE"/>
    <w:rsid w:val="00EF6486"/>
    <w:rsid w:val="00EF72D4"/>
    <w:rsid w:val="00F0239B"/>
    <w:rsid w:val="00F0563E"/>
    <w:rsid w:val="00F05CD0"/>
    <w:rsid w:val="00F073D4"/>
    <w:rsid w:val="00F07E03"/>
    <w:rsid w:val="00F11A23"/>
    <w:rsid w:val="00F11DDE"/>
    <w:rsid w:val="00F120E6"/>
    <w:rsid w:val="00F12ACD"/>
    <w:rsid w:val="00F158F7"/>
    <w:rsid w:val="00F16589"/>
    <w:rsid w:val="00F2068C"/>
    <w:rsid w:val="00F234AB"/>
    <w:rsid w:val="00F24478"/>
    <w:rsid w:val="00F266D6"/>
    <w:rsid w:val="00F31DE0"/>
    <w:rsid w:val="00F3245D"/>
    <w:rsid w:val="00F34E70"/>
    <w:rsid w:val="00F4377A"/>
    <w:rsid w:val="00F45E99"/>
    <w:rsid w:val="00F46237"/>
    <w:rsid w:val="00F47765"/>
    <w:rsid w:val="00F501C6"/>
    <w:rsid w:val="00F50D3E"/>
    <w:rsid w:val="00F52B8B"/>
    <w:rsid w:val="00F630DB"/>
    <w:rsid w:val="00F630EF"/>
    <w:rsid w:val="00F6403E"/>
    <w:rsid w:val="00F65637"/>
    <w:rsid w:val="00F71346"/>
    <w:rsid w:val="00F715F2"/>
    <w:rsid w:val="00F730C7"/>
    <w:rsid w:val="00F76C87"/>
    <w:rsid w:val="00F8684A"/>
    <w:rsid w:val="00F92F1A"/>
    <w:rsid w:val="00F94C3D"/>
    <w:rsid w:val="00F95D26"/>
    <w:rsid w:val="00F979C5"/>
    <w:rsid w:val="00FA0CBF"/>
    <w:rsid w:val="00FA0E45"/>
    <w:rsid w:val="00FA2EC0"/>
    <w:rsid w:val="00FA4E87"/>
    <w:rsid w:val="00FA64FD"/>
    <w:rsid w:val="00FB12D6"/>
    <w:rsid w:val="00FB1C2D"/>
    <w:rsid w:val="00FB4200"/>
    <w:rsid w:val="00FB5750"/>
    <w:rsid w:val="00FB6A2E"/>
    <w:rsid w:val="00FC055C"/>
    <w:rsid w:val="00FC0DAF"/>
    <w:rsid w:val="00FD22C5"/>
    <w:rsid w:val="00FD4437"/>
    <w:rsid w:val="00FE26A5"/>
    <w:rsid w:val="00FE347C"/>
    <w:rsid w:val="00FE4A16"/>
    <w:rsid w:val="00FF4E35"/>
    <w:rsid w:val="00FF5029"/>
    <w:rsid w:val="00FF67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15DD70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w:uiPriority="99"/>
    <w:lsdException w:name="Title" w:uiPriority="10" w:qFormat="1"/>
    <w:lsdException w:name="Default Paragraph Font" w:uiPriority="1"/>
    <w:lsdException w:name="Subtitle" w:uiPriority="11" w:qFormat="1"/>
    <w:lsdException w:name="Hyperlink" w:uiPriority="99"/>
    <w:lsdException w:name="FollowedHyperlink" w:uiPriority="99"/>
    <w:lsdException w:name="Strong" w:qFormat="1"/>
    <w:lsdException w:name="Emphasis" w:qFormat="1"/>
    <w:lsdException w:name="Document Map" w:uiPriority="99"/>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1386"/>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numPr>
        <w:ilvl w:val="8"/>
        <w:numId w:val="19"/>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36"/>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semiHidden/>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tabs>
        <w:tab w:val="num" w:pos="283"/>
        <w:tab w:val="num" w:pos="566"/>
      </w:tabs>
      <w:ind w:left="566" w:hanging="283"/>
    </w:pPr>
  </w:style>
  <w:style w:type="paragraph" w:customStyle="1" w:styleId="Dash">
    <w:name w:val="Dash"/>
    <w:basedOn w:val="Normal"/>
    <w:rsid w:val="00D51386"/>
    <w:pPr>
      <w:numPr>
        <w:ilvl w:val="1"/>
        <w:numId w:val="12"/>
      </w:numPr>
      <w:tabs>
        <w:tab w:val="num" w:pos="567"/>
        <w:tab w:val="num" w:pos="850"/>
      </w:tabs>
      <w:ind w:left="850" w:hanging="284"/>
    </w:pPr>
  </w:style>
  <w:style w:type="paragraph" w:customStyle="1" w:styleId="DoubleDot">
    <w:name w:val="Double Dot"/>
    <w:basedOn w:val="Normal"/>
    <w:rsid w:val="00D51386"/>
    <w:pPr>
      <w:numPr>
        <w:ilvl w:val="2"/>
        <w:numId w:val="12"/>
      </w:numPr>
      <w:tabs>
        <w:tab w:val="num" w:pos="850"/>
        <w:tab w:val="num" w:pos="1133"/>
      </w:tabs>
      <w:ind w:left="1133" w:hanging="283"/>
    </w:pPr>
  </w:style>
  <w:style w:type="paragraph" w:customStyle="1" w:styleId="OutlineNumbered1">
    <w:name w:val="Outline Numbered 1"/>
    <w:basedOn w:val="Normal"/>
    <w:rsid w:val="00D51386"/>
    <w:pPr>
      <w:numPr>
        <w:numId w:val="9"/>
      </w:numPr>
    </w:pPr>
  </w:style>
  <w:style w:type="paragraph" w:customStyle="1" w:styleId="OutlineNumbered2">
    <w:name w:val="Outline Numbered 2"/>
    <w:basedOn w:val="Normal"/>
    <w:rsid w:val="00D51386"/>
    <w:pPr>
      <w:numPr>
        <w:ilvl w:val="1"/>
        <w:numId w:val="9"/>
      </w:numPr>
    </w:pPr>
  </w:style>
  <w:style w:type="paragraph" w:customStyle="1" w:styleId="OutlineNumbered3">
    <w:name w:val="Outline Numbered 3"/>
    <w:basedOn w:val="Normal"/>
    <w:rsid w:val="00D51386"/>
    <w:pPr>
      <w:numPr>
        <w:ilvl w:val="2"/>
        <w:numId w:val="9"/>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10"/>
      </w:numPr>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semiHidden/>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semiHidden/>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12"/>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11"/>
      </w:numPr>
    </w:pPr>
  </w:style>
  <w:style w:type="paragraph" w:customStyle="1" w:styleId="BoxDash">
    <w:name w:val="Box Dash"/>
    <w:basedOn w:val="Normal"/>
    <w:uiPriority w:val="99"/>
    <w:rsid w:val="00D51386"/>
    <w:pPr>
      <w:numPr>
        <w:ilvl w:val="1"/>
        <w:numId w:val="11"/>
      </w:numPr>
    </w:pPr>
  </w:style>
  <w:style w:type="paragraph" w:customStyle="1" w:styleId="BoxDoubleDot">
    <w:name w:val="Box Double Dot"/>
    <w:basedOn w:val="BoxTextBase"/>
    <w:uiPriority w:val="99"/>
    <w:rsid w:val="00D51386"/>
    <w:pPr>
      <w:numPr>
        <w:ilvl w:val="2"/>
        <w:numId w:val="11"/>
      </w:numPr>
    </w:pPr>
  </w:style>
  <w:style w:type="paragraph" w:customStyle="1" w:styleId="RecommendationBullet">
    <w:name w:val="Recommendation Bullet"/>
    <w:basedOn w:val="RecommendationTextBase"/>
    <w:rsid w:val="00D51386"/>
    <w:pPr>
      <w:numPr>
        <w:numId w:val="13"/>
      </w:numPr>
    </w:pPr>
  </w:style>
  <w:style w:type="paragraph" w:customStyle="1" w:styleId="RecommendationDash">
    <w:name w:val="Recommendation Dash"/>
    <w:basedOn w:val="RecommendationTextBase"/>
    <w:rsid w:val="00D51386"/>
    <w:pPr>
      <w:numPr>
        <w:ilvl w:val="1"/>
        <w:numId w:val="13"/>
      </w:numPr>
    </w:pPr>
  </w:style>
  <w:style w:type="paragraph" w:customStyle="1" w:styleId="RecommendationDoubleDot">
    <w:name w:val="Recommendation Double Dot"/>
    <w:basedOn w:val="RecommendationTextBase"/>
    <w:rsid w:val="00D51386"/>
    <w:pPr>
      <w:numPr>
        <w:ilvl w:val="2"/>
        <w:numId w:val="13"/>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rsid w:val="00D51386"/>
    <w:pPr>
      <w:numPr>
        <w:numId w:val="2"/>
      </w:numPr>
    </w:pPr>
  </w:style>
  <w:style w:type="paragraph" w:customStyle="1" w:styleId="Romannumeral">
    <w:name w:val="Roman numeral"/>
    <w:basedOn w:val="Normal"/>
    <w:rsid w:val="00D51386"/>
    <w:pPr>
      <w:numPr>
        <w:numId w:val="17"/>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numPr>
        <w:numId w:val="20"/>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tabs>
        <w:tab w:val="clear" w:pos="283"/>
      </w:tabs>
      <w:spacing w:before="40" w:after="60"/>
      <w:ind w:left="0" w:firstLine="0"/>
    </w:pPr>
  </w:style>
  <w:style w:type="paragraph" w:customStyle="1" w:styleId="ScheduleList">
    <w:name w:val="ScheduleList"/>
    <w:basedOn w:val="Normal"/>
    <w:rsid w:val="00D51386"/>
    <w:pPr>
      <w:numPr>
        <w:numId w:val="14"/>
      </w:numPr>
    </w:pPr>
    <w:rPr>
      <w:b/>
    </w:rPr>
  </w:style>
  <w:style w:type="paragraph" w:customStyle="1" w:styleId="ScheduleListSubHeading">
    <w:name w:val="ScheduleListSubHeading"/>
    <w:basedOn w:val="ScheduleList"/>
    <w:rsid w:val="00D51386"/>
    <w:pPr>
      <w:numPr>
        <w:ilvl w:val="1"/>
      </w:numPr>
      <w:tabs>
        <w:tab w:val="num" w:pos="567"/>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pPr>
      <w:numPr>
        <w:ilvl w:val="1"/>
        <w:numId w:val="20"/>
      </w:numPr>
      <w:tabs>
        <w:tab w:val="num" w:pos="2268"/>
      </w:tabs>
    </w:pPr>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15"/>
      </w:numPr>
    </w:pPr>
  </w:style>
  <w:style w:type="paragraph" w:customStyle="1" w:styleId="AgreementParties">
    <w:name w:val="AgreementParties"/>
    <w:rsid w:val="00D51386"/>
    <w:pPr>
      <w:numPr>
        <w:numId w:val="18"/>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22"/>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23"/>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24"/>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24"/>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24"/>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24"/>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24"/>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24"/>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24"/>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24"/>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24"/>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PlainText">
    <w:name w:val="Plain Text"/>
    <w:basedOn w:val="Normal"/>
    <w:link w:val="PlainTextChar"/>
    <w:uiPriority w:val="99"/>
    <w:unhideWhenUsed/>
    <w:rsid w:val="001A5EBE"/>
    <w:pPr>
      <w:spacing w:after="0" w:line="240" w:lineRule="auto"/>
      <w:jc w:val="left"/>
    </w:pPr>
    <w:rPr>
      <w:rFonts w:ascii="Calibri" w:hAnsi="Calibri"/>
      <w:color w:val="auto"/>
      <w:sz w:val="22"/>
      <w:szCs w:val="21"/>
      <w:lang w:eastAsia="en-US"/>
    </w:rPr>
  </w:style>
  <w:style w:type="character" w:customStyle="1" w:styleId="PlainTextChar">
    <w:name w:val="Plain Text Char"/>
    <w:basedOn w:val="DefaultParagraphFont"/>
    <w:link w:val="PlainText"/>
    <w:uiPriority w:val="99"/>
    <w:locked/>
    <w:rsid w:val="001A5EBE"/>
    <w:rPr>
      <w:rFonts w:ascii="Calibri" w:hAnsi="Calibri" w:cs="Times New Roman"/>
      <w:sz w:val="21"/>
      <w:szCs w:val="21"/>
      <w:lang w:val="x-none" w:eastAsia="en-US"/>
    </w:rPr>
  </w:style>
  <w:style w:type="paragraph" w:styleId="Revision">
    <w:name w:val="Revision"/>
    <w:hidden/>
    <w:uiPriority w:val="99"/>
    <w:semiHidden/>
    <w:rsid w:val="007208F7"/>
    <w:rPr>
      <w:rFonts w:ascii="Corbel" w:hAnsi="Corbel"/>
      <w:color w:val="000000"/>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w:uiPriority="99"/>
    <w:lsdException w:name="Title" w:uiPriority="10" w:qFormat="1"/>
    <w:lsdException w:name="Default Paragraph Font" w:uiPriority="1"/>
    <w:lsdException w:name="Subtitle" w:uiPriority="11" w:qFormat="1"/>
    <w:lsdException w:name="Hyperlink" w:uiPriority="99"/>
    <w:lsdException w:name="FollowedHyperlink" w:uiPriority="99"/>
    <w:lsdException w:name="Strong" w:qFormat="1"/>
    <w:lsdException w:name="Emphasis" w:qFormat="1"/>
    <w:lsdException w:name="Document Map" w:uiPriority="99"/>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1386"/>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numPr>
        <w:ilvl w:val="8"/>
        <w:numId w:val="19"/>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36"/>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semiHidden/>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tabs>
        <w:tab w:val="num" w:pos="283"/>
        <w:tab w:val="num" w:pos="566"/>
      </w:tabs>
      <w:ind w:left="566" w:hanging="283"/>
    </w:pPr>
  </w:style>
  <w:style w:type="paragraph" w:customStyle="1" w:styleId="Dash">
    <w:name w:val="Dash"/>
    <w:basedOn w:val="Normal"/>
    <w:rsid w:val="00D51386"/>
    <w:pPr>
      <w:numPr>
        <w:ilvl w:val="1"/>
        <w:numId w:val="12"/>
      </w:numPr>
      <w:tabs>
        <w:tab w:val="num" w:pos="567"/>
        <w:tab w:val="num" w:pos="850"/>
      </w:tabs>
      <w:ind w:left="850" w:hanging="284"/>
    </w:pPr>
  </w:style>
  <w:style w:type="paragraph" w:customStyle="1" w:styleId="DoubleDot">
    <w:name w:val="Double Dot"/>
    <w:basedOn w:val="Normal"/>
    <w:rsid w:val="00D51386"/>
    <w:pPr>
      <w:numPr>
        <w:ilvl w:val="2"/>
        <w:numId w:val="12"/>
      </w:numPr>
      <w:tabs>
        <w:tab w:val="num" w:pos="850"/>
        <w:tab w:val="num" w:pos="1133"/>
      </w:tabs>
      <w:ind w:left="1133" w:hanging="283"/>
    </w:pPr>
  </w:style>
  <w:style w:type="paragraph" w:customStyle="1" w:styleId="OutlineNumbered1">
    <w:name w:val="Outline Numbered 1"/>
    <w:basedOn w:val="Normal"/>
    <w:rsid w:val="00D51386"/>
    <w:pPr>
      <w:numPr>
        <w:numId w:val="9"/>
      </w:numPr>
    </w:pPr>
  </w:style>
  <w:style w:type="paragraph" w:customStyle="1" w:styleId="OutlineNumbered2">
    <w:name w:val="Outline Numbered 2"/>
    <w:basedOn w:val="Normal"/>
    <w:rsid w:val="00D51386"/>
    <w:pPr>
      <w:numPr>
        <w:ilvl w:val="1"/>
        <w:numId w:val="9"/>
      </w:numPr>
    </w:pPr>
  </w:style>
  <w:style w:type="paragraph" w:customStyle="1" w:styleId="OutlineNumbered3">
    <w:name w:val="Outline Numbered 3"/>
    <w:basedOn w:val="Normal"/>
    <w:rsid w:val="00D51386"/>
    <w:pPr>
      <w:numPr>
        <w:ilvl w:val="2"/>
        <w:numId w:val="9"/>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10"/>
      </w:numPr>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semiHidden/>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semiHidden/>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12"/>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11"/>
      </w:numPr>
    </w:pPr>
  </w:style>
  <w:style w:type="paragraph" w:customStyle="1" w:styleId="BoxDash">
    <w:name w:val="Box Dash"/>
    <w:basedOn w:val="Normal"/>
    <w:uiPriority w:val="99"/>
    <w:rsid w:val="00D51386"/>
    <w:pPr>
      <w:numPr>
        <w:ilvl w:val="1"/>
        <w:numId w:val="11"/>
      </w:numPr>
    </w:pPr>
  </w:style>
  <w:style w:type="paragraph" w:customStyle="1" w:styleId="BoxDoubleDot">
    <w:name w:val="Box Double Dot"/>
    <w:basedOn w:val="BoxTextBase"/>
    <w:uiPriority w:val="99"/>
    <w:rsid w:val="00D51386"/>
    <w:pPr>
      <w:numPr>
        <w:ilvl w:val="2"/>
        <w:numId w:val="11"/>
      </w:numPr>
    </w:pPr>
  </w:style>
  <w:style w:type="paragraph" w:customStyle="1" w:styleId="RecommendationBullet">
    <w:name w:val="Recommendation Bullet"/>
    <w:basedOn w:val="RecommendationTextBase"/>
    <w:rsid w:val="00D51386"/>
    <w:pPr>
      <w:numPr>
        <w:numId w:val="13"/>
      </w:numPr>
    </w:pPr>
  </w:style>
  <w:style w:type="paragraph" w:customStyle="1" w:styleId="RecommendationDash">
    <w:name w:val="Recommendation Dash"/>
    <w:basedOn w:val="RecommendationTextBase"/>
    <w:rsid w:val="00D51386"/>
    <w:pPr>
      <w:numPr>
        <w:ilvl w:val="1"/>
        <w:numId w:val="13"/>
      </w:numPr>
    </w:pPr>
  </w:style>
  <w:style w:type="paragraph" w:customStyle="1" w:styleId="RecommendationDoubleDot">
    <w:name w:val="Recommendation Double Dot"/>
    <w:basedOn w:val="RecommendationTextBase"/>
    <w:rsid w:val="00D51386"/>
    <w:pPr>
      <w:numPr>
        <w:ilvl w:val="2"/>
        <w:numId w:val="13"/>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rsid w:val="00D51386"/>
    <w:pPr>
      <w:numPr>
        <w:numId w:val="2"/>
      </w:numPr>
    </w:pPr>
  </w:style>
  <w:style w:type="paragraph" w:customStyle="1" w:styleId="Romannumeral">
    <w:name w:val="Roman numeral"/>
    <w:basedOn w:val="Normal"/>
    <w:rsid w:val="00D51386"/>
    <w:pPr>
      <w:numPr>
        <w:numId w:val="17"/>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numPr>
        <w:numId w:val="20"/>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tabs>
        <w:tab w:val="clear" w:pos="283"/>
      </w:tabs>
      <w:spacing w:before="40" w:after="60"/>
      <w:ind w:left="0" w:firstLine="0"/>
    </w:pPr>
  </w:style>
  <w:style w:type="paragraph" w:customStyle="1" w:styleId="ScheduleList">
    <w:name w:val="ScheduleList"/>
    <w:basedOn w:val="Normal"/>
    <w:rsid w:val="00D51386"/>
    <w:pPr>
      <w:numPr>
        <w:numId w:val="14"/>
      </w:numPr>
    </w:pPr>
    <w:rPr>
      <w:b/>
    </w:rPr>
  </w:style>
  <w:style w:type="paragraph" w:customStyle="1" w:styleId="ScheduleListSubHeading">
    <w:name w:val="ScheduleListSubHeading"/>
    <w:basedOn w:val="ScheduleList"/>
    <w:rsid w:val="00D51386"/>
    <w:pPr>
      <w:numPr>
        <w:ilvl w:val="1"/>
      </w:numPr>
      <w:tabs>
        <w:tab w:val="num" w:pos="567"/>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pPr>
      <w:numPr>
        <w:ilvl w:val="1"/>
        <w:numId w:val="20"/>
      </w:numPr>
      <w:tabs>
        <w:tab w:val="num" w:pos="2268"/>
      </w:tabs>
    </w:pPr>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15"/>
      </w:numPr>
    </w:pPr>
  </w:style>
  <w:style w:type="paragraph" w:customStyle="1" w:styleId="AgreementParties">
    <w:name w:val="AgreementParties"/>
    <w:rsid w:val="00D51386"/>
    <w:pPr>
      <w:numPr>
        <w:numId w:val="18"/>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22"/>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23"/>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24"/>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24"/>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24"/>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24"/>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24"/>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24"/>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24"/>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24"/>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24"/>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PlainText">
    <w:name w:val="Plain Text"/>
    <w:basedOn w:val="Normal"/>
    <w:link w:val="PlainTextChar"/>
    <w:uiPriority w:val="99"/>
    <w:unhideWhenUsed/>
    <w:rsid w:val="001A5EBE"/>
    <w:pPr>
      <w:spacing w:after="0" w:line="240" w:lineRule="auto"/>
      <w:jc w:val="left"/>
    </w:pPr>
    <w:rPr>
      <w:rFonts w:ascii="Calibri" w:hAnsi="Calibri"/>
      <w:color w:val="auto"/>
      <w:sz w:val="22"/>
      <w:szCs w:val="21"/>
      <w:lang w:eastAsia="en-US"/>
    </w:rPr>
  </w:style>
  <w:style w:type="character" w:customStyle="1" w:styleId="PlainTextChar">
    <w:name w:val="Plain Text Char"/>
    <w:basedOn w:val="DefaultParagraphFont"/>
    <w:link w:val="PlainText"/>
    <w:uiPriority w:val="99"/>
    <w:locked/>
    <w:rsid w:val="001A5EBE"/>
    <w:rPr>
      <w:rFonts w:ascii="Calibri" w:hAnsi="Calibri" w:cs="Times New Roman"/>
      <w:sz w:val="21"/>
      <w:szCs w:val="21"/>
      <w:lang w:val="x-none" w:eastAsia="en-US"/>
    </w:rPr>
  </w:style>
  <w:style w:type="paragraph" w:styleId="Revision">
    <w:name w:val="Revision"/>
    <w:hidden/>
    <w:uiPriority w:val="99"/>
    <w:semiHidden/>
    <w:rsid w:val="007208F7"/>
    <w:rPr>
      <w:rFonts w:ascii="Corbel" w:hAnsi="Corbel"/>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67107">
      <w:marLeft w:val="0"/>
      <w:marRight w:val="0"/>
      <w:marTop w:val="0"/>
      <w:marBottom w:val="0"/>
      <w:divBdr>
        <w:top w:val="none" w:sz="0" w:space="0" w:color="auto"/>
        <w:left w:val="none" w:sz="0" w:space="0" w:color="auto"/>
        <w:bottom w:val="none" w:sz="0" w:space="0" w:color="auto"/>
        <w:right w:val="none" w:sz="0" w:space="0" w:color="auto"/>
      </w:divBdr>
    </w:div>
    <w:div w:id="546767108">
      <w:marLeft w:val="0"/>
      <w:marRight w:val="0"/>
      <w:marTop w:val="0"/>
      <w:marBottom w:val="0"/>
      <w:divBdr>
        <w:top w:val="none" w:sz="0" w:space="0" w:color="auto"/>
        <w:left w:val="none" w:sz="0" w:space="0" w:color="auto"/>
        <w:bottom w:val="none" w:sz="0" w:space="0" w:color="auto"/>
        <w:right w:val="none" w:sz="0" w:space="0" w:color="auto"/>
      </w:divBdr>
    </w:div>
    <w:div w:id="546767109">
      <w:marLeft w:val="0"/>
      <w:marRight w:val="0"/>
      <w:marTop w:val="0"/>
      <w:marBottom w:val="0"/>
      <w:divBdr>
        <w:top w:val="none" w:sz="0" w:space="0" w:color="auto"/>
        <w:left w:val="none" w:sz="0" w:space="0" w:color="auto"/>
        <w:bottom w:val="none" w:sz="0" w:space="0" w:color="auto"/>
        <w:right w:val="none" w:sz="0" w:space="0" w:color="auto"/>
      </w:divBdr>
    </w:div>
    <w:div w:id="546767110">
      <w:marLeft w:val="0"/>
      <w:marRight w:val="0"/>
      <w:marTop w:val="0"/>
      <w:marBottom w:val="0"/>
      <w:divBdr>
        <w:top w:val="none" w:sz="0" w:space="0" w:color="auto"/>
        <w:left w:val="none" w:sz="0" w:space="0" w:color="auto"/>
        <w:bottom w:val="none" w:sz="0" w:space="0" w:color="auto"/>
        <w:right w:val="none" w:sz="0" w:space="0" w:color="auto"/>
      </w:divBdr>
    </w:div>
    <w:div w:id="198007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24" Type="http://schemas.openxmlformats.org/officeDocument/2006/relationships/theme" Target="theme/theme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CO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5579" ma:contentTypeDescription=" " ma:contentTypeScope="" ma:versionID="f8dd460f296120e872828b36faa5338f">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b695b91a920971196e190b01c4725fce"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TaxCatchAll xmlns="0f563589-9cf9-4143-b1eb-fb0534803d38">
      <Value>2</Value>
    </TaxCatchAll>
    <_dlc_DocId xmlns="0f563589-9cf9-4143-b1eb-fb0534803d38">2020FG-64-82547</_dlc_DocId>
    <_dlc_DocIdUrl xmlns="0f563589-9cf9-4143-b1eb-fb0534803d38">
      <Url>http://tweb/sites/fg/csrd/_layouts/15/DocIdRedir.aspx?ID=2020FG-64-82547</Url>
      <Description>2020FG-64-82547</Description>
    </_dlc_DocIdUrl>
  </documentManagement>
</p:properties>
</file>

<file path=customXml/item4.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1235" ma:contentTypeDescription=" " ma:contentTypeScope="" ma:versionID="631628baa2cd0761122b48b9e87bb5ee">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4E64B-C3DA-4EAF-B12C-F0F01C226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3FF16F-EE6F-4EC9-AE7B-F49F11DE3010}">
  <ds:schemaRefs>
    <ds:schemaRef ds:uri="http://schemas.microsoft.com/sharepoint/v3/contenttype/forms"/>
  </ds:schemaRefs>
</ds:datastoreItem>
</file>

<file path=customXml/itemProps3.xml><?xml version="1.0" encoding="utf-8"?>
<ds:datastoreItem xmlns:ds="http://schemas.openxmlformats.org/officeDocument/2006/customXml" ds:itemID="{552EE014-E99F-4440-BC0F-25BFB9E3343B}">
  <ds:schemaRefs>
    <ds:schemaRef ds:uri="http://schemas.microsoft.com/office/2006/documentManagement/types"/>
    <ds:schemaRef ds:uri="http://www.w3.org/XML/1998/namespace"/>
    <ds:schemaRef ds:uri="http://schemas.microsoft.com/sharepoint/v4"/>
    <ds:schemaRef ds:uri="http://purl.org/dc/terms/"/>
    <ds:schemaRef ds:uri="http://schemas.microsoft.com/office/2006/metadata/properties"/>
    <ds:schemaRef ds:uri="http://schemas.microsoft.com/sharepoint/v3"/>
    <ds:schemaRef ds:uri="http://purl.org/dc/elements/1.1/"/>
    <ds:schemaRef ds:uri="e544e5cc-ab70-42e1-849e-1a0f8bb1f4ef"/>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1D6CA73D-198C-4219-ADE7-E1E176A05BBA}">
  <ds:schemaRefs>
    <ds:schemaRef ds:uri="Microsoft.SharePoint.Taxonomy.ContentTypeSync"/>
  </ds:schemaRefs>
</ds:datastoreItem>
</file>

<file path=customXml/itemProps5.xml><?xml version="1.0" encoding="utf-8"?>
<ds:datastoreItem xmlns:ds="http://schemas.openxmlformats.org/officeDocument/2006/customXml" ds:itemID="{6F37E2C4-CC06-4038-B2E6-48D90F2B3DAD}">
  <ds:schemaRefs>
    <ds:schemaRef ds:uri="office.server.policy"/>
  </ds:schemaRefs>
</ds:datastoreItem>
</file>

<file path=customXml/itemProps6.xml><?xml version="1.0" encoding="utf-8"?>
<ds:datastoreItem xmlns:ds="http://schemas.openxmlformats.org/officeDocument/2006/customXml" ds:itemID="{BAC8793A-198F-4B09-A65F-6C4ACAB500FD}"/>
</file>

<file path=customXml/itemProps7.xml><?xml version="1.0" encoding="utf-8"?>
<ds:datastoreItem xmlns:ds="http://schemas.openxmlformats.org/officeDocument/2006/customXml" ds:itemID="{CE8CEB83-4C75-4DD8-BCB3-D3B63BA07107}">
  <ds:schemaRefs>
    <ds:schemaRef ds:uri="http://schemas.microsoft.com/sharepoint/events"/>
  </ds:schemaRefs>
</ds:datastoreItem>
</file>

<file path=customXml/itemProps8.xml><?xml version="1.0" encoding="utf-8"?>
<ds:datastoreItem xmlns:ds="http://schemas.openxmlformats.org/officeDocument/2006/customXml" ds:itemID="{DB5952A3-391E-478E-9750-DE4962C21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COAG.dot</Template>
  <TotalTime>37</TotalTime>
  <Pages>7</Pages>
  <Words>1595</Words>
  <Characters>8711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Project Agreement Template</vt:lpstr>
    </vt:vector>
  </TitlesOfParts>
  <Company>Australian Government - The Treasury</Company>
  <LinksUpToDate>false</LinksUpToDate>
  <CharactersWithSpaces>10286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Agreement Template</dc:title>
  <dc:creator>Council of Australian Governments</dc:creator>
  <cp:lastModifiedBy>Bryant Gabrielle</cp:lastModifiedBy>
  <cp:revision>6</cp:revision>
  <cp:lastPrinted>2018-03-26T00:08:00Z</cp:lastPrinted>
  <dcterms:created xsi:type="dcterms:W3CDTF">2018-02-08T05:12:00Z</dcterms:created>
  <dcterms:modified xsi:type="dcterms:W3CDTF">2018-03-26T02:33:00Z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TSYRecordClass">
    <vt:lpwstr>2;#TSY RA-8748 - Retain as national archives|243f2231-dbfc-4282-b24a-c9b768286bd0</vt:lpwstr>
  </property>
  <property fmtid="{D5CDD505-2E9C-101B-9397-08002B2CF9AE}" pid="4" name="_dlc_DocIdItemGuid">
    <vt:lpwstr>fb96673c-f13f-4827-9b20-5fc2ba03f486</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{4435c73b-6585-4bc2-a76a-5d21b1a02e06}</vt:lpwstr>
  </property>
  <property fmtid="{D5CDD505-2E9C-101B-9397-08002B2CF9AE}" pid="8" name="RecordPoint_ActiveItemUniqueId">
    <vt:lpwstr>{fb96673c-f13f-4827-9b20-5fc2ba03f486}</vt:lpwstr>
  </property>
  <property fmtid="{D5CDD505-2E9C-101B-9397-08002B2CF9AE}" pid="9" name="RecordPoint_ActiveItemWebId">
    <vt:lpwstr>{a4589788-615f-4b8b-8296-7f9f6dfbab44}</vt:lpwstr>
  </property>
  <property fmtid="{D5CDD505-2E9C-101B-9397-08002B2CF9AE}" pid="10" name="RecordPoint_RecordNumberSubmitted">
    <vt:lpwstr/>
  </property>
  <property fmtid="{D5CDD505-2E9C-101B-9397-08002B2CF9AE}" pid="11" name="RecordPoint_SubmissionCompleted">
    <vt:lpwstr/>
  </property>
  <property fmtid="{D5CDD505-2E9C-101B-9397-08002B2CF9AE}" pid="12" name="_NewReviewCycle">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