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36A34405" w14:textId="77777777">
        <w:tc>
          <w:tcPr>
            <w:tcW w:w="5000" w:type="pct"/>
            <w:gridSpan w:val="2"/>
          </w:tcPr>
          <w:p w14:paraId="52EBAEF1" w14:textId="0A56014E" w:rsidR="00814667" w:rsidRDefault="00814667" w:rsidP="00EE6ACA">
            <w:pPr>
              <w:pStyle w:val="CoverTitleMain"/>
            </w:pPr>
            <w:bookmarkStart w:id="0" w:name="_GoBack"/>
            <w:bookmarkEnd w:id="0"/>
            <w:r>
              <w:t>Nat</w:t>
            </w:r>
            <w:r w:rsidR="007A6E20">
              <w:t xml:space="preserve">ional partnership </w:t>
            </w:r>
            <w:r w:rsidR="00C7093C">
              <w:t>on</w:t>
            </w:r>
            <w:r w:rsidR="00E27935">
              <w:t xml:space="preserve"> </w:t>
            </w:r>
            <w:r w:rsidR="00EE6ACA">
              <w:t xml:space="preserve">COVID-19 </w:t>
            </w:r>
            <w:r w:rsidR="001D228F">
              <w:t xml:space="preserve">Domestic AND </w:t>
            </w:r>
            <w:r w:rsidR="002434D2">
              <w:t>Family</w:t>
            </w:r>
            <w:r w:rsidR="001D228F">
              <w:t xml:space="preserve"> </w:t>
            </w:r>
            <w:r w:rsidR="002434D2">
              <w:t>Violence Responses</w:t>
            </w:r>
          </w:p>
        </w:tc>
      </w:tr>
      <w:tr w:rsidR="00814667" w14:paraId="6045DBC9" w14:textId="77777777">
        <w:tc>
          <w:tcPr>
            <w:tcW w:w="767" w:type="pct"/>
          </w:tcPr>
          <w:p w14:paraId="30753FF2" w14:textId="77777777" w:rsidR="00814667" w:rsidRDefault="00814667">
            <w:pPr>
              <w:pStyle w:val="SingleParagraph"/>
              <w:tabs>
                <w:tab w:val="num" w:pos="1134"/>
              </w:tabs>
              <w:spacing w:after="240"/>
              <w:ind w:left="1134" w:hanging="567"/>
            </w:pPr>
          </w:p>
        </w:tc>
        <w:tc>
          <w:tcPr>
            <w:tcW w:w="4233" w:type="pct"/>
          </w:tcPr>
          <w:p w14:paraId="1D22EF5F" w14:textId="77777777" w:rsidR="00814667" w:rsidRDefault="00814667">
            <w:pPr>
              <w:pStyle w:val="SingleParagraph"/>
              <w:tabs>
                <w:tab w:val="num" w:pos="1134"/>
              </w:tabs>
              <w:spacing w:after="240"/>
              <w:ind w:left="1134" w:hanging="567"/>
            </w:pPr>
          </w:p>
        </w:tc>
      </w:tr>
      <w:tr w:rsidR="00814667" w14:paraId="0E1265A9" w14:textId="77777777">
        <w:tc>
          <w:tcPr>
            <w:tcW w:w="767" w:type="pct"/>
          </w:tcPr>
          <w:p w14:paraId="730DAAC6" w14:textId="77777777" w:rsidR="00814667" w:rsidRDefault="00814667">
            <w:pPr>
              <w:pStyle w:val="SingleParagraph"/>
              <w:tabs>
                <w:tab w:val="num" w:pos="1134"/>
              </w:tabs>
              <w:spacing w:after="240"/>
              <w:ind w:left="1134" w:hanging="567"/>
            </w:pPr>
          </w:p>
        </w:tc>
        <w:tc>
          <w:tcPr>
            <w:tcW w:w="4233" w:type="pct"/>
          </w:tcPr>
          <w:p w14:paraId="6E5D5853" w14:textId="77777777" w:rsidR="00814667" w:rsidRPr="001E74D0" w:rsidRDefault="00814667">
            <w:pPr>
              <w:pStyle w:val="SingleParagraph"/>
              <w:tabs>
                <w:tab w:val="num" w:pos="1134"/>
              </w:tabs>
              <w:spacing w:after="240"/>
              <w:ind w:left="1134" w:hanging="567"/>
            </w:pPr>
          </w:p>
        </w:tc>
      </w:tr>
      <w:tr w:rsidR="00814667" w14:paraId="1A54A722" w14:textId="77777777">
        <w:tc>
          <w:tcPr>
            <w:tcW w:w="5000" w:type="pct"/>
            <w:gridSpan w:val="2"/>
          </w:tcPr>
          <w:p w14:paraId="72D2C175" w14:textId="77777777" w:rsidR="00814667" w:rsidRDefault="00814667">
            <w:pPr>
              <w:pStyle w:val="AgreementHeading"/>
              <w:tabs>
                <w:tab w:val="clear" w:pos="1134"/>
              </w:tabs>
            </w:pPr>
            <w:r>
              <w:t>An agreement between</w:t>
            </w:r>
          </w:p>
        </w:tc>
      </w:tr>
      <w:tr w:rsidR="00814667" w14:paraId="3BC406E2" w14:textId="77777777">
        <w:tc>
          <w:tcPr>
            <w:tcW w:w="767" w:type="pct"/>
          </w:tcPr>
          <w:p w14:paraId="3C9C801E" w14:textId="77777777" w:rsidR="00814667" w:rsidRPr="001E74D0" w:rsidRDefault="00814667">
            <w:pPr>
              <w:pStyle w:val="AgreementHeading"/>
              <w:tabs>
                <w:tab w:val="clear" w:pos="1134"/>
              </w:tabs>
              <w:ind w:left="522"/>
            </w:pPr>
          </w:p>
        </w:tc>
        <w:tc>
          <w:tcPr>
            <w:tcW w:w="4233" w:type="pct"/>
          </w:tcPr>
          <w:p w14:paraId="5AEBE4A6" w14:textId="77777777" w:rsidR="00814667" w:rsidRDefault="00814667">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14:paraId="26AFA7C5" w14:textId="77777777" w:rsidR="00814667" w:rsidRPr="001E74D0" w:rsidRDefault="00814667">
            <w:pPr>
              <w:pStyle w:val="AgreementParties"/>
            </w:pPr>
            <w:r>
              <w:t xml:space="preserve">the </w:t>
            </w:r>
            <w:r>
              <w:rPr>
                <w:rStyle w:val="Bold"/>
              </w:rPr>
              <w:t>States and Territories</w:t>
            </w:r>
            <w:r>
              <w:t>, being:</w:t>
            </w:r>
          </w:p>
        </w:tc>
      </w:tr>
      <w:tr w:rsidR="00814667" w14:paraId="61341ABF" w14:textId="77777777">
        <w:tc>
          <w:tcPr>
            <w:tcW w:w="767" w:type="pct"/>
          </w:tcPr>
          <w:p w14:paraId="6A48EF87" w14:textId="77777777" w:rsidR="00814667" w:rsidRDefault="00814667">
            <w:pPr>
              <w:pStyle w:val="SingleParagraph"/>
              <w:tabs>
                <w:tab w:val="num" w:pos="1134"/>
              </w:tabs>
              <w:spacing w:after="240"/>
              <w:ind w:left="1134" w:hanging="567"/>
            </w:pPr>
          </w:p>
        </w:tc>
        <w:tc>
          <w:tcPr>
            <w:tcW w:w="4233" w:type="pct"/>
            <w:tcBorders>
              <w:left w:val="nil"/>
            </w:tcBorders>
          </w:tcPr>
          <w:p w14:paraId="0B1A0FAC" w14:textId="77777777" w:rsidR="00814667" w:rsidRDefault="00814667" w:rsidP="00594C7A">
            <w:pPr>
              <w:pStyle w:val="StatesList"/>
              <w:numPr>
                <w:ilvl w:val="0"/>
                <w:numId w:val="7"/>
              </w:numPr>
            </w:pPr>
            <w:r>
              <w:t>New South Wales</w:t>
            </w:r>
          </w:p>
          <w:p w14:paraId="01D7F61B" w14:textId="77777777" w:rsidR="00814667" w:rsidRDefault="00814667" w:rsidP="00594C7A">
            <w:pPr>
              <w:pStyle w:val="StatesList"/>
              <w:numPr>
                <w:ilvl w:val="0"/>
                <w:numId w:val="7"/>
              </w:numPr>
            </w:pPr>
            <w:r>
              <w:t>Victoria</w:t>
            </w:r>
          </w:p>
          <w:p w14:paraId="55091B43" w14:textId="77777777" w:rsidR="00814667" w:rsidRDefault="00814667" w:rsidP="00594C7A">
            <w:pPr>
              <w:pStyle w:val="StatesList"/>
              <w:numPr>
                <w:ilvl w:val="0"/>
                <w:numId w:val="7"/>
              </w:numPr>
            </w:pPr>
            <w:r>
              <w:t>Queensland</w:t>
            </w:r>
          </w:p>
          <w:p w14:paraId="5967AEAF" w14:textId="77777777" w:rsidR="00814667" w:rsidRDefault="00814667" w:rsidP="00594C7A">
            <w:pPr>
              <w:pStyle w:val="StatesList"/>
              <w:numPr>
                <w:ilvl w:val="0"/>
                <w:numId w:val="7"/>
              </w:numPr>
            </w:pPr>
            <w:r>
              <w:t>Western Australia</w:t>
            </w:r>
          </w:p>
          <w:p w14:paraId="79A55C24" w14:textId="77777777" w:rsidR="00814667" w:rsidRDefault="00814667" w:rsidP="00594C7A">
            <w:pPr>
              <w:pStyle w:val="StatesList"/>
              <w:numPr>
                <w:ilvl w:val="0"/>
                <w:numId w:val="7"/>
              </w:numPr>
            </w:pPr>
            <w:r>
              <w:t>South Australia</w:t>
            </w:r>
          </w:p>
          <w:p w14:paraId="57CCD8D9" w14:textId="77777777" w:rsidR="00814667" w:rsidRDefault="00814667" w:rsidP="00594C7A">
            <w:pPr>
              <w:pStyle w:val="StatesList"/>
              <w:numPr>
                <w:ilvl w:val="0"/>
                <w:numId w:val="7"/>
              </w:numPr>
            </w:pPr>
            <w:r>
              <w:t>Tasmania</w:t>
            </w:r>
          </w:p>
          <w:p w14:paraId="68A7DBC4" w14:textId="77777777" w:rsidR="00814667" w:rsidRDefault="006B2D1B" w:rsidP="00594C7A">
            <w:pPr>
              <w:pStyle w:val="StatesList"/>
              <w:numPr>
                <w:ilvl w:val="0"/>
                <w:numId w:val="7"/>
              </w:numPr>
            </w:pPr>
            <w:r>
              <w:t>t</w:t>
            </w:r>
            <w:r w:rsidR="00814667">
              <w:t>he Australian Capital Territory</w:t>
            </w:r>
          </w:p>
          <w:p w14:paraId="0AA6CD5E" w14:textId="77777777" w:rsidR="00814667" w:rsidRDefault="006B2D1B" w:rsidP="00594C7A">
            <w:pPr>
              <w:pStyle w:val="StatesList"/>
              <w:numPr>
                <w:ilvl w:val="0"/>
                <w:numId w:val="7"/>
              </w:numPr>
            </w:pPr>
            <w:r>
              <w:t>the Northern Territory</w:t>
            </w:r>
          </w:p>
          <w:p w14:paraId="3C21367D" w14:textId="77777777" w:rsidR="00EB7EDA" w:rsidRPr="00EB7EDA" w:rsidRDefault="00EB7EDA" w:rsidP="00EB7EDA">
            <w:pPr>
              <w:rPr>
                <w:i/>
              </w:rPr>
            </w:pPr>
          </w:p>
        </w:tc>
      </w:tr>
      <w:tr w:rsidR="00814667" w14:paraId="5275C7E0" w14:textId="77777777">
        <w:tc>
          <w:tcPr>
            <w:tcW w:w="5000" w:type="pct"/>
            <w:gridSpan w:val="2"/>
          </w:tcPr>
          <w:p w14:paraId="26F2FA37" w14:textId="77777777" w:rsidR="00814667" w:rsidRDefault="00814667">
            <w:pPr>
              <w:pStyle w:val="SingleParagraph"/>
              <w:tabs>
                <w:tab w:val="num" w:pos="1134"/>
              </w:tabs>
              <w:spacing w:after="240"/>
              <w:ind w:left="1134" w:hanging="567"/>
            </w:pPr>
          </w:p>
        </w:tc>
      </w:tr>
      <w:tr w:rsidR="00814667" w14:paraId="4B32F0D9" w14:textId="77777777">
        <w:tc>
          <w:tcPr>
            <w:tcW w:w="5000" w:type="pct"/>
            <w:gridSpan w:val="2"/>
          </w:tcPr>
          <w:p w14:paraId="0B81C98D" w14:textId="77777777" w:rsidR="001A7A15" w:rsidRDefault="001A7A15">
            <w:pPr>
              <w:pStyle w:val="Abstract"/>
            </w:pPr>
          </w:p>
          <w:p w14:paraId="0D1DCC4A" w14:textId="207CC0E4" w:rsidR="00814667" w:rsidRDefault="00C7093C" w:rsidP="00615B75">
            <w:pPr>
              <w:pStyle w:val="Abstract"/>
            </w:pPr>
            <w:r>
              <w:t xml:space="preserve">This Agreement will </w:t>
            </w:r>
            <w:r w:rsidR="00845BCC">
              <w:t xml:space="preserve">contribute to </w:t>
            </w:r>
            <w:r w:rsidR="002434D2">
              <w:t>supporting the domestic and family violence sector during the Novel Coronavirus (COVID-19)</w:t>
            </w:r>
            <w:r w:rsidR="00EE6ACA">
              <w:t xml:space="preserve"> </w:t>
            </w:r>
            <w:r w:rsidR="00615B75">
              <w:t>pandemic</w:t>
            </w:r>
            <w:r>
              <w:t xml:space="preserve">.  </w:t>
            </w:r>
          </w:p>
        </w:tc>
      </w:tr>
    </w:tbl>
    <w:p w14:paraId="7C4E96FC" w14:textId="6D009D1A" w:rsidR="00814667" w:rsidRDefault="007A6E20">
      <w:pPr>
        <w:pStyle w:val="Title"/>
        <w:pageBreakBefore/>
      </w:pPr>
      <w:r>
        <w:lastRenderedPageBreak/>
        <w:t>National Partnership</w:t>
      </w:r>
      <w:r>
        <w:br/>
      </w:r>
      <w:r w:rsidR="00814667">
        <w:t>on</w:t>
      </w:r>
      <w:r w:rsidR="00C7093C">
        <w:t xml:space="preserve"> </w:t>
      </w:r>
      <w:r w:rsidR="00EE6ACA">
        <w:t>COVID-19</w:t>
      </w:r>
      <w:r w:rsidR="002434D2">
        <w:t xml:space="preserve"> Domestic and Family Violence Responses </w:t>
      </w:r>
    </w:p>
    <w:p w14:paraId="6E033FCC" w14:textId="77777777" w:rsidR="003D26BA" w:rsidRPr="003D26BA" w:rsidRDefault="00F1611B" w:rsidP="003D2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0DB377DD" w14:textId="77777777" w:rsidR="00C960AA" w:rsidRDefault="00C960AA"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National Partnership (the Agreement) is created subject to the provisions of the Intergovernmental Agreement on Federal Financial Relations </w:t>
      </w:r>
      <w:r w:rsidR="00E31BCF">
        <w:rPr>
          <w:color w:val="auto"/>
        </w:rPr>
        <w:t xml:space="preserve">(IGA FFR) </w:t>
      </w:r>
      <w:r w:rsidRPr="00336F12">
        <w:rPr>
          <w:color w:val="auto"/>
        </w:rPr>
        <w:t xml:space="preserve">and should be read in conjunction with that Agreement and </w:t>
      </w:r>
      <w:r w:rsidR="001C346E" w:rsidRPr="00336F12">
        <w:rPr>
          <w:color w:val="auto"/>
        </w:rPr>
        <w:t>its</w:t>
      </w:r>
      <w:r w:rsidRPr="00336F12">
        <w:rPr>
          <w:color w:val="auto"/>
        </w:rPr>
        <w:t xml:space="preserve"> </w:t>
      </w:r>
      <w:r w:rsidR="001C346E" w:rsidRPr="00336F12">
        <w:rPr>
          <w:color w:val="auto"/>
        </w:rPr>
        <w:t>S</w:t>
      </w:r>
      <w:r w:rsidRPr="00336F12">
        <w:rPr>
          <w:color w:val="auto"/>
        </w:rPr>
        <w:t>chedules</w:t>
      </w:r>
      <w:r w:rsidR="001C346E" w:rsidRPr="00336F12">
        <w:rPr>
          <w:color w:val="auto"/>
        </w:rPr>
        <w:t xml:space="preserve">, which provide information in relation to </w:t>
      </w:r>
      <w:r w:rsidRPr="00336F12">
        <w:rPr>
          <w:color w:val="auto"/>
        </w:rPr>
        <w:t>performance reporting and payment arrangements</w:t>
      </w:r>
      <w:r w:rsidR="001C346E" w:rsidRPr="00336F12">
        <w:rPr>
          <w:color w:val="auto"/>
        </w:rPr>
        <w:t xml:space="preserve"> under the IGA</w:t>
      </w:r>
      <w:r w:rsidR="00E31BCF">
        <w:rPr>
          <w:color w:val="auto"/>
        </w:rPr>
        <w:t xml:space="preserve"> FFR</w:t>
      </w:r>
      <w:r w:rsidRPr="00336F12">
        <w:rPr>
          <w:color w:val="auto"/>
        </w:rPr>
        <w:t>.</w:t>
      </w:r>
    </w:p>
    <w:p w14:paraId="390A0B6A"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5164A8D7" w14:textId="3DB7030D" w:rsidR="002434D2" w:rsidRPr="00971736" w:rsidRDefault="00E7195E"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In entering this Agreement, the </w:t>
      </w:r>
      <w:r w:rsidRPr="00971736">
        <w:rPr>
          <w:color w:val="auto"/>
        </w:rPr>
        <w:t xml:space="preserve">Commonwealth </w:t>
      </w:r>
      <w:r w:rsidR="00715018" w:rsidRPr="00971736">
        <w:rPr>
          <w:color w:val="auto"/>
        </w:rPr>
        <w:t>and the States and Territories (</w:t>
      </w:r>
      <w:r w:rsidR="002434D2" w:rsidRPr="00971736">
        <w:rPr>
          <w:color w:val="auto"/>
        </w:rPr>
        <w:t xml:space="preserve">the States) recognise that they have a joint responsibility to ensure </w:t>
      </w:r>
      <w:r w:rsidR="003C34C0" w:rsidRPr="00971736">
        <w:rPr>
          <w:color w:val="auto"/>
        </w:rPr>
        <w:t>the safety of</w:t>
      </w:r>
      <w:r w:rsidR="002434D2" w:rsidRPr="00971736">
        <w:rPr>
          <w:color w:val="auto"/>
        </w:rPr>
        <w:t xml:space="preserve"> women and their children experiencing, or at risk of experiencing, domestic, family and sexual violence during the Novel Coronavirus (COVID-19) pandemic.</w:t>
      </w:r>
    </w:p>
    <w:p w14:paraId="1DAE16F3" w14:textId="25FC89DE" w:rsidR="002434D2" w:rsidRPr="00971736" w:rsidRDefault="002434D2"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971736">
        <w:rPr>
          <w:color w:val="auto"/>
        </w:rPr>
        <w:t xml:space="preserve">This Agreement </w:t>
      </w:r>
      <w:r w:rsidR="00FD7AAE">
        <w:rPr>
          <w:color w:val="auto"/>
        </w:rPr>
        <w:t>will support</w:t>
      </w:r>
      <w:r w:rsidRPr="00971736">
        <w:rPr>
          <w:color w:val="auto"/>
        </w:rPr>
        <w:t xml:space="preserve"> the States to r</w:t>
      </w:r>
      <w:r w:rsidR="006F10D9" w:rsidRPr="00971736">
        <w:rPr>
          <w:color w:val="auto"/>
        </w:rPr>
        <w:t>espond</w:t>
      </w:r>
      <w:r w:rsidR="00FD7AAE">
        <w:rPr>
          <w:color w:val="auto"/>
        </w:rPr>
        <w:t xml:space="preserve"> immediately</w:t>
      </w:r>
      <w:r w:rsidR="006F10D9" w:rsidRPr="00971736">
        <w:rPr>
          <w:color w:val="auto"/>
        </w:rPr>
        <w:t xml:space="preserve"> to increases in domestic, </w:t>
      </w:r>
      <w:r w:rsidRPr="00971736">
        <w:rPr>
          <w:color w:val="auto"/>
        </w:rPr>
        <w:t xml:space="preserve">family </w:t>
      </w:r>
      <w:r w:rsidR="006F10D9" w:rsidRPr="00971736">
        <w:rPr>
          <w:color w:val="auto"/>
        </w:rPr>
        <w:t xml:space="preserve">and sexual </w:t>
      </w:r>
      <w:r w:rsidRPr="00971736">
        <w:rPr>
          <w:color w:val="auto"/>
        </w:rPr>
        <w:t xml:space="preserve">violence as a result of </w:t>
      </w:r>
      <w:r w:rsidR="00EE6ACA">
        <w:rPr>
          <w:color w:val="auto"/>
        </w:rPr>
        <w:t>COVID-19</w:t>
      </w:r>
      <w:r w:rsidRPr="00971736">
        <w:rPr>
          <w:color w:val="auto"/>
        </w:rPr>
        <w:t>, and to ensure services can continue to support those who need it most.</w:t>
      </w:r>
    </w:p>
    <w:p w14:paraId="3AB32FC2" w14:textId="4B9F082A" w:rsidR="002434D2" w:rsidRPr="00971736" w:rsidRDefault="002434D2"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971736">
        <w:rPr>
          <w:color w:val="auto"/>
        </w:rPr>
        <w:t xml:space="preserve">This Agreement complements </w:t>
      </w:r>
      <w:r w:rsidR="00FD7AAE">
        <w:rPr>
          <w:color w:val="auto"/>
        </w:rPr>
        <w:t>and builds on the</w:t>
      </w:r>
      <w:r w:rsidR="00FD7AAE" w:rsidRPr="00971736">
        <w:rPr>
          <w:color w:val="auto"/>
        </w:rPr>
        <w:t xml:space="preserve"> </w:t>
      </w:r>
      <w:r w:rsidRPr="00971736">
        <w:rPr>
          <w:color w:val="auto"/>
        </w:rPr>
        <w:t>National Plan to Reduce Violence against Women and their Children 2010-2022</w:t>
      </w:r>
      <w:r w:rsidR="00FD7AAE">
        <w:rPr>
          <w:color w:val="auto"/>
        </w:rPr>
        <w:t xml:space="preserve">, </w:t>
      </w:r>
      <w:r w:rsidRPr="00971736">
        <w:rPr>
          <w:color w:val="auto"/>
        </w:rPr>
        <w:t>the work of the Council of Australian Governments (COAG) Women’s Safety Council</w:t>
      </w:r>
      <w:r w:rsidR="00FD7AAE">
        <w:rPr>
          <w:color w:val="auto"/>
        </w:rPr>
        <w:t>, and the work of the States through their policies to prevent and respond to domestic, family and sexual violence</w:t>
      </w:r>
      <w:r w:rsidRPr="00971736">
        <w:rPr>
          <w:color w:val="auto"/>
        </w:rPr>
        <w:t xml:space="preserve">. </w:t>
      </w:r>
    </w:p>
    <w:p w14:paraId="073C0A42" w14:textId="2F090B86" w:rsidR="002434D2" w:rsidRPr="002434D2" w:rsidRDefault="002434D2"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971736">
        <w:rPr>
          <w:color w:val="auto"/>
        </w:rPr>
        <w:t>The</w:t>
      </w:r>
      <w:r w:rsidR="0056581D">
        <w:rPr>
          <w:color w:val="auto"/>
        </w:rPr>
        <w:t xml:space="preserve"> COAG</w:t>
      </w:r>
      <w:r w:rsidRPr="00971736">
        <w:rPr>
          <w:color w:val="auto"/>
        </w:rPr>
        <w:t xml:space="preserve"> Women’s Safety Council continues to monitor the impact of </w:t>
      </w:r>
      <w:r w:rsidR="00EE6ACA">
        <w:rPr>
          <w:color w:val="auto"/>
        </w:rPr>
        <w:t>COVID-19</w:t>
      </w:r>
      <w:r w:rsidRPr="00971736">
        <w:rPr>
          <w:color w:val="auto"/>
        </w:rPr>
        <w:t xml:space="preserve"> </w:t>
      </w:r>
      <w:r w:rsidR="003C34C0" w:rsidRPr="00971736">
        <w:rPr>
          <w:color w:val="auto"/>
        </w:rPr>
        <w:t xml:space="preserve">on the safety of women and their children </w:t>
      </w:r>
      <w:r w:rsidRPr="00971736">
        <w:rPr>
          <w:color w:val="auto"/>
        </w:rPr>
        <w:t xml:space="preserve">and will work together to </w:t>
      </w:r>
      <w:r w:rsidR="005A5444" w:rsidRPr="00971736">
        <w:rPr>
          <w:color w:val="auto"/>
        </w:rPr>
        <w:t>ensure</w:t>
      </w:r>
      <w:r w:rsidRPr="002434D2">
        <w:rPr>
          <w:color w:val="auto"/>
        </w:rPr>
        <w:t xml:space="preserve"> </w:t>
      </w:r>
      <w:r w:rsidR="005A5444">
        <w:rPr>
          <w:color w:val="auto"/>
        </w:rPr>
        <w:t>funding</w:t>
      </w:r>
      <w:r w:rsidR="00EB01B3">
        <w:rPr>
          <w:color w:val="auto"/>
        </w:rPr>
        <w:t xml:space="preserve"> under this Agreement</w:t>
      </w:r>
      <w:r w:rsidR="005A5444">
        <w:rPr>
          <w:color w:val="auto"/>
        </w:rPr>
        <w:t xml:space="preserve"> is distributed </w:t>
      </w:r>
      <w:r w:rsidR="00EB01B3">
        <w:rPr>
          <w:color w:val="auto"/>
        </w:rPr>
        <w:t xml:space="preserve">to </w:t>
      </w:r>
      <w:r w:rsidR="005A5444">
        <w:rPr>
          <w:color w:val="auto"/>
        </w:rPr>
        <w:t>where it is needed most.</w:t>
      </w:r>
      <w:r w:rsidRPr="002434D2">
        <w:rPr>
          <w:color w:val="auto"/>
        </w:rPr>
        <w:t xml:space="preserve"> </w:t>
      </w:r>
    </w:p>
    <w:p w14:paraId="25624538" w14:textId="77777777" w:rsidR="00FE4A16" w:rsidRDefault="00FE4A16" w:rsidP="002434D2">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46063482" w14:textId="77777777" w:rsidR="00FE4A16" w:rsidRPr="00FE4A16" w:rsidRDefault="00FE4A16"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 xml:space="preserve">The States will report </w:t>
      </w:r>
      <w:r w:rsidRPr="002434D2">
        <w:t xml:space="preserve">against the agreed </w:t>
      </w:r>
      <w:r w:rsidR="00335E2C" w:rsidRPr="002434D2">
        <w:t>milestones</w:t>
      </w:r>
      <w:r w:rsidRPr="002434D2">
        <w:t xml:space="preserve"> during the operation of the Agreement</w:t>
      </w:r>
      <w:r w:rsidR="00F1611B" w:rsidRPr="002434D2">
        <w:t>, as set out in Part 4 – Performance Monitoring and Reporting</w:t>
      </w:r>
      <w:r w:rsidRPr="002434D2">
        <w:t>.</w:t>
      </w:r>
    </w:p>
    <w:p w14:paraId="77193DC8" w14:textId="77777777" w:rsidR="00FE4A16" w:rsidRPr="00D67CE5"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D67CE5">
        <w:rPr>
          <w:rFonts w:cs="Arial"/>
          <w:b/>
          <w:bCs/>
          <w:iCs/>
          <w:color w:val="3D4B67"/>
          <w:sz w:val="29"/>
          <w:szCs w:val="28"/>
        </w:rPr>
        <w:t xml:space="preserve">Financial </w:t>
      </w:r>
      <w:r w:rsidR="003D26BA" w:rsidRPr="00D67CE5">
        <w:rPr>
          <w:rFonts w:cs="Arial"/>
          <w:b/>
          <w:bCs/>
          <w:iCs/>
          <w:color w:val="3D4B67"/>
          <w:sz w:val="29"/>
          <w:szCs w:val="28"/>
        </w:rPr>
        <w:t>Arrangements</w:t>
      </w:r>
      <w:r w:rsidRPr="00D67CE5">
        <w:rPr>
          <w:rFonts w:cs="Arial"/>
          <w:b/>
          <w:bCs/>
          <w:iCs/>
          <w:color w:val="3D4B67"/>
          <w:sz w:val="29"/>
          <w:szCs w:val="28"/>
        </w:rPr>
        <w:t xml:space="preserve"> </w:t>
      </w:r>
    </w:p>
    <w:p w14:paraId="1E642AB4" w14:textId="77777777" w:rsidR="00FE4A16" w:rsidRPr="00D67CE5" w:rsidRDefault="00FE4A16" w:rsidP="00594C7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D67CE5">
        <w:t>The Commonwealth will provide a</w:t>
      </w:r>
      <w:r w:rsidR="004B27C1" w:rsidRPr="00D67CE5">
        <w:t>n estimated</w:t>
      </w:r>
      <w:r w:rsidRPr="00D67CE5">
        <w:t xml:space="preserve"> total financial contribution to the States </w:t>
      </w:r>
      <w:r w:rsidR="002434D2" w:rsidRPr="00D67CE5">
        <w:t xml:space="preserve">of </w:t>
      </w:r>
      <w:r w:rsidRPr="00D67CE5">
        <w:t>$</w:t>
      </w:r>
      <w:r w:rsidR="002434D2" w:rsidRPr="00D67CE5">
        <w:t>130.0 million</w:t>
      </w:r>
      <w:r w:rsidR="00337C78" w:rsidRPr="00D67CE5">
        <w:t xml:space="preserve"> (GST exclusive)</w:t>
      </w:r>
      <w:r w:rsidRPr="00D67CE5">
        <w:t xml:space="preserve"> in respect of this Agreement</w:t>
      </w:r>
      <w:r w:rsidR="001775DC" w:rsidRPr="00D67CE5">
        <w:t>,</w:t>
      </w:r>
      <w:r w:rsidRPr="00D67CE5">
        <w:t xml:space="preserve"> as set out in Part 5 – Financial Arrangements.</w:t>
      </w:r>
    </w:p>
    <w:p w14:paraId="03C6F76A" w14:textId="77777777" w:rsidR="003D26BA" w:rsidRPr="00FE4A16" w:rsidRDefault="003D26BA" w:rsidP="003D26BA">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p>
    <w:p w14:paraId="030E3D95" w14:textId="77777777" w:rsidR="00814667" w:rsidRDefault="00814667">
      <w:pPr>
        <w:pStyle w:val="Heading1"/>
      </w:pPr>
      <w:r>
        <w:lastRenderedPageBreak/>
        <w:t>Part 1 — Formalities</w:t>
      </w:r>
    </w:p>
    <w:p w14:paraId="545D26B7" w14:textId="77777777" w:rsidR="00814667" w:rsidRDefault="00814667">
      <w:pPr>
        <w:pStyle w:val="Heading2"/>
      </w:pPr>
      <w:r>
        <w:t>Parties to this Agreement</w:t>
      </w:r>
    </w:p>
    <w:p w14:paraId="14A30D0F" w14:textId="77777777" w:rsidR="007B4B03" w:rsidRPr="007B4B03" w:rsidRDefault="00E7195E" w:rsidP="00594C7A">
      <w:pPr>
        <w:pStyle w:val="Normalnumbered"/>
        <w:numPr>
          <w:ilvl w:val="0"/>
          <w:numId w:val="10"/>
        </w:numPr>
        <w:jc w:val="left"/>
      </w:pPr>
      <w:r w:rsidRPr="003012DA">
        <w:t>This Agreement is between the Commonwealth of Australia (the Commonwealth) and the States and Territories (the States)</w:t>
      </w:r>
      <w:r w:rsidR="002434D2">
        <w:t>.</w:t>
      </w:r>
    </w:p>
    <w:p w14:paraId="4E38A302" w14:textId="77777777" w:rsidR="00814667" w:rsidRDefault="00814667">
      <w:pPr>
        <w:pStyle w:val="Heading2"/>
      </w:pPr>
      <w:r>
        <w:t>Term of the Agreement</w:t>
      </w:r>
    </w:p>
    <w:p w14:paraId="6DD26428" w14:textId="297B9ACD" w:rsidR="00FE4A16" w:rsidRPr="00971736" w:rsidRDefault="001D6C45" w:rsidP="00594C7A">
      <w:pPr>
        <w:pStyle w:val="Normalnumbered"/>
        <w:numPr>
          <w:ilvl w:val="0"/>
          <w:numId w:val="10"/>
        </w:numPr>
      </w:pPr>
      <w:r w:rsidRPr="00971736">
        <w:t xml:space="preserve">This Agreement will commence as soon as the Commonwealth and one other Party sign </w:t>
      </w:r>
      <w:r w:rsidR="00490352" w:rsidRPr="00971736">
        <w:t xml:space="preserve">it </w:t>
      </w:r>
      <w:r w:rsidR="002434D2" w:rsidRPr="00971736">
        <w:t xml:space="preserve">and will expire on </w:t>
      </w:r>
      <w:r w:rsidR="005A5444" w:rsidRPr="00971736">
        <w:t>31</w:t>
      </w:r>
      <w:r w:rsidR="002434D2" w:rsidRPr="00971736">
        <w:t xml:space="preserve"> </w:t>
      </w:r>
      <w:r w:rsidR="00061F1C">
        <w:t>March</w:t>
      </w:r>
      <w:r w:rsidR="00061F1C" w:rsidRPr="00971736">
        <w:t xml:space="preserve"> </w:t>
      </w:r>
      <w:r w:rsidR="003C34C0" w:rsidRPr="00971736">
        <w:t>2021</w:t>
      </w:r>
      <w:r w:rsidRPr="00971736">
        <w:t>, or on completion of the project or reform, including final performance reporting and processing of final payments against performance be</w:t>
      </w:r>
      <w:r w:rsidR="006C04EB" w:rsidRPr="00971736">
        <w:t>nchmarks or project milestones.</w:t>
      </w:r>
      <w:r w:rsidRPr="00971736">
        <w:t xml:space="preserve"> The Agreement may be terminated earlier or extended as agreed in writing by the Parties.</w:t>
      </w:r>
      <w:r w:rsidR="00FE4A16" w:rsidRPr="00971736">
        <w:t xml:space="preserve"> </w:t>
      </w:r>
    </w:p>
    <w:p w14:paraId="3B5949F8" w14:textId="77777777" w:rsidR="00814667" w:rsidRPr="00971736" w:rsidRDefault="00814667" w:rsidP="00E968F6">
      <w:pPr>
        <w:pStyle w:val="Heading1"/>
        <w:spacing w:before="100"/>
      </w:pPr>
      <w:r w:rsidRPr="00971736">
        <w:t>part 2 — objectives, outcomes and outputs</w:t>
      </w:r>
    </w:p>
    <w:p w14:paraId="6B77773F" w14:textId="77777777" w:rsidR="00F46237" w:rsidRPr="00971736" w:rsidRDefault="00F46237" w:rsidP="00F46237">
      <w:pPr>
        <w:pStyle w:val="Heading2"/>
      </w:pPr>
      <w:r w:rsidRPr="00971736">
        <w:t>Objectives</w:t>
      </w:r>
    </w:p>
    <w:p w14:paraId="6126A904" w14:textId="081BCBE7" w:rsidR="0090569F" w:rsidRPr="00971736" w:rsidRDefault="002F576E" w:rsidP="004C43DB">
      <w:pPr>
        <w:pStyle w:val="Normalnumbered"/>
        <w:numPr>
          <w:ilvl w:val="0"/>
          <w:numId w:val="10"/>
        </w:numPr>
      </w:pPr>
      <w:r w:rsidRPr="00971736">
        <w:t xml:space="preserve">The </w:t>
      </w:r>
      <w:r w:rsidR="00490352" w:rsidRPr="00971736">
        <w:t>objective of this Agreement is</w:t>
      </w:r>
      <w:r w:rsidR="004B27C1" w:rsidRPr="00971736">
        <w:t xml:space="preserve"> to</w:t>
      </w:r>
      <w:r w:rsidR="00E3710E" w:rsidRPr="00971736">
        <w:t xml:space="preserve"> </w:t>
      </w:r>
      <w:r w:rsidR="006D3FCB" w:rsidRPr="00971736">
        <w:t xml:space="preserve">ensure </w:t>
      </w:r>
      <w:r w:rsidR="003C34C0" w:rsidRPr="00971736">
        <w:t>the safety of</w:t>
      </w:r>
      <w:r w:rsidR="002434D2" w:rsidRPr="00971736">
        <w:t xml:space="preserve"> women and their children</w:t>
      </w:r>
      <w:r w:rsidR="0060437D" w:rsidRPr="00971736">
        <w:t xml:space="preserve">, experiencing, or at risk of experiencing domestic, family and sexual violence during the </w:t>
      </w:r>
      <w:r w:rsidR="00EE6ACA">
        <w:t>COVID-19</w:t>
      </w:r>
      <w:r w:rsidR="0060437D" w:rsidRPr="00971736">
        <w:t xml:space="preserve"> pandemic. This includes support services considering the needs of particularly vulnerable cohorts such as Abori</w:t>
      </w:r>
      <w:r w:rsidR="006F10D9" w:rsidRPr="00971736">
        <w:t>ginal and Torres Strait Islander people</w:t>
      </w:r>
      <w:r w:rsidR="004C43DB">
        <w:t>;</w:t>
      </w:r>
      <w:r w:rsidR="004C43DB" w:rsidRPr="00971736">
        <w:t xml:space="preserve"> </w:t>
      </w:r>
      <w:r w:rsidR="006F10D9" w:rsidRPr="00971736">
        <w:t>c</w:t>
      </w:r>
      <w:r w:rsidR="0060437D" w:rsidRPr="00971736">
        <w:t xml:space="preserve">ulturally and </w:t>
      </w:r>
      <w:r w:rsidR="006F10D9" w:rsidRPr="00971736">
        <w:t>l</w:t>
      </w:r>
      <w:r w:rsidR="0060437D" w:rsidRPr="00971736">
        <w:t xml:space="preserve">inguistically </w:t>
      </w:r>
      <w:r w:rsidR="006F10D9" w:rsidRPr="00971736">
        <w:t>d</w:t>
      </w:r>
      <w:r w:rsidR="0060437D" w:rsidRPr="00971736">
        <w:t xml:space="preserve">iverse </w:t>
      </w:r>
      <w:r w:rsidR="006F10D9" w:rsidRPr="00971736">
        <w:t>people</w:t>
      </w:r>
      <w:r w:rsidR="004C43DB">
        <w:t>;</w:t>
      </w:r>
      <w:r w:rsidR="004C43DB" w:rsidRPr="00971736">
        <w:t xml:space="preserve"> </w:t>
      </w:r>
      <w:r w:rsidR="003C34C0" w:rsidRPr="00971736">
        <w:t>women on temporary visas</w:t>
      </w:r>
      <w:r w:rsidR="004C43DB">
        <w:t>;</w:t>
      </w:r>
      <w:r w:rsidR="004C43DB" w:rsidRPr="00971736">
        <w:t xml:space="preserve"> </w:t>
      </w:r>
      <w:r w:rsidR="006F10D9" w:rsidRPr="00971736">
        <w:t>people with disability</w:t>
      </w:r>
      <w:r w:rsidR="004C43DB">
        <w:t>;</w:t>
      </w:r>
      <w:r w:rsidR="004C43DB" w:rsidRPr="00971736">
        <w:t xml:space="preserve"> </w:t>
      </w:r>
      <w:r w:rsidR="004C43DB" w:rsidRPr="004C43DB">
        <w:t>Lesbian, Gay, Bisexual, Trans and gender diverse, Intersex, Queer and questioning</w:t>
      </w:r>
      <w:r w:rsidR="004C43DB">
        <w:t xml:space="preserve"> (</w:t>
      </w:r>
      <w:r w:rsidR="006F10D9" w:rsidRPr="00971736">
        <w:t>LGBTIQ</w:t>
      </w:r>
      <w:r w:rsidR="004C43DB">
        <w:t>)</w:t>
      </w:r>
      <w:r w:rsidR="006F10D9" w:rsidRPr="00971736">
        <w:t xml:space="preserve"> communities</w:t>
      </w:r>
      <w:r w:rsidR="004C43DB">
        <w:t>;</w:t>
      </w:r>
      <w:r w:rsidR="004C43DB" w:rsidRPr="00971736">
        <w:t xml:space="preserve"> </w:t>
      </w:r>
      <w:r w:rsidR="003C34C0" w:rsidRPr="00971736">
        <w:t>and people living in regional, rural and remote locations</w:t>
      </w:r>
      <w:r w:rsidR="006F10D9" w:rsidRPr="00971736">
        <w:t xml:space="preserve">. </w:t>
      </w:r>
      <w:r w:rsidR="0060437D" w:rsidRPr="00971736">
        <w:t xml:space="preserve">Support services need </w:t>
      </w:r>
      <w:r w:rsidR="00E27935" w:rsidRPr="00971736">
        <w:t xml:space="preserve">to respond to expected increases in demand </w:t>
      </w:r>
      <w:r w:rsidR="003C34C0" w:rsidRPr="00971736">
        <w:t xml:space="preserve">and case complexity </w:t>
      </w:r>
      <w:r w:rsidR="00E27935" w:rsidRPr="00971736">
        <w:t xml:space="preserve">and </w:t>
      </w:r>
      <w:r w:rsidR="0060437D" w:rsidRPr="00971736">
        <w:t xml:space="preserve">deliver those services in the context of measures </w:t>
      </w:r>
      <w:r w:rsidR="001D228F" w:rsidRPr="00971736">
        <w:t xml:space="preserve">in place (such as </w:t>
      </w:r>
      <w:r w:rsidR="006F10D9" w:rsidRPr="00971736">
        <w:t>self-</w:t>
      </w:r>
      <w:r w:rsidR="001D228F" w:rsidRPr="00971736">
        <w:t>isolation</w:t>
      </w:r>
      <w:r w:rsidR="003C34C0" w:rsidRPr="00971736">
        <w:t xml:space="preserve"> and social distancing</w:t>
      </w:r>
      <w:r w:rsidR="001D228F" w:rsidRPr="00971736">
        <w:t xml:space="preserve">) that aim to </w:t>
      </w:r>
      <w:r w:rsidR="00E27935" w:rsidRPr="00971736">
        <w:t xml:space="preserve">minimise the spread of </w:t>
      </w:r>
      <w:r w:rsidR="00EE6ACA">
        <w:t>COVID-19</w:t>
      </w:r>
      <w:r w:rsidR="00E27935" w:rsidRPr="00971736">
        <w:t xml:space="preserve"> in the Australian community. </w:t>
      </w:r>
    </w:p>
    <w:p w14:paraId="232EE57B" w14:textId="77777777" w:rsidR="00814667" w:rsidRDefault="002434D2" w:rsidP="0090569F">
      <w:pPr>
        <w:pStyle w:val="Heading2"/>
      </w:pPr>
      <w:r>
        <w:t xml:space="preserve"> </w:t>
      </w:r>
      <w:r w:rsidR="00814667">
        <w:t>Outcomes</w:t>
      </w:r>
    </w:p>
    <w:p w14:paraId="59267028" w14:textId="77777777" w:rsidR="00852ED8" w:rsidRPr="001A7A15" w:rsidRDefault="00814667" w:rsidP="00594C7A">
      <w:pPr>
        <w:pStyle w:val="Normalnumbered"/>
        <w:numPr>
          <w:ilvl w:val="0"/>
          <w:numId w:val="10"/>
        </w:numPr>
      </w:pPr>
      <w:r w:rsidRPr="001A7A15">
        <w:t>Th</w:t>
      </w:r>
      <w:r w:rsidR="00B06097">
        <w:t>is</w:t>
      </w:r>
      <w:r w:rsidRPr="001A7A15">
        <w:t xml:space="preserve"> Agreement will </w:t>
      </w:r>
      <w:r w:rsidR="001A7A15">
        <w:t>facilitate</w:t>
      </w:r>
      <w:r w:rsidR="00B06097">
        <w:t xml:space="preserve"> </w:t>
      </w:r>
      <w:r w:rsidR="002E4B66">
        <w:t xml:space="preserve">achievement of </w:t>
      </w:r>
      <w:r w:rsidR="00B06097">
        <w:t>the following outcomes</w:t>
      </w:r>
      <w:r w:rsidR="00852ED8" w:rsidRPr="001A7A15">
        <w:t>:</w:t>
      </w:r>
      <w:r w:rsidR="00852ED8" w:rsidRPr="001A7A15">
        <w:tab/>
      </w:r>
    </w:p>
    <w:p w14:paraId="32A98B85" w14:textId="2D6A17F7" w:rsidR="00852ED8" w:rsidRDefault="00971736" w:rsidP="00594C7A">
      <w:pPr>
        <w:pStyle w:val="AlphaParagraph"/>
        <w:numPr>
          <w:ilvl w:val="0"/>
          <w:numId w:val="22"/>
        </w:numPr>
        <w:ind w:left="1134"/>
      </w:pPr>
      <w:r>
        <w:t xml:space="preserve">people can continue to access critical, specialist domestic, family and sexual violence support services to ensure the safety of women and their children in the context of increased risks resulting from the </w:t>
      </w:r>
      <w:r w:rsidR="00EE6ACA">
        <w:t>COVID-19</w:t>
      </w:r>
      <w:r>
        <w:t xml:space="preserve"> pandemic</w:t>
      </w:r>
      <w:r w:rsidR="001F4C1C">
        <w:t>; and</w:t>
      </w:r>
    </w:p>
    <w:p w14:paraId="2D5A30C1" w14:textId="77777777" w:rsidR="006D3FCB" w:rsidRDefault="006D3FCB" w:rsidP="00594C7A">
      <w:pPr>
        <w:pStyle w:val="AlphaParagraph"/>
        <w:numPr>
          <w:ilvl w:val="0"/>
          <w:numId w:val="22"/>
        </w:numPr>
        <w:ind w:left="1134"/>
      </w:pPr>
      <w:r>
        <w:t xml:space="preserve">the domestic, family and sexual violence sector continues to deliver </w:t>
      </w:r>
      <w:r w:rsidR="00927C31">
        <w:t>critical</w:t>
      </w:r>
      <w:r>
        <w:t xml:space="preserve"> supports and services during the</w:t>
      </w:r>
      <w:r w:rsidR="00A91FA9">
        <w:t xml:space="preserve"> Coronavirus</w:t>
      </w:r>
      <w:r>
        <w:t xml:space="preserve"> </w:t>
      </w:r>
      <w:r w:rsidR="00927C31">
        <w:t>pandemic</w:t>
      </w:r>
      <w:r>
        <w:t xml:space="preserve">. </w:t>
      </w:r>
    </w:p>
    <w:p w14:paraId="780D21DE" w14:textId="77777777" w:rsidR="00814667" w:rsidRDefault="00814667">
      <w:pPr>
        <w:pStyle w:val="Heading2"/>
      </w:pPr>
      <w:r>
        <w:t>Outputs</w:t>
      </w:r>
    </w:p>
    <w:p w14:paraId="2AD945F9" w14:textId="77777777" w:rsidR="0085738D" w:rsidRDefault="00814667" w:rsidP="00594C7A">
      <w:pPr>
        <w:pStyle w:val="Normalnumbered"/>
        <w:numPr>
          <w:ilvl w:val="0"/>
          <w:numId w:val="10"/>
        </w:numPr>
        <w:jc w:val="left"/>
      </w:pPr>
      <w:r w:rsidRPr="0085738D">
        <w:t>The objectives and outcomes of this Agreement will be achieved by</w:t>
      </w:r>
      <w:r w:rsidR="0085738D">
        <w:t>:</w:t>
      </w:r>
    </w:p>
    <w:p w14:paraId="6C5E32E7" w14:textId="488A8833" w:rsidR="00375193" w:rsidRDefault="00375193" w:rsidP="00594C7A">
      <w:pPr>
        <w:pStyle w:val="AlphaParagraph"/>
        <w:numPr>
          <w:ilvl w:val="0"/>
          <w:numId w:val="16"/>
        </w:numPr>
        <w:tabs>
          <w:tab w:val="clear" w:pos="567"/>
          <w:tab w:val="num" w:pos="283"/>
        </w:tabs>
        <w:ind w:left="1134"/>
      </w:pPr>
      <w:r>
        <w:t>supplying safer hous</w:t>
      </w:r>
      <w:r w:rsidR="006C04EB">
        <w:t>ing and e</w:t>
      </w:r>
      <w:r w:rsidR="001D228F">
        <w:t>mergency accommodation</w:t>
      </w:r>
      <w:r w:rsidR="003C34C0">
        <w:t>;</w:t>
      </w:r>
    </w:p>
    <w:p w14:paraId="74D3B2C3" w14:textId="0597F581" w:rsidR="00375193" w:rsidRDefault="00375193" w:rsidP="00594C7A">
      <w:pPr>
        <w:pStyle w:val="AlphaParagraph"/>
        <w:numPr>
          <w:ilvl w:val="0"/>
          <w:numId w:val="15"/>
        </w:numPr>
        <w:tabs>
          <w:tab w:val="clear" w:pos="567"/>
          <w:tab w:val="num" w:pos="283"/>
        </w:tabs>
        <w:ind w:left="1134"/>
      </w:pPr>
      <w:r>
        <w:t>delivering counselling and outreach services</w:t>
      </w:r>
      <w:r w:rsidR="003C34C0">
        <w:t>;</w:t>
      </w:r>
    </w:p>
    <w:p w14:paraId="787DE3F0" w14:textId="31B21BB3" w:rsidR="00375193" w:rsidRDefault="00375193" w:rsidP="00594C7A">
      <w:pPr>
        <w:pStyle w:val="AlphaParagraph"/>
        <w:numPr>
          <w:ilvl w:val="0"/>
          <w:numId w:val="15"/>
        </w:numPr>
        <w:tabs>
          <w:tab w:val="clear" w:pos="567"/>
          <w:tab w:val="num" w:pos="283"/>
        </w:tabs>
        <w:ind w:left="1134"/>
      </w:pPr>
      <w:r w:rsidRPr="00375193">
        <w:t xml:space="preserve">delivering </w:t>
      </w:r>
      <w:r>
        <w:t>crisis support and helplines</w:t>
      </w:r>
      <w:r w:rsidR="003C34C0">
        <w:t>;</w:t>
      </w:r>
    </w:p>
    <w:p w14:paraId="109E6D32" w14:textId="18DD6098" w:rsidR="00375193" w:rsidRDefault="00375193" w:rsidP="00594C7A">
      <w:pPr>
        <w:pStyle w:val="AlphaParagraph"/>
        <w:numPr>
          <w:ilvl w:val="0"/>
          <w:numId w:val="15"/>
        </w:numPr>
        <w:tabs>
          <w:tab w:val="clear" w:pos="567"/>
          <w:tab w:val="num" w:pos="283"/>
        </w:tabs>
        <w:ind w:left="1134"/>
      </w:pPr>
      <w:r w:rsidRPr="00375193">
        <w:t xml:space="preserve">delivering </w:t>
      </w:r>
      <w:r>
        <w:t>men’s behaviour change programs and other perpetrator interventions</w:t>
      </w:r>
      <w:r w:rsidR="003C34C0">
        <w:t>;</w:t>
      </w:r>
    </w:p>
    <w:p w14:paraId="4B5ED39E" w14:textId="0258C423" w:rsidR="00FD7AAE" w:rsidRPr="00971736" w:rsidRDefault="00375193" w:rsidP="002F4C80">
      <w:pPr>
        <w:pStyle w:val="AlphaParagraph"/>
        <w:numPr>
          <w:ilvl w:val="0"/>
          <w:numId w:val="15"/>
        </w:numPr>
        <w:tabs>
          <w:tab w:val="clear" w:pos="567"/>
          <w:tab w:val="num" w:pos="283"/>
        </w:tabs>
        <w:ind w:left="1134"/>
      </w:pPr>
      <w:r>
        <w:t xml:space="preserve">providing </w:t>
      </w:r>
      <w:r w:rsidRPr="00971736">
        <w:t xml:space="preserve">assistance for </w:t>
      </w:r>
      <w:r w:rsidR="003C34C0" w:rsidRPr="00971736">
        <w:t xml:space="preserve">specialist </w:t>
      </w:r>
      <w:r w:rsidRPr="00971736">
        <w:t xml:space="preserve">frontline services to manage increase in demand as a result of living changes from </w:t>
      </w:r>
      <w:r w:rsidR="00EE6ACA">
        <w:t>COVID-19</w:t>
      </w:r>
      <w:r w:rsidR="002F4C80">
        <w:t xml:space="preserve">, </w:t>
      </w:r>
      <w:r w:rsidRPr="00971736">
        <w:t>explore new technology-based service delivery methods</w:t>
      </w:r>
      <w:r w:rsidR="002F4C80">
        <w:t>, and assist clients to stay connected to service providers</w:t>
      </w:r>
      <w:r w:rsidR="003C34C0" w:rsidRPr="00971736">
        <w:t>;</w:t>
      </w:r>
    </w:p>
    <w:p w14:paraId="45F14F02" w14:textId="56F6CC70" w:rsidR="00375193" w:rsidRDefault="00375193" w:rsidP="00594C7A">
      <w:pPr>
        <w:pStyle w:val="AlphaParagraph"/>
        <w:numPr>
          <w:ilvl w:val="0"/>
          <w:numId w:val="15"/>
        </w:numPr>
        <w:tabs>
          <w:tab w:val="clear" w:pos="567"/>
          <w:tab w:val="num" w:pos="283"/>
        </w:tabs>
        <w:ind w:left="1134"/>
      </w:pPr>
      <w:r w:rsidRPr="00971736">
        <w:lastRenderedPageBreak/>
        <w:t>providing assistance for</w:t>
      </w:r>
      <w:r w:rsidR="003C34C0" w:rsidRPr="00971736">
        <w:t xml:space="preserve"> specialist</w:t>
      </w:r>
      <w:r w:rsidRPr="00971736">
        <w:t xml:space="preserve"> frontline services to respond to unique challenges of delivery in region</w:t>
      </w:r>
      <w:r w:rsidR="006C04EB" w:rsidRPr="00971736">
        <w:t>al, rural and remote locations</w:t>
      </w:r>
      <w:r w:rsidR="00887368">
        <w:t>, which may include training community workers in closed and isolated communities to provide support where no formal crisis care is available or immediately accessible</w:t>
      </w:r>
      <w:r w:rsidR="003C34C0">
        <w:t>;</w:t>
      </w:r>
    </w:p>
    <w:p w14:paraId="7FD38728" w14:textId="5B9BFA01" w:rsidR="001D228F" w:rsidRPr="00971736" w:rsidRDefault="00474E6C" w:rsidP="00594C7A">
      <w:pPr>
        <w:pStyle w:val="AlphaParagraph"/>
        <w:numPr>
          <w:ilvl w:val="0"/>
          <w:numId w:val="15"/>
        </w:numPr>
        <w:tabs>
          <w:tab w:val="clear" w:pos="567"/>
          <w:tab w:val="num" w:pos="283"/>
        </w:tabs>
        <w:ind w:left="1134"/>
      </w:pPr>
      <w:r>
        <w:t xml:space="preserve">providing assistance </w:t>
      </w:r>
      <w:r w:rsidR="0012393C">
        <w:t>for</w:t>
      </w:r>
      <w:r>
        <w:t xml:space="preserve"> specialist frontline services to put in place </w:t>
      </w:r>
      <w:r w:rsidR="001D228F" w:rsidRPr="00971736">
        <w:t xml:space="preserve">practices </w:t>
      </w:r>
      <w:r>
        <w:t xml:space="preserve">to </w:t>
      </w:r>
      <w:r w:rsidR="001D228F" w:rsidRPr="00971736">
        <w:t xml:space="preserve">protect staff and clients from </w:t>
      </w:r>
      <w:r w:rsidR="00EE6ACA">
        <w:t>COVID-19</w:t>
      </w:r>
      <w:r>
        <w:t xml:space="preserve">, </w:t>
      </w:r>
      <w:r w:rsidR="0012393C">
        <w:t xml:space="preserve">including but not limited to the supply and use of </w:t>
      </w:r>
      <w:r>
        <w:t>Personal Protective Equipment and enhanced cleaning services</w:t>
      </w:r>
      <w:r w:rsidR="003C34C0" w:rsidRPr="00971736">
        <w:t>; and</w:t>
      </w:r>
    </w:p>
    <w:p w14:paraId="5570EA33" w14:textId="07D43E08" w:rsidR="00D67CE5" w:rsidRPr="00971736" w:rsidRDefault="0073203D" w:rsidP="00594C7A">
      <w:pPr>
        <w:pStyle w:val="AlphaParagraph"/>
        <w:numPr>
          <w:ilvl w:val="0"/>
          <w:numId w:val="15"/>
        </w:numPr>
        <w:tabs>
          <w:tab w:val="clear" w:pos="567"/>
          <w:tab w:val="num" w:pos="283"/>
        </w:tabs>
        <w:ind w:left="1134"/>
      </w:pPr>
      <w:r w:rsidRPr="00971736">
        <w:t xml:space="preserve">responding to </w:t>
      </w:r>
      <w:r w:rsidR="00D67CE5" w:rsidRPr="00971736">
        <w:t xml:space="preserve">any other emerging needs </w:t>
      </w:r>
      <w:r w:rsidRPr="00971736">
        <w:t xml:space="preserve">and priorities as agreed by </w:t>
      </w:r>
      <w:r w:rsidR="0056581D">
        <w:t xml:space="preserve">the COAG </w:t>
      </w:r>
      <w:r w:rsidR="00D67CE5" w:rsidRPr="00971736">
        <w:t>Women’s Safety Council.</w:t>
      </w:r>
    </w:p>
    <w:p w14:paraId="67D584A3" w14:textId="1407B3FC" w:rsidR="00544284" w:rsidRPr="00971736" w:rsidRDefault="00D67CE5" w:rsidP="00594C7A">
      <w:pPr>
        <w:pStyle w:val="Normalnumbered"/>
        <w:numPr>
          <w:ilvl w:val="0"/>
          <w:numId w:val="10"/>
        </w:numPr>
        <w:jc w:val="left"/>
      </w:pPr>
      <w:r w:rsidRPr="00971736">
        <w:t xml:space="preserve">Funding </w:t>
      </w:r>
      <w:r w:rsidR="00544284" w:rsidRPr="00971736">
        <w:t xml:space="preserve">under this Agreement </w:t>
      </w:r>
      <w:r w:rsidRPr="00971736">
        <w:t xml:space="preserve">must not be used </w:t>
      </w:r>
      <w:r w:rsidR="00544284" w:rsidRPr="00971736">
        <w:t xml:space="preserve">to </w:t>
      </w:r>
      <w:r w:rsidR="0073203D" w:rsidRPr="00971736">
        <w:t xml:space="preserve">subsidise </w:t>
      </w:r>
      <w:r w:rsidR="00B22A74" w:rsidRPr="00971736">
        <w:t xml:space="preserve">services or programs for which </w:t>
      </w:r>
      <w:r w:rsidR="00544284" w:rsidRPr="00971736">
        <w:t>another Agreement under the IGA FFR</w:t>
      </w:r>
      <w:r w:rsidR="00971736" w:rsidRPr="00971736">
        <w:t xml:space="preserve"> has primary coverage</w:t>
      </w:r>
      <w:r w:rsidR="00544284" w:rsidRPr="00971736">
        <w:t xml:space="preserve">. </w:t>
      </w:r>
    </w:p>
    <w:p w14:paraId="054E4074" w14:textId="77777777" w:rsidR="00814667" w:rsidRDefault="00814667">
      <w:pPr>
        <w:pStyle w:val="Heading1"/>
      </w:pPr>
      <w:r>
        <w:t>Part 3 — roles and responsibilities of each party</w:t>
      </w:r>
    </w:p>
    <w:p w14:paraId="260B5073" w14:textId="77777777" w:rsidR="00814667" w:rsidRDefault="00AB79E9" w:rsidP="00594C7A">
      <w:pPr>
        <w:pStyle w:val="Normalnumbered"/>
        <w:numPr>
          <w:ilvl w:val="0"/>
          <w:numId w:val="10"/>
        </w:numPr>
        <w:jc w:val="left"/>
      </w:pPr>
      <w:r>
        <w:t xml:space="preserve">To realise the objectives and commitments in this Agreement, each Party has specific roles and responsibilities, as outlined </w:t>
      </w:r>
      <w:r w:rsidRPr="00ED6043">
        <w:t>below</w:t>
      </w:r>
      <w:r>
        <w:t>.</w:t>
      </w:r>
    </w:p>
    <w:p w14:paraId="1B1A08FF" w14:textId="77777777" w:rsidR="00814667" w:rsidRDefault="00814667">
      <w:pPr>
        <w:pStyle w:val="Heading2"/>
      </w:pPr>
      <w:r w:rsidRPr="00814590">
        <w:t>Role of the Commonwealth</w:t>
      </w:r>
    </w:p>
    <w:p w14:paraId="50D7E179" w14:textId="77777777" w:rsidR="00814590" w:rsidRPr="00336F12" w:rsidRDefault="00814590" w:rsidP="00594C7A">
      <w:pPr>
        <w:pStyle w:val="Normalnumbered"/>
        <w:numPr>
          <w:ilvl w:val="0"/>
          <w:numId w:val="10"/>
        </w:numPr>
        <w:jc w:val="left"/>
        <w:rPr>
          <w:color w:val="auto"/>
        </w:rPr>
      </w:pPr>
      <w:r w:rsidRPr="00336F12">
        <w:rPr>
          <w:color w:val="auto"/>
        </w:rPr>
        <w:t xml:space="preserve">The Commonwealth agrees to be </w:t>
      </w:r>
      <w:r w:rsidR="007C15F4">
        <w:rPr>
          <w:color w:val="auto"/>
        </w:rPr>
        <w:softHyphen/>
      </w:r>
      <w:r w:rsidR="00A10974">
        <w:rPr>
          <w:color w:val="auto"/>
        </w:rPr>
        <w:t>responsible</w:t>
      </w:r>
      <w:r w:rsidR="00AF3346" w:rsidRPr="00336F12">
        <w:rPr>
          <w:color w:val="auto"/>
        </w:rPr>
        <w:t xml:space="preserve"> </w:t>
      </w:r>
      <w:r w:rsidRPr="00336F12">
        <w:rPr>
          <w:color w:val="auto"/>
        </w:rPr>
        <w:t>for:</w:t>
      </w:r>
    </w:p>
    <w:p w14:paraId="04F1B9B3" w14:textId="33970409" w:rsidR="00C05CC6" w:rsidRPr="003F6184" w:rsidRDefault="00AD670F" w:rsidP="00594C7A">
      <w:pPr>
        <w:pStyle w:val="AlphaParagraph"/>
        <w:numPr>
          <w:ilvl w:val="0"/>
          <w:numId w:val="24"/>
        </w:numPr>
        <w:tabs>
          <w:tab w:val="clear" w:pos="567"/>
        </w:tabs>
        <w:ind w:left="1134"/>
        <w:rPr>
          <w:i/>
        </w:rPr>
      </w:pPr>
      <w:r w:rsidRPr="00C05CC6">
        <w:t xml:space="preserve">providing </w:t>
      </w:r>
      <w:r w:rsidR="00D802FC" w:rsidRPr="00C05CC6">
        <w:t>a financial contribution</w:t>
      </w:r>
      <w:r w:rsidRPr="00C05CC6">
        <w:t xml:space="preserve"> to the States to support the </w:t>
      </w:r>
      <w:r w:rsidR="001B7933" w:rsidRPr="00C05CC6">
        <w:t>implementation</w:t>
      </w:r>
      <w:r w:rsidR="00DE4A6C" w:rsidRPr="00C05CC6">
        <w:t xml:space="preserve"> of</w:t>
      </w:r>
      <w:r w:rsidR="006C04EB">
        <w:t xml:space="preserve"> this Agreement</w:t>
      </w:r>
      <w:r w:rsidR="003C34C0">
        <w:t>;</w:t>
      </w:r>
      <w:r w:rsidR="003F6184">
        <w:t xml:space="preserve"> and</w:t>
      </w:r>
    </w:p>
    <w:p w14:paraId="348E37BC" w14:textId="3373E5CF" w:rsidR="00634C20" w:rsidRPr="009365D3" w:rsidRDefault="003F6184" w:rsidP="009365D3">
      <w:pPr>
        <w:pStyle w:val="AlphaParagraph"/>
        <w:numPr>
          <w:ilvl w:val="0"/>
          <w:numId w:val="24"/>
        </w:numPr>
        <w:tabs>
          <w:tab w:val="clear" w:pos="567"/>
        </w:tabs>
        <w:ind w:left="1134"/>
      </w:pPr>
      <w:r w:rsidRPr="003F6184">
        <w:t xml:space="preserve">monitoring and assessing the performance in the delivery of </w:t>
      </w:r>
      <w:r>
        <w:t>projects</w:t>
      </w:r>
      <w:r w:rsidRPr="003F6184">
        <w:t xml:space="preserve"> under this Agreement to ensure that outputs are delivered and outcomes are achie</w:t>
      </w:r>
      <w:r>
        <w:t>ved within the agreed timeframe.</w:t>
      </w:r>
    </w:p>
    <w:p w14:paraId="4EFCFA04" w14:textId="77777777" w:rsidR="00814667" w:rsidRPr="00751725" w:rsidRDefault="00814667">
      <w:pPr>
        <w:pStyle w:val="Heading2"/>
      </w:pPr>
      <w:r w:rsidRPr="00751725">
        <w:t xml:space="preserve">Role of the States </w:t>
      </w:r>
      <w:r w:rsidR="00ED4036">
        <w:t>and Territories</w:t>
      </w:r>
    </w:p>
    <w:p w14:paraId="5A1059AC" w14:textId="77777777" w:rsidR="00814590" w:rsidRPr="00751725" w:rsidRDefault="00814590" w:rsidP="00594C7A">
      <w:pPr>
        <w:pStyle w:val="Normalnumbered"/>
        <w:numPr>
          <w:ilvl w:val="0"/>
          <w:numId w:val="10"/>
        </w:numPr>
        <w:jc w:val="left"/>
      </w:pPr>
      <w:r w:rsidRPr="00751725">
        <w:t xml:space="preserve">The States agree to be </w:t>
      </w:r>
      <w:r w:rsidR="00AF3346">
        <w:t>responsible</w:t>
      </w:r>
      <w:r w:rsidR="00AF3346" w:rsidRPr="00751725">
        <w:t xml:space="preserve"> </w:t>
      </w:r>
      <w:r w:rsidRPr="00751725">
        <w:t>for:</w:t>
      </w:r>
    </w:p>
    <w:p w14:paraId="404CFCBE" w14:textId="0E3C1423" w:rsidR="00D802FC" w:rsidRPr="006B4DF0" w:rsidRDefault="00EF72D4" w:rsidP="003C34C0">
      <w:pPr>
        <w:pStyle w:val="AlphaParagraph"/>
        <w:numPr>
          <w:ilvl w:val="0"/>
          <w:numId w:val="27"/>
        </w:numPr>
        <w:tabs>
          <w:tab w:val="clear" w:pos="567"/>
          <w:tab w:val="clear" w:pos="1134"/>
        </w:tabs>
      </w:pPr>
      <w:r w:rsidRPr="006B4DF0">
        <w:t xml:space="preserve">delivering on outcomes and outputs </w:t>
      </w:r>
      <w:r w:rsidR="00061F1C">
        <w:t>outlined</w:t>
      </w:r>
      <w:r w:rsidR="00645E6D">
        <w:t xml:space="preserve"> in clause 12</w:t>
      </w:r>
      <w:r w:rsidR="00061F1C">
        <w:t>, including through third-parties</w:t>
      </w:r>
      <w:r w:rsidR="003C34C0">
        <w:t>; and</w:t>
      </w:r>
    </w:p>
    <w:p w14:paraId="6488D605" w14:textId="77777777" w:rsidR="00DD1898" w:rsidRPr="00DD1898" w:rsidRDefault="00D802FC" w:rsidP="003C34C0">
      <w:pPr>
        <w:pStyle w:val="AlphaParagraph"/>
        <w:numPr>
          <w:ilvl w:val="0"/>
          <w:numId w:val="27"/>
        </w:numPr>
        <w:tabs>
          <w:tab w:val="clear" w:pos="567"/>
          <w:tab w:val="clear" w:pos="1134"/>
        </w:tabs>
        <w:rPr>
          <w:color w:val="00B050"/>
        </w:rPr>
      </w:pPr>
      <w:bookmarkStart w:id="1" w:name="OLE_LINK1"/>
      <w:bookmarkStart w:id="2" w:name="OLE_LINK2"/>
      <w:r w:rsidRPr="006B4DF0">
        <w:t xml:space="preserve">reporting on the delivery of </w:t>
      </w:r>
      <w:r w:rsidR="00333506">
        <w:t>outcomes and outputs</w:t>
      </w:r>
      <w:r w:rsidR="00333506" w:rsidRPr="006B4DF0">
        <w:t xml:space="preserve"> </w:t>
      </w:r>
      <w:r w:rsidRPr="006B4DF0">
        <w:t xml:space="preserve">as set out in Part 4 – Performance </w:t>
      </w:r>
      <w:r w:rsidR="00755B01">
        <w:t>Monitoring</w:t>
      </w:r>
      <w:r w:rsidRPr="006B4DF0">
        <w:t xml:space="preserve"> and Reporting</w:t>
      </w:r>
      <w:bookmarkEnd w:id="1"/>
      <w:bookmarkEnd w:id="2"/>
      <w:r w:rsidR="00FB484C">
        <w:t>.</w:t>
      </w:r>
    </w:p>
    <w:p w14:paraId="70876537" w14:textId="77777777" w:rsidR="00AB79E9" w:rsidRDefault="00AB79E9" w:rsidP="00AB79E9">
      <w:pPr>
        <w:pStyle w:val="Heading2"/>
      </w:pPr>
      <w:r w:rsidRPr="00DB4DA8">
        <w:t>Shared roles and responsibilities</w:t>
      </w:r>
    </w:p>
    <w:p w14:paraId="1542E24C" w14:textId="368D18BF" w:rsidR="00091DF8" w:rsidRPr="00971736" w:rsidRDefault="00287DCC" w:rsidP="00594C7A">
      <w:pPr>
        <w:pStyle w:val="Normalnumbered"/>
        <w:keepNext/>
        <w:numPr>
          <w:ilvl w:val="0"/>
          <w:numId w:val="10"/>
        </w:numPr>
        <w:rPr>
          <w:color w:val="auto"/>
        </w:rPr>
      </w:pPr>
      <w:r w:rsidRPr="0073203D">
        <w:rPr>
          <w:color w:val="auto"/>
        </w:rPr>
        <w:t>T</w:t>
      </w:r>
      <w:r w:rsidR="00AB79E9" w:rsidRPr="0073203D">
        <w:rPr>
          <w:color w:val="auto"/>
        </w:rPr>
        <w:t>he Commonwealth</w:t>
      </w:r>
      <w:r w:rsidRPr="0073203D">
        <w:rPr>
          <w:color w:val="auto"/>
        </w:rPr>
        <w:t xml:space="preserve"> and the </w:t>
      </w:r>
      <w:r w:rsidR="00AB79E9" w:rsidRPr="00971736">
        <w:rPr>
          <w:color w:val="auto"/>
        </w:rPr>
        <w:t>States</w:t>
      </w:r>
      <w:r w:rsidR="00544284" w:rsidRPr="00971736">
        <w:rPr>
          <w:color w:val="auto"/>
        </w:rPr>
        <w:t xml:space="preserve">, through the </w:t>
      </w:r>
      <w:r w:rsidR="0056581D">
        <w:rPr>
          <w:color w:val="auto"/>
        </w:rPr>
        <w:t xml:space="preserve">COAG </w:t>
      </w:r>
      <w:r w:rsidR="00544284" w:rsidRPr="00971736">
        <w:rPr>
          <w:color w:val="auto"/>
        </w:rPr>
        <w:t>Women’s Safety Council,</w:t>
      </w:r>
      <w:r w:rsidRPr="00971736">
        <w:rPr>
          <w:color w:val="auto"/>
        </w:rPr>
        <w:t xml:space="preserve"> </w:t>
      </w:r>
      <w:r w:rsidR="00F1611B" w:rsidRPr="00971736">
        <w:rPr>
          <w:color w:val="auto"/>
        </w:rPr>
        <w:t>a</w:t>
      </w:r>
      <w:r w:rsidR="007E5117" w:rsidRPr="00971736">
        <w:rPr>
          <w:color w:val="auto"/>
        </w:rPr>
        <w:t>gree to be</w:t>
      </w:r>
      <w:r w:rsidR="00F1611B" w:rsidRPr="00971736">
        <w:rPr>
          <w:color w:val="auto"/>
        </w:rPr>
        <w:t xml:space="preserve"> jointly </w:t>
      </w:r>
      <w:r w:rsidR="00AF3346" w:rsidRPr="00971736">
        <w:rPr>
          <w:color w:val="auto"/>
        </w:rPr>
        <w:t>responsible</w:t>
      </w:r>
      <w:r w:rsidR="00F1611B" w:rsidRPr="00971736">
        <w:rPr>
          <w:color w:val="auto"/>
        </w:rPr>
        <w:t xml:space="preserve"> for</w:t>
      </w:r>
      <w:r w:rsidR="00544284" w:rsidRPr="00971736">
        <w:rPr>
          <w:color w:val="auto"/>
        </w:rPr>
        <w:t>:</w:t>
      </w:r>
    </w:p>
    <w:p w14:paraId="41F04611" w14:textId="5AE41381" w:rsidR="006C04EB" w:rsidRPr="00971736" w:rsidRDefault="003C34C0" w:rsidP="00594C7A">
      <w:pPr>
        <w:pStyle w:val="AlphaParagraph"/>
        <w:numPr>
          <w:ilvl w:val="0"/>
          <w:numId w:val="20"/>
        </w:numPr>
        <w:ind w:left="1134"/>
        <w:rPr>
          <w:color w:val="auto"/>
        </w:rPr>
      </w:pPr>
      <w:r w:rsidRPr="00971736">
        <w:rPr>
          <w:color w:val="auto"/>
        </w:rPr>
        <w:t>discussing</w:t>
      </w:r>
      <w:r w:rsidR="006B21F3" w:rsidRPr="00971736">
        <w:rPr>
          <w:color w:val="auto"/>
        </w:rPr>
        <w:t xml:space="preserve"> the </w:t>
      </w:r>
      <w:r w:rsidRPr="00971736">
        <w:rPr>
          <w:color w:val="auto"/>
        </w:rPr>
        <w:t>allocation</w:t>
      </w:r>
      <w:r w:rsidR="006B21F3" w:rsidRPr="00971736">
        <w:rPr>
          <w:color w:val="auto"/>
        </w:rPr>
        <w:t xml:space="preserve"> of Commonwealth funding </w:t>
      </w:r>
      <w:r w:rsidR="005377C3" w:rsidRPr="00971736">
        <w:rPr>
          <w:color w:val="auto"/>
        </w:rPr>
        <w:t xml:space="preserve">from the contingency </w:t>
      </w:r>
      <w:r w:rsidR="00C66D3E" w:rsidRPr="00971736">
        <w:rPr>
          <w:color w:val="auto"/>
        </w:rPr>
        <w:t>fund</w:t>
      </w:r>
      <w:r w:rsidR="005377C3" w:rsidRPr="00971736">
        <w:rPr>
          <w:color w:val="auto"/>
        </w:rPr>
        <w:t xml:space="preserve"> and the demand-driven </w:t>
      </w:r>
      <w:r w:rsidR="00C66D3E" w:rsidRPr="00971736">
        <w:rPr>
          <w:color w:val="auto"/>
        </w:rPr>
        <w:t>fund</w:t>
      </w:r>
    </w:p>
    <w:p w14:paraId="39BCC674" w14:textId="3637125C" w:rsidR="00596E88" w:rsidRPr="00971736" w:rsidRDefault="00AB79E9" w:rsidP="00594C7A">
      <w:pPr>
        <w:pStyle w:val="AlphaParagraph"/>
        <w:numPr>
          <w:ilvl w:val="0"/>
          <w:numId w:val="20"/>
        </w:numPr>
        <w:ind w:left="1134"/>
        <w:rPr>
          <w:color w:val="auto"/>
        </w:rPr>
      </w:pPr>
      <w:r w:rsidRPr="00971736">
        <w:rPr>
          <w:color w:val="auto"/>
        </w:rPr>
        <w:t xml:space="preserve">negotiating </w:t>
      </w:r>
      <w:r w:rsidR="00287DCC" w:rsidRPr="00971736">
        <w:rPr>
          <w:color w:val="auto"/>
        </w:rPr>
        <w:t xml:space="preserve">new or revised </w:t>
      </w:r>
      <w:r w:rsidR="001A1422" w:rsidRPr="00971736">
        <w:rPr>
          <w:color w:val="auto"/>
        </w:rPr>
        <w:t>S</w:t>
      </w:r>
      <w:r w:rsidR="00287DCC" w:rsidRPr="00971736">
        <w:rPr>
          <w:color w:val="auto"/>
        </w:rPr>
        <w:t>chedules</w:t>
      </w:r>
      <w:r w:rsidR="005377C3" w:rsidRPr="00971736">
        <w:rPr>
          <w:color w:val="auto"/>
        </w:rPr>
        <w:t xml:space="preserve"> </w:t>
      </w:r>
      <w:r w:rsidR="00287DCC" w:rsidRPr="00971736">
        <w:rPr>
          <w:color w:val="auto"/>
        </w:rPr>
        <w:t xml:space="preserve">to this </w:t>
      </w:r>
      <w:r w:rsidR="00814590" w:rsidRPr="00971736">
        <w:rPr>
          <w:color w:val="auto"/>
        </w:rPr>
        <w:t>A</w:t>
      </w:r>
      <w:r w:rsidR="00287DCC" w:rsidRPr="00971736">
        <w:rPr>
          <w:color w:val="auto"/>
        </w:rPr>
        <w:t>greement</w:t>
      </w:r>
      <w:r w:rsidR="001F4C1C">
        <w:rPr>
          <w:color w:val="auto"/>
        </w:rPr>
        <w:t>; and</w:t>
      </w:r>
    </w:p>
    <w:p w14:paraId="1A162689" w14:textId="31DD288E" w:rsidR="006B21F3" w:rsidRPr="00971736" w:rsidRDefault="006B21F3" w:rsidP="003C34C0">
      <w:pPr>
        <w:pStyle w:val="AlphaParagraph"/>
        <w:numPr>
          <w:ilvl w:val="0"/>
          <w:numId w:val="20"/>
        </w:numPr>
        <w:ind w:left="1134"/>
        <w:rPr>
          <w:color w:val="auto"/>
        </w:rPr>
      </w:pPr>
      <w:r w:rsidRPr="00971736">
        <w:rPr>
          <w:color w:val="auto"/>
        </w:rPr>
        <w:t xml:space="preserve">monitoring the impact of </w:t>
      </w:r>
      <w:r w:rsidR="00EE6ACA">
        <w:rPr>
          <w:color w:val="auto"/>
        </w:rPr>
        <w:t>COVID-19</w:t>
      </w:r>
      <w:r w:rsidRPr="00971736">
        <w:rPr>
          <w:color w:val="auto"/>
        </w:rPr>
        <w:t xml:space="preserve"> on</w:t>
      </w:r>
      <w:r w:rsidR="003C34C0" w:rsidRPr="00971736">
        <w:rPr>
          <w:color w:val="auto"/>
        </w:rPr>
        <w:t xml:space="preserve"> the safety of women and their children and</w:t>
      </w:r>
      <w:r w:rsidRPr="00971736">
        <w:rPr>
          <w:color w:val="auto"/>
        </w:rPr>
        <w:t xml:space="preserve"> </w:t>
      </w:r>
      <w:r w:rsidR="00B22A74" w:rsidRPr="00971736">
        <w:rPr>
          <w:color w:val="auto"/>
        </w:rPr>
        <w:t xml:space="preserve">the </w:t>
      </w:r>
      <w:r w:rsidRPr="00971736">
        <w:rPr>
          <w:color w:val="auto"/>
        </w:rPr>
        <w:t>domestic, family and sexual violence services</w:t>
      </w:r>
      <w:r w:rsidR="003C34C0" w:rsidRPr="00971736">
        <w:rPr>
          <w:color w:val="auto"/>
        </w:rPr>
        <w:t xml:space="preserve"> that support them</w:t>
      </w:r>
      <w:r w:rsidRPr="00971736">
        <w:rPr>
          <w:color w:val="auto"/>
        </w:rPr>
        <w:t>, and the operation of this Agreement</w:t>
      </w:r>
      <w:r w:rsidR="006C04EB" w:rsidRPr="00971736">
        <w:rPr>
          <w:color w:val="auto"/>
        </w:rPr>
        <w:t>.</w:t>
      </w:r>
    </w:p>
    <w:p w14:paraId="5ED119CE" w14:textId="0C699F03" w:rsidR="00091DF8" w:rsidRPr="0073203D" w:rsidRDefault="00091DF8" w:rsidP="00061F1C">
      <w:pPr>
        <w:pStyle w:val="Normalnumbered"/>
        <w:keepNext/>
        <w:numPr>
          <w:ilvl w:val="0"/>
          <w:numId w:val="10"/>
        </w:numPr>
        <w:rPr>
          <w:color w:val="FF0000"/>
        </w:rPr>
      </w:pPr>
      <w:r w:rsidRPr="00971736">
        <w:rPr>
          <w:color w:val="auto"/>
        </w:rPr>
        <w:t>The Parties will meet the requirements of Schedule E, Clause 26 of</w:t>
      </w:r>
      <w:r w:rsidRPr="0073203D">
        <w:rPr>
          <w:color w:val="auto"/>
        </w:rPr>
        <w:t xml:space="preserve"> the I</w:t>
      </w:r>
      <w:r w:rsidR="00DA552B" w:rsidRPr="0073203D">
        <w:rPr>
          <w:color w:val="auto"/>
        </w:rPr>
        <w:t>GA FFR</w:t>
      </w:r>
      <w:r w:rsidRPr="0073203D">
        <w:rPr>
          <w:color w:val="auto"/>
        </w:rPr>
        <w:t xml:space="preserve">, by ensuring that prior agreement is reached on the nature and content of any events, announcements, promotional material or publicity relating to activities </w:t>
      </w:r>
      <w:r w:rsidR="00061F1C">
        <w:rPr>
          <w:color w:val="auto"/>
        </w:rPr>
        <w:t xml:space="preserve">funded </w:t>
      </w:r>
      <w:r w:rsidRPr="0073203D">
        <w:rPr>
          <w:color w:val="auto"/>
        </w:rPr>
        <w:t xml:space="preserve">under </w:t>
      </w:r>
      <w:r w:rsidR="00061F1C">
        <w:rPr>
          <w:color w:val="auto"/>
        </w:rPr>
        <w:t>this Agreement</w:t>
      </w:r>
      <w:r w:rsidRPr="0073203D">
        <w:rPr>
          <w:color w:val="auto"/>
        </w:rPr>
        <w:t>, and that the roles of both Parties will be acknowledged and recognised appropriately.</w:t>
      </w:r>
    </w:p>
    <w:p w14:paraId="16D7CAFB" w14:textId="77777777" w:rsidR="00814667" w:rsidRPr="00814590" w:rsidRDefault="00814667">
      <w:pPr>
        <w:pStyle w:val="Heading1"/>
      </w:pPr>
      <w:r w:rsidRPr="00814590">
        <w:t xml:space="preserve">Part 4 — Performance </w:t>
      </w:r>
      <w:r w:rsidR="00ED0175">
        <w:t>monitoring</w:t>
      </w:r>
      <w:r w:rsidR="00ED0175" w:rsidRPr="00814590">
        <w:t xml:space="preserve"> </w:t>
      </w:r>
      <w:r w:rsidRPr="00814590">
        <w:t>and reporting</w:t>
      </w:r>
    </w:p>
    <w:p w14:paraId="6F92BC2C" w14:textId="77777777" w:rsidR="00F3245D" w:rsidRDefault="00F3245D" w:rsidP="00F3245D">
      <w:pPr>
        <w:pStyle w:val="Heading2"/>
      </w:pPr>
      <w:r>
        <w:t xml:space="preserve">Performance </w:t>
      </w:r>
      <w:r w:rsidR="00ED0175">
        <w:t>milestones</w:t>
      </w:r>
    </w:p>
    <w:p w14:paraId="6B49DEA4" w14:textId="5096FE64" w:rsidR="00F14F70" w:rsidRPr="00814590" w:rsidRDefault="00F14F70" w:rsidP="0073203D">
      <w:pPr>
        <w:pStyle w:val="Normalnumbered"/>
        <w:numPr>
          <w:ilvl w:val="0"/>
          <w:numId w:val="26"/>
        </w:numPr>
        <w:jc w:val="left"/>
      </w:pPr>
      <w:r>
        <w:t>Table 1 summari</w:t>
      </w:r>
      <w:r w:rsidR="00253CD5">
        <w:t>s</w:t>
      </w:r>
      <w:r>
        <w:t>es the milestones, their relationship to the outputs, relevant reporting dates and expected payments to be made. The Commonwealth will make payments subject to the performance reports demonstrating the milestone has been met.</w:t>
      </w:r>
    </w:p>
    <w:p w14:paraId="0BEF20C2" w14:textId="77777777" w:rsidR="00BB249D" w:rsidRPr="00F265E7" w:rsidRDefault="00BB249D" w:rsidP="00BB249D">
      <w:pPr>
        <w:pStyle w:val="TableMainHeading"/>
        <w:keepLines/>
      </w:pPr>
      <w:r w:rsidRPr="00F265E7">
        <w:t xml:space="preserve">Table 1: </w:t>
      </w:r>
      <w:r w:rsidR="00F14F70">
        <w:t>Performance requirement, reporting and payment summary</w:t>
      </w:r>
      <w:r w:rsidRPr="00F265E7">
        <w:t xml:space="preserve"> </w:t>
      </w:r>
    </w:p>
    <w:p w14:paraId="6FC86A98" w14:textId="77777777" w:rsidR="00BB249D" w:rsidRPr="00F265E7" w:rsidRDefault="00BB249D" w:rsidP="00BB249D">
      <w:pPr>
        <w:pStyle w:val="TableGraphic"/>
      </w:pPr>
    </w:p>
    <w:tbl>
      <w:tblPr>
        <w:tblW w:w="5000" w:type="pct"/>
        <w:tblLook w:val="01E0" w:firstRow="1" w:lastRow="1" w:firstColumn="1" w:lastColumn="1" w:noHBand="0" w:noVBand="0"/>
      </w:tblPr>
      <w:tblGrid>
        <w:gridCol w:w="1560"/>
        <w:gridCol w:w="4252"/>
        <w:gridCol w:w="1912"/>
        <w:gridCol w:w="1914"/>
      </w:tblGrid>
      <w:tr w:rsidR="00F14F70" w:rsidRPr="00F265E7" w14:paraId="3BA425FC" w14:textId="77777777" w:rsidTr="00F14F70">
        <w:trPr>
          <w:cantSplit/>
        </w:trPr>
        <w:tc>
          <w:tcPr>
            <w:tcW w:w="809" w:type="pct"/>
            <w:tcBorders>
              <w:top w:val="single" w:sz="4" w:space="0" w:color="000080"/>
              <w:bottom w:val="single" w:sz="4" w:space="0" w:color="000080"/>
            </w:tcBorders>
          </w:tcPr>
          <w:p w14:paraId="76AE4B4B" w14:textId="77777777" w:rsidR="00F14F70" w:rsidRPr="00460406" w:rsidRDefault="00F14F70" w:rsidP="00F14F70">
            <w:pPr>
              <w:keepNext/>
              <w:keepLines/>
              <w:spacing w:before="40" w:after="40"/>
              <w:jc w:val="left"/>
              <w:rPr>
                <w:b/>
              </w:rPr>
            </w:pPr>
            <w:r w:rsidRPr="00460406">
              <w:rPr>
                <w:b/>
              </w:rPr>
              <w:t xml:space="preserve">Outputs </w:t>
            </w:r>
          </w:p>
        </w:tc>
        <w:tc>
          <w:tcPr>
            <w:tcW w:w="2206" w:type="pct"/>
            <w:tcBorders>
              <w:top w:val="single" w:sz="4" w:space="0" w:color="000080"/>
              <w:bottom w:val="single" w:sz="4" w:space="0" w:color="000080"/>
            </w:tcBorders>
          </w:tcPr>
          <w:p w14:paraId="178B62AD" w14:textId="77777777" w:rsidR="00F14F70" w:rsidRPr="00460406" w:rsidRDefault="00F14F70" w:rsidP="00F14F70">
            <w:pPr>
              <w:keepNext/>
              <w:keepLines/>
              <w:spacing w:before="40" w:after="40"/>
              <w:jc w:val="left"/>
              <w:rPr>
                <w:b/>
              </w:rPr>
            </w:pPr>
            <w:r w:rsidRPr="00460406">
              <w:rPr>
                <w:b/>
              </w:rPr>
              <w:t>Performance milestone</w:t>
            </w:r>
          </w:p>
        </w:tc>
        <w:tc>
          <w:tcPr>
            <w:tcW w:w="992" w:type="pct"/>
            <w:tcBorders>
              <w:top w:val="single" w:sz="4" w:space="0" w:color="000080"/>
              <w:bottom w:val="single" w:sz="4" w:space="0" w:color="000080"/>
            </w:tcBorders>
          </w:tcPr>
          <w:p w14:paraId="59554603" w14:textId="77777777" w:rsidR="00F14F70" w:rsidRPr="00460406" w:rsidRDefault="00F14F70" w:rsidP="00F14F70">
            <w:pPr>
              <w:keepNext/>
              <w:keepLines/>
              <w:spacing w:before="40" w:after="40"/>
              <w:jc w:val="left"/>
              <w:rPr>
                <w:b/>
              </w:rPr>
            </w:pPr>
            <w:r w:rsidRPr="00460406">
              <w:rPr>
                <w:b/>
              </w:rPr>
              <w:t>Report due</w:t>
            </w:r>
          </w:p>
        </w:tc>
        <w:tc>
          <w:tcPr>
            <w:tcW w:w="993" w:type="pct"/>
            <w:tcBorders>
              <w:top w:val="single" w:sz="4" w:space="0" w:color="000080"/>
              <w:bottom w:val="single" w:sz="4" w:space="0" w:color="000080"/>
            </w:tcBorders>
          </w:tcPr>
          <w:p w14:paraId="376BBFA6" w14:textId="77777777" w:rsidR="00F14F70" w:rsidRPr="00460406" w:rsidRDefault="00F14F70" w:rsidP="00F14F70">
            <w:pPr>
              <w:keepNext/>
              <w:keepLines/>
              <w:spacing w:before="40" w:after="40"/>
              <w:jc w:val="left"/>
              <w:rPr>
                <w:b/>
              </w:rPr>
            </w:pPr>
            <w:r w:rsidRPr="00460406">
              <w:rPr>
                <w:b/>
              </w:rPr>
              <w:t>Payment</w:t>
            </w:r>
          </w:p>
        </w:tc>
      </w:tr>
      <w:tr w:rsidR="00F14F70" w:rsidRPr="00F265E7" w14:paraId="2CFAF34C" w14:textId="77777777" w:rsidTr="00F14F70">
        <w:trPr>
          <w:cantSplit/>
        </w:trPr>
        <w:tc>
          <w:tcPr>
            <w:tcW w:w="809" w:type="pct"/>
            <w:vMerge w:val="restart"/>
            <w:tcBorders>
              <w:top w:val="single" w:sz="4" w:space="0" w:color="000080"/>
            </w:tcBorders>
          </w:tcPr>
          <w:p w14:paraId="235216DB" w14:textId="77777777" w:rsidR="00F14F70" w:rsidRPr="00F265E7" w:rsidRDefault="00F14F70" w:rsidP="00F14F70">
            <w:pPr>
              <w:keepNext/>
              <w:keepLines/>
              <w:spacing w:before="40" w:after="40"/>
              <w:jc w:val="left"/>
            </w:pPr>
            <w:r>
              <w:t>In accordance with clause 12</w:t>
            </w:r>
          </w:p>
        </w:tc>
        <w:tc>
          <w:tcPr>
            <w:tcW w:w="2206" w:type="pct"/>
            <w:tcBorders>
              <w:top w:val="single" w:sz="4" w:space="0" w:color="000080"/>
              <w:bottom w:val="single" w:sz="4" w:space="0" w:color="000080"/>
            </w:tcBorders>
          </w:tcPr>
          <w:p w14:paraId="1F438F06" w14:textId="77777777" w:rsidR="00F14F70" w:rsidRPr="00F265E7" w:rsidRDefault="00F14F70" w:rsidP="00F14F70">
            <w:pPr>
              <w:keepNext/>
              <w:keepLines/>
              <w:spacing w:before="40" w:after="40"/>
              <w:jc w:val="left"/>
            </w:pPr>
            <w:r>
              <w:t>On signing the agreement</w:t>
            </w:r>
          </w:p>
        </w:tc>
        <w:tc>
          <w:tcPr>
            <w:tcW w:w="992" w:type="pct"/>
            <w:tcBorders>
              <w:top w:val="single" w:sz="4" w:space="0" w:color="000080"/>
              <w:bottom w:val="single" w:sz="4" w:space="0" w:color="000080"/>
            </w:tcBorders>
          </w:tcPr>
          <w:p w14:paraId="7DD2AD3F" w14:textId="77777777" w:rsidR="00F14F70" w:rsidRPr="00F265E7" w:rsidRDefault="00F14F70" w:rsidP="00F14F70">
            <w:pPr>
              <w:keepNext/>
              <w:keepLines/>
              <w:spacing w:before="40" w:after="40"/>
              <w:jc w:val="left"/>
            </w:pPr>
            <w:r>
              <w:t>On signing</w:t>
            </w:r>
          </w:p>
        </w:tc>
        <w:tc>
          <w:tcPr>
            <w:tcW w:w="993" w:type="pct"/>
            <w:tcBorders>
              <w:top w:val="single" w:sz="4" w:space="0" w:color="000080"/>
              <w:bottom w:val="single" w:sz="4" w:space="0" w:color="000080"/>
            </w:tcBorders>
          </w:tcPr>
          <w:p w14:paraId="164D4273" w14:textId="77777777" w:rsidR="00F14F70" w:rsidRPr="00F265E7" w:rsidRDefault="00F14F70" w:rsidP="00F14F70">
            <w:pPr>
              <w:keepNext/>
              <w:keepLines/>
              <w:spacing w:before="40" w:after="40"/>
              <w:jc w:val="left"/>
            </w:pPr>
            <w:r>
              <w:t>$27.8 million</w:t>
            </w:r>
            <w:r w:rsidR="00460406">
              <w:t>, as per Table 2</w:t>
            </w:r>
          </w:p>
        </w:tc>
      </w:tr>
      <w:tr w:rsidR="00544284" w:rsidRPr="00F265E7" w14:paraId="35A6A7A5" w14:textId="77777777" w:rsidTr="00F14F70">
        <w:trPr>
          <w:cantSplit/>
        </w:trPr>
        <w:tc>
          <w:tcPr>
            <w:tcW w:w="809" w:type="pct"/>
            <w:vMerge/>
          </w:tcPr>
          <w:p w14:paraId="325462F5" w14:textId="77777777" w:rsidR="00544284" w:rsidRPr="00F265E7" w:rsidRDefault="00544284" w:rsidP="00F14F70">
            <w:pPr>
              <w:keepNext/>
              <w:keepLines/>
              <w:spacing w:before="40" w:after="40"/>
              <w:jc w:val="left"/>
            </w:pPr>
          </w:p>
        </w:tc>
        <w:tc>
          <w:tcPr>
            <w:tcW w:w="2206" w:type="pct"/>
            <w:tcBorders>
              <w:top w:val="single" w:sz="4" w:space="0" w:color="000080"/>
              <w:bottom w:val="single" w:sz="4" w:space="0" w:color="000080"/>
            </w:tcBorders>
          </w:tcPr>
          <w:p w14:paraId="6A651B41" w14:textId="77777777" w:rsidR="00544284" w:rsidRPr="0073203D" w:rsidRDefault="00544284" w:rsidP="008D39D5">
            <w:pPr>
              <w:keepNext/>
              <w:keepLines/>
              <w:spacing w:before="40" w:after="40"/>
              <w:jc w:val="left"/>
            </w:pPr>
            <w:r w:rsidRPr="0073203D">
              <w:t xml:space="preserve">Submission of a project plan setting out </w:t>
            </w:r>
            <w:r w:rsidR="008D39D5" w:rsidRPr="0073203D">
              <w:t xml:space="preserve">intended </w:t>
            </w:r>
            <w:r w:rsidRPr="0073203D">
              <w:t>outputs</w:t>
            </w:r>
            <w:r w:rsidR="008D39D5" w:rsidRPr="0073203D">
              <w:t xml:space="preserve"> funded through </w:t>
            </w:r>
            <w:r w:rsidRPr="0073203D">
              <w:t>the upfront advance payment</w:t>
            </w:r>
          </w:p>
        </w:tc>
        <w:tc>
          <w:tcPr>
            <w:tcW w:w="992" w:type="pct"/>
            <w:tcBorders>
              <w:top w:val="single" w:sz="4" w:space="0" w:color="000080"/>
              <w:bottom w:val="single" w:sz="4" w:space="0" w:color="000080"/>
            </w:tcBorders>
          </w:tcPr>
          <w:p w14:paraId="43D38D0A" w14:textId="77777777" w:rsidR="00544284" w:rsidRPr="0073203D" w:rsidRDefault="008D39D5" w:rsidP="00F14F70">
            <w:pPr>
              <w:keepNext/>
              <w:keepLines/>
              <w:spacing w:before="40" w:after="40"/>
              <w:jc w:val="left"/>
            </w:pPr>
            <w:r w:rsidRPr="0073203D">
              <w:t>22</w:t>
            </w:r>
            <w:r w:rsidR="00544284" w:rsidRPr="0073203D">
              <w:t xml:space="preserve"> May 2020</w:t>
            </w:r>
          </w:p>
        </w:tc>
        <w:tc>
          <w:tcPr>
            <w:tcW w:w="993" w:type="pct"/>
            <w:tcBorders>
              <w:top w:val="single" w:sz="4" w:space="0" w:color="000080"/>
              <w:bottom w:val="single" w:sz="4" w:space="0" w:color="000080"/>
            </w:tcBorders>
          </w:tcPr>
          <w:p w14:paraId="25D69F36" w14:textId="77777777" w:rsidR="00544284" w:rsidRPr="0073203D" w:rsidRDefault="00544284" w:rsidP="00F14F70">
            <w:pPr>
              <w:keepNext/>
              <w:keepLines/>
              <w:spacing w:before="40" w:after="40"/>
              <w:jc w:val="left"/>
            </w:pPr>
            <w:r w:rsidRPr="0073203D">
              <w:t>Nil</w:t>
            </w:r>
          </w:p>
        </w:tc>
      </w:tr>
      <w:tr w:rsidR="00F14F70" w:rsidRPr="00F265E7" w14:paraId="756E4051" w14:textId="77777777" w:rsidTr="00F14F70">
        <w:trPr>
          <w:cantSplit/>
        </w:trPr>
        <w:tc>
          <w:tcPr>
            <w:tcW w:w="809" w:type="pct"/>
            <w:vMerge/>
          </w:tcPr>
          <w:p w14:paraId="557A344A" w14:textId="77777777" w:rsidR="00F14F70" w:rsidRPr="00F265E7" w:rsidRDefault="00F14F70" w:rsidP="00F14F70">
            <w:pPr>
              <w:keepNext/>
              <w:keepLines/>
              <w:spacing w:before="40" w:after="40"/>
              <w:jc w:val="left"/>
            </w:pPr>
          </w:p>
        </w:tc>
        <w:tc>
          <w:tcPr>
            <w:tcW w:w="2206" w:type="pct"/>
            <w:tcBorders>
              <w:top w:val="single" w:sz="4" w:space="0" w:color="000080"/>
              <w:bottom w:val="single" w:sz="4" w:space="0" w:color="000080"/>
            </w:tcBorders>
          </w:tcPr>
          <w:p w14:paraId="4C34E26F" w14:textId="77777777" w:rsidR="00F14F70" w:rsidRPr="0073203D" w:rsidRDefault="00544284" w:rsidP="0059436D">
            <w:pPr>
              <w:keepNext/>
              <w:keepLines/>
              <w:spacing w:before="40" w:after="40"/>
              <w:jc w:val="left"/>
            </w:pPr>
            <w:r w:rsidRPr="0073203D">
              <w:t>Agreement to the</w:t>
            </w:r>
            <w:r w:rsidR="00B6628B" w:rsidRPr="0073203D">
              <w:t xml:space="preserve"> </w:t>
            </w:r>
            <w:r w:rsidR="00F14F70" w:rsidRPr="0073203D">
              <w:t xml:space="preserve">distribution of Commonwealth funding from the contingency </w:t>
            </w:r>
            <w:r w:rsidR="0059436D" w:rsidRPr="0073203D">
              <w:t>fund</w:t>
            </w:r>
          </w:p>
        </w:tc>
        <w:tc>
          <w:tcPr>
            <w:tcW w:w="992" w:type="pct"/>
            <w:tcBorders>
              <w:top w:val="single" w:sz="4" w:space="0" w:color="000080"/>
              <w:bottom w:val="single" w:sz="4" w:space="0" w:color="000080"/>
            </w:tcBorders>
          </w:tcPr>
          <w:p w14:paraId="23DF9737" w14:textId="79147EC1" w:rsidR="00F14F70" w:rsidRPr="0073203D" w:rsidRDefault="00E80074" w:rsidP="00F14F70">
            <w:pPr>
              <w:keepNext/>
              <w:keepLines/>
              <w:spacing w:before="40" w:after="40"/>
              <w:jc w:val="left"/>
            </w:pPr>
            <w:r w:rsidRPr="0073203D">
              <w:t>29</w:t>
            </w:r>
            <w:r w:rsidR="00F14F70" w:rsidRPr="0073203D">
              <w:t xml:space="preserve"> May 2020</w:t>
            </w:r>
          </w:p>
        </w:tc>
        <w:tc>
          <w:tcPr>
            <w:tcW w:w="993" w:type="pct"/>
            <w:tcBorders>
              <w:top w:val="single" w:sz="4" w:space="0" w:color="000080"/>
              <w:bottom w:val="single" w:sz="4" w:space="0" w:color="000080"/>
            </w:tcBorders>
          </w:tcPr>
          <w:p w14:paraId="53B8D91E" w14:textId="4B05FE3F" w:rsidR="00F14F70" w:rsidRPr="0073203D" w:rsidRDefault="00F14F70" w:rsidP="0012393C">
            <w:pPr>
              <w:keepNext/>
              <w:keepLines/>
              <w:spacing w:before="40" w:after="40"/>
              <w:jc w:val="left"/>
            </w:pPr>
            <w:r w:rsidRPr="0073203D">
              <w:t>Up to $4.7 million</w:t>
            </w:r>
            <w:r w:rsidRPr="0073203D">
              <w:br/>
            </w:r>
            <w:r w:rsidR="00273A30" w:rsidRPr="0073203D">
              <w:br/>
            </w:r>
            <w:r w:rsidR="00544284" w:rsidRPr="0073203D">
              <w:t>Distribution</w:t>
            </w:r>
            <w:r w:rsidRPr="0073203D">
              <w:t xml:space="preserve"> </w:t>
            </w:r>
            <w:r w:rsidR="00912D84" w:rsidRPr="0073203D">
              <w:t xml:space="preserve">to be </w:t>
            </w:r>
            <w:r w:rsidR="0012393C">
              <w:t>discussed and prioritised</w:t>
            </w:r>
            <w:r w:rsidR="0012393C" w:rsidRPr="0073203D">
              <w:t xml:space="preserve"> </w:t>
            </w:r>
            <w:r w:rsidRPr="0073203D">
              <w:t xml:space="preserve">by </w:t>
            </w:r>
            <w:r w:rsidR="0056581D">
              <w:t xml:space="preserve">the COAG </w:t>
            </w:r>
            <w:r w:rsidRPr="0073203D">
              <w:t xml:space="preserve">Women’s Safety Council </w:t>
            </w:r>
          </w:p>
        </w:tc>
      </w:tr>
      <w:tr w:rsidR="00F14F70" w:rsidRPr="00F265E7" w14:paraId="5254BC61" w14:textId="77777777" w:rsidTr="00F14F70">
        <w:trPr>
          <w:cantSplit/>
        </w:trPr>
        <w:tc>
          <w:tcPr>
            <w:tcW w:w="809" w:type="pct"/>
            <w:vMerge/>
          </w:tcPr>
          <w:p w14:paraId="514EC49E" w14:textId="77777777" w:rsidR="00F14F70" w:rsidRPr="00F265E7" w:rsidRDefault="00F14F70" w:rsidP="00F14F70">
            <w:pPr>
              <w:keepNext/>
              <w:keepLines/>
              <w:spacing w:before="40" w:after="40"/>
              <w:jc w:val="left"/>
            </w:pPr>
          </w:p>
        </w:tc>
        <w:tc>
          <w:tcPr>
            <w:tcW w:w="2206" w:type="pct"/>
            <w:tcBorders>
              <w:top w:val="single" w:sz="4" w:space="0" w:color="000080"/>
              <w:bottom w:val="single" w:sz="4" w:space="0" w:color="000080"/>
            </w:tcBorders>
          </w:tcPr>
          <w:p w14:paraId="0F5FDE85" w14:textId="7AF1724C" w:rsidR="00B22A74" w:rsidRDefault="00B22A74" w:rsidP="00E5711D">
            <w:pPr>
              <w:keepNext/>
              <w:keepLines/>
              <w:spacing w:before="40" w:after="40"/>
              <w:jc w:val="left"/>
            </w:pPr>
            <w:r w:rsidRPr="009B6F81">
              <w:t xml:space="preserve">Submission of a report </w:t>
            </w:r>
            <w:r w:rsidR="00856D42">
              <w:t xml:space="preserve">or amended project plan </w:t>
            </w:r>
            <w:r w:rsidRPr="0073203D">
              <w:t xml:space="preserve">outlining outputs delivered to date </w:t>
            </w:r>
          </w:p>
          <w:p w14:paraId="0F9EC7EC" w14:textId="77777777" w:rsidR="00B22A74" w:rsidRDefault="00B22A74" w:rsidP="00E5711D">
            <w:pPr>
              <w:keepNext/>
              <w:keepLines/>
              <w:spacing w:before="40" w:after="40"/>
              <w:jc w:val="left"/>
            </w:pPr>
          </w:p>
          <w:p w14:paraId="55D9B58B" w14:textId="21E5FE77" w:rsidR="00F14F70" w:rsidRPr="0073203D" w:rsidRDefault="00F14F70" w:rsidP="00E5711D">
            <w:pPr>
              <w:keepNext/>
              <w:keepLines/>
              <w:spacing w:before="40" w:after="40"/>
              <w:jc w:val="left"/>
            </w:pPr>
            <w:r w:rsidRPr="0073203D">
              <w:t xml:space="preserve">Submission of a project plan </w:t>
            </w:r>
            <w:r w:rsidR="008D39D5" w:rsidRPr="0073203D">
              <w:t>showing</w:t>
            </w:r>
            <w:r w:rsidRPr="0073203D">
              <w:t xml:space="preserve"> </w:t>
            </w:r>
            <w:r w:rsidR="008D39D5" w:rsidRPr="0073203D">
              <w:t xml:space="preserve">intended </w:t>
            </w:r>
            <w:r w:rsidRPr="0073203D">
              <w:t xml:space="preserve">outputs </w:t>
            </w:r>
            <w:r w:rsidR="008D39D5" w:rsidRPr="0073203D">
              <w:t>to be funded through the</w:t>
            </w:r>
            <w:r w:rsidR="00544284" w:rsidRPr="0073203D">
              <w:t xml:space="preserve"> </w:t>
            </w:r>
            <w:r w:rsidR="008D39D5" w:rsidRPr="0073203D">
              <w:t xml:space="preserve">contingency fund and </w:t>
            </w:r>
            <w:r w:rsidR="00544284" w:rsidRPr="0073203D">
              <w:t>demand-driven fund</w:t>
            </w:r>
            <w:r w:rsidR="008D39D5" w:rsidRPr="0073203D">
              <w:t xml:space="preserve"> (where relevant)</w:t>
            </w:r>
          </w:p>
        </w:tc>
        <w:tc>
          <w:tcPr>
            <w:tcW w:w="992" w:type="pct"/>
            <w:tcBorders>
              <w:top w:val="single" w:sz="4" w:space="0" w:color="000080"/>
              <w:bottom w:val="single" w:sz="4" w:space="0" w:color="000080"/>
            </w:tcBorders>
          </w:tcPr>
          <w:p w14:paraId="1C166EAA" w14:textId="1702268C" w:rsidR="00F14F70" w:rsidRPr="00971736" w:rsidRDefault="00385A60" w:rsidP="00385A60">
            <w:pPr>
              <w:keepNext/>
              <w:keepLines/>
              <w:spacing w:before="40" w:after="40"/>
              <w:jc w:val="left"/>
            </w:pPr>
            <w:r>
              <w:t>1</w:t>
            </w:r>
            <w:r w:rsidRPr="00971736">
              <w:t xml:space="preserve"> </w:t>
            </w:r>
            <w:r>
              <w:t>July</w:t>
            </w:r>
            <w:r w:rsidRPr="00971736">
              <w:t xml:space="preserve"> </w:t>
            </w:r>
            <w:r w:rsidR="00F14F70" w:rsidRPr="00971736">
              <w:t>2020</w:t>
            </w:r>
          </w:p>
        </w:tc>
        <w:tc>
          <w:tcPr>
            <w:tcW w:w="993" w:type="pct"/>
            <w:tcBorders>
              <w:top w:val="single" w:sz="4" w:space="0" w:color="000080"/>
              <w:bottom w:val="single" w:sz="4" w:space="0" w:color="000080"/>
            </w:tcBorders>
          </w:tcPr>
          <w:p w14:paraId="23A02914" w14:textId="63114050" w:rsidR="00F14F70" w:rsidRPr="00971736" w:rsidRDefault="00B22A74" w:rsidP="0012393C">
            <w:pPr>
              <w:keepNext/>
              <w:keepLines/>
              <w:spacing w:before="40" w:after="40"/>
              <w:jc w:val="left"/>
            </w:pPr>
            <w:r w:rsidRPr="00971736">
              <w:t>Up to $97.5 million</w:t>
            </w:r>
            <w:r w:rsidRPr="00971736">
              <w:br/>
            </w:r>
            <w:r w:rsidRPr="00971736">
              <w:br/>
              <w:t xml:space="preserve">Distribution to be </w:t>
            </w:r>
            <w:r w:rsidR="0012393C">
              <w:t>discussed</w:t>
            </w:r>
            <w:r w:rsidR="0012393C" w:rsidRPr="00971736">
              <w:t xml:space="preserve"> </w:t>
            </w:r>
            <w:r w:rsidR="0012393C">
              <w:t xml:space="preserve">and prioritised </w:t>
            </w:r>
            <w:r w:rsidRPr="00971736">
              <w:t xml:space="preserve">by </w:t>
            </w:r>
            <w:r w:rsidR="0056581D">
              <w:t xml:space="preserve">the COAG </w:t>
            </w:r>
            <w:r w:rsidRPr="00971736">
              <w:t>Women’s Safety Council</w:t>
            </w:r>
          </w:p>
        </w:tc>
      </w:tr>
      <w:tr w:rsidR="00F14F70" w:rsidRPr="00F265E7" w14:paraId="6198A506" w14:textId="77777777" w:rsidTr="00F14F70">
        <w:trPr>
          <w:cantSplit/>
        </w:trPr>
        <w:tc>
          <w:tcPr>
            <w:tcW w:w="809" w:type="pct"/>
            <w:tcBorders>
              <w:bottom w:val="single" w:sz="4" w:space="0" w:color="000080"/>
            </w:tcBorders>
          </w:tcPr>
          <w:p w14:paraId="17CBC675" w14:textId="77777777" w:rsidR="00F14F70" w:rsidRPr="00F265E7" w:rsidRDefault="00F14F70" w:rsidP="00F14F70">
            <w:pPr>
              <w:keepNext/>
              <w:keepLines/>
              <w:spacing w:before="40" w:after="40"/>
              <w:jc w:val="left"/>
            </w:pPr>
          </w:p>
        </w:tc>
        <w:tc>
          <w:tcPr>
            <w:tcW w:w="2206" w:type="pct"/>
            <w:tcBorders>
              <w:top w:val="single" w:sz="4" w:space="0" w:color="000080"/>
              <w:bottom w:val="single" w:sz="4" w:space="0" w:color="000080"/>
            </w:tcBorders>
          </w:tcPr>
          <w:p w14:paraId="7F893B96" w14:textId="77777777" w:rsidR="00F14F70" w:rsidRPr="00F265E7" w:rsidRDefault="00460406" w:rsidP="00F14F70">
            <w:pPr>
              <w:keepNext/>
              <w:keepLines/>
              <w:spacing w:before="40" w:after="40"/>
              <w:jc w:val="left"/>
            </w:pPr>
            <w:r>
              <w:t>Overview of outputs and assessment of objectives and outcomes in a final report</w:t>
            </w:r>
          </w:p>
        </w:tc>
        <w:tc>
          <w:tcPr>
            <w:tcW w:w="992" w:type="pct"/>
            <w:tcBorders>
              <w:top w:val="single" w:sz="4" w:space="0" w:color="000080"/>
              <w:bottom w:val="single" w:sz="4" w:space="0" w:color="000080"/>
            </w:tcBorders>
          </w:tcPr>
          <w:p w14:paraId="4EBFD577" w14:textId="792986EB" w:rsidR="00F14F70" w:rsidRPr="00971736" w:rsidRDefault="00B22A74" w:rsidP="00061F1C">
            <w:pPr>
              <w:keepNext/>
              <w:keepLines/>
              <w:spacing w:before="40" w:after="40"/>
              <w:jc w:val="left"/>
            </w:pPr>
            <w:r w:rsidRPr="00971736">
              <w:t xml:space="preserve">31 </w:t>
            </w:r>
            <w:r w:rsidR="00061F1C">
              <w:t>March</w:t>
            </w:r>
            <w:r w:rsidR="00061F1C" w:rsidRPr="00971736">
              <w:t xml:space="preserve"> </w:t>
            </w:r>
            <w:r w:rsidRPr="00971736">
              <w:t>2021</w:t>
            </w:r>
          </w:p>
        </w:tc>
        <w:tc>
          <w:tcPr>
            <w:tcW w:w="993" w:type="pct"/>
            <w:tcBorders>
              <w:top w:val="single" w:sz="4" w:space="0" w:color="000080"/>
              <w:bottom w:val="single" w:sz="4" w:space="0" w:color="000080"/>
            </w:tcBorders>
          </w:tcPr>
          <w:p w14:paraId="306D0655" w14:textId="77777777" w:rsidR="00F14F70" w:rsidRPr="00971736" w:rsidRDefault="00460406" w:rsidP="00F14F70">
            <w:pPr>
              <w:keepNext/>
              <w:keepLines/>
              <w:spacing w:before="40" w:after="40"/>
              <w:jc w:val="left"/>
            </w:pPr>
            <w:r w:rsidRPr="00971736">
              <w:t>Nil</w:t>
            </w:r>
          </w:p>
        </w:tc>
      </w:tr>
    </w:tbl>
    <w:p w14:paraId="37FFAF39" w14:textId="77777777" w:rsidR="00BB249D" w:rsidRDefault="00BB249D" w:rsidP="00460406">
      <w:pPr>
        <w:pStyle w:val="AlphaParagraph"/>
        <w:tabs>
          <w:tab w:val="clear" w:pos="0"/>
          <w:tab w:val="clear" w:pos="567"/>
          <w:tab w:val="clear" w:pos="1134"/>
        </w:tabs>
        <w:ind w:left="0" w:firstLine="0"/>
      </w:pPr>
    </w:p>
    <w:p w14:paraId="66F1E197" w14:textId="77777777" w:rsidR="00F3245D" w:rsidRDefault="00F3245D" w:rsidP="00F3245D">
      <w:pPr>
        <w:pStyle w:val="Heading2"/>
      </w:pPr>
      <w:r>
        <w:t>Reporting arrangements</w:t>
      </w:r>
    </w:p>
    <w:p w14:paraId="68684D6C" w14:textId="63E0D22F" w:rsidR="00460406" w:rsidRDefault="00460406" w:rsidP="0073203D">
      <w:pPr>
        <w:pStyle w:val="Normalnumbered"/>
        <w:numPr>
          <w:ilvl w:val="0"/>
          <w:numId w:val="26"/>
        </w:numPr>
        <w:spacing w:before="120" w:line="240" w:lineRule="auto"/>
        <w:jc w:val="left"/>
        <w:rPr>
          <w:szCs w:val="23"/>
        </w:rPr>
      </w:pPr>
      <w:r>
        <w:rPr>
          <w:szCs w:val="23"/>
        </w:rPr>
        <w:t>The States will report the minimum required to demonstrate that milestones have been</w:t>
      </w:r>
      <w:r w:rsidR="00CB0E90">
        <w:rPr>
          <w:szCs w:val="23"/>
        </w:rPr>
        <w:t xml:space="preserve"> </w:t>
      </w:r>
      <w:r w:rsidR="00CB0E90" w:rsidRPr="0073203D">
        <w:rPr>
          <w:szCs w:val="23"/>
        </w:rPr>
        <w:t>reached</w:t>
      </w:r>
      <w:r w:rsidRPr="0073203D">
        <w:rPr>
          <w:szCs w:val="23"/>
        </w:rPr>
        <w:t>, against the agreed milestones set out in Table 1.</w:t>
      </w:r>
      <w:r w:rsidR="00E5711D" w:rsidRPr="0073203D">
        <w:rPr>
          <w:szCs w:val="23"/>
        </w:rPr>
        <w:t xml:space="preserve"> A joint communique or approved formal minutes from the </w:t>
      </w:r>
      <w:r w:rsidR="0056581D">
        <w:rPr>
          <w:szCs w:val="23"/>
        </w:rPr>
        <w:t xml:space="preserve">COAG </w:t>
      </w:r>
      <w:r w:rsidR="00E5711D" w:rsidRPr="0073203D">
        <w:rPr>
          <w:szCs w:val="23"/>
        </w:rPr>
        <w:t>Women’s Safety Council is accepted as a report if it demonstrates the milestones have been reached.</w:t>
      </w:r>
    </w:p>
    <w:p w14:paraId="046F13D6" w14:textId="013B8C19" w:rsidR="00951BAD" w:rsidRPr="00971736" w:rsidRDefault="00282C25" w:rsidP="0073203D">
      <w:pPr>
        <w:pStyle w:val="Normalnumbered"/>
        <w:numPr>
          <w:ilvl w:val="0"/>
          <w:numId w:val="26"/>
        </w:numPr>
        <w:spacing w:before="120" w:line="240" w:lineRule="auto"/>
        <w:jc w:val="left"/>
        <w:rPr>
          <w:szCs w:val="23"/>
        </w:rPr>
      </w:pPr>
      <w:r>
        <w:rPr>
          <w:szCs w:val="23"/>
        </w:rPr>
        <w:t>The</w:t>
      </w:r>
      <w:r w:rsidRPr="00881317">
        <w:rPr>
          <w:szCs w:val="23"/>
        </w:rPr>
        <w:t xml:space="preserve"> </w:t>
      </w:r>
      <w:r w:rsidR="00951BAD" w:rsidRPr="00881317">
        <w:rPr>
          <w:szCs w:val="23"/>
        </w:rPr>
        <w:t>State</w:t>
      </w:r>
      <w:r>
        <w:rPr>
          <w:szCs w:val="23"/>
        </w:rPr>
        <w:t>s</w:t>
      </w:r>
      <w:r w:rsidR="00951BAD" w:rsidRPr="00881317">
        <w:rPr>
          <w:szCs w:val="23"/>
        </w:rPr>
        <w:t xml:space="preserve"> will </w:t>
      </w:r>
      <w:r w:rsidR="00F265E7">
        <w:rPr>
          <w:szCs w:val="23"/>
        </w:rPr>
        <w:t>also provide the Commonwealth with</w:t>
      </w:r>
      <w:r w:rsidR="00951BAD" w:rsidRPr="00881317">
        <w:rPr>
          <w:szCs w:val="23"/>
        </w:rPr>
        <w:t xml:space="preserve"> a </w:t>
      </w:r>
      <w:r w:rsidR="00634C20">
        <w:rPr>
          <w:szCs w:val="23"/>
        </w:rPr>
        <w:t xml:space="preserve">final </w:t>
      </w:r>
      <w:r w:rsidR="00DF208D" w:rsidRPr="00971736">
        <w:rPr>
          <w:szCs w:val="23"/>
        </w:rPr>
        <w:t>r</w:t>
      </w:r>
      <w:r w:rsidR="00951BAD" w:rsidRPr="00971736">
        <w:rPr>
          <w:szCs w:val="23"/>
        </w:rPr>
        <w:t xml:space="preserve">eport </w:t>
      </w:r>
      <w:r w:rsidR="00F265E7" w:rsidRPr="00971736">
        <w:rPr>
          <w:szCs w:val="23"/>
        </w:rPr>
        <w:t xml:space="preserve">due </w:t>
      </w:r>
      <w:r w:rsidR="00825B16" w:rsidRPr="00971736">
        <w:rPr>
          <w:szCs w:val="23"/>
        </w:rPr>
        <w:t xml:space="preserve">by 31 </w:t>
      </w:r>
      <w:r w:rsidR="00061F1C">
        <w:rPr>
          <w:szCs w:val="23"/>
        </w:rPr>
        <w:t>March</w:t>
      </w:r>
      <w:r w:rsidR="00061F1C" w:rsidRPr="00971736">
        <w:rPr>
          <w:szCs w:val="23"/>
        </w:rPr>
        <w:t xml:space="preserve"> </w:t>
      </w:r>
      <w:r w:rsidR="00B22A74" w:rsidRPr="00971736">
        <w:rPr>
          <w:szCs w:val="23"/>
        </w:rPr>
        <w:t>2021</w:t>
      </w:r>
      <w:r w:rsidR="00825B16" w:rsidRPr="00971736">
        <w:rPr>
          <w:szCs w:val="23"/>
        </w:rPr>
        <w:t xml:space="preserve">. </w:t>
      </w:r>
      <w:r w:rsidR="00951BAD" w:rsidRPr="00971736">
        <w:rPr>
          <w:szCs w:val="23"/>
        </w:rPr>
        <w:t xml:space="preserve">The </w:t>
      </w:r>
      <w:r w:rsidR="00DF208D" w:rsidRPr="00971736">
        <w:rPr>
          <w:szCs w:val="23"/>
        </w:rPr>
        <w:t>r</w:t>
      </w:r>
      <w:r w:rsidR="00951BAD" w:rsidRPr="00971736">
        <w:rPr>
          <w:szCs w:val="23"/>
        </w:rPr>
        <w:t xml:space="preserve">eport </w:t>
      </w:r>
      <w:r w:rsidR="00DF208D" w:rsidRPr="00971736">
        <w:rPr>
          <w:szCs w:val="23"/>
        </w:rPr>
        <w:t>may</w:t>
      </w:r>
      <w:r w:rsidR="00951BAD" w:rsidRPr="00971736">
        <w:rPr>
          <w:szCs w:val="23"/>
        </w:rPr>
        <w:t xml:space="preserve"> be used for public information dissemination purposes </w:t>
      </w:r>
      <w:r w:rsidR="00DF208D" w:rsidRPr="00971736">
        <w:rPr>
          <w:szCs w:val="23"/>
        </w:rPr>
        <w:t xml:space="preserve">in relation to </w:t>
      </w:r>
      <w:r w:rsidR="00474E6C">
        <w:rPr>
          <w:szCs w:val="23"/>
        </w:rPr>
        <w:t xml:space="preserve">the </w:t>
      </w:r>
      <w:r w:rsidR="00DF208D" w:rsidRPr="00971736">
        <w:rPr>
          <w:szCs w:val="23"/>
        </w:rPr>
        <w:t xml:space="preserve">national response to the </w:t>
      </w:r>
      <w:r w:rsidR="00EE6ACA">
        <w:rPr>
          <w:szCs w:val="23"/>
        </w:rPr>
        <w:t>COVID-19</w:t>
      </w:r>
      <w:r w:rsidR="00DF208D" w:rsidRPr="00971736">
        <w:rPr>
          <w:szCs w:val="23"/>
        </w:rPr>
        <w:t xml:space="preserve"> pandemic in the area of domestic, family and sexual violence, including on the plan4womenssafety website</w:t>
      </w:r>
      <w:r w:rsidR="00951BAD" w:rsidRPr="00971736">
        <w:rPr>
          <w:szCs w:val="23"/>
        </w:rPr>
        <w:t xml:space="preserve">. The </w:t>
      </w:r>
      <w:r w:rsidR="00DF208D" w:rsidRPr="00971736">
        <w:rPr>
          <w:szCs w:val="23"/>
        </w:rPr>
        <w:t>report will</w:t>
      </w:r>
      <w:r w:rsidR="00937CBD" w:rsidRPr="00971736">
        <w:rPr>
          <w:szCs w:val="23"/>
        </w:rPr>
        <w:t xml:space="preserve"> include:</w:t>
      </w:r>
    </w:p>
    <w:p w14:paraId="3458A5ED" w14:textId="647A5EBE" w:rsidR="00937CBD" w:rsidRPr="00971736" w:rsidRDefault="00DF208D" w:rsidP="00594C7A">
      <w:pPr>
        <w:pStyle w:val="AlphaParagraph"/>
        <w:numPr>
          <w:ilvl w:val="0"/>
          <w:numId w:val="21"/>
        </w:numPr>
        <w:tabs>
          <w:tab w:val="clear" w:pos="567"/>
        </w:tabs>
        <w:ind w:left="1134"/>
        <w:rPr>
          <w:szCs w:val="23"/>
        </w:rPr>
      </w:pPr>
      <w:r w:rsidRPr="00971736">
        <w:rPr>
          <w:szCs w:val="23"/>
        </w:rPr>
        <w:t xml:space="preserve">a description of the impact of </w:t>
      </w:r>
      <w:r w:rsidR="00EE6ACA">
        <w:rPr>
          <w:szCs w:val="23"/>
        </w:rPr>
        <w:t>COVID-19</w:t>
      </w:r>
      <w:r w:rsidRPr="00971736">
        <w:rPr>
          <w:szCs w:val="23"/>
        </w:rPr>
        <w:t xml:space="preserve"> on</w:t>
      </w:r>
      <w:r w:rsidR="00B22A74" w:rsidRPr="00971736">
        <w:rPr>
          <w:szCs w:val="23"/>
        </w:rPr>
        <w:t xml:space="preserve"> the safety of women and their children and the</w:t>
      </w:r>
      <w:r w:rsidRPr="00971736">
        <w:rPr>
          <w:szCs w:val="23"/>
        </w:rPr>
        <w:t xml:space="preserve"> domestic, family and sexual violence services</w:t>
      </w:r>
      <w:r w:rsidR="00B22A74" w:rsidRPr="00971736">
        <w:rPr>
          <w:szCs w:val="23"/>
        </w:rPr>
        <w:t xml:space="preserve"> that support them</w:t>
      </w:r>
      <w:r w:rsidRPr="00971736">
        <w:rPr>
          <w:szCs w:val="23"/>
        </w:rPr>
        <w:t xml:space="preserve"> from the responsible Party’s perspective</w:t>
      </w:r>
      <w:r w:rsidR="00B22A74" w:rsidRPr="00971736">
        <w:rPr>
          <w:szCs w:val="23"/>
        </w:rPr>
        <w:t>;</w:t>
      </w:r>
    </w:p>
    <w:p w14:paraId="47E23CE1" w14:textId="1DEA8245" w:rsidR="00634C20" w:rsidRPr="0073203D" w:rsidRDefault="00634C20" w:rsidP="00594C7A">
      <w:pPr>
        <w:pStyle w:val="AlphaParagraph"/>
        <w:numPr>
          <w:ilvl w:val="0"/>
          <w:numId w:val="21"/>
        </w:numPr>
        <w:tabs>
          <w:tab w:val="clear" w:pos="567"/>
        </w:tabs>
        <w:ind w:left="1134"/>
        <w:rPr>
          <w:szCs w:val="23"/>
        </w:rPr>
      </w:pPr>
      <w:r>
        <w:rPr>
          <w:szCs w:val="23"/>
        </w:rPr>
        <w:t xml:space="preserve">an assessment of the extent to which the objective and outcomes of this Agreement have </w:t>
      </w:r>
      <w:r w:rsidRPr="0073203D">
        <w:rPr>
          <w:szCs w:val="23"/>
        </w:rPr>
        <w:t xml:space="preserve">been achieved, and explaining </w:t>
      </w:r>
      <w:r w:rsidRPr="0073203D">
        <w:t>why any aspect was not achieved</w:t>
      </w:r>
      <w:r w:rsidR="00B22A74">
        <w:t>; and</w:t>
      </w:r>
    </w:p>
    <w:p w14:paraId="4D465E07" w14:textId="459179B0" w:rsidR="00937CBD" w:rsidRPr="00F265E7" w:rsidRDefault="00937CBD" w:rsidP="00594C7A">
      <w:pPr>
        <w:pStyle w:val="AlphaParagraph"/>
        <w:numPr>
          <w:ilvl w:val="0"/>
          <w:numId w:val="16"/>
        </w:numPr>
        <w:tabs>
          <w:tab w:val="clear" w:pos="567"/>
        </w:tabs>
        <w:ind w:left="1134"/>
        <w:rPr>
          <w:szCs w:val="23"/>
        </w:rPr>
      </w:pPr>
      <w:r w:rsidRPr="0073203D">
        <w:t>an overview of the outputs delivered under this Agreement</w:t>
      </w:r>
      <w:r w:rsidR="009C4BB2" w:rsidRPr="0073203D">
        <w:t xml:space="preserve"> (including details of where funding was allocated against the agreed priorities)</w:t>
      </w:r>
      <w:r w:rsidRPr="0073203D">
        <w:t>, and</w:t>
      </w:r>
      <w:r>
        <w:t xml:space="preserve"> include where </w:t>
      </w:r>
      <w:r w:rsidR="002757D0">
        <w:t>appropriate</w:t>
      </w:r>
      <w:r>
        <w:t>, a description of additional funding the responsible Party put towards those outputs</w:t>
      </w:r>
      <w:r w:rsidR="00634C20">
        <w:t>.</w:t>
      </w:r>
    </w:p>
    <w:p w14:paraId="1F9207AA" w14:textId="77777777" w:rsidR="00814667" w:rsidRDefault="00814667">
      <w:pPr>
        <w:pStyle w:val="Heading1"/>
      </w:pPr>
      <w:r w:rsidRPr="00751725">
        <w:t>Part 5 — financial arrangements</w:t>
      </w:r>
    </w:p>
    <w:p w14:paraId="403CC56C" w14:textId="77777777" w:rsidR="00C738BD" w:rsidRPr="005350F1" w:rsidRDefault="00C738BD" w:rsidP="00C738BD">
      <w:pPr>
        <w:pStyle w:val="Heading2"/>
      </w:pPr>
      <w:r w:rsidRPr="005350F1">
        <w:t>Financial contributions</w:t>
      </w:r>
    </w:p>
    <w:p w14:paraId="766E90B4" w14:textId="77777777" w:rsidR="002B7E1B" w:rsidRDefault="00CC39B1" w:rsidP="0073203D">
      <w:pPr>
        <w:pStyle w:val="Normalnumbered"/>
        <w:numPr>
          <w:ilvl w:val="0"/>
          <w:numId w:val="26"/>
        </w:numPr>
        <w:jc w:val="left"/>
      </w:pPr>
      <w:r w:rsidRPr="000E48C3">
        <w:t xml:space="preserve">The Commonwealth will </w:t>
      </w:r>
      <w:r w:rsidR="002B7E1B" w:rsidRPr="0073203D">
        <w:t>provide</w:t>
      </w:r>
      <w:r w:rsidRPr="0073203D">
        <w:t xml:space="preserve"> a</w:t>
      </w:r>
      <w:r w:rsidR="0062217C" w:rsidRPr="0073203D">
        <w:t>n estimated</w:t>
      </w:r>
      <w:r w:rsidR="00FA64FD" w:rsidRPr="0073203D">
        <w:t xml:space="preserve"> total</w:t>
      </w:r>
      <w:r w:rsidRPr="0073203D">
        <w:t xml:space="preserve"> financial</w:t>
      </w:r>
      <w:r w:rsidRPr="000E48C3">
        <w:t xml:space="preserve"> contribution to </w:t>
      </w:r>
      <w:r w:rsidR="002B7E1B">
        <w:t>the States</w:t>
      </w:r>
      <w:r w:rsidR="00D57346">
        <w:t xml:space="preserve"> </w:t>
      </w:r>
      <w:r w:rsidR="00E579FF">
        <w:t xml:space="preserve">of </w:t>
      </w:r>
      <w:r w:rsidR="00D8164A">
        <w:t xml:space="preserve">$130.0 million </w:t>
      </w:r>
      <w:r w:rsidR="00CB1789">
        <w:t>in respect</w:t>
      </w:r>
      <w:r w:rsidR="00FA64FD">
        <w:t xml:space="preserve"> of this </w:t>
      </w:r>
      <w:r w:rsidR="0094129D">
        <w:t>A</w:t>
      </w:r>
      <w:r w:rsidR="00FA64FD">
        <w:t xml:space="preserve">greement. </w:t>
      </w:r>
      <w:r w:rsidR="000447B9">
        <w:t>All payments are exclusive of GST.</w:t>
      </w:r>
    </w:p>
    <w:p w14:paraId="0AB24CBE" w14:textId="77777777" w:rsidR="00D8164A" w:rsidRDefault="00D8164A" w:rsidP="0073203D">
      <w:pPr>
        <w:pStyle w:val="Normalnumbered"/>
        <w:numPr>
          <w:ilvl w:val="0"/>
          <w:numId w:val="26"/>
        </w:numPr>
        <w:jc w:val="left"/>
      </w:pPr>
      <w:r>
        <w:t>There will be three sets of payments provided by the Commonwealth to the States under this Agreement:</w:t>
      </w:r>
    </w:p>
    <w:p w14:paraId="7536D888" w14:textId="77777777" w:rsidR="00D8164A" w:rsidRDefault="00D8164A" w:rsidP="00D73B66">
      <w:pPr>
        <w:pStyle w:val="AlphaParagraph"/>
        <w:numPr>
          <w:ilvl w:val="0"/>
          <w:numId w:val="28"/>
        </w:numPr>
        <w:tabs>
          <w:tab w:val="clear" w:pos="567"/>
        </w:tabs>
      </w:pPr>
      <w:r>
        <w:t>Upfront advance payment – the Commonwealth will provide an upfront advance payment of $27.8 million to the States, consisting of a fixed payment of $</w:t>
      </w:r>
      <w:r w:rsidR="00CB0E90">
        <w:t>975,000</w:t>
      </w:r>
      <w:r>
        <w:t xml:space="preserve"> to each State (totalling $7.8 million) and $20 million to be </w:t>
      </w:r>
      <w:r w:rsidR="006D3FCB">
        <w:t>distributed</w:t>
      </w:r>
      <w:r>
        <w:t xml:space="preserve"> on a population share basis. </w:t>
      </w:r>
      <w:r w:rsidR="006D3FCB">
        <w:t xml:space="preserve">This is payable to the individual State when they sign and commit to the Agreement. </w:t>
      </w:r>
    </w:p>
    <w:p w14:paraId="541DCC7F" w14:textId="78F631FF" w:rsidR="00D8164A" w:rsidRPr="00971736" w:rsidRDefault="00B92A8C" w:rsidP="00D73B66">
      <w:pPr>
        <w:pStyle w:val="AlphaParagraph"/>
        <w:numPr>
          <w:ilvl w:val="0"/>
          <w:numId w:val="28"/>
        </w:numPr>
        <w:tabs>
          <w:tab w:val="clear" w:pos="567"/>
        </w:tabs>
      </w:pPr>
      <w:r w:rsidRPr="00971736">
        <w:t>C</w:t>
      </w:r>
      <w:r w:rsidR="00D8164A" w:rsidRPr="00971736">
        <w:t>ontingency</w:t>
      </w:r>
      <w:r w:rsidRPr="00971736">
        <w:t xml:space="preserve"> </w:t>
      </w:r>
      <w:r w:rsidR="00273A30" w:rsidRPr="00971736">
        <w:t>fund</w:t>
      </w:r>
      <w:r w:rsidR="00D8164A" w:rsidRPr="00971736">
        <w:t xml:space="preserve"> – </w:t>
      </w:r>
      <w:r w:rsidR="00825B16" w:rsidRPr="00971736">
        <w:t xml:space="preserve">An additional </w:t>
      </w:r>
      <w:r w:rsidR="00D8164A" w:rsidRPr="00971736">
        <w:t>$4.7 million will be held in contingency</w:t>
      </w:r>
      <w:r w:rsidRPr="00971736">
        <w:t xml:space="preserve"> and </w:t>
      </w:r>
      <w:r w:rsidR="00825B16" w:rsidRPr="00971736">
        <w:t>distributed</w:t>
      </w:r>
      <w:r w:rsidRPr="00971736">
        <w:t xml:space="preserve"> </w:t>
      </w:r>
      <w:r w:rsidR="00825B16" w:rsidRPr="00971736">
        <w:t xml:space="preserve">to States in a way </w:t>
      </w:r>
      <w:r w:rsidR="00B22A74" w:rsidRPr="00971736">
        <w:t>discussed and prioritised</w:t>
      </w:r>
      <w:r w:rsidR="00825B16" w:rsidRPr="00971736">
        <w:t xml:space="preserve"> </w:t>
      </w:r>
      <w:r w:rsidRPr="00971736">
        <w:t xml:space="preserve">by </w:t>
      </w:r>
      <w:r w:rsidR="00DF208D" w:rsidRPr="00971736">
        <w:t xml:space="preserve">the </w:t>
      </w:r>
      <w:r w:rsidR="0056581D">
        <w:t xml:space="preserve">COAG </w:t>
      </w:r>
      <w:r w:rsidRPr="00971736">
        <w:t xml:space="preserve">Women’s Safety Council </w:t>
      </w:r>
      <w:r w:rsidR="00825B16" w:rsidRPr="00971736">
        <w:t>as required to</w:t>
      </w:r>
      <w:r w:rsidRPr="00971736">
        <w:t xml:space="preserve"> meet emerging priorities as the implications of </w:t>
      </w:r>
      <w:r w:rsidR="00EE6ACA">
        <w:t>COVID-19</w:t>
      </w:r>
      <w:r w:rsidRPr="00971736">
        <w:t xml:space="preserve"> become clearer</w:t>
      </w:r>
      <w:r w:rsidR="00BB249D" w:rsidRPr="00971736">
        <w:t>.</w:t>
      </w:r>
    </w:p>
    <w:p w14:paraId="163AFDFB" w14:textId="17E8F468" w:rsidR="00B92A8C" w:rsidRPr="009C4BB2" w:rsidRDefault="00B92A8C" w:rsidP="00D73B66">
      <w:pPr>
        <w:pStyle w:val="AlphaParagraph"/>
        <w:numPr>
          <w:ilvl w:val="0"/>
          <w:numId w:val="28"/>
        </w:numPr>
        <w:tabs>
          <w:tab w:val="clear" w:pos="567"/>
        </w:tabs>
      </w:pPr>
      <w:r w:rsidRPr="00971736">
        <w:t xml:space="preserve">Demand-driven </w:t>
      </w:r>
      <w:r w:rsidR="00273A30" w:rsidRPr="00971736">
        <w:t>fund</w:t>
      </w:r>
      <w:r w:rsidRPr="00971736">
        <w:t xml:space="preserve"> – the Commonwealth will provide payment of $97</w:t>
      </w:r>
      <w:r w:rsidR="00825B16" w:rsidRPr="00971736">
        <w:t xml:space="preserve">.5 million </w:t>
      </w:r>
      <w:r w:rsidR="00CB0E90" w:rsidRPr="00971736">
        <w:t xml:space="preserve">in </w:t>
      </w:r>
      <w:r w:rsidR="00825B16" w:rsidRPr="00971736">
        <w:t xml:space="preserve">2020-21 to the States, to be distributed in a way </w:t>
      </w:r>
      <w:r w:rsidR="00B22A74" w:rsidRPr="00971736">
        <w:t>discussed and prioritised</w:t>
      </w:r>
      <w:r w:rsidR="00825B16" w:rsidRPr="00971736">
        <w:t xml:space="preserve"> by </w:t>
      </w:r>
      <w:r w:rsidR="00DF208D" w:rsidRPr="00971736">
        <w:t xml:space="preserve">the </w:t>
      </w:r>
      <w:r w:rsidR="0056581D">
        <w:t xml:space="preserve">COAG </w:t>
      </w:r>
      <w:r w:rsidR="00825B16" w:rsidRPr="00971736">
        <w:t>Women’s Safety Council to reflect</w:t>
      </w:r>
      <w:r w:rsidR="00825B16" w:rsidRPr="009C4BB2">
        <w:t xml:space="preserve"> emerging priorities and needs due to </w:t>
      </w:r>
      <w:r w:rsidR="00EE6ACA">
        <w:t>COVID-19</w:t>
      </w:r>
      <w:r w:rsidR="00825B16" w:rsidRPr="009C4BB2">
        <w:t xml:space="preserve">. </w:t>
      </w:r>
    </w:p>
    <w:p w14:paraId="702E317D" w14:textId="77777777" w:rsidR="00323A40" w:rsidRPr="009C4BB2" w:rsidRDefault="00CC39B1" w:rsidP="0073203D">
      <w:pPr>
        <w:pStyle w:val="Normalnumbered"/>
        <w:numPr>
          <w:ilvl w:val="0"/>
          <w:numId w:val="26"/>
        </w:numPr>
        <w:jc w:val="left"/>
      </w:pPr>
      <w:r w:rsidRPr="009C4BB2">
        <w:t>The Commonwealth’s funding contribution will not be reduced where the States secure funding from other activity partners</w:t>
      </w:r>
      <w:r w:rsidR="0062217C" w:rsidRPr="009C4BB2">
        <w:t>.</w:t>
      </w:r>
    </w:p>
    <w:p w14:paraId="372D882A" w14:textId="77777777" w:rsidR="00F1611B" w:rsidRPr="00DF208D" w:rsidRDefault="00A207A2" w:rsidP="0073203D">
      <w:pPr>
        <w:pStyle w:val="Normalnumbered"/>
        <w:numPr>
          <w:ilvl w:val="0"/>
          <w:numId w:val="26"/>
        </w:numPr>
        <w:rPr>
          <w:color w:val="auto"/>
        </w:rPr>
      </w:pPr>
      <w:r w:rsidRPr="009C4BB2">
        <w:t>Where a performance report demonstrates that</w:t>
      </w:r>
      <w:r w:rsidR="00F1611B" w:rsidRPr="009C4BB2">
        <w:t xml:space="preserve"> a milestone is met in advance of the due date, the Commonwealth may make the associated</w:t>
      </w:r>
      <w:r w:rsidR="00F1611B" w:rsidRPr="00F265E7">
        <w:t xml:space="preserve"> payment earlier than scheduled provided it falls within the same financial year as the original</w:t>
      </w:r>
      <w:r w:rsidR="00F1611B" w:rsidRPr="00DF208D">
        <w:t xml:space="preserve"> milestone date.</w:t>
      </w:r>
    </w:p>
    <w:p w14:paraId="68CD818E" w14:textId="77777777" w:rsidR="00C233E9" w:rsidRPr="00F265E7" w:rsidRDefault="00C233E9" w:rsidP="0073203D">
      <w:pPr>
        <w:pStyle w:val="Normalnumbered"/>
        <w:keepNext/>
        <w:keepLines/>
        <w:numPr>
          <w:ilvl w:val="0"/>
          <w:numId w:val="26"/>
        </w:numPr>
        <w:jc w:val="left"/>
        <w:rPr>
          <w:color w:val="auto"/>
        </w:rPr>
      </w:pPr>
      <w:r w:rsidRPr="00DF208D">
        <w:rPr>
          <w:color w:val="auto"/>
        </w:rPr>
        <w:t>The Commonwealth’s and the States’ estimated financial contribution</w:t>
      </w:r>
      <w:r w:rsidR="0062217C" w:rsidRPr="00DF208D">
        <w:rPr>
          <w:color w:val="auto"/>
        </w:rPr>
        <w:t>s</w:t>
      </w:r>
      <w:r w:rsidRPr="00DF208D">
        <w:rPr>
          <w:color w:val="auto"/>
        </w:rPr>
        <w:t xml:space="preserve"> to the operation of this Agreement, including through National Partnership payments to the States paid in accordance with </w:t>
      </w:r>
      <w:r w:rsidRPr="00DF208D">
        <w:rPr>
          <w:i/>
          <w:color w:val="auto"/>
        </w:rPr>
        <w:t xml:space="preserve">Schedule D — </w:t>
      </w:r>
      <w:r w:rsidRPr="00F265E7">
        <w:rPr>
          <w:i/>
          <w:color w:val="auto"/>
        </w:rPr>
        <w:t>Payment Arrangements</w:t>
      </w:r>
      <w:r w:rsidRPr="00F265E7">
        <w:rPr>
          <w:color w:val="auto"/>
        </w:rPr>
        <w:t xml:space="preserve"> of the I</w:t>
      </w:r>
      <w:r w:rsidR="00E31BCF" w:rsidRPr="00F265E7">
        <w:rPr>
          <w:color w:val="auto"/>
        </w:rPr>
        <w:t>GA FFR</w:t>
      </w:r>
      <w:r w:rsidRPr="00F265E7">
        <w:rPr>
          <w:color w:val="auto"/>
        </w:rPr>
        <w:t xml:space="preserve">, are shown in Table </w:t>
      </w:r>
      <w:r w:rsidR="003563BF">
        <w:rPr>
          <w:color w:val="auto"/>
        </w:rPr>
        <w:t>2</w:t>
      </w:r>
      <w:r w:rsidRPr="00F265E7">
        <w:rPr>
          <w:color w:val="auto"/>
        </w:rPr>
        <w:t>.</w:t>
      </w:r>
    </w:p>
    <w:p w14:paraId="2EF01DAC" w14:textId="77777777" w:rsidR="00FB4200" w:rsidRPr="00F265E7" w:rsidRDefault="00FB4200" w:rsidP="00FB4200">
      <w:pPr>
        <w:pStyle w:val="TableMainHeading"/>
        <w:keepLines/>
      </w:pPr>
      <w:r w:rsidRPr="00F265E7">
        <w:t xml:space="preserve">Table </w:t>
      </w:r>
      <w:r w:rsidR="003563BF">
        <w:t>2</w:t>
      </w:r>
      <w:r w:rsidRPr="00F265E7">
        <w:t>: Estimated financial contributions</w:t>
      </w:r>
      <w:r w:rsidR="009C166A" w:rsidRPr="00F265E7">
        <w:t xml:space="preserve"> </w:t>
      </w:r>
    </w:p>
    <w:p w14:paraId="4CAF1757" w14:textId="77777777" w:rsidR="0094129D" w:rsidRPr="00F265E7" w:rsidRDefault="0094129D" w:rsidP="00FB4200">
      <w:pPr>
        <w:pStyle w:val="TableGraphic"/>
      </w:pPr>
    </w:p>
    <w:tbl>
      <w:tblPr>
        <w:tblW w:w="5000" w:type="pct"/>
        <w:tblLook w:val="01E0" w:firstRow="1" w:lastRow="1" w:firstColumn="1" w:lastColumn="1" w:noHBand="0" w:noVBand="0"/>
      </w:tblPr>
      <w:tblGrid>
        <w:gridCol w:w="6096"/>
        <w:gridCol w:w="1180"/>
        <w:gridCol w:w="1180"/>
        <w:gridCol w:w="1182"/>
      </w:tblGrid>
      <w:tr w:rsidR="00753D03" w:rsidRPr="00F265E7" w14:paraId="35B2BB10" w14:textId="77777777" w:rsidTr="00273A30">
        <w:trPr>
          <w:cantSplit/>
        </w:trPr>
        <w:tc>
          <w:tcPr>
            <w:tcW w:w="3162" w:type="pct"/>
            <w:tcBorders>
              <w:top w:val="single" w:sz="4" w:space="0" w:color="000080"/>
            </w:tcBorders>
          </w:tcPr>
          <w:p w14:paraId="741F45DC" w14:textId="77777777" w:rsidR="00753D03" w:rsidRPr="00F265E7" w:rsidRDefault="00753D03" w:rsidP="002106A6">
            <w:pPr>
              <w:keepNext/>
              <w:keepLines/>
              <w:spacing w:before="40" w:after="40"/>
              <w:jc w:val="left"/>
              <w:rPr>
                <w:b/>
              </w:rPr>
            </w:pPr>
            <w:r w:rsidRPr="00F265E7">
              <w:rPr>
                <w:b/>
              </w:rPr>
              <w:t>($ million)</w:t>
            </w:r>
          </w:p>
        </w:tc>
        <w:tc>
          <w:tcPr>
            <w:tcW w:w="612" w:type="pct"/>
            <w:tcBorders>
              <w:top w:val="single" w:sz="4" w:space="0" w:color="000080"/>
              <w:bottom w:val="single" w:sz="4" w:space="0" w:color="000080"/>
            </w:tcBorders>
          </w:tcPr>
          <w:p w14:paraId="6EC80048" w14:textId="77777777" w:rsidR="00753D03" w:rsidRPr="00F265E7" w:rsidRDefault="00753D03" w:rsidP="002106A6">
            <w:pPr>
              <w:keepNext/>
              <w:keepLines/>
              <w:spacing w:before="40" w:after="40"/>
              <w:jc w:val="right"/>
            </w:pPr>
            <w:r w:rsidRPr="00F265E7">
              <w:t>2019-20</w:t>
            </w:r>
          </w:p>
        </w:tc>
        <w:tc>
          <w:tcPr>
            <w:tcW w:w="612" w:type="pct"/>
            <w:tcBorders>
              <w:top w:val="single" w:sz="4" w:space="0" w:color="000080"/>
              <w:bottom w:val="single" w:sz="4" w:space="0" w:color="000080"/>
            </w:tcBorders>
          </w:tcPr>
          <w:p w14:paraId="09BFB1A3" w14:textId="77777777" w:rsidR="00753D03" w:rsidRPr="00F265E7" w:rsidRDefault="00753D03" w:rsidP="002106A6">
            <w:pPr>
              <w:keepNext/>
              <w:keepLines/>
              <w:spacing w:before="40" w:after="40"/>
              <w:jc w:val="right"/>
            </w:pPr>
            <w:r w:rsidRPr="00F265E7">
              <w:t>2020-21</w:t>
            </w:r>
          </w:p>
        </w:tc>
        <w:tc>
          <w:tcPr>
            <w:tcW w:w="613" w:type="pct"/>
            <w:tcBorders>
              <w:top w:val="single" w:sz="4" w:space="0" w:color="000080"/>
              <w:bottom w:val="single" w:sz="4" w:space="0" w:color="000080"/>
            </w:tcBorders>
          </w:tcPr>
          <w:p w14:paraId="1A0E67D9" w14:textId="77777777" w:rsidR="00753D03" w:rsidRPr="00F265E7" w:rsidRDefault="00753D03" w:rsidP="002106A6">
            <w:pPr>
              <w:keepNext/>
              <w:keepLines/>
              <w:spacing w:before="40" w:after="40"/>
              <w:jc w:val="right"/>
            </w:pPr>
            <w:r w:rsidRPr="00F265E7">
              <w:t>Total</w:t>
            </w:r>
          </w:p>
        </w:tc>
      </w:tr>
      <w:tr w:rsidR="00753D03" w:rsidRPr="00F265E7" w14:paraId="78FE027B" w14:textId="77777777" w:rsidTr="00273A30">
        <w:trPr>
          <w:cantSplit/>
        </w:trPr>
        <w:tc>
          <w:tcPr>
            <w:tcW w:w="3162" w:type="pct"/>
          </w:tcPr>
          <w:p w14:paraId="24BF1660" w14:textId="77777777" w:rsidR="00753D03" w:rsidRPr="00F265E7" w:rsidRDefault="00753D03" w:rsidP="00775C1A">
            <w:pPr>
              <w:keepNext/>
              <w:keepLines/>
              <w:spacing w:before="60" w:after="60"/>
              <w:jc w:val="left"/>
            </w:pPr>
            <w:r w:rsidRPr="00F265E7">
              <w:rPr>
                <w:b/>
                <w:i/>
              </w:rPr>
              <w:t>Estimated</w:t>
            </w:r>
            <w:r w:rsidRPr="00F265E7">
              <w:t xml:space="preserve"> total budget (1)</w:t>
            </w:r>
          </w:p>
        </w:tc>
        <w:tc>
          <w:tcPr>
            <w:tcW w:w="612" w:type="pct"/>
            <w:tcBorders>
              <w:top w:val="single" w:sz="4" w:space="0" w:color="000080"/>
              <w:bottom w:val="single" w:sz="4" w:space="0" w:color="000080"/>
            </w:tcBorders>
          </w:tcPr>
          <w:p w14:paraId="51CA383E" w14:textId="5EF4FB7E" w:rsidR="00753D03" w:rsidRPr="00F265E7" w:rsidRDefault="007B76C8" w:rsidP="002106A6">
            <w:pPr>
              <w:keepNext/>
              <w:keepLines/>
              <w:spacing w:before="40" w:after="40"/>
              <w:jc w:val="right"/>
            </w:pPr>
            <w:r>
              <w:t>32.5</w:t>
            </w:r>
          </w:p>
        </w:tc>
        <w:tc>
          <w:tcPr>
            <w:tcW w:w="612" w:type="pct"/>
            <w:tcBorders>
              <w:top w:val="single" w:sz="4" w:space="0" w:color="000080"/>
              <w:bottom w:val="single" w:sz="4" w:space="0" w:color="000080"/>
            </w:tcBorders>
          </w:tcPr>
          <w:p w14:paraId="55DC746B" w14:textId="7760F613" w:rsidR="00753D03" w:rsidRPr="00F265E7" w:rsidRDefault="007B76C8" w:rsidP="002106A6">
            <w:pPr>
              <w:keepNext/>
              <w:keepLines/>
              <w:spacing w:before="40" w:after="40"/>
              <w:jc w:val="right"/>
            </w:pPr>
            <w:r>
              <w:t>97.5</w:t>
            </w:r>
          </w:p>
        </w:tc>
        <w:tc>
          <w:tcPr>
            <w:tcW w:w="613" w:type="pct"/>
            <w:tcBorders>
              <w:top w:val="single" w:sz="4" w:space="0" w:color="000080"/>
              <w:bottom w:val="single" w:sz="4" w:space="0" w:color="000080"/>
            </w:tcBorders>
          </w:tcPr>
          <w:p w14:paraId="056B1B2B" w14:textId="5DCD26EB" w:rsidR="00753D03" w:rsidRPr="00F265E7" w:rsidRDefault="007B76C8" w:rsidP="00775C1A">
            <w:pPr>
              <w:keepNext/>
              <w:keepLines/>
              <w:spacing w:before="40" w:after="40"/>
              <w:jc w:val="right"/>
            </w:pPr>
            <w:r>
              <w:t>130.0</w:t>
            </w:r>
          </w:p>
        </w:tc>
      </w:tr>
      <w:tr w:rsidR="00753D03" w:rsidRPr="00F265E7" w14:paraId="75021AAA" w14:textId="77777777" w:rsidTr="00273A30">
        <w:trPr>
          <w:cantSplit/>
        </w:trPr>
        <w:tc>
          <w:tcPr>
            <w:tcW w:w="3162" w:type="pct"/>
          </w:tcPr>
          <w:p w14:paraId="43B21BEC" w14:textId="77777777" w:rsidR="00753D03" w:rsidRPr="00F265E7" w:rsidRDefault="00753D03" w:rsidP="00775C1A">
            <w:pPr>
              <w:keepNext/>
              <w:keepLines/>
              <w:spacing w:before="60" w:after="60"/>
              <w:jc w:val="left"/>
            </w:pPr>
            <w:r w:rsidRPr="00F265E7">
              <w:rPr>
                <w:b/>
                <w:i/>
              </w:rPr>
              <w:t>Estimated</w:t>
            </w:r>
            <w:r w:rsidRPr="00F265E7">
              <w:t xml:space="preserve"> National Partnership payment (2)</w:t>
            </w:r>
          </w:p>
        </w:tc>
        <w:tc>
          <w:tcPr>
            <w:tcW w:w="612" w:type="pct"/>
            <w:tcBorders>
              <w:top w:val="single" w:sz="4" w:space="0" w:color="000080"/>
            </w:tcBorders>
          </w:tcPr>
          <w:p w14:paraId="22E614A9" w14:textId="77777777" w:rsidR="00753D03" w:rsidRPr="00F265E7" w:rsidRDefault="00753D03" w:rsidP="002106A6">
            <w:pPr>
              <w:keepNext/>
              <w:keepLines/>
              <w:spacing w:before="40" w:after="40"/>
              <w:jc w:val="right"/>
              <w:rPr>
                <w:b/>
              </w:rPr>
            </w:pPr>
            <w:r w:rsidRPr="00F265E7">
              <w:rPr>
                <w:b/>
              </w:rPr>
              <w:t>32.5</w:t>
            </w:r>
          </w:p>
        </w:tc>
        <w:tc>
          <w:tcPr>
            <w:tcW w:w="612" w:type="pct"/>
            <w:tcBorders>
              <w:top w:val="single" w:sz="4" w:space="0" w:color="000080"/>
            </w:tcBorders>
          </w:tcPr>
          <w:p w14:paraId="6FB36EC2" w14:textId="0C27611F" w:rsidR="00753D03" w:rsidRPr="004C43DB" w:rsidRDefault="00753D03" w:rsidP="004C43DB">
            <w:pPr>
              <w:keepNext/>
              <w:keepLines/>
              <w:spacing w:before="40" w:after="40"/>
              <w:jc w:val="right"/>
              <w:rPr>
                <w:b/>
                <w:vertAlign w:val="superscript"/>
              </w:rPr>
            </w:pPr>
            <w:r w:rsidRPr="00F265E7">
              <w:rPr>
                <w:b/>
              </w:rPr>
              <w:t>97.5</w:t>
            </w:r>
          </w:p>
        </w:tc>
        <w:tc>
          <w:tcPr>
            <w:tcW w:w="613" w:type="pct"/>
            <w:tcBorders>
              <w:top w:val="single" w:sz="4" w:space="0" w:color="000080"/>
            </w:tcBorders>
          </w:tcPr>
          <w:p w14:paraId="51AD00BC" w14:textId="77777777" w:rsidR="00753D03" w:rsidRPr="00F265E7" w:rsidRDefault="00753D03" w:rsidP="002106A6">
            <w:pPr>
              <w:keepNext/>
              <w:keepLines/>
              <w:spacing w:before="40" w:after="40"/>
              <w:jc w:val="right"/>
              <w:rPr>
                <w:b/>
              </w:rPr>
            </w:pPr>
            <w:r w:rsidRPr="00F265E7">
              <w:rPr>
                <w:b/>
              </w:rPr>
              <w:t>130.0</w:t>
            </w:r>
          </w:p>
        </w:tc>
      </w:tr>
      <w:tr w:rsidR="00273A30" w:rsidRPr="00F265E7" w14:paraId="27443D9C" w14:textId="77777777" w:rsidTr="00273A30">
        <w:trPr>
          <w:cantSplit/>
        </w:trPr>
        <w:tc>
          <w:tcPr>
            <w:tcW w:w="3162" w:type="pct"/>
          </w:tcPr>
          <w:p w14:paraId="6CC5DAF3" w14:textId="77777777" w:rsidR="00273A30" w:rsidRPr="00273A30" w:rsidRDefault="00273A30" w:rsidP="00273A30">
            <w:pPr>
              <w:keepNext/>
              <w:keepLines/>
              <w:spacing w:before="60" w:after="60"/>
              <w:ind w:left="720"/>
              <w:jc w:val="left"/>
              <w:rPr>
                <w:i/>
                <w:sz w:val="22"/>
              </w:rPr>
            </w:pPr>
            <w:r w:rsidRPr="00273A30">
              <w:rPr>
                <w:i/>
                <w:sz w:val="22"/>
              </w:rPr>
              <w:t>Upfront advance payment</w:t>
            </w:r>
          </w:p>
        </w:tc>
        <w:tc>
          <w:tcPr>
            <w:tcW w:w="612" w:type="pct"/>
            <w:tcBorders>
              <w:top w:val="single" w:sz="4" w:space="0" w:color="000080"/>
            </w:tcBorders>
          </w:tcPr>
          <w:p w14:paraId="7D6D8B65" w14:textId="77777777" w:rsidR="00273A30" w:rsidRPr="00273A30" w:rsidRDefault="00273A30" w:rsidP="002106A6">
            <w:pPr>
              <w:keepNext/>
              <w:keepLines/>
              <w:spacing w:before="40" w:after="40"/>
              <w:jc w:val="right"/>
              <w:rPr>
                <w:sz w:val="22"/>
              </w:rPr>
            </w:pPr>
            <w:r w:rsidRPr="00273A30">
              <w:rPr>
                <w:sz w:val="22"/>
              </w:rPr>
              <w:t>27.8</w:t>
            </w:r>
          </w:p>
        </w:tc>
        <w:tc>
          <w:tcPr>
            <w:tcW w:w="612" w:type="pct"/>
            <w:tcBorders>
              <w:top w:val="single" w:sz="4" w:space="0" w:color="000080"/>
            </w:tcBorders>
          </w:tcPr>
          <w:p w14:paraId="6E8989EA" w14:textId="77777777" w:rsidR="00273A30" w:rsidRPr="00273A30" w:rsidRDefault="00273A30" w:rsidP="002106A6">
            <w:pPr>
              <w:keepNext/>
              <w:keepLines/>
              <w:spacing w:before="40" w:after="40"/>
              <w:jc w:val="right"/>
              <w:rPr>
                <w:sz w:val="22"/>
              </w:rPr>
            </w:pPr>
            <w:r w:rsidRPr="00273A30">
              <w:rPr>
                <w:sz w:val="22"/>
              </w:rPr>
              <w:t>0.0</w:t>
            </w:r>
          </w:p>
        </w:tc>
        <w:tc>
          <w:tcPr>
            <w:tcW w:w="613" w:type="pct"/>
            <w:tcBorders>
              <w:top w:val="single" w:sz="4" w:space="0" w:color="000080"/>
            </w:tcBorders>
          </w:tcPr>
          <w:p w14:paraId="2D7CC953" w14:textId="77777777" w:rsidR="00273A30" w:rsidRPr="00273A30" w:rsidRDefault="00273A30" w:rsidP="002106A6">
            <w:pPr>
              <w:keepNext/>
              <w:keepLines/>
              <w:spacing w:before="40" w:after="40"/>
              <w:jc w:val="right"/>
              <w:rPr>
                <w:sz w:val="22"/>
              </w:rPr>
            </w:pPr>
            <w:r w:rsidRPr="00273A30">
              <w:rPr>
                <w:sz w:val="22"/>
              </w:rPr>
              <w:t>27.8</w:t>
            </w:r>
          </w:p>
        </w:tc>
      </w:tr>
      <w:tr w:rsidR="00273A30" w:rsidRPr="00F265E7" w14:paraId="61D965BF" w14:textId="77777777" w:rsidTr="00273A30">
        <w:trPr>
          <w:cantSplit/>
        </w:trPr>
        <w:tc>
          <w:tcPr>
            <w:tcW w:w="3162" w:type="pct"/>
          </w:tcPr>
          <w:p w14:paraId="7FFC55F2" w14:textId="77777777" w:rsidR="00273A30" w:rsidRPr="00273A30" w:rsidRDefault="00273A30" w:rsidP="00273A30">
            <w:pPr>
              <w:keepNext/>
              <w:keepLines/>
              <w:spacing w:before="60" w:after="60"/>
              <w:ind w:left="1440"/>
              <w:jc w:val="left"/>
              <w:rPr>
                <w:sz w:val="22"/>
              </w:rPr>
            </w:pPr>
            <w:r w:rsidRPr="00273A30">
              <w:rPr>
                <w:sz w:val="22"/>
              </w:rPr>
              <w:t>New South Wales</w:t>
            </w:r>
          </w:p>
        </w:tc>
        <w:tc>
          <w:tcPr>
            <w:tcW w:w="612" w:type="pct"/>
            <w:tcBorders>
              <w:top w:val="single" w:sz="4" w:space="0" w:color="000080"/>
            </w:tcBorders>
          </w:tcPr>
          <w:p w14:paraId="0E7A21AC" w14:textId="77777777" w:rsidR="00273A30" w:rsidRPr="00273A30" w:rsidRDefault="00273A30" w:rsidP="00273A30">
            <w:pPr>
              <w:keepNext/>
              <w:keepLines/>
              <w:spacing w:before="40" w:after="40"/>
              <w:jc w:val="right"/>
              <w:rPr>
                <w:sz w:val="22"/>
              </w:rPr>
            </w:pPr>
            <w:r>
              <w:rPr>
                <w:sz w:val="22"/>
              </w:rPr>
              <w:t>7.4</w:t>
            </w:r>
          </w:p>
        </w:tc>
        <w:tc>
          <w:tcPr>
            <w:tcW w:w="612" w:type="pct"/>
            <w:tcBorders>
              <w:top w:val="single" w:sz="4" w:space="0" w:color="000080"/>
            </w:tcBorders>
          </w:tcPr>
          <w:p w14:paraId="7E6A8797"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57E0B054" w14:textId="77777777" w:rsidR="00273A30" w:rsidRPr="00273A30" w:rsidRDefault="00273A30" w:rsidP="00273A30">
            <w:pPr>
              <w:keepNext/>
              <w:keepLines/>
              <w:spacing w:before="40" w:after="40"/>
              <w:jc w:val="right"/>
              <w:rPr>
                <w:sz w:val="22"/>
              </w:rPr>
            </w:pPr>
            <w:r>
              <w:rPr>
                <w:sz w:val="22"/>
              </w:rPr>
              <w:t>7.4</w:t>
            </w:r>
          </w:p>
        </w:tc>
      </w:tr>
      <w:tr w:rsidR="00273A30" w:rsidRPr="00F265E7" w14:paraId="7A403867" w14:textId="77777777" w:rsidTr="00273A30">
        <w:trPr>
          <w:cantSplit/>
        </w:trPr>
        <w:tc>
          <w:tcPr>
            <w:tcW w:w="3162" w:type="pct"/>
          </w:tcPr>
          <w:p w14:paraId="6C214B6B" w14:textId="77777777" w:rsidR="00273A30" w:rsidRPr="00273A30" w:rsidRDefault="00273A30" w:rsidP="00273A30">
            <w:pPr>
              <w:keepNext/>
              <w:keepLines/>
              <w:spacing w:before="60" w:after="60"/>
              <w:ind w:left="1440"/>
              <w:jc w:val="left"/>
              <w:rPr>
                <w:sz w:val="22"/>
              </w:rPr>
            </w:pPr>
            <w:r>
              <w:rPr>
                <w:sz w:val="22"/>
              </w:rPr>
              <w:t>Victoria</w:t>
            </w:r>
          </w:p>
        </w:tc>
        <w:tc>
          <w:tcPr>
            <w:tcW w:w="612" w:type="pct"/>
            <w:tcBorders>
              <w:top w:val="single" w:sz="4" w:space="0" w:color="000080"/>
            </w:tcBorders>
          </w:tcPr>
          <w:p w14:paraId="54572B73" w14:textId="77777777" w:rsidR="00273A30" w:rsidRPr="00273A30" w:rsidRDefault="00273A30" w:rsidP="00273A30">
            <w:pPr>
              <w:keepNext/>
              <w:keepLines/>
              <w:spacing w:before="40" w:after="40"/>
              <w:jc w:val="right"/>
              <w:rPr>
                <w:sz w:val="22"/>
              </w:rPr>
            </w:pPr>
            <w:r>
              <w:rPr>
                <w:sz w:val="22"/>
              </w:rPr>
              <w:t>6.0</w:t>
            </w:r>
          </w:p>
        </w:tc>
        <w:tc>
          <w:tcPr>
            <w:tcW w:w="612" w:type="pct"/>
            <w:tcBorders>
              <w:top w:val="single" w:sz="4" w:space="0" w:color="000080"/>
            </w:tcBorders>
          </w:tcPr>
          <w:p w14:paraId="2F2AC40E"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16B0086F" w14:textId="77777777" w:rsidR="00273A30" w:rsidRPr="00273A30" w:rsidRDefault="00273A30" w:rsidP="00273A30">
            <w:pPr>
              <w:keepNext/>
              <w:keepLines/>
              <w:spacing w:before="40" w:after="40"/>
              <w:jc w:val="right"/>
              <w:rPr>
                <w:sz w:val="22"/>
              </w:rPr>
            </w:pPr>
            <w:r>
              <w:rPr>
                <w:sz w:val="22"/>
              </w:rPr>
              <w:t>6.0</w:t>
            </w:r>
          </w:p>
        </w:tc>
      </w:tr>
      <w:tr w:rsidR="00273A30" w:rsidRPr="00F265E7" w14:paraId="706386EE" w14:textId="77777777" w:rsidTr="00273A30">
        <w:trPr>
          <w:cantSplit/>
        </w:trPr>
        <w:tc>
          <w:tcPr>
            <w:tcW w:w="3162" w:type="pct"/>
          </w:tcPr>
          <w:p w14:paraId="0CC0BC76" w14:textId="77777777" w:rsidR="00273A30" w:rsidRPr="00273A30" w:rsidRDefault="00273A30" w:rsidP="00273A30">
            <w:pPr>
              <w:keepNext/>
              <w:keepLines/>
              <w:spacing w:before="60" w:after="60"/>
              <w:ind w:left="1440"/>
              <w:jc w:val="left"/>
              <w:rPr>
                <w:sz w:val="22"/>
              </w:rPr>
            </w:pPr>
            <w:r>
              <w:rPr>
                <w:sz w:val="22"/>
              </w:rPr>
              <w:t>Queensland</w:t>
            </w:r>
          </w:p>
        </w:tc>
        <w:tc>
          <w:tcPr>
            <w:tcW w:w="612" w:type="pct"/>
            <w:tcBorders>
              <w:top w:val="single" w:sz="4" w:space="0" w:color="000080"/>
            </w:tcBorders>
          </w:tcPr>
          <w:p w14:paraId="590AA3DA" w14:textId="77777777" w:rsidR="00273A30" w:rsidRPr="00273A30" w:rsidRDefault="00273A30" w:rsidP="00273A30">
            <w:pPr>
              <w:keepNext/>
              <w:keepLines/>
              <w:spacing w:before="40" w:after="40"/>
              <w:jc w:val="right"/>
              <w:rPr>
                <w:sz w:val="22"/>
              </w:rPr>
            </w:pPr>
            <w:r>
              <w:rPr>
                <w:sz w:val="22"/>
              </w:rPr>
              <w:t>5.0</w:t>
            </w:r>
          </w:p>
        </w:tc>
        <w:tc>
          <w:tcPr>
            <w:tcW w:w="612" w:type="pct"/>
            <w:tcBorders>
              <w:top w:val="single" w:sz="4" w:space="0" w:color="000080"/>
            </w:tcBorders>
          </w:tcPr>
          <w:p w14:paraId="083CC9C0"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1F147F47" w14:textId="77777777" w:rsidR="00273A30" w:rsidRPr="00273A30" w:rsidRDefault="00273A30" w:rsidP="00273A30">
            <w:pPr>
              <w:keepNext/>
              <w:keepLines/>
              <w:spacing w:before="40" w:after="40"/>
              <w:jc w:val="right"/>
              <w:rPr>
                <w:sz w:val="22"/>
              </w:rPr>
            </w:pPr>
            <w:r>
              <w:rPr>
                <w:sz w:val="22"/>
              </w:rPr>
              <w:t>5.0</w:t>
            </w:r>
          </w:p>
        </w:tc>
      </w:tr>
      <w:tr w:rsidR="00273A30" w:rsidRPr="00F265E7" w14:paraId="65F34E59" w14:textId="77777777" w:rsidTr="00273A30">
        <w:trPr>
          <w:cantSplit/>
        </w:trPr>
        <w:tc>
          <w:tcPr>
            <w:tcW w:w="3162" w:type="pct"/>
          </w:tcPr>
          <w:p w14:paraId="353C44E2" w14:textId="77777777" w:rsidR="00273A30" w:rsidRPr="00273A30" w:rsidRDefault="00273A30" w:rsidP="00273A30">
            <w:pPr>
              <w:keepNext/>
              <w:keepLines/>
              <w:spacing w:before="60" w:after="60"/>
              <w:ind w:left="1440"/>
              <w:jc w:val="left"/>
              <w:rPr>
                <w:sz w:val="22"/>
              </w:rPr>
            </w:pPr>
            <w:r>
              <w:rPr>
                <w:sz w:val="22"/>
              </w:rPr>
              <w:t xml:space="preserve">Western Australia </w:t>
            </w:r>
          </w:p>
        </w:tc>
        <w:tc>
          <w:tcPr>
            <w:tcW w:w="612" w:type="pct"/>
            <w:tcBorders>
              <w:top w:val="single" w:sz="4" w:space="0" w:color="000080"/>
            </w:tcBorders>
          </w:tcPr>
          <w:p w14:paraId="642B65A5" w14:textId="77777777" w:rsidR="00273A30" w:rsidRPr="00273A30" w:rsidRDefault="00273A30" w:rsidP="00273A30">
            <w:pPr>
              <w:keepNext/>
              <w:keepLines/>
              <w:spacing w:before="40" w:after="40"/>
              <w:jc w:val="right"/>
              <w:rPr>
                <w:sz w:val="22"/>
              </w:rPr>
            </w:pPr>
            <w:r>
              <w:rPr>
                <w:sz w:val="22"/>
              </w:rPr>
              <w:t>3.1</w:t>
            </w:r>
          </w:p>
        </w:tc>
        <w:tc>
          <w:tcPr>
            <w:tcW w:w="612" w:type="pct"/>
            <w:tcBorders>
              <w:top w:val="single" w:sz="4" w:space="0" w:color="000080"/>
            </w:tcBorders>
          </w:tcPr>
          <w:p w14:paraId="6FE75915"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19517B49" w14:textId="77777777" w:rsidR="00273A30" w:rsidRPr="00273A30" w:rsidRDefault="00273A30" w:rsidP="00273A30">
            <w:pPr>
              <w:keepNext/>
              <w:keepLines/>
              <w:spacing w:before="40" w:after="40"/>
              <w:jc w:val="right"/>
              <w:rPr>
                <w:sz w:val="22"/>
              </w:rPr>
            </w:pPr>
            <w:r>
              <w:rPr>
                <w:sz w:val="22"/>
              </w:rPr>
              <w:t>3.1</w:t>
            </w:r>
          </w:p>
        </w:tc>
      </w:tr>
      <w:tr w:rsidR="00273A30" w:rsidRPr="00F265E7" w14:paraId="1020DAF5" w14:textId="77777777" w:rsidTr="00273A30">
        <w:trPr>
          <w:cantSplit/>
        </w:trPr>
        <w:tc>
          <w:tcPr>
            <w:tcW w:w="3162" w:type="pct"/>
          </w:tcPr>
          <w:p w14:paraId="42119A54" w14:textId="77777777" w:rsidR="00273A30" w:rsidRPr="00273A30" w:rsidRDefault="00273A30" w:rsidP="00273A30">
            <w:pPr>
              <w:keepNext/>
              <w:keepLines/>
              <w:spacing w:before="60" w:after="60"/>
              <w:ind w:left="1440"/>
              <w:jc w:val="left"/>
              <w:rPr>
                <w:sz w:val="22"/>
              </w:rPr>
            </w:pPr>
            <w:r>
              <w:rPr>
                <w:sz w:val="22"/>
              </w:rPr>
              <w:t>South Australia</w:t>
            </w:r>
          </w:p>
        </w:tc>
        <w:tc>
          <w:tcPr>
            <w:tcW w:w="612" w:type="pct"/>
            <w:tcBorders>
              <w:top w:val="single" w:sz="4" w:space="0" w:color="000080"/>
            </w:tcBorders>
          </w:tcPr>
          <w:p w14:paraId="385A54DE" w14:textId="77777777" w:rsidR="00273A30" w:rsidRPr="00273A30" w:rsidRDefault="00273A30" w:rsidP="00273A30">
            <w:pPr>
              <w:keepNext/>
              <w:keepLines/>
              <w:spacing w:before="40" w:after="40"/>
              <w:jc w:val="right"/>
              <w:rPr>
                <w:sz w:val="22"/>
              </w:rPr>
            </w:pPr>
            <w:r>
              <w:rPr>
                <w:sz w:val="22"/>
              </w:rPr>
              <w:t>2.4</w:t>
            </w:r>
          </w:p>
        </w:tc>
        <w:tc>
          <w:tcPr>
            <w:tcW w:w="612" w:type="pct"/>
            <w:tcBorders>
              <w:top w:val="single" w:sz="4" w:space="0" w:color="000080"/>
            </w:tcBorders>
          </w:tcPr>
          <w:p w14:paraId="7C76A601"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6ECB8100" w14:textId="77777777" w:rsidR="00273A30" w:rsidRPr="00273A30" w:rsidRDefault="00273A30" w:rsidP="00273A30">
            <w:pPr>
              <w:keepNext/>
              <w:keepLines/>
              <w:spacing w:before="40" w:after="40"/>
              <w:jc w:val="right"/>
              <w:rPr>
                <w:sz w:val="22"/>
              </w:rPr>
            </w:pPr>
            <w:r>
              <w:rPr>
                <w:sz w:val="22"/>
              </w:rPr>
              <w:t>2.4</w:t>
            </w:r>
          </w:p>
        </w:tc>
      </w:tr>
      <w:tr w:rsidR="00273A30" w:rsidRPr="00F265E7" w14:paraId="0637EE53" w14:textId="77777777" w:rsidTr="00273A30">
        <w:trPr>
          <w:cantSplit/>
        </w:trPr>
        <w:tc>
          <w:tcPr>
            <w:tcW w:w="3162" w:type="pct"/>
          </w:tcPr>
          <w:p w14:paraId="577CA984" w14:textId="77777777" w:rsidR="00273A30" w:rsidRPr="00273A30" w:rsidRDefault="00273A30" w:rsidP="00273A30">
            <w:pPr>
              <w:keepNext/>
              <w:keepLines/>
              <w:spacing w:before="60" w:after="60"/>
              <w:ind w:left="1440"/>
              <w:jc w:val="left"/>
              <w:rPr>
                <w:sz w:val="22"/>
              </w:rPr>
            </w:pPr>
            <w:r>
              <w:rPr>
                <w:sz w:val="22"/>
              </w:rPr>
              <w:t>Tasmania</w:t>
            </w:r>
          </w:p>
        </w:tc>
        <w:tc>
          <w:tcPr>
            <w:tcW w:w="612" w:type="pct"/>
            <w:tcBorders>
              <w:top w:val="single" w:sz="4" w:space="0" w:color="000080"/>
            </w:tcBorders>
          </w:tcPr>
          <w:p w14:paraId="648015DA" w14:textId="77777777" w:rsidR="00273A30" w:rsidRPr="00273A30" w:rsidRDefault="00273A30" w:rsidP="00273A30">
            <w:pPr>
              <w:keepNext/>
              <w:keepLines/>
              <w:spacing w:before="40" w:after="40"/>
              <w:jc w:val="right"/>
              <w:rPr>
                <w:sz w:val="22"/>
              </w:rPr>
            </w:pPr>
            <w:r>
              <w:rPr>
                <w:sz w:val="22"/>
              </w:rPr>
              <w:t>1.4</w:t>
            </w:r>
          </w:p>
        </w:tc>
        <w:tc>
          <w:tcPr>
            <w:tcW w:w="612" w:type="pct"/>
            <w:tcBorders>
              <w:top w:val="single" w:sz="4" w:space="0" w:color="000080"/>
            </w:tcBorders>
          </w:tcPr>
          <w:p w14:paraId="20D3316D"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611BE548" w14:textId="77777777" w:rsidR="00273A30" w:rsidRPr="00273A30" w:rsidRDefault="00273A30" w:rsidP="00273A30">
            <w:pPr>
              <w:keepNext/>
              <w:keepLines/>
              <w:spacing w:before="40" w:after="40"/>
              <w:jc w:val="right"/>
              <w:rPr>
                <w:sz w:val="22"/>
              </w:rPr>
            </w:pPr>
            <w:r>
              <w:rPr>
                <w:sz w:val="22"/>
              </w:rPr>
              <w:t>1.4</w:t>
            </w:r>
          </w:p>
        </w:tc>
      </w:tr>
      <w:tr w:rsidR="00273A30" w:rsidRPr="00F265E7" w14:paraId="3AD37F46" w14:textId="77777777" w:rsidTr="00273A30">
        <w:trPr>
          <w:cantSplit/>
        </w:trPr>
        <w:tc>
          <w:tcPr>
            <w:tcW w:w="3162" w:type="pct"/>
          </w:tcPr>
          <w:p w14:paraId="2ABEA099" w14:textId="77777777" w:rsidR="00273A30" w:rsidRPr="00273A30" w:rsidRDefault="00273A30" w:rsidP="00273A30">
            <w:pPr>
              <w:keepNext/>
              <w:keepLines/>
              <w:spacing w:before="60" w:after="60"/>
              <w:ind w:left="1440"/>
              <w:jc w:val="left"/>
              <w:rPr>
                <w:sz w:val="22"/>
              </w:rPr>
            </w:pPr>
            <w:r>
              <w:rPr>
                <w:sz w:val="22"/>
              </w:rPr>
              <w:t>Australian Capital Territory</w:t>
            </w:r>
          </w:p>
        </w:tc>
        <w:tc>
          <w:tcPr>
            <w:tcW w:w="612" w:type="pct"/>
            <w:tcBorders>
              <w:top w:val="single" w:sz="4" w:space="0" w:color="000080"/>
            </w:tcBorders>
          </w:tcPr>
          <w:p w14:paraId="6E23DB21" w14:textId="77777777" w:rsidR="00273A30" w:rsidRPr="00273A30" w:rsidRDefault="00273A30" w:rsidP="00273A30">
            <w:pPr>
              <w:keepNext/>
              <w:keepLines/>
              <w:spacing w:before="40" w:after="40"/>
              <w:jc w:val="right"/>
              <w:rPr>
                <w:sz w:val="22"/>
              </w:rPr>
            </w:pPr>
            <w:r>
              <w:rPr>
                <w:sz w:val="22"/>
              </w:rPr>
              <w:t>1.3</w:t>
            </w:r>
          </w:p>
        </w:tc>
        <w:tc>
          <w:tcPr>
            <w:tcW w:w="612" w:type="pct"/>
            <w:tcBorders>
              <w:top w:val="single" w:sz="4" w:space="0" w:color="000080"/>
            </w:tcBorders>
          </w:tcPr>
          <w:p w14:paraId="709A811D"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725826C0" w14:textId="77777777" w:rsidR="00273A30" w:rsidRPr="00273A30" w:rsidRDefault="00273A30" w:rsidP="00273A30">
            <w:pPr>
              <w:keepNext/>
              <w:keepLines/>
              <w:spacing w:before="40" w:after="40"/>
              <w:jc w:val="right"/>
              <w:rPr>
                <w:sz w:val="22"/>
              </w:rPr>
            </w:pPr>
            <w:r>
              <w:rPr>
                <w:sz w:val="22"/>
              </w:rPr>
              <w:t>1.3</w:t>
            </w:r>
          </w:p>
        </w:tc>
      </w:tr>
      <w:tr w:rsidR="00273A30" w:rsidRPr="00F265E7" w14:paraId="301EB2F5" w14:textId="77777777" w:rsidTr="00273A30">
        <w:trPr>
          <w:cantSplit/>
        </w:trPr>
        <w:tc>
          <w:tcPr>
            <w:tcW w:w="3162" w:type="pct"/>
          </w:tcPr>
          <w:p w14:paraId="5EC66D14" w14:textId="77777777" w:rsidR="00273A30" w:rsidRPr="00273A30" w:rsidRDefault="00273A30" w:rsidP="00273A30">
            <w:pPr>
              <w:keepNext/>
              <w:keepLines/>
              <w:spacing w:before="60" w:after="60"/>
              <w:ind w:left="1440"/>
              <w:jc w:val="left"/>
              <w:rPr>
                <w:sz w:val="22"/>
              </w:rPr>
            </w:pPr>
            <w:r>
              <w:rPr>
                <w:sz w:val="22"/>
              </w:rPr>
              <w:t>Northern Territory</w:t>
            </w:r>
          </w:p>
        </w:tc>
        <w:tc>
          <w:tcPr>
            <w:tcW w:w="612" w:type="pct"/>
            <w:tcBorders>
              <w:top w:val="single" w:sz="4" w:space="0" w:color="000080"/>
            </w:tcBorders>
          </w:tcPr>
          <w:p w14:paraId="7D53917F" w14:textId="77777777" w:rsidR="00273A30" w:rsidRPr="00273A30" w:rsidRDefault="00273A30" w:rsidP="00273A30">
            <w:pPr>
              <w:keepNext/>
              <w:keepLines/>
              <w:spacing w:before="40" w:after="40"/>
              <w:jc w:val="right"/>
              <w:rPr>
                <w:sz w:val="22"/>
              </w:rPr>
            </w:pPr>
            <w:r>
              <w:rPr>
                <w:sz w:val="22"/>
              </w:rPr>
              <w:t>1.2</w:t>
            </w:r>
          </w:p>
        </w:tc>
        <w:tc>
          <w:tcPr>
            <w:tcW w:w="612" w:type="pct"/>
            <w:tcBorders>
              <w:top w:val="single" w:sz="4" w:space="0" w:color="000080"/>
            </w:tcBorders>
          </w:tcPr>
          <w:p w14:paraId="0A01B14C" w14:textId="77777777" w:rsidR="00273A30" w:rsidRPr="00273A30" w:rsidRDefault="00273A30" w:rsidP="00273A30">
            <w:pPr>
              <w:keepNext/>
              <w:keepLines/>
              <w:spacing w:before="40" w:after="40"/>
              <w:jc w:val="right"/>
              <w:rPr>
                <w:sz w:val="22"/>
              </w:rPr>
            </w:pPr>
            <w:r w:rsidRPr="00273A30">
              <w:rPr>
                <w:sz w:val="22"/>
              </w:rPr>
              <w:t>0.0</w:t>
            </w:r>
          </w:p>
        </w:tc>
        <w:tc>
          <w:tcPr>
            <w:tcW w:w="613" w:type="pct"/>
            <w:tcBorders>
              <w:top w:val="single" w:sz="4" w:space="0" w:color="000080"/>
            </w:tcBorders>
          </w:tcPr>
          <w:p w14:paraId="7DFB6355" w14:textId="77777777" w:rsidR="00273A30" w:rsidRPr="00273A30" w:rsidRDefault="00273A30" w:rsidP="00273A30">
            <w:pPr>
              <w:keepNext/>
              <w:keepLines/>
              <w:spacing w:before="40" w:after="40"/>
              <w:jc w:val="right"/>
              <w:rPr>
                <w:sz w:val="22"/>
              </w:rPr>
            </w:pPr>
            <w:r>
              <w:rPr>
                <w:sz w:val="22"/>
              </w:rPr>
              <w:t>1.2</w:t>
            </w:r>
          </w:p>
        </w:tc>
      </w:tr>
      <w:tr w:rsidR="00273A30" w:rsidRPr="00F265E7" w14:paraId="73502CD9" w14:textId="77777777" w:rsidTr="004C43DB">
        <w:trPr>
          <w:cantSplit/>
        </w:trPr>
        <w:tc>
          <w:tcPr>
            <w:tcW w:w="3162" w:type="pct"/>
          </w:tcPr>
          <w:p w14:paraId="24C43D3E" w14:textId="60ADEC20" w:rsidR="00273A30" w:rsidRPr="00273A30" w:rsidRDefault="00273A30" w:rsidP="00273A30">
            <w:pPr>
              <w:keepNext/>
              <w:keepLines/>
              <w:spacing w:before="60" w:after="60"/>
              <w:ind w:left="720"/>
              <w:jc w:val="left"/>
              <w:rPr>
                <w:i/>
                <w:sz w:val="22"/>
              </w:rPr>
            </w:pPr>
            <w:r w:rsidRPr="00273A30">
              <w:rPr>
                <w:i/>
                <w:sz w:val="22"/>
              </w:rPr>
              <w:t>Contingency fund</w:t>
            </w:r>
            <w:r w:rsidR="004C43DB" w:rsidRPr="004C43DB">
              <w:rPr>
                <w:i/>
                <w:sz w:val="22"/>
                <w:vertAlign w:val="superscript"/>
              </w:rPr>
              <w:t>(a)</w:t>
            </w:r>
          </w:p>
        </w:tc>
        <w:tc>
          <w:tcPr>
            <w:tcW w:w="612" w:type="pct"/>
            <w:tcBorders>
              <w:top w:val="single" w:sz="4" w:space="0" w:color="000080"/>
              <w:bottom w:val="single" w:sz="4" w:space="0" w:color="000080"/>
            </w:tcBorders>
          </w:tcPr>
          <w:p w14:paraId="176E3E01" w14:textId="77777777" w:rsidR="00273A30" w:rsidRPr="00273A30" w:rsidRDefault="00273A30" w:rsidP="002106A6">
            <w:pPr>
              <w:keepNext/>
              <w:keepLines/>
              <w:spacing w:before="40" w:after="40"/>
              <w:jc w:val="right"/>
              <w:rPr>
                <w:sz w:val="22"/>
              </w:rPr>
            </w:pPr>
            <w:r w:rsidRPr="00273A30">
              <w:rPr>
                <w:sz w:val="22"/>
              </w:rPr>
              <w:t>4.7</w:t>
            </w:r>
          </w:p>
        </w:tc>
        <w:tc>
          <w:tcPr>
            <w:tcW w:w="612" w:type="pct"/>
            <w:tcBorders>
              <w:top w:val="single" w:sz="4" w:space="0" w:color="000080"/>
              <w:bottom w:val="single" w:sz="4" w:space="0" w:color="000080"/>
            </w:tcBorders>
          </w:tcPr>
          <w:p w14:paraId="7B4D74F7" w14:textId="77777777" w:rsidR="00273A30" w:rsidRPr="00273A30" w:rsidRDefault="00273A30" w:rsidP="002106A6">
            <w:pPr>
              <w:keepNext/>
              <w:keepLines/>
              <w:spacing w:before="40" w:after="40"/>
              <w:jc w:val="right"/>
              <w:rPr>
                <w:sz w:val="22"/>
              </w:rPr>
            </w:pPr>
            <w:r w:rsidRPr="00273A30">
              <w:rPr>
                <w:sz w:val="22"/>
              </w:rPr>
              <w:t>0.0</w:t>
            </w:r>
          </w:p>
        </w:tc>
        <w:tc>
          <w:tcPr>
            <w:tcW w:w="613" w:type="pct"/>
            <w:tcBorders>
              <w:top w:val="single" w:sz="4" w:space="0" w:color="000080"/>
              <w:bottom w:val="single" w:sz="4" w:space="0" w:color="000080"/>
            </w:tcBorders>
          </w:tcPr>
          <w:p w14:paraId="658D284E" w14:textId="77777777" w:rsidR="00273A30" w:rsidRPr="00273A30" w:rsidRDefault="00273A30" w:rsidP="002106A6">
            <w:pPr>
              <w:keepNext/>
              <w:keepLines/>
              <w:spacing w:before="40" w:after="40"/>
              <w:jc w:val="right"/>
              <w:rPr>
                <w:sz w:val="22"/>
              </w:rPr>
            </w:pPr>
            <w:r w:rsidRPr="00273A30">
              <w:rPr>
                <w:sz w:val="22"/>
              </w:rPr>
              <w:t>4.7</w:t>
            </w:r>
          </w:p>
        </w:tc>
      </w:tr>
      <w:tr w:rsidR="00273A30" w:rsidRPr="00F265E7" w14:paraId="68397FC3" w14:textId="77777777" w:rsidTr="004C43DB">
        <w:trPr>
          <w:cantSplit/>
        </w:trPr>
        <w:tc>
          <w:tcPr>
            <w:tcW w:w="3162" w:type="pct"/>
          </w:tcPr>
          <w:p w14:paraId="65D56BFA" w14:textId="5192C463" w:rsidR="00273A30" w:rsidRPr="004C43DB" w:rsidRDefault="00273A30" w:rsidP="004C43DB">
            <w:pPr>
              <w:keepNext/>
              <w:keepLines/>
              <w:spacing w:before="60" w:after="60"/>
              <w:ind w:left="720"/>
              <w:jc w:val="left"/>
              <w:rPr>
                <w:i/>
                <w:sz w:val="22"/>
                <w:vertAlign w:val="superscript"/>
              </w:rPr>
            </w:pPr>
            <w:r w:rsidRPr="00273A30">
              <w:rPr>
                <w:i/>
                <w:sz w:val="22"/>
              </w:rPr>
              <w:t>Demand-driven fund</w:t>
            </w:r>
            <w:r w:rsidR="004C43DB">
              <w:rPr>
                <w:i/>
                <w:sz w:val="22"/>
                <w:vertAlign w:val="superscript"/>
              </w:rPr>
              <w:t>(b)</w:t>
            </w:r>
          </w:p>
        </w:tc>
        <w:tc>
          <w:tcPr>
            <w:tcW w:w="612" w:type="pct"/>
            <w:tcBorders>
              <w:top w:val="single" w:sz="4" w:space="0" w:color="000080"/>
              <w:bottom w:val="single" w:sz="4" w:space="0" w:color="000080"/>
            </w:tcBorders>
          </w:tcPr>
          <w:p w14:paraId="479C4C6F" w14:textId="77777777" w:rsidR="00273A30" w:rsidRPr="00273A30" w:rsidRDefault="00273A30" w:rsidP="002106A6">
            <w:pPr>
              <w:keepNext/>
              <w:keepLines/>
              <w:spacing w:before="40" w:after="40"/>
              <w:jc w:val="right"/>
              <w:rPr>
                <w:sz w:val="22"/>
              </w:rPr>
            </w:pPr>
            <w:r w:rsidRPr="00273A30">
              <w:rPr>
                <w:sz w:val="22"/>
              </w:rPr>
              <w:t>0.0</w:t>
            </w:r>
          </w:p>
        </w:tc>
        <w:tc>
          <w:tcPr>
            <w:tcW w:w="612" w:type="pct"/>
            <w:tcBorders>
              <w:top w:val="single" w:sz="4" w:space="0" w:color="000080"/>
              <w:bottom w:val="single" w:sz="4" w:space="0" w:color="000080"/>
            </w:tcBorders>
          </w:tcPr>
          <w:p w14:paraId="522D0668" w14:textId="24CC3D07" w:rsidR="00273A30" w:rsidRPr="00273A30" w:rsidRDefault="00273A30" w:rsidP="002106A6">
            <w:pPr>
              <w:keepNext/>
              <w:keepLines/>
              <w:spacing w:before="40" w:after="40"/>
              <w:jc w:val="right"/>
              <w:rPr>
                <w:sz w:val="22"/>
              </w:rPr>
            </w:pPr>
            <w:r w:rsidRPr="00273A30">
              <w:rPr>
                <w:sz w:val="22"/>
              </w:rPr>
              <w:t>97.5</w:t>
            </w:r>
          </w:p>
        </w:tc>
        <w:tc>
          <w:tcPr>
            <w:tcW w:w="613" w:type="pct"/>
            <w:tcBorders>
              <w:top w:val="single" w:sz="4" w:space="0" w:color="000080"/>
              <w:bottom w:val="single" w:sz="4" w:space="0" w:color="000080"/>
            </w:tcBorders>
          </w:tcPr>
          <w:p w14:paraId="245B9395" w14:textId="77777777" w:rsidR="00273A30" w:rsidRPr="00273A30" w:rsidRDefault="00273A30" w:rsidP="002106A6">
            <w:pPr>
              <w:keepNext/>
              <w:keepLines/>
              <w:spacing w:before="40" w:after="40"/>
              <w:jc w:val="right"/>
              <w:rPr>
                <w:sz w:val="22"/>
              </w:rPr>
            </w:pPr>
            <w:r w:rsidRPr="00273A30">
              <w:rPr>
                <w:sz w:val="22"/>
              </w:rPr>
              <w:t>97.5</w:t>
            </w:r>
          </w:p>
        </w:tc>
      </w:tr>
      <w:tr w:rsidR="00753D03" w:rsidRPr="00F265E7" w14:paraId="554CD44A" w14:textId="77777777" w:rsidTr="004C43DB">
        <w:trPr>
          <w:cantSplit/>
        </w:trPr>
        <w:tc>
          <w:tcPr>
            <w:tcW w:w="3162" w:type="pct"/>
          </w:tcPr>
          <w:p w14:paraId="00E7445E" w14:textId="77777777" w:rsidR="00753D03" w:rsidRPr="00F265E7" w:rsidRDefault="00753D03" w:rsidP="00775C1A">
            <w:pPr>
              <w:keepNext/>
              <w:keepLines/>
              <w:spacing w:before="40" w:after="40"/>
              <w:jc w:val="left"/>
            </w:pPr>
            <w:r w:rsidRPr="00F265E7">
              <w:t>Commonwealth own purpose expense (3)</w:t>
            </w:r>
          </w:p>
        </w:tc>
        <w:tc>
          <w:tcPr>
            <w:tcW w:w="612" w:type="pct"/>
            <w:tcBorders>
              <w:top w:val="single" w:sz="4" w:space="0" w:color="000080"/>
              <w:bottom w:val="single" w:sz="4" w:space="0" w:color="000080"/>
            </w:tcBorders>
          </w:tcPr>
          <w:p w14:paraId="43368C89" w14:textId="225AF47E" w:rsidR="00753D03" w:rsidRPr="00F265E7" w:rsidRDefault="007B76C8" w:rsidP="002106A6">
            <w:pPr>
              <w:keepNext/>
              <w:keepLines/>
              <w:spacing w:before="40" w:after="40"/>
              <w:jc w:val="right"/>
            </w:pPr>
            <w:r>
              <w:t>0</w:t>
            </w:r>
            <w:r w:rsidR="00753D03" w:rsidRPr="00F265E7">
              <w:t>.0</w:t>
            </w:r>
          </w:p>
        </w:tc>
        <w:tc>
          <w:tcPr>
            <w:tcW w:w="612" w:type="pct"/>
            <w:tcBorders>
              <w:top w:val="single" w:sz="4" w:space="0" w:color="000080"/>
              <w:bottom w:val="single" w:sz="4" w:space="0" w:color="000080"/>
            </w:tcBorders>
          </w:tcPr>
          <w:p w14:paraId="1EBA3B11" w14:textId="16624790" w:rsidR="00753D03" w:rsidRPr="00F265E7" w:rsidRDefault="007B76C8" w:rsidP="00775C1A">
            <w:pPr>
              <w:keepNext/>
              <w:keepLines/>
              <w:spacing w:before="40" w:after="40"/>
              <w:jc w:val="right"/>
            </w:pPr>
            <w:r>
              <w:t>0</w:t>
            </w:r>
            <w:r w:rsidR="00753D03" w:rsidRPr="00F265E7">
              <w:t>.0</w:t>
            </w:r>
          </w:p>
        </w:tc>
        <w:tc>
          <w:tcPr>
            <w:tcW w:w="613" w:type="pct"/>
            <w:tcBorders>
              <w:top w:val="single" w:sz="4" w:space="0" w:color="000080"/>
              <w:bottom w:val="single" w:sz="4" w:space="0" w:color="000080"/>
            </w:tcBorders>
          </w:tcPr>
          <w:p w14:paraId="6978AB34" w14:textId="53602538" w:rsidR="00753D03" w:rsidRPr="00F265E7" w:rsidRDefault="007B76C8" w:rsidP="002106A6">
            <w:pPr>
              <w:keepNext/>
              <w:keepLines/>
              <w:spacing w:before="40" w:after="40"/>
              <w:jc w:val="right"/>
            </w:pPr>
            <w:r>
              <w:t>0</w:t>
            </w:r>
            <w:r w:rsidR="00753D03" w:rsidRPr="00F265E7">
              <w:t>.0</w:t>
            </w:r>
          </w:p>
        </w:tc>
      </w:tr>
      <w:tr w:rsidR="00753D03" w:rsidRPr="00F265E7" w14:paraId="1619133C" w14:textId="77777777" w:rsidTr="00273A30">
        <w:trPr>
          <w:cantSplit/>
        </w:trPr>
        <w:tc>
          <w:tcPr>
            <w:tcW w:w="3162" w:type="pct"/>
          </w:tcPr>
          <w:p w14:paraId="7F78F205" w14:textId="77777777" w:rsidR="00753D03" w:rsidRPr="00F265E7" w:rsidRDefault="00753D03" w:rsidP="00775C1A">
            <w:pPr>
              <w:keepNext/>
              <w:keepLines/>
              <w:spacing w:before="40" w:after="40"/>
              <w:jc w:val="left"/>
            </w:pPr>
            <w:r w:rsidRPr="00F265E7">
              <w:t xml:space="preserve">Total Commonwealth contribution </w:t>
            </w:r>
            <w:r w:rsidRPr="00F265E7">
              <w:br/>
              <w:t>(4) = (2) + (3)</w:t>
            </w:r>
          </w:p>
        </w:tc>
        <w:tc>
          <w:tcPr>
            <w:tcW w:w="612" w:type="pct"/>
            <w:tcBorders>
              <w:top w:val="single" w:sz="4" w:space="0" w:color="000080"/>
              <w:bottom w:val="single" w:sz="4" w:space="0" w:color="000080"/>
            </w:tcBorders>
          </w:tcPr>
          <w:p w14:paraId="5DE9B388" w14:textId="2A80C13E" w:rsidR="00753D03" w:rsidRPr="00F265E7" w:rsidRDefault="007B76C8" w:rsidP="007B76C8">
            <w:pPr>
              <w:keepNext/>
              <w:keepLines/>
              <w:spacing w:before="40" w:after="40"/>
              <w:jc w:val="right"/>
            </w:pPr>
            <w:r w:rsidRPr="00F265E7">
              <w:t>3</w:t>
            </w:r>
            <w:r>
              <w:t>2</w:t>
            </w:r>
            <w:r w:rsidR="00753D03" w:rsidRPr="00F265E7">
              <w:t>.5</w:t>
            </w:r>
          </w:p>
        </w:tc>
        <w:tc>
          <w:tcPr>
            <w:tcW w:w="612" w:type="pct"/>
            <w:tcBorders>
              <w:top w:val="single" w:sz="4" w:space="0" w:color="000080"/>
              <w:bottom w:val="single" w:sz="4" w:space="0" w:color="000080"/>
            </w:tcBorders>
          </w:tcPr>
          <w:p w14:paraId="69996336" w14:textId="28823095" w:rsidR="00753D03" w:rsidRPr="00F265E7" w:rsidRDefault="007B76C8" w:rsidP="002106A6">
            <w:pPr>
              <w:keepNext/>
              <w:keepLines/>
              <w:spacing w:before="40" w:after="40"/>
              <w:jc w:val="right"/>
            </w:pPr>
            <w:r>
              <w:t>97.5</w:t>
            </w:r>
          </w:p>
        </w:tc>
        <w:tc>
          <w:tcPr>
            <w:tcW w:w="613" w:type="pct"/>
            <w:tcBorders>
              <w:top w:val="single" w:sz="4" w:space="0" w:color="000080"/>
              <w:bottom w:val="single" w:sz="4" w:space="0" w:color="000080"/>
            </w:tcBorders>
          </w:tcPr>
          <w:p w14:paraId="3C8003A8" w14:textId="258E7B6E" w:rsidR="00753D03" w:rsidRPr="00F265E7" w:rsidRDefault="007B76C8" w:rsidP="007B76C8">
            <w:pPr>
              <w:keepNext/>
              <w:keepLines/>
              <w:spacing w:before="40" w:after="40"/>
              <w:jc w:val="right"/>
            </w:pPr>
            <w:r w:rsidRPr="00F265E7">
              <w:t>1</w:t>
            </w:r>
            <w:r>
              <w:t>3</w:t>
            </w:r>
            <w:r w:rsidRPr="00F265E7">
              <w:t>0</w:t>
            </w:r>
            <w:r w:rsidR="00753D03" w:rsidRPr="00F265E7">
              <w:t>.0</w:t>
            </w:r>
          </w:p>
        </w:tc>
      </w:tr>
      <w:tr w:rsidR="00753D03" w:rsidRPr="00F265E7" w14:paraId="086543BE" w14:textId="77777777" w:rsidTr="00273A30">
        <w:trPr>
          <w:cantSplit/>
        </w:trPr>
        <w:tc>
          <w:tcPr>
            <w:tcW w:w="3162" w:type="pct"/>
            <w:tcBorders>
              <w:bottom w:val="single" w:sz="4" w:space="0" w:color="000080"/>
            </w:tcBorders>
          </w:tcPr>
          <w:p w14:paraId="5B03980C" w14:textId="77777777" w:rsidR="00753D03" w:rsidRPr="00F265E7" w:rsidRDefault="00753D03" w:rsidP="00775C1A">
            <w:pPr>
              <w:keepNext/>
              <w:keepLines/>
              <w:spacing w:before="40" w:after="40"/>
              <w:jc w:val="left"/>
            </w:pPr>
            <w:r w:rsidRPr="00F265E7">
              <w:t xml:space="preserve">Balance of non-Commonwealth contributions </w:t>
            </w:r>
            <w:r w:rsidRPr="00F265E7">
              <w:br/>
              <w:t xml:space="preserve">(5) = (1) – (4) </w:t>
            </w:r>
          </w:p>
        </w:tc>
        <w:tc>
          <w:tcPr>
            <w:tcW w:w="612" w:type="pct"/>
            <w:tcBorders>
              <w:top w:val="single" w:sz="4" w:space="0" w:color="000080"/>
              <w:bottom w:val="single" w:sz="4" w:space="0" w:color="000080"/>
            </w:tcBorders>
          </w:tcPr>
          <w:p w14:paraId="33ECE77E" w14:textId="77777777" w:rsidR="00753D03" w:rsidRPr="00F265E7" w:rsidRDefault="00753D03" w:rsidP="002106A6">
            <w:pPr>
              <w:keepNext/>
              <w:keepLines/>
              <w:spacing w:before="40" w:after="40"/>
              <w:jc w:val="right"/>
            </w:pPr>
            <w:r w:rsidRPr="00F265E7">
              <w:t>0.0</w:t>
            </w:r>
          </w:p>
        </w:tc>
        <w:tc>
          <w:tcPr>
            <w:tcW w:w="612" w:type="pct"/>
            <w:tcBorders>
              <w:top w:val="single" w:sz="4" w:space="0" w:color="000080"/>
              <w:bottom w:val="single" w:sz="4" w:space="0" w:color="000080"/>
            </w:tcBorders>
          </w:tcPr>
          <w:p w14:paraId="22798C2A" w14:textId="77777777" w:rsidR="00753D03" w:rsidRPr="00F265E7" w:rsidRDefault="00753D03" w:rsidP="002106A6">
            <w:pPr>
              <w:keepNext/>
              <w:keepLines/>
              <w:spacing w:before="40" w:after="40"/>
              <w:jc w:val="right"/>
            </w:pPr>
            <w:r w:rsidRPr="00F265E7">
              <w:t>0.0</w:t>
            </w:r>
          </w:p>
        </w:tc>
        <w:tc>
          <w:tcPr>
            <w:tcW w:w="613" w:type="pct"/>
            <w:tcBorders>
              <w:top w:val="single" w:sz="4" w:space="0" w:color="000080"/>
              <w:bottom w:val="single" w:sz="4" w:space="0" w:color="000080"/>
            </w:tcBorders>
          </w:tcPr>
          <w:p w14:paraId="2C02F45C" w14:textId="77777777" w:rsidR="00753D03" w:rsidRPr="00F265E7" w:rsidRDefault="00753D03" w:rsidP="002106A6">
            <w:pPr>
              <w:keepNext/>
              <w:keepLines/>
              <w:spacing w:before="40" w:after="40"/>
              <w:jc w:val="right"/>
            </w:pPr>
            <w:r w:rsidRPr="00F265E7">
              <w:t>0.0</w:t>
            </w:r>
          </w:p>
        </w:tc>
      </w:tr>
    </w:tbl>
    <w:p w14:paraId="3E8F0EBC" w14:textId="3DCD1202" w:rsidR="007079CC" w:rsidRDefault="004C43DB" w:rsidP="007079CC">
      <w:pPr>
        <w:pStyle w:val="ChartandTableFootnoteAlpha"/>
        <w:numPr>
          <w:ilvl w:val="0"/>
          <w:numId w:val="29"/>
        </w:numPr>
      </w:pPr>
      <w:r>
        <w:t>Distribution of funding will be discussed and prioritised by the COAG Women’s Safety Council by 29 May 2020, and included as a Schedule to this Agreement.</w:t>
      </w:r>
    </w:p>
    <w:p w14:paraId="2FE48D17" w14:textId="55A31CE5" w:rsidR="00FB4200" w:rsidRPr="00F265E7" w:rsidRDefault="004C43DB" w:rsidP="004C43DB">
      <w:pPr>
        <w:pStyle w:val="ChartandTableFootnoteAlpha"/>
        <w:numPr>
          <w:ilvl w:val="0"/>
          <w:numId w:val="29"/>
        </w:numPr>
      </w:pPr>
      <w:r>
        <w:t xml:space="preserve">Distribution of funding will be discussed and prioritised by the COAG Women’s Safety Council by </w:t>
      </w:r>
      <w:r w:rsidR="009A4473">
        <w:t>1</w:t>
      </w:r>
      <w:r>
        <w:t xml:space="preserve"> </w:t>
      </w:r>
      <w:r w:rsidR="009A4473">
        <w:t>July</w:t>
      </w:r>
      <w:r>
        <w:t xml:space="preserve"> 2020, and included as a Schedule to this Agreement.</w:t>
      </w:r>
    </w:p>
    <w:p w14:paraId="6E05869E" w14:textId="77777777" w:rsidR="00E92C8A" w:rsidRDefault="00A8295A" w:rsidP="00C738BD">
      <w:pPr>
        <w:pStyle w:val="Heading2"/>
      </w:pPr>
      <w:r w:rsidRPr="00F265E7">
        <w:t xml:space="preserve">Financial </w:t>
      </w:r>
      <w:r w:rsidR="00C738BD" w:rsidRPr="00F265E7">
        <w:t>risk</w:t>
      </w:r>
      <w:r w:rsidRPr="00F265E7">
        <w:t xml:space="preserve"> management</w:t>
      </w:r>
    </w:p>
    <w:p w14:paraId="650A3E60" w14:textId="77777777" w:rsidR="007E02F1" w:rsidRDefault="00C738BD" w:rsidP="0073203D">
      <w:pPr>
        <w:pStyle w:val="Normalnumbered"/>
        <w:numPr>
          <w:ilvl w:val="0"/>
          <w:numId w:val="26"/>
        </w:numPr>
        <w:jc w:val="left"/>
      </w:pPr>
      <w:r w:rsidRPr="00C738BD">
        <w:t>Having regard to the agreed estimated costs of projects</w:t>
      </w:r>
      <w:r w:rsidR="00A8295A">
        <w:t xml:space="preserve"> or reforms</w:t>
      </w:r>
      <w:r w:rsidRPr="00C738BD">
        <w:t xml:space="preserve"> </w:t>
      </w:r>
      <w:r w:rsidR="00A8295A" w:rsidRPr="0094014A">
        <w:t>under this Agreement</w:t>
      </w:r>
      <w:r w:rsidRPr="00C738BD">
        <w:t>, State</w:t>
      </w:r>
      <w:r w:rsidR="007219B9">
        <w:t>s</w:t>
      </w:r>
      <w:r w:rsidRPr="00C738BD">
        <w:t xml:space="preserve"> will not be required to pay a refund to the Commonwealth if the actual cost is less than the agreed estimated cost. Similarly, the States</w:t>
      </w:r>
      <w:r w:rsidR="00D57346">
        <w:t xml:space="preserve"> </w:t>
      </w:r>
      <w:r w:rsidRPr="00C738BD">
        <w:t>bear all risk should the costs exceed the agreed estimated cost</w:t>
      </w:r>
      <w:r w:rsidR="00C95D81">
        <w:t>s.</w:t>
      </w:r>
      <w:r w:rsidRPr="00C738BD">
        <w:t xml:space="preserve"> The Parties acknowledge that this arrangement provides the maximum incentive for the States to deliver projects </w:t>
      </w:r>
      <w:r w:rsidR="00B012ED">
        <w:t xml:space="preserve">and reforms </w:t>
      </w:r>
      <w:r w:rsidRPr="00C738BD">
        <w:t>cost effectively and efficiently.</w:t>
      </w:r>
    </w:p>
    <w:p w14:paraId="5507E721" w14:textId="77777777" w:rsidR="00814667" w:rsidRDefault="00814667" w:rsidP="007E02F1">
      <w:pPr>
        <w:pStyle w:val="Heading1"/>
        <w:spacing w:before="180"/>
      </w:pPr>
      <w:r>
        <w:t>Part 6 — governance arrangements</w:t>
      </w:r>
    </w:p>
    <w:p w14:paraId="2B3AB94D" w14:textId="77777777" w:rsidR="000A7553" w:rsidRDefault="000A7553" w:rsidP="000A7553">
      <w:pPr>
        <w:pStyle w:val="Heading2"/>
      </w:pPr>
      <w:r w:rsidRPr="006F096A">
        <w:t>Enforceability of the Agreement</w:t>
      </w:r>
    </w:p>
    <w:p w14:paraId="06E3906C" w14:textId="77777777" w:rsidR="000A7553" w:rsidRPr="00C40EBC" w:rsidRDefault="004E6528" w:rsidP="0073203D">
      <w:pPr>
        <w:pStyle w:val="Normalnumbered"/>
        <w:numPr>
          <w:ilvl w:val="0"/>
          <w:numId w:val="26"/>
        </w:numPr>
        <w:spacing w:line="240" w:lineRule="auto"/>
        <w:jc w:val="left"/>
      </w:pPr>
      <w:r>
        <w:rPr>
          <w:szCs w:val="23"/>
        </w:rPr>
        <w:t>T</w:t>
      </w:r>
      <w:r w:rsidR="000A7553">
        <w:rPr>
          <w:szCs w:val="23"/>
        </w:rPr>
        <w:t xml:space="preserve">he Parties do not intend any of the provisions of this Agreement to be legally enforceable. However, </w:t>
      </w:r>
      <w:r w:rsidR="007219B9">
        <w:rPr>
          <w:szCs w:val="23"/>
        </w:rPr>
        <w:t xml:space="preserve">this </w:t>
      </w:r>
      <w:r w:rsidR="000A7553">
        <w:rPr>
          <w:szCs w:val="23"/>
        </w:rPr>
        <w:t>does not lessen the Parties’ commitment to this Agreement.</w:t>
      </w:r>
    </w:p>
    <w:p w14:paraId="632843B8" w14:textId="77777777" w:rsidR="00E51D1B" w:rsidRDefault="00E51D1B" w:rsidP="007F2F8F">
      <w:pPr>
        <w:pStyle w:val="Heading2"/>
        <w:rPr>
          <w:i/>
        </w:rPr>
      </w:pPr>
      <w:r>
        <w:t>Review of the Agreement</w:t>
      </w:r>
    </w:p>
    <w:p w14:paraId="7E3C878D" w14:textId="3CA9FCFF" w:rsidR="00B22A74" w:rsidRPr="00B22A74" w:rsidRDefault="00D36590" w:rsidP="00B22A74">
      <w:pPr>
        <w:pStyle w:val="Normalnumbered"/>
        <w:numPr>
          <w:ilvl w:val="0"/>
          <w:numId w:val="26"/>
        </w:numPr>
        <w:spacing w:line="240" w:lineRule="auto"/>
        <w:jc w:val="left"/>
        <w:rPr>
          <w:color w:val="auto"/>
        </w:rPr>
      </w:pPr>
      <w:r w:rsidRPr="00D36590">
        <w:rPr>
          <w:color w:val="auto"/>
        </w:rPr>
        <w:t xml:space="preserve">This Agreement is intended to provide Commonwealth </w:t>
      </w:r>
      <w:r w:rsidRPr="0090569F">
        <w:rPr>
          <w:color w:val="auto"/>
        </w:rPr>
        <w:t xml:space="preserve">funding on a one off basis </w:t>
      </w:r>
      <w:r w:rsidR="00EB01B3" w:rsidRPr="0090569F">
        <w:rPr>
          <w:color w:val="auto"/>
        </w:rPr>
        <w:t xml:space="preserve">for the </w:t>
      </w:r>
      <w:r w:rsidR="00EB01B3" w:rsidRPr="00971736">
        <w:rPr>
          <w:color w:val="auto"/>
        </w:rPr>
        <w:t>provision of</w:t>
      </w:r>
      <w:r w:rsidRPr="00971736">
        <w:rPr>
          <w:color w:val="auto"/>
        </w:rPr>
        <w:t xml:space="preserve"> </w:t>
      </w:r>
      <w:r w:rsidR="00EB01B3" w:rsidRPr="00971736">
        <w:rPr>
          <w:color w:val="auto"/>
        </w:rPr>
        <w:t>domestic, family and sexual violence support services</w:t>
      </w:r>
      <w:r w:rsidRPr="00971736">
        <w:rPr>
          <w:color w:val="auto"/>
        </w:rPr>
        <w:t xml:space="preserve"> as specified in </w:t>
      </w:r>
      <w:r w:rsidR="00EB01B3" w:rsidRPr="00971736">
        <w:rPr>
          <w:color w:val="auto"/>
        </w:rPr>
        <w:t>clause 12</w:t>
      </w:r>
      <w:r w:rsidRPr="00971736">
        <w:rPr>
          <w:color w:val="auto"/>
        </w:rPr>
        <w:t>.</w:t>
      </w:r>
      <w:r w:rsidR="00EB01B3" w:rsidRPr="00971736">
        <w:rPr>
          <w:color w:val="auto"/>
        </w:rPr>
        <w:t xml:space="preserve"> </w:t>
      </w:r>
      <w:r w:rsidR="0056581D">
        <w:rPr>
          <w:color w:val="auto"/>
        </w:rPr>
        <w:t xml:space="preserve">The COAG </w:t>
      </w:r>
      <w:r w:rsidR="00B22A74" w:rsidRPr="00971736">
        <w:rPr>
          <w:color w:val="auto"/>
        </w:rPr>
        <w:t xml:space="preserve">Women’s Safety Council will continue to monitor the impact of </w:t>
      </w:r>
      <w:r w:rsidR="00EE6ACA">
        <w:rPr>
          <w:color w:val="auto"/>
        </w:rPr>
        <w:t>COVID-19</w:t>
      </w:r>
      <w:r w:rsidR="00B22A74" w:rsidRPr="00971736">
        <w:rPr>
          <w:color w:val="auto"/>
        </w:rPr>
        <w:t xml:space="preserve"> on the safety of women and their children and on the domestic, family and sexual violence services that support them</w:t>
      </w:r>
      <w:r w:rsidR="00EB01B3" w:rsidRPr="00971736">
        <w:rPr>
          <w:color w:val="auto"/>
        </w:rPr>
        <w:t>.</w:t>
      </w:r>
      <w:r w:rsidRPr="0096077B">
        <w:rPr>
          <w:color w:val="auto"/>
        </w:rPr>
        <w:t xml:space="preserve"> </w:t>
      </w:r>
    </w:p>
    <w:p w14:paraId="6E41872E" w14:textId="77777777" w:rsidR="00E51D1B" w:rsidRPr="0073203D" w:rsidRDefault="00D36590" w:rsidP="00E51D1B">
      <w:pPr>
        <w:pStyle w:val="Heading2"/>
      </w:pPr>
      <w:r w:rsidDel="00D36590">
        <w:t xml:space="preserve"> </w:t>
      </w:r>
      <w:r w:rsidR="00E51D1B" w:rsidRPr="0073203D">
        <w:t>Variation of the Agreement</w:t>
      </w:r>
    </w:p>
    <w:p w14:paraId="62EBE80B" w14:textId="77777777" w:rsidR="009C4BB2" w:rsidRPr="0073203D" w:rsidRDefault="00E51D1B" w:rsidP="0073203D">
      <w:pPr>
        <w:pStyle w:val="Normalnumbered"/>
        <w:numPr>
          <w:ilvl w:val="0"/>
          <w:numId w:val="26"/>
        </w:numPr>
        <w:jc w:val="left"/>
      </w:pPr>
      <w:r w:rsidRPr="0073203D">
        <w:t>The Agreement may be amended at any time by agreement in writing by all the Parties.</w:t>
      </w:r>
      <w:r w:rsidR="00912D84" w:rsidRPr="0073203D">
        <w:t xml:space="preserve"> </w:t>
      </w:r>
    </w:p>
    <w:p w14:paraId="0F31E369" w14:textId="77777777" w:rsidR="00E51D1B" w:rsidRPr="0073203D" w:rsidRDefault="009C4BB2" w:rsidP="0073203D">
      <w:pPr>
        <w:pStyle w:val="Normalnumbered"/>
        <w:numPr>
          <w:ilvl w:val="0"/>
          <w:numId w:val="26"/>
        </w:numPr>
        <w:jc w:val="left"/>
      </w:pPr>
      <w:r w:rsidRPr="0073203D">
        <w:t xml:space="preserve">Variations to this Agreement may be agreed by relevant Commonwealth and State and Territory Ministers with portfolio responsibility for preventing and responding to violence against women and their children. </w:t>
      </w:r>
    </w:p>
    <w:p w14:paraId="07EDFED3" w14:textId="77777777" w:rsidR="00E51D1B" w:rsidRDefault="00E51D1B" w:rsidP="0073203D">
      <w:pPr>
        <w:pStyle w:val="Normalnumbered"/>
        <w:numPr>
          <w:ilvl w:val="0"/>
          <w:numId w:val="26"/>
        </w:numPr>
        <w:jc w:val="left"/>
      </w:pPr>
      <w:r>
        <w:t>A Party to the Agreement may terminate their participation in the Agreement at any time by notifying all the other Parties in writing.</w:t>
      </w:r>
    </w:p>
    <w:p w14:paraId="5055A9A9" w14:textId="77777777" w:rsidR="002665E5" w:rsidRDefault="002665E5" w:rsidP="002665E5">
      <w:pPr>
        <w:pStyle w:val="Heading2"/>
      </w:pPr>
      <w:r>
        <w:t>Delegations</w:t>
      </w:r>
    </w:p>
    <w:p w14:paraId="015A9D67" w14:textId="605BA3F8" w:rsidR="002665E5" w:rsidRDefault="002665E5" w:rsidP="0073203D">
      <w:pPr>
        <w:pStyle w:val="Normalnumbered"/>
        <w:numPr>
          <w:ilvl w:val="0"/>
          <w:numId w:val="26"/>
        </w:numPr>
        <w:jc w:val="left"/>
      </w:pPr>
      <w:r>
        <w:t xml:space="preserve">The relevant </w:t>
      </w:r>
      <w:r w:rsidRPr="0073203D">
        <w:t>Commonwealth Minister</w:t>
      </w:r>
      <w:r w:rsidR="00E5711D" w:rsidRPr="0073203D">
        <w:t>s</w:t>
      </w:r>
      <w:r w:rsidRPr="0073203D">
        <w:t xml:space="preserve"> with portfolio responsibility for </w:t>
      </w:r>
      <w:r w:rsidR="0030375E" w:rsidRPr="0073203D">
        <w:t>preventing and responding to violence against women and their children</w:t>
      </w:r>
      <w:r w:rsidR="00E5711D" w:rsidRPr="0073203D">
        <w:t xml:space="preserve"> (the Minister for Families and Social Services and the Minister for Women)</w:t>
      </w:r>
      <w:r w:rsidR="0030375E" w:rsidRPr="0073203D">
        <w:t xml:space="preserve"> </w:t>
      </w:r>
      <w:r w:rsidRPr="0073203D">
        <w:t>is</w:t>
      </w:r>
      <w:r>
        <w:t xml:space="preserve"> authorised to agree and amend Schedules</w:t>
      </w:r>
      <w:r w:rsidR="00061F1C">
        <w:t xml:space="preserve"> </w:t>
      </w:r>
      <w:r>
        <w:t xml:space="preserve">to this Agreement and to </w:t>
      </w:r>
      <w:r w:rsidRPr="00901CF5">
        <w:t xml:space="preserve">certify that </w:t>
      </w:r>
      <w:r>
        <w:t xml:space="preserve">performance benchmarks specified under this Agreement have been achieved, so that payments may be made. </w:t>
      </w:r>
    </w:p>
    <w:p w14:paraId="0C552634" w14:textId="36AE390F" w:rsidR="002665E5" w:rsidRDefault="002665E5" w:rsidP="0073203D">
      <w:pPr>
        <w:pStyle w:val="Normalnumbered"/>
        <w:numPr>
          <w:ilvl w:val="0"/>
          <w:numId w:val="26"/>
        </w:numPr>
        <w:jc w:val="left"/>
      </w:pPr>
      <w:r>
        <w:t xml:space="preserve">Respective State and Territory Ministers with portfolio responsibility for </w:t>
      </w:r>
      <w:r w:rsidR="0030375E">
        <w:t>preventing and responding to violence against women and their children</w:t>
      </w:r>
      <w:r w:rsidR="0030375E" w:rsidRPr="00816464">
        <w:t xml:space="preserve"> </w:t>
      </w:r>
      <w:r w:rsidRPr="00816464">
        <w:t xml:space="preserve">are authorised to agree </w:t>
      </w:r>
      <w:r w:rsidR="006C7FA2">
        <w:t>and</w:t>
      </w:r>
      <w:r>
        <w:t xml:space="preserve"> amend </w:t>
      </w:r>
      <w:r w:rsidRPr="000E19C0">
        <w:t>Schedules to this Agreement</w:t>
      </w:r>
      <w:r w:rsidRPr="00816464">
        <w:t>.</w:t>
      </w:r>
      <w:r w:rsidRPr="00901CF5">
        <w:t xml:space="preserve"> </w:t>
      </w:r>
    </w:p>
    <w:p w14:paraId="39A74BB2" w14:textId="77777777" w:rsidR="002665E5" w:rsidRDefault="002665E5" w:rsidP="0073203D">
      <w:pPr>
        <w:pStyle w:val="Normalnumbered"/>
        <w:numPr>
          <w:ilvl w:val="0"/>
          <w:numId w:val="26"/>
        </w:numPr>
        <w:jc w:val="left"/>
      </w:pPr>
      <w: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620FB07C" w14:textId="77777777" w:rsidR="002665E5" w:rsidRDefault="002665E5" w:rsidP="002665E5">
      <w:pPr>
        <w:pStyle w:val="Heading2"/>
      </w:pPr>
      <w:r>
        <w:t>Dispute resolution</w:t>
      </w:r>
    </w:p>
    <w:p w14:paraId="0EF26BDA" w14:textId="77777777" w:rsidR="002665E5" w:rsidRDefault="002665E5" w:rsidP="0073203D">
      <w:pPr>
        <w:pStyle w:val="Normalnumbered"/>
        <w:numPr>
          <w:ilvl w:val="0"/>
          <w:numId w:val="26"/>
        </w:numPr>
        <w:jc w:val="left"/>
      </w:pPr>
      <w:r>
        <w:t>Any Party may give notice to other Parties of a dispute under this Agreement.</w:t>
      </w:r>
    </w:p>
    <w:p w14:paraId="052045C4" w14:textId="77777777" w:rsidR="002665E5" w:rsidRDefault="002665E5" w:rsidP="0073203D">
      <w:pPr>
        <w:pStyle w:val="Normalnumbered"/>
        <w:numPr>
          <w:ilvl w:val="0"/>
          <w:numId w:val="26"/>
        </w:numPr>
        <w:jc w:val="left"/>
      </w:pPr>
      <w:r>
        <w:t>Officials of relevant Parties will attempt to resolve any dispute in the first instance.</w:t>
      </w:r>
    </w:p>
    <w:p w14:paraId="42213330" w14:textId="391A809F" w:rsidR="002665E5" w:rsidRDefault="002665E5" w:rsidP="0073203D">
      <w:pPr>
        <w:pStyle w:val="Normalnumbered"/>
        <w:numPr>
          <w:ilvl w:val="0"/>
          <w:numId w:val="26"/>
        </w:numPr>
        <w:jc w:val="left"/>
      </w:pPr>
      <w:r>
        <w:t xml:space="preserve">If </w:t>
      </w:r>
      <w:r w:rsidR="00210538">
        <w:t>officials cannot resolve a dispute</w:t>
      </w:r>
      <w:r>
        <w:t>, it may be escalated to the relevant Ministers.</w:t>
      </w:r>
    </w:p>
    <w:p w14:paraId="0EB5A11E" w14:textId="77777777" w:rsidR="0030375E" w:rsidRPr="00FB6A2E" w:rsidRDefault="0030375E" w:rsidP="00912D84">
      <w:pPr>
        <w:pStyle w:val="AlphaParagraph"/>
        <w:tabs>
          <w:tab w:val="clear" w:pos="0"/>
          <w:tab w:val="clear" w:pos="567"/>
          <w:tab w:val="clear" w:pos="1134"/>
        </w:tabs>
        <w:ind w:left="0" w:firstLine="0"/>
      </w:pPr>
    </w:p>
    <w:p w14:paraId="68F2A5DB" w14:textId="77777777" w:rsidR="002665E5" w:rsidRDefault="002665E5" w:rsidP="0073203D">
      <w:pPr>
        <w:pStyle w:val="Normalnumbered"/>
        <w:numPr>
          <w:ilvl w:val="0"/>
          <w:numId w:val="26"/>
        </w:numPr>
        <w:jc w:val="left"/>
      </w:pPr>
      <w:r>
        <w:br w:type="page"/>
      </w:r>
    </w:p>
    <w:p w14:paraId="3FD1B7F9" w14:textId="77777777" w:rsidR="002665E5" w:rsidRPr="002665E5" w:rsidRDefault="002665E5" w:rsidP="002665E5">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743AC914" w14:textId="77777777" w:rsidTr="00B40E38">
        <w:trPr>
          <w:cantSplit/>
          <w:jc w:val="center"/>
        </w:trPr>
        <w:tc>
          <w:tcPr>
            <w:tcW w:w="4536" w:type="dxa"/>
          </w:tcPr>
          <w:p w14:paraId="6B8B9722"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531DEB9" w14:textId="77777777" w:rsidR="002665E5" w:rsidRPr="00A50751" w:rsidRDefault="002665E5" w:rsidP="00B40E38">
            <w:pPr>
              <w:pStyle w:val="LineForSignature"/>
            </w:pPr>
            <w:r>
              <w:tab/>
            </w:r>
          </w:p>
          <w:p w14:paraId="453A4449" w14:textId="77777777" w:rsidR="002665E5" w:rsidRDefault="002665E5" w:rsidP="00B40E38">
            <w:pPr>
              <w:pStyle w:val="SingleParagraph"/>
              <w:rPr>
                <w:rStyle w:val="Bold"/>
              </w:rPr>
            </w:pPr>
            <w:r>
              <w:rPr>
                <w:rStyle w:val="Bold"/>
              </w:rPr>
              <w:t xml:space="preserve">The Honourable </w:t>
            </w:r>
            <w:r w:rsidR="00A87D82">
              <w:rPr>
                <w:rStyle w:val="Bold"/>
              </w:rPr>
              <w:t>Scott Morrison</w:t>
            </w:r>
            <w:r>
              <w:rPr>
                <w:rStyle w:val="Bold"/>
              </w:rPr>
              <w:t xml:space="preserve"> MP</w:t>
            </w:r>
          </w:p>
          <w:p w14:paraId="675A7FA1" w14:textId="77777777" w:rsidR="002665E5" w:rsidRDefault="002665E5" w:rsidP="00B40E38">
            <w:pPr>
              <w:pStyle w:val="Position"/>
              <w:rPr>
                <w:lang w:val="en-GB"/>
              </w:rPr>
            </w:pPr>
            <w:r w:rsidRPr="001F6FE8">
              <w:rPr>
                <w:lang w:val="en-GB"/>
              </w:rPr>
              <w:t>Prime Minister of the Commonwealth of Australia</w:t>
            </w:r>
          </w:p>
          <w:p w14:paraId="15DF3EE6"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307CB740" w14:textId="77777777" w:rsidR="002665E5" w:rsidRPr="00A50751" w:rsidRDefault="002665E5" w:rsidP="00B40E38">
            <w:pPr>
              <w:rPr>
                <w:rFonts w:ascii="Book Antiqua" w:hAnsi="Book Antiqua"/>
                <w:lang w:val="en-GB"/>
              </w:rPr>
            </w:pPr>
          </w:p>
        </w:tc>
        <w:tc>
          <w:tcPr>
            <w:tcW w:w="4536" w:type="dxa"/>
          </w:tcPr>
          <w:p w14:paraId="3B8EE6D8" w14:textId="77777777" w:rsidR="002665E5" w:rsidRPr="00A50751" w:rsidRDefault="002665E5" w:rsidP="00B40E38">
            <w:pPr>
              <w:rPr>
                <w:rFonts w:ascii="Book Antiqua" w:hAnsi="Book Antiqua"/>
                <w:lang w:val="en-GB"/>
              </w:rPr>
            </w:pPr>
          </w:p>
        </w:tc>
      </w:tr>
      <w:tr w:rsidR="002665E5" w:rsidRPr="00A50751" w14:paraId="66FF88E3" w14:textId="77777777" w:rsidTr="00B40E38">
        <w:trPr>
          <w:cantSplit/>
          <w:jc w:val="center"/>
        </w:trPr>
        <w:tc>
          <w:tcPr>
            <w:tcW w:w="4536" w:type="dxa"/>
          </w:tcPr>
          <w:p w14:paraId="0E40F197"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6C80E1EE" w14:textId="77777777" w:rsidR="002665E5" w:rsidRPr="00A50751" w:rsidRDefault="002665E5" w:rsidP="00B40E38">
            <w:pPr>
              <w:pStyle w:val="SingleParagraph"/>
              <w:rPr>
                <w:rFonts w:ascii="Book Antiqua" w:hAnsi="Book Antiqua"/>
                <w:lang w:val="en-GB"/>
              </w:rPr>
            </w:pPr>
          </w:p>
        </w:tc>
        <w:tc>
          <w:tcPr>
            <w:tcW w:w="4536" w:type="dxa"/>
          </w:tcPr>
          <w:p w14:paraId="27684A85" w14:textId="77777777" w:rsidR="002665E5" w:rsidRPr="00A50751" w:rsidRDefault="002665E5" w:rsidP="00B40E38">
            <w:pPr>
              <w:pStyle w:val="SingleParagraph"/>
              <w:rPr>
                <w:rFonts w:ascii="Book Antiqua" w:hAnsi="Book Antiqua"/>
                <w:lang w:val="en-GB"/>
              </w:rPr>
            </w:pPr>
          </w:p>
        </w:tc>
      </w:tr>
      <w:tr w:rsidR="002665E5" w:rsidRPr="00A50751" w14:paraId="188D9DCC" w14:textId="77777777" w:rsidTr="00B40E38">
        <w:trPr>
          <w:cantSplit/>
          <w:jc w:val="center"/>
        </w:trPr>
        <w:tc>
          <w:tcPr>
            <w:tcW w:w="4536" w:type="dxa"/>
          </w:tcPr>
          <w:p w14:paraId="74334B9F"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6EE906D3" w14:textId="77777777" w:rsidR="002665E5" w:rsidRPr="00A50751" w:rsidRDefault="002665E5" w:rsidP="00B40E38">
            <w:pPr>
              <w:pStyle w:val="LineForSignature"/>
            </w:pPr>
            <w:r w:rsidRPr="00A50751">
              <w:tab/>
            </w:r>
          </w:p>
          <w:p w14:paraId="7CB7B46D" w14:textId="77777777" w:rsidR="002665E5" w:rsidRDefault="002665E5" w:rsidP="00B40E38">
            <w:pPr>
              <w:pStyle w:val="SingleParagraph"/>
              <w:rPr>
                <w:rStyle w:val="Bold"/>
              </w:rPr>
            </w:pPr>
            <w:r>
              <w:rPr>
                <w:rStyle w:val="Bold"/>
              </w:rPr>
              <w:t xml:space="preserve">The Honourable </w:t>
            </w:r>
            <w:r w:rsidR="0034186E">
              <w:rPr>
                <w:rStyle w:val="Bold"/>
                <w:bCs/>
              </w:rPr>
              <w:t>Gladys Berejiklian</w:t>
            </w:r>
            <w:r>
              <w:rPr>
                <w:rStyle w:val="Bold"/>
                <w:bCs/>
              </w:rPr>
              <w:t xml:space="preserve"> </w:t>
            </w:r>
            <w:r>
              <w:rPr>
                <w:rStyle w:val="Bold"/>
              </w:rPr>
              <w:t>MP</w:t>
            </w:r>
          </w:p>
          <w:p w14:paraId="2E91A978" w14:textId="77777777" w:rsidR="002665E5" w:rsidRPr="00A50751" w:rsidRDefault="002665E5" w:rsidP="00B40E38">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251F1B6A"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356B7B8A" w14:textId="77777777" w:rsidR="002665E5" w:rsidRPr="00A50751" w:rsidRDefault="002665E5" w:rsidP="00B40E38">
            <w:pPr>
              <w:rPr>
                <w:rFonts w:ascii="Book Antiqua" w:hAnsi="Book Antiqua"/>
                <w:lang w:val="en-GB"/>
              </w:rPr>
            </w:pPr>
          </w:p>
        </w:tc>
        <w:tc>
          <w:tcPr>
            <w:tcW w:w="4536" w:type="dxa"/>
          </w:tcPr>
          <w:p w14:paraId="776F224A"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7D8363D2" w14:textId="77777777" w:rsidR="002665E5" w:rsidRPr="00A50751" w:rsidRDefault="002665E5" w:rsidP="00B40E38">
            <w:pPr>
              <w:pStyle w:val="LineForSignature"/>
            </w:pPr>
            <w:r w:rsidRPr="00A50751">
              <w:tab/>
            </w:r>
          </w:p>
          <w:p w14:paraId="349961B5" w14:textId="77777777" w:rsidR="002665E5" w:rsidRDefault="002665E5" w:rsidP="00B40E38">
            <w:pPr>
              <w:pStyle w:val="SingleParagraph"/>
              <w:rPr>
                <w:rStyle w:val="Bold"/>
              </w:rPr>
            </w:pPr>
            <w:r>
              <w:rPr>
                <w:rStyle w:val="Bold"/>
              </w:rPr>
              <w:t xml:space="preserve">The Honourable </w:t>
            </w:r>
            <w:r w:rsidR="0046371B">
              <w:rPr>
                <w:rStyle w:val="Bold"/>
              </w:rPr>
              <w:t>Daniel Andrews</w:t>
            </w:r>
            <w:r w:rsidR="005A53F6">
              <w:rPr>
                <w:rStyle w:val="Bold"/>
              </w:rPr>
              <w:t xml:space="preserve"> MLA</w:t>
            </w:r>
          </w:p>
          <w:p w14:paraId="7B461E50"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4C05E0CB"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060059C9" w14:textId="77777777" w:rsidTr="00B40E38">
        <w:trPr>
          <w:cantSplit/>
          <w:jc w:val="center"/>
        </w:trPr>
        <w:tc>
          <w:tcPr>
            <w:tcW w:w="4536" w:type="dxa"/>
          </w:tcPr>
          <w:p w14:paraId="0BEB4A9E"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C9A4904" w14:textId="77777777" w:rsidR="002665E5" w:rsidRPr="00A50751" w:rsidRDefault="002665E5" w:rsidP="00B40E38">
            <w:pPr>
              <w:pStyle w:val="SingleParagraph"/>
              <w:rPr>
                <w:rFonts w:ascii="Book Antiqua" w:hAnsi="Book Antiqua"/>
                <w:lang w:val="en-GB"/>
              </w:rPr>
            </w:pPr>
          </w:p>
        </w:tc>
        <w:tc>
          <w:tcPr>
            <w:tcW w:w="4536" w:type="dxa"/>
          </w:tcPr>
          <w:p w14:paraId="25F01272" w14:textId="77777777" w:rsidR="002665E5" w:rsidRPr="00A50751" w:rsidRDefault="002665E5" w:rsidP="00B40E38">
            <w:pPr>
              <w:pStyle w:val="SingleParagraph"/>
              <w:rPr>
                <w:rFonts w:ascii="Book Antiqua" w:hAnsi="Book Antiqua"/>
                <w:lang w:val="en-GB"/>
              </w:rPr>
            </w:pPr>
          </w:p>
        </w:tc>
      </w:tr>
      <w:tr w:rsidR="002665E5" w:rsidRPr="00A50751" w14:paraId="0D39B4B6" w14:textId="77777777" w:rsidTr="00B40E38">
        <w:trPr>
          <w:cantSplit/>
          <w:jc w:val="center"/>
        </w:trPr>
        <w:tc>
          <w:tcPr>
            <w:tcW w:w="4536" w:type="dxa"/>
          </w:tcPr>
          <w:p w14:paraId="56813A9A"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6B203D5" w14:textId="77777777" w:rsidR="002665E5" w:rsidRPr="00A50751" w:rsidRDefault="002665E5" w:rsidP="00B40E38">
            <w:pPr>
              <w:pStyle w:val="LineForSignature"/>
            </w:pPr>
            <w:r w:rsidRPr="00A50751">
              <w:tab/>
            </w:r>
          </w:p>
          <w:p w14:paraId="6649CCB5" w14:textId="77777777" w:rsidR="002665E5" w:rsidRDefault="002665E5" w:rsidP="00B40E38">
            <w:pPr>
              <w:pStyle w:val="SingleParagraph"/>
              <w:rPr>
                <w:b/>
              </w:rPr>
            </w:pPr>
            <w:r>
              <w:rPr>
                <w:b/>
              </w:rPr>
              <w:t xml:space="preserve">The Honourable </w:t>
            </w:r>
            <w:r w:rsidR="004A5DF7" w:rsidRPr="004A5DF7">
              <w:rPr>
                <w:b/>
              </w:rPr>
              <w:t xml:space="preserve">Annastacia Palaszczuk </w:t>
            </w:r>
            <w:r>
              <w:rPr>
                <w:b/>
              </w:rPr>
              <w:t xml:space="preserve"> MP</w:t>
            </w:r>
          </w:p>
          <w:p w14:paraId="383F1CC9"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68402D79"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011D6EBA" w14:textId="77777777" w:rsidR="002665E5" w:rsidRPr="00A50751" w:rsidRDefault="002665E5" w:rsidP="00B40E38">
            <w:pPr>
              <w:rPr>
                <w:rFonts w:ascii="Book Antiqua" w:hAnsi="Book Antiqua"/>
                <w:lang w:val="en-GB"/>
              </w:rPr>
            </w:pPr>
          </w:p>
        </w:tc>
        <w:tc>
          <w:tcPr>
            <w:tcW w:w="4536" w:type="dxa"/>
          </w:tcPr>
          <w:p w14:paraId="612D7B08"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28D5DB38" w14:textId="77777777" w:rsidR="002665E5" w:rsidRPr="00A50751" w:rsidRDefault="002665E5" w:rsidP="00B40E38">
            <w:pPr>
              <w:pStyle w:val="LineForSignature"/>
            </w:pPr>
            <w:r w:rsidRPr="00A50751">
              <w:tab/>
            </w:r>
          </w:p>
          <w:p w14:paraId="2F47B535" w14:textId="77777777" w:rsidR="002665E5" w:rsidRDefault="002665E5" w:rsidP="00B40E38">
            <w:pPr>
              <w:pStyle w:val="SingleParagraph"/>
              <w:rPr>
                <w:rStyle w:val="Bold"/>
              </w:rPr>
            </w:pPr>
            <w:r>
              <w:rPr>
                <w:rStyle w:val="Bold"/>
              </w:rPr>
              <w:t xml:space="preserve">The Honourable </w:t>
            </w:r>
            <w:r w:rsidR="0034186E">
              <w:rPr>
                <w:rStyle w:val="Bold"/>
              </w:rPr>
              <w:t>Mark McGowan</w:t>
            </w:r>
            <w:r>
              <w:rPr>
                <w:rStyle w:val="Bold"/>
              </w:rPr>
              <w:t xml:space="preserve"> MLA</w:t>
            </w:r>
          </w:p>
          <w:p w14:paraId="6CFF7F21" w14:textId="77777777" w:rsidR="002665E5" w:rsidRPr="00A50751" w:rsidRDefault="002665E5" w:rsidP="00B40E38">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20BCFCC4"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34B1131C" w14:textId="77777777" w:rsidTr="00B40E38">
        <w:trPr>
          <w:cantSplit/>
          <w:jc w:val="center"/>
        </w:trPr>
        <w:tc>
          <w:tcPr>
            <w:tcW w:w="4536" w:type="dxa"/>
          </w:tcPr>
          <w:p w14:paraId="79D664DC"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30E83559" w14:textId="77777777" w:rsidR="002665E5" w:rsidRPr="00A50751" w:rsidRDefault="002665E5" w:rsidP="00B40E38">
            <w:pPr>
              <w:pStyle w:val="SingleParagraph"/>
              <w:rPr>
                <w:rFonts w:ascii="Book Antiqua" w:hAnsi="Book Antiqua"/>
                <w:lang w:val="en-GB"/>
              </w:rPr>
            </w:pPr>
          </w:p>
        </w:tc>
        <w:tc>
          <w:tcPr>
            <w:tcW w:w="4536" w:type="dxa"/>
          </w:tcPr>
          <w:p w14:paraId="575360B0" w14:textId="77777777" w:rsidR="002665E5" w:rsidRPr="00A50751" w:rsidRDefault="002665E5" w:rsidP="00B40E38">
            <w:pPr>
              <w:pStyle w:val="SingleParagraph"/>
              <w:rPr>
                <w:rFonts w:ascii="Book Antiqua" w:hAnsi="Book Antiqua"/>
                <w:lang w:val="en-GB"/>
              </w:rPr>
            </w:pPr>
          </w:p>
        </w:tc>
      </w:tr>
      <w:tr w:rsidR="002665E5" w:rsidRPr="00A50751" w14:paraId="250B7CA5" w14:textId="77777777" w:rsidTr="00B40E38">
        <w:trPr>
          <w:cantSplit/>
          <w:trHeight w:val="143"/>
          <w:jc w:val="center"/>
        </w:trPr>
        <w:tc>
          <w:tcPr>
            <w:tcW w:w="4536" w:type="dxa"/>
          </w:tcPr>
          <w:p w14:paraId="0836E47B"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3CE7E4DA" w14:textId="77777777" w:rsidR="002665E5" w:rsidRPr="00A50751" w:rsidRDefault="002665E5" w:rsidP="00B40E38">
            <w:pPr>
              <w:pStyle w:val="LineForSignature"/>
            </w:pPr>
            <w:r w:rsidRPr="00A50751">
              <w:tab/>
            </w:r>
          </w:p>
          <w:p w14:paraId="27435271" w14:textId="77777777" w:rsidR="002665E5" w:rsidRDefault="002665E5" w:rsidP="00B40E38">
            <w:pPr>
              <w:pStyle w:val="SingleParagraph"/>
              <w:rPr>
                <w:rStyle w:val="Bold"/>
              </w:rPr>
            </w:pPr>
            <w:r>
              <w:rPr>
                <w:rStyle w:val="Bold"/>
              </w:rPr>
              <w:t xml:space="preserve">The Honourable </w:t>
            </w:r>
            <w:r w:rsidR="00A87D82">
              <w:rPr>
                <w:rStyle w:val="Bold"/>
              </w:rPr>
              <w:t>Steven Marshall</w:t>
            </w:r>
            <w:r>
              <w:rPr>
                <w:rStyle w:val="Bold"/>
              </w:rPr>
              <w:t xml:space="preserve"> MP</w:t>
            </w:r>
          </w:p>
          <w:p w14:paraId="5CBE8B52"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14F3B391"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643C6EEE" w14:textId="77777777" w:rsidR="002665E5" w:rsidRPr="00A50751" w:rsidRDefault="002665E5" w:rsidP="00B40E38">
            <w:pPr>
              <w:rPr>
                <w:rFonts w:ascii="Book Antiqua" w:hAnsi="Book Antiqua"/>
                <w:lang w:val="en-GB"/>
              </w:rPr>
            </w:pPr>
          </w:p>
        </w:tc>
        <w:tc>
          <w:tcPr>
            <w:tcW w:w="4536" w:type="dxa"/>
          </w:tcPr>
          <w:p w14:paraId="7D789592"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160EFE93" w14:textId="77777777" w:rsidR="002665E5" w:rsidRPr="00A50751" w:rsidRDefault="002665E5" w:rsidP="00B40E38">
            <w:pPr>
              <w:pStyle w:val="LineForSignature"/>
            </w:pPr>
            <w:r w:rsidRPr="00A50751">
              <w:tab/>
            </w:r>
          </w:p>
          <w:p w14:paraId="5848FCAE" w14:textId="77777777" w:rsidR="00937404" w:rsidRDefault="00937404" w:rsidP="00937404">
            <w:pPr>
              <w:pStyle w:val="SingleParagraph"/>
              <w:rPr>
                <w:rStyle w:val="Bold"/>
              </w:rPr>
            </w:pPr>
            <w:r>
              <w:rPr>
                <w:rStyle w:val="Bold"/>
              </w:rPr>
              <w:t>The Honourable Peter Gutwein MP</w:t>
            </w:r>
          </w:p>
          <w:p w14:paraId="031290A8" w14:textId="77777777" w:rsidR="002665E5" w:rsidRPr="00A50751" w:rsidRDefault="002665E5" w:rsidP="00B40E38">
            <w:pPr>
              <w:pStyle w:val="Position"/>
              <w:rPr>
                <w:rFonts w:ascii="Book Antiqua" w:hAnsi="Book Antiqua"/>
                <w:bCs w:val="0"/>
                <w:lang w:val="en-GB"/>
              </w:rPr>
            </w:pPr>
            <w:r w:rsidRPr="00B12190">
              <w:rPr>
                <w:bCs w:val="0"/>
                <w:lang w:val="en-GB"/>
              </w:rPr>
              <w:t>Premier of the State of Tasmania</w:t>
            </w:r>
          </w:p>
          <w:p w14:paraId="7A4430A7"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251559A0" w14:textId="77777777" w:rsidTr="00B40E38">
        <w:trPr>
          <w:cantSplit/>
          <w:jc w:val="center"/>
        </w:trPr>
        <w:tc>
          <w:tcPr>
            <w:tcW w:w="4536" w:type="dxa"/>
          </w:tcPr>
          <w:p w14:paraId="44B987CE"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C9BB6B7" w14:textId="77777777" w:rsidR="002665E5" w:rsidRPr="00A50751" w:rsidRDefault="002665E5" w:rsidP="00B40E38">
            <w:pPr>
              <w:pStyle w:val="SingleParagraph"/>
              <w:rPr>
                <w:rFonts w:ascii="Book Antiqua" w:hAnsi="Book Antiqua"/>
                <w:lang w:val="en-GB"/>
              </w:rPr>
            </w:pPr>
          </w:p>
        </w:tc>
        <w:tc>
          <w:tcPr>
            <w:tcW w:w="4536" w:type="dxa"/>
          </w:tcPr>
          <w:p w14:paraId="1CBD4BE5" w14:textId="77777777" w:rsidR="002665E5" w:rsidRPr="00A50751" w:rsidRDefault="002665E5" w:rsidP="00B40E38">
            <w:pPr>
              <w:pStyle w:val="SingleParagraph"/>
              <w:rPr>
                <w:rFonts w:ascii="Book Antiqua" w:hAnsi="Book Antiqua"/>
                <w:lang w:val="en-GB"/>
              </w:rPr>
            </w:pPr>
          </w:p>
        </w:tc>
      </w:tr>
      <w:tr w:rsidR="002665E5" w:rsidRPr="00A50751" w14:paraId="111946E1" w14:textId="77777777" w:rsidTr="00B40E38">
        <w:trPr>
          <w:cantSplit/>
          <w:jc w:val="center"/>
        </w:trPr>
        <w:tc>
          <w:tcPr>
            <w:tcW w:w="4536" w:type="dxa"/>
          </w:tcPr>
          <w:p w14:paraId="3F1C02E7"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30A81F1A" w14:textId="77777777" w:rsidR="002665E5" w:rsidRPr="00A50751" w:rsidRDefault="002665E5" w:rsidP="00B40E38">
            <w:pPr>
              <w:pStyle w:val="LineForSignature"/>
            </w:pPr>
            <w:r w:rsidRPr="00A50751">
              <w:tab/>
            </w:r>
          </w:p>
          <w:p w14:paraId="3CBDF15A" w14:textId="77777777" w:rsidR="002665E5" w:rsidRDefault="00A3209E" w:rsidP="00B40E38">
            <w:pPr>
              <w:pStyle w:val="SingleParagraph"/>
              <w:rPr>
                <w:rStyle w:val="Bold"/>
              </w:rPr>
            </w:pPr>
            <w:r>
              <w:rPr>
                <w:rStyle w:val="Bold"/>
              </w:rPr>
              <w:t>Andrew Barr</w:t>
            </w:r>
            <w:r w:rsidR="002665E5">
              <w:rPr>
                <w:rStyle w:val="Bold"/>
              </w:rPr>
              <w:t xml:space="preserve"> MLA</w:t>
            </w:r>
          </w:p>
          <w:p w14:paraId="5DE0D96B" w14:textId="77777777" w:rsidR="002665E5" w:rsidRPr="00A50751" w:rsidRDefault="002665E5" w:rsidP="00B40E38">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1601C1E7"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5C788133" w14:textId="77777777" w:rsidR="002665E5" w:rsidRPr="00A50751" w:rsidRDefault="002665E5" w:rsidP="00B40E38">
            <w:pPr>
              <w:rPr>
                <w:rFonts w:ascii="Book Antiqua" w:hAnsi="Book Antiqua"/>
                <w:lang w:val="en-GB"/>
              </w:rPr>
            </w:pPr>
          </w:p>
        </w:tc>
        <w:tc>
          <w:tcPr>
            <w:tcW w:w="4536" w:type="dxa"/>
          </w:tcPr>
          <w:p w14:paraId="160169E8"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4F489DBB" w14:textId="77777777" w:rsidR="002665E5" w:rsidRPr="00A50751" w:rsidRDefault="002665E5" w:rsidP="00B40E38">
            <w:pPr>
              <w:pStyle w:val="LineForSignature"/>
            </w:pPr>
            <w:r w:rsidRPr="00A50751">
              <w:tab/>
            </w:r>
          </w:p>
          <w:p w14:paraId="2FD7EE78" w14:textId="77777777" w:rsidR="002665E5" w:rsidRDefault="005C2111" w:rsidP="005C2111">
            <w:pPr>
              <w:pStyle w:val="SingleParagraph"/>
              <w:rPr>
                <w:rStyle w:val="Bold"/>
              </w:rPr>
            </w:pPr>
            <w:r>
              <w:rPr>
                <w:rStyle w:val="Bold"/>
              </w:rPr>
              <w:t xml:space="preserve">The Honourable </w:t>
            </w:r>
            <w:r w:rsidR="0034186E">
              <w:rPr>
                <w:rStyle w:val="Bold"/>
              </w:rPr>
              <w:t>Michael Gunner</w:t>
            </w:r>
            <w:r w:rsidR="002665E5">
              <w:rPr>
                <w:rStyle w:val="Bold"/>
              </w:rPr>
              <w:t xml:space="preserve"> MLA</w:t>
            </w:r>
          </w:p>
          <w:p w14:paraId="09E43BC7" w14:textId="77777777" w:rsidR="002665E5" w:rsidRPr="00A50751" w:rsidRDefault="002665E5" w:rsidP="00B40E38">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13D5EE07"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bl>
    <w:p w14:paraId="11C0F265" w14:textId="77777777" w:rsidR="008843EE" w:rsidRDefault="008843EE" w:rsidP="00E92647">
      <w:pPr>
        <w:pStyle w:val="Heading9"/>
        <w:numPr>
          <w:ilvl w:val="0"/>
          <w:numId w:val="0"/>
        </w:numPr>
        <w:jc w:val="center"/>
      </w:pPr>
    </w:p>
    <w:sectPr w:rsidR="008843EE" w:rsidSect="00E92647">
      <w:headerReference w:type="default" r:id="rId14"/>
      <w:footerReference w:type="even" r:id="rId15"/>
      <w:footerReference w:type="default" r:id="rId16"/>
      <w:headerReference w:type="first" r:id="rId17"/>
      <w:footerReference w:type="first" r:id="rId18"/>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DE0B" w14:textId="77777777" w:rsidR="00A62691" w:rsidRDefault="00A62691">
      <w:r>
        <w:separator/>
      </w:r>
    </w:p>
  </w:endnote>
  <w:endnote w:type="continuationSeparator" w:id="0">
    <w:p w14:paraId="60370265" w14:textId="77777777" w:rsidR="00A62691" w:rsidRDefault="00A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D0A7" w14:textId="77777777" w:rsidR="00C45C44" w:rsidRDefault="00C45C44">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36F3" w14:textId="77777777" w:rsidR="00C45C44" w:rsidRDefault="00C45C44">
    <w:pPr>
      <w:pStyle w:val="FooterOdd"/>
    </w:pPr>
    <w:r>
      <w:t xml:space="preserve">Page </w:t>
    </w:r>
    <w:r>
      <w:rPr>
        <w:rStyle w:val="PageNumber"/>
      </w:rPr>
      <w:t>D-3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6777" w14:textId="77777777" w:rsidR="00C45C44" w:rsidRDefault="00C45C44" w:rsidP="00751725">
    <w:pPr>
      <w:pStyle w:val="FooterEven"/>
      <w:jc w:val="right"/>
    </w:pPr>
    <w:r>
      <w:t>PageD-1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B928F" w14:textId="77777777" w:rsidR="00A62691" w:rsidRDefault="00A62691">
      <w:r>
        <w:separator/>
      </w:r>
    </w:p>
  </w:footnote>
  <w:footnote w:type="continuationSeparator" w:id="0">
    <w:p w14:paraId="63797268" w14:textId="77777777" w:rsidR="00A62691" w:rsidRDefault="00A6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0F3E" w14:textId="4493EE42" w:rsidR="003C34C0" w:rsidRDefault="003C34C0" w:rsidP="003C34C0">
    <w:pPr>
      <w:pStyle w:val="Header"/>
      <w:jc w:val="right"/>
    </w:pPr>
    <w:r>
      <w:rPr>
        <w:color w:val="800000"/>
      </w:rPr>
      <w:t xml:space="preserve">National Partnership on </w:t>
    </w:r>
    <w:r w:rsidR="00EE6ACA">
      <w:rPr>
        <w:color w:val="800000"/>
      </w:rPr>
      <w:t>COVID-19</w:t>
    </w:r>
    <w:r w:rsidRPr="00490B9A">
      <w:rPr>
        <w:color w:val="800000"/>
      </w:rPr>
      <w:t xml:space="preserve"> Domestic and Family Violence Responses</w:t>
    </w:r>
  </w:p>
  <w:p w14:paraId="73AA4230" w14:textId="77777777" w:rsidR="003C34C0" w:rsidRDefault="003C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557B" w14:textId="75F38C97" w:rsidR="003C34C0" w:rsidRDefault="003C34C0" w:rsidP="003C34C0">
    <w:pPr>
      <w:pStyle w:val="Header"/>
      <w:jc w:val="right"/>
    </w:pPr>
    <w:r>
      <w:rPr>
        <w:color w:val="800000"/>
      </w:rPr>
      <w:t xml:space="preserve">National Partnership on </w:t>
    </w:r>
    <w:r w:rsidR="00EE6ACA">
      <w:rPr>
        <w:color w:val="800000"/>
      </w:rPr>
      <w:t>COVID-19</w:t>
    </w:r>
    <w:r w:rsidR="00EE6ACA" w:rsidRPr="00490B9A">
      <w:rPr>
        <w:color w:val="800000"/>
      </w:rPr>
      <w:t xml:space="preserve"> </w:t>
    </w:r>
    <w:r w:rsidRPr="00490B9A">
      <w:rPr>
        <w:color w:val="800000"/>
      </w:rPr>
      <w:t>Domestic and Family Violence Responses</w:t>
    </w:r>
  </w:p>
  <w:p w14:paraId="4AC3D755" w14:textId="77777777" w:rsidR="003C34C0" w:rsidRDefault="003C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1A"/>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659172F"/>
    <w:multiLevelType w:val="multilevel"/>
    <w:tmpl w:val="60F2B214"/>
    <w:lvl w:ilvl="0">
      <w:start w:val="1"/>
      <w:numFmt w:val="decimal"/>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8"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46B4ECA"/>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BA1C544C"/>
    <w:lvl w:ilvl="0" w:tplc="79369BBE">
      <w:start w:val="1"/>
      <w:numFmt w:val="decimal"/>
      <w:lvlText w:val="%1."/>
      <w:lvlJc w:val="left"/>
      <w:pPr>
        <w:tabs>
          <w:tab w:val="num" w:pos="567"/>
        </w:tabs>
        <w:ind w:left="567" w:hanging="567"/>
      </w:pPr>
      <w:rPr>
        <w:rFonts w:cs="Times New Roman" w:hint="default"/>
        <w:b w:val="0"/>
        <w:color w:val="auto"/>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E82528"/>
    <w:multiLevelType w:val="hybridMultilevel"/>
    <w:tmpl w:val="3F8EAE0C"/>
    <w:lvl w:ilvl="0" w:tplc="ADB0D8F0">
      <w:start w:val="19"/>
      <w:numFmt w:val="decimal"/>
      <w:lvlText w:val="%1."/>
      <w:lvlJc w:val="left"/>
      <w:pPr>
        <w:tabs>
          <w:tab w:val="num" w:pos="567"/>
        </w:tabs>
        <w:ind w:left="567" w:hanging="567"/>
      </w:pPr>
      <w:rPr>
        <w:rFonts w:cs="Times New Roman" w:hint="default"/>
        <w:b w:val="0"/>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E164C6"/>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7FBA576A"/>
    <w:multiLevelType w:val="multilevel"/>
    <w:tmpl w:val="BD40DF32"/>
    <w:lvl w:ilvl="0">
      <w:start w:val="18"/>
      <w:numFmt w:val="decimal"/>
      <w:lvlText w:val="%1."/>
      <w:lvlJc w:val="left"/>
      <w:pPr>
        <w:tabs>
          <w:tab w:val="num" w:pos="567"/>
        </w:tabs>
        <w:ind w:left="0" w:firstLine="0"/>
      </w:pPr>
      <w:rPr>
        <w:rFonts w:hint="default"/>
        <w:b w:val="0"/>
        <w:i w:val="0"/>
        <w:color w:val="000000"/>
      </w:rPr>
    </w:lvl>
    <w:lvl w:ilvl="1">
      <w:start w:val="1"/>
      <w:numFmt w:val="decimal"/>
      <w:lvlText w:val="%2"/>
      <w:lvlJc w:val="left"/>
      <w:pPr>
        <w:tabs>
          <w:tab w:val="num" w:pos="567"/>
        </w:tabs>
        <w:ind w:left="567" w:hanging="567"/>
      </w:pPr>
      <w:rPr>
        <w:rFonts w:cs="Times New Roman" w:hint="default"/>
        <w:b w:val="0"/>
        <w:i w:val="0"/>
        <w:color w:val="000000"/>
      </w:rPr>
    </w:lvl>
    <w:lvl w:ilvl="2">
      <w:start w:val="1"/>
      <w:numFmt w:val="decimal"/>
      <w:lvlText w:val="%3"/>
      <w:lvlJc w:val="left"/>
      <w:pPr>
        <w:tabs>
          <w:tab w:val="num" w:pos="1134"/>
        </w:tabs>
        <w:ind w:left="1134" w:hanging="567"/>
      </w:pPr>
      <w:rPr>
        <w:rFonts w:cs="Times New Roman" w:hint="default"/>
        <w:b w:val="0"/>
        <w:i w:val="0"/>
        <w:color w:val="000000"/>
      </w:rPr>
    </w:lvl>
    <w:lvl w:ilvl="3">
      <w:start w:val="1"/>
      <w:numFmt w:val="decimal"/>
      <w:lvlText w:val="%4"/>
      <w:lvlJc w:val="left"/>
      <w:pPr>
        <w:tabs>
          <w:tab w:val="num" w:pos="1701"/>
        </w:tabs>
        <w:ind w:left="1701" w:hanging="567"/>
      </w:pPr>
      <w:rPr>
        <w:rFonts w:cs="Times New Roman" w:hint="default"/>
        <w:b w:val="0"/>
        <w:i w:val="0"/>
        <w:color w:val="000000"/>
      </w:rPr>
    </w:lvl>
    <w:lvl w:ilvl="4">
      <w:start w:val="1"/>
      <w:numFmt w:val="decimal"/>
      <w:lvlText w:val="%5"/>
      <w:lvlJc w:val="left"/>
      <w:pPr>
        <w:tabs>
          <w:tab w:val="num" w:pos="2268"/>
        </w:tabs>
        <w:ind w:left="2268" w:hanging="567"/>
      </w:pPr>
      <w:rPr>
        <w:rFonts w:cs="Times New Roman" w:hint="default"/>
        <w:b w:val="0"/>
        <w:i w:val="0"/>
        <w:color w:val="000000"/>
      </w:rPr>
    </w:lvl>
    <w:lvl w:ilvl="5">
      <w:start w:val="1"/>
      <w:numFmt w:val="decimal"/>
      <w:lvlText w:val="%6"/>
      <w:lvlJc w:val="left"/>
      <w:pPr>
        <w:tabs>
          <w:tab w:val="num" w:pos="2835"/>
        </w:tabs>
        <w:ind w:left="2835" w:hanging="567"/>
      </w:pPr>
      <w:rPr>
        <w:rFonts w:cs="Times New Roman" w:hint="default"/>
        <w:b w:val="0"/>
        <w:i w:val="0"/>
        <w:color w:val="000000"/>
      </w:rPr>
    </w:lvl>
    <w:lvl w:ilvl="6">
      <w:start w:val="1"/>
      <w:numFmt w:val="decimal"/>
      <w:lvlText w:val="%7"/>
      <w:lvlJc w:val="left"/>
      <w:pPr>
        <w:tabs>
          <w:tab w:val="num" w:pos="3402"/>
        </w:tabs>
        <w:ind w:left="3402" w:hanging="567"/>
      </w:pPr>
      <w:rPr>
        <w:rFonts w:cs="Times New Roman" w:hint="default"/>
        <w:b w:val="0"/>
        <w:i w:val="0"/>
        <w:color w:val="000000"/>
      </w:rPr>
    </w:lvl>
    <w:lvl w:ilvl="7">
      <w:start w:val="1"/>
      <w:numFmt w:val="decimal"/>
      <w:lvlText w:val="%8"/>
      <w:lvlJc w:val="left"/>
      <w:pPr>
        <w:tabs>
          <w:tab w:val="num" w:pos="3969"/>
        </w:tabs>
        <w:ind w:left="3969" w:hanging="567"/>
      </w:pPr>
      <w:rPr>
        <w:rFonts w:cs="Times New Roman" w:hint="default"/>
        <w:b w:val="0"/>
        <w:i w:val="0"/>
        <w:color w:val="000000"/>
      </w:rPr>
    </w:lvl>
    <w:lvl w:ilvl="8">
      <w:start w:val="1"/>
      <w:numFmt w:val="decimal"/>
      <w:lvlText w:val="%9"/>
      <w:lvlJc w:val="left"/>
      <w:pPr>
        <w:tabs>
          <w:tab w:val="num" w:pos="4536"/>
        </w:tabs>
        <w:ind w:left="4536" w:hanging="567"/>
      </w:pPr>
      <w:rPr>
        <w:rFonts w:cs="Times New Roman" w:hint="default"/>
        <w:b w:val="0"/>
        <w:i w:val="0"/>
        <w:color w:val="000000"/>
      </w:rPr>
    </w:lvl>
  </w:abstractNum>
  <w:num w:numId="1">
    <w:abstractNumId w:val="9"/>
  </w:num>
  <w:num w:numId="2">
    <w:abstractNumId w:val="16"/>
  </w:num>
  <w:num w:numId="3">
    <w:abstractNumId w:val="19"/>
  </w:num>
  <w:num w:numId="4">
    <w:abstractNumId w:val="5"/>
  </w:num>
  <w:num w:numId="5">
    <w:abstractNumId w:val="21"/>
  </w:num>
  <w:num w:numId="6">
    <w:abstractNumId w:val="10"/>
  </w:num>
  <w:num w:numId="7">
    <w:abstractNumId w:val="13"/>
  </w:num>
  <w:num w:numId="8">
    <w:abstractNumId w:val="6"/>
  </w:num>
  <w:num w:numId="9">
    <w:abstractNumId w:val="11"/>
  </w:num>
  <w:num w:numId="10">
    <w:abstractNumId w:val="24"/>
  </w:num>
  <w:num w:numId="11">
    <w:abstractNumId w:val="2"/>
  </w:num>
  <w:num w:numId="12">
    <w:abstractNumId w:val="18"/>
  </w:num>
  <w:num w:numId="13">
    <w:abstractNumId w:val="22"/>
  </w:num>
  <w:num w:numId="14">
    <w:abstractNumId w:val="15"/>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27"/>
  </w:num>
  <w:num w:numId="26">
    <w:abstractNumId w:val="25"/>
  </w:num>
  <w:num w:numId="27">
    <w:abstractNumId w:val="17"/>
  </w:num>
  <w:num w:numId="28">
    <w:abstractNumId w:val="0"/>
  </w:num>
  <w:num w:numId="29">
    <w:abstractNumId w:val="16"/>
    <w:lvlOverride w:ilvl="0">
      <w:startOverride w:val="1"/>
    </w:lvlOverride>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64E1"/>
    <w:rsid w:val="000076D9"/>
    <w:rsid w:val="00012EF4"/>
    <w:rsid w:val="00013D4E"/>
    <w:rsid w:val="00014EBE"/>
    <w:rsid w:val="00017E7B"/>
    <w:rsid w:val="00021708"/>
    <w:rsid w:val="00025539"/>
    <w:rsid w:val="0003074A"/>
    <w:rsid w:val="000373D8"/>
    <w:rsid w:val="000447B9"/>
    <w:rsid w:val="00047F6E"/>
    <w:rsid w:val="00051895"/>
    <w:rsid w:val="0006140E"/>
    <w:rsid w:val="00061F1C"/>
    <w:rsid w:val="0006451A"/>
    <w:rsid w:val="00065EE6"/>
    <w:rsid w:val="0007004C"/>
    <w:rsid w:val="0007028A"/>
    <w:rsid w:val="000724F6"/>
    <w:rsid w:val="00073A8D"/>
    <w:rsid w:val="00074611"/>
    <w:rsid w:val="000768EA"/>
    <w:rsid w:val="00077F4D"/>
    <w:rsid w:val="00080983"/>
    <w:rsid w:val="00085966"/>
    <w:rsid w:val="000869CA"/>
    <w:rsid w:val="00091DF8"/>
    <w:rsid w:val="00093DD8"/>
    <w:rsid w:val="000A05AC"/>
    <w:rsid w:val="000A0C9E"/>
    <w:rsid w:val="000A2C32"/>
    <w:rsid w:val="000A5191"/>
    <w:rsid w:val="000A5250"/>
    <w:rsid w:val="000A72D2"/>
    <w:rsid w:val="000A7553"/>
    <w:rsid w:val="000C714F"/>
    <w:rsid w:val="000C7F8B"/>
    <w:rsid w:val="000D19D8"/>
    <w:rsid w:val="000D1C37"/>
    <w:rsid w:val="000D3CD9"/>
    <w:rsid w:val="000D4377"/>
    <w:rsid w:val="000E0898"/>
    <w:rsid w:val="000E19C0"/>
    <w:rsid w:val="000E3C70"/>
    <w:rsid w:val="000E48C3"/>
    <w:rsid w:val="000F041A"/>
    <w:rsid w:val="000F0880"/>
    <w:rsid w:val="000F3508"/>
    <w:rsid w:val="000F6CF6"/>
    <w:rsid w:val="00103FD6"/>
    <w:rsid w:val="001049DA"/>
    <w:rsid w:val="0010573C"/>
    <w:rsid w:val="001065EE"/>
    <w:rsid w:val="00110B42"/>
    <w:rsid w:val="00110F5D"/>
    <w:rsid w:val="00112617"/>
    <w:rsid w:val="00112657"/>
    <w:rsid w:val="00113ADB"/>
    <w:rsid w:val="00114AA5"/>
    <w:rsid w:val="001165C0"/>
    <w:rsid w:val="00116D32"/>
    <w:rsid w:val="00122DBA"/>
    <w:rsid w:val="0012393C"/>
    <w:rsid w:val="0013156A"/>
    <w:rsid w:val="00132587"/>
    <w:rsid w:val="001337AA"/>
    <w:rsid w:val="001354D9"/>
    <w:rsid w:val="0013646D"/>
    <w:rsid w:val="001404A9"/>
    <w:rsid w:val="00140F43"/>
    <w:rsid w:val="00141912"/>
    <w:rsid w:val="00143DCA"/>
    <w:rsid w:val="00145D5C"/>
    <w:rsid w:val="001465D8"/>
    <w:rsid w:val="0015073F"/>
    <w:rsid w:val="00150CEF"/>
    <w:rsid w:val="00153DE8"/>
    <w:rsid w:val="00154AF8"/>
    <w:rsid w:val="00160506"/>
    <w:rsid w:val="00160E9F"/>
    <w:rsid w:val="00162E9B"/>
    <w:rsid w:val="00163C3F"/>
    <w:rsid w:val="00166312"/>
    <w:rsid w:val="00166581"/>
    <w:rsid w:val="00166BAE"/>
    <w:rsid w:val="00167BB8"/>
    <w:rsid w:val="00173F81"/>
    <w:rsid w:val="00174C2A"/>
    <w:rsid w:val="00175FB9"/>
    <w:rsid w:val="001775DC"/>
    <w:rsid w:val="001804EC"/>
    <w:rsid w:val="00181240"/>
    <w:rsid w:val="00183EAB"/>
    <w:rsid w:val="00185CC1"/>
    <w:rsid w:val="00187B0E"/>
    <w:rsid w:val="00187BEB"/>
    <w:rsid w:val="00191CFE"/>
    <w:rsid w:val="001931E8"/>
    <w:rsid w:val="00194232"/>
    <w:rsid w:val="0019788A"/>
    <w:rsid w:val="001A0FD0"/>
    <w:rsid w:val="001A1422"/>
    <w:rsid w:val="001A3527"/>
    <w:rsid w:val="001A3A9A"/>
    <w:rsid w:val="001A4093"/>
    <w:rsid w:val="001A668D"/>
    <w:rsid w:val="001A7A15"/>
    <w:rsid w:val="001B19A0"/>
    <w:rsid w:val="001B1CA3"/>
    <w:rsid w:val="001B7933"/>
    <w:rsid w:val="001C346E"/>
    <w:rsid w:val="001C3717"/>
    <w:rsid w:val="001C5CC5"/>
    <w:rsid w:val="001D228F"/>
    <w:rsid w:val="001D230F"/>
    <w:rsid w:val="001D3663"/>
    <w:rsid w:val="001D4852"/>
    <w:rsid w:val="001D6C45"/>
    <w:rsid w:val="001E20EC"/>
    <w:rsid w:val="001E2591"/>
    <w:rsid w:val="001E4055"/>
    <w:rsid w:val="001E7173"/>
    <w:rsid w:val="001E74D0"/>
    <w:rsid w:val="001F4549"/>
    <w:rsid w:val="001F4C1C"/>
    <w:rsid w:val="001F6F39"/>
    <w:rsid w:val="001F6FE8"/>
    <w:rsid w:val="00203681"/>
    <w:rsid w:val="00203BD2"/>
    <w:rsid w:val="00205E18"/>
    <w:rsid w:val="002077C7"/>
    <w:rsid w:val="00210538"/>
    <w:rsid w:val="002106A6"/>
    <w:rsid w:val="002204CF"/>
    <w:rsid w:val="00221308"/>
    <w:rsid w:val="0022141E"/>
    <w:rsid w:val="00222C97"/>
    <w:rsid w:val="00226D19"/>
    <w:rsid w:val="0023212B"/>
    <w:rsid w:val="00240716"/>
    <w:rsid w:val="002434D2"/>
    <w:rsid w:val="00247D45"/>
    <w:rsid w:val="002537AC"/>
    <w:rsid w:val="00253CD5"/>
    <w:rsid w:val="00254106"/>
    <w:rsid w:val="00254AF8"/>
    <w:rsid w:val="002561CF"/>
    <w:rsid w:val="00262E18"/>
    <w:rsid w:val="0026455E"/>
    <w:rsid w:val="00265F21"/>
    <w:rsid w:val="002665E5"/>
    <w:rsid w:val="0027078E"/>
    <w:rsid w:val="00272C83"/>
    <w:rsid w:val="00273A30"/>
    <w:rsid w:val="002757D0"/>
    <w:rsid w:val="00277646"/>
    <w:rsid w:val="00282C25"/>
    <w:rsid w:val="00283C73"/>
    <w:rsid w:val="002847F2"/>
    <w:rsid w:val="00285003"/>
    <w:rsid w:val="00285D2A"/>
    <w:rsid w:val="00287DCC"/>
    <w:rsid w:val="00291CF1"/>
    <w:rsid w:val="002922D0"/>
    <w:rsid w:val="002A143D"/>
    <w:rsid w:val="002A493A"/>
    <w:rsid w:val="002A49B0"/>
    <w:rsid w:val="002A530A"/>
    <w:rsid w:val="002A69B0"/>
    <w:rsid w:val="002B2B3F"/>
    <w:rsid w:val="002B7922"/>
    <w:rsid w:val="002B7E1B"/>
    <w:rsid w:val="002C04DA"/>
    <w:rsid w:val="002C2529"/>
    <w:rsid w:val="002C4242"/>
    <w:rsid w:val="002C62B3"/>
    <w:rsid w:val="002C7620"/>
    <w:rsid w:val="002D0EF4"/>
    <w:rsid w:val="002D1A33"/>
    <w:rsid w:val="002D1A59"/>
    <w:rsid w:val="002D1D66"/>
    <w:rsid w:val="002D7115"/>
    <w:rsid w:val="002D7CF9"/>
    <w:rsid w:val="002E2593"/>
    <w:rsid w:val="002E2B50"/>
    <w:rsid w:val="002E4B66"/>
    <w:rsid w:val="002F4C80"/>
    <w:rsid w:val="002F576E"/>
    <w:rsid w:val="002F5C6C"/>
    <w:rsid w:val="002F7CCE"/>
    <w:rsid w:val="002F7E40"/>
    <w:rsid w:val="003012DA"/>
    <w:rsid w:val="00301A73"/>
    <w:rsid w:val="0030375E"/>
    <w:rsid w:val="003056FE"/>
    <w:rsid w:val="00307C5C"/>
    <w:rsid w:val="003105F2"/>
    <w:rsid w:val="00313480"/>
    <w:rsid w:val="003155BD"/>
    <w:rsid w:val="00315E33"/>
    <w:rsid w:val="0032082B"/>
    <w:rsid w:val="00321E0A"/>
    <w:rsid w:val="00323A40"/>
    <w:rsid w:val="00325F86"/>
    <w:rsid w:val="00326883"/>
    <w:rsid w:val="00327E9A"/>
    <w:rsid w:val="00331553"/>
    <w:rsid w:val="00332E5D"/>
    <w:rsid w:val="00333506"/>
    <w:rsid w:val="00333EE4"/>
    <w:rsid w:val="00335E2C"/>
    <w:rsid w:val="00336371"/>
    <w:rsid w:val="00336F12"/>
    <w:rsid w:val="00337C78"/>
    <w:rsid w:val="003410AA"/>
    <w:rsid w:val="0034186E"/>
    <w:rsid w:val="003517EC"/>
    <w:rsid w:val="00352A6B"/>
    <w:rsid w:val="00352EC1"/>
    <w:rsid w:val="00355A44"/>
    <w:rsid w:val="003563BF"/>
    <w:rsid w:val="00364CF3"/>
    <w:rsid w:val="00365A66"/>
    <w:rsid w:val="00367EAB"/>
    <w:rsid w:val="00372573"/>
    <w:rsid w:val="00375193"/>
    <w:rsid w:val="00377AB2"/>
    <w:rsid w:val="003814B3"/>
    <w:rsid w:val="00385A60"/>
    <w:rsid w:val="00391D29"/>
    <w:rsid w:val="0039201F"/>
    <w:rsid w:val="0039283B"/>
    <w:rsid w:val="003929D5"/>
    <w:rsid w:val="00396EA4"/>
    <w:rsid w:val="003A05E3"/>
    <w:rsid w:val="003A22B3"/>
    <w:rsid w:val="003A3363"/>
    <w:rsid w:val="003A3905"/>
    <w:rsid w:val="003A3CC1"/>
    <w:rsid w:val="003A6635"/>
    <w:rsid w:val="003A6B0E"/>
    <w:rsid w:val="003B073D"/>
    <w:rsid w:val="003B5562"/>
    <w:rsid w:val="003B737F"/>
    <w:rsid w:val="003C044E"/>
    <w:rsid w:val="003C179F"/>
    <w:rsid w:val="003C2450"/>
    <w:rsid w:val="003C34C0"/>
    <w:rsid w:val="003D1BEF"/>
    <w:rsid w:val="003D26BA"/>
    <w:rsid w:val="003D448E"/>
    <w:rsid w:val="003E4C17"/>
    <w:rsid w:val="003E5D96"/>
    <w:rsid w:val="003E6BA0"/>
    <w:rsid w:val="003E73DB"/>
    <w:rsid w:val="003E7F07"/>
    <w:rsid w:val="003F59E6"/>
    <w:rsid w:val="003F6184"/>
    <w:rsid w:val="004040EB"/>
    <w:rsid w:val="0040426D"/>
    <w:rsid w:val="004043B6"/>
    <w:rsid w:val="00404A4A"/>
    <w:rsid w:val="004120B1"/>
    <w:rsid w:val="004124D3"/>
    <w:rsid w:val="0041421D"/>
    <w:rsid w:val="00414A5C"/>
    <w:rsid w:val="004156B4"/>
    <w:rsid w:val="0041697F"/>
    <w:rsid w:val="00421F66"/>
    <w:rsid w:val="004223AA"/>
    <w:rsid w:val="00423104"/>
    <w:rsid w:val="004255E0"/>
    <w:rsid w:val="004267D3"/>
    <w:rsid w:val="00433656"/>
    <w:rsid w:val="00433C6B"/>
    <w:rsid w:val="00433E65"/>
    <w:rsid w:val="004374B2"/>
    <w:rsid w:val="00440A90"/>
    <w:rsid w:val="00442AB8"/>
    <w:rsid w:val="004436EA"/>
    <w:rsid w:val="00450B39"/>
    <w:rsid w:val="00454498"/>
    <w:rsid w:val="00456C59"/>
    <w:rsid w:val="00460406"/>
    <w:rsid w:val="0046371B"/>
    <w:rsid w:val="00466FC6"/>
    <w:rsid w:val="00470CC9"/>
    <w:rsid w:val="00472C5A"/>
    <w:rsid w:val="00474E6C"/>
    <w:rsid w:val="004829C1"/>
    <w:rsid w:val="0048535D"/>
    <w:rsid w:val="00487FE4"/>
    <w:rsid w:val="00490198"/>
    <w:rsid w:val="00490352"/>
    <w:rsid w:val="00490E28"/>
    <w:rsid w:val="0049185A"/>
    <w:rsid w:val="00491A9F"/>
    <w:rsid w:val="00494435"/>
    <w:rsid w:val="0049645A"/>
    <w:rsid w:val="00496930"/>
    <w:rsid w:val="00497362"/>
    <w:rsid w:val="00497E2A"/>
    <w:rsid w:val="004A0AE7"/>
    <w:rsid w:val="004A5DF7"/>
    <w:rsid w:val="004A6062"/>
    <w:rsid w:val="004A770F"/>
    <w:rsid w:val="004B1F38"/>
    <w:rsid w:val="004B27C1"/>
    <w:rsid w:val="004C1697"/>
    <w:rsid w:val="004C1A03"/>
    <w:rsid w:val="004C43DB"/>
    <w:rsid w:val="004C5EFB"/>
    <w:rsid w:val="004C665A"/>
    <w:rsid w:val="004D1983"/>
    <w:rsid w:val="004D310E"/>
    <w:rsid w:val="004D34C8"/>
    <w:rsid w:val="004D37D8"/>
    <w:rsid w:val="004D4B81"/>
    <w:rsid w:val="004E2BF1"/>
    <w:rsid w:val="004E6528"/>
    <w:rsid w:val="004F0471"/>
    <w:rsid w:val="004F1A05"/>
    <w:rsid w:val="004F6683"/>
    <w:rsid w:val="004F6B2B"/>
    <w:rsid w:val="005005DF"/>
    <w:rsid w:val="00500B17"/>
    <w:rsid w:val="00505045"/>
    <w:rsid w:val="00511501"/>
    <w:rsid w:val="00514505"/>
    <w:rsid w:val="0051602E"/>
    <w:rsid w:val="0051640E"/>
    <w:rsid w:val="00516741"/>
    <w:rsid w:val="0051697E"/>
    <w:rsid w:val="005175A3"/>
    <w:rsid w:val="00525719"/>
    <w:rsid w:val="00526868"/>
    <w:rsid w:val="00527ABC"/>
    <w:rsid w:val="0053094D"/>
    <w:rsid w:val="005350F1"/>
    <w:rsid w:val="005377C3"/>
    <w:rsid w:val="0054193D"/>
    <w:rsid w:val="005427B7"/>
    <w:rsid w:val="00542D59"/>
    <w:rsid w:val="00544284"/>
    <w:rsid w:val="005462A5"/>
    <w:rsid w:val="00552455"/>
    <w:rsid w:val="0055503F"/>
    <w:rsid w:val="00560D16"/>
    <w:rsid w:val="00561768"/>
    <w:rsid w:val="005624A6"/>
    <w:rsid w:val="0056581D"/>
    <w:rsid w:val="00566234"/>
    <w:rsid w:val="00567371"/>
    <w:rsid w:val="00567475"/>
    <w:rsid w:val="0057262B"/>
    <w:rsid w:val="00577721"/>
    <w:rsid w:val="00581A66"/>
    <w:rsid w:val="0058297B"/>
    <w:rsid w:val="00582A03"/>
    <w:rsid w:val="00583BD6"/>
    <w:rsid w:val="00586B3F"/>
    <w:rsid w:val="0059436D"/>
    <w:rsid w:val="00594C7A"/>
    <w:rsid w:val="00596E88"/>
    <w:rsid w:val="005A0969"/>
    <w:rsid w:val="005A09B1"/>
    <w:rsid w:val="005A4B86"/>
    <w:rsid w:val="005A5107"/>
    <w:rsid w:val="005A53F6"/>
    <w:rsid w:val="005A5444"/>
    <w:rsid w:val="005B30C5"/>
    <w:rsid w:val="005B344F"/>
    <w:rsid w:val="005B7AAE"/>
    <w:rsid w:val="005C038B"/>
    <w:rsid w:val="005C0619"/>
    <w:rsid w:val="005C09FD"/>
    <w:rsid w:val="005C2111"/>
    <w:rsid w:val="005C2684"/>
    <w:rsid w:val="005C2DDC"/>
    <w:rsid w:val="005C5620"/>
    <w:rsid w:val="005C5979"/>
    <w:rsid w:val="005C7AFF"/>
    <w:rsid w:val="005D22F7"/>
    <w:rsid w:val="005D41F9"/>
    <w:rsid w:val="005D4A4E"/>
    <w:rsid w:val="005E1297"/>
    <w:rsid w:val="005E724B"/>
    <w:rsid w:val="005F3603"/>
    <w:rsid w:val="005F7CC6"/>
    <w:rsid w:val="00600353"/>
    <w:rsid w:val="006005FE"/>
    <w:rsid w:val="00602EF7"/>
    <w:rsid w:val="0060437D"/>
    <w:rsid w:val="00607B03"/>
    <w:rsid w:val="0061059D"/>
    <w:rsid w:val="00610D93"/>
    <w:rsid w:val="00614393"/>
    <w:rsid w:val="00614A4D"/>
    <w:rsid w:val="00615B75"/>
    <w:rsid w:val="0062217C"/>
    <w:rsid w:val="00622557"/>
    <w:rsid w:val="00623567"/>
    <w:rsid w:val="00625F2E"/>
    <w:rsid w:val="00626AE5"/>
    <w:rsid w:val="00634C20"/>
    <w:rsid w:val="006412B5"/>
    <w:rsid w:val="00641932"/>
    <w:rsid w:val="0064477C"/>
    <w:rsid w:val="00645E6D"/>
    <w:rsid w:val="00650903"/>
    <w:rsid w:val="00651441"/>
    <w:rsid w:val="00656743"/>
    <w:rsid w:val="00664688"/>
    <w:rsid w:val="006679C0"/>
    <w:rsid w:val="00673AB2"/>
    <w:rsid w:val="006804DF"/>
    <w:rsid w:val="006807D3"/>
    <w:rsid w:val="00680ED5"/>
    <w:rsid w:val="0068149E"/>
    <w:rsid w:val="00681608"/>
    <w:rsid w:val="00681956"/>
    <w:rsid w:val="00682893"/>
    <w:rsid w:val="00682E56"/>
    <w:rsid w:val="00682FBA"/>
    <w:rsid w:val="00683370"/>
    <w:rsid w:val="00684E54"/>
    <w:rsid w:val="006911BE"/>
    <w:rsid w:val="0069148C"/>
    <w:rsid w:val="00691C2E"/>
    <w:rsid w:val="006923C8"/>
    <w:rsid w:val="0069372F"/>
    <w:rsid w:val="00696AB4"/>
    <w:rsid w:val="006976BF"/>
    <w:rsid w:val="006A05D7"/>
    <w:rsid w:val="006A4628"/>
    <w:rsid w:val="006A55F2"/>
    <w:rsid w:val="006B21F3"/>
    <w:rsid w:val="006B2D1B"/>
    <w:rsid w:val="006B3544"/>
    <w:rsid w:val="006B4213"/>
    <w:rsid w:val="006B4DF0"/>
    <w:rsid w:val="006B573F"/>
    <w:rsid w:val="006B5A90"/>
    <w:rsid w:val="006B7444"/>
    <w:rsid w:val="006B7D6A"/>
    <w:rsid w:val="006C04EB"/>
    <w:rsid w:val="006C1013"/>
    <w:rsid w:val="006C228B"/>
    <w:rsid w:val="006C2931"/>
    <w:rsid w:val="006C4142"/>
    <w:rsid w:val="006C7FA2"/>
    <w:rsid w:val="006D2D33"/>
    <w:rsid w:val="006D3FCB"/>
    <w:rsid w:val="006D466E"/>
    <w:rsid w:val="006D4B70"/>
    <w:rsid w:val="006D6848"/>
    <w:rsid w:val="006E3B48"/>
    <w:rsid w:val="006E3E81"/>
    <w:rsid w:val="006E53C0"/>
    <w:rsid w:val="006E6184"/>
    <w:rsid w:val="006E64B4"/>
    <w:rsid w:val="006F03AA"/>
    <w:rsid w:val="006F096A"/>
    <w:rsid w:val="006F10D9"/>
    <w:rsid w:val="006F3095"/>
    <w:rsid w:val="006F5455"/>
    <w:rsid w:val="006F5CB6"/>
    <w:rsid w:val="0070242A"/>
    <w:rsid w:val="00703194"/>
    <w:rsid w:val="0070472E"/>
    <w:rsid w:val="00706D54"/>
    <w:rsid w:val="0070737C"/>
    <w:rsid w:val="007079CC"/>
    <w:rsid w:val="00711229"/>
    <w:rsid w:val="00715018"/>
    <w:rsid w:val="007150FD"/>
    <w:rsid w:val="00715D38"/>
    <w:rsid w:val="00715FC0"/>
    <w:rsid w:val="007179FE"/>
    <w:rsid w:val="00717F25"/>
    <w:rsid w:val="007201B1"/>
    <w:rsid w:val="007201FF"/>
    <w:rsid w:val="007219B9"/>
    <w:rsid w:val="00721B2C"/>
    <w:rsid w:val="00724E14"/>
    <w:rsid w:val="00725AD5"/>
    <w:rsid w:val="00726271"/>
    <w:rsid w:val="00726EB4"/>
    <w:rsid w:val="00726FF5"/>
    <w:rsid w:val="00731945"/>
    <w:rsid w:val="0073203D"/>
    <w:rsid w:val="0073698D"/>
    <w:rsid w:val="00736C0B"/>
    <w:rsid w:val="007452AE"/>
    <w:rsid w:val="00746531"/>
    <w:rsid w:val="007503CD"/>
    <w:rsid w:val="00751725"/>
    <w:rsid w:val="0075316F"/>
    <w:rsid w:val="00753D03"/>
    <w:rsid w:val="0075450A"/>
    <w:rsid w:val="00755B01"/>
    <w:rsid w:val="00757E7E"/>
    <w:rsid w:val="0076017E"/>
    <w:rsid w:val="00760DB6"/>
    <w:rsid w:val="00762558"/>
    <w:rsid w:val="007661AE"/>
    <w:rsid w:val="00766A51"/>
    <w:rsid w:val="00767C66"/>
    <w:rsid w:val="00772F1C"/>
    <w:rsid w:val="00774288"/>
    <w:rsid w:val="00775C1A"/>
    <w:rsid w:val="00777610"/>
    <w:rsid w:val="0077788E"/>
    <w:rsid w:val="007778F4"/>
    <w:rsid w:val="00787E75"/>
    <w:rsid w:val="00793420"/>
    <w:rsid w:val="00793A2E"/>
    <w:rsid w:val="007A250A"/>
    <w:rsid w:val="007A3157"/>
    <w:rsid w:val="007A6E20"/>
    <w:rsid w:val="007B080D"/>
    <w:rsid w:val="007B0830"/>
    <w:rsid w:val="007B0AB2"/>
    <w:rsid w:val="007B10ED"/>
    <w:rsid w:val="007B3BFC"/>
    <w:rsid w:val="007B4B03"/>
    <w:rsid w:val="007B4FC0"/>
    <w:rsid w:val="007B5197"/>
    <w:rsid w:val="007B76C8"/>
    <w:rsid w:val="007C1433"/>
    <w:rsid w:val="007C15F4"/>
    <w:rsid w:val="007D20FF"/>
    <w:rsid w:val="007D615D"/>
    <w:rsid w:val="007E02F1"/>
    <w:rsid w:val="007E5117"/>
    <w:rsid w:val="007F2F8F"/>
    <w:rsid w:val="007F4538"/>
    <w:rsid w:val="007F5245"/>
    <w:rsid w:val="00800FEB"/>
    <w:rsid w:val="00801FD7"/>
    <w:rsid w:val="00804357"/>
    <w:rsid w:val="00807AD8"/>
    <w:rsid w:val="00813CFF"/>
    <w:rsid w:val="00813FC2"/>
    <w:rsid w:val="00814590"/>
    <w:rsid w:val="00814667"/>
    <w:rsid w:val="00814EAD"/>
    <w:rsid w:val="008156B7"/>
    <w:rsid w:val="00816464"/>
    <w:rsid w:val="00817D90"/>
    <w:rsid w:val="0082088C"/>
    <w:rsid w:val="0082402C"/>
    <w:rsid w:val="00825B16"/>
    <w:rsid w:val="008262F1"/>
    <w:rsid w:val="00826C57"/>
    <w:rsid w:val="008279FA"/>
    <w:rsid w:val="008311FA"/>
    <w:rsid w:val="008317EF"/>
    <w:rsid w:val="008325D4"/>
    <w:rsid w:val="0083302A"/>
    <w:rsid w:val="00837090"/>
    <w:rsid w:val="00837A93"/>
    <w:rsid w:val="00844F11"/>
    <w:rsid w:val="00845BCC"/>
    <w:rsid w:val="00851465"/>
    <w:rsid w:val="00852ED8"/>
    <w:rsid w:val="0085533A"/>
    <w:rsid w:val="00855543"/>
    <w:rsid w:val="00856D42"/>
    <w:rsid w:val="00856F5F"/>
    <w:rsid w:val="0085738D"/>
    <w:rsid w:val="008605A8"/>
    <w:rsid w:val="00862395"/>
    <w:rsid w:val="0086782C"/>
    <w:rsid w:val="008708D6"/>
    <w:rsid w:val="00872093"/>
    <w:rsid w:val="0087255F"/>
    <w:rsid w:val="008760D0"/>
    <w:rsid w:val="00876D3A"/>
    <w:rsid w:val="00880573"/>
    <w:rsid w:val="00881317"/>
    <w:rsid w:val="008827E0"/>
    <w:rsid w:val="008843EE"/>
    <w:rsid w:val="00887368"/>
    <w:rsid w:val="0089255A"/>
    <w:rsid w:val="00896477"/>
    <w:rsid w:val="00896F5A"/>
    <w:rsid w:val="008A3C37"/>
    <w:rsid w:val="008A47F8"/>
    <w:rsid w:val="008A5B8A"/>
    <w:rsid w:val="008A6E23"/>
    <w:rsid w:val="008A715A"/>
    <w:rsid w:val="008B1840"/>
    <w:rsid w:val="008B1C10"/>
    <w:rsid w:val="008B44F6"/>
    <w:rsid w:val="008B73A2"/>
    <w:rsid w:val="008C41F1"/>
    <w:rsid w:val="008C6A7B"/>
    <w:rsid w:val="008C7F5B"/>
    <w:rsid w:val="008D079A"/>
    <w:rsid w:val="008D39D5"/>
    <w:rsid w:val="008D5B52"/>
    <w:rsid w:val="008E1C97"/>
    <w:rsid w:val="008E48FC"/>
    <w:rsid w:val="008F2350"/>
    <w:rsid w:val="008F2AD6"/>
    <w:rsid w:val="008F4BA8"/>
    <w:rsid w:val="008F5C07"/>
    <w:rsid w:val="008F696D"/>
    <w:rsid w:val="00901CF5"/>
    <w:rsid w:val="00902097"/>
    <w:rsid w:val="0090569F"/>
    <w:rsid w:val="009065E7"/>
    <w:rsid w:val="00910EA9"/>
    <w:rsid w:val="00912D84"/>
    <w:rsid w:val="00913276"/>
    <w:rsid w:val="00913611"/>
    <w:rsid w:val="00915797"/>
    <w:rsid w:val="009221DF"/>
    <w:rsid w:val="009224FD"/>
    <w:rsid w:val="00926CA7"/>
    <w:rsid w:val="00927C31"/>
    <w:rsid w:val="00930026"/>
    <w:rsid w:val="0093296C"/>
    <w:rsid w:val="00935450"/>
    <w:rsid w:val="00935CC7"/>
    <w:rsid w:val="009365D3"/>
    <w:rsid w:val="00937404"/>
    <w:rsid w:val="00937CBD"/>
    <w:rsid w:val="0094002F"/>
    <w:rsid w:val="0094014A"/>
    <w:rsid w:val="0094129D"/>
    <w:rsid w:val="009419E8"/>
    <w:rsid w:val="00941D34"/>
    <w:rsid w:val="0094444B"/>
    <w:rsid w:val="00946A91"/>
    <w:rsid w:val="00947E15"/>
    <w:rsid w:val="00951BAD"/>
    <w:rsid w:val="0095445E"/>
    <w:rsid w:val="00955B16"/>
    <w:rsid w:val="00956A82"/>
    <w:rsid w:val="00956C81"/>
    <w:rsid w:val="0096077B"/>
    <w:rsid w:val="00960EBA"/>
    <w:rsid w:val="00963FC8"/>
    <w:rsid w:val="00967E4D"/>
    <w:rsid w:val="009704A5"/>
    <w:rsid w:val="00971736"/>
    <w:rsid w:val="0097198A"/>
    <w:rsid w:val="00972156"/>
    <w:rsid w:val="00983DC2"/>
    <w:rsid w:val="00983DF0"/>
    <w:rsid w:val="0099279C"/>
    <w:rsid w:val="00994C10"/>
    <w:rsid w:val="009A0446"/>
    <w:rsid w:val="009A062C"/>
    <w:rsid w:val="009A4473"/>
    <w:rsid w:val="009A48AF"/>
    <w:rsid w:val="009A522D"/>
    <w:rsid w:val="009B3BCE"/>
    <w:rsid w:val="009B3F77"/>
    <w:rsid w:val="009B5132"/>
    <w:rsid w:val="009B6F81"/>
    <w:rsid w:val="009B76E5"/>
    <w:rsid w:val="009C166A"/>
    <w:rsid w:val="009C4BB2"/>
    <w:rsid w:val="009C6FFB"/>
    <w:rsid w:val="009C7EF5"/>
    <w:rsid w:val="009D2CF4"/>
    <w:rsid w:val="009D2FAC"/>
    <w:rsid w:val="009D3EE8"/>
    <w:rsid w:val="009D62CF"/>
    <w:rsid w:val="009E1311"/>
    <w:rsid w:val="009E151E"/>
    <w:rsid w:val="009E5DB6"/>
    <w:rsid w:val="009E733B"/>
    <w:rsid w:val="009E7462"/>
    <w:rsid w:val="009F7F52"/>
    <w:rsid w:val="00A00BA5"/>
    <w:rsid w:val="00A0202C"/>
    <w:rsid w:val="00A0227E"/>
    <w:rsid w:val="00A04C30"/>
    <w:rsid w:val="00A10974"/>
    <w:rsid w:val="00A143E7"/>
    <w:rsid w:val="00A14966"/>
    <w:rsid w:val="00A14A73"/>
    <w:rsid w:val="00A17CCB"/>
    <w:rsid w:val="00A207A2"/>
    <w:rsid w:val="00A2219B"/>
    <w:rsid w:val="00A2422A"/>
    <w:rsid w:val="00A24361"/>
    <w:rsid w:val="00A303A1"/>
    <w:rsid w:val="00A3209E"/>
    <w:rsid w:val="00A3212A"/>
    <w:rsid w:val="00A322FB"/>
    <w:rsid w:val="00A4030E"/>
    <w:rsid w:val="00A4077B"/>
    <w:rsid w:val="00A42386"/>
    <w:rsid w:val="00A42D76"/>
    <w:rsid w:val="00A42DA9"/>
    <w:rsid w:val="00A44699"/>
    <w:rsid w:val="00A453B3"/>
    <w:rsid w:val="00A469B9"/>
    <w:rsid w:val="00A50751"/>
    <w:rsid w:val="00A50E72"/>
    <w:rsid w:val="00A53189"/>
    <w:rsid w:val="00A54051"/>
    <w:rsid w:val="00A54BE7"/>
    <w:rsid w:val="00A55B5A"/>
    <w:rsid w:val="00A564EB"/>
    <w:rsid w:val="00A620C4"/>
    <w:rsid w:val="00A62691"/>
    <w:rsid w:val="00A631F9"/>
    <w:rsid w:val="00A64E39"/>
    <w:rsid w:val="00A6500A"/>
    <w:rsid w:val="00A671D3"/>
    <w:rsid w:val="00A705E3"/>
    <w:rsid w:val="00A71016"/>
    <w:rsid w:val="00A739F1"/>
    <w:rsid w:val="00A75A82"/>
    <w:rsid w:val="00A81EC4"/>
    <w:rsid w:val="00A8295A"/>
    <w:rsid w:val="00A838FA"/>
    <w:rsid w:val="00A8478F"/>
    <w:rsid w:val="00A858C4"/>
    <w:rsid w:val="00A87D82"/>
    <w:rsid w:val="00A91FA9"/>
    <w:rsid w:val="00A91FE4"/>
    <w:rsid w:val="00A92F0B"/>
    <w:rsid w:val="00A974CA"/>
    <w:rsid w:val="00A97C02"/>
    <w:rsid w:val="00AA0CA6"/>
    <w:rsid w:val="00AA2A0D"/>
    <w:rsid w:val="00AA2CD5"/>
    <w:rsid w:val="00AA4F6C"/>
    <w:rsid w:val="00AB16AE"/>
    <w:rsid w:val="00AB2011"/>
    <w:rsid w:val="00AB4440"/>
    <w:rsid w:val="00AB5A64"/>
    <w:rsid w:val="00AB79E9"/>
    <w:rsid w:val="00AC276B"/>
    <w:rsid w:val="00AC6B83"/>
    <w:rsid w:val="00AC6FC7"/>
    <w:rsid w:val="00AD04F4"/>
    <w:rsid w:val="00AD0CE6"/>
    <w:rsid w:val="00AD42CE"/>
    <w:rsid w:val="00AD670F"/>
    <w:rsid w:val="00AE1E54"/>
    <w:rsid w:val="00AE478A"/>
    <w:rsid w:val="00AF0D99"/>
    <w:rsid w:val="00AF3346"/>
    <w:rsid w:val="00AF3412"/>
    <w:rsid w:val="00B00778"/>
    <w:rsid w:val="00B009FE"/>
    <w:rsid w:val="00B012ED"/>
    <w:rsid w:val="00B050C0"/>
    <w:rsid w:val="00B05642"/>
    <w:rsid w:val="00B06097"/>
    <w:rsid w:val="00B10514"/>
    <w:rsid w:val="00B10CAE"/>
    <w:rsid w:val="00B12190"/>
    <w:rsid w:val="00B1241F"/>
    <w:rsid w:val="00B14635"/>
    <w:rsid w:val="00B171BB"/>
    <w:rsid w:val="00B204CB"/>
    <w:rsid w:val="00B2247A"/>
    <w:rsid w:val="00B22A74"/>
    <w:rsid w:val="00B36551"/>
    <w:rsid w:val="00B3669E"/>
    <w:rsid w:val="00B37EEF"/>
    <w:rsid w:val="00B40E38"/>
    <w:rsid w:val="00B44371"/>
    <w:rsid w:val="00B51ACE"/>
    <w:rsid w:val="00B55061"/>
    <w:rsid w:val="00B623D7"/>
    <w:rsid w:val="00B6628B"/>
    <w:rsid w:val="00B66623"/>
    <w:rsid w:val="00B66E7A"/>
    <w:rsid w:val="00B70780"/>
    <w:rsid w:val="00B72927"/>
    <w:rsid w:val="00B80BD7"/>
    <w:rsid w:val="00B84275"/>
    <w:rsid w:val="00B9206A"/>
    <w:rsid w:val="00B92A8C"/>
    <w:rsid w:val="00B96C09"/>
    <w:rsid w:val="00BA1CFA"/>
    <w:rsid w:val="00BA1D21"/>
    <w:rsid w:val="00BA7603"/>
    <w:rsid w:val="00BB1D7B"/>
    <w:rsid w:val="00BB249D"/>
    <w:rsid w:val="00BB6CE4"/>
    <w:rsid w:val="00BC2E80"/>
    <w:rsid w:val="00BC4BF4"/>
    <w:rsid w:val="00BC7ECB"/>
    <w:rsid w:val="00BE042D"/>
    <w:rsid w:val="00BE4802"/>
    <w:rsid w:val="00BE7212"/>
    <w:rsid w:val="00BF0671"/>
    <w:rsid w:val="00BF331F"/>
    <w:rsid w:val="00BF4829"/>
    <w:rsid w:val="00BF5036"/>
    <w:rsid w:val="00BF6BCF"/>
    <w:rsid w:val="00C011BF"/>
    <w:rsid w:val="00C024B8"/>
    <w:rsid w:val="00C046A4"/>
    <w:rsid w:val="00C05CC6"/>
    <w:rsid w:val="00C064C1"/>
    <w:rsid w:val="00C068C7"/>
    <w:rsid w:val="00C073C2"/>
    <w:rsid w:val="00C10308"/>
    <w:rsid w:val="00C160F4"/>
    <w:rsid w:val="00C2120D"/>
    <w:rsid w:val="00C233E9"/>
    <w:rsid w:val="00C25018"/>
    <w:rsid w:val="00C255D1"/>
    <w:rsid w:val="00C26A3D"/>
    <w:rsid w:val="00C303B4"/>
    <w:rsid w:val="00C40EBC"/>
    <w:rsid w:val="00C41FE1"/>
    <w:rsid w:val="00C4202E"/>
    <w:rsid w:val="00C42ACA"/>
    <w:rsid w:val="00C42BA5"/>
    <w:rsid w:val="00C4349A"/>
    <w:rsid w:val="00C45C44"/>
    <w:rsid w:val="00C47261"/>
    <w:rsid w:val="00C51308"/>
    <w:rsid w:val="00C52865"/>
    <w:rsid w:val="00C539F8"/>
    <w:rsid w:val="00C53A47"/>
    <w:rsid w:val="00C57BB9"/>
    <w:rsid w:val="00C61699"/>
    <w:rsid w:val="00C62B02"/>
    <w:rsid w:val="00C64908"/>
    <w:rsid w:val="00C653C7"/>
    <w:rsid w:val="00C66D3E"/>
    <w:rsid w:val="00C67500"/>
    <w:rsid w:val="00C705B5"/>
    <w:rsid w:val="00C7093C"/>
    <w:rsid w:val="00C73658"/>
    <w:rsid w:val="00C738BD"/>
    <w:rsid w:val="00C75D40"/>
    <w:rsid w:val="00C80204"/>
    <w:rsid w:val="00C830CB"/>
    <w:rsid w:val="00C83627"/>
    <w:rsid w:val="00C8634F"/>
    <w:rsid w:val="00C876D9"/>
    <w:rsid w:val="00C929DB"/>
    <w:rsid w:val="00C92AFE"/>
    <w:rsid w:val="00C9405D"/>
    <w:rsid w:val="00C95D81"/>
    <w:rsid w:val="00C960AA"/>
    <w:rsid w:val="00CA121E"/>
    <w:rsid w:val="00CA501D"/>
    <w:rsid w:val="00CA55C4"/>
    <w:rsid w:val="00CB0E90"/>
    <w:rsid w:val="00CB1789"/>
    <w:rsid w:val="00CB1CB2"/>
    <w:rsid w:val="00CB2557"/>
    <w:rsid w:val="00CB477A"/>
    <w:rsid w:val="00CB76EE"/>
    <w:rsid w:val="00CC39B1"/>
    <w:rsid w:val="00CD526B"/>
    <w:rsid w:val="00CD5B93"/>
    <w:rsid w:val="00CD769B"/>
    <w:rsid w:val="00CF0826"/>
    <w:rsid w:val="00CF0D8A"/>
    <w:rsid w:val="00CF1839"/>
    <w:rsid w:val="00CF267F"/>
    <w:rsid w:val="00CF2D02"/>
    <w:rsid w:val="00CF776B"/>
    <w:rsid w:val="00CF7DA0"/>
    <w:rsid w:val="00D04614"/>
    <w:rsid w:val="00D13F30"/>
    <w:rsid w:val="00D17144"/>
    <w:rsid w:val="00D171EC"/>
    <w:rsid w:val="00D1723F"/>
    <w:rsid w:val="00D26B64"/>
    <w:rsid w:val="00D27E00"/>
    <w:rsid w:val="00D30AA4"/>
    <w:rsid w:val="00D35894"/>
    <w:rsid w:val="00D36014"/>
    <w:rsid w:val="00D36590"/>
    <w:rsid w:val="00D3674A"/>
    <w:rsid w:val="00D4085D"/>
    <w:rsid w:val="00D4437A"/>
    <w:rsid w:val="00D51210"/>
    <w:rsid w:val="00D522D3"/>
    <w:rsid w:val="00D52914"/>
    <w:rsid w:val="00D55F5C"/>
    <w:rsid w:val="00D57190"/>
    <w:rsid w:val="00D57346"/>
    <w:rsid w:val="00D61911"/>
    <w:rsid w:val="00D63E84"/>
    <w:rsid w:val="00D677F9"/>
    <w:rsid w:val="00D67CE5"/>
    <w:rsid w:val="00D7319F"/>
    <w:rsid w:val="00D73591"/>
    <w:rsid w:val="00D73B66"/>
    <w:rsid w:val="00D802FC"/>
    <w:rsid w:val="00D8164A"/>
    <w:rsid w:val="00D84D4C"/>
    <w:rsid w:val="00D8532B"/>
    <w:rsid w:val="00D9402A"/>
    <w:rsid w:val="00D973A5"/>
    <w:rsid w:val="00DA126A"/>
    <w:rsid w:val="00DA1D33"/>
    <w:rsid w:val="00DA3AA7"/>
    <w:rsid w:val="00DA552B"/>
    <w:rsid w:val="00DB1640"/>
    <w:rsid w:val="00DB4DA8"/>
    <w:rsid w:val="00DC50E5"/>
    <w:rsid w:val="00DC5109"/>
    <w:rsid w:val="00DD093B"/>
    <w:rsid w:val="00DD0D43"/>
    <w:rsid w:val="00DD1898"/>
    <w:rsid w:val="00DD57CD"/>
    <w:rsid w:val="00DD61B2"/>
    <w:rsid w:val="00DE4A6C"/>
    <w:rsid w:val="00DE5673"/>
    <w:rsid w:val="00DE5A0C"/>
    <w:rsid w:val="00DE64C1"/>
    <w:rsid w:val="00DF208D"/>
    <w:rsid w:val="00DF2704"/>
    <w:rsid w:val="00DF6A07"/>
    <w:rsid w:val="00E0263C"/>
    <w:rsid w:val="00E11ACC"/>
    <w:rsid w:val="00E13217"/>
    <w:rsid w:val="00E2118C"/>
    <w:rsid w:val="00E21E55"/>
    <w:rsid w:val="00E220BC"/>
    <w:rsid w:val="00E23352"/>
    <w:rsid w:val="00E24621"/>
    <w:rsid w:val="00E27935"/>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6BB"/>
    <w:rsid w:val="00E50963"/>
    <w:rsid w:val="00E50A36"/>
    <w:rsid w:val="00E51D1B"/>
    <w:rsid w:val="00E55D2D"/>
    <w:rsid w:val="00E56C3D"/>
    <w:rsid w:val="00E5711D"/>
    <w:rsid w:val="00E579FF"/>
    <w:rsid w:val="00E60780"/>
    <w:rsid w:val="00E7195E"/>
    <w:rsid w:val="00E72F4A"/>
    <w:rsid w:val="00E73341"/>
    <w:rsid w:val="00E73FDA"/>
    <w:rsid w:val="00E752FD"/>
    <w:rsid w:val="00E80074"/>
    <w:rsid w:val="00E82115"/>
    <w:rsid w:val="00E83448"/>
    <w:rsid w:val="00E836E7"/>
    <w:rsid w:val="00E92647"/>
    <w:rsid w:val="00E92C8A"/>
    <w:rsid w:val="00E9334B"/>
    <w:rsid w:val="00E9346D"/>
    <w:rsid w:val="00E968F6"/>
    <w:rsid w:val="00EA594C"/>
    <w:rsid w:val="00EB01B3"/>
    <w:rsid w:val="00EB7EDA"/>
    <w:rsid w:val="00EC1046"/>
    <w:rsid w:val="00EC10EB"/>
    <w:rsid w:val="00EC5206"/>
    <w:rsid w:val="00EC5449"/>
    <w:rsid w:val="00EC56AD"/>
    <w:rsid w:val="00ED0175"/>
    <w:rsid w:val="00ED0AC8"/>
    <w:rsid w:val="00ED1452"/>
    <w:rsid w:val="00ED249A"/>
    <w:rsid w:val="00ED4036"/>
    <w:rsid w:val="00ED6043"/>
    <w:rsid w:val="00EE2D31"/>
    <w:rsid w:val="00EE3E72"/>
    <w:rsid w:val="00EE4B91"/>
    <w:rsid w:val="00EE554B"/>
    <w:rsid w:val="00EE57AC"/>
    <w:rsid w:val="00EE6ACA"/>
    <w:rsid w:val="00EF04E8"/>
    <w:rsid w:val="00EF2400"/>
    <w:rsid w:val="00EF56A7"/>
    <w:rsid w:val="00EF5F43"/>
    <w:rsid w:val="00EF72D4"/>
    <w:rsid w:val="00F029D3"/>
    <w:rsid w:val="00F11A23"/>
    <w:rsid w:val="00F12ACD"/>
    <w:rsid w:val="00F14F70"/>
    <w:rsid w:val="00F1611B"/>
    <w:rsid w:val="00F16589"/>
    <w:rsid w:val="00F173BE"/>
    <w:rsid w:val="00F2068C"/>
    <w:rsid w:val="00F21B9D"/>
    <w:rsid w:val="00F265E7"/>
    <w:rsid w:val="00F3245D"/>
    <w:rsid w:val="00F35317"/>
    <w:rsid w:val="00F35C0D"/>
    <w:rsid w:val="00F4377A"/>
    <w:rsid w:val="00F46237"/>
    <w:rsid w:val="00F47765"/>
    <w:rsid w:val="00F538AE"/>
    <w:rsid w:val="00F5512D"/>
    <w:rsid w:val="00F56568"/>
    <w:rsid w:val="00F6403E"/>
    <w:rsid w:val="00F65E00"/>
    <w:rsid w:val="00F73DEB"/>
    <w:rsid w:val="00F74B41"/>
    <w:rsid w:val="00F76C87"/>
    <w:rsid w:val="00F775CF"/>
    <w:rsid w:val="00F82D80"/>
    <w:rsid w:val="00F83D17"/>
    <w:rsid w:val="00F87009"/>
    <w:rsid w:val="00F87F60"/>
    <w:rsid w:val="00F9063F"/>
    <w:rsid w:val="00F90838"/>
    <w:rsid w:val="00F953D3"/>
    <w:rsid w:val="00F95D26"/>
    <w:rsid w:val="00F979C5"/>
    <w:rsid w:val="00FA0CBF"/>
    <w:rsid w:val="00FA0E45"/>
    <w:rsid w:val="00FA1227"/>
    <w:rsid w:val="00FA529E"/>
    <w:rsid w:val="00FA64FD"/>
    <w:rsid w:val="00FB0007"/>
    <w:rsid w:val="00FB2DD9"/>
    <w:rsid w:val="00FB4200"/>
    <w:rsid w:val="00FB484C"/>
    <w:rsid w:val="00FB5750"/>
    <w:rsid w:val="00FB6A2E"/>
    <w:rsid w:val="00FD16D1"/>
    <w:rsid w:val="00FD4437"/>
    <w:rsid w:val="00FD7AAE"/>
    <w:rsid w:val="00FE3088"/>
    <w:rsid w:val="00FE3214"/>
    <w:rsid w:val="00FE4A16"/>
    <w:rsid w:val="00FF2C8B"/>
    <w:rsid w:val="00FF57C1"/>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89F6583"/>
  <w14:defaultImageDpi w14:val="0"/>
  <w15:docId w15:val="{3742FE9B-1FFE-45FA-87E0-2A3F81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0892">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60554395">
      <w:bodyDiv w:val="1"/>
      <w:marLeft w:val="0"/>
      <w:marRight w:val="0"/>
      <w:marTop w:val="0"/>
      <w:marBottom w:val="0"/>
      <w:divBdr>
        <w:top w:val="none" w:sz="0" w:space="0" w:color="auto"/>
        <w:left w:val="none" w:sz="0" w:space="0" w:color="auto"/>
        <w:bottom w:val="none" w:sz="0" w:space="0" w:color="auto"/>
        <w:right w:val="none" w:sz="0" w:space="0" w:color="auto"/>
      </w:divBdr>
    </w:div>
    <w:div w:id="970474219">
      <w:bodyDiv w:val="1"/>
      <w:marLeft w:val="0"/>
      <w:marRight w:val="0"/>
      <w:marTop w:val="0"/>
      <w:marBottom w:val="0"/>
      <w:divBdr>
        <w:top w:val="none" w:sz="0" w:space="0" w:color="auto"/>
        <w:left w:val="none" w:sz="0" w:space="0" w:color="auto"/>
        <w:bottom w:val="none" w:sz="0" w:space="0" w:color="auto"/>
        <w:right w:val="none" w:sz="0" w:space="0" w:color="auto"/>
      </w:divBdr>
    </w:div>
    <w:div w:id="1076047334">
      <w:bodyDiv w:val="1"/>
      <w:marLeft w:val="0"/>
      <w:marRight w:val="0"/>
      <w:marTop w:val="0"/>
      <w:marBottom w:val="0"/>
      <w:divBdr>
        <w:top w:val="none" w:sz="0" w:space="0" w:color="auto"/>
        <w:left w:val="none" w:sz="0" w:space="0" w:color="auto"/>
        <w:bottom w:val="none" w:sz="0" w:space="0" w:color="auto"/>
        <w:right w:val="none" w:sz="0" w:space="0" w:color="auto"/>
      </w:divBdr>
    </w:div>
    <w:div w:id="14526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2020FG-64-86529</_dlc_DocId>
    <TaxCatchAll xmlns="0f563589-9cf9-4143-b1eb-fb0534803d38">
      <Value>2</Value>
    </TaxCatchAll>
    <_dlc_DocIdUrl xmlns="0f563589-9cf9-4143-b1eb-fb0534803d38">
      <Url>http://tweb/sites/fg/csrd/_layouts/15/DocIdRedir.aspx?ID=2020FG-64-86529</Url>
      <Description>2020FG-64-86529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34" ma:contentTypeDescription=" " ma:contentTypeScope="" ma:versionID="e168c1c6cb190873b84236277385392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87FD-9605-419C-ADF6-851E627BEBE5}">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27B9AA-4C5A-4442-9AD7-67D2CACE6340}">
  <ds:schemaRefs>
    <ds:schemaRef ds:uri="http://schemas.microsoft.com/sharepoint/events"/>
  </ds:schemaRefs>
</ds:datastoreItem>
</file>

<file path=customXml/itemProps3.xml><?xml version="1.0" encoding="utf-8"?>
<ds:datastoreItem xmlns:ds="http://schemas.openxmlformats.org/officeDocument/2006/customXml" ds:itemID="{DB730AD3-FA12-4D73-A65E-8007A40F0F15}">
  <ds:schemaRefs>
    <ds:schemaRef ds:uri="Microsoft.SharePoint.Taxonomy.ContentTypeSync"/>
  </ds:schemaRefs>
</ds:datastoreItem>
</file>

<file path=customXml/itemProps4.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5.xml><?xml version="1.0" encoding="utf-8"?>
<ds:datastoreItem xmlns:ds="http://schemas.openxmlformats.org/officeDocument/2006/customXml" ds:itemID="{3E4E5EDE-72E7-483C-8221-15FD2B055FBB}">
  <ds:schemaRefs>
    <ds:schemaRef ds:uri="office.server.policy"/>
  </ds:schemaRefs>
</ds:datastoreItem>
</file>

<file path=customXml/itemProps6.xml><?xml version="1.0" encoding="utf-8"?>
<ds:datastoreItem xmlns:ds="http://schemas.openxmlformats.org/officeDocument/2006/customXml" ds:itemID="{502D463D-36A1-40E4-A9E4-1110031FD636}"/>
</file>

<file path=customXml/itemProps7.xml><?xml version="1.0" encoding="utf-8"?>
<ds:datastoreItem xmlns:ds="http://schemas.openxmlformats.org/officeDocument/2006/customXml" ds:itemID="{FFF087E7-6125-49B4-B955-5799D791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9</Pages>
  <Words>2635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Nieuwenhuize, Holly</cp:lastModifiedBy>
  <cp:revision>2</cp:revision>
  <cp:lastPrinted>2015-07-22T01:18:00Z</cp:lastPrinted>
  <dcterms:created xsi:type="dcterms:W3CDTF">2020-09-01T12:02:00Z</dcterms:created>
  <dcterms:modified xsi:type="dcterms:W3CDTF">2020-09-01T12:02:00Z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92b8c65d-bd69-4257-9837-9745eea22a50</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{92b8c65d-bd69-4257-9837-9745eea22a50}</vt:lpwstr>
  </property>
  <property fmtid="{D5CDD505-2E9C-101B-9397-08002B2CF9AE}" pid="9" name="RecordPoint_ActiveItemWebId">
    <vt:lpwstr>{a4589788-615f-4b8b-8296-7f9f6dfbab44}</vt:lpwstr>
  </property>
  <property fmtid="{D5CDD505-2E9C-101B-9397-08002B2CF9AE}" pid="10" name="RecordPoint_RecordNumberSubmitted">
    <vt:lpwstr>R0002301891</vt:lpwstr>
  </property>
  <property fmtid="{D5CDD505-2E9C-101B-9397-08002B2CF9AE}" pid="11" name="RecordPoint_SubmissionCompleted">
    <vt:lpwstr>2020-10-29T15:46:03.5662846+11:00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