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B4D" w:rsidRPr="00EA0B4D" w:rsidRDefault="00353451" w:rsidP="00EA0B4D">
      <w:pPr>
        <w:pStyle w:val="Heading9"/>
        <w:keepNext/>
        <w:spacing w:before="120" w:after="120" w:line="240" w:lineRule="auto"/>
        <w:jc w:val="right"/>
        <w:rPr>
          <w:b/>
          <w:i w:val="0"/>
          <w:color w:val="C00000"/>
          <w:sz w:val="32"/>
        </w:rPr>
      </w:pPr>
      <w:r>
        <w:rPr>
          <w:b/>
          <w:i w:val="0"/>
          <w:color w:val="C00000"/>
          <w:sz w:val="32"/>
        </w:rPr>
        <w:t>Schedule A</w:t>
      </w:r>
      <w:bookmarkStart w:id="0" w:name="_GoBack"/>
      <w:bookmarkEnd w:id="0"/>
    </w:p>
    <w:p w:rsidR="00EA0B4D" w:rsidRPr="00EA0B4D" w:rsidRDefault="00EA0B4D" w:rsidP="00EA0B4D">
      <w:pPr>
        <w:pStyle w:val="Title"/>
        <w:pBdr>
          <w:bottom w:val="none" w:sz="0" w:space="0" w:color="auto"/>
        </w:pBdr>
        <w:spacing w:after="0"/>
        <w:contextualSpacing w:val="0"/>
        <w:jc w:val="left"/>
        <w:rPr>
          <w:rFonts w:eastAsia="Times New Roman" w:cs="Times New Roman"/>
          <w:color w:val="3D4B67"/>
          <w:spacing w:val="0"/>
          <w:sz w:val="72"/>
          <w:szCs w:val="48"/>
          <w:lang w:eastAsia="ja-JP"/>
        </w:rPr>
      </w:pPr>
      <w:r w:rsidRPr="00EA0B4D">
        <w:rPr>
          <w:rFonts w:eastAsia="Times New Roman" w:cs="Times New Roman"/>
          <w:color w:val="3D4B67"/>
          <w:spacing w:val="0"/>
          <w:sz w:val="72"/>
          <w:szCs w:val="48"/>
          <w:lang w:eastAsia="ja-JP"/>
        </w:rPr>
        <w:t xml:space="preserve">DisabilityCare Australia Fund Payments Schedule - </w:t>
      </w:r>
      <w:r w:rsidRPr="00EA0B4D">
        <w:rPr>
          <w:rFonts w:eastAsia="Times New Roman" w:cs="Times New Roman"/>
          <w:color w:val="3D4B67"/>
          <w:spacing w:val="0"/>
          <w:sz w:val="72"/>
          <w:szCs w:val="48"/>
          <w:lang w:eastAsia="ja-JP"/>
        </w:rPr>
        <w:br/>
        <w:t>New South Wales</w:t>
      </w:r>
    </w:p>
    <w:p w:rsidR="00EA0B4D" w:rsidRPr="00EA0B4D" w:rsidRDefault="00EA0B4D" w:rsidP="00EA0B4D">
      <w:pPr>
        <w:pStyle w:val="Subtitle"/>
        <w:spacing w:line="240" w:lineRule="auto"/>
        <w:jc w:val="left"/>
        <w:rPr>
          <w:rFonts w:ascii="Consolas" w:eastAsia="Times New Roman" w:hAnsi="Consolas" w:cs="Times New Roman"/>
          <w:b/>
          <w:i w:val="0"/>
          <w:iCs w:val="0"/>
          <w:caps/>
          <w:color w:val="C7823E"/>
          <w:spacing w:val="50"/>
          <w:szCs w:val="22"/>
          <w:lang w:eastAsia="ja-JP"/>
        </w:rPr>
      </w:pPr>
      <w:r w:rsidRPr="00EA0B4D">
        <w:rPr>
          <w:rFonts w:ascii="Consolas" w:eastAsia="Times New Roman" w:hAnsi="Consolas" w:cs="Times New Roman"/>
          <w:b/>
          <w:i w:val="0"/>
          <w:iCs w:val="0"/>
          <w:caps/>
          <w:color w:val="C7823E"/>
          <w:spacing w:val="50"/>
          <w:szCs w:val="22"/>
          <w:lang w:eastAsia="ja-JP"/>
        </w:rPr>
        <w:t>National Partnership oN disabilitycare australia fund payments</w:t>
      </w:r>
    </w:p>
    <w:p w:rsidR="00EA0B4D" w:rsidRPr="00A32520" w:rsidRDefault="00EA0B4D" w:rsidP="00EA0B4D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left"/>
        <w:rPr>
          <w:szCs w:val="23"/>
        </w:rPr>
      </w:pPr>
      <w:r w:rsidRPr="00A32520">
        <w:rPr>
          <w:szCs w:val="23"/>
        </w:rPr>
        <w:t xml:space="preserve">This schedule has been developed in accordance with </w:t>
      </w:r>
      <w:r>
        <w:rPr>
          <w:szCs w:val="23"/>
        </w:rPr>
        <w:t xml:space="preserve">clause 15(b) of the Agreement and </w:t>
      </w:r>
      <w:r w:rsidRPr="00A32520">
        <w:rPr>
          <w:szCs w:val="23"/>
        </w:rPr>
        <w:t xml:space="preserve">the </w:t>
      </w:r>
      <w:r w:rsidRPr="00A32520">
        <w:rPr>
          <w:i/>
          <w:szCs w:val="23"/>
        </w:rPr>
        <w:t>Disability Care Australia Fund Act 2013</w:t>
      </w:r>
      <w:r w:rsidRPr="00A32520">
        <w:rPr>
          <w:szCs w:val="23"/>
        </w:rPr>
        <w:t xml:space="preserve">. It will commence as soon as it is agreed between the Commonwealth and New South Wales and expire on </w:t>
      </w:r>
      <w:r>
        <w:rPr>
          <w:szCs w:val="23"/>
        </w:rPr>
        <w:t xml:space="preserve">31 December 2024 or on </w:t>
      </w:r>
      <w:r w:rsidRPr="00A32520">
        <w:rPr>
          <w:szCs w:val="23"/>
        </w:rPr>
        <w:t xml:space="preserve">completion of processing of final payments against milestones. </w:t>
      </w:r>
    </w:p>
    <w:p w:rsidR="00EA0B4D" w:rsidRPr="00A32520" w:rsidRDefault="00EA0B4D" w:rsidP="00EA0B4D">
      <w:pPr>
        <w:pStyle w:val="ListParagraph"/>
        <w:rPr>
          <w:szCs w:val="23"/>
        </w:rPr>
      </w:pPr>
    </w:p>
    <w:p w:rsidR="00EA0B4D" w:rsidRDefault="00EA0B4D" w:rsidP="00EA0B4D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left"/>
        <w:rPr>
          <w:szCs w:val="23"/>
        </w:rPr>
      </w:pPr>
      <w:r>
        <w:rPr>
          <w:szCs w:val="23"/>
        </w:rPr>
        <w:t>Commonwealth payments will be subject to m</w:t>
      </w:r>
      <w:r w:rsidRPr="00E002A5">
        <w:rPr>
          <w:szCs w:val="23"/>
        </w:rPr>
        <w:t>ilestones</w:t>
      </w:r>
      <w:r>
        <w:rPr>
          <w:szCs w:val="23"/>
        </w:rPr>
        <w:t xml:space="preserve"> , </w:t>
      </w:r>
      <w:r w:rsidRPr="00E002A5">
        <w:rPr>
          <w:szCs w:val="23"/>
        </w:rPr>
        <w:t xml:space="preserve">reporting </w:t>
      </w:r>
      <w:r>
        <w:rPr>
          <w:szCs w:val="23"/>
        </w:rPr>
        <w:t>requirements and payment arrangements as</w:t>
      </w:r>
      <w:r w:rsidRPr="00E002A5">
        <w:rPr>
          <w:szCs w:val="23"/>
        </w:rPr>
        <w:t xml:space="preserve"> </w:t>
      </w:r>
      <w:r>
        <w:rPr>
          <w:szCs w:val="23"/>
        </w:rPr>
        <w:t>set out in Part 4 - Performance Monitoring and Reporting and Part 5 </w:t>
      </w:r>
      <w:r>
        <w:rPr>
          <w:szCs w:val="23"/>
        </w:rPr>
        <w:noBreakHyphen/>
        <w:t xml:space="preserve"> Financial Arrangements of the Agreement. </w:t>
      </w:r>
    </w:p>
    <w:p w:rsidR="00EA0B4D" w:rsidRPr="00A32520" w:rsidRDefault="00EA0B4D" w:rsidP="00EA0B4D">
      <w:pPr>
        <w:pStyle w:val="ListParagraph"/>
        <w:rPr>
          <w:szCs w:val="23"/>
        </w:rPr>
      </w:pPr>
    </w:p>
    <w:p w:rsidR="00EA0B4D" w:rsidRDefault="00EA0B4D" w:rsidP="00EA0B4D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left"/>
        <w:rPr>
          <w:szCs w:val="23"/>
        </w:rPr>
      </w:pPr>
      <w:r>
        <w:rPr>
          <w:szCs w:val="23"/>
        </w:rPr>
        <w:t>The Commonwealth’s estimated financial contributions to New South Wales under this Agreement are set out in</w:t>
      </w:r>
      <w:r w:rsidRPr="00A32520">
        <w:rPr>
          <w:szCs w:val="23"/>
        </w:rPr>
        <w:t xml:space="preserve"> Table 1.</w:t>
      </w:r>
    </w:p>
    <w:p w:rsidR="00EA0B4D" w:rsidRDefault="00EA0B4D" w:rsidP="00EA0B4D">
      <w:pPr>
        <w:pStyle w:val="ListParagraph"/>
        <w:rPr>
          <w:szCs w:val="23"/>
        </w:rPr>
      </w:pPr>
    </w:p>
    <w:p w:rsidR="00EA0B4D" w:rsidRPr="00A32520" w:rsidRDefault="00EA0B4D" w:rsidP="00EA0B4D">
      <w:pPr>
        <w:rPr>
          <w:b/>
          <w:szCs w:val="23"/>
        </w:rPr>
      </w:pPr>
      <w:r w:rsidRPr="00A32520">
        <w:rPr>
          <w:b/>
          <w:szCs w:val="23"/>
        </w:rPr>
        <w:t xml:space="preserve">Table 1: Estimated </w:t>
      </w:r>
      <w:r w:rsidRPr="00273B87">
        <w:rPr>
          <w:b/>
          <w:szCs w:val="23"/>
        </w:rPr>
        <w:t>financial contributions to New South Wales</w:t>
      </w:r>
      <w:r w:rsidRPr="00A32520">
        <w:rPr>
          <w:b/>
          <w:szCs w:val="23"/>
        </w:rPr>
        <w:t xml:space="preserve"> ($m)</w:t>
      </w:r>
      <w:r w:rsidRPr="0019121D">
        <w:rPr>
          <w:b/>
          <w:szCs w:val="23"/>
          <w:vertAlign w:val="superscript"/>
        </w:rPr>
        <w:t>(a)</w:t>
      </w:r>
    </w:p>
    <w:tbl>
      <w:tblPr>
        <w:tblStyle w:val="TableGrid1"/>
        <w:tblW w:w="546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404"/>
        <w:gridCol w:w="839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969"/>
      </w:tblGrid>
      <w:tr w:rsidR="00F62FE3" w:rsidRPr="00F91527" w:rsidTr="00F62FE3">
        <w:trPr>
          <w:trHeight w:val="520"/>
        </w:trPr>
        <w:tc>
          <w:tcPr>
            <w:tcW w:w="651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sz w:val="20"/>
              </w:rPr>
            </w:pPr>
          </w:p>
        </w:tc>
        <w:tc>
          <w:tcPr>
            <w:tcW w:w="389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b/>
                <w:sz w:val="20"/>
              </w:rPr>
            </w:pPr>
            <w:r w:rsidRPr="00F91527">
              <w:rPr>
                <w:b/>
                <w:sz w:val="20"/>
              </w:rPr>
              <w:t>2014-15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b/>
                <w:sz w:val="20"/>
              </w:rPr>
            </w:pPr>
            <w:r w:rsidRPr="00F91527">
              <w:rPr>
                <w:b/>
                <w:sz w:val="20"/>
              </w:rPr>
              <w:t>2015-16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b/>
                <w:sz w:val="20"/>
              </w:rPr>
            </w:pPr>
            <w:r w:rsidRPr="00F91527">
              <w:rPr>
                <w:b/>
                <w:sz w:val="20"/>
              </w:rPr>
              <w:t>2016-17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b/>
                <w:sz w:val="20"/>
              </w:rPr>
            </w:pPr>
            <w:r w:rsidRPr="00F91527">
              <w:rPr>
                <w:b/>
                <w:sz w:val="20"/>
              </w:rPr>
              <w:t>2017-18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b/>
                <w:sz w:val="20"/>
              </w:rPr>
            </w:pPr>
            <w:r w:rsidRPr="00F91527">
              <w:rPr>
                <w:b/>
                <w:sz w:val="20"/>
              </w:rPr>
              <w:t>2018-19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b/>
                <w:sz w:val="20"/>
              </w:rPr>
            </w:pPr>
            <w:r w:rsidRPr="00F91527">
              <w:rPr>
                <w:b/>
                <w:sz w:val="20"/>
              </w:rPr>
              <w:t>2019-20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b/>
                <w:sz w:val="20"/>
              </w:rPr>
            </w:pPr>
            <w:r w:rsidRPr="00F91527">
              <w:rPr>
                <w:b/>
                <w:sz w:val="20"/>
              </w:rPr>
              <w:t>2020-21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b/>
                <w:sz w:val="20"/>
              </w:rPr>
            </w:pPr>
            <w:r w:rsidRPr="00F91527">
              <w:rPr>
                <w:b/>
                <w:sz w:val="20"/>
              </w:rPr>
              <w:t>2021-22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b/>
                <w:sz w:val="20"/>
              </w:rPr>
            </w:pPr>
            <w:r w:rsidRPr="00F91527">
              <w:rPr>
                <w:b/>
                <w:sz w:val="20"/>
              </w:rPr>
              <w:t>2022-23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b/>
                <w:sz w:val="20"/>
              </w:rPr>
            </w:pPr>
            <w:r w:rsidRPr="00F91527">
              <w:rPr>
                <w:b/>
                <w:sz w:val="20"/>
              </w:rPr>
              <w:t>2023-24</w:t>
            </w:r>
          </w:p>
        </w:tc>
        <w:tc>
          <w:tcPr>
            <w:tcW w:w="451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b/>
                <w:sz w:val="20"/>
              </w:rPr>
            </w:pPr>
            <w:r w:rsidRPr="00F91527">
              <w:rPr>
                <w:b/>
                <w:sz w:val="20"/>
              </w:rPr>
              <w:t>Total</w:t>
            </w:r>
          </w:p>
        </w:tc>
      </w:tr>
      <w:tr w:rsidR="00F62FE3" w:rsidRPr="00F91527" w:rsidTr="00F62FE3">
        <w:trPr>
          <w:trHeight w:val="520"/>
        </w:trPr>
        <w:tc>
          <w:tcPr>
            <w:tcW w:w="651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Payment from annual allocation</w:t>
            </w:r>
            <w:r w:rsidRPr="00F91527">
              <w:rPr>
                <w:sz w:val="20"/>
                <w:vertAlign w:val="superscript"/>
              </w:rPr>
              <w:t>(b)</w:t>
            </w:r>
            <w:r w:rsidRPr="00F91527">
              <w:rPr>
                <w:sz w:val="20"/>
              </w:rPr>
              <w:t xml:space="preserve"> (1)</w:t>
            </w:r>
          </w:p>
        </w:tc>
        <w:tc>
          <w:tcPr>
            <w:tcW w:w="389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-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-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-</w:t>
            </w:r>
          </w:p>
        </w:tc>
        <w:tc>
          <w:tcPr>
            <w:tcW w:w="390" w:type="pct"/>
            <w:vAlign w:val="center"/>
          </w:tcPr>
          <w:p w:rsidR="00EA0B4D" w:rsidRPr="00F91527" w:rsidRDefault="006C6143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-</w:t>
            </w:r>
          </w:p>
        </w:tc>
        <w:tc>
          <w:tcPr>
            <w:tcW w:w="390" w:type="pct"/>
            <w:vAlign w:val="center"/>
          </w:tcPr>
          <w:p w:rsidR="00EA0B4D" w:rsidRPr="00F91527" w:rsidRDefault="00B7639D" w:rsidP="0019121D">
            <w:pPr>
              <w:spacing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304.6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315.2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326.2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337.7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349.5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361.7</w:t>
            </w:r>
          </w:p>
        </w:tc>
        <w:tc>
          <w:tcPr>
            <w:tcW w:w="451" w:type="pct"/>
            <w:vAlign w:val="center"/>
          </w:tcPr>
          <w:p w:rsidR="00EA0B4D" w:rsidRPr="00F91527" w:rsidRDefault="006C6143" w:rsidP="00B7639D">
            <w:pPr>
              <w:spacing w:after="100" w:afterAutospacing="1"/>
              <w:jc w:val="center"/>
              <w:rPr>
                <w:b/>
                <w:sz w:val="20"/>
              </w:rPr>
            </w:pPr>
            <w:r w:rsidRPr="00F91527">
              <w:rPr>
                <w:b/>
                <w:bCs/>
                <w:sz w:val="20"/>
              </w:rPr>
              <w:t>1,</w:t>
            </w:r>
            <w:r w:rsidR="00B7639D">
              <w:rPr>
                <w:b/>
                <w:bCs/>
                <w:sz w:val="20"/>
              </w:rPr>
              <w:t>994.9</w:t>
            </w:r>
          </w:p>
        </w:tc>
      </w:tr>
      <w:tr w:rsidR="00F62FE3" w:rsidRPr="00F91527" w:rsidTr="00F62FE3">
        <w:trPr>
          <w:trHeight w:val="520"/>
        </w:trPr>
        <w:tc>
          <w:tcPr>
            <w:tcW w:w="651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Unpaid annual allocation (2)</w:t>
            </w:r>
          </w:p>
        </w:tc>
        <w:tc>
          <w:tcPr>
            <w:tcW w:w="389" w:type="pct"/>
            <w:vAlign w:val="center"/>
          </w:tcPr>
          <w:p w:rsidR="00EA0B4D" w:rsidRPr="00F91527" w:rsidRDefault="00EA0B4D" w:rsidP="009B3666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265.</w:t>
            </w:r>
            <w:r w:rsidR="009B3666">
              <w:rPr>
                <w:sz w:val="20"/>
              </w:rPr>
              <w:t>4</w:t>
            </w:r>
          </w:p>
        </w:tc>
        <w:tc>
          <w:tcPr>
            <w:tcW w:w="390" w:type="pct"/>
            <w:vAlign w:val="center"/>
          </w:tcPr>
          <w:p w:rsidR="00EA0B4D" w:rsidRPr="00F91527" w:rsidRDefault="009B3666" w:rsidP="0019121D">
            <w:pPr>
              <w:spacing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274.7</w:t>
            </w:r>
          </w:p>
        </w:tc>
        <w:tc>
          <w:tcPr>
            <w:tcW w:w="390" w:type="pct"/>
            <w:vAlign w:val="center"/>
          </w:tcPr>
          <w:p w:rsidR="00EA0B4D" w:rsidRPr="00F91527" w:rsidRDefault="009B3666" w:rsidP="0019121D">
            <w:pPr>
              <w:spacing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284.3</w:t>
            </w:r>
          </w:p>
        </w:tc>
        <w:tc>
          <w:tcPr>
            <w:tcW w:w="390" w:type="pct"/>
            <w:vAlign w:val="center"/>
          </w:tcPr>
          <w:p w:rsidR="00EA0B4D" w:rsidRPr="00F91527" w:rsidRDefault="00F62FE3" w:rsidP="0019121D">
            <w:pPr>
              <w:spacing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294.3</w:t>
            </w:r>
            <w:r w:rsidR="00EA0B4D" w:rsidRPr="00F91527">
              <w:rPr>
                <w:sz w:val="20"/>
                <w:vertAlign w:val="superscript"/>
              </w:rPr>
              <w:t>(c)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-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-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-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-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-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-</w:t>
            </w:r>
          </w:p>
        </w:tc>
        <w:tc>
          <w:tcPr>
            <w:tcW w:w="451" w:type="pct"/>
            <w:vAlign w:val="center"/>
          </w:tcPr>
          <w:p w:rsidR="00EA0B4D" w:rsidRPr="00F91527" w:rsidRDefault="009B3666" w:rsidP="0019121D">
            <w:pPr>
              <w:spacing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1,118.7</w:t>
            </w:r>
          </w:p>
        </w:tc>
      </w:tr>
      <w:tr w:rsidR="00F62FE3" w:rsidRPr="00F91527" w:rsidTr="00F62FE3">
        <w:trPr>
          <w:trHeight w:val="520"/>
        </w:trPr>
        <w:tc>
          <w:tcPr>
            <w:tcW w:w="651" w:type="pct"/>
            <w:vAlign w:val="center"/>
          </w:tcPr>
          <w:p w:rsidR="00EA0B4D" w:rsidRPr="00F91527" w:rsidRDefault="00EA0B4D" w:rsidP="00797D70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Payment from unpaid annual allocation (3)</w:t>
            </w:r>
          </w:p>
        </w:tc>
        <w:tc>
          <w:tcPr>
            <w:tcW w:w="389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-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-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-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-</w:t>
            </w:r>
          </w:p>
        </w:tc>
        <w:tc>
          <w:tcPr>
            <w:tcW w:w="390" w:type="pct"/>
            <w:vAlign w:val="center"/>
          </w:tcPr>
          <w:p w:rsidR="00EA0B4D" w:rsidRPr="00F91527" w:rsidRDefault="00B7639D" w:rsidP="0019121D">
            <w:pPr>
              <w:spacing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242.4</w:t>
            </w:r>
          </w:p>
        </w:tc>
        <w:tc>
          <w:tcPr>
            <w:tcW w:w="390" w:type="pct"/>
            <w:vAlign w:val="center"/>
          </w:tcPr>
          <w:p w:rsidR="00EA0B4D" w:rsidRPr="00F91527" w:rsidRDefault="001E1098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291.8</w:t>
            </w:r>
          </w:p>
        </w:tc>
        <w:tc>
          <w:tcPr>
            <w:tcW w:w="390" w:type="pct"/>
            <w:vAlign w:val="center"/>
          </w:tcPr>
          <w:p w:rsidR="00EA0B4D" w:rsidRPr="00F91527" w:rsidRDefault="001E1098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291.8</w:t>
            </w:r>
          </w:p>
        </w:tc>
        <w:tc>
          <w:tcPr>
            <w:tcW w:w="390" w:type="pct"/>
            <w:vAlign w:val="center"/>
          </w:tcPr>
          <w:p w:rsidR="00EA0B4D" w:rsidRPr="00F91527" w:rsidRDefault="001E1098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292.3</w:t>
            </w:r>
          </w:p>
        </w:tc>
        <w:tc>
          <w:tcPr>
            <w:tcW w:w="390" w:type="pct"/>
            <w:vAlign w:val="center"/>
          </w:tcPr>
          <w:p w:rsidR="00EA0B4D" w:rsidRPr="00F91527" w:rsidRDefault="006057EE" w:rsidP="0019121D">
            <w:pPr>
              <w:spacing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390" w:type="pct"/>
            <w:vAlign w:val="center"/>
          </w:tcPr>
          <w:p w:rsidR="00EA0B4D" w:rsidRPr="00F91527" w:rsidRDefault="006057EE" w:rsidP="0019121D">
            <w:pPr>
              <w:spacing w:after="100" w:afterAutospacing="1"/>
              <w:jc w:val="center"/>
              <w:rPr>
                <w:sz w:val="20"/>
              </w:rPr>
            </w:pPr>
            <w:r>
              <w:rPr>
                <w:sz w:val="20"/>
              </w:rPr>
              <w:t>0.2</w:t>
            </w:r>
          </w:p>
        </w:tc>
        <w:tc>
          <w:tcPr>
            <w:tcW w:w="451" w:type="pct"/>
            <w:vAlign w:val="center"/>
          </w:tcPr>
          <w:p w:rsidR="00EA0B4D" w:rsidRPr="00F91527" w:rsidRDefault="00B7639D" w:rsidP="0019121D">
            <w:pPr>
              <w:spacing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1,118.7</w:t>
            </w:r>
          </w:p>
        </w:tc>
      </w:tr>
      <w:tr w:rsidR="00F62FE3" w:rsidRPr="00F91527" w:rsidTr="00F62FE3">
        <w:trPr>
          <w:trHeight w:val="520"/>
        </w:trPr>
        <w:tc>
          <w:tcPr>
            <w:tcW w:w="651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b/>
                <w:sz w:val="20"/>
              </w:rPr>
            </w:pPr>
            <w:r w:rsidRPr="00F91527">
              <w:rPr>
                <w:b/>
                <w:sz w:val="20"/>
              </w:rPr>
              <w:t>Total Contribution (4) = (1) + (3)</w:t>
            </w:r>
          </w:p>
        </w:tc>
        <w:tc>
          <w:tcPr>
            <w:tcW w:w="389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-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-</w:t>
            </w:r>
          </w:p>
        </w:tc>
        <w:tc>
          <w:tcPr>
            <w:tcW w:w="390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-</w:t>
            </w:r>
          </w:p>
        </w:tc>
        <w:tc>
          <w:tcPr>
            <w:tcW w:w="390" w:type="pct"/>
            <w:vAlign w:val="center"/>
          </w:tcPr>
          <w:p w:rsidR="00EA0B4D" w:rsidRPr="00F91527" w:rsidRDefault="006C6143" w:rsidP="0019121D">
            <w:pPr>
              <w:spacing w:after="100" w:afterAutospacing="1"/>
              <w:jc w:val="center"/>
              <w:rPr>
                <w:sz w:val="20"/>
              </w:rPr>
            </w:pPr>
            <w:r w:rsidRPr="00F91527">
              <w:rPr>
                <w:sz w:val="20"/>
              </w:rPr>
              <w:t>-</w:t>
            </w:r>
          </w:p>
        </w:tc>
        <w:tc>
          <w:tcPr>
            <w:tcW w:w="390" w:type="pct"/>
            <w:vAlign w:val="center"/>
          </w:tcPr>
          <w:p w:rsidR="00EA0B4D" w:rsidRPr="00464A04" w:rsidRDefault="001E1098" w:rsidP="0019121D">
            <w:pPr>
              <w:spacing w:after="100" w:afterAutospacing="1"/>
              <w:jc w:val="center"/>
              <w:rPr>
                <w:b/>
                <w:sz w:val="20"/>
              </w:rPr>
            </w:pPr>
            <w:r w:rsidRPr="00464A04">
              <w:rPr>
                <w:b/>
                <w:sz w:val="20"/>
              </w:rPr>
              <w:t>547.0</w:t>
            </w:r>
          </w:p>
        </w:tc>
        <w:tc>
          <w:tcPr>
            <w:tcW w:w="390" w:type="pct"/>
            <w:vAlign w:val="center"/>
          </w:tcPr>
          <w:p w:rsidR="00EA0B4D" w:rsidRPr="00464A04" w:rsidRDefault="00464A04" w:rsidP="0019121D">
            <w:pPr>
              <w:spacing w:after="100" w:afterAutospacing="1"/>
              <w:jc w:val="center"/>
              <w:rPr>
                <w:b/>
                <w:sz w:val="20"/>
              </w:rPr>
            </w:pPr>
            <w:r w:rsidRPr="00464A04">
              <w:rPr>
                <w:b/>
                <w:sz w:val="20"/>
              </w:rPr>
              <w:t>607.0</w:t>
            </w:r>
          </w:p>
        </w:tc>
        <w:tc>
          <w:tcPr>
            <w:tcW w:w="390" w:type="pct"/>
            <w:vAlign w:val="center"/>
          </w:tcPr>
          <w:p w:rsidR="00EA0B4D" w:rsidRPr="00464A04" w:rsidRDefault="00464A04" w:rsidP="0019121D">
            <w:pPr>
              <w:spacing w:after="100" w:afterAutospacing="1"/>
              <w:jc w:val="center"/>
              <w:rPr>
                <w:b/>
                <w:sz w:val="20"/>
              </w:rPr>
            </w:pPr>
            <w:r w:rsidRPr="00464A04">
              <w:rPr>
                <w:b/>
                <w:sz w:val="20"/>
              </w:rPr>
              <w:t>618.0</w:t>
            </w:r>
          </w:p>
        </w:tc>
        <w:tc>
          <w:tcPr>
            <w:tcW w:w="390" w:type="pct"/>
            <w:vAlign w:val="center"/>
          </w:tcPr>
          <w:p w:rsidR="00EA0B4D" w:rsidRPr="00464A04" w:rsidRDefault="00464A04" w:rsidP="0019121D">
            <w:pPr>
              <w:spacing w:after="100" w:afterAutospacing="1"/>
              <w:jc w:val="center"/>
              <w:rPr>
                <w:b/>
                <w:sz w:val="20"/>
              </w:rPr>
            </w:pPr>
            <w:r w:rsidRPr="00464A04">
              <w:rPr>
                <w:b/>
                <w:sz w:val="20"/>
              </w:rPr>
              <w:t>630.0</w:t>
            </w:r>
          </w:p>
        </w:tc>
        <w:tc>
          <w:tcPr>
            <w:tcW w:w="390" w:type="pct"/>
            <w:vAlign w:val="center"/>
          </w:tcPr>
          <w:p w:rsidR="00EA0B4D" w:rsidRPr="00464A04" w:rsidRDefault="006057EE" w:rsidP="0019121D">
            <w:pPr>
              <w:spacing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349.8</w:t>
            </w:r>
          </w:p>
        </w:tc>
        <w:tc>
          <w:tcPr>
            <w:tcW w:w="390" w:type="pct"/>
            <w:vAlign w:val="center"/>
          </w:tcPr>
          <w:p w:rsidR="00EA0B4D" w:rsidRPr="00464A04" w:rsidRDefault="006057EE" w:rsidP="0019121D">
            <w:pPr>
              <w:spacing w:after="10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361.9</w:t>
            </w:r>
          </w:p>
        </w:tc>
        <w:tc>
          <w:tcPr>
            <w:tcW w:w="451" w:type="pct"/>
            <w:vAlign w:val="center"/>
          </w:tcPr>
          <w:p w:rsidR="00EA0B4D" w:rsidRPr="00F91527" w:rsidRDefault="00EA0B4D" w:rsidP="0019121D">
            <w:pPr>
              <w:spacing w:after="100" w:afterAutospacing="1"/>
              <w:jc w:val="center"/>
              <w:rPr>
                <w:b/>
                <w:sz w:val="20"/>
              </w:rPr>
            </w:pPr>
            <w:r w:rsidRPr="00F91527">
              <w:rPr>
                <w:b/>
                <w:bCs/>
                <w:sz w:val="20"/>
              </w:rPr>
              <w:t>3,113.5</w:t>
            </w:r>
          </w:p>
        </w:tc>
      </w:tr>
    </w:tbl>
    <w:p w:rsidR="00EA0B4D" w:rsidRDefault="00EA0B4D" w:rsidP="00EA0B4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(a) </w:t>
      </w:r>
      <w:r w:rsidRPr="00E96450">
        <w:rPr>
          <w:sz w:val="18"/>
          <w:szCs w:val="18"/>
        </w:rPr>
        <w:t>Components may not add to total owing to rounding.</w:t>
      </w:r>
    </w:p>
    <w:p w:rsidR="00EA0B4D" w:rsidRDefault="00EA0B4D" w:rsidP="00EA0B4D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(b) Table 4 in the Agreement provides estimates of States’ annual allocations. </w:t>
      </w:r>
    </w:p>
    <w:p w:rsidR="00EA0B4D" w:rsidRPr="008F3CBE" w:rsidRDefault="00EA0B4D" w:rsidP="00EA0B4D">
      <w:pPr>
        <w:rPr>
          <w:sz w:val="18"/>
          <w:szCs w:val="18"/>
          <w:highlight w:val="yellow"/>
        </w:rPr>
      </w:pPr>
      <w:r w:rsidRPr="008F3CBE">
        <w:rPr>
          <w:sz w:val="18"/>
          <w:szCs w:val="18"/>
        </w:rPr>
        <w:t xml:space="preserve">(c) </w:t>
      </w:r>
      <w:r w:rsidR="006C6143" w:rsidRPr="008F3CBE">
        <w:rPr>
          <w:sz w:val="18"/>
          <w:szCs w:val="18"/>
        </w:rPr>
        <w:t xml:space="preserve">NSW did not </w:t>
      </w:r>
      <w:r w:rsidR="00F62063">
        <w:rPr>
          <w:sz w:val="18"/>
          <w:szCs w:val="18"/>
        </w:rPr>
        <w:t>receive</w:t>
      </w:r>
      <w:r w:rsidRPr="008F3CBE">
        <w:rPr>
          <w:sz w:val="18"/>
          <w:szCs w:val="18"/>
        </w:rPr>
        <w:t xml:space="preserve"> a DCAF payment in 2017-18 under the </w:t>
      </w:r>
      <w:r w:rsidRPr="008F3CBE">
        <w:rPr>
          <w:rFonts w:eastAsia="MS PGothic"/>
          <w:bCs/>
          <w:i/>
          <w:sz w:val="18"/>
          <w:szCs w:val="18"/>
        </w:rPr>
        <w:t>National Partnership on DisabilityCare Australia Fund Payments: initial payment</w:t>
      </w:r>
      <w:r w:rsidRPr="008F3CBE">
        <w:rPr>
          <w:rFonts w:eastAsia="MS PGothic"/>
          <w:bCs/>
          <w:sz w:val="18"/>
          <w:szCs w:val="18"/>
        </w:rPr>
        <w:t>.</w:t>
      </w:r>
    </w:p>
    <w:p w:rsidR="00EA0B4D" w:rsidRPr="000E48E9" w:rsidRDefault="00EA0B4D" w:rsidP="00EA0B4D">
      <w:pPr>
        <w:rPr>
          <w:szCs w:val="23"/>
        </w:rPr>
      </w:pPr>
      <w:r w:rsidRPr="00A32520">
        <w:rPr>
          <w:szCs w:val="23"/>
        </w:rPr>
        <w:br w:type="page"/>
      </w:r>
      <w:r w:rsidRPr="00A32520">
        <w:rPr>
          <w:szCs w:val="23"/>
        </w:rPr>
        <w:lastRenderedPageBreak/>
        <w:t>The Parties have confirmed their commitment to this Schedule as follows:</w:t>
      </w:r>
    </w:p>
    <w:tbl>
      <w:tblPr>
        <w:tblW w:w="9356" w:type="dxa"/>
        <w:jc w:val="center"/>
        <w:tblLayout w:type="fixed"/>
        <w:tblLook w:val="01E0" w:firstRow="1" w:lastRow="1" w:firstColumn="1" w:lastColumn="1" w:noHBand="0" w:noVBand="0"/>
      </w:tblPr>
      <w:tblGrid>
        <w:gridCol w:w="9356"/>
      </w:tblGrid>
      <w:tr w:rsidR="00EA0B4D" w:rsidRPr="00E26AEC" w:rsidTr="0019121D">
        <w:trPr>
          <w:cantSplit/>
          <w:jc w:val="center"/>
        </w:trPr>
        <w:tc>
          <w:tcPr>
            <w:tcW w:w="4536" w:type="dxa"/>
          </w:tcPr>
          <w:p w:rsidR="00EA0B4D" w:rsidRPr="00E26AEC" w:rsidRDefault="00EA0B4D" w:rsidP="0019121D">
            <w:pPr>
              <w:rPr>
                <w:rFonts w:ascii="Book Antiqua" w:hAnsi="Book Antiqua"/>
                <w:bCs/>
                <w:i/>
                <w:sz w:val="20"/>
                <w:szCs w:val="16"/>
              </w:rPr>
            </w:pPr>
            <w:r w:rsidRPr="00E26AEC">
              <w:rPr>
                <w:rFonts w:ascii="Book Antiqua" w:hAnsi="Book Antiqua"/>
                <w:b/>
                <w:bCs/>
                <w:sz w:val="20"/>
                <w:szCs w:val="16"/>
              </w:rPr>
              <w:t>Signed</w:t>
            </w:r>
            <w:r w:rsidRPr="00E26AEC">
              <w:rPr>
                <w:rFonts w:ascii="Book Antiqua" w:hAnsi="Book Antiqua"/>
                <w:bCs/>
                <w:i/>
                <w:sz w:val="20"/>
                <w:szCs w:val="16"/>
              </w:rPr>
              <w:t xml:space="preserve"> for and on behalf of the Commonwealth of Australia by</w:t>
            </w:r>
          </w:p>
          <w:p w:rsidR="00EA0B4D" w:rsidRDefault="00EA0B4D" w:rsidP="0019121D">
            <w:pPr>
              <w:tabs>
                <w:tab w:val="left" w:leader="underscore" w:pos="3686"/>
              </w:tabs>
              <w:spacing w:before="360" w:after="60"/>
              <w:rPr>
                <w:rFonts w:ascii="Book Antiqua" w:hAnsi="Book Antiqua"/>
                <w:sz w:val="20"/>
                <w:szCs w:val="16"/>
                <w:lang w:val="en-GB"/>
              </w:rPr>
            </w:pPr>
          </w:p>
          <w:p w:rsidR="00EA0B4D" w:rsidRPr="00E26AEC" w:rsidRDefault="00EA0B4D" w:rsidP="0019121D">
            <w:pPr>
              <w:tabs>
                <w:tab w:val="left" w:leader="underscore" w:pos="3686"/>
              </w:tabs>
              <w:spacing w:before="360" w:after="60"/>
              <w:rPr>
                <w:rFonts w:ascii="Book Antiqua" w:hAnsi="Book Antiqua"/>
                <w:sz w:val="20"/>
                <w:szCs w:val="16"/>
                <w:lang w:val="en-GB"/>
              </w:rPr>
            </w:pPr>
            <w:r w:rsidRPr="00E26AEC">
              <w:rPr>
                <w:rFonts w:ascii="Book Antiqua" w:hAnsi="Book Antiqua"/>
                <w:sz w:val="20"/>
                <w:szCs w:val="16"/>
                <w:lang w:val="en-GB"/>
              </w:rPr>
              <w:tab/>
            </w:r>
          </w:p>
          <w:p w:rsidR="00EA0B4D" w:rsidRPr="00E26AEC" w:rsidRDefault="00EA0B4D" w:rsidP="0019121D">
            <w:pPr>
              <w:spacing w:after="0"/>
              <w:rPr>
                <w:b/>
                <w:sz w:val="20"/>
                <w:szCs w:val="16"/>
              </w:rPr>
            </w:pPr>
            <w:r w:rsidRPr="00E26AEC">
              <w:rPr>
                <w:b/>
                <w:sz w:val="20"/>
                <w:szCs w:val="16"/>
              </w:rPr>
              <w:t xml:space="preserve">The Honourable </w:t>
            </w:r>
            <w:r w:rsidR="009123A0">
              <w:rPr>
                <w:b/>
                <w:sz w:val="20"/>
                <w:szCs w:val="16"/>
              </w:rPr>
              <w:t>Malcolm Turnbull MP</w:t>
            </w:r>
          </w:p>
          <w:p w:rsidR="009123A0" w:rsidRPr="00E26AEC" w:rsidRDefault="009123A0" w:rsidP="009123A0">
            <w:pPr>
              <w:rPr>
                <w:bCs/>
                <w:sz w:val="20"/>
                <w:szCs w:val="16"/>
                <w:lang w:val="en-GB"/>
              </w:rPr>
            </w:pPr>
            <w:r w:rsidRPr="00E26AEC">
              <w:rPr>
                <w:bCs/>
                <w:sz w:val="20"/>
                <w:szCs w:val="16"/>
                <w:lang w:val="en-GB"/>
              </w:rPr>
              <w:t>Prime Minister of the Commonwealth of Australia</w:t>
            </w:r>
          </w:p>
          <w:p w:rsidR="00EA0B4D" w:rsidRPr="00E26AEC" w:rsidRDefault="00EA0B4D" w:rsidP="0019121D">
            <w:pPr>
              <w:tabs>
                <w:tab w:val="num" w:pos="1134"/>
              </w:tabs>
              <w:ind w:left="1134" w:hanging="567"/>
              <w:rPr>
                <w:b/>
                <w:sz w:val="20"/>
                <w:szCs w:val="16"/>
                <w:lang w:val="en-GB"/>
              </w:rPr>
            </w:pPr>
          </w:p>
        </w:tc>
      </w:tr>
      <w:tr w:rsidR="00EA0B4D" w:rsidRPr="00E26AEC" w:rsidTr="0019121D">
        <w:trPr>
          <w:cantSplit/>
          <w:jc w:val="center"/>
        </w:trPr>
        <w:tc>
          <w:tcPr>
            <w:tcW w:w="4536" w:type="dxa"/>
          </w:tcPr>
          <w:p w:rsidR="00EA0B4D" w:rsidRPr="00E26AEC" w:rsidRDefault="00EA0B4D" w:rsidP="0019121D">
            <w:pPr>
              <w:spacing w:after="0"/>
              <w:rPr>
                <w:rFonts w:ascii="Book Antiqua" w:hAnsi="Book Antiqua"/>
                <w:sz w:val="20"/>
                <w:szCs w:val="16"/>
                <w:lang w:val="en-GB"/>
              </w:rPr>
            </w:pPr>
          </w:p>
        </w:tc>
      </w:tr>
      <w:tr w:rsidR="00EA0B4D" w:rsidRPr="00E26AEC" w:rsidTr="0019121D">
        <w:trPr>
          <w:cantSplit/>
          <w:jc w:val="center"/>
        </w:trPr>
        <w:tc>
          <w:tcPr>
            <w:tcW w:w="4536" w:type="dxa"/>
          </w:tcPr>
          <w:p w:rsidR="00EA0B4D" w:rsidRPr="00E26AEC" w:rsidRDefault="00EA0B4D" w:rsidP="0019121D">
            <w:pPr>
              <w:rPr>
                <w:rFonts w:ascii="Book Antiqua" w:hAnsi="Book Antiqua"/>
                <w:bCs/>
                <w:i/>
                <w:sz w:val="20"/>
                <w:szCs w:val="16"/>
              </w:rPr>
            </w:pPr>
            <w:r w:rsidRPr="00E26AEC">
              <w:rPr>
                <w:rFonts w:ascii="Book Antiqua" w:hAnsi="Book Antiqua"/>
                <w:b/>
                <w:bCs/>
                <w:sz w:val="20"/>
                <w:szCs w:val="16"/>
              </w:rPr>
              <w:t>Signed</w:t>
            </w:r>
            <w:r>
              <w:rPr>
                <w:rFonts w:ascii="Book Antiqua" w:hAnsi="Book Antiqua"/>
                <w:b/>
                <w:bCs/>
                <w:sz w:val="20"/>
                <w:szCs w:val="16"/>
              </w:rPr>
              <w:t xml:space="preserve"> </w:t>
            </w:r>
            <w:r w:rsidRPr="00E26AEC">
              <w:rPr>
                <w:rFonts w:ascii="Book Antiqua" w:hAnsi="Book Antiqua"/>
                <w:bCs/>
                <w:i/>
                <w:sz w:val="20"/>
                <w:szCs w:val="16"/>
              </w:rPr>
              <w:t>for and on behalf of the State of New South Wales by</w:t>
            </w:r>
          </w:p>
          <w:p w:rsidR="00EA0B4D" w:rsidRDefault="00EA0B4D" w:rsidP="0019121D">
            <w:pPr>
              <w:tabs>
                <w:tab w:val="left" w:leader="underscore" w:pos="3686"/>
              </w:tabs>
              <w:spacing w:before="360" w:after="60"/>
              <w:rPr>
                <w:rFonts w:ascii="Book Antiqua" w:hAnsi="Book Antiqua"/>
                <w:sz w:val="20"/>
                <w:szCs w:val="16"/>
                <w:lang w:val="en-GB"/>
              </w:rPr>
            </w:pPr>
          </w:p>
          <w:p w:rsidR="00EA0B4D" w:rsidRPr="00E26AEC" w:rsidRDefault="00EA0B4D" w:rsidP="0019121D">
            <w:pPr>
              <w:tabs>
                <w:tab w:val="left" w:leader="underscore" w:pos="3686"/>
              </w:tabs>
              <w:spacing w:before="360" w:after="60"/>
              <w:rPr>
                <w:rFonts w:ascii="Book Antiqua" w:hAnsi="Book Antiqua"/>
                <w:sz w:val="20"/>
                <w:szCs w:val="16"/>
                <w:lang w:val="en-GB"/>
              </w:rPr>
            </w:pPr>
            <w:r w:rsidRPr="00E26AEC">
              <w:rPr>
                <w:rFonts w:ascii="Book Antiqua" w:hAnsi="Book Antiqua"/>
                <w:sz w:val="20"/>
                <w:szCs w:val="16"/>
                <w:lang w:val="en-GB"/>
              </w:rPr>
              <w:tab/>
            </w:r>
          </w:p>
          <w:p w:rsidR="009123A0" w:rsidRPr="00E26AEC" w:rsidRDefault="009123A0" w:rsidP="009123A0">
            <w:pPr>
              <w:spacing w:after="0"/>
              <w:rPr>
                <w:b/>
                <w:sz w:val="20"/>
                <w:szCs w:val="16"/>
              </w:rPr>
            </w:pPr>
            <w:r w:rsidRPr="00E26AEC">
              <w:rPr>
                <w:b/>
                <w:sz w:val="20"/>
                <w:szCs w:val="16"/>
              </w:rPr>
              <w:t>The Honourable Gladys Berejiklian MP</w:t>
            </w:r>
          </w:p>
          <w:p w:rsidR="009123A0" w:rsidRPr="00E26AEC" w:rsidRDefault="009123A0" w:rsidP="009123A0">
            <w:pPr>
              <w:rPr>
                <w:rFonts w:ascii="Book Antiqua" w:hAnsi="Book Antiqua"/>
                <w:sz w:val="20"/>
                <w:szCs w:val="16"/>
                <w:lang w:val="en-GB"/>
              </w:rPr>
            </w:pPr>
            <w:r w:rsidRPr="00E26AEC">
              <w:rPr>
                <w:sz w:val="20"/>
                <w:szCs w:val="16"/>
                <w:lang w:val="en-GB"/>
              </w:rPr>
              <w:t xml:space="preserve">Premier of the State of New </w:t>
            </w:r>
            <w:r w:rsidRPr="00E26AEC">
              <w:rPr>
                <w:bCs/>
                <w:sz w:val="20"/>
                <w:szCs w:val="16"/>
                <w:lang w:val="en-GB"/>
              </w:rPr>
              <w:t>South</w:t>
            </w:r>
            <w:r w:rsidRPr="00E26AEC">
              <w:rPr>
                <w:sz w:val="20"/>
                <w:szCs w:val="16"/>
                <w:lang w:val="en-GB"/>
              </w:rPr>
              <w:t xml:space="preserve"> Wales</w:t>
            </w:r>
          </w:p>
          <w:p w:rsidR="00EA0B4D" w:rsidRPr="00E26AEC" w:rsidRDefault="00EA0B4D" w:rsidP="0019121D">
            <w:pPr>
              <w:tabs>
                <w:tab w:val="num" w:pos="1134"/>
              </w:tabs>
              <w:ind w:left="1134" w:hanging="567"/>
              <w:rPr>
                <w:sz w:val="20"/>
                <w:szCs w:val="16"/>
                <w:lang w:val="en-GB"/>
              </w:rPr>
            </w:pPr>
          </w:p>
        </w:tc>
      </w:tr>
    </w:tbl>
    <w:p w:rsidR="00EA0B4D" w:rsidRDefault="00EA0B4D" w:rsidP="00EA0B4D">
      <w:pPr>
        <w:pStyle w:val="ScheduleStartNnumber"/>
        <w:numPr>
          <w:ilvl w:val="0"/>
          <w:numId w:val="0"/>
        </w:numPr>
      </w:pPr>
    </w:p>
    <w:p w:rsidR="00EA0B4D" w:rsidRDefault="00EA0B4D" w:rsidP="00EA0B4D"/>
    <w:p w:rsidR="007B0256" w:rsidRPr="005C3AA9" w:rsidRDefault="007B0256" w:rsidP="004B54CA">
      <w:pPr>
        <w:rPr>
          <w:rStyle w:val="BookTitle"/>
          <w:i w:val="0"/>
          <w:iCs w:val="0"/>
          <w:smallCaps w:val="0"/>
          <w:spacing w:val="0"/>
        </w:rPr>
      </w:pPr>
    </w:p>
    <w:sectPr w:rsidR="007B0256" w:rsidRPr="005C3AA9" w:rsidSect="00EA0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pgNumType w:start="1"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0A" w:rsidRDefault="00E0320A">
      <w:pPr>
        <w:spacing w:after="0" w:line="240" w:lineRule="auto"/>
      </w:pPr>
      <w:r>
        <w:separator/>
      </w:r>
    </w:p>
  </w:endnote>
  <w:endnote w:type="continuationSeparator" w:id="0">
    <w:p w:rsidR="00E0320A" w:rsidRDefault="00E0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altName w:val="Consolas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29" w:rsidRDefault="006C6143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BDA" w:rsidRDefault="00E032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829" w:rsidRDefault="00E0320A" w:rsidP="00751725">
    <w:pPr>
      <w:pStyle w:val="FooterEven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0A" w:rsidRDefault="00E0320A">
      <w:pPr>
        <w:spacing w:after="0" w:line="240" w:lineRule="auto"/>
      </w:pPr>
      <w:r>
        <w:separator/>
      </w:r>
    </w:p>
  </w:footnote>
  <w:footnote w:type="continuationSeparator" w:id="0">
    <w:p w:rsidR="00E0320A" w:rsidRDefault="00E0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88" w:rsidRDefault="00E032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288" w:rsidRDefault="00E032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5734349"/>
      <w:docPartObj>
        <w:docPartGallery w:val="Watermarks"/>
        <w:docPartUnique/>
      </w:docPartObj>
    </w:sdtPr>
    <w:sdtEndPr/>
    <w:sdtContent>
      <w:p w:rsidR="00DD4288" w:rsidRDefault="00E0320A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cs="Times New Roman"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 w:hint="default"/>
      </w:rPr>
    </w:lvl>
  </w:abstractNum>
  <w:abstractNum w:abstractNumId="1">
    <w:nsid w:val="6D7A39BC"/>
    <w:multiLevelType w:val="multilevel"/>
    <w:tmpl w:val="B532B666"/>
    <w:lvl w:ilvl="0">
      <w:start w:val="1"/>
      <w:numFmt w:val="none"/>
      <w:lvlText w:val="%1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 w:hint="default"/>
      </w:rPr>
    </w:lvl>
    <w:lvl w:ilvl="8">
      <w:start w:val="1"/>
      <w:numFmt w:val="upperLetter"/>
      <w:lvlRestart w:val="0"/>
      <w:suff w:val="space"/>
      <w:lvlText w:val="Schedule %9"/>
      <w:lvlJc w:val="left"/>
      <w:pPr>
        <w:ind w:left="0" w:firstLine="0"/>
      </w:pPr>
      <w:rPr>
        <w:rFonts w:cs="Times New Roman" w:hint="default"/>
        <w:i w:val="0"/>
        <w:color w:val="800000"/>
        <w:sz w:val="32"/>
      </w:rPr>
    </w:lvl>
  </w:abstractNum>
  <w:abstractNum w:abstractNumId="2">
    <w:nsid w:val="74B50406"/>
    <w:multiLevelType w:val="hybridMultilevel"/>
    <w:tmpl w:val="3D3A60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4D"/>
    <w:rsid w:val="00157481"/>
    <w:rsid w:val="00176EE0"/>
    <w:rsid w:val="001E1098"/>
    <w:rsid w:val="001E630D"/>
    <w:rsid w:val="0024510F"/>
    <w:rsid w:val="00353451"/>
    <w:rsid w:val="00381FA4"/>
    <w:rsid w:val="003B2BB8"/>
    <w:rsid w:val="003D34FF"/>
    <w:rsid w:val="004268FC"/>
    <w:rsid w:val="00464A04"/>
    <w:rsid w:val="004B54CA"/>
    <w:rsid w:val="004C5603"/>
    <w:rsid w:val="004E5CBF"/>
    <w:rsid w:val="005B1534"/>
    <w:rsid w:val="005C3AA9"/>
    <w:rsid w:val="006057EE"/>
    <w:rsid w:val="006A4CE7"/>
    <w:rsid w:val="006C6143"/>
    <w:rsid w:val="00785261"/>
    <w:rsid w:val="00797D70"/>
    <w:rsid w:val="007B0256"/>
    <w:rsid w:val="008F3CBE"/>
    <w:rsid w:val="009123A0"/>
    <w:rsid w:val="009225F0"/>
    <w:rsid w:val="009B3666"/>
    <w:rsid w:val="00AC0847"/>
    <w:rsid w:val="00B022AD"/>
    <w:rsid w:val="00B24C2B"/>
    <w:rsid w:val="00B3144F"/>
    <w:rsid w:val="00B7639D"/>
    <w:rsid w:val="00B979B6"/>
    <w:rsid w:val="00BA2DB9"/>
    <w:rsid w:val="00BE7148"/>
    <w:rsid w:val="00C91F08"/>
    <w:rsid w:val="00E0320A"/>
    <w:rsid w:val="00EA0B4D"/>
    <w:rsid w:val="00F62063"/>
    <w:rsid w:val="00F62FE3"/>
    <w:rsid w:val="00F9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4D"/>
    <w:p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EA0B4D"/>
    <w:pPr>
      <w:keepNext/>
      <w:spacing w:after="0" w:line="240" w:lineRule="auto"/>
      <w:jc w:val="left"/>
    </w:pPr>
    <w:rPr>
      <w:color w:val="3D4B67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A0B4D"/>
    <w:rPr>
      <w:rFonts w:ascii="Corbel" w:eastAsia="Times New Roman" w:hAnsi="Corbel" w:cs="Times New Roman"/>
      <w:color w:val="3D4B67"/>
      <w:sz w:val="18"/>
      <w:szCs w:val="20"/>
      <w:lang w:eastAsia="en-AU"/>
    </w:rPr>
  </w:style>
  <w:style w:type="paragraph" w:customStyle="1" w:styleId="FooterEven">
    <w:name w:val="Footer Even"/>
    <w:basedOn w:val="Footer"/>
    <w:rsid w:val="00EA0B4D"/>
    <w:pPr>
      <w:keepNext w:val="0"/>
    </w:pPr>
  </w:style>
  <w:style w:type="paragraph" w:styleId="Header">
    <w:name w:val="header"/>
    <w:basedOn w:val="Normal"/>
    <w:link w:val="HeaderChar"/>
    <w:uiPriority w:val="99"/>
    <w:rsid w:val="00EA0B4D"/>
    <w:pPr>
      <w:keepNext/>
      <w:spacing w:after="0" w:line="240" w:lineRule="auto"/>
      <w:jc w:val="left"/>
    </w:pPr>
    <w:rPr>
      <w:color w:val="3D4B67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A0B4D"/>
    <w:rPr>
      <w:rFonts w:ascii="Corbel" w:eastAsia="Times New Roman" w:hAnsi="Corbel" w:cs="Times New Roman"/>
      <w:color w:val="3D4B67"/>
      <w:sz w:val="18"/>
      <w:szCs w:val="20"/>
      <w:lang w:eastAsia="en-AU"/>
    </w:rPr>
  </w:style>
  <w:style w:type="paragraph" w:customStyle="1" w:styleId="ScheduleStartNnumber">
    <w:name w:val="ScheduleStartNnumber"/>
    <w:rsid w:val="00EA0B4D"/>
    <w:pPr>
      <w:numPr>
        <w:numId w:val="2"/>
      </w:numPr>
      <w:spacing w:after="0" w:line="240" w:lineRule="auto"/>
    </w:pPr>
    <w:rPr>
      <w:rFonts w:ascii="Consolas" w:eastAsia="Times New Roman" w:hAnsi="Consolas" w:cs="Arial"/>
      <w:bCs/>
      <w:vanish/>
      <w:color w:val="000000"/>
      <w:kern w:val="32"/>
      <w:sz w:val="12"/>
      <w:szCs w:val="36"/>
      <w:lang w:eastAsia="en-AU"/>
    </w:rPr>
  </w:style>
  <w:style w:type="paragraph" w:customStyle="1" w:styleId="ScheduleNumberedPara">
    <w:name w:val="ScheduleNumberedPara"/>
    <w:basedOn w:val="Normal"/>
    <w:rsid w:val="00EA0B4D"/>
    <w:pPr>
      <w:numPr>
        <w:ilvl w:val="1"/>
        <w:numId w:val="2"/>
      </w:numPr>
      <w:tabs>
        <w:tab w:val="num" w:pos="1418"/>
        <w:tab w:val="num" w:pos="2268"/>
      </w:tabs>
    </w:pPr>
  </w:style>
  <w:style w:type="table" w:styleId="TableGrid1">
    <w:name w:val="Table Grid 1"/>
    <w:basedOn w:val="TableNormal"/>
    <w:rsid w:val="00EA0B4D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B4D"/>
    <w:p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EA0B4D"/>
    <w:pPr>
      <w:keepNext/>
      <w:spacing w:after="0" w:line="240" w:lineRule="auto"/>
      <w:jc w:val="left"/>
    </w:pPr>
    <w:rPr>
      <w:color w:val="3D4B67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A0B4D"/>
    <w:rPr>
      <w:rFonts w:ascii="Corbel" w:eastAsia="Times New Roman" w:hAnsi="Corbel" w:cs="Times New Roman"/>
      <w:color w:val="3D4B67"/>
      <w:sz w:val="18"/>
      <w:szCs w:val="20"/>
      <w:lang w:eastAsia="en-AU"/>
    </w:rPr>
  </w:style>
  <w:style w:type="paragraph" w:customStyle="1" w:styleId="FooterEven">
    <w:name w:val="Footer Even"/>
    <w:basedOn w:val="Footer"/>
    <w:rsid w:val="00EA0B4D"/>
    <w:pPr>
      <w:keepNext w:val="0"/>
    </w:pPr>
  </w:style>
  <w:style w:type="paragraph" w:styleId="Header">
    <w:name w:val="header"/>
    <w:basedOn w:val="Normal"/>
    <w:link w:val="HeaderChar"/>
    <w:uiPriority w:val="99"/>
    <w:rsid w:val="00EA0B4D"/>
    <w:pPr>
      <w:keepNext/>
      <w:spacing w:after="0" w:line="240" w:lineRule="auto"/>
      <w:jc w:val="left"/>
    </w:pPr>
    <w:rPr>
      <w:color w:val="3D4B67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A0B4D"/>
    <w:rPr>
      <w:rFonts w:ascii="Corbel" w:eastAsia="Times New Roman" w:hAnsi="Corbel" w:cs="Times New Roman"/>
      <w:color w:val="3D4B67"/>
      <w:sz w:val="18"/>
      <w:szCs w:val="20"/>
      <w:lang w:eastAsia="en-AU"/>
    </w:rPr>
  </w:style>
  <w:style w:type="paragraph" w:customStyle="1" w:styleId="ScheduleStartNnumber">
    <w:name w:val="ScheduleStartNnumber"/>
    <w:rsid w:val="00EA0B4D"/>
    <w:pPr>
      <w:numPr>
        <w:numId w:val="2"/>
      </w:numPr>
      <w:spacing w:after="0" w:line="240" w:lineRule="auto"/>
    </w:pPr>
    <w:rPr>
      <w:rFonts w:ascii="Consolas" w:eastAsia="Times New Roman" w:hAnsi="Consolas" w:cs="Arial"/>
      <w:bCs/>
      <w:vanish/>
      <w:color w:val="000000"/>
      <w:kern w:val="32"/>
      <w:sz w:val="12"/>
      <w:szCs w:val="36"/>
      <w:lang w:eastAsia="en-AU"/>
    </w:rPr>
  </w:style>
  <w:style w:type="paragraph" w:customStyle="1" w:styleId="ScheduleNumberedPara">
    <w:name w:val="ScheduleNumberedPara"/>
    <w:basedOn w:val="Normal"/>
    <w:rsid w:val="00EA0B4D"/>
    <w:pPr>
      <w:numPr>
        <w:ilvl w:val="1"/>
        <w:numId w:val="2"/>
      </w:numPr>
      <w:tabs>
        <w:tab w:val="num" w:pos="1418"/>
        <w:tab w:val="num" w:pos="2268"/>
      </w:tabs>
    </w:pPr>
  </w:style>
  <w:style w:type="table" w:styleId="TableGrid1">
    <w:name w:val="Table Grid 1"/>
    <w:basedOn w:val="TableNormal"/>
    <w:rsid w:val="00EA0B4D"/>
    <w:pPr>
      <w:spacing w:after="240" w:line="260" w:lineRule="exact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customXml" Target="../customXml/item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3934" ma:contentTypeDescription=" " ma:contentTypeScope="" ma:versionID="e168c1c6cb190873b842362773853927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IconOverlay xmlns="http://schemas.microsoft.com/sharepoint/v4" xsi:nil="true"/>
    <_dlc_DocId xmlns="0f563589-9cf9-4143-b1eb-fb0534803d38">2020FG-64-88070</_dlc_DocId>
    <TaxCatchAll xmlns="0f563589-9cf9-4143-b1eb-fb0534803d38">
      <Value>2</Value>
    </TaxCatchAll>
    <_dlc_DocIdUrl xmlns="0f563589-9cf9-4143-b1eb-fb0534803d38">
      <Url>http://tweb/sites/fg/csrd/_layouts/15/DocIdRedir.aspx?ID=2020FG-64-88070</Url>
      <Description>2020FG-64-88070</Description>
    </_dlc_DocIdUrl>
  </documentManagement>
</p:properties>
</file>

<file path=customXml/itemProps1.xml><?xml version="1.0" encoding="utf-8"?>
<ds:datastoreItem xmlns:ds="http://schemas.openxmlformats.org/officeDocument/2006/customXml" ds:itemID="{4F26E566-D5EA-4D97-BF7E-0B86C237E03B}"/>
</file>

<file path=customXml/itemProps2.xml><?xml version="1.0" encoding="utf-8"?>
<ds:datastoreItem xmlns:ds="http://schemas.openxmlformats.org/officeDocument/2006/customXml" ds:itemID="{6A7FC883-64E8-44CD-AB6F-5571AC8C6D77}"/>
</file>

<file path=customXml/itemProps3.xml><?xml version="1.0" encoding="utf-8"?>
<ds:datastoreItem xmlns:ds="http://schemas.openxmlformats.org/officeDocument/2006/customXml" ds:itemID="{5A9D3B09-8BD8-4B44-AB4D-4738C1BA4BAE}"/>
</file>

<file path=customXml/itemProps4.xml><?xml version="1.0" encoding="utf-8"?>
<ds:datastoreItem xmlns:ds="http://schemas.openxmlformats.org/officeDocument/2006/customXml" ds:itemID="{E257BE90-B591-43B5-BF08-5C60B4063D49}"/>
</file>

<file path=customXml/itemProps5.xml><?xml version="1.0" encoding="utf-8"?>
<ds:datastoreItem xmlns:ds="http://schemas.openxmlformats.org/officeDocument/2006/customXml" ds:itemID="{D54F2BFA-0799-41EA-9502-909B660E3B93}"/>
</file>

<file path=customXml/itemProps6.xml><?xml version="1.0" encoding="utf-8"?>
<ds:datastoreItem xmlns:ds="http://schemas.openxmlformats.org/officeDocument/2006/customXml" ds:itemID="{873F2F11-5B80-4227-8693-648B254BCF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Bryan - Secure</dc:creator>
  <cp:lastModifiedBy>Early , Christopher - Secure</cp:lastModifiedBy>
  <cp:revision>14</cp:revision>
  <dcterms:created xsi:type="dcterms:W3CDTF">2018-05-10T00:03:00Z</dcterms:created>
  <dcterms:modified xsi:type="dcterms:W3CDTF">2018-05-10T05:19:00Z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bf6e6cdb-297d-4f54-90c3-8bd21eac8dde</vt:lpwstr>
  </property>
  <property fmtid="{D5CDD505-2E9C-101B-9397-08002B2CF9AE}" pid="3" name="ContentTypeId">
    <vt:lpwstr>0x010100348D01E61E107C4DA4B97E380EA20D47005CDF45B49E80F24CAD80DFC012154DA9</vt:lpwstr>
  </property>
  <property fmtid="{D5CDD505-2E9C-101B-9397-08002B2CF9AE}" pid="4" name="TSYRecordClass">
    <vt:lpwstr>2;#TSY RA-8748 - Retain as national archives|243f2231-dbfc-4282-b24a-c9b768286bd0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{4435c73b-6585-4bc2-a76a-5d21b1a02e06}</vt:lpwstr>
  </property>
  <property fmtid="{D5CDD505-2E9C-101B-9397-08002B2CF9AE}" pid="8" name="RecordPoint_ActiveItemUniqueId">
    <vt:lpwstr>{bf6e6cdb-297d-4f54-90c3-8bd21eac8dde}</vt:lpwstr>
  </property>
  <property fmtid="{D5CDD505-2E9C-101B-9397-08002B2CF9AE}" pid="9" name="RecordPoint_ActiveItemWebId">
    <vt:lpwstr>{a4589788-615f-4b8b-8296-7f9f6dfbab44}</vt:lpwstr>
  </property>
</Properties>
</file>