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520331" w14:paraId="428B122E" w14:textId="77777777">
        <w:tc>
          <w:tcPr>
            <w:tcW w:w="817" w:type="pct"/>
          </w:tcPr>
          <w:p w14:paraId="6DF948D6" w14:textId="77777777" w:rsidR="00520331" w:rsidRPr="001E74D0" w:rsidRDefault="00520331" w:rsidP="00520331">
            <w:bookmarkStart w:id="0" w:name="_GoBack"/>
            <w:bookmarkEnd w:id="0"/>
          </w:p>
        </w:tc>
        <w:tc>
          <w:tcPr>
            <w:tcW w:w="4183" w:type="pct"/>
          </w:tcPr>
          <w:p w14:paraId="0F6C2318" w14:textId="77777777" w:rsidR="00520331" w:rsidRPr="00FC55E9" w:rsidRDefault="00520331" w:rsidP="00520331">
            <w:pPr>
              <w:pStyle w:val="AgreementParties"/>
              <w:numPr>
                <w:ilvl w:val="0"/>
                <w:numId w:val="0"/>
              </w:numPr>
              <w:ind w:left="49"/>
            </w:pPr>
          </w:p>
        </w:tc>
      </w:tr>
    </w:tbl>
    <w:p w14:paraId="6C454CF8" w14:textId="77777777" w:rsidR="00A21A05" w:rsidRDefault="00A21A05" w:rsidP="00A17D70">
      <w:pPr>
        <w:pStyle w:val="Title"/>
      </w:pPr>
    </w:p>
    <w:p w14:paraId="39A6B344" w14:textId="77777777" w:rsidR="00333E94" w:rsidRDefault="00333E94" w:rsidP="00A17D70">
      <w:pPr>
        <w:pStyle w:val="Title"/>
      </w:pPr>
      <w:r>
        <w:t>New South Wales</w:t>
      </w:r>
    </w:p>
    <w:p w14:paraId="4B380434" w14:textId="77777777" w:rsidR="0036688B" w:rsidRPr="00A17D70" w:rsidRDefault="0036688B" w:rsidP="00A17D70">
      <w:pPr>
        <w:pStyle w:val="Title"/>
      </w:pPr>
      <w:r w:rsidRPr="00A17D70">
        <w:t>Impleme</w:t>
      </w:r>
      <w:r w:rsidR="00333E94">
        <w:t>n</w:t>
      </w:r>
      <w:r w:rsidRPr="00A17D70">
        <w:t xml:space="preserve">tation Plan </w:t>
      </w:r>
    </w:p>
    <w:p w14:paraId="3F062A30" w14:textId="77777777" w:rsidR="0036688B" w:rsidRPr="00A17D70" w:rsidRDefault="00B934F5" w:rsidP="00A17D70">
      <w:pPr>
        <w:pStyle w:val="Subtitle"/>
      </w:pPr>
      <w:r>
        <w:t xml:space="preserve">National Partnership </w:t>
      </w:r>
      <w:r w:rsidR="0036688B" w:rsidRPr="00A17D70">
        <w:t>on</w:t>
      </w:r>
      <w:r w:rsidR="00B920EA">
        <w:t xml:space="preserve"> </w:t>
      </w:r>
      <w:r w:rsidR="00F8223F">
        <w:t>disaster risk reduction</w:t>
      </w:r>
    </w:p>
    <w:p w14:paraId="6A8D5178" w14:textId="77777777" w:rsidR="0036688B" w:rsidRPr="00041625" w:rsidRDefault="0036688B" w:rsidP="00A17D70">
      <w:pPr>
        <w:pStyle w:val="Heading1"/>
      </w:pPr>
      <w:r w:rsidRPr="00041625">
        <w:t>Part 1: Pr</w:t>
      </w:r>
      <w:r w:rsidRPr="00A17D70">
        <w:t>el</w:t>
      </w:r>
      <w:r w:rsidRPr="00041625">
        <w:t>iminaries</w:t>
      </w:r>
    </w:p>
    <w:p w14:paraId="4A7B6739" w14:textId="77777777" w:rsidR="00D12D35" w:rsidRDefault="001918B1"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is </w:t>
      </w:r>
      <w:r w:rsidR="00C22701" w:rsidRPr="00041625">
        <w:rPr>
          <w:szCs w:val="23"/>
        </w:rPr>
        <w:t>a schedule to</w:t>
      </w:r>
      <w:r w:rsidRPr="00041625">
        <w:rPr>
          <w:szCs w:val="23"/>
        </w:rPr>
        <w:t xml:space="preserve"> the National Partnership Agreement on </w:t>
      </w:r>
      <w:r w:rsidR="00F8223F">
        <w:rPr>
          <w:szCs w:val="23"/>
        </w:rPr>
        <w:t>Disaster Risk Reduction</w:t>
      </w:r>
      <w:r w:rsidRPr="00041625">
        <w:rPr>
          <w:szCs w:val="23"/>
        </w:rPr>
        <w:t xml:space="preserve"> and should be read in conjunction with that Agreement. </w:t>
      </w:r>
    </w:p>
    <w:p w14:paraId="7B33CE7E" w14:textId="77777777" w:rsidR="001918B1" w:rsidRPr="00041625" w:rsidRDefault="001918B1" w:rsidP="0036688B">
      <w:pPr>
        <w:pStyle w:val="Normalnumbered"/>
        <w:spacing w:after="240" w:line="260" w:lineRule="exact"/>
        <w:rPr>
          <w:szCs w:val="23"/>
        </w:rPr>
      </w:pPr>
      <w:r w:rsidRPr="00041625">
        <w:rPr>
          <w:szCs w:val="23"/>
        </w:rPr>
        <w:t>The objective in the National Partnership is</w:t>
      </w:r>
      <w:r w:rsidR="00D12D35" w:rsidRPr="00D12D35">
        <w:t xml:space="preserve"> </w:t>
      </w:r>
      <w:r w:rsidR="00D12D35">
        <w:t xml:space="preserve">to </w:t>
      </w:r>
      <w:r w:rsidR="00465565">
        <w:t xml:space="preserve">proactively </w:t>
      </w:r>
      <w:r w:rsidR="00D12D35">
        <w:t xml:space="preserve">reduce </w:t>
      </w:r>
      <w:r w:rsidR="00465565">
        <w:t>the risk and limit the impact of d</w:t>
      </w:r>
      <w:r w:rsidR="00D12D35">
        <w:t>isasters associated with natural hazards on Australian communities and economies</w:t>
      </w:r>
      <w:r w:rsidRPr="00041625">
        <w:rPr>
          <w:szCs w:val="23"/>
        </w:rPr>
        <w:t>.</w:t>
      </w:r>
    </w:p>
    <w:p w14:paraId="0D85C158" w14:textId="77777777" w:rsidR="007A07AD" w:rsidRPr="0061613E" w:rsidRDefault="00D12D35" w:rsidP="0061613E">
      <w:pPr>
        <w:pStyle w:val="Normalnumbered"/>
        <w:spacing w:after="240" w:line="260" w:lineRule="exact"/>
        <w:rPr>
          <w:szCs w:val="23"/>
        </w:rPr>
      </w:pPr>
      <w:r w:rsidRPr="00571A57">
        <w:t xml:space="preserve">The initiative will deliver </w:t>
      </w:r>
      <w:r w:rsidR="00AD1B9D" w:rsidRPr="00571A57">
        <w:t>on</w:t>
      </w:r>
      <w:r w:rsidRPr="00571A57">
        <w:t xml:space="preserve"> the</w:t>
      </w:r>
      <w:r>
        <w:t xml:space="preserve"> priorities, five</w:t>
      </w:r>
      <w:r>
        <w:noBreakHyphen/>
        <w:t>year outcomes and 2030 goals of the National Disaster Risk Reduction Framework across Australia’s built, social, natural and economic environments. It aims to reduce existing disaster risk, minimise the creation of future</w:t>
      </w:r>
      <w:r w:rsidR="009F536E">
        <w:t xml:space="preserve"> disaster</w:t>
      </w:r>
      <w:r>
        <w:t xml:space="preserve"> risk and </w:t>
      </w:r>
      <w:r w:rsidR="00465565">
        <w:t xml:space="preserve">equip decision-makers with the capabilities and information needed to reduce disaster risk and </w:t>
      </w:r>
      <w:r>
        <w:t>manage residual risk.</w:t>
      </w:r>
    </w:p>
    <w:p w14:paraId="5F571353" w14:textId="77777777"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14:paraId="2A8D467F" w14:textId="77777777" w:rsidR="003E230C" w:rsidRPr="003E230C" w:rsidRDefault="003E230C" w:rsidP="003E230C"/>
    <w:p w14:paraId="08D64CD5" w14:textId="5A5F067D"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commence as soon as it is agreed between the Commonwealth of Australia, represented by the Minister for </w:t>
      </w:r>
      <w:r w:rsidR="003E58F7">
        <w:rPr>
          <w:szCs w:val="23"/>
        </w:rPr>
        <w:t>Agriculture</w:t>
      </w:r>
      <w:r w:rsidR="00D12D35">
        <w:rPr>
          <w:szCs w:val="23"/>
        </w:rPr>
        <w:t>, Drought and Emergency Management</w:t>
      </w:r>
      <w:r w:rsidRPr="00041625">
        <w:rPr>
          <w:szCs w:val="23"/>
        </w:rPr>
        <w:t xml:space="preserve">, and </w:t>
      </w:r>
      <w:r w:rsidR="00B4004B">
        <w:rPr>
          <w:szCs w:val="23"/>
        </w:rPr>
        <w:t>New South Wales</w:t>
      </w:r>
      <w:r w:rsidRPr="00041625">
        <w:rPr>
          <w:szCs w:val="23"/>
        </w:rPr>
        <w:t xml:space="preserve">, represented by </w:t>
      </w:r>
      <w:r w:rsidR="00B4004B">
        <w:rPr>
          <w:szCs w:val="23"/>
        </w:rPr>
        <w:t xml:space="preserve">the </w:t>
      </w:r>
      <w:r w:rsidR="00B4004B" w:rsidRPr="00825793">
        <w:rPr>
          <w:szCs w:val="23"/>
        </w:rPr>
        <w:t>Minister for</w:t>
      </w:r>
      <w:r w:rsidR="006C23E5" w:rsidRPr="00825793">
        <w:rPr>
          <w:szCs w:val="23"/>
        </w:rPr>
        <w:t xml:space="preserve"> </w:t>
      </w:r>
      <w:r w:rsidR="004A4638">
        <w:rPr>
          <w:szCs w:val="23"/>
        </w:rPr>
        <w:t xml:space="preserve">Police and </w:t>
      </w:r>
      <w:r w:rsidR="006C23E5" w:rsidRPr="00825793">
        <w:rPr>
          <w:szCs w:val="23"/>
        </w:rPr>
        <w:t>Emergency Services</w:t>
      </w:r>
      <w:r w:rsidRPr="00825793">
        <w:rPr>
          <w:szCs w:val="23"/>
        </w:rPr>
        <w:t>.</w:t>
      </w:r>
    </w:p>
    <w:p w14:paraId="204E40ED" w14:textId="77777777" w:rsidR="0036688B" w:rsidRPr="00041625" w:rsidRDefault="0036688B" w:rsidP="0036688B">
      <w:pPr>
        <w:pStyle w:val="Normalnumbered"/>
        <w:spacing w:after="240" w:line="260" w:lineRule="exact"/>
        <w:rPr>
          <w:szCs w:val="23"/>
        </w:rPr>
      </w:pPr>
      <w:r w:rsidRPr="00571A57">
        <w:rPr>
          <w:szCs w:val="23"/>
        </w:rPr>
        <w:t xml:space="preserve">As a schedule to the National Partnership </w:t>
      </w:r>
      <w:r w:rsidR="007D43A7" w:rsidRPr="00571A57">
        <w:rPr>
          <w:szCs w:val="23"/>
        </w:rPr>
        <w:t>A</w:t>
      </w:r>
      <w:r w:rsidRPr="00571A57">
        <w:rPr>
          <w:szCs w:val="23"/>
        </w:rPr>
        <w:t xml:space="preserve">greement on </w:t>
      </w:r>
      <w:r w:rsidR="00D12D35" w:rsidRPr="00571A57">
        <w:rPr>
          <w:szCs w:val="23"/>
        </w:rPr>
        <w:t>Disaster Risk Reduction</w:t>
      </w:r>
      <w:r w:rsidRPr="00571A57">
        <w:rPr>
          <w:szCs w:val="23"/>
        </w:rPr>
        <w:t xml:space="preserve">, the purpose of this </w:t>
      </w:r>
      <w:r w:rsidR="00E47C62" w:rsidRPr="00571A57">
        <w:rPr>
          <w:szCs w:val="23"/>
        </w:rPr>
        <w:t>Implementation Plan</w:t>
      </w:r>
      <w:r w:rsidRPr="00571A57">
        <w:rPr>
          <w:szCs w:val="23"/>
        </w:rPr>
        <w:t xml:space="preserve"> is to provide the public with </w:t>
      </w:r>
      <w:r w:rsidR="007B7FDC" w:rsidRPr="00571A57">
        <w:rPr>
          <w:szCs w:val="23"/>
        </w:rPr>
        <w:t>an indication of</w:t>
      </w:r>
      <w:r w:rsidRPr="00571A57">
        <w:rPr>
          <w:szCs w:val="23"/>
        </w:rPr>
        <w:t xml:space="preserve"> how the project </w:t>
      </w:r>
      <w:r w:rsidR="00903874" w:rsidRPr="00571A57">
        <w:rPr>
          <w:szCs w:val="23"/>
        </w:rPr>
        <w:t>is intended</w:t>
      </w:r>
      <w:r w:rsidR="00903874" w:rsidRPr="00041625">
        <w:rPr>
          <w:szCs w:val="23"/>
        </w:rPr>
        <w:t xml:space="preserve"> to be</w:t>
      </w:r>
      <w:r w:rsidRPr="00041625">
        <w:rPr>
          <w:szCs w:val="23"/>
        </w:rPr>
        <w:t xml:space="preserve"> delivered</w:t>
      </w:r>
      <w:r w:rsidR="007B7FDC" w:rsidRPr="00041625">
        <w:rPr>
          <w:szCs w:val="23"/>
        </w:rPr>
        <w:t xml:space="preserve"> and demonstrate </w:t>
      </w:r>
      <w:r w:rsidR="00B4004B">
        <w:rPr>
          <w:szCs w:val="23"/>
        </w:rPr>
        <w:t>New South Wales’</w:t>
      </w:r>
      <w:r w:rsidR="007B7FDC" w:rsidRPr="00041625">
        <w:rPr>
          <w:szCs w:val="23"/>
        </w:rPr>
        <w:t xml:space="preserve"> capacity to achieve the outcomes of the </w:t>
      </w:r>
      <w:r w:rsidR="002E328E" w:rsidRPr="00041625">
        <w:rPr>
          <w:szCs w:val="23"/>
        </w:rPr>
        <w:t>National Partnership</w:t>
      </w:r>
      <w:r w:rsidRPr="00041625">
        <w:rPr>
          <w:szCs w:val="23"/>
        </w:rPr>
        <w:t xml:space="preserve">. </w:t>
      </w:r>
    </w:p>
    <w:p w14:paraId="751D8AC1"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cease on completion </w:t>
      </w:r>
      <w:r w:rsidR="00F9039F" w:rsidRPr="00041625">
        <w:rPr>
          <w:szCs w:val="23"/>
        </w:rPr>
        <w:t xml:space="preserve">or termination </w:t>
      </w:r>
      <w:r w:rsidRPr="00041625">
        <w:rPr>
          <w:szCs w:val="23"/>
        </w:rPr>
        <w:t xml:space="preserve">of </w:t>
      </w:r>
      <w:r w:rsidR="00AC5296" w:rsidRPr="00041625">
        <w:rPr>
          <w:szCs w:val="23"/>
        </w:rPr>
        <w:t>the National Partnership</w:t>
      </w:r>
      <w:r w:rsidR="00BC5FA5" w:rsidRPr="00041625">
        <w:rPr>
          <w:szCs w:val="23"/>
        </w:rPr>
        <w:t>, including final performance reporting and processing of final payments against performance milestones.</w:t>
      </w:r>
    </w:p>
    <w:p w14:paraId="0960F2F8"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State </w:t>
      </w:r>
      <w:r w:rsidRPr="00041625">
        <w:rPr>
          <w:szCs w:val="23"/>
        </w:rPr>
        <w:t>Ministers</w:t>
      </w:r>
      <w:r w:rsidR="00D3241C" w:rsidRPr="00041625">
        <w:rPr>
          <w:szCs w:val="23"/>
        </w:rPr>
        <w:t xml:space="preserve"> responsible for it under the overarching National Partnership</w:t>
      </w:r>
      <w:r w:rsidRPr="00041625">
        <w:rPr>
          <w:szCs w:val="23"/>
        </w:rPr>
        <w:t xml:space="preserve">. </w:t>
      </w:r>
    </w:p>
    <w:p w14:paraId="6755DA73" w14:textId="77777777" w:rsidR="0036688B" w:rsidRPr="00041625"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plan and its full </w:t>
      </w:r>
      <w:r w:rsidRPr="00041625">
        <w:rPr>
          <w:szCs w:val="23"/>
        </w:rPr>
        <w:t>implementation.</w:t>
      </w:r>
    </w:p>
    <w:p w14:paraId="63AA5D1E" w14:textId="77777777" w:rsidR="0036688B" w:rsidRPr="00B704A8" w:rsidRDefault="0036688B" w:rsidP="00A17D70">
      <w:pPr>
        <w:pStyle w:val="Heading1"/>
      </w:pPr>
      <w:r w:rsidRPr="00B704A8">
        <w:lastRenderedPageBreak/>
        <w:t xml:space="preserve">Part </w:t>
      </w:r>
      <w:r w:rsidR="00C26A29" w:rsidRPr="00B704A8">
        <w:t>3</w:t>
      </w:r>
      <w:r w:rsidRPr="00B704A8">
        <w:t xml:space="preserve">: Strategy for </w:t>
      </w:r>
      <w:r w:rsidR="00B4004B">
        <w:t xml:space="preserve">New South wales </w:t>
      </w:r>
      <w:r w:rsidRPr="00B704A8">
        <w:t>implementation</w:t>
      </w:r>
    </w:p>
    <w:p w14:paraId="19C344F5" w14:textId="77777777" w:rsidR="0036688B" w:rsidRPr="00A17D70" w:rsidRDefault="00B57FA4" w:rsidP="00A17D70">
      <w:pPr>
        <w:pStyle w:val="Heading2"/>
      </w:pPr>
      <w:r>
        <w:t>Fundamentals of the Implementation Plan</w:t>
      </w:r>
    </w:p>
    <w:p w14:paraId="7339248C" w14:textId="77777777" w:rsidR="004C08DB" w:rsidRDefault="004C08DB" w:rsidP="00FB0AA0">
      <w:pPr>
        <w:pStyle w:val="Normalnumbered"/>
        <w:numPr>
          <w:ilvl w:val="0"/>
          <w:numId w:val="0"/>
        </w:numPr>
      </w:pPr>
    </w:p>
    <w:p w14:paraId="736A8CE5" w14:textId="77777777" w:rsidR="00B009BF" w:rsidRDefault="005A1088" w:rsidP="005A1088">
      <w:r w:rsidRPr="005A1088">
        <w:t xml:space="preserve">The Implementation Plan provides </w:t>
      </w:r>
      <w:r w:rsidR="00B009BF">
        <w:t>an overview of the NSW Disaster Risk Reduction Program 2019</w:t>
      </w:r>
      <w:r w:rsidR="00B009BF">
        <w:noBreakHyphen/>
        <w:t xml:space="preserve">24, including the </w:t>
      </w:r>
      <w:r w:rsidRPr="005A1088">
        <w:t>priorities for investment</w:t>
      </w:r>
      <w:r w:rsidR="00B009BF">
        <w:t xml:space="preserve">, the </w:t>
      </w:r>
      <w:r w:rsidRPr="005A1088">
        <w:t xml:space="preserve">opportunities to influence and leverage existing initiatives </w:t>
      </w:r>
      <w:r w:rsidR="00B009BF">
        <w:t>and the</w:t>
      </w:r>
      <w:r w:rsidRPr="005A1088">
        <w:t xml:space="preserve"> partnerships with </w:t>
      </w:r>
      <w:r w:rsidR="00B009BF">
        <w:t xml:space="preserve">local government, state </w:t>
      </w:r>
      <w:r w:rsidRPr="005A1088">
        <w:t>agencies, non-government organisations and the private sector</w:t>
      </w:r>
      <w:r w:rsidR="00B009BF">
        <w:t xml:space="preserve"> to deliver these initiatives</w:t>
      </w:r>
      <w:r w:rsidRPr="005A1088">
        <w:t xml:space="preserve">.  </w:t>
      </w:r>
    </w:p>
    <w:p w14:paraId="1EF0A299" w14:textId="77777777" w:rsidR="00B009BF" w:rsidRDefault="00B009BF" w:rsidP="005A1088"/>
    <w:p w14:paraId="6176D9DC" w14:textId="518488D7" w:rsidR="00557ED2" w:rsidRDefault="00557ED2" w:rsidP="005A1088">
      <w:r>
        <w:t>The five</w:t>
      </w:r>
      <w:r>
        <w:noBreakHyphen/>
      </w:r>
      <w:r w:rsidR="005A1088" w:rsidRPr="005A1088">
        <w:t xml:space="preserve">year </w:t>
      </w:r>
      <w:r w:rsidR="00B009BF">
        <w:t>program</w:t>
      </w:r>
      <w:r w:rsidR="005A1088" w:rsidRPr="005A1088">
        <w:t xml:space="preserve"> will focus on enhancing collective knowledge</w:t>
      </w:r>
      <w:r>
        <w:t xml:space="preserve"> of natural disaster risks and implementing initiatives that reduce risk at the state, regional and local levels.</w:t>
      </w:r>
    </w:p>
    <w:p w14:paraId="28966F35" w14:textId="77777777" w:rsidR="00557ED2" w:rsidRDefault="00557ED2" w:rsidP="005A1088"/>
    <w:p w14:paraId="38BA7292" w14:textId="77777777" w:rsidR="00557ED2" w:rsidRDefault="00557ED2" w:rsidP="005A1088">
      <w:r>
        <w:t>The NSW Disaster Risk Reduction Program</w:t>
      </w:r>
      <w:r w:rsidR="005A1088" w:rsidRPr="005A1088">
        <w:t xml:space="preserve"> will deliver the priorities of the National Disaster Risk Reduction Framework consistent with the priorities of risk assessments at the state, regional and local levels.  Initiatives will embed risk reduction in sector and community preparedness programs and opportunities will be harnessed through various recovery processes to identify risk reduction strategies in the social, environmental, economic and infrastructure domains.  </w:t>
      </w:r>
    </w:p>
    <w:p w14:paraId="4CCA2C31" w14:textId="77777777" w:rsidR="00557ED2" w:rsidRDefault="00557ED2" w:rsidP="005A1088"/>
    <w:p w14:paraId="20D9111D" w14:textId="07E7AAEE" w:rsidR="005A1088" w:rsidRPr="005A1088" w:rsidRDefault="005A1088" w:rsidP="005A1088">
      <w:r w:rsidRPr="005A1088">
        <w:t xml:space="preserve">Significantly, critical learnings from the 2019/20 disaster season will influence New South Wales priorities going forward.  This work will be guided by a robust lessons management framework and focus on identifying opportunities to implement continuous improvement in risk reduction initiatives. </w:t>
      </w:r>
    </w:p>
    <w:p w14:paraId="49471CC5" w14:textId="77777777" w:rsidR="0029380F" w:rsidRDefault="0029380F" w:rsidP="00FB0AA0">
      <w:pPr>
        <w:pStyle w:val="Normalnumbered"/>
        <w:numPr>
          <w:ilvl w:val="0"/>
          <w:numId w:val="0"/>
        </w:numPr>
      </w:pPr>
    </w:p>
    <w:p w14:paraId="48277D65" w14:textId="77777777" w:rsidR="002C24E3" w:rsidRPr="00B009BF" w:rsidRDefault="002C24E3" w:rsidP="00B009BF">
      <w:pPr>
        <w:pStyle w:val="Heading2"/>
        <w:rPr>
          <w:b w:val="0"/>
        </w:rPr>
      </w:pPr>
      <w:r w:rsidRPr="00B009BF">
        <w:t>Project information</w:t>
      </w:r>
    </w:p>
    <w:p w14:paraId="2E025EA3" w14:textId="77777777" w:rsidR="00735359" w:rsidRDefault="00735359" w:rsidP="00FB0AA0">
      <w:pPr>
        <w:pStyle w:val="Normalnumbered"/>
        <w:numPr>
          <w:ilvl w:val="0"/>
          <w:numId w:val="0"/>
        </w:numPr>
      </w:pPr>
    </w:p>
    <w:p w14:paraId="2BF56FFA" w14:textId="77777777" w:rsidR="002C24E3" w:rsidRDefault="002C24E3" w:rsidP="00FB0AA0">
      <w:pPr>
        <w:pStyle w:val="Normalnumbered"/>
        <w:numPr>
          <w:ilvl w:val="0"/>
          <w:numId w:val="0"/>
        </w:numPr>
      </w:pPr>
      <w:r>
        <w:t>The project elements planned are:</w:t>
      </w:r>
    </w:p>
    <w:p w14:paraId="01D59EB8" w14:textId="77777777" w:rsidR="002C24E3" w:rsidRDefault="002C24E3" w:rsidP="00FB0AA0">
      <w:pPr>
        <w:pStyle w:val="Normalnumbered"/>
        <w:numPr>
          <w:ilvl w:val="0"/>
          <w:numId w:val="0"/>
        </w:numPr>
      </w:pPr>
    </w:p>
    <w:p w14:paraId="7B36A499" w14:textId="1BED3CDA" w:rsidR="00A16E2D" w:rsidRPr="00B009BF" w:rsidRDefault="002C24E3" w:rsidP="00B009BF">
      <w:pPr>
        <w:autoSpaceDE w:val="0"/>
        <w:autoSpaceDN w:val="0"/>
        <w:adjustRightInd w:val="0"/>
        <w:rPr>
          <w:rFonts w:cs="Corbel"/>
          <w:b/>
          <w:color w:val="000000"/>
          <w:szCs w:val="23"/>
        </w:rPr>
      </w:pPr>
      <w:r w:rsidRPr="00B009BF">
        <w:rPr>
          <w:rFonts w:cs="Corbel"/>
          <w:b/>
          <w:color w:val="000000"/>
          <w:szCs w:val="23"/>
        </w:rPr>
        <w:t>(a)</w:t>
      </w:r>
      <w:r w:rsidR="00B57FA4" w:rsidRPr="00B009BF">
        <w:rPr>
          <w:rFonts w:cs="Corbel"/>
          <w:b/>
          <w:color w:val="000000"/>
          <w:szCs w:val="23"/>
        </w:rPr>
        <w:t xml:space="preserve"> </w:t>
      </w:r>
      <w:r w:rsidR="00557ED2">
        <w:rPr>
          <w:rFonts w:cs="Corbel"/>
          <w:b/>
          <w:color w:val="000000"/>
          <w:szCs w:val="23"/>
        </w:rPr>
        <w:t>Building disaster risk knowledge</w:t>
      </w:r>
      <w:r w:rsidR="0062646E" w:rsidRPr="00B009BF">
        <w:rPr>
          <w:rFonts w:cs="Corbel"/>
          <w:b/>
          <w:color w:val="000000"/>
          <w:szCs w:val="23"/>
        </w:rPr>
        <w:t xml:space="preserve"> (</w:t>
      </w:r>
      <w:r w:rsidR="009E6F51">
        <w:rPr>
          <w:rFonts w:cs="Corbel"/>
          <w:b/>
          <w:color w:val="000000"/>
          <w:szCs w:val="23"/>
        </w:rPr>
        <w:t>$</w:t>
      </w:r>
      <w:r w:rsidR="00166E0A" w:rsidRPr="00B009BF">
        <w:rPr>
          <w:rFonts w:cs="Corbel"/>
          <w:b/>
          <w:color w:val="000000"/>
          <w:szCs w:val="23"/>
        </w:rPr>
        <w:t>4 million)</w:t>
      </w:r>
    </w:p>
    <w:p w14:paraId="7A5584C8" w14:textId="77777777" w:rsidR="004C08DB" w:rsidRDefault="004C08DB" w:rsidP="00DB1C04">
      <w:pPr>
        <w:autoSpaceDE w:val="0"/>
        <w:autoSpaceDN w:val="0"/>
        <w:adjustRightInd w:val="0"/>
        <w:rPr>
          <w:rFonts w:cs="Corbel"/>
          <w:b/>
          <w:color w:val="000000"/>
          <w:szCs w:val="23"/>
        </w:rPr>
      </w:pPr>
    </w:p>
    <w:p w14:paraId="69EFFDB4" w14:textId="77777777" w:rsidR="00557ED2" w:rsidRDefault="004C08DB" w:rsidP="00216539">
      <w:pPr>
        <w:rPr>
          <w:szCs w:val="23"/>
        </w:rPr>
      </w:pPr>
      <w:r>
        <w:rPr>
          <w:szCs w:val="23"/>
        </w:rPr>
        <w:t xml:space="preserve">Invest in </w:t>
      </w:r>
      <w:r w:rsidR="00CC622A">
        <w:rPr>
          <w:szCs w:val="23"/>
        </w:rPr>
        <w:t xml:space="preserve">new </w:t>
      </w:r>
      <w:r>
        <w:rPr>
          <w:szCs w:val="23"/>
        </w:rPr>
        <w:t xml:space="preserve">projects </w:t>
      </w:r>
      <w:r w:rsidR="00CC622A">
        <w:rPr>
          <w:szCs w:val="23"/>
        </w:rPr>
        <w:t xml:space="preserve">and </w:t>
      </w:r>
      <w:r w:rsidR="00557ED2">
        <w:rPr>
          <w:szCs w:val="23"/>
        </w:rPr>
        <w:t>leverage</w:t>
      </w:r>
      <w:r w:rsidR="00CC622A">
        <w:rPr>
          <w:szCs w:val="23"/>
        </w:rPr>
        <w:t xml:space="preserve"> existing partnerships </w:t>
      </w:r>
      <w:r>
        <w:rPr>
          <w:szCs w:val="23"/>
        </w:rPr>
        <w:t xml:space="preserve">which focus on </w:t>
      </w:r>
      <w:r w:rsidR="00CC622A">
        <w:rPr>
          <w:szCs w:val="23"/>
        </w:rPr>
        <w:t xml:space="preserve">building knowledge about </w:t>
      </w:r>
      <w:r w:rsidR="00557ED2">
        <w:rPr>
          <w:szCs w:val="23"/>
        </w:rPr>
        <w:t>natural disaster</w:t>
      </w:r>
      <w:r w:rsidR="00CC622A">
        <w:rPr>
          <w:szCs w:val="23"/>
        </w:rPr>
        <w:t xml:space="preserve"> risk</w:t>
      </w:r>
      <w:r>
        <w:rPr>
          <w:szCs w:val="23"/>
        </w:rPr>
        <w:t xml:space="preserve"> and</w:t>
      </w:r>
      <w:r w:rsidR="009100A9">
        <w:rPr>
          <w:szCs w:val="23"/>
        </w:rPr>
        <w:t xml:space="preserve"> </w:t>
      </w:r>
      <w:r w:rsidR="00CC622A">
        <w:rPr>
          <w:szCs w:val="23"/>
        </w:rPr>
        <w:t>develop strategies to reduce</w:t>
      </w:r>
      <w:r>
        <w:rPr>
          <w:szCs w:val="23"/>
        </w:rPr>
        <w:t xml:space="preserve"> impacts on the community</w:t>
      </w:r>
      <w:r w:rsidR="005605E7">
        <w:rPr>
          <w:szCs w:val="23"/>
        </w:rPr>
        <w:t xml:space="preserve"> and critical infrastructure. </w:t>
      </w:r>
    </w:p>
    <w:p w14:paraId="79249E96" w14:textId="77777777" w:rsidR="00557ED2" w:rsidRDefault="00557ED2" w:rsidP="00216539">
      <w:pPr>
        <w:rPr>
          <w:szCs w:val="23"/>
        </w:rPr>
      </w:pPr>
    </w:p>
    <w:p w14:paraId="3DD3DF86" w14:textId="38A6FC2A" w:rsidR="00CC622A" w:rsidRDefault="00CC622A" w:rsidP="00216539">
      <w:r>
        <w:rPr>
          <w:szCs w:val="23"/>
        </w:rPr>
        <w:t xml:space="preserve">Initiatives may include research, data collection, analysis and modelling, climate change risk assessment and </w:t>
      </w:r>
      <w:r w:rsidR="005605E7">
        <w:rPr>
          <w:szCs w:val="23"/>
        </w:rPr>
        <w:t xml:space="preserve">developing </w:t>
      </w:r>
      <w:r>
        <w:rPr>
          <w:szCs w:val="23"/>
        </w:rPr>
        <w:t>adaptation strategies to actively address disaster risk in future policy, program and investment decisions.</w:t>
      </w:r>
      <w:r w:rsidRPr="00216539">
        <w:t xml:space="preserve"> </w:t>
      </w:r>
    </w:p>
    <w:p w14:paraId="0432DCB1" w14:textId="77777777" w:rsidR="00CC622A" w:rsidRDefault="00CC622A" w:rsidP="00216539">
      <w:pPr>
        <w:rPr>
          <w:szCs w:val="23"/>
        </w:rPr>
      </w:pPr>
    </w:p>
    <w:p w14:paraId="2E4930F1" w14:textId="66A753D1" w:rsidR="00787C1C" w:rsidRDefault="005605E7" w:rsidP="00216539">
      <w:r>
        <w:t>Resilience NSW will continue to partner with</w:t>
      </w:r>
      <w:r w:rsidR="00557ED2">
        <w:t xml:space="preserve"> key agencies, including</w:t>
      </w:r>
      <w:r>
        <w:t xml:space="preserve"> the Department of Planning, Investment and Environment (DPIE) and Infrastructure NSW to collaborate on risk reduction policy and</w:t>
      </w:r>
      <w:r w:rsidR="00557ED2">
        <w:t xml:space="preserve"> to</w:t>
      </w:r>
      <w:r>
        <w:t xml:space="preserve"> integrate risk reduction programs to ensure investments are co-ordinated and targeted.</w:t>
      </w:r>
      <w:r w:rsidR="00FE49F6" w:rsidRPr="00FE49F6">
        <w:t xml:space="preserve"> </w:t>
      </w:r>
    </w:p>
    <w:p w14:paraId="48E761B2" w14:textId="77777777" w:rsidR="009D4179" w:rsidRDefault="009D4179" w:rsidP="00216539"/>
    <w:p w14:paraId="6F9BC2D3" w14:textId="0B26C4B6" w:rsidR="00EA6BA0" w:rsidRPr="0014500D" w:rsidRDefault="00DB1C04" w:rsidP="00DB1C04">
      <w:pPr>
        <w:autoSpaceDE w:val="0"/>
        <w:autoSpaceDN w:val="0"/>
        <w:adjustRightInd w:val="0"/>
        <w:rPr>
          <w:rFonts w:cs="Corbel"/>
          <w:b/>
          <w:color w:val="000000"/>
          <w:szCs w:val="23"/>
        </w:rPr>
      </w:pPr>
      <w:r w:rsidRPr="0014500D">
        <w:rPr>
          <w:rFonts w:cs="Corbel"/>
          <w:b/>
          <w:color w:val="000000"/>
          <w:szCs w:val="23"/>
        </w:rPr>
        <w:t xml:space="preserve">(b) </w:t>
      </w:r>
      <w:r w:rsidR="00D41986">
        <w:rPr>
          <w:rFonts w:cs="Corbel"/>
          <w:b/>
          <w:color w:val="000000"/>
          <w:szCs w:val="23"/>
        </w:rPr>
        <w:t>State risk reduction</w:t>
      </w:r>
      <w:r w:rsidR="00A16E2D">
        <w:rPr>
          <w:rFonts w:cs="Corbel"/>
          <w:b/>
          <w:color w:val="000000"/>
          <w:szCs w:val="23"/>
        </w:rPr>
        <w:t xml:space="preserve"> </w:t>
      </w:r>
      <w:r w:rsidR="00166E0A">
        <w:rPr>
          <w:rFonts w:cs="Corbel"/>
          <w:b/>
          <w:color w:val="000000"/>
          <w:szCs w:val="23"/>
        </w:rPr>
        <w:t>(</w:t>
      </w:r>
      <w:r w:rsidR="009E6F51">
        <w:rPr>
          <w:rFonts w:cs="Corbel"/>
          <w:b/>
          <w:color w:val="000000"/>
          <w:szCs w:val="23"/>
        </w:rPr>
        <w:t>$</w:t>
      </w:r>
      <w:r w:rsidR="00166E0A">
        <w:rPr>
          <w:rFonts w:cs="Corbel"/>
          <w:b/>
          <w:color w:val="000000"/>
          <w:szCs w:val="23"/>
        </w:rPr>
        <w:t>17.788 million)</w:t>
      </w:r>
    </w:p>
    <w:p w14:paraId="458E1EB3" w14:textId="08971146" w:rsidR="00382F8A" w:rsidRPr="00744AC4" w:rsidRDefault="006C23E5" w:rsidP="00382F8A">
      <w:pPr>
        <w:spacing w:before="240"/>
        <w:rPr>
          <w:szCs w:val="23"/>
        </w:rPr>
      </w:pPr>
      <w:r>
        <w:rPr>
          <w:szCs w:val="23"/>
        </w:rPr>
        <w:t>Invest in</w:t>
      </w:r>
      <w:r w:rsidR="00382F8A" w:rsidRPr="004B1C1C">
        <w:rPr>
          <w:szCs w:val="23"/>
        </w:rPr>
        <w:t xml:space="preserve"> projects of state significance that </w:t>
      </w:r>
      <w:r w:rsidR="004A4638">
        <w:rPr>
          <w:szCs w:val="23"/>
        </w:rPr>
        <w:t>address the causes of risk</w:t>
      </w:r>
      <w:r w:rsidR="00382F8A" w:rsidRPr="004B1C1C">
        <w:rPr>
          <w:szCs w:val="23"/>
        </w:rPr>
        <w:t xml:space="preserve"> and </w:t>
      </w:r>
      <w:r w:rsidR="00B37130">
        <w:rPr>
          <w:szCs w:val="23"/>
        </w:rPr>
        <w:t xml:space="preserve">implement </w:t>
      </w:r>
      <w:r w:rsidR="00382F8A" w:rsidRPr="004B1C1C">
        <w:rPr>
          <w:szCs w:val="23"/>
        </w:rPr>
        <w:t>disaster risk reduction</w:t>
      </w:r>
      <w:r w:rsidR="00B37130">
        <w:rPr>
          <w:szCs w:val="23"/>
        </w:rPr>
        <w:t xml:space="preserve"> initiatives</w:t>
      </w:r>
      <w:r w:rsidR="004A4638">
        <w:rPr>
          <w:szCs w:val="23"/>
        </w:rPr>
        <w:t xml:space="preserve"> on a state wide basis</w:t>
      </w:r>
      <w:r w:rsidR="00382F8A" w:rsidRPr="004B1C1C">
        <w:rPr>
          <w:szCs w:val="23"/>
        </w:rPr>
        <w:t>.</w:t>
      </w:r>
      <w:r w:rsidR="008571C7">
        <w:rPr>
          <w:szCs w:val="23"/>
        </w:rPr>
        <w:t xml:space="preserve">  This will include the identification of the highest priority disaster risks and identify solutions to mitigate risk.</w:t>
      </w:r>
    </w:p>
    <w:p w14:paraId="783C9137" w14:textId="27BD83C3" w:rsidR="00382F8A" w:rsidRPr="004B1C1C" w:rsidRDefault="006C23E5" w:rsidP="00382F8A">
      <w:pPr>
        <w:pStyle w:val="Normalnumbered"/>
        <w:numPr>
          <w:ilvl w:val="0"/>
          <w:numId w:val="0"/>
        </w:numPr>
        <w:spacing w:before="240"/>
        <w:jc w:val="both"/>
        <w:rPr>
          <w:szCs w:val="23"/>
        </w:rPr>
      </w:pPr>
      <w:r>
        <w:rPr>
          <w:szCs w:val="23"/>
        </w:rPr>
        <w:t>Directly t</w:t>
      </w:r>
      <w:r w:rsidR="00382F8A">
        <w:rPr>
          <w:szCs w:val="23"/>
        </w:rPr>
        <w:t xml:space="preserve">arget risk reduction effort and deliver </w:t>
      </w:r>
      <w:r w:rsidR="00382F8A" w:rsidRPr="004B1C1C">
        <w:rPr>
          <w:szCs w:val="23"/>
        </w:rPr>
        <w:t xml:space="preserve">mitigation projects to reduce the risk of natural hazards identified in local risk assessments eg bush fire and flood mitigation projects. Agencies </w:t>
      </w:r>
      <w:r w:rsidR="00382F8A" w:rsidRPr="004B1C1C">
        <w:rPr>
          <w:szCs w:val="23"/>
        </w:rPr>
        <w:lastRenderedPageBreak/>
        <w:t xml:space="preserve">will identify </w:t>
      </w:r>
      <w:r w:rsidR="009E6F51">
        <w:rPr>
          <w:szCs w:val="23"/>
        </w:rPr>
        <w:t xml:space="preserve">New South Wales </w:t>
      </w:r>
      <w:r w:rsidR="00382F8A" w:rsidRPr="004B1C1C">
        <w:rPr>
          <w:szCs w:val="23"/>
        </w:rPr>
        <w:t>pri</w:t>
      </w:r>
      <w:r w:rsidR="00557ED2">
        <w:rPr>
          <w:szCs w:val="23"/>
        </w:rPr>
        <w:t>orities in the context of comple</w:t>
      </w:r>
      <w:r w:rsidR="00382F8A" w:rsidRPr="004B1C1C">
        <w:rPr>
          <w:szCs w:val="23"/>
        </w:rPr>
        <w:t>mentary mitigation programs so activities and effort are co-ordinated, integrated and cost- effective.</w:t>
      </w:r>
    </w:p>
    <w:p w14:paraId="469BE32A" w14:textId="77777777" w:rsidR="002675BB" w:rsidRDefault="004B1C1C" w:rsidP="00DB1C04">
      <w:pPr>
        <w:spacing w:before="240"/>
      </w:pPr>
      <w:r>
        <w:t xml:space="preserve">Implement a </w:t>
      </w:r>
      <w:r w:rsidR="00D439F3" w:rsidRPr="009E7BA1">
        <w:t>disaster risk reduction program</w:t>
      </w:r>
      <w:r>
        <w:t xml:space="preserve"> to</w:t>
      </w:r>
      <w:r w:rsidR="00D439F3" w:rsidRPr="009E7BA1">
        <w:t xml:space="preserve"> build systems, capacity and culture to continually identify, assess, analyse and manage risks in a systematic and integrated manner. </w:t>
      </w:r>
      <w:r w:rsidR="002675BB">
        <w:t>Priority initiatives will continue to be identified as the learnings from the 2019/20 disaster season are identified and recommendations from the various Inquiries may also influence final investments.</w:t>
      </w:r>
    </w:p>
    <w:p w14:paraId="6566A995" w14:textId="77777777" w:rsidR="00735359" w:rsidRDefault="00735359" w:rsidP="00B009BF"/>
    <w:p w14:paraId="2E84A57A" w14:textId="67558FC6" w:rsidR="00D41986" w:rsidRPr="00B009BF" w:rsidRDefault="00735359" w:rsidP="00B009BF">
      <w:pPr>
        <w:autoSpaceDE w:val="0"/>
        <w:autoSpaceDN w:val="0"/>
        <w:adjustRightInd w:val="0"/>
        <w:rPr>
          <w:rFonts w:cs="Corbel"/>
          <w:b/>
          <w:color w:val="000000"/>
          <w:szCs w:val="23"/>
        </w:rPr>
      </w:pPr>
      <w:r>
        <w:rPr>
          <w:rFonts w:cs="Corbel"/>
          <w:b/>
          <w:color w:val="000000"/>
          <w:szCs w:val="23"/>
        </w:rPr>
        <w:t xml:space="preserve">(c) </w:t>
      </w:r>
      <w:r w:rsidR="00A16E2D" w:rsidRPr="00B009BF">
        <w:rPr>
          <w:rFonts w:cs="Corbel"/>
          <w:b/>
          <w:color w:val="000000"/>
          <w:szCs w:val="23"/>
        </w:rPr>
        <w:t>Local</w:t>
      </w:r>
      <w:r w:rsidR="00D41986" w:rsidRPr="00B009BF">
        <w:rPr>
          <w:rFonts w:cs="Corbel"/>
          <w:b/>
          <w:color w:val="000000"/>
          <w:szCs w:val="23"/>
        </w:rPr>
        <w:t xml:space="preserve"> and regional risk reduction</w:t>
      </w:r>
      <w:r w:rsidR="00166E0A" w:rsidRPr="00B009BF">
        <w:rPr>
          <w:rFonts w:cs="Corbel"/>
          <w:b/>
          <w:color w:val="000000"/>
          <w:szCs w:val="23"/>
        </w:rPr>
        <w:t xml:space="preserve"> (</w:t>
      </w:r>
      <w:r w:rsidR="009E6F51">
        <w:rPr>
          <w:rFonts w:cs="Corbel"/>
          <w:b/>
          <w:color w:val="000000"/>
          <w:szCs w:val="23"/>
        </w:rPr>
        <w:t>$</w:t>
      </w:r>
      <w:r w:rsidR="00166E0A" w:rsidRPr="00B009BF">
        <w:rPr>
          <w:rFonts w:cs="Corbel"/>
          <w:b/>
          <w:color w:val="000000"/>
          <w:szCs w:val="23"/>
        </w:rPr>
        <w:t>30 million)</w:t>
      </w:r>
    </w:p>
    <w:p w14:paraId="31CD05D3" w14:textId="6AFD011B" w:rsidR="00744AC4" w:rsidRDefault="00D41986" w:rsidP="00A16E2D">
      <w:pPr>
        <w:spacing w:before="240"/>
        <w:rPr>
          <w:rFonts w:cs="Corbel"/>
          <w:color w:val="000000"/>
          <w:szCs w:val="23"/>
        </w:rPr>
      </w:pPr>
      <w:r w:rsidRPr="00744AC4">
        <w:rPr>
          <w:rFonts w:asciiTheme="minorHAnsi" w:hAnsiTheme="minorHAnsi"/>
          <w:sz w:val="24"/>
        </w:rPr>
        <w:t>Implement projects at local and regional levels</w:t>
      </w:r>
      <w:r w:rsidR="00A16E2D" w:rsidRPr="00744AC4">
        <w:rPr>
          <w:rFonts w:asciiTheme="minorHAnsi" w:hAnsiTheme="minorHAnsi"/>
          <w:sz w:val="24"/>
        </w:rPr>
        <w:t xml:space="preserve"> to </w:t>
      </w:r>
      <w:r w:rsidR="004A4638">
        <w:rPr>
          <w:rFonts w:asciiTheme="minorHAnsi" w:hAnsiTheme="minorHAnsi"/>
          <w:sz w:val="24"/>
        </w:rPr>
        <w:t>reduce risk and</w:t>
      </w:r>
      <w:r w:rsidR="00AD4F36">
        <w:rPr>
          <w:rFonts w:asciiTheme="minorHAnsi" w:hAnsiTheme="minorHAnsi"/>
          <w:sz w:val="24"/>
        </w:rPr>
        <w:t xml:space="preserve"> promote agency and sector collaboration</w:t>
      </w:r>
      <w:r w:rsidR="00382F8A" w:rsidRPr="00744AC4">
        <w:rPr>
          <w:rFonts w:cs="Corbel"/>
          <w:color w:val="000000"/>
          <w:szCs w:val="23"/>
        </w:rPr>
        <w:t>.  This will include</w:t>
      </w:r>
      <w:r w:rsidR="006C23E5">
        <w:rPr>
          <w:rFonts w:cs="Corbel"/>
          <w:color w:val="000000"/>
          <w:szCs w:val="23"/>
        </w:rPr>
        <w:t xml:space="preserve"> </w:t>
      </w:r>
      <w:r w:rsidR="00382F8A" w:rsidRPr="00744AC4">
        <w:rPr>
          <w:rFonts w:cs="Corbel"/>
          <w:color w:val="000000"/>
          <w:szCs w:val="23"/>
        </w:rPr>
        <w:t>risk reduction programs</w:t>
      </w:r>
      <w:r w:rsidR="00744AC4" w:rsidRPr="00744AC4">
        <w:rPr>
          <w:rFonts w:cs="Corbel"/>
          <w:color w:val="000000"/>
          <w:szCs w:val="23"/>
        </w:rPr>
        <w:t xml:space="preserve"> which support and enable locally-led and owned place-based risk reduction efforts.</w:t>
      </w:r>
      <w:r w:rsidR="00382F8A" w:rsidRPr="00744AC4">
        <w:rPr>
          <w:rFonts w:cs="Corbel"/>
          <w:color w:val="000000"/>
          <w:szCs w:val="23"/>
        </w:rPr>
        <w:t xml:space="preserve"> </w:t>
      </w:r>
      <w:r w:rsidR="00744AC4" w:rsidRPr="00744AC4">
        <w:rPr>
          <w:rFonts w:cs="Corbel"/>
          <w:color w:val="000000"/>
          <w:szCs w:val="23"/>
        </w:rPr>
        <w:t xml:space="preserve"> </w:t>
      </w:r>
      <w:r w:rsidR="00744AC4">
        <w:rPr>
          <w:rFonts w:cs="Corbel"/>
          <w:color w:val="000000"/>
          <w:szCs w:val="23"/>
        </w:rPr>
        <w:t>Projects will seek to mitigate risk identified in risk assessments at the regional and local levels.</w:t>
      </w:r>
      <w:r w:rsidR="00744AC4" w:rsidRPr="00744AC4">
        <w:rPr>
          <w:rFonts w:cs="Corbel"/>
          <w:color w:val="000000"/>
          <w:szCs w:val="23"/>
        </w:rPr>
        <w:t xml:space="preserve"> </w:t>
      </w:r>
      <w:r w:rsidR="004A4638">
        <w:rPr>
          <w:rFonts w:cs="Corbel"/>
          <w:color w:val="000000"/>
          <w:szCs w:val="23"/>
        </w:rPr>
        <w:t>T</w:t>
      </w:r>
      <w:r w:rsidR="00744AC4">
        <w:rPr>
          <w:rFonts w:cs="Corbel"/>
          <w:color w:val="000000"/>
          <w:szCs w:val="23"/>
        </w:rPr>
        <w:t>h</w:t>
      </w:r>
      <w:r w:rsidR="009A6BEF">
        <w:rPr>
          <w:rFonts w:cs="Corbel"/>
          <w:color w:val="000000"/>
          <w:szCs w:val="23"/>
        </w:rPr>
        <w:t xml:space="preserve">ese initiatives </w:t>
      </w:r>
      <w:r w:rsidR="00744AC4">
        <w:rPr>
          <w:rFonts w:cs="Corbel"/>
          <w:color w:val="000000"/>
          <w:szCs w:val="23"/>
        </w:rPr>
        <w:t xml:space="preserve">will </w:t>
      </w:r>
      <w:r w:rsidR="00744AC4" w:rsidRPr="00744AC4">
        <w:rPr>
          <w:rFonts w:cs="Corbel"/>
          <w:color w:val="000000"/>
          <w:szCs w:val="23"/>
        </w:rPr>
        <w:t xml:space="preserve">build capacity and </w:t>
      </w:r>
      <w:r w:rsidR="004A4638">
        <w:rPr>
          <w:rFonts w:cs="Corbel"/>
          <w:color w:val="000000"/>
          <w:szCs w:val="23"/>
        </w:rPr>
        <w:t>enable</w:t>
      </w:r>
      <w:r w:rsidR="00744AC4" w:rsidRPr="00744AC4">
        <w:rPr>
          <w:rFonts w:cs="Corbel"/>
          <w:color w:val="000000"/>
          <w:szCs w:val="23"/>
        </w:rPr>
        <w:t xml:space="preserve"> </w:t>
      </w:r>
      <w:r w:rsidR="004A4638">
        <w:rPr>
          <w:rFonts w:cs="Corbel"/>
          <w:color w:val="000000"/>
          <w:szCs w:val="23"/>
        </w:rPr>
        <w:t xml:space="preserve">evidenced based </w:t>
      </w:r>
      <w:r w:rsidR="00744AC4" w:rsidRPr="00744AC4">
        <w:rPr>
          <w:rFonts w:cs="Corbel"/>
          <w:color w:val="000000"/>
          <w:szCs w:val="23"/>
        </w:rPr>
        <w:t>decision making and governance of projects at the local or regional level</w:t>
      </w:r>
      <w:r w:rsidR="006D5224">
        <w:rPr>
          <w:rFonts w:cs="Corbel"/>
          <w:color w:val="000000"/>
          <w:szCs w:val="23"/>
        </w:rPr>
        <w:t>, with local government, both councils and joint organisations, being key partners in the delivery of these initiatives</w:t>
      </w:r>
      <w:r w:rsidR="00744AC4" w:rsidRPr="00744AC4">
        <w:rPr>
          <w:rFonts w:cs="Corbel"/>
          <w:color w:val="000000"/>
          <w:szCs w:val="23"/>
        </w:rPr>
        <w:t xml:space="preserve">. </w:t>
      </w:r>
    </w:p>
    <w:p w14:paraId="21653497" w14:textId="2B763AB4" w:rsidR="004C08DB" w:rsidRPr="00DB1C04" w:rsidRDefault="006D5224" w:rsidP="004C08DB">
      <w:pPr>
        <w:spacing w:before="240"/>
      </w:pPr>
      <w:r>
        <w:rPr>
          <w:rFonts w:asciiTheme="minorHAnsi" w:hAnsiTheme="minorHAnsi"/>
          <w:sz w:val="24"/>
        </w:rPr>
        <w:t xml:space="preserve">Focus will be on </w:t>
      </w:r>
      <w:r w:rsidR="004C08DB" w:rsidRPr="006C23E5">
        <w:rPr>
          <w:rFonts w:asciiTheme="minorHAnsi" w:hAnsiTheme="minorHAnsi"/>
          <w:sz w:val="24"/>
        </w:rPr>
        <w:t>community risk reduction initiatives and fund</w:t>
      </w:r>
      <w:r>
        <w:rPr>
          <w:rFonts w:asciiTheme="minorHAnsi" w:hAnsiTheme="minorHAnsi"/>
          <w:sz w:val="24"/>
        </w:rPr>
        <w:t>ing</w:t>
      </w:r>
      <w:r w:rsidR="004C08DB" w:rsidRPr="006C23E5">
        <w:rPr>
          <w:rFonts w:asciiTheme="minorHAnsi" w:hAnsiTheme="minorHAnsi"/>
          <w:sz w:val="24"/>
        </w:rPr>
        <w:t xml:space="preserve"> priority risk reduction measures with the objective of improving public awareness of and engagement on disaster risks and impacts.</w:t>
      </w:r>
      <w:r w:rsidR="004C08DB">
        <w:t xml:space="preserve">  This includes community initiatives to </w:t>
      </w:r>
      <w:r w:rsidR="004C08DB" w:rsidRPr="0085528F">
        <w:t xml:space="preserve">identify community </w:t>
      </w:r>
      <w:r w:rsidR="004C08DB">
        <w:t xml:space="preserve">risk, plan for the </w:t>
      </w:r>
      <w:r w:rsidR="004C08DB" w:rsidRPr="0085528F">
        <w:t>needs</w:t>
      </w:r>
      <w:r w:rsidR="004C08DB">
        <w:t xml:space="preserve"> of vulnerable groups</w:t>
      </w:r>
      <w:r w:rsidR="004C08DB" w:rsidRPr="0085528F">
        <w:t xml:space="preserve">, </w:t>
      </w:r>
      <w:r w:rsidR="004C08DB">
        <w:t>promote government, non-government and private</w:t>
      </w:r>
      <w:r w:rsidR="004C08DB" w:rsidRPr="0085528F">
        <w:t xml:space="preserve"> pa</w:t>
      </w:r>
      <w:r w:rsidR="004C08DB">
        <w:t>rtnerships</w:t>
      </w:r>
      <w:r w:rsidR="004C08DB" w:rsidRPr="0085528F">
        <w:t>, and create innovative and effective solutions</w:t>
      </w:r>
      <w:r w:rsidR="00B37130">
        <w:t>.</w:t>
      </w:r>
    </w:p>
    <w:p w14:paraId="71E1DF4E" w14:textId="587995EA" w:rsidR="00A16E2D" w:rsidRPr="00A16E2D" w:rsidRDefault="004C08DB" w:rsidP="00A16E2D">
      <w:pPr>
        <w:pStyle w:val="ListParagraph"/>
        <w:numPr>
          <w:ilvl w:val="0"/>
          <w:numId w:val="16"/>
        </w:numPr>
        <w:spacing w:before="240"/>
        <w:rPr>
          <w:b/>
        </w:rPr>
      </w:pPr>
      <w:r>
        <w:rPr>
          <w:b/>
        </w:rPr>
        <w:t>Program Management, Monitoring and Evaluation</w:t>
      </w:r>
      <w:r w:rsidR="00166E0A">
        <w:rPr>
          <w:b/>
        </w:rPr>
        <w:t xml:space="preserve"> (</w:t>
      </w:r>
      <w:r w:rsidR="009E6F51">
        <w:rPr>
          <w:b/>
        </w:rPr>
        <w:t>$</w:t>
      </w:r>
      <w:r w:rsidR="00166E0A">
        <w:rPr>
          <w:b/>
        </w:rPr>
        <w:t>2.5 million)</w:t>
      </w:r>
    </w:p>
    <w:p w14:paraId="0140B27E" w14:textId="77777777" w:rsidR="00D439F3" w:rsidRDefault="004C08DB" w:rsidP="00A16E2D">
      <w:pPr>
        <w:spacing w:before="240"/>
      </w:pPr>
      <w:r>
        <w:t>Ma</w:t>
      </w:r>
      <w:r w:rsidR="00D439F3" w:rsidRPr="0085528F">
        <w:t>nage all aspects of the Implementation Plan including projects funded under the National Partnership Agreement.</w:t>
      </w:r>
      <w:r w:rsidR="00744AC4">
        <w:t xml:space="preserve">  This </w:t>
      </w:r>
      <w:r>
        <w:t xml:space="preserve">includes monitoring and evaluation of the program and </w:t>
      </w:r>
      <w:r w:rsidR="00744AC4">
        <w:t>will facilitate consistency in reporting o</w:t>
      </w:r>
      <w:r w:rsidR="0017357F">
        <w:t>n</w:t>
      </w:r>
      <w:r w:rsidR="00744AC4">
        <w:t xml:space="preserve"> disaster risk reduction efforts and outcomes</w:t>
      </w:r>
      <w:r w:rsidR="0017357F">
        <w:t>.</w:t>
      </w:r>
    </w:p>
    <w:p w14:paraId="2A0C48B1" w14:textId="77777777" w:rsidR="00EA6BA0" w:rsidRDefault="00EA6BA0" w:rsidP="00D439F3">
      <w:pPr>
        <w:pStyle w:val="ListParagraph"/>
        <w:autoSpaceDE w:val="0"/>
        <w:autoSpaceDN w:val="0"/>
        <w:adjustRightInd w:val="0"/>
        <w:ind w:left="1287"/>
        <w:rPr>
          <w:rFonts w:cs="Corbel"/>
          <w:color w:val="000000"/>
          <w:szCs w:val="23"/>
        </w:rPr>
      </w:pPr>
    </w:p>
    <w:p w14:paraId="344D7BA1" w14:textId="77777777" w:rsidR="002C24E3" w:rsidRDefault="002C24E3" w:rsidP="002C24E3">
      <w:pPr>
        <w:autoSpaceDE w:val="0"/>
        <w:autoSpaceDN w:val="0"/>
        <w:adjustRightInd w:val="0"/>
        <w:rPr>
          <w:rFonts w:cs="Corbel"/>
          <w:color w:val="000000"/>
          <w:szCs w:val="23"/>
        </w:rPr>
      </w:pPr>
    </w:p>
    <w:p w14:paraId="1B8C9FDA" w14:textId="77777777" w:rsidR="002C24E3" w:rsidRDefault="002C24E3" w:rsidP="002C24E3">
      <w:pPr>
        <w:autoSpaceDE w:val="0"/>
        <w:autoSpaceDN w:val="0"/>
        <w:adjustRightInd w:val="0"/>
        <w:rPr>
          <w:rFonts w:cs="Corbel"/>
          <w:color w:val="000000"/>
          <w:szCs w:val="23"/>
        </w:rPr>
      </w:pPr>
    </w:p>
    <w:p w14:paraId="7CDD2D8B" w14:textId="77777777" w:rsidR="002C24E3" w:rsidRDefault="002C24E3" w:rsidP="002C24E3">
      <w:pPr>
        <w:autoSpaceDE w:val="0"/>
        <w:autoSpaceDN w:val="0"/>
        <w:adjustRightInd w:val="0"/>
        <w:rPr>
          <w:rFonts w:cs="Corbel"/>
          <w:color w:val="000000"/>
          <w:szCs w:val="23"/>
        </w:rPr>
      </w:pPr>
    </w:p>
    <w:p w14:paraId="4C2930A8" w14:textId="77777777" w:rsidR="002C24E3" w:rsidRDefault="002C24E3" w:rsidP="002C24E3">
      <w:pPr>
        <w:autoSpaceDE w:val="0"/>
        <w:autoSpaceDN w:val="0"/>
        <w:adjustRightInd w:val="0"/>
        <w:rPr>
          <w:rFonts w:cs="Corbel"/>
          <w:color w:val="000000"/>
          <w:szCs w:val="23"/>
        </w:rPr>
      </w:pPr>
    </w:p>
    <w:p w14:paraId="633C88B4" w14:textId="77777777" w:rsidR="002C24E3" w:rsidRDefault="002C24E3" w:rsidP="002C24E3">
      <w:pPr>
        <w:autoSpaceDE w:val="0"/>
        <w:autoSpaceDN w:val="0"/>
        <w:adjustRightInd w:val="0"/>
        <w:rPr>
          <w:rFonts w:cs="Corbel"/>
          <w:color w:val="000000"/>
          <w:szCs w:val="23"/>
        </w:rPr>
      </w:pPr>
    </w:p>
    <w:p w14:paraId="24553BE8" w14:textId="77777777" w:rsidR="002C24E3" w:rsidRDefault="002C24E3" w:rsidP="002C24E3">
      <w:pPr>
        <w:autoSpaceDE w:val="0"/>
        <w:autoSpaceDN w:val="0"/>
        <w:adjustRightInd w:val="0"/>
        <w:rPr>
          <w:rFonts w:cs="Corbel"/>
          <w:color w:val="000000"/>
          <w:szCs w:val="23"/>
        </w:rPr>
      </w:pPr>
    </w:p>
    <w:p w14:paraId="74E7F6F0" w14:textId="77777777" w:rsidR="002C24E3" w:rsidRDefault="002C24E3" w:rsidP="002C24E3">
      <w:pPr>
        <w:autoSpaceDE w:val="0"/>
        <w:autoSpaceDN w:val="0"/>
        <w:adjustRightInd w:val="0"/>
        <w:rPr>
          <w:rFonts w:cs="Corbel"/>
          <w:color w:val="000000"/>
          <w:szCs w:val="23"/>
        </w:rPr>
      </w:pPr>
    </w:p>
    <w:p w14:paraId="01F95638" w14:textId="77777777" w:rsidR="002C24E3" w:rsidRDefault="002C24E3" w:rsidP="002C24E3">
      <w:pPr>
        <w:autoSpaceDE w:val="0"/>
        <w:autoSpaceDN w:val="0"/>
        <w:adjustRightInd w:val="0"/>
        <w:rPr>
          <w:rFonts w:cs="Corbel"/>
          <w:color w:val="000000"/>
          <w:szCs w:val="23"/>
        </w:rPr>
      </w:pPr>
    </w:p>
    <w:p w14:paraId="556D4DBA" w14:textId="77777777" w:rsidR="002C24E3" w:rsidRDefault="002C24E3" w:rsidP="002C24E3">
      <w:pPr>
        <w:autoSpaceDE w:val="0"/>
        <w:autoSpaceDN w:val="0"/>
        <w:adjustRightInd w:val="0"/>
        <w:rPr>
          <w:rFonts w:cs="Corbel"/>
          <w:color w:val="000000"/>
          <w:szCs w:val="23"/>
        </w:rPr>
      </w:pPr>
    </w:p>
    <w:p w14:paraId="5D4BB8EE" w14:textId="77777777" w:rsidR="002C24E3" w:rsidRDefault="002C24E3" w:rsidP="002C24E3">
      <w:pPr>
        <w:autoSpaceDE w:val="0"/>
        <w:autoSpaceDN w:val="0"/>
        <w:adjustRightInd w:val="0"/>
        <w:rPr>
          <w:rFonts w:cs="Corbel"/>
          <w:color w:val="000000"/>
          <w:szCs w:val="23"/>
        </w:rPr>
      </w:pPr>
    </w:p>
    <w:p w14:paraId="3D026392" w14:textId="77777777" w:rsidR="002C24E3" w:rsidRDefault="002C24E3" w:rsidP="002C24E3">
      <w:pPr>
        <w:autoSpaceDE w:val="0"/>
        <w:autoSpaceDN w:val="0"/>
        <w:adjustRightInd w:val="0"/>
        <w:rPr>
          <w:rFonts w:cs="Corbel"/>
          <w:color w:val="000000"/>
          <w:szCs w:val="23"/>
        </w:rPr>
      </w:pPr>
    </w:p>
    <w:p w14:paraId="1FB29B1A" w14:textId="77777777" w:rsidR="002C24E3" w:rsidRDefault="002C24E3" w:rsidP="002C24E3">
      <w:pPr>
        <w:autoSpaceDE w:val="0"/>
        <w:autoSpaceDN w:val="0"/>
        <w:adjustRightInd w:val="0"/>
        <w:rPr>
          <w:rFonts w:cs="Corbel"/>
          <w:color w:val="000000"/>
          <w:szCs w:val="23"/>
        </w:rPr>
      </w:pPr>
    </w:p>
    <w:p w14:paraId="21F4FDBA" w14:textId="77777777" w:rsidR="002C24E3" w:rsidRDefault="002C24E3" w:rsidP="002C24E3">
      <w:pPr>
        <w:autoSpaceDE w:val="0"/>
        <w:autoSpaceDN w:val="0"/>
        <w:adjustRightInd w:val="0"/>
        <w:rPr>
          <w:rFonts w:cs="Corbel"/>
          <w:color w:val="000000"/>
          <w:szCs w:val="23"/>
        </w:rPr>
      </w:pPr>
    </w:p>
    <w:p w14:paraId="4EB694C6" w14:textId="77777777" w:rsidR="002C24E3" w:rsidRDefault="002C24E3" w:rsidP="002C24E3">
      <w:pPr>
        <w:autoSpaceDE w:val="0"/>
        <w:autoSpaceDN w:val="0"/>
        <w:adjustRightInd w:val="0"/>
        <w:rPr>
          <w:rFonts w:cs="Corbel"/>
          <w:color w:val="000000"/>
          <w:szCs w:val="23"/>
        </w:rPr>
      </w:pPr>
    </w:p>
    <w:p w14:paraId="4D763F5A" w14:textId="77777777" w:rsidR="002C24E3" w:rsidRDefault="002C24E3" w:rsidP="002C24E3">
      <w:pPr>
        <w:autoSpaceDE w:val="0"/>
        <w:autoSpaceDN w:val="0"/>
        <w:adjustRightInd w:val="0"/>
        <w:rPr>
          <w:rFonts w:cs="Corbel"/>
          <w:color w:val="000000"/>
          <w:szCs w:val="23"/>
        </w:rPr>
      </w:pPr>
    </w:p>
    <w:p w14:paraId="4C694E37" w14:textId="485F3195" w:rsidR="002C24E3" w:rsidRDefault="002C24E3" w:rsidP="002C24E3">
      <w:pPr>
        <w:autoSpaceDE w:val="0"/>
        <w:autoSpaceDN w:val="0"/>
        <w:adjustRightInd w:val="0"/>
        <w:rPr>
          <w:rFonts w:cs="Corbel"/>
          <w:color w:val="000000"/>
          <w:szCs w:val="23"/>
        </w:rPr>
      </w:pPr>
    </w:p>
    <w:p w14:paraId="06FE01DD" w14:textId="599A41DE" w:rsidR="008A24E5" w:rsidRDefault="008A24E5" w:rsidP="002C24E3">
      <w:pPr>
        <w:autoSpaceDE w:val="0"/>
        <w:autoSpaceDN w:val="0"/>
        <w:adjustRightInd w:val="0"/>
        <w:rPr>
          <w:rFonts w:cs="Corbel"/>
          <w:color w:val="000000"/>
          <w:szCs w:val="23"/>
        </w:rPr>
      </w:pPr>
    </w:p>
    <w:p w14:paraId="0DDDBF89" w14:textId="0F09B51A" w:rsidR="008A24E5" w:rsidRDefault="008A24E5" w:rsidP="002C24E3">
      <w:pPr>
        <w:autoSpaceDE w:val="0"/>
        <w:autoSpaceDN w:val="0"/>
        <w:adjustRightInd w:val="0"/>
        <w:rPr>
          <w:rFonts w:cs="Corbel"/>
          <w:color w:val="000000"/>
          <w:szCs w:val="23"/>
        </w:rPr>
      </w:pPr>
    </w:p>
    <w:p w14:paraId="0275611E" w14:textId="6C1B77FD" w:rsidR="008A24E5" w:rsidRDefault="008A24E5" w:rsidP="002C24E3">
      <w:pPr>
        <w:autoSpaceDE w:val="0"/>
        <w:autoSpaceDN w:val="0"/>
        <w:adjustRightInd w:val="0"/>
        <w:rPr>
          <w:rFonts w:cs="Corbel"/>
          <w:color w:val="000000"/>
          <w:szCs w:val="23"/>
        </w:rPr>
      </w:pPr>
    </w:p>
    <w:p w14:paraId="74D718AC" w14:textId="7ADA87AD" w:rsidR="008A24E5" w:rsidRDefault="008A24E5" w:rsidP="002C24E3">
      <w:pPr>
        <w:autoSpaceDE w:val="0"/>
        <w:autoSpaceDN w:val="0"/>
        <w:adjustRightInd w:val="0"/>
        <w:rPr>
          <w:rFonts w:cs="Corbel"/>
          <w:color w:val="000000"/>
          <w:szCs w:val="23"/>
        </w:rPr>
      </w:pPr>
    </w:p>
    <w:p w14:paraId="2C93E82B" w14:textId="77777777" w:rsidR="008A24E5" w:rsidRDefault="008A24E5" w:rsidP="002C24E3">
      <w:pPr>
        <w:autoSpaceDE w:val="0"/>
        <w:autoSpaceDN w:val="0"/>
        <w:adjustRightInd w:val="0"/>
        <w:rPr>
          <w:rFonts w:cs="Corbel"/>
          <w:color w:val="000000"/>
          <w:szCs w:val="23"/>
        </w:rPr>
      </w:pPr>
    </w:p>
    <w:p w14:paraId="7EEA6ABE" w14:textId="77777777" w:rsidR="002C24E3" w:rsidRDefault="002C24E3" w:rsidP="002C24E3">
      <w:pPr>
        <w:autoSpaceDE w:val="0"/>
        <w:autoSpaceDN w:val="0"/>
        <w:adjustRightInd w:val="0"/>
        <w:rPr>
          <w:rFonts w:cs="Corbel"/>
          <w:color w:val="000000"/>
          <w:szCs w:val="23"/>
        </w:rPr>
      </w:pPr>
    </w:p>
    <w:p w14:paraId="020E0844" w14:textId="77777777" w:rsidR="002C24E3" w:rsidRDefault="002C24E3" w:rsidP="002C24E3">
      <w:pPr>
        <w:autoSpaceDE w:val="0"/>
        <w:autoSpaceDN w:val="0"/>
        <w:adjustRightInd w:val="0"/>
        <w:rPr>
          <w:rFonts w:cs="Corbel"/>
          <w:color w:val="000000"/>
          <w:szCs w:val="23"/>
        </w:rPr>
      </w:pPr>
    </w:p>
    <w:p w14:paraId="6F5FDB50" w14:textId="77777777" w:rsidR="002C24E3" w:rsidRPr="002C24E3" w:rsidRDefault="002C24E3" w:rsidP="002C24E3">
      <w:pPr>
        <w:autoSpaceDE w:val="0"/>
        <w:autoSpaceDN w:val="0"/>
        <w:adjustRightInd w:val="0"/>
        <w:rPr>
          <w:rFonts w:cs="Corbel"/>
          <w:color w:val="000000"/>
          <w:szCs w:val="23"/>
        </w:rPr>
      </w:pPr>
    </w:p>
    <w:p w14:paraId="4B6D7843" w14:textId="1A73124D" w:rsidR="0036688B" w:rsidRPr="00A17D70" w:rsidRDefault="0036688B" w:rsidP="00A17D70">
      <w:pPr>
        <w:pStyle w:val="Heading3"/>
      </w:pPr>
      <w:r w:rsidRPr="00A17D70">
        <w:t xml:space="preserve">Table 1: Project </w:t>
      </w:r>
      <w:r w:rsidR="00432B5D" w:rsidRPr="00A17D70">
        <w:t>elements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1797"/>
        <w:gridCol w:w="2492"/>
        <w:gridCol w:w="1106"/>
        <w:gridCol w:w="1106"/>
        <w:gridCol w:w="1797"/>
      </w:tblGrid>
      <w:tr w:rsidR="00020449" w:rsidRPr="000A72D2" w14:paraId="29D38017" w14:textId="77777777" w:rsidTr="00020449">
        <w:trPr>
          <w:cantSplit/>
        </w:trPr>
        <w:tc>
          <w:tcPr>
            <w:tcW w:w="295" w:type="pct"/>
            <w:shd w:val="clear" w:color="auto" w:fill="E6E6E6"/>
          </w:tcPr>
          <w:p w14:paraId="41AB77FC" w14:textId="77777777" w:rsidR="00432B5D" w:rsidRPr="001B5415" w:rsidRDefault="00432B5D" w:rsidP="00A17D70">
            <w:pPr>
              <w:rPr>
                <w:b/>
              </w:rPr>
            </w:pPr>
            <w:r w:rsidRPr="001B5415">
              <w:rPr>
                <w:b/>
              </w:rPr>
              <w:t>No.</w:t>
            </w:r>
          </w:p>
        </w:tc>
        <w:tc>
          <w:tcPr>
            <w:tcW w:w="1019" w:type="pct"/>
            <w:shd w:val="clear" w:color="auto" w:fill="E6E6E6"/>
          </w:tcPr>
          <w:p w14:paraId="6A26C99F" w14:textId="77777777" w:rsidR="00432B5D" w:rsidRPr="001B5415" w:rsidRDefault="00432B5D" w:rsidP="00A17D70">
            <w:pPr>
              <w:rPr>
                <w:b/>
              </w:rPr>
            </w:pPr>
            <w:r w:rsidRPr="001B5415">
              <w:rPr>
                <w:b/>
              </w:rPr>
              <w:t>Title</w:t>
            </w:r>
          </w:p>
        </w:tc>
        <w:tc>
          <w:tcPr>
            <w:tcW w:w="1413" w:type="pct"/>
            <w:shd w:val="clear" w:color="auto" w:fill="E6E6E6"/>
          </w:tcPr>
          <w:p w14:paraId="6D11D91D" w14:textId="77777777" w:rsidR="00432B5D" w:rsidRPr="001B5415" w:rsidRDefault="00432B5D" w:rsidP="00A17D70">
            <w:pPr>
              <w:rPr>
                <w:b/>
              </w:rPr>
            </w:pPr>
            <w:r w:rsidRPr="001B5415">
              <w:rPr>
                <w:b/>
              </w:rPr>
              <w:t>Short description</w:t>
            </w:r>
          </w:p>
        </w:tc>
        <w:tc>
          <w:tcPr>
            <w:tcW w:w="627" w:type="pct"/>
            <w:shd w:val="clear" w:color="auto" w:fill="E6E6E6"/>
          </w:tcPr>
          <w:p w14:paraId="60C30D24" w14:textId="77777777" w:rsidR="00432B5D" w:rsidRPr="00390C6F" w:rsidRDefault="00432B5D" w:rsidP="00A17D70">
            <w:pPr>
              <w:rPr>
                <w:b/>
              </w:rPr>
            </w:pPr>
            <w:r w:rsidRPr="00390C6F">
              <w:rPr>
                <w:b/>
              </w:rPr>
              <w:t>Planned start date</w:t>
            </w:r>
          </w:p>
        </w:tc>
        <w:tc>
          <w:tcPr>
            <w:tcW w:w="627" w:type="pct"/>
            <w:shd w:val="clear" w:color="auto" w:fill="E6E6E6"/>
          </w:tcPr>
          <w:p w14:paraId="35DC1597" w14:textId="77777777" w:rsidR="00432B5D" w:rsidRPr="00390C6F" w:rsidRDefault="00432B5D" w:rsidP="00A17D70">
            <w:pPr>
              <w:rPr>
                <w:b/>
              </w:rPr>
            </w:pPr>
            <w:r w:rsidRPr="00390C6F">
              <w:rPr>
                <w:b/>
              </w:rPr>
              <w:t>Planned end date</w:t>
            </w:r>
          </w:p>
        </w:tc>
        <w:tc>
          <w:tcPr>
            <w:tcW w:w="1019" w:type="pct"/>
            <w:shd w:val="clear" w:color="auto" w:fill="E6E6E6"/>
          </w:tcPr>
          <w:p w14:paraId="573510D4" w14:textId="77777777" w:rsidR="00432B5D" w:rsidRPr="001B5415" w:rsidRDefault="00432B5D" w:rsidP="00A17D70">
            <w:pPr>
              <w:rPr>
                <w:b/>
              </w:rPr>
            </w:pPr>
            <w:r w:rsidRPr="001B5415">
              <w:rPr>
                <w:b/>
                <w:bCs/>
                <w:spacing w:val="4"/>
                <w:lang w:val="en-US" w:eastAsia="en-US"/>
              </w:rPr>
              <w:t>Dependent on projects</w:t>
            </w:r>
          </w:p>
        </w:tc>
      </w:tr>
      <w:tr w:rsidR="00020449" w:rsidRPr="000A72D2" w14:paraId="177209DC" w14:textId="77777777" w:rsidTr="00020449">
        <w:trPr>
          <w:cantSplit/>
        </w:trPr>
        <w:tc>
          <w:tcPr>
            <w:tcW w:w="295" w:type="pct"/>
          </w:tcPr>
          <w:p w14:paraId="31E5BB7D" w14:textId="77777777" w:rsidR="00432B5D" w:rsidRPr="000A72D2" w:rsidRDefault="00432B5D" w:rsidP="00A17D70">
            <w:r>
              <w:t>1</w:t>
            </w:r>
          </w:p>
        </w:tc>
        <w:tc>
          <w:tcPr>
            <w:tcW w:w="1019" w:type="pct"/>
          </w:tcPr>
          <w:p w14:paraId="555668AD" w14:textId="720F62FE" w:rsidR="0017357F" w:rsidRDefault="006D5224" w:rsidP="00A17D70">
            <w:r>
              <w:t>Building disaster risk knowledge</w:t>
            </w:r>
          </w:p>
          <w:p w14:paraId="6EFA8C83" w14:textId="77777777" w:rsidR="00432B5D" w:rsidRPr="000A72D2" w:rsidRDefault="00432B5D" w:rsidP="00A17D70"/>
        </w:tc>
        <w:tc>
          <w:tcPr>
            <w:tcW w:w="1413" w:type="pct"/>
          </w:tcPr>
          <w:p w14:paraId="1CED6B5D" w14:textId="77777777" w:rsidR="003E5AD7" w:rsidRPr="000A72D2" w:rsidRDefault="004C08DB" w:rsidP="004C08DB">
            <w:r>
              <w:t>Research proje</w:t>
            </w:r>
            <w:r w:rsidR="0043684F">
              <w:t xml:space="preserve">cts to </w:t>
            </w:r>
            <w:r w:rsidR="009C00B1">
              <w:t>identify, and address data, information and resource gaps including impact of</w:t>
            </w:r>
            <w:r w:rsidR="0043684F">
              <w:t xml:space="preserve"> climate change on communities</w:t>
            </w:r>
            <w:r w:rsidR="002C24E3">
              <w:t xml:space="preserve"> and critical infrastructure</w:t>
            </w:r>
            <w:r w:rsidR="009C00B1">
              <w:t xml:space="preserve"> to minimise future risk</w:t>
            </w:r>
          </w:p>
        </w:tc>
        <w:tc>
          <w:tcPr>
            <w:tcW w:w="627" w:type="pct"/>
          </w:tcPr>
          <w:p w14:paraId="5B3C864E" w14:textId="77777777" w:rsidR="00891B8B" w:rsidRPr="000A72D2" w:rsidRDefault="00390C6F" w:rsidP="00A17D70">
            <w:r>
              <w:t>01 July 2020</w:t>
            </w:r>
          </w:p>
        </w:tc>
        <w:tc>
          <w:tcPr>
            <w:tcW w:w="627" w:type="pct"/>
          </w:tcPr>
          <w:p w14:paraId="3BF94F07" w14:textId="77777777" w:rsidR="00432B5D" w:rsidRPr="000A72D2" w:rsidRDefault="00390C6F" w:rsidP="00A17D70">
            <w:r>
              <w:t>30 June 2024</w:t>
            </w:r>
          </w:p>
        </w:tc>
        <w:tc>
          <w:tcPr>
            <w:tcW w:w="1019" w:type="pct"/>
          </w:tcPr>
          <w:p w14:paraId="6659A093" w14:textId="77777777" w:rsidR="00432B5D" w:rsidRPr="000A72D2" w:rsidRDefault="00D54B25" w:rsidP="00A17D70">
            <w:r>
              <w:t>Independent project</w:t>
            </w:r>
            <w:r w:rsidR="003E5AD7">
              <w:t>s</w:t>
            </w:r>
          </w:p>
        </w:tc>
      </w:tr>
      <w:tr w:rsidR="00020449" w:rsidRPr="000A72D2" w14:paraId="0B1E7E50" w14:textId="77777777" w:rsidTr="00020449">
        <w:trPr>
          <w:cantSplit/>
        </w:trPr>
        <w:tc>
          <w:tcPr>
            <w:tcW w:w="295" w:type="pct"/>
          </w:tcPr>
          <w:p w14:paraId="0CF10A54" w14:textId="77777777" w:rsidR="00432B5D" w:rsidRPr="000A72D2" w:rsidRDefault="00432B5D" w:rsidP="00A17D70">
            <w:r>
              <w:t>2</w:t>
            </w:r>
          </w:p>
        </w:tc>
        <w:tc>
          <w:tcPr>
            <w:tcW w:w="1019" w:type="pct"/>
          </w:tcPr>
          <w:p w14:paraId="1625DDFC" w14:textId="77777777" w:rsidR="0017357F" w:rsidRDefault="0017357F" w:rsidP="00A16E2D">
            <w:pPr>
              <w:autoSpaceDE w:val="0"/>
              <w:autoSpaceDN w:val="0"/>
              <w:adjustRightInd w:val="0"/>
              <w:rPr>
                <w:rFonts w:asciiTheme="minorHAnsi" w:hAnsiTheme="minorHAnsi"/>
                <w:sz w:val="24"/>
              </w:rPr>
            </w:pPr>
            <w:r>
              <w:rPr>
                <w:rFonts w:asciiTheme="minorHAnsi" w:hAnsiTheme="minorHAnsi"/>
                <w:sz w:val="24"/>
              </w:rPr>
              <w:t>State Risk Reduction</w:t>
            </w:r>
          </w:p>
          <w:p w14:paraId="45C1B921" w14:textId="77777777" w:rsidR="00432B5D" w:rsidRPr="000A72D2" w:rsidRDefault="00432B5D" w:rsidP="0017357F">
            <w:pPr>
              <w:autoSpaceDE w:val="0"/>
              <w:autoSpaceDN w:val="0"/>
              <w:adjustRightInd w:val="0"/>
            </w:pPr>
          </w:p>
        </w:tc>
        <w:tc>
          <w:tcPr>
            <w:tcW w:w="1413" w:type="pct"/>
          </w:tcPr>
          <w:p w14:paraId="33E803C0" w14:textId="2AB32A8A" w:rsidR="00A16E2D" w:rsidRDefault="00623FD6" w:rsidP="00A16E2D">
            <w:r>
              <w:t>D</w:t>
            </w:r>
            <w:r w:rsidR="00A16E2D">
              <w:t>isaster risk reduction projects of state significance</w:t>
            </w:r>
          </w:p>
          <w:p w14:paraId="66E4B1A4" w14:textId="77777777" w:rsidR="00891B8B" w:rsidRDefault="00891B8B" w:rsidP="00891B8B"/>
          <w:p w14:paraId="6E7FD90F" w14:textId="77777777" w:rsidR="00891B8B" w:rsidRDefault="002C24E3" w:rsidP="00891B8B">
            <w:r>
              <w:t>M</w:t>
            </w:r>
            <w:r w:rsidR="00891B8B">
              <w:t>itigation projects</w:t>
            </w:r>
            <w:r>
              <w:t xml:space="preserve"> to reduce the risk </w:t>
            </w:r>
            <w:r w:rsidR="00891B8B">
              <w:t>of natural hazards</w:t>
            </w:r>
            <w:r>
              <w:t xml:space="preserve"> </w:t>
            </w:r>
          </w:p>
          <w:p w14:paraId="39B717A6" w14:textId="77777777" w:rsidR="00891B8B" w:rsidRDefault="00891B8B" w:rsidP="00891B8B"/>
          <w:p w14:paraId="4013173E" w14:textId="77777777" w:rsidR="000C4D0B" w:rsidRPr="000A72D2" w:rsidRDefault="000C4D0B" w:rsidP="00A17D70"/>
        </w:tc>
        <w:tc>
          <w:tcPr>
            <w:tcW w:w="627" w:type="pct"/>
          </w:tcPr>
          <w:p w14:paraId="376F7A7E" w14:textId="77777777" w:rsidR="0017357F" w:rsidRDefault="00390C6F" w:rsidP="00A17D70">
            <w:r>
              <w:t>01 July 2020</w:t>
            </w:r>
          </w:p>
          <w:p w14:paraId="4ABB0CDD" w14:textId="77777777" w:rsidR="00390C6F" w:rsidRDefault="00390C6F" w:rsidP="00A17D70"/>
          <w:p w14:paraId="04E95301" w14:textId="77777777" w:rsidR="00390C6F" w:rsidRDefault="00390C6F" w:rsidP="00A17D70"/>
          <w:p w14:paraId="5D5C2D2F" w14:textId="77777777" w:rsidR="00390C6F" w:rsidRPr="000A72D2" w:rsidRDefault="00390C6F" w:rsidP="00A17D70">
            <w:r>
              <w:t>01 July 2020</w:t>
            </w:r>
          </w:p>
        </w:tc>
        <w:tc>
          <w:tcPr>
            <w:tcW w:w="627" w:type="pct"/>
          </w:tcPr>
          <w:p w14:paraId="343E3E4A" w14:textId="77777777" w:rsidR="00432B5D" w:rsidRDefault="00390C6F" w:rsidP="00A17D70">
            <w:r>
              <w:t>30 June 2024</w:t>
            </w:r>
          </w:p>
          <w:p w14:paraId="52E86B08" w14:textId="77777777" w:rsidR="00390C6F" w:rsidRDefault="00390C6F" w:rsidP="00A17D70"/>
          <w:p w14:paraId="15723596" w14:textId="77777777" w:rsidR="00390C6F" w:rsidRDefault="00390C6F" w:rsidP="00A17D70"/>
          <w:p w14:paraId="597E6D2B" w14:textId="77777777" w:rsidR="00390C6F" w:rsidRPr="000A72D2" w:rsidRDefault="00390C6F" w:rsidP="00A17D70">
            <w:r>
              <w:t>30 June 2024</w:t>
            </w:r>
          </w:p>
        </w:tc>
        <w:tc>
          <w:tcPr>
            <w:tcW w:w="1019" w:type="pct"/>
          </w:tcPr>
          <w:p w14:paraId="622EF4DE" w14:textId="77777777" w:rsidR="00432B5D" w:rsidRDefault="004B1C1C" w:rsidP="00A17D70">
            <w:r>
              <w:t>Furthering work identified in State, regional and local risk assessments</w:t>
            </w:r>
          </w:p>
          <w:p w14:paraId="3E74D838" w14:textId="77777777" w:rsidR="00891B8B" w:rsidRDefault="00891B8B" w:rsidP="00A17D70"/>
          <w:p w14:paraId="2397A194" w14:textId="77777777" w:rsidR="0017357F" w:rsidRPr="000A72D2" w:rsidRDefault="0017357F" w:rsidP="00A17D70">
            <w:r>
              <w:t>Offered in conjunction with NSW Bush Fire Mitigation, NSW Flood Mitigation and other natural hazard mitigation programs</w:t>
            </w:r>
          </w:p>
        </w:tc>
      </w:tr>
      <w:tr w:rsidR="00020449" w:rsidRPr="000A72D2" w14:paraId="7752F35A" w14:textId="77777777" w:rsidTr="00020449">
        <w:trPr>
          <w:cantSplit/>
        </w:trPr>
        <w:tc>
          <w:tcPr>
            <w:tcW w:w="295" w:type="pct"/>
          </w:tcPr>
          <w:p w14:paraId="2BE08AD8" w14:textId="77777777" w:rsidR="00432B5D" w:rsidRPr="000A72D2" w:rsidRDefault="00432B5D" w:rsidP="00A17D70">
            <w:r>
              <w:t>3</w:t>
            </w:r>
          </w:p>
        </w:tc>
        <w:tc>
          <w:tcPr>
            <w:tcW w:w="1019" w:type="pct"/>
          </w:tcPr>
          <w:p w14:paraId="603B5AC1" w14:textId="77777777" w:rsidR="00432B5D" w:rsidRPr="000A72D2" w:rsidRDefault="0017357F" w:rsidP="00A16E2D">
            <w:pPr>
              <w:autoSpaceDE w:val="0"/>
              <w:autoSpaceDN w:val="0"/>
              <w:adjustRightInd w:val="0"/>
            </w:pPr>
            <w:r>
              <w:t>Local and Regional Risk Reduction</w:t>
            </w:r>
          </w:p>
        </w:tc>
        <w:tc>
          <w:tcPr>
            <w:tcW w:w="1413" w:type="pct"/>
          </w:tcPr>
          <w:p w14:paraId="37B2433F" w14:textId="73C31E6B" w:rsidR="004C08DB" w:rsidRDefault="002C24E3" w:rsidP="004C08DB">
            <w:r>
              <w:t>D</w:t>
            </w:r>
            <w:r w:rsidR="00891B8B">
              <w:t>isaster risk reduction initiatives related to natural hazards identified in regional and local risk assessments</w:t>
            </w:r>
          </w:p>
          <w:p w14:paraId="36F7ABD5" w14:textId="77777777" w:rsidR="004D5DD7" w:rsidRDefault="004D5DD7" w:rsidP="004C08DB"/>
          <w:p w14:paraId="4CCA985C" w14:textId="35F0B27C" w:rsidR="004C08DB" w:rsidRDefault="002C24E3" w:rsidP="004C08DB">
            <w:r>
              <w:t>Com</w:t>
            </w:r>
            <w:r w:rsidR="004C08DB">
              <w:t xml:space="preserve">munity activities </w:t>
            </w:r>
            <w:r w:rsidR="00623FD6">
              <w:t xml:space="preserve">to identify and reduce disaster risk and </w:t>
            </w:r>
            <w:r w:rsidR="004C08DB">
              <w:t xml:space="preserve">provide opportunities to </w:t>
            </w:r>
            <w:r w:rsidR="00B37130">
              <w:t>collaborate</w:t>
            </w:r>
          </w:p>
          <w:p w14:paraId="1343DE69" w14:textId="77777777" w:rsidR="004C08DB" w:rsidRDefault="004C08DB" w:rsidP="004C08DB"/>
          <w:p w14:paraId="0C868AE4" w14:textId="77777777" w:rsidR="004C08DB" w:rsidRPr="000A72D2" w:rsidRDefault="004C08DB"/>
        </w:tc>
        <w:tc>
          <w:tcPr>
            <w:tcW w:w="627" w:type="pct"/>
          </w:tcPr>
          <w:p w14:paraId="208B046D" w14:textId="77777777" w:rsidR="00432B5D" w:rsidRDefault="00390C6F" w:rsidP="00A17D70">
            <w:r>
              <w:t>01 July 2020</w:t>
            </w:r>
          </w:p>
          <w:p w14:paraId="10359AE6" w14:textId="77777777" w:rsidR="00390C6F" w:rsidRDefault="00390C6F" w:rsidP="00A17D70"/>
          <w:p w14:paraId="7384201A" w14:textId="77777777" w:rsidR="00390C6F" w:rsidRDefault="00390C6F" w:rsidP="00A17D70"/>
          <w:p w14:paraId="2ED06847" w14:textId="77777777" w:rsidR="00390C6F" w:rsidRDefault="00390C6F" w:rsidP="00A17D70"/>
          <w:p w14:paraId="0C3D35C0" w14:textId="77777777" w:rsidR="00390C6F" w:rsidRDefault="00390C6F" w:rsidP="00A17D70"/>
          <w:p w14:paraId="2343C4F1" w14:textId="77777777" w:rsidR="00390C6F" w:rsidRDefault="00390C6F" w:rsidP="00A17D70"/>
          <w:p w14:paraId="79E7223F" w14:textId="77777777" w:rsidR="00390C6F" w:rsidRDefault="00390C6F" w:rsidP="00A17D70">
            <w:r>
              <w:t>01 July 2020</w:t>
            </w:r>
          </w:p>
          <w:p w14:paraId="3319BCC7" w14:textId="77777777" w:rsidR="00390C6F" w:rsidRDefault="00390C6F" w:rsidP="00A17D70"/>
          <w:p w14:paraId="7D6BFBBA" w14:textId="77777777" w:rsidR="00390C6F" w:rsidRDefault="00390C6F" w:rsidP="00A17D70"/>
          <w:p w14:paraId="32A4FBD1" w14:textId="77777777" w:rsidR="00390C6F" w:rsidRDefault="00390C6F" w:rsidP="00A17D70"/>
          <w:p w14:paraId="7E5D5478" w14:textId="77777777" w:rsidR="00390C6F" w:rsidRDefault="00390C6F" w:rsidP="00A17D70"/>
          <w:p w14:paraId="5D7E6DBD" w14:textId="39B4472F" w:rsidR="00390C6F" w:rsidRPr="000A72D2" w:rsidRDefault="00390C6F" w:rsidP="00A17D70"/>
        </w:tc>
        <w:tc>
          <w:tcPr>
            <w:tcW w:w="627" w:type="pct"/>
          </w:tcPr>
          <w:p w14:paraId="5644C619" w14:textId="77777777" w:rsidR="00432B5D" w:rsidRDefault="00390C6F" w:rsidP="00A17D70">
            <w:r>
              <w:t>30 June 2024</w:t>
            </w:r>
          </w:p>
          <w:p w14:paraId="27709024" w14:textId="77777777" w:rsidR="00390C6F" w:rsidRDefault="00390C6F" w:rsidP="00A17D70"/>
          <w:p w14:paraId="24566D80" w14:textId="77777777" w:rsidR="00390C6F" w:rsidRDefault="00390C6F" w:rsidP="00A17D70"/>
          <w:p w14:paraId="22B398B9" w14:textId="77777777" w:rsidR="00390C6F" w:rsidRDefault="00390C6F" w:rsidP="00A17D70"/>
          <w:p w14:paraId="5EF6C726" w14:textId="77777777" w:rsidR="00390C6F" w:rsidRDefault="00390C6F" w:rsidP="00A17D70"/>
          <w:p w14:paraId="3C42E3C2" w14:textId="77777777" w:rsidR="00390C6F" w:rsidRDefault="00390C6F" w:rsidP="00A17D70"/>
          <w:p w14:paraId="6D2852FB" w14:textId="77777777" w:rsidR="00390C6F" w:rsidRDefault="00390C6F" w:rsidP="00A17D70">
            <w:r>
              <w:t>30 June 2024</w:t>
            </w:r>
          </w:p>
          <w:p w14:paraId="3F04484B" w14:textId="73757DB2" w:rsidR="00C10B12" w:rsidRDefault="00C10B12" w:rsidP="00A17D70"/>
          <w:p w14:paraId="7D641138" w14:textId="02F57F6B" w:rsidR="00623FD6" w:rsidRDefault="00623FD6" w:rsidP="00A17D70"/>
          <w:p w14:paraId="1F25D8E8" w14:textId="09FEF622" w:rsidR="00623FD6" w:rsidRDefault="00623FD6" w:rsidP="00A17D70"/>
          <w:p w14:paraId="15352329" w14:textId="3292A733" w:rsidR="00623FD6" w:rsidRDefault="00623FD6" w:rsidP="00A17D70"/>
          <w:p w14:paraId="5E5527FA" w14:textId="77777777" w:rsidR="00C10B12" w:rsidRDefault="00C10B12" w:rsidP="00A17D70"/>
          <w:p w14:paraId="03EB9464" w14:textId="498A9D17" w:rsidR="00C10B12" w:rsidRDefault="00C10B12" w:rsidP="00A17D70"/>
          <w:p w14:paraId="7FA86963" w14:textId="77777777" w:rsidR="00C10B12" w:rsidRPr="000A72D2" w:rsidRDefault="00C10B12" w:rsidP="00A17D70"/>
        </w:tc>
        <w:tc>
          <w:tcPr>
            <w:tcW w:w="1019" w:type="pct"/>
          </w:tcPr>
          <w:p w14:paraId="7ADFE97B" w14:textId="77777777" w:rsidR="00432B5D" w:rsidRDefault="003E5AD7" w:rsidP="00A17D70">
            <w:r>
              <w:t>Independent project</w:t>
            </w:r>
          </w:p>
          <w:p w14:paraId="7B0D10E3" w14:textId="5687CB6A" w:rsidR="0062646E" w:rsidRDefault="0062646E" w:rsidP="007C59A1"/>
          <w:p w14:paraId="329394D3" w14:textId="77777777" w:rsidR="004D5DD7" w:rsidRDefault="004D5DD7" w:rsidP="007C59A1"/>
          <w:p w14:paraId="676DB8AF" w14:textId="44ECC3FB" w:rsidR="007C59A1" w:rsidRPr="000A72D2" w:rsidRDefault="006D5224" w:rsidP="006D5224">
            <w:r>
              <w:t>Local and regional partnerships, including with local government joint organisations and councils</w:t>
            </w:r>
          </w:p>
        </w:tc>
      </w:tr>
      <w:tr w:rsidR="0017357F" w:rsidRPr="000A72D2" w14:paraId="7DE0CCF2" w14:textId="77777777" w:rsidTr="00020449">
        <w:trPr>
          <w:cantSplit/>
        </w:trPr>
        <w:tc>
          <w:tcPr>
            <w:tcW w:w="295" w:type="pct"/>
          </w:tcPr>
          <w:p w14:paraId="444EC579" w14:textId="77777777" w:rsidR="0017357F" w:rsidRDefault="0017357F" w:rsidP="00A17D70">
            <w:r>
              <w:lastRenderedPageBreak/>
              <w:t>4</w:t>
            </w:r>
          </w:p>
        </w:tc>
        <w:tc>
          <w:tcPr>
            <w:tcW w:w="1019" w:type="pct"/>
          </w:tcPr>
          <w:p w14:paraId="1CFA7D83" w14:textId="77777777" w:rsidR="0017357F" w:rsidRDefault="002C24E3" w:rsidP="00A16E2D">
            <w:pPr>
              <w:autoSpaceDE w:val="0"/>
              <w:autoSpaceDN w:val="0"/>
              <w:adjustRightInd w:val="0"/>
            </w:pPr>
            <w:r>
              <w:rPr>
                <w:rFonts w:asciiTheme="minorHAnsi" w:hAnsiTheme="minorHAnsi"/>
                <w:sz w:val="24"/>
              </w:rPr>
              <w:t>Program Management, monitoring and evaluation</w:t>
            </w:r>
          </w:p>
        </w:tc>
        <w:tc>
          <w:tcPr>
            <w:tcW w:w="1413" w:type="pct"/>
          </w:tcPr>
          <w:p w14:paraId="50ADDA2A" w14:textId="7CA6E597" w:rsidR="0017357F" w:rsidRDefault="002C24E3" w:rsidP="00A17D70">
            <w:r>
              <w:t>A</w:t>
            </w:r>
            <w:r w:rsidR="0017357F">
              <w:t>dminist</w:t>
            </w:r>
            <w:r w:rsidR="009C0F8D">
              <w:t>er</w:t>
            </w:r>
            <w:r w:rsidR="0017357F">
              <w:t xml:space="preserve"> the Disaster Risk Reduction Program including monitoring, review, reporting and evaluation</w:t>
            </w:r>
          </w:p>
        </w:tc>
        <w:tc>
          <w:tcPr>
            <w:tcW w:w="627" w:type="pct"/>
          </w:tcPr>
          <w:p w14:paraId="3897535A" w14:textId="77777777" w:rsidR="0017357F" w:rsidRPr="000A72D2" w:rsidRDefault="00390C6F" w:rsidP="00A17D70">
            <w:r>
              <w:t>01 July 2020</w:t>
            </w:r>
          </w:p>
        </w:tc>
        <w:tc>
          <w:tcPr>
            <w:tcW w:w="627" w:type="pct"/>
          </w:tcPr>
          <w:p w14:paraId="20657239" w14:textId="77777777" w:rsidR="0017357F" w:rsidRPr="000A72D2" w:rsidRDefault="00390C6F" w:rsidP="00A17D70">
            <w:r>
              <w:t>30 June 2024</w:t>
            </w:r>
          </w:p>
        </w:tc>
        <w:tc>
          <w:tcPr>
            <w:tcW w:w="1019" w:type="pct"/>
          </w:tcPr>
          <w:p w14:paraId="6EDBB5F8" w14:textId="77777777" w:rsidR="0017357F" w:rsidRDefault="0017357F" w:rsidP="00A17D70">
            <w:r>
              <w:t>Independent Project</w:t>
            </w:r>
          </w:p>
        </w:tc>
      </w:tr>
    </w:tbl>
    <w:p w14:paraId="342368CF" w14:textId="77777777" w:rsidR="008A1747" w:rsidRPr="00A36A37" w:rsidRDefault="008A1747" w:rsidP="00A17D70">
      <w:pPr>
        <w:pStyle w:val="Heading2"/>
      </w:pPr>
      <w:r>
        <w:t>Estimated costs</w:t>
      </w:r>
    </w:p>
    <w:p w14:paraId="4D78A1A5" w14:textId="77777777" w:rsidR="008A1747" w:rsidRPr="00432B5D" w:rsidRDefault="008A1747" w:rsidP="008A1747">
      <w:pPr>
        <w:pStyle w:val="Normalnumbered"/>
        <w:spacing w:after="240" w:line="260" w:lineRule="exact"/>
      </w:pPr>
      <w:r w:rsidRPr="00432B5D">
        <w:t xml:space="preserve">The maximum financial contribution to be provided by the Commonwealth for the project to the jurisdiction is </w:t>
      </w:r>
      <w:r w:rsidR="00065861">
        <w:t>$27.144 million ($5.4288m per year for the five years)</w:t>
      </w:r>
      <w:r w:rsidRPr="00432B5D">
        <w:t xml:space="preserve"> payable in accordance with milestones</w:t>
      </w:r>
      <w:r>
        <w:t xml:space="preserve"> </w:t>
      </w:r>
      <w:r w:rsidRPr="00432B5D">
        <w:t xml:space="preserve">set out in </w:t>
      </w:r>
      <w:r>
        <w:t>the National Partnership</w:t>
      </w:r>
      <w:r w:rsidRPr="00432B5D">
        <w:t>.  All payments are exclusive of GST.</w:t>
      </w:r>
    </w:p>
    <w:p w14:paraId="0B8A4D9A" w14:textId="0D1F63A7" w:rsidR="00A21A05" w:rsidRPr="009C0F8D" w:rsidRDefault="008A1747" w:rsidP="00B009BF">
      <w:pPr>
        <w:pStyle w:val="Normalnumbered"/>
        <w:keepNext/>
        <w:spacing w:before="240" w:after="240" w:line="260" w:lineRule="exact"/>
        <w:rPr>
          <w:rFonts w:ascii="Consolas" w:hAnsi="Consolas"/>
          <w:b/>
          <w:color w:val="3D4B67"/>
          <w:szCs w:val="20"/>
        </w:rPr>
      </w:pPr>
      <w:r w:rsidRPr="00432B5D">
        <w:t xml:space="preserve">The estimated overall budget (exclusive of GST) is set out in Table </w:t>
      </w:r>
      <w:r>
        <w:t>2</w:t>
      </w:r>
      <w:r w:rsidRPr="00432B5D">
        <w:t>.  The budget is indicative only and</w:t>
      </w:r>
      <w:r w:rsidR="00065861">
        <w:t xml:space="preserve"> New South Wales</w:t>
      </w:r>
      <w:r w:rsidRPr="00432B5D">
        <w:t xml:space="preserve"> retains the flexibility to move funds between components and/or years, as long as outcomes are not affected.</w:t>
      </w:r>
      <w:r>
        <w:t xml:space="preserve">  The Commonwealth contribution can only be moved between years with the agreement of the Commonwealth.</w:t>
      </w:r>
    </w:p>
    <w:p w14:paraId="65CDA382" w14:textId="0FFFDA8B" w:rsidR="009C0F8D" w:rsidRPr="00F85AD1" w:rsidRDefault="008A1747" w:rsidP="00F85AD1">
      <w:pPr>
        <w:pStyle w:val="Heading3"/>
      </w:pPr>
      <w:r w:rsidRPr="00E83247">
        <w:t xml:space="preserve">Table 2: Estimated financial </w:t>
      </w:r>
      <w:r w:rsidR="00C10B12">
        <w:t>contributions</w:t>
      </w:r>
    </w:p>
    <w:tbl>
      <w:tblPr>
        <w:tblW w:w="0" w:type="auto"/>
        <w:tblBorders>
          <w:top w:val="single" w:sz="4" w:space="0" w:color="000080"/>
          <w:bottom w:val="single" w:sz="4" w:space="0" w:color="000080"/>
        </w:tblBorders>
        <w:tblLook w:val="01E0" w:firstRow="1" w:lastRow="1" w:firstColumn="1" w:lastColumn="1" w:noHBand="0" w:noVBand="0"/>
      </w:tblPr>
      <w:tblGrid>
        <w:gridCol w:w="2807"/>
        <w:gridCol w:w="979"/>
        <w:gridCol w:w="987"/>
        <w:gridCol w:w="979"/>
        <w:gridCol w:w="988"/>
        <w:gridCol w:w="987"/>
        <w:gridCol w:w="1299"/>
      </w:tblGrid>
      <w:tr w:rsidR="009C0F8D" w:rsidRPr="009C0F8D" w14:paraId="54295145" w14:textId="77777777" w:rsidTr="009C0F8D">
        <w:tc>
          <w:tcPr>
            <w:tcW w:w="3369" w:type="dxa"/>
            <w:tcBorders>
              <w:top w:val="single" w:sz="4" w:space="0" w:color="000080"/>
            </w:tcBorders>
          </w:tcPr>
          <w:p w14:paraId="1D06ABD6" w14:textId="77777777" w:rsidR="009C0F8D" w:rsidRPr="009C0F8D" w:rsidRDefault="009C0F8D" w:rsidP="009C0F8D">
            <w:pPr>
              <w:keepNext/>
              <w:keepLines/>
              <w:spacing w:before="40" w:after="40"/>
              <w:rPr>
                <w:b/>
                <w:bCs/>
              </w:rPr>
            </w:pPr>
            <w:r w:rsidRPr="009C0F8D">
              <w:rPr>
                <w:b/>
                <w:bCs/>
              </w:rPr>
              <w:t>($ million)</w:t>
            </w:r>
          </w:p>
        </w:tc>
        <w:tc>
          <w:tcPr>
            <w:tcW w:w="850" w:type="dxa"/>
            <w:tcBorders>
              <w:top w:val="single" w:sz="4" w:space="0" w:color="000080"/>
              <w:bottom w:val="single" w:sz="4" w:space="0" w:color="000080"/>
            </w:tcBorders>
          </w:tcPr>
          <w:p w14:paraId="23FB0304" w14:textId="77777777" w:rsidR="009C0F8D" w:rsidRPr="009C0F8D" w:rsidRDefault="009C0F8D" w:rsidP="009C0F8D">
            <w:pPr>
              <w:keepNext/>
              <w:keepLines/>
              <w:spacing w:before="40" w:after="40"/>
              <w:ind w:right="33"/>
              <w:jc w:val="right"/>
            </w:pPr>
            <w:r w:rsidRPr="009C0F8D">
              <w:t>Year 1</w:t>
            </w:r>
          </w:p>
        </w:tc>
        <w:tc>
          <w:tcPr>
            <w:tcW w:w="992" w:type="dxa"/>
            <w:tcBorders>
              <w:top w:val="single" w:sz="4" w:space="0" w:color="000080"/>
              <w:bottom w:val="single" w:sz="4" w:space="0" w:color="000080"/>
            </w:tcBorders>
          </w:tcPr>
          <w:p w14:paraId="6FAF74DC" w14:textId="77777777" w:rsidR="009C0F8D" w:rsidRPr="009C0F8D" w:rsidRDefault="009C0F8D" w:rsidP="009C0F8D">
            <w:pPr>
              <w:keepNext/>
              <w:keepLines/>
              <w:spacing w:before="40" w:after="40"/>
              <w:ind w:right="33"/>
              <w:jc w:val="right"/>
            </w:pPr>
            <w:r w:rsidRPr="009C0F8D">
              <w:t>Year 2</w:t>
            </w:r>
          </w:p>
        </w:tc>
        <w:tc>
          <w:tcPr>
            <w:tcW w:w="850" w:type="dxa"/>
            <w:tcBorders>
              <w:top w:val="single" w:sz="4" w:space="0" w:color="000080"/>
              <w:bottom w:val="single" w:sz="4" w:space="0" w:color="000080"/>
            </w:tcBorders>
          </w:tcPr>
          <w:p w14:paraId="392315E8" w14:textId="77777777" w:rsidR="009C0F8D" w:rsidRPr="009C0F8D" w:rsidRDefault="009C0F8D" w:rsidP="009C0F8D">
            <w:pPr>
              <w:keepNext/>
              <w:keepLines/>
              <w:spacing w:before="40" w:after="40"/>
              <w:ind w:right="33"/>
              <w:jc w:val="right"/>
            </w:pPr>
            <w:r w:rsidRPr="009C0F8D">
              <w:t>Year 3</w:t>
            </w:r>
          </w:p>
        </w:tc>
        <w:tc>
          <w:tcPr>
            <w:tcW w:w="993" w:type="dxa"/>
            <w:tcBorders>
              <w:top w:val="single" w:sz="4" w:space="0" w:color="000080"/>
              <w:bottom w:val="single" w:sz="4" w:space="0" w:color="000080"/>
            </w:tcBorders>
          </w:tcPr>
          <w:p w14:paraId="120C3409" w14:textId="77777777" w:rsidR="009C0F8D" w:rsidRPr="009C0F8D" w:rsidRDefault="009C0F8D" w:rsidP="009C0F8D">
            <w:pPr>
              <w:keepNext/>
              <w:keepLines/>
              <w:spacing w:before="40" w:after="40"/>
              <w:ind w:right="33"/>
              <w:jc w:val="right"/>
            </w:pPr>
            <w:r w:rsidRPr="009C0F8D">
              <w:t>Year 4</w:t>
            </w:r>
          </w:p>
        </w:tc>
        <w:tc>
          <w:tcPr>
            <w:tcW w:w="992" w:type="dxa"/>
            <w:tcBorders>
              <w:top w:val="single" w:sz="4" w:space="0" w:color="000080"/>
              <w:bottom w:val="single" w:sz="4" w:space="0" w:color="000080"/>
            </w:tcBorders>
          </w:tcPr>
          <w:p w14:paraId="7934ED12" w14:textId="77777777" w:rsidR="009C0F8D" w:rsidRPr="009C0F8D" w:rsidRDefault="009C0F8D" w:rsidP="009C0F8D">
            <w:pPr>
              <w:keepNext/>
              <w:keepLines/>
              <w:spacing w:before="40" w:after="40"/>
              <w:ind w:right="33"/>
              <w:jc w:val="right"/>
            </w:pPr>
            <w:r w:rsidRPr="009C0F8D">
              <w:t>Year 5</w:t>
            </w:r>
          </w:p>
        </w:tc>
        <w:tc>
          <w:tcPr>
            <w:tcW w:w="1054" w:type="dxa"/>
            <w:tcBorders>
              <w:top w:val="single" w:sz="4" w:space="0" w:color="000080"/>
              <w:bottom w:val="single" w:sz="4" w:space="0" w:color="000080"/>
            </w:tcBorders>
          </w:tcPr>
          <w:p w14:paraId="7E77C764" w14:textId="77777777" w:rsidR="009C0F8D" w:rsidRPr="009C0F8D" w:rsidRDefault="009C0F8D" w:rsidP="009C0F8D">
            <w:pPr>
              <w:keepNext/>
              <w:keepLines/>
              <w:spacing w:before="40" w:after="40"/>
              <w:ind w:right="33"/>
              <w:jc w:val="right"/>
            </w:pPr>
            <w:r w:rsidRPr="009C0F8D">
              <w:t>Total</w:t>
            </w:r>
          </w:p>
        </w:tc>
      </w:tr>
      <w:tr w:rsidR="009C0F8D" w:rsidRPr="009C0F8D" w14:paraId="30DFDF99" w14:textId="77777777" w:rsidTr="009C0F8D">
        <w:tc>
          <w:tcPr>
            <w:tcW w:w="3369" w:type="dxa"/>
          </w:tcPr>
          <w:p w14:paraId="501FAD57" w14:textId="77777777" w:rsidR="009C0F8D" w:rsidRPr="009C0F8D" w:rsidRDefault="009C0F8D" w:rsidP="009C0F8D">
            <w:pPr>
              <w:rPr>
                <w:sz w:val="24"/>
              </w:rPr>
            </w:pPr>
            <w:r w:rsidRPr="009C0F8D">
              <w:t>Understanding Risk and Planning</w:t>
            </w:r>
          </w:p>
        </w:tc>
        <w:tc>
          <w:tcPr>
            <w:tcW w:w="850" w:type="dxa"/>
            <w:tcBorders>
              <w:top w:val="single" w:sz="4" w:space="0" w:color="000080"/>
            </w:tcBorders>
          </w:tcPr>
          <w:p w14:paraId="6A49C44F" w14:textId="77777777" w:rsidR="009C0F8D" w:rsidRPr="009C0F8D" w:rsidRDefault="009C0F8D" w:rsidP="009C0F8D">
            <w:pPr>
              <w:ind w:right="33"/>
              <w:jc w:val="right"/>
            </w:pPr>
            <w:r w:rsidRPr="009C0F8D">
              <w:t>0.8</w:t>
            </w:r>
          </w:p>
        </w:tc>
        <w:tc>
          <w:tcPr>
            <w:tcW w:w="992" w:type="dxa"/>
            <w:tcBorders>
              <w:top w:val="single" w:sz="4" w:space="0" w:color="000080"/>
            </w:tcBorders>
          </w:tcPr>
          <w:p w14:paraId="2AFD0582" w14:textId="77777777" w:rsidR="009C0F8D" w:rsidRPr="009C0F8D" w:rsidRDefault="009C0F8D" w:rsidP="009C0F8D">
            <w:pPr>
              <w:ind w:right="33"/>
              <w:jc w:val="right"/>
            </w:pPr>
            <w:r w:rsidRPr="009C0F8D">
              <w:t>0.8</w:t>
            </w:r>
          </w:p>
        </w:tc>
        <w:tc>
          <w:tcPr>
            <w:tcW w:w="850" w:type="dxa"/>
            <w:tcBorders>
              <w:top w:val="single" w:sz="4" w:space="0" w:color="000080"/>
            </w:tcBorders>
          </w:tcPr>
          <w:p w14:paraId="47C91AE7" w14:textId="77777777" w:rsidR="009C0F8D" w:rsidRPr="009C0F8D" w:rsidRDefault="009C0F8D" w:rsidP="009C0F8D">
            <w:pPr>
              <w:ind w:right="33"/>
              <w:jc w:val="right"/>
            </w:pPr>
            <w:r w:rsidRPr="009C0F8D">
              <w:t>0.8</w:t>
            </w:r>
          </w:p>
        </w:tc>
        <w:tc>
          <w:tcPr>
            <w:tcW w:w="993" w:type="dxa"/>
            <w:tcBorders>
              <w:top w:val="single" w:sz="4" w:space="0" w:color="000080"/>
            </w:tcBorders>
          </w:tcPr>
          <w:p w14:paraId="0919DF1F" w14:textId="77777777" w:rsidR="009C0F8D" w:rsidRPr="009C0F8D" w:rsidRDefault="009C0F8D" w:rsidP="009C0F8D">
            <w:pPr>
              <w:ind w:right="33"/>
              <w:jc w:val="right"/>
            </w:pPr>
            <w:r w:rsidRPr="009C0F8D">
              <w:t>0.8</w:t>
            </w:r>
          </w:p>
        </w:tc>
        <w:tc>
          <w:tcPr>
            <w:tcW w:w="992" w:type="dxa"/>
            <w:tcBorders>
              <w:top w:val="single" w:sz="4" w:space="0" w:color="000080"/>
            </w:tcBorders>
          </w:tcPr>
          <w:p w14:paraId="40915B83" w14:textId="77777777" w:rsidR="009C0F8D" w:rsidRPr="009C0F8D" w:rsidRDefault="009C0F8D" w:rsidP="009C0F8D">
            <w:pPr>
              <w:ind w:right="33"/>
              <w:jc w:val="right"/>
            </w:pPr>
            <w:r w:rsidRPr="009C0F8D">
              <w:t>o.8</w:t>
            </w:r>
          </w:p>
        </w:tc>
        <w:tc>
          <w:tcPr>
            <w:tcW w:w="1054" w:type="dxa"/>
            <w:tcBorders>
              <w:top w:val="single" w:sz="4" w:space="0" w:color="000080"/>
            </w:tcBorders>
          </w:tcPr>
          <w:p w14:paraId="237093B9" w14:textId="77777777" w:rsidR="009C0F8D" w:rsidRPr="009C0F8D" w:rsidRDefault="009C0F8D" w:rsidP="009C0F8D">
            <w:pPr>
              <w:ind w:right="33"/>
              <w:jc w:val="right"/>
            </w:pPr>
            <w:r w:rsidRPr="009C0F8D">
              <w:t>4.0</w:t>
            </w:r>
          </w:p>
        </w:tc>
      </w:tr>
      <w:tr w:rsidR="009C0F8D" w:rsidRPr="009C0F8D" w14:paraId="6FF44756" w14:textId="77777777" w:rsidTr="009C0F8D">
        <w:tc>
          <w:tcPr>
            <w:tcW w:w="3369" w:type="dxa"/>
          </w:tcPr>
          <w:p w14:paraId="1791BDB0" w14:textId="77777777" w:rsidR="009C0F8D" w:rsidRPr="009C0F8D" w:rsidRDefault="009C0F8D" w:rsidP="009C0F8D">
            <w:pPr>
              <w:rPr>
                <w:sz w:val="24"/>
              </w:rPr>
            </w:pPr>
            <w:r w:rsidRPr="009C0F8D">
              <w:t>State Risk Reduction</w:t>
            </w:r>
          </w:p>
        </w:tc>
        <w:tc>
          <w:tcPr>
            <w:tcW w:w="850" w:type="dxa"/>
          </w:tcPr>
          <w:p w14:paraId="4D26B8E4" w14:textId="77777777" w:rsidR="009C0F8D" w:rsidRPr="009C0F8D" w:rsidRDefault="009C0F8D" w:rsidP="009C0F8D">
            <w:pPr>
              <w:ind w:right="33"/>
              <w:jc w:val="right"/>
            </w:pPr>
            <w:r w:rsidRPr="009C0F8D">
              <w:t>3.5576</w:t>
            </w:r>
          </w:p>
        </w:tc>
        <w:tc>
          <w:tcPr>
            <w:tcW w:w="992" w:type="dxa"/>
          </w:tcPr>
          <w:p w14:paraId="618FE642" w14:textId="77777777" w:rsidR="009C0F8D" w:rsidRPr="009C0F8D" w:rsidRDefault="009C0F8D" w:rsidP="009C0F8D">
            <w:pPr>
              <w:ind w:right="33"/>
              <w:jc w:val="right"/>
            </w:pPr>
            <w:r w:rsidRPr="009C0F8D">
              <w:t>3.5576</w:t>
            </w:r>
          </w:p>
        </w:tc>
        <w:tc>
          <w:tcPr>
            <w:tcW w:w="850" w:type="dxa"/>
          </w:tcPr>
          <w:p w14:paraId="68814D3D" w14:textId="77777777" w:rsidR="009C0F8D" w:rsidRPr="009C0F8D" w:rsidRDefault="009C0F8D" w:rsidP="009C0F8D">
            <w:pPr>
              <w:ind w:right="33"/>
              <w:jc w:val="right"/>
            </w:pPr>
            <w:r w:rsidRPr="009C0F8D">
              <w:t>3.5576</w:t>
            </w:r>
          </w:p>
        </w:tc>
        <w:tc>
          <w:tcPr>
            <w:tcW w:w="993" w:type="dxa"/>
          </w:tcPr>
          <w:p w14:paraId="437D0024" w14:textId="77777777" w:rsidR="009C0F8D" w:rsidRPr="009C0F8D" w:rsidRDefault="009C0F8D" w:rsidP="009C0F8D">
            <w:pPr>
              <w:ind w:right="33"/>
              <w:jc w:val="right"/>
            </w:pPr>
            <w:r w:rsidRPr="009C0F8D">
              <w:t>3.5576</w:t>
            </w:r>
          </w:p>
        </w:tc>
        <w:tc>
          <w:tcPr>
            <w:tcW w:w="992" w:type="dxa"/>
          </w:tcPr>
          <w:p w14:paraId="2D7B3CE5" w14:textId="77777777" w:rsidR="009C0F8D" w:rsidRPr="009C0F8D" w:rsidRDefault="009C0F8D" w:rsidP="009C0F8D">
            <w:pPr>
              <w:ind w:right="33"/>
              <w:jc w:val="right"/>
            </w:pPr>
            <w:r w:rsidRPr="009C0F8D">
              <w:t>3.5576</w:t>
            </w:r>
          </w:p>
        </w:tc>
        <w:tc>
          <w:tcPr>
            <w:tcW w:w="1054" w:type="dxa"/>
          </w:tcPr>
          <w:p w14:paraId="6BDBF288" w14:textId="77777777" w:rsidR="009C0F8D" w:rsidRPr="009C0F8D" w:rsidRDefault="009C0F8D" w:rsidP="009C0F8D">
            <w:pPr>
              <w:ind w:right="33"/>
              <w:jc w:val="center"/>
            </w:pPr>
            <w:r w:rsidRPr="009C0F8D">
              <w:t xml:space="preserve">    17.788</w:t>
            </w:r>
          </w:p>
        </w:tc>
      </w:tr>
      <w:tr w:rsidR="009C0F8D" w:rsidRPr="009C0F8D" w14:paraId="417707FD" w14:textId="77777777" w:rsidTr="009C0F8D">
        <w:tc>
          <w:tcPr>
            <w:tcW w:w="3369" w:type="dxa"/>
          </w:tcPr>
          <w:p w14:paraId="096198DE" w14:textId="77777777" w:rsidR="009C0F8D" w:rsidRPr="009C0F8D" w:rsidRDefault="009C0F8D" w:rsidP="009C0F8D">
            <w:pPr>
              <w:rPr>
                <w:sz w:val="24"/>
              </w:rPr>
            </w:pPr>
            <w:r w:rsidRPr="009C0F8D">
              <w:t>Local and Regional Risk Reduction</w:t>
            </w:r>
          </w:p>
        </w:tc>
        <w:tc>
          <w:tcPr>
            <w:tcW w:w="850" w:type="dxa"/>
          </w:tcPr>
          <w:p w14:paraId="00324269" w14:textId="77777777" w:rsidR="009C0F8D" w:rsidRPr="009C0F8D" w:rsidRDefault="009C0F8D" w:rsidP="009C0F8D">
            <w:pPr>
              <w:ind w:right="33"/>
              <w:jc w:val="right"/>
            </w:pPr>
            <w:r w:rsidRPr="009C0F8D">
              <w:t>6.0</w:t>
            </w:r>
          </w:p>
        </w:tc>
        <w:tc>
          <w:tcPr>
            <w:tcW w:w="992" w:type="dxa"/>
          </w:tcPr>
          <w:p w14:paraId="232A6DBE" w14:textId="77777777" w:rsidR="009C0F8D" w:rsidRPr="009C0F8D" w:rsidRDefault="009C0F8D" w:rsidP="009C0F8D">
            <w:pPr>
              <w:ind w:right="33"/>
              <w:jc w:val="right"/>
            </w:pPr>
            <w:r w:rsidRPr="009C0F8D">
              <w:t>6.0</w:t>
            </w:r>
          </w:p>
        </w:tc>
        <w:tc>
          <w:tcPr>
            <w:tcW w:w="850" w:type="dxa"/>
          </w:tcPr>
          <w:p w14:paraId="2DC0E353" w14:textId="77777777" w:rsidR="009C0F8D" w:rsidRPr="009C0F8D" w:rsidRDefault="009C0F8D" w:rsidP="009C0F8D">
            <w:pPr>
              <w:ind w:right="33"/>
              <w:jc w:val="right"/>
            </w:pPr>
            <w:r w:rsidRPr="009C0F8D">
              <w:t>6.0</w:t>
            </w:r>
          </w:p>
        </w:tc>
        <w:tc>
          <w:tcPr>
            <w:tcW w:w="993" w:type="dxa"/>
          </w:tcPr>
          <w:p w14:paraId="5BDDAC16" w14:textId="77777777" w:rsidR="009C0F8D" w:rsidRPr="009C0F8D" w:rsidRDefault="009C0F8D" w:rsidP="009C0F8D">
            <w:pPr>
              <w:ind w:right="33"/>
              <w:jc w:val="right"/>
            </w:pPr>
            <w:r w:rsidRPr="009C0F8D">
              <w:t>6.0</w:t>
            </w:r>
          </w:p>
        </w:tc>
        <w:tc>
          <w:tcPr>
            <w:tcW w:w="992" w:type="dxa"/>
          </w:tcPr>
          <w:p w14:paraId="621FA607" w14:textId="77777777" w:rsidR="009C0F8D" w:rsidRPr="009C0F8D" w:rsidRDefault="009C0F8D" w:rsidP="009C0F8D">
            <w:pPr>
              <w:ind w:right="33"/>
              <w:jc w:val="right"/>
            </w:pPr>
            <w:r w:rsidRPr="009C0F8D">
              <w:t>6.0</w:t>
            </w:r>
          </w:p>
        </w:tc>
        <w:tc>
          <w:tcPr>
            <w:tcW w:w="1054" w:type="dxa"/>
          </w:tcPr>
          <w:p w14:paraId="733132CE" w14:textId="77777777" w:rsidR="009C0F8D" w:rsidRPr="009C0F8D" w:rsidRDefault="009C0F8D" w:rsidP="009C0F8D">
            <w:pPr>
              <w:ind w:right="33"/>
              <w:jc w:val="right"/>
            </w:pPr>
            <w:r w:rsidRPr="009C0F8D">
              <w:t>30.0</w:t>
            </w:r>
          </w:p>
        </w:tc>
      </w:tr>
      <w:tr w:rsidR="009C0F8D" w:rsidRPr="009C0F8D" w14:paraId="59FCFF8A" w14:textId="77777777" w:rsidTr="009C0F8D">
        <w:tc>
          <w:tcPr>
            <w:tcW w:w="3369" w:type="dxa"/>
          </w:tcPr>
          <w:p w14:paraId="0E7A5832" w14:textId="77777777" w:rsidR="009C0F8D" w:rsidRPr="009C0F8D" w:rsidRDefault="009C0F8D" w:rsidP="009C0F8D">
            <w:pPr>
              <w:rPr>
                <w:sz w:val="24"/>
              </w:rPr>
            </w:pPr>
            <w:r w:rsidRPr="009C0F8D">
              <w:t>Program Management &amp; Evaluation</w:t>
            </w:r>
          </w:p>
        </w:tc>
        <w:tc>
          <w:tcPr>
            <w:tcW w:w="850" w:type="dxa"/>
            <w:tcBorders>
              <w:bottom w:val="nil"/>
            </w:tcBorders>
          </w:tcPr>
          <w:p w14:paraId="06961D21" w14:textId="77777777" w:rsidR="009C0F8D" w:rsidRPr="009C0F8D" w:rsidRDefault="009C0F8D" w:rsidP="009C0F8D">
            <w:pPr>
              <w:ind w:right="33"/>
              <w:jc w:val="right"/>
            </w:pPr>
            <w:r w:rsidRPr="009C0F8D">
              <w:t>.5</w:t>
            </w:r>
          </w:p>
        </w:tc>
        <w:tc>
          <w:tcPr>
            <w:tcW w:w="992" w:type="dxa"/>
            <w:tcBorders>
              <w:bottom w:val="nil"/>
            </w:tcBorders>
          </w:tcPr>
          <w:p w14:paraId="47E83FD9" w14:textId="77777777" w:rsidR="009C0F8D" w:rsidRPr="009C0F8D" w:rsidRDefault="009C0F8D" w:rsidP="009C0F8D">
            <w:pPr>
              <w:ind w:right="33"/>
              <w:jc w:val="right"/>
            </w:pPr>
            <w:r w:rsidRPr="009C0F8D">
              <w:t>.5</w:t>
            </w:r>
          </w:p>
        </w:tc>
        <w:tc>
          <w:tcPr>
            <w:tcW w:w="850" w:type="dxa"/>
            <w:tcBorders>
              <w:bottom w:val="nil"/>
            </w:tcBorders>
          </w:tcPr>
          <w:p w14:paraId="33E63EE6" w14:textId="77777777" w:rsidR="009C0F8D" w:rsidRPr="009C0F8D" w:rsidRDefault="009C0F8D" w:rsidP="009C0F8D">
            <w:pPr>
              <w:ind w:right="33"/>
              <w:jc w:val="right"/>
            </w:pPr>
            <w:r w:rsidRPr="009C0F8D">
              <w:t>.5</w:t>
            </w:r>
          </w:p>
        </w:tc>
        <w:tc>
          <w:tcPr>
            <w:tcW w:w="993" w:type="dxa"/>
            <w:tcBorders>
              <w:bottom w:val="nil"/>
            </w:tcBorders>
          </w:tcPr>
          <w:p w14:paraId="2307D9F2" w14:textId="77777777" w:rsidR="009C0F8D" w:rsidRPr="009C0F8D" w:rsidRDefault="009C0F8D" w:rsidP="009C0F8D">
            <w:pPr>
              <w:ind w:right="33"/>
              <w:jc w:val="right"/>
            </w:pPr>
            <w:r w:rsidRPr="009C0F8D">
              <w:t>.5</w:t>
            </w:r>
          </w:p>
        </w:tc>
        <w:tc>
          <w:tcPr>
            <w:tcW w:w="992" w:type="dxa"/>
            <w:tcBorders>
              <w:bottom w:val="nil"/>
            </w:tcBorders>
          </w:tcPr>
          <w:p w14:paraId="7F40CAF6" w14:textId="77777777" w:rsidR="009C0F8D" w:rsidRPr="009C0F8D" w:rsidRDefault="009C0F8D" w:rsidP="009C0F8D">
            <w:pPr>
              <w:ind w:right="33"/>
              <w:jc w:val="right"/>
            </w:pPr>
            <w:r w:rsidRPr="009C0F8D">
              <w:t>.5</w:t>
            </w:r>
          </w:p>
        </w:tc>
        <w:tc>
          <w:tcPr>
            <w:tcW w:w="1054" w:type="dxa"/>
            <w:tcBorders>
              <w:bottom w:val="nil"/>
            </w:tcBorders>
          </w:tcPr>
          <w:p w14:paraId="73B74C74" w14:textId="77777777" w:rsidR="009C0F8D" w:rsidRPr="009C0F8D" w:rsidRDefault="009C0F8D" w:rsidP="009C0F8D">
            <w:pPr>
              <w:ind w:right="33"/>
              <w:jc w:val="right"/>
            </w:pPr>
            <w:r w:rsidRPr="009C0F8D">
              <w:t>2.5</w:t>
            </w:r>
          </w:p>
        </w:tc>
      </w:tr>
      <w:tr w:rsidR="009C0F8D" w:rsidRPr="009C0F8D" w14:paraId="62370374" w14:textId="77777777" w:rsidTr="009C0F8D">
        <w:tc>
          <w:tcPr>
            <w:tcW w:w="3369" w:type="dxa"/>
          </w:tcPr>
          <w:p w14:paraId="59E445A5" w14:textId="77777777" w:rsidR="009C0F8D" w:rsidRPr="009C0F8D" w:rsidRDefault="009C0F8D" w:rsidP="009C0F8D">
            <w:pPr>
              <w:rPr>
                <w:sz w:val="24"/>
              </w:rPr>
            </w:pPr>
          </w:p>
        </w:tc>
        <w:tc>
          <w:tcPr>
            <w:tcW w:w="850" w:type="dxa"/>
            <w:tcBorders>
              <w:top w:val="nil"/>
              <w:bottom w:val="single" w:sz="4" w:space="0" w:color="000080"/>
            </w:tcBorders>
          </w:tcPr>
          <w:p w14:paraId="2550B617" w14:textId="77777777" w:rsidR="009C0F8D" w:rsidRPr="009C0F8D" w:rsidRDefault="009C0F8D" w:rsidP="009C0F8D">
            <w:pPr>
              <w:ind w:right="33"/>
              <w:jc w:val="right"/>
            </w:pPr>
          </w:p>
        </w:tc>
        <w:tc>
          <w:tcPr>
            <w:tcW w:w="992" w:type="dxa"/>
            <w:tcBorders>
              <w:top w:val="nil"/>
              <w:bottom w:val="single" w:sz="4" w:space="0" w:color="000080"/>
            </w:tcBorders>
          </w:tcPr>
          <w:p w14:paraId="24666075" w14:textId="77777777" w:rsidR="009C0F8D" w:rsidRPr="009C0F8D" w:rsidRDefault="009C0F8D" w:rsidP="009C0F8D">
            <w:pPr>
              <w:ind w:right="33"/>
              <w:jc w:val="right"/>
            </w:pPr>
          </w:p>
        </w:tc>
        <w:tc>
          <w:tcPr>
            <w:tcW w:w="850" w:type="dxa"/>
            <w:tcBorders>
              <w:top w:val="nil"/>
              <w:bottom w:val="single" w:sz="4" w:space="0" w:color="000080"/>
            </w:tcBorders>
          </w:tcPr>
          <w:p w14:paraId="068F22A7" w14:textId="77777777" w:rsidR="009C0F8D" w:rsidRPr="009C0F8D" w:rsidRDefault="009C0F8D" w:rsidP="009C0F8D">
            <w:pPr>
              <w:ind w:right="33"/>
              <w:jc w:val="right"/>
            </w:pPr>
          </w:p>
        </w:tc>
        <w:tc>
          <w:tcPr>
            <w:tcW w:w="993" w:type="dxa"/>
            <w:tcBorders>
              <w:top w:val="nil"/>
              <w:bottom w:val="single" w:sz="4" w:space="0" w:color="000080"/>
            </w:tcBorders>
          </w:tcPr>
          <w:p w14:paraId="3C311259" w14:textId="77777777" w:rsidR="009C0F8D" w:rsidRPr="009C0F8D" w:rsidRDefault="009C0F8D" w:rsidP="009C0F8D">
            <w:pPr>
              <w:ind w:right="33"/>
              <w:jc w:val="right"/>
            </w:pPr>
          </w:p>
        </w:tc>
        <w:tc>
          <w:tcPr>
            <w:tcW w:w="992" w:type="dxa"/>
            <w:tcBorders>
              <w:top w:val="nil"/>
              <w:bottom w:val="single" w:sz="4" w:space="0" w:color="000080"/>
            </w:tcBorders>
          </w:tcPr>
          <w:p w14:paraId="4199A438" w14:textId="77777777" w:rsidR="009C0F8D" w:rsidRPr="009C0F8D" w:rsidRDefault="009C0F8D" w:rsidP="009C0F8D">
            <w:pPr>
              <w:ind w:right="33"/>
              <w:jc w:val="right"/>
            </w:pPr>
          </w:p>
        </w:tc>
        <w:tc>
          <w:tcPr>
            <w:tcW w:w="1054" w:type="dxa"/>
            <w:tcBorders>
              <w:top w:val="nil"/>
              <w:bottom w:val="single" w:sz="4" w:space="0" w:color="000080"/>
            </w:tcBorders>
          </w:tcPr>
          <w:p w14:paraId="3E3DC18D" w14:textId="77777777" w:rsidR="009C0F8D" w:rsidRPr="009C0F8D" w:rsidRDefault="009C0F8D" w:rsidP="009C0F8D">
            <w:pPr>
              <w:ind w:right="33"/>
              <w:jc w:val="right"/>
            </w:pPr>
          </w:p>
        </w:tc>
      </w:tr>
      <w:tr w:rsidR="009C0F8D" w:rsidRPr="009C0F8D" w14:paraId="6830E943" w14:textId="77777777" w:rsidTr="009C0F8D">
        <w:tc>
          <w:tcPr>
            <w:tcW w:w="3369" w:type="dxa"/>
          </w:tcPr>
          <w:p w14:paraId="738C730C" w14:textId="77777777" w:rsidR="009C0F8D" w:rsidRPr="009C0F8D" w:rsidRDefault="009C0F8D" w:rsidP="009C0F8D">
            <w:r w:rsidRPr="009C0F8D">
              <w:t>Total estimated budget</w:t>
            </w:r>
          </w:p>
        </w:tc>
        <w:tc>
          <w:tcPr>
            <w:tcW w:w="850" w:type="dxa"/>
            <w:tcBorders>
              <w:top w:val="single" w:sz="4" w:space="0" w:color="000080"/>
            </w:tcBorders>
          </w:tcPr>
          <w:p w14:paraId="6E268180" w14:textId="32FFA9DD" w:rsidR="009C0F8D" w:rsidRPr="009C0F8D" w:rsidRDefault="00F85AD1" w:rsidP="009C0F8D">
            <w:pPr>
              <w:ind w:right="33"/>
              <w:jc w:val="right"/>
            </w:pPr>
            <w:r>
              <w:t>10.8576</w:t>
            </w:r>
          </w:p>
        </w:tc>
        <w:tc>
          <w:tcPr>
            <w:tcW w:w="992" w:type="dxa"/>
            <w:tcBorders>
              <w:top w:val="single" w:sz="4" w:space="0" w:color="000080"/>
            </w:tcBorders>
          </w:tcPr>
          <w:p w14:paraId="56430C4D" w14:textId="2D5D9A16" w:rsidR="009C0F8D" w:rsidRPr="009C0F8D" w:rsidRDefault="00F85AD1" w:rsidP="009C0F8D">
            <w:pPr>
              <w:ind w:right="33"/>
              <w:jc w:val="right"/>
            </w:pPr>
            <w:r>
              <w:t>10.8576</w:t>
            </w:r>
          </w:p>
        </w:tc>
        <w:tc>
          <w:tcPr>
            <w:tcW w:w="850" w:type="dxa"/>
            <w:tcBorders>
              <w:top w:val="single" w:sz="4" w:space="0" w:color="000080"/>
            </w:tcBorders>
          </w:tcPr>
          <w:p w14:paraId="653BC91A" w14:textId="7AED01B9" w:rsidR="009C0F8D" w:rsidRPr="009C0F8D" w:rsidRDefault="00F85AD1" w:rsidP="009C0F8D">
            <w:pPr>
              <w:ind w:right="33"/>
              <w:jc w:val="right"/>
            </w:pPr>
            <w:r>
              <w:t>10.8576</w:t>
            </w:r>
          </w:p>
        </w:tc>
        <w:tc>
          <w:tcPr>
            <w:tcW w:w="993" w:type="dxa"/>
            <w:tcBorders>
              <w:top w:val="single" w:sz="4" w:space="0" w:color="000080"/>
            </w:tcBorders>
          </w:tcPr>
          <w:p w14:paraId="419ED033" w14:textId="71681E33" w:rsidR="009C0F8D" w:rsidRPr="009C0F8D" w:rsidRDefault="00F85AD1" w:rsidP="009C0F8D">
            <w:pPr>
              <w:ind w:right="33"/>
              <w:jc w:val="right"/>
            </w:pPr>
            <w:r>
              <w:t>10.8576</w:t>
            </w:r>
          </w:p>
        </w:tc>
        <w:tc>
          <w:tcPr>
            <w:tcW w:w="992" w:type="dxa"/>
            <w:tcBorders>
              <w:top w:val="single" w:sz="4" w:space="0" w:color="000080"/>
            </w:tcBorders>
          </w:tcPr>
          <w:p w14:paraId="04A601A2" w14:textId="425B7E71" w:rsidR="009C0F8D" w:rsidRPr="009C0F8D" w:rsidRDefault="00F85AD1" w:rsidP="009C0F8D">
            <w:pPr>
              <w:ind w:right="33"/>
              <w:jc w:val="right"/>
            </w:pPr>
            <w:r>
              <w:t>10.8576</w:t>
            </w:r>
          </w:p>
        </w:tc>
        <w:tc>
          <w:tcPr>
            <w:tcW w:w="1054" w:type="dxa"/>
            <w:tcBorders>
              <w:top w:val="single" w:sz="4" w:space="0" w:color="000080"/>
            </w:tcBorders>
          </w:tcPr>
          <w:p w14:paraId="6F9953CE" w14:textId="35DD1602" w:rsidR="009C0F8D" w:rsidRPr="009C0F8D" w:rsidRDefault="00F85AD1" w:rsidP="009C0F8D">
            <w:pPr>
              <w:ind w:right="33"/>
              <w:jc w:val="right"/>
            </w:pPr>
            <w:r>
              <w:t>54.288</w:t>
            </w:r>
          </w:p>
        </w:tc>
      </w:tr>
      <w:tr w:rsidR="00F85AD1" w:rsidRPr="009C0F8D" w14:paraId="2AF63306" w14:textId="77777777" w:rsidTr="009C0F8D">
        <w:tc>
          <w:tcPr>
            <w:tcW w:w="3369" w:type="dxa"/>
          </w:tcPr>
          <w:p w14:paraId="745D7D1B" w14:textId="77777777" w:rsidR="00F85AD1" w:rsidRPr="009C0F8D" w:rsidRDefault="00F85AD1" w:rsidP="009C0F8D"/>
        </w:tc>
        <w:tc>
          <w:tcPr>
            <w:tcW w:w="850" w:type="dxa"/>
            <w:tcBorders>
              <w:top w:val="single" w:sz="4" w:space="0" w:color="000080"/>
            </w:tcBorders>
          </w:tcPr>
          <w:p w14:paraId="41957A1B" w14:textId="77777777" w:rsidR="00F85AD1" w:rsidRDefault="00F85AD1" w:rsidP="009C0F8D">
            <w:pPr>
              <w:ind w:right="33"/>
              <w:jc w:val="right"/>
            </w:pPr>
          </w:p>
        </w:tc>
        <w:tc>
          <w:tcPr>
            <w:tcW w:w="992" w:type="dxa"/>
            <w:tcBorders>
              <w:top w:val="single" w:sz="4" w:space="0" w:color="000080"/>
            </w:tcBorders>
          </w:tcPr>
          <w:p w14:paraId="1E7A3D0B" w14:textId="77777777" w:rsidR="00F85AD1" w:rsidRDefault="00F85AD1" w:rsidP="009C0F8D">
            <w:pPr>
              <w:ind w:right="33"/>
              <w:jc w:val="right"/>
            </w:pPr>
          </w:p>
        </w:tc>
        <w:tc>
          <w:tcPr>
            <w:tcW w:w="850" w:type="dxa"/>
            <w:tcBorders>
              <w:top w:val="single" w:sz="4" w:space="0" w:color="000080"/>
            </w:tcBorders>
          </w:tcPr>
          <w:p w14:paraId="5284A3AA" w14:textId="77777777" w:rsidR="00F85AD1" w:rsidRDefault="00F85AD1" w:rsidP="009C0F8D">
            <w:pPr>
              <w:ind w:right="33"/>
              <w:jc w:val="right"/>
            </w:pPr>
          </w:p>
        </w:tc>
        <w:tc>
          <w:tcPr>
            <w:tcW w:w="993" w:type="dxa"/>
            <w:tcBorders>
              <w:top w:val="single" w:sz="4" w:space="0" w:color="000080"/>
            </w:tcBorders>
          </w:tcPr>
          <w:p w14:paraId="45879456" w14:textId="77777777" w:rsidR="00F85AD1" w:rsidRDefault="00F85AD1" w:rsidP="009C0F8D">
            <w:pPr>
              <w:ind w:right="33"/>
              <w:jc w:val="right"/>
            </w:pPr>
          </w:p>
        </w:tc>
        <w:tc>
          <w:tcPr>
            <w:tcW w:w="992" w:type="dxa"/>
            <w:tcBorders>
              <w:top w:val="single" w:sz="4" w:space="0" w:color="000080"/>
            </w:tcBorders>
          </w:tcPr>
          <w:p w14:paraId="7D529070" w14:textId="22F3A650" w:rsidR="00F85AD1" w:rsidRDefault="00F85AD1" w:rsidP="009C0F8D">
            <w:pPr>
              <w:ind w:right="33"/>
              <w:jc w:val="right"/>
            </w:pPr>
          </w:p>
        </w:tc>
        <w:tc>
          <w:tcPr>
            <w:tcW w:w="1054" w:type="dxa"/>
            <w:tcBorders>
              <w:top w:val="single" w:sz="4" w:space="0" w:color="000080"/>
            </w:tcBorders>
          </w:tcPr>
          <w:p w14:paraId="637C19CA" w14:textId="77777777" w:rsidR="00F85AD1" w:rsidRDefault="00F85AD1" w:rsidP="009C0F8D">
            <w:pPr>
              <w:ind w:right="33"/>
              <w:jc w:val="right"/>
            </w:pPr>
          </w:p>
        </w:tc>
      </w:tr>
      <w:tr w:rsidR="009C0F8D" w:rsidRPr="009C0F8D" w14:paraId="6128FB58" w14:textId="77777777" w:rsidTr="009C0F8D">
        <w:tc>
          <w:tcPr>
            <w:tcW w:w="3369" w:type="dxa"/>
          </w:tcPr>
          <w:p w14:paraId="3771B10B" w14:textId="1D8E19E0" w:rsidR="009C0F8D" w:rsidRPr="009C0F8D" w:rsidRDefault="009C0F8D" w:rsidP="009C0F8D">
            <w:r w:rsidRPr="009C0F8D">
              <w:rPr>
                <w:i/>
                <w:iCs/>
              </w:rPr>
              <w:t>less</w:t>
            </w:r>
            <w:r w:rsidRPr="009C0F8D">
              <w:t xml:space="preserve"> estimated Commonwealth contribution</w:t>
            </w:r>
            <w:r w:rsidR="00F85AD1">
              <w:t xml:space="preserve">                                            </w:t>
            </w:r>
          </w:p>
        </w:tc>
        <w:tc>
          <w:tcPr>
            <w:tcW w:w="850" w:type="dxa"/>
            <w:tcBorders>
              <w:bottom w:val="single" w:sz="4" w:space="0" w:color="000080"/>
            </w:tcBorders>
          </w:tcPr>
          <w:p w14:paraId="1FA1B695" w14:textId="62FDFB45" w:rsidR="009C0F8D" w:rsidRPr="009C0F8D" w:rsidRDefault="00F85AD1" w:rsidP="009C0F8D">
            <w:pPr>
              <w:ind w:right="33"/>
              <w:jc w:val="right"/>
            </w:pPr>
            <w:r w:rsidRPr="009C0F8D">
              <w:t>5.4288</w:t>
            </w:r>
          </w:p>
        </w:tc>
        <w:tc>
          <w:tcPr>
            <w:tcW w:w="992" w:type="dxa"/>
            <w:tcBorders>
              <w:bottom w:val="single" w:sz="4" w:space="0" w:color="000080"/>
            </w:tcBorders>
          </w:tcPr>
          <w:p w14:paraId="19E645D4" w14:textId="449D6F57" w:rsidR="009C0F8D" w:rsidRPr="009C0F8D" w:rsidRDefault="00F85AD1" w:rsidP="009C0F8D">
            <w:pPr>
              <w:ind w:right="33"/>
              <w:jc w:val="right"/>
            </w:pPr>
            <w:r w:rsidRPr="009C0F8D">
              <w:t>5.4288</w:t>
            </w:r>
          </w:p>
        </w:tc>
        <w:tc>
          <w:tcPr>
            <w:tcW w:w="850" w:type="dxa"/>
            <w:tcBorders>
              <w:bottom w:val="single" w:sz="4" w:space="0" w:color="000080"/>
            </w:tcBorders>
          </w:tcPr>
          <w:p w14:paraId="3211855F" w14:textId="66C53E4F" w:rsidR="009C0F8D" w:rsidRPr="009C0F8D" w:rsidRDefault="00F85AD1" w:rsidP="009C0F8D">
            <w:pPr>
              <w:ind w:right="33"/>
              <w:jc w:val="right"/>
            </w:pPr>
            <w:r w:rsidRPr="009C0F8D">
              <w:t>5.4288</w:t>
            </w:r>
          </w:p>
        </w:tc>
        <w:tc>
          <w:tcPr>
            <w:tcW w:w="993" w:type="dxa"/>
            <w:tcBorders>
              <w:bottom w:val="single" w:sz="4" w:space="0" w:color="000080"/>
            </w:tcBorders>
          </w:tcPr>
          <w:p w14:paraId="65365F8E" w14:textId="0E0EC99A" w:rsidR="009C0F8D" w:rsidRPr="009C0F8D" w:rsidRDefault="00F85AD1" w:rsidP="009C0F8D">
            <w:pPr>
              <w:ind w:right="33"/>
              <w:jc w:val="right"/>
            </w:pPr>
            <w:r w:rsidRPr="009C0F8D">
              <w:t>5.4288</w:t>
            </w:r>
          </w:p>
        </w:tc>
        <w:tc>
          <w:tcPr>
            <w:tcW w:w="992" w:type="dxa"/>
            <w:tcBorders>
              <w:bottom w:val="single" w:sz="4" w:space="0" w:color="000080"/>
            </w:tcBorders>
          </w:tcPr>
          <w:p w14:paraId="71FCC6D0" w14:textId="7840210A" w:rsidR="009C0F8D" w:rsidRPr="009C0F8D" w:rsidRDefault="00F85AD1" w:rsidP="009C0F8D">
            <w:pPr>
              <w:ind w:right="33"/>
              <w:jc w:val="right"/>
            </w:pPr>
            <w:r w:rsidRPr="009C0F8D">
              <w:t>5.4288</w:t>
            </w:r>
          </w:p>
        </w:tc>
        <w:tc>
          <w:tcPr>
            <w:tcW w:w="1054" w:type="dxa"/>
            <w:tcBorders>
              <w:bottom w:val="single" w:sz="4" w:space="0" w:color="000080"/>
            </w:tcBorders>
          </w:tcPr>
          <w:tbl>
            <w:tblPr>
              <w:tblW w:w="0" w:type="auto"/>
              <w:tblBorders>
                <w:top w:val="single" w:sz="4" w:space="0" w:color="000080"/>
                <w:bottom w:val="single" w:sz="4" w:space="0" w:color="000080"/>
              </w:tblBorders>
              <w:tblLook w:val="01E0" w:firstRow="1" w:lastRow="1" w:firstColumn="1" w:lastColumn="1" w:noHBand="0" w:noVBand="0"/>
            </w:tblPr>
            <w:tblGrid>
              <w:gridCol w:w="1083"/>
            </w:tblGrid>
            <w:tr w:rsidR="00F85AD1" w:rsidRPr="009C0F8D" w14:paraId="7312CCFF" w14:textId="77777777" w:rsidTr="00363386">
              <w:trPr>
                <w:cantSplit/>
              </w:trPr>
              <w:tc>
                <w:tcPr>
                  <w:tcW w:w="1054" w:type="dxa"/>
                  <w:tcBorders>
                    <w:top w:val="single" w:sz="4" w:space="0" w:color="000080"/>
                    <w:bottom w:val="single" w:sz="4" w:space="0" w:color="000080"/>
                  </w:tcBorders>
                </w:tcPr>
                <w:tbl>
                  <w:tblPr>
                    <w:tblW w:w="0" w:type="auto"/>
                    <w:jc w:val="right"/>
                    <w:tblBorders>
                      <w:top w:val="single" w:sz="4" w:space="0" w:color="000080"/>
                      <w:bottom w:val="single" w:sz="4" w:space="0" w:color="000080"/>
                    </w:tblBorders>
                    <w:tblLook w:val="01E0" w:firstRow="1" w:lastRow="1" w:firstColumn="1" w:lastColumn="1" w:noHBand="0" w:noVBand="0"/>
                  </w:tblPr>
                  <w:tblGrid>
                    <w:gridCol w:w="867"/>
                  </w:tblGrid>
                  <w:tr w:rsidR="00F85AD1" w:rsidRPr="009C0F8D" w14:paraId="6DBCFBCF" w14:textId="77777777" w:rsidTr="00B009BF">
                    <w:trPr>
                      <w:jc w:val="right"/>
                    </w:trPr>
                    <w:tc>
                      <w:tcPr>
                        <w:tcW w:w="1054" w:type="dxa"/>
                        <w:tcBorders>
                          <w:top w:val="single" w:sz="4" w:space="0" w:color="000080"/>
                        </w:tcBorders>
                      </w:tcPr>
                      <w:p w14:paraId="71232E88" w14:textId="77777777" w:rsidR="00F85AD1" w:rsidRPr="009C0F8D" w:rsidRDefault="00F85AD1" w:rsidP="00F85AD1">
                        <w:pPr>
                          <w:ind w:right="33"/>
                          <w:jc w:val="right"/>
                        </w:pPr>
                        <w:r w:rsidRPr="009C0F8D">
                          <w:t>27.144</w:t>
                        </w:r>
                      </w:p>
                    </w:tc>
                  </w:tr>
                </w:tbl>
                <w:p w14:paraId="06151D54" w14:textId="77777777" w:rsidR="00F85AD1" w:rsidRPr="009C0F8D" w:rsidRDefault="00F85AD1" w:rsidP="00F85AD1">
                  <w:pPr>
                    <w:ind w:right="33"/>
                    <w:jc w:val="right"/>
                  </w:pPr>
                </w:p>
              </w:tc>
            </w:tr>
          </w:tbl>
          <w:p w14:paraId="09641FEA" w14:textId="77777777" w:rsidR="009C0F8D" w:rsidRPr="009C0F8D" w:rsidRDefault="009C0F8D" w:rsidP="009C0F8D">
            <w:pPr>
              <w:ind w:right="33"/>
              <w:jc w:val="right"/>
            </w:pPr>
          </w:p>
        </w:tc>
      </w:tr>
      <w:tr w:rsidR="009C0F8D" w:rsidRPr="009C0F8D" w14:paraId="3AC36AA0" w14:textId="77777777" w:rsidTr="009C0F8D">
        <w:trPr>
          <w:cantSplit/>
        </w:trPr>
        <w:tc>
          <w:tcPr>
            <w:tcW w:w="3369" w:type="dxa"/>
          </w:tcPr>
          <w:p w14:paraId="7C3F46AB" w14:textId="77777777" w:rsidR="009C0F8D" w:rsidRPr="009C0F8D" w:rsidRDefault="009C0F8D" w:rsidP="009C0F8D">
            <w:r w:rsidRPr="009C0F8D">
              <w:t>equals estimated balance of non-Commonwealth contributions</w:t>
            </w:r>
          </w:p>
        </w:tc>
        <w:tc>
          <w:tcPr>
            <w:tcW w:w="850" w:type="dxa"/>
            <w:tcBorders>
              <w:top w:val="single" w:sz="4" w:space="0" w:color="000080"/>
              <w:bottom w:val="single" w:sz="4" w:space="0" w:color="000080"/>
            </w:tcBorders>
          </w:tcPr>
          <w:p w14:paraId="2286F6F3" w14:textId="77777777" w:rsidR="009C0F8D" w:rsidRPr="009C0F8D" w:rsidRDefault="009C0F8D" w:rsidP="009C0F8D">
            <w:pPr>
              <w:ind w:right="33"/>
              <w:jc w:val="right"/>
            </w:pPr>
            <w:r w:rsidRPr="009C0F8D">
              <w:t>5.4288</w:t>
            </w:r>
          </w:p>
        </w:tc>
        <w:tc>
          <w:tcPr>
            <w:tcW w:w="992" w:type="dxa"/>
            <w:tcBorders>
              <w:top w:val="single" w:sz="4" w:space="0" w:color="000080"/>
              <w:bottom w:val="single" w:sz="4" w:space="0" w:color="000080"/>
            </w:tcBorders>
          </w:tcPr>
          <w:p w14:paraId="2EBC8040" w14:textId="77777777" w:rsidR="009C0F8D" w:rsidRPr="009C0F8D" w:rsidRDefault="009C0F8D" w:rsidP="009C0F8D">
            <w:pPr>
              <w:ind w:right="33"/>
              <w:jc w:val="right"/>
            </w:pPr>
            <w:r w:rsidRPr="009C0F8D">
              <w:t>5.4288</w:t>
            </w:r>
          </w:p>
        </w:tc>
        <w:tc>
          <w:tcPr>
            <w:tcW w:w="850" w:type="dxa"/>
            <w:tcBorders>
              <w:top w:val="single" w:sz="4" w:space="0" w:color="000080"/>
              <w:bottom w:val="single" w:sz="4" w:space="0" w:color="000080"/>
            </w:tcBorders>
          </w:tcPr>
          <w:p w14:paraId="1090E507" w14:textId="77777777" w:rsidR="009C0F8D" w:rsidRPr="009C0F8D" w:rsidRDefault="009C0F8D" w:rsidP="009C0F8D">
            <w:pPr>
              <w:ind w:right="33"/>
              <w:jc w:val="right"/>
            </w:pPr>
            <w:r w:rsidRPr="009C0F8D">
              <w:t>5.4288</w:t>
            </w:r>
          </w:p>
        </w:tc>
        <w:tc>
          <w:tcPr>
            <w:tcW w:w="993" w:type="dxa"/>
            <w:tcBorders>
              <w:top w:val="single" w:sz="4" w:space="0" w:color="000080"/>
              <w:bottom w:val="single" w:sz="4" w:space="0" w:color="000080"/>
            </w:tcBorders>
          </w:tcPr>
          <w:p w14:paraId="21AF05DA" w14:textId="77777777" w:rsidR="009C0F8D" w:rsidRPr="009C0F8D" w:rsidRDefault="009C0F8D" w:rsidP="009C0F8D">
            <w:pPr>
              <w:ind w:right="33"/>
              <w:jc w:val="right"/>
            </w:pPr>
            <w:r w:rsidRPr="009C0F8D">
              <w:t>5.4288</w:t>
            </w:r>
          </w:p>
        </w:tc>
        <w:tc>
          <w:tcPr>
            <w:tcW w:w="992" w:type="dxa"/>
            <w:tcBorders>
              <w:top w:val="single" w:sz="4" w:space="0" w:color="000080"/>
              <w:bottom w:val="single" w:sz="4" w:space="0" w:color="000080"/>
            </w:tcBorders>
          </w:tcPr>
          <w:p w14:paraId="52803A89" w14:textId="77777777" w:rsidR="009C0F8D" w:rsidRPr="009C0F8D" w:rsidRDefault="009C0F8D" w:rsidP="009C0F8D">
            <w:pPr>
              <w:ind w:right="33"/>
              <w:jc w:val="right"/>
            </w:pPr>
            <w:r w:rsidRPr="009C0F8D">
              <w:t>5.4288</w:t>
            </w:r>
          </w:p>
        </w:tc>
        <w:tc>
          <w:tcPr>
            <w:tcW w:w="1054" w:type="dxa"/>
            <w:tcBorders>
              <w:top w:val="single" w:sz="4" w:space="0" w:color="000080"/>
              <w:bottom w:val="single" w:sz="4" w:space="0" w:color="000080"/>
            </w:tcBorders>
          </w:tcPr>
          <w:tbl>
            <w:tblPr>
              <w:tblW w:w="0" w:type="auto"/>
              <w:tblBorders>
                <w:top w:val="single" w:sz="4" w:space="0" w:color="000080"/>
                <w:bottom w:val="single" w:sz="4" w:space="0" w:color="000080"/>
              </w:tblBorders>
              <w:tblLook w:val="01E0" w:firstRow="1" w:lastRow="1" w:firstColumn="1" w:lastColumn="1" w:noHBand="0" w:noVBand="0"/>
            </w:tblPr>
            <w:tblGrid>
              <w:gridCol w:w="1054"/>
            </w:tblGrid>
            <w:tr w:rsidR="009C0F8D" w:rsidRPr="009C0F8D" w14:paraId="22E1F112" w14:textId="77777777" w:rsidTr="009C0F8D">
              <w:tc>
                <w:tcPr>
                  <w:tcW w:w="1054" w:type="dxa"/>
                  <w:tcBorders>
                    <w:top w:val="single" w:sz="4" w:space="0" w:color="000080"/>
                  </w:tcBorders>
                </w:tcPr>
                <w:p w14:paraId="1C527868" w14:textId="77777777" w:rsidR="009C0F8D" w:rsidRPr="009C0F8D" w:rsidRDefault="009C0F8D" w:rsidP="009C0F8D">
                  <w:pPr>
                    <w:ind w:right="33"/>
                    <w:jc w:val="right"/>
                  </w:pPr>
                  <w:r w:rsidRPr="009C0F8D">
                    <w:t>27.144</w:t>
                  </w:r>
                </w:p>
              </w:tc>
            </w:tr>
          </w:tbl>
          <w:p w14:paraId="50E9F75C" w14:textId="77777777" w:rsidR="009C0F8D" w:rsidRPr="009C0F8D" w:rsidRDefault="009C0F8D" w:rsidP="009C0F8D">
            <w:pPr>
              <w:ind w:right="33"/>
              <w:jc w:val="right"/>
            </w:pPr>
          </w:p>
        </w:tc>
      </w:tr>
      <w:tr w:rsidR="009C0F8D" w:rsidRPr="009C0F8D" w14:paraId="1B530555" w14:textId="77777777" w:rsidTr="009C0F8D">
        <w:trPr>
          <w:cantSplit/>
        </w:trPr>
        <w:tc>
          <w:tcPr>
            <w:tcW w:w="3369" w:type="dxa"/>
            <w:tcBorders>
              <w:bottom w:val="single" w:sz="4" w:space="0" w:color="000080"/>
            </w:tcBorders>
          </w:tcPr>
          <w:p w14:paraId="75DE4CAC" w14:textId="77777777" w:rsidR="009C0F8D" w:rsidRPr="009C0F8D" w:rsidRDefault="009C0F8D" w:rsidP="009C0F8D">
            <w:r w:rsidRPr="009C0F8D">
              <w:t xml:space="preserve">Total </w:t>
            </w:r>
            <w:r w:rsidRPr="009C0F8D">
              <w:rPr>
                <w:b/>
              </w:rPr>
              <w:t>Commonwealth contribution</w:t>
            </w:r>
          </w:p>
        </w:tc>
        <w:tc>
          <w:tcPr>
            <w:tcW w:w="850" w:type="dxa"/>
            <w:tcBorders>
              <w:top w:val="single" w:sz="4" w:space="0" w:color="000080"/>
              <w:bottom w:val="single" w:sz="4" w:space="0" w:color="000080"/>
            </w:tcBorders>
          </w:tcPr>
          <w:p w14:paraId="6C304670" w14:textId="77777777" w:rsidR="009C0F8D" w:rsidRPr="009C0F8D" w:rsidRDefault="009C0F8D" w:rsidP="009C0F8D">
            <w:pPr>
              <w:ind w:right="33"/>
              <w:jc w:val="right"/>
            </w:pPr>
            <w:r w:rsidRPr="009C0F8D">
              <w:t>5.4288</w:t>
            </w:r>
          </w:p>
        </w:tc>
        <w:tc>
          <w:tcPr>
            <w:tcW w:w="992" w:type="dxa"/>
            <w:tcBorders>
              <w:top w:val="single" w:sz="4" w:space="0" w:color="000080"/>
              <w:bottom w:val="single" w:sz="4" w:space="0" w:color="000080"/>
            </w:tcBorders>
          </w:tcPr>
          <w:p w14:paraId="130B1C85" w14:textId="77777777" w:rsidR="009C0F8D" w:rsidRPr="009C0F8D" w:rsidRDefault="009C0F8D" w:rsidP="009C0F8D">
            <w:pPr>
              <w:ind w:right="33"/>
              <w:jc w:val="right"/>
            </w:pPr>
            <w:r w:rsidRPr="009C0F8D">
              <w:t>5.4288</w:t>
            </w:r>
          </w:p>
        </w:tc>
        <w:tc>
          <w:tcPr>
            <w:tcW w:w="850" w:type="dxa"/>
            <w:tcBorders>
              <w:top w:val="single" w:sz="4" w:space="0" w:color="000080"/>
              <w:bottom w:val="single" w:sz="4" w:space="0" w:color="000080"/>
            </w:tcBorders>
          </w:tcPr>
          <w:p w14:paraId="2C51C819" w14:textId="77777777" w:rsidR="009C0F8D" w:rsidRPr="009C0F8D" w:rsidRDefault="009C0F8D" w:rsidP="009C0F8D">
            <w:pPr>
              <w:ind w:right="33"/>
              <w:jc w:val="right"/>
            </w:pPr>
            <w:r w:rsidRPr="009C0F8D">
              <w:t>5.4288</w:t>
            </w:r>
          </w:p>
        </w:tc>
        <w:tc>
          <w:tcPr>
            <w:tcW w:w="993" w:type="dxa"/>
            <w:tcBorders>
              <w:top w:val="single" w:sz="4" w:space="0" w:color="000080"/>
              <w:bottom w:val="single" w:sz="4" w:space="0" w:color="000080"/>
            </w:tcBorders>
          </w:tcPr>
          <w:p w14:paraId="5876403F" w14:textId="77777777" w:rsidR="009C0F8D" w:rsidRPr="009C0F8D" w:rsidRDefault="009C0F8D" w:rsidP="009C0F8D">
            <w:pPr>
              <w:ind w:right="33"/>
              <w:jc w:val="right"/>
            </w:pPr>
            <w:r w:rsidRPr="009C0F8D">
              <w:t>5.4288</w:t>
            </w:r>
          </w:p>
        </w:tc>
        <w:tc>
          <w:tcPr>
            <w:tcW w:w="992" w:type="dxa"/>
            <w:tcBorders>
              <w:top w:val="single" w:sz="4" w:space="0" w:color="000080"/>
              <w:bottom w:val="single" w:sz="4" w:space="0" w:color="000080"/>
            </w:tcBorders>
          </w:tcPr>
          <w:p w14:paraId="4B8B9092" w14:textId="77777777" w:rsidR="009C0F8D" w:rsidRPr="009C0F8D" w:rsidRDefault="009C0F8D" w:rsidP="009C0F8D">
            <w:pPr>
              <w:ind w:right="33"/>
              <w:jc w:val="right"/>
            </w:pPr>
            <w:r w:rsidRPr="009C0F8D">
              <w:t>5.4288</w:t>
            </w:r>
          </w:p>
        </w:tc>
        <w:tc>
          <w:tcPr>
            <w:tcW w:w="1054" w:type="dxa"/>
            <w:tcBorders>
              <w:top w:val="single" w:sz="4" w:space="0" w:color="000080"/>
              <w:bottom w:val="single" w:sz="4" w:space="0" w:color="000080"/>
            </w:tcBorders>
          </w:tcPr>
          <w:tbl>
            <w:tblPr>
              <w:tblW w:w="0" w:type="auto"/>
              <w:tblBorders>
                <w:top w:val="single" w:sz="4" w:space="0" w:color="000080"/>
                <w:bottom w:val="single" w:sz="4" w:space="0" w:color="000080"/>
              </w:tblBorders>
              <w:tblLook w:val="01E0" w:firstRow="1" w:lastRow="1" w:firstColumn="1" w:lastColumn="1" w:noHBand="0" w:noVBand="0"/>
            </w:tblPr>
            <w:tblGrid>
              <w:gridCol w:w="1054"/>
            </w:tblGrid>
            <w:tr w:rsidR="009C0F8D" w:rsidRPr="009C0F8D" w14:paraId="680A0E62" w14:textId="77777777" w:rsidTr="009C0F8D">
              <w:tc>
                <w:tcPr>
                  <w:tcW w:w="1054" w:type="dxa"/>
                  <w:tcBorders>
                    <w:top w:val="single" w:sz="4" w:space="0" w:color="000080"/>
                  </w:tcBorders>
                </w:tcPr>
                <w:p w14:paraId="44360928" w14:textId="77777777" w:rsidR="009C0F8D" w:rsidRPr="009C0F8D" w:rsidRDefault="009C0F8D" w:rsidP="009C0F8D">
                  <w:pPr>
                    <w:ind w:right="33"/>
                    <w:jc w:val="right"/>
                  </w:pPr>
                  <w:r w:rsidRPr="009C0F8D">
                    <w:t>27.144</w:t>
                  </w:r>
                </w:p>
              </w:tc>
            </w:tr>
          </w:tbl>
          <w:p w14:paraId="64D6B10C" w14:textId="77777777" w:rsidR="009C0F8D" w:rsidRPr="009C0F8D" w:rsidRDefault="009C0F8D" w:rsidP="009C0F8D">
            <w:pPr>
              <w:ind w:right="33"/>
              <w:jc w:val="right"/>
            </w:pPr>
          </w:p>
        </w:tc>
      </w:tr>
    </w:tbl>
    <w:p w14:paraId="1E3FEE3E" w14:textId="77777777" w:rsidR="0036688B" w:rsidRPr="00A36A37" w:rsidRDefault="0036688B" w:rsidP="00A17D70">
      <w:pPr>
        <w:pStyle w:val="Heading2"/>
      </w:pPr>
      <w:r w:rsidRPr="00A36A37">
        <w:t>Program logic</w:t>
      </w:r>
    </w:p>
    <w:p w14:paraId="15A38383" w14:textId="4EB915DC" w:rsidR="0036688B" w:rsidRPr="001F7BEA" w:rsidRDefault="004F34BA" w:rsidP="0036688B">
      <w:pPr>
        <w:pStyle w:val="Normalnumbered"/>
        <w:spacing w:after="240" w:line="260" w:lineRule="exact"/>
        <w:jc w:val="both"/>
        <w:rPr>
          <w:rFonts w:eastAsia="Corbel"/>
        </w:rPr>
      </w:pPr>
      <w:r w:rsidRPr="7994A3D4">
        <w:rPr>
          <w:rFonts w:eastAsia="Corbel"/>
        </w:rPr>
        <w:t xml:space="preserve">The </w:t>
      </w:r>
      <w:r>
        <w:rPr>
          <w:rFonts w:eastAsia="Corbel"/>
        </w:rPr>
        <w:t xml:space="preserve">objective, </w:t>
      </w:r>
      <w:r w:rsidRPr="7994A3D4">
        <w:rPr>
          <w:rFonts w:eastAsia="Corbel"/>
        </w:rPr>
        <w:t xml:space="preserve">outcomes and </w:t>
      </w:r>
      <w:r>
        <w:rPr>
          <w:rFonts w:eastAsia="Corbel"/>
        </w:rPr>
        <w:t>outputs</w:t>
      </w:r>
      <w:r w:rsidRPr="7994A3D4">
        <w:rPr>
          <w:rFonts w:eastAsia="Corbel"/>
        </w:rPr>
        <w:t xml:space="preserve"> of the </w:t>
      </w:r>
      <w:r>
        <w:rPr>
          <w:rFonts w:eastAsia="Corbel"/>
        </w:rPr>
        <w:t>National Partnership</w:t>
      </w:r>
      <w:r w:rsidRPr="7994A3D4">
        <w:rPr>
          <w:rFonts w:eastAsia="Corbel"/>
        </w:rPr>
        <w:t xml:space="preserve"> </w:t>
      </w:r>
      <w:r w:rsidR="009C0F8D">
        <w:rPr>
          <w:rFonts w:eastAsia="Corbel"/>
        </w:rPr>
        <w:t xml:space="preserve">Agreement </w:t>
      </w:r>
      <w:r w:rsidRPr="7994A3D4">
        <w:rPr>
          <w:rFonts w:eastAsia="Corbel"/>
        </w:rPr>
        <w:t xml:space="preserve">will be achieved by implementing </w:t>
      </w:r>
      <w:r w:rsidR="001F7BEA">
        <w:rPr>
          <w:rFonts w:eastAsia="Corbel"/>
        </w:rPr>
        <w:t>the project elements outlined in Table 3</w:t>
      </w:r>
      <w:r w:rsidRPr="7994A3D4">
        <w:rPr>
          <w:rFonts w:eastAsia="Corbel"/>
        </w:rPr>
        <w:t xml:space="preserve"> to address </w:t>
      </w:r>
      <w:r>
        <w:rPr>
          <w:rFonts w:eastAsia="Corbel"/>
        </w:rPr>
        <w:t xml:space="preserve">natural hazard risks identified in State, regional or local risk assessments and </w:t>
      </w:r>
      <w:r w:rsidRPr="7994A3D4">
        <w:rPr>
          <w:rFonts w:eastAsia="Corbel"/>
        </w:rPr>
        <w:t>the</w:t>
      </w:r>
      <w:r>
        <w:rPr>
          <w:rFonts w:eastAsia="Corbel"/>
        </w:rPr>
        <w:t xml:space="preserve"> following</w:t>
      </w:r>
      <w:r w:rsidRPr="7994A3D4">
        <w:rPr>
          <w:rFonts w:eastAsia="Corbel"/>
        </w:rPr>
        <w:t xml:space="preserve"> priorities of the National Disaster Risk Reduction </w:t>
      </w:r>
      <w:r w:rsidR="0092583F">
        <w:rPr>
          <w:rFonts w:eastAsia="Corbel"/>
        </w:rPr>
        <w:t>Framework:</w:t>
      </w:r>
    </w:p>
    <w:p w14:paraId="74B2BFF5" w14:textId="77777777" w:rsidR="0092583F" w:rsidRDefault="0092583F" w:rsidP="0092583F">
      <w:pPr>
        <w:pStyle w:val="Normalnumbered"/>
        <w:numPr>
          <w:ilvl w:val="1"/>
          <w:numId w:val="9"/>
        </w:numPr>
        <w:rPr>
          <w:rFonts w:eastAsia="Corbel" w:cs="Corbel"/>
          <w:szCs w:val="23"/>
        </w:rPr>
      </w:pPr>
      <w:r>
        <w:rPr>
          <w:rFonts w:eastAsia="Corbel" w:cs="Corbel"/>
          <w:szCs w:val="23"/>
        </w:rPr>
        <w:t>understanding disaster risk;</w:t>
      </w:r>
    </w:p>
    <w:p w14:paraId="087B0142" w14:textId="77777777" w:rsidR="0092583F" w:rsidRDefault="0092583F" w:rsidP="0092583F">
      <w:pPr>
        <w:pStyle w:val="Normalnumbered"/>
        <w:numPr>
          <w:ilvl w:val="1"/>
          <w:numId w:val="9"/>
        </w:numPr>
        <w:rPr>
          <w:rFonts w:eastAsia="Corbel" w:cs="Corbel"/>
          <w:szCs w:val="23"/>
        </w:rPr>
      </w:pPr>
      <w:r>
        <w:rPr>
          <w:rFonts w:eastAsia="Corbel" w:cs="Corbel"/>
          <w:szCs w:val="23"/>
        </w:rPr>
        <w:t>accountable decision-making across all sectors to respond to immediate and long-term disaster risk and actively manage the potential creation or exacerbation of disaster risk;</w:t>
      </w:r>
    </w:p>
    <w:p w14:paraId="71EC0023" w14:textId="77777777" w:rsidR="0092583F" w:rsidRDefault="0092583F" w:rsidP="0092583F">
      <w:pPr>
        <w:pStyle w:val="Normalnumbered"/>
        <w:numPr>
          <w:ilvl w:val="1"/>
          <w:numId w:val="9"/>
        </w:numPr>
        <w:rPr>
          <w:rFonts w:eastAsia="Corbel" w:cs="Corbel"/>
          <w:szCs w:val="23"/>
        </w:rPr>
      </w:pPr>
      <w:r>
        <w:rPr>
          <w:rFonts w:eastAsia="Corbel" w:cs="Corbel"/>
          <w:szCs w:val="23"/>
        </w:rPr>
        <w:t>enhanced investment in disaster risk reduction to build resilience; and</w:t>
      </w:r>
    </w:p>
    <w:p w14:paraId="38FC98E7" w14:textId="69ADA93D" w:rsidR="0092583F" w:rsidRPr="0092583F" w:rsidRDefault="0092583F" w:rsidP="0092583F">
      <w:pPr>
        <w:pStyle w:val="Normalnumbered"/>
        <w:numPr>
          <w:ilvl w:val="1"/>
          <w:numId w:val="9"/>
        </w:numPr>
        <w:rPr>
          <w:rFonts w:eastAsia="Corbel" w:cs="Corbel"/>
          <w:szCs w:val="23"/>
        </w:rPr>
      </w:pPr>
      <w:r w:rsidRPr="0092583F">
        <w:rPr>
          <w:rFonts w:eastAsia="Corbel" w:cs="Corbel"/>
          <w:szCs w:val="23"/>
        </w:rPr>
        <w:lastRenderedPageBreak/>
        <w:t xml:space="preserve">transparent, sustainable and accountable governance, ownership and responsibility for disaster risk management.  </w:t>
      </w:r>
    </w:p>
    <w:p w14:paraId="000D5651" w14:textId="77777777" w:rsidR="009915C9" w:rsidRDefault="009915C9" w:rsidP="00A21A05">
      <w:pPr>
        <w:keepNext/>
        <w:spacing w:after="240"/>
        <w:rPr>
          <w:rFonts w:ascii="Consolas" w:hAnsi="Consolas"/>
          <w:b/>
          <w:color w:val="3D4B67"/>
          <w:szCs w:val="20"/>
        </w:rPr>
      </w:pPr>
    </w:p>
    <w:p w14:paraId="60D0BC37" w14:textId="3D3A48F3" w:rsidR="003E230C" w:rsidRDefault="0036688B" w:rsidP="00A21A05">
      <w:pPr>
        <w:keepNext/>
        <w:spacing w:after="240"/>
        <w:rPr>
          <w:rFonts w:ascii="Consolas" w:hAnsi="Consolas"/>
          <w:b/>
          <w:color w:val="3D4B67"/>
          <w:szCs w:val="20"/>
        </w:rPr>
      </w:pPr>
      <w:r>
        <w:rPr>
          <w:rFonts w:ascii="Consolas" w:hAnsi="Consolas"/>
          <w:b/>
          <w:color w:val="3D4B67"/>
          <w:szCs w:val="20"/>
        </w:rPr>
        <w:t xml:space="preserve">Table </w:t>
      </w:r>
      <w:r w:rsidR="008A1747">
        <w:rPr>
          <w:rFonts w:ascii="Consolas" w:hAnsi="Consolas"/>
          <w:b/>
          <w:color w:val="3D4B67"/>
          <w:szCs w:val="20"/>
        </w:rPr>
        <w:t>3</w:t>
      </w:r>
      <w:r w:rsidRPr="00A36A37">
        <w:rPr>
          <w:rFonts w:ascii="Consolas" w:hAnsi="Consolas"/>
          <w:b/>
          <w:color w:val="3D4B67"/>
          <w:szCs w:val="20"/>
        </w:rPr>
        <w:t xml:space="preserve">: Program logic </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725"/>
        <w:gridCol w:w="1661"/>
        <w:gridCol w:w="1797"/>
        <w:gridCol w:w="1797"/>
      </w:tblGrid>
      <w:tr w:rsidR="00F2493A" w:rsidRPr="000A72D2" w14:paraId="1893C1A7" w14:textId="77777777" w:rsidTr="00F418EB">
        <w:trPr>
          <w:cantSplit/>
        </w:trPr>
        <w:tc>
          <w:tcPr>
            <w:tcW w:w="1042" w:type="pct"/>
            <w:shd w:val="clear" w:color="auto" w:fill="E6E6E6"/>
          </w:tcPr>
          <w:p w14:paraId="42D1847D" w14:textId="77777777" w:rsidR="00F2493A" w:rsidRPr="006353DA" w:rsidRDefault="00737A4C" w:rsidP="00191251">
            <w:pPr>
              <w:rPr>
                <w:b/>
                <w:lang w:val="en-US" w:eastAsia="en-US"/>
              </w:rPr>
            </w:pPr>
            <w:r w:rsidRPr="006353DA">
              <w:rPr>
                <w:b/>
                <w:lang w:val="en-US" w:eastAsia="en-US"/>
              </w:rPr>
              <w:t>Project</w:t>
            </w:r>
            <w:r w:rsidR="00432B5D" w:rsidRPr="006353DA">
              <w:rPr>
                <w:b/>
                <w:lang w:val="en-US" w:eastAsia="en-US"/>
              </w:rPr>
              <w:t xml:space="preserve"> element</w:t>
            </w:r>
            <w:r w:rsidR="00F2493A" w:rsidRPr="006353DA">
              <w:rPr>
                <w:b/>
                <w:lang w:val="en-US" w:eastAsia="en-US"/>
              </w:rPr>
              <w:t>s</w:t>
            </w:r>
          </w:p>
          <w:p w14:paraId="7AD48892" w14:textId="77777777" w:rsidR="00F2493A" w:rsidRPr="006353DA" w:rsidRDefault="00F2493A" w:rsidP="00191251">
            <w:pPr>
              <w:rPr>
                <w:b/>
                <w:lang w:val="en-US" w:eastAsia="en-US"/>
              </w:rPr>
            </w:pPr>
          </w:p>
          <w:p w14:paraId="46884F16" w14:textId="77777777" w:rsidR="00F2493A" w:rsidRPr="006353DA" w:rsidRDefault="00F2493A" w:rsidP="00191251">
            <w:pPr>
              <w:rPr>
                <w:rFonts w:ascii="Times New Roman" w:hAnsi="Times New Roman"/>
                <w:b/>
              </w:rPr>
            </w:pPr>
          </w:p>
        </w:tc>
        <w:tc>
          <w:tcPr>
            <w:tcW w:w="978" w:type="pct"/>
            <w:shd w:val="clear" w:color="auto" w:fill="E6E6E6"/>
          </w:tcPr>
          <w:p w14:paraId="764ED72E" w14:textId="77777777" w:rsidR="00F2493A" w:rsidRPr="006353DA" w:rsidRDefault="00F2493A" w:rsidP="00191251">
            <w:pPr>
              <w:rPr>
                <w:b/>
              </w:rPr>
            </w:pPr>
            <w:r w:rsidRPr="006353DA">
              <w:rPr>
                <w:b/>
              </w:rPr>
              <w:t>Outputs</w:t>
            </w:r>
          </w:p>
          <w:p w14:paraId="49A1F7E5" w14:textId="77777777" w:rsidR="00F2493A" w:rsidRPr="006353DA" w:rsidRDefault="00DC0703" w:rsidP="00191251">
            <w:pPr>
              <w:rPr>
                <w:b/>
              </w:rPr>
            </w:pPr>
            <w:r w:rsidRPr="006353DA">
              <w:rPr>
                <w:b/>
              </w:rPr>
              <w:t>(for example</w:t>
            </w:r>
            <w:r w:rsidR="00F2493A" w:rsidRPr="006353DA">
              <w:rPr>
                <w:b/>
              </w:rPr>
              <w:t xml:space="preserve"> services delivered, buildings constructed)</w:t>
            </w:r>
          </w:p>
        </w:tc>
        <w:tc>
          <w:tcPr>
            <w:tcW w:w="942" w:type="pct"/>
            <w:shd w:val="clear" w:color="auto" w:fill="E6E6E6"/>
          </w:tcPr>
          <w:p w14:paraId="65AFF384" w14:textId="77777777" w:rsidR="00F2493A" w:rsidRPr="006353DA" w:rsidRDefault="00F2493A" w:rsidP="00191251">
            <w:pPr>
              <w:rPr>
                <w:b/>
              </w:rPr>
            </w:pPr>
            <w:r w:rsidRPr="006353DA">
              <w:rPr>
                <w:b/>
              </w:rPr>
              <w:t>Outcomes</w:t>
            </w:r>
          </w:p>
        </w:tc>
        <w:tc>
          <w:tcPr>
            <w:tcW w:w="1019" w:type="pct"/>
            <w:shd w:val="clear" w:color="auto" w:fill="E6E6E6"/>
          </w:tcPr>
          <w:p w14:paraId="2A1DFB4D" w14:textId="77777777" w:rsidR="00F2493A" w:rsidRPr="006353DA" w:rsidRDefault="00F2493A" w:rsidP="00191251">
            <w:pPr>
              <w:rPr>
                <w:b/>
              </w:rPr>
            </w:pPr>
            <w:r w:rsidRPr="006353DA">
              <w:rPr>
                <w:b/>
              </w:rPr>
              <w:t>Reform/ Project Objectives</w:t>
            </w:r>
          </w:p>
        </w:tc>
        <w:tc>
          <w:tcPr>
            <w:tcW w:w="1019" w:type="pct"/>
            <w:shd w:val="clear" w:color="auto" w:fill="E6E6E6"/>
          </w:tcPr>
          <w:p w14:paraId="5B3E8579" w14:textId="77777777" w:rsidR="00F2493A" w:rsidRDefault="00F2493A" w:rsidP="00191251">
            <w:pPr>
              <w:rPr>
                <w:b/>
              </w:rPr>
            </w:pPr>
            <w:r w:rsidRPr="006353DA">
              <w:rPr>
                <w:b/>
              </w:rPr>
              <w:t>Responsibilities</w:t>
            </w:r>
          </w:p>
          <w:p w14:paraId="08935E42" w14:textId="77777777" w:rsidR="00B6750E" w:rsidRPr="006353DA" w:rsidRDefault="00B6750E" w:rsidP="00191251">
            <w:pPr>
              <w:rPr>
                <w:b/>
              </w:rPr>
            </w:pPr>
            <w:r>
              <w:rPr>
                <w:b/>
              </w:rPr>
              <w:t>State or Territory</w:t>
            </w:r>
          </w:p>
        </w:tc>
      </w:tr>
      <w:tr w:rsidR="00F2493A" w:rsidRPr="000A72D2" w14:paraId="79214426" w14:textId="77777777" w:rsidTr="00F418EB">
        <w:trPr>
          <w:cantSplit/>
        </w:trPr>
        <w:tc>
          <w:tcPr>
            <w:tcW w:w="1042" w:type="pct"/>
          </w:tcPr>
          <w:p w14:paraId="7778D591" w14:textId="77777777" w:rsidR="00F2493A" w:rsidRPr="00F418EB" w:rsidRDefault="00432B5D" w:rsidP="00191251">
            <w:pPr>
              <w:rPr>
                <w:b/>
              </w:rPr>
            </w:pPr>
            <w:r w:rsidRPr="00F418EB">
              <w:rPr>
                <w:b/>
              </w:rPr>
              <w:t xml:space="preserve">Element </w:t>
            </w:r>
            <w:r w:rsidR="00F2493A" w:rsidRPr="00F418EB">
              <w:rPr>
                <w:b/>
              </w:rPr>
              <w:t>1</w:t>
            </w:r>
          </w:p>
          <w:p w14:paraId="71A61AD4" w14:textId="201D2CC5" w:rsidR="00FD2306" w:rsidRDefault="006D5224" w:rsidP="00FD2306">
            <w:r>
              <w:t>Building disaster risk knowledge</w:t>
            </w:r>
          </w:p>
          <w:p w14:paraId="0C601A4D" w14:textId="77777777" w:rsidR="00DC102D" w:rsidRDefault="00DC102D" w:rsidP="00191251"/>
          <w:p w14:paraId="5DDDA302" w14:textId="77777777" w:rsidR="00DC102D" w:rsidRDefault="00DC102D" w:rsidP="00191251"/>
          <w:p w14:paraId="1AC375EB" w14:textId="77777777" w:rsidR="00DC102D" w:rsidRDefault="00DC102D" w:rsidP="00191251"/>
          <w:p w14:paraId="578F8B51" w14:textId="77777777" w:rsidR="00DC102D" w:rsidRDefault="00DC102D" w:rsidP="00191251"/>
          <w:p w14:paraId="38E07F30" w14:textId="77777777" w:rsidR="00DC102D" w:rsidRDefault="00DC102D" w:rsidP="0061613E"/>
          <w:p w14:paraId="177C2956" w14:textId="77777777" w:rsidR="0061613E" w:rsidRDefault="0061613E" w:rsidP="0061613E"/>
          <w:p w14:paraId="114A7401" w14:textId="77777777" w:rsidR="0061613E" w:rsidRDefault="0061613E" w:rsidP="0061613E"/>
          <w:p w14:paraId="705100D5" w14:textId="77777777" w:rsidR="0061613E" w:rsidRPr="000A72D2" w:rsidRDefault="0061613E" w:rsidP="00DC102D"/>
        </w:tc>
        <w:tc>
          <w:tcPr>
            <w:tcW w:w="978" w:type="pct"/>
          </w:tcPr>
          <w:p w14:paraId="6E99ED9A" w14:textId="77777777" w:rsidR="009A56E2" w:rsidRDefault="009A56E2" w:rsidP="00DC102D">
            <w:r>
              <w:t>Output1</w:t>
            </w:r>
          </w:p>
          <w:p w14:paraId="223D2176" w14:textId="479B7961" w:rsidR="00DC102D" w:rsidRPr="000A72D2" w:rsidRDefault="004B58C0" w:rsidP="00DC102D">
            <w:r>
              <w:t>Research projects to identify</w:t>
            </w:r>
            <w:r w:rsidR="007B5AC5">
              <w:t xml:space="preserve"> risk</w:t>
            </w:r>
            <w:r>
              <w:t xml:space="preserve">, and address data, information and resource gaps </w:t>
            </w:r>
          </w:p>
        </w:tc>
        <w:tc>
          <w:tcPr>
            <w:tcW w:w="942" w:type="pct"/>
          </w:tcPr>
          <w:p w14:paraId="1E3970BB" w14:textId="77777777" w:rsidR="009A56E2" w:rsidRDefault="009A56E2" w:rsidP="00191251">
            <w:r>
              <w:t>Outcome 1</w:t>
            </w:r>
          </w:p>
          <w:p w14:paraId="1CA666A4" w14:textId="6C4D4231" w:rsidR="00050AEC" w:rsidRPr="000A72D2" w:rsidRDefault="004B58C0" w:rsidP="00191251">
            <w:r>
              <w:t>Gaps in data, information, and research are identified</w:t>
            </w:r>
            <w:r w:rsidR="007B5AC5">
              <w:t xml:space="preserve"> to support risk reduction effort</w:t>
            </w:r>
          </w:p>
        </w:tc>
        <w:tc>
          <w:tcPr>
            <w:tcW w:w="1019" w:type="pct"/>
          </w:tcPr>
          <w:p w14:paraId="36BC579A" w14:textId="77777777" w:rsidR="009A56E2" w:rsidRDefault="009A56E2" w:rsidP="004B58C0">
            <w:r>
              <w:t>Objective</w:t>
            </w:r>
          </w:p>
          <w:p w14:paraId="7279875C" w14:textId="77777777" w:rsidR="007C59A1" w:rsidRPr="000A72D2" w:rsidRDefault="009A56E2" w:rsidP="004B58C0">
            <w:r>
              <w:t>Decision makers can make evidenced based informed decisions to develop robust policies, programs and practice</w:t>
            </w:r>
          </w:p>
        </w:tc>
        <w:tc>
          <w:tcPr>
            <w:tcW w:w="1019" w:type="pct"/>
          </w:tcPr>
          <w:p w14:paraId="706DDB8B" w14:textId="5AFFACC7" w:rsidR="00050AEC" w:rsidRDefault="00050AEC" w:rsidP="00191251">
            <w:r>
              <w:t>Resilience NSW</w:t>
            </w:r>
          </w:p>
          <w:p w14:paraId="418C47AD" w14:textId="77777777" w:rsidR="00050AEC" w:rsidRDefault="00050AEC" w:rsidP="00191251"/>
          <w:p w14:paraId="3DA68C24" w14:textId="77777777" w:rsidR="0038097D" w:rsidRDefault="0038097D" w:rsidP="00191251"/>
          <w:p w14:paraId="395B282E" w14:textId="77777777" w:rsidR="00050AEC" w:rsidRPr="000A72D2" w:rsidRDefault="00050AEC" w:rsidP="00191251"/>
        </w:tc>
      </w:tr>
      <w:tr w:rsidR="00DC102D" w:rsidRPr="000A72D2" w14:paraId="71AEDD71" w14:textId="77777777" w:rsidTr="00F418EB">
        <w:trPr>
          <w:cantSplit/>
        </w:trPr>
        <w:tc>
          <w:tcPr>
            <w:tcW w:w="1042" w:type="pct"/>
          </w:tcPr>
          <w:p w14:paraId="0C406509" w14:textId="77777777" w:rsidR="00DC102D" w:rsidRPr="00F418EB" w:rsidRDefault="00DC102D" w:rsidP="00DC102D">
            <w:pPr>
              <w:rPr>
                <w:b/>
              </w:rPr>
            </w:pPr>
            <w:r w:rsidRPr="00F418EB">
              <w:rPr>
                <w:b/>
              </w:rPr>
              <w:lastRenderedPageBreak/>
              <w:t>Element</w:t>
            </w:r>
            <w:r w:rsidRPr="00F418EB" w:rsidDel="00432B5D">
              <w:rPr>
                <w:b/>
              </w:rPr>
              <w:t xml:space="preserve"> </w:t>
            </w:r>
            <w:r w:rsidRPr="00F418EB">
              <w:rPr>
                <w:b/>
              </w:rPr>
              <w:t>2</w:t>
            </w:r>
          </w:p>
          <w:p w14:paraId="1D70CE3B" w14:textId="77777777" w:rsidR="00FD2306" w:rsidRDefault="00FD2306" w:rsidP="00FD2306">
            <w:pPr>
              <w:autoSpaceDE w:val="0"/>
              <w:autoSpaceDN w:val="0"/>
              <w:adjustRightInd w:val="0"/>
              <w:rPr>
                <w:rFonts w:asciiTheme="minorHAnsi" w:hAnsiTheme="minorHAnsi"/>
                <w:sz w:val="24"/>
              </w:rPr>
            </w:pPr>
            <w:r>
              <w:rPr>
                <w:rFonts w:asciiTheme="minorHAnsi" w:hAnsiTheme="minorHAnsi"/>
                <w:sz w:val="24"/>
              </w:rPr>
              <w:t>State Risk Reduction</w:t>
            </w:r>
          </w:p>
          <w:p w14:paraId="0BA47D9C" w14:textId="77777777" w:rsidR="00DC102D" w:rsidRDefault="00DC102D" w:rsidP="00FD2306">
            <w:pPr>
              <w:autoSpaceDE w:val="0"/>
              <w:autoSpaceDN w:val="0"/>
              <w:adjustRightInd w:val="0"/>
            </w:pPr>
          </w:p>
        </w:tc>
        <w:tc>
          <w:tcPr>
            <w:tcW w:w="978" w:type="pct"/>
          </w:tcPr>
          <w:p w14:paraId="40738AC9" w14:textId="77777777" w:rsidR="00DC102D" w:rsidRDefault="002061D9" w:rsidP="00191251">
            <w:r>
              <w:t>Output 1</w:t>
            </w:r>
          </w:p>
          <w:p w14:paraId="2BA014F1" w14:textId="77777777" w:rsidR="00626763" w:rsidRPr="007614A5" w:rsidRDefault="00626763" w:rsidP="00626763">
            <w:pPr>
              <w:autoSpaceDE w:val="0"/>
              <w:autoSpaceDN w:val="0"/>
              <w:adjustRightInd w:val="0"/>
              <w:rPr>
                <w:rFonts w:cs="Corbel"/>
                <w:color w:val="000000"/>
                <w:szCs w:val="23"/>
              </w:rPr>
            </w:pPr>
            <w:r w:rsidRPr="007614A5">
              <w:rPr>
                <w:rFonts w:asciiTheme="minorHAnsi" w:hAnsiTheme="minorHAnsi"/>
                <w:sz w:val="24"/>
              </w:rPr>
              <w:t>Targeted investment in natural hazard risk reduction</w:t>
            </w:r>
            <w:r w:rsidRPr="007614A5">
              <w:rPr>
                <w:rFonts w:cs="Corbel"/>
                <w:color w:val="000000"/>
                <w:szCs w:val="23"/>
              </w:rPr>
              <w:t xml:space="preserve"> </w:t>
            </w:r>
          </w:p>
          <w:p w14:paraId="375025D0" w14:textId="77777777" w:rsidR="002061D9" w:rsidRDefault="002061D9" w:rsidP="002061D9">
            <w:r>
              <w:t>initiatives identified in State, regional and local risk assessments.</w:t>
            </w:r>
            <w:r w:rsidR="00626763">
              <w:t xml:space="preserve"> eg Bushfire and flood as determined in agency mitigation plans</w:t>
            </w:r>
          </w:p>
          <w:p w14:paraId="18C76240" w14:textId="77777777" w:rsidR="00FB3B93" w:rsidRDefault="00FB3B93" w:rsidP="002061D9"/>
          <w:p w14:paraId="3410E1E1" w14:textId="77777777" w:rsidR="00FB3B93" w:rsidRDefault="00FB3B93" w:rsidP="00FB3B93">
            <w:r>
              <w:t>Output 2</w:t>
            </w:r>
          </w:p>
          <w:p w14:paraId="06B64A29" w14:textId="1633C872" w:rsidR="00FB3B93" w:rsidRDefault="008A24E5" w:rsidP="00FB3B93">
            <w:r>
              <w:t>Delivery of</w:t>
            </w:r>
            <w:r w:rsidR="00FB3B93">
              <w:t xml:space="preserve"> disaster risk reduction projects of state significance</w:t>
            </w:r>
          </w:p>
          <w:p w14:paraId="1A47BD12" w14:textId="58A6C40C" w:rsidR="002061D9" w:rsidRPr="000A72D2" w:rsidRDefault="002061D9" w:rsidP="00191251"/>
        </w:tc>
        <w:tc>
          <w:tcPr>
            <w:tcW w:w="942" w:type="pct"/>
          </w:tcPr>
          <w:p w14:paraId="4D2D1B87" w14:textId="77777777" w:rsidR="00F418EB" w:rsidRDefault="00F418EB" w:rsidP="00F418EB">
            <w:r w:rsidRPr="000A72D2">
              <w:t>Outcome 1</w:t>
            </w:r>
          </w:p>
          <w:p w14:paraId="5685E887" w14:textId="309B1225" w:rsidR="00113D82" w:rsidRDefault="00113D82" w:rsidP="00191251">
            <w:r>
              <w:t>Understand</w:t>
            </w:r>
            <w:r w:rsidR="00626763">
              <w:t>ing</w:t>
            </w:r>
            <w:r>
              <w:t xml:space="preserve"> of</w:t>
            </w:r>
            <w:r w:rsidR="00626763">
              <w:t xml:space="preserve"> risk, mitigation plans and projects to treat</w:t>
            </w:r>
            <w:r>
              <w:t xml:space="preserve"> </w:t>
            </w:r>
            <w:r w:rsidR="009C0F8D">
              <w:t xml:space="preserve">and reduce </w:t>
            </w:r>
            <w:r>
              <w:t>risk</w:t>
            </w:r>
          </w:p>
          <w:p w14:paraId="6A365EC1" w14:textId="77777777" w:rsidR="00FD2306" w:rsidRDefault="00FD2306" w:rsidP="00191251"/>
          <w:p w14:paraId="42DDF88A" w14:textId="77777777" w:rsidR="00626763" w:rsidRDefault="00626763" w:rsidP="00191251"/>
          <w:p w14:paraId="5894AB96" w14:textId="77777777" w:rsidR="00626763" w:rsidRDefault="00626763" w:rsidP="00191251"/>
          <w:p w14:paraId="5A877115" w14:textId="77777777" w:rsidR="00626763" w:rsidRDefault="00626763" w:rsidP="00191251"/>
          <w:p w14:paraId="190A196F" w14:textId="77777777" w:rsidR="00626763" w:rsidRDefault="00626763" w:rsidP="00191251"/>
          <w:p w14:paraId="337E72E5" w14:textId="77777777" w:rsidR="00626763" w:rsidRDefault="00626763" w:rsidP="00191251"/>
          <w:p w14:paraId="4E976D06" w14:textId="77777777" w:rsidR="00626763" w:rsidRDefault="00626763" w:rsidP="00191251"/>
          <w:p w14:paraId="223E4F81" w14:textId="77777777" w:rsidR="00626763" w:rsidRDefault="00626763" w:rsidP="00191251"/>
          <w:p w14:paraId="4B7CD6EA" w14:textId="77777777" w:rsidR="00F418EB" w:rsidRDefault="00F418EB" w:rsidP="00191251"/>
          <w:p w14:paraId="0F4D9AB0" w14:textId="77777777" w:rsidR="00626763" w:rsidRDefault="00F418EB" w:rsidP="00191251">
            <w:r>
              <w:t>Outcome</w:t>
            </w:r>
            <w:r w:rsidR="006C23E5">
              <w:t xml:space="preserve"> 2</w:t>
            </w:r>
          </w:p>
          <w:p w14:paraId="2F3416F3" w14:textId="77777777" w:rsidR="00FD2306" w:rsidRPr="007614A5" w:rsidRDefault="00FD2306" w:rsidP="00FD2306">
            <w:pPr>
              <w:autoSpaceDE w:val="0"/>
              <w:autoSpaceDN w:val="0"/>
              <w:adjustRightInd w:val="0"/>
              <w:rPr>
                <w:rFonts w:cs="Corbel"/>
                <w:color w:val="000000"/>
                <w:szCs w:val="23"/>
              </w:rPr>
            </w:pPr>
            <w:r w:rsidRPr="007614A5">
              <w:rPr>
                <w:rFonts w:asciiTheme="minorHAnsi" w:hAnsiTheme="minorHAnsi"/>
                <w:sz w:val="24"/>
              </w:rPr>
              <w:t>Enhancing State Capability to reduce risk</w:t>
            </w:r>
            <w:r w:rsidRPr="007614A5">
              <w:rPr>
                <w:rFonts w:cs="Corbel"/>
                <w:color w:val="000000"/>
                <w:szCs w:val="23"/>
              </w:rPr>
              <w:t xml:space="preserve"> </w:t>
            </w:r>
          </w:p>
          <w:p w14:paraId="7C6126EA" w14:textId="77777777" w:rsidR="00FD2306" w:rsidRDefault="00FD2306" w:rsidP="00191251"/>
          <w:p w14:paraId="361ED984" w14:textId="77777777" w:rsidR="00FB3B93" w:rsidRDefault="00FB3B93" w:rsidP="00191251"/>
          <w:p w14:paraId="588B7631" w14:textId="77777777" w:rsidR="00FB3B93" w:rsidRDefault="00FB3B93" w:rsidP="00191251"/>
          <w:p w14:paraId="79421C73" w14:textId="77777777" w:rsidR="00FB3B93" w:rsidRDefault="00FB3B93" w:rsidP="00191251"/>
          <w:p w14:paraId="784A6222" w14:textId="77777777" w:rsidR="00FB3B93" w:rsidRDefault="00FB3B93" w:rsidP="00191251"/>
          <w:p w14:paraId="58A3A404" w14:textId="77777777" w:rsidR="00FB3B93" w:rsidRDefault="00FB3B93" w:rsidP="00191251"/>
          <w:p w14:paraId="18D81C6D" w14:textId="77777777" w:rsidR="00FB3B93" w:rsidRDefault="00FB3B93" w:rsidP="00191251"/>
          <w:p w14:paraId="35C73573" w14:textId="77777777" w:rsidR="00FB3B93" w:rsidRDefault="00FB3B93" w:rsidP="00191251"/>
          <w:p w14:paraId="365A4AEE" w14:textId="77777777" w:rsidR="00FB3B93" w:rsidRDefault="00FB3B93" w:rsidP="00191251"/>
          <w:p w14:paraId="40F9513F" w14:textId="77777777" w:rsidR="00FB3B93" w:rsidRDefault="00FB3B93" w:rsidP="00191251"/>
          <w:p w14:paraId="37AEADFC" w14:textId="77777777" w:rsidR="00FB3B93" w:rsidRPr="000A72D2" w:rsidRDefault="00FB3B93" w:rsidP="00191251"/>
        </w:tc>
        <w:tc>
          <w:tcPr>
            <w:tcW w:w="1019" w:type="pct"/>
          </w:tcPr>
          <w:p w14:paraId="43557D0E" w14:textId="77777777" w:rsidR="00F418EB" w:rsidRPr="00F418EB" w:rsidRDefault="00F418EB" w:rsidP="00F418EB">
            <w:r w:rsidRPr="00F418EB">
              <w:t>Objectives</w:t>
            </w:r>
          </w:p>
          <w:p w14:paraId="41AB5A20" w14:textId="77777777" w:rsidR="00FB3B93" w:rsidRDefault="00F418EB" w:rsidP="00191251">
            <w:r>
              <w:t>I</w:t>
            </w:r>
            <w:r w:rsidR="00626763">
              <w:t>dentif</w:t>
            </w:r>
            <w:r>
              <w:t>y</w:t>
            </w:r>
            <w:r w:rsidR="00626763">
              <w:t>ing the highest priority disaster risks and mitigation opportunities.</w:t>
            </w:r>
          </w:p>
          <w:p w14:paraId="65AD67DF" w14:textId="77777777" w:rsidR="00F418EB" w:rsidRDefault="00F418EB" w:rsidP="00191251"/>
          <w:p w14:paraId="4876C594" w14:textId="77777777" w:rsidR="00F418EB" w:rsidRDefault="00F418EB" w:rsidP="00191251"/>
          <w:p w14:paraId="0F86AA5E" w14:textId="77777777" w:rsidR="00F418EB" w:rsidRDefault="00F418EB" w:rsidP="00191251"/>
          <w:p w14:paraId="3B154546" w14:textId="3A0F7070" w:rsidR="009C0F8D" w:rsidRDefault="009C0F8D" w:rsidP="00191251"/>
          <w:p w14:paraId="7D5942A3" w14:textId="77777777" w:rsidR="009C0F8D" w:rsidRDefault="009C0F8D" w:rsidP="00191251"/>
          <w:p w14:paraId="300F0154" w14:textId="77777777" w:rsidR="00F418EB" w:rsidRDefault="00F418EB" w:rsidP="00191251"/>
          <w:p w14:paraId="4AB2C3FD" w14:textId="77777777" w:rsidR="00F418EB" w:rsidRDefault="00F418EB" w:rsidP="00191251"/>
          <w:p w14:paraId="4715AC48" w14:textId="77777777" w:rsidR="00F418EB" w:rsidRDefault="00F418EB" w:rsidP="00191251"/>
          <w:p w14:paraId="257F2B29" w14:textId="77777777" w:rsidR="00F418EB" w:rsidRDefault="00F418EB" w:rsidP="00191251"/>
          <w:p w14:paraId="1AA7980B" w14:textId="77777777" w:rsidR="00F418EB" w:rsidRDefault="00F418EB" w:rsidP="00191251">
            <w:r>
              <w:t>Objectives</w:t>
            </w:r>
          </w:p>
          <w:p w14:paraId="2A8090CD" w14:textId="7F1C378D" w:rsidR="00F418EB" w:rsidRDefault="007B5AC5" w:rsidP="00191251">
            <w:r>
              <w:t>Natural Hazard risks are understood and mitigated</w:t>
            </w:r>
          </w:p>
        </w:tc>
        <w:tc>
          <w:tcPr>
            <w:tcW w:w="1019" w:type="pct"/>
          </w:tcPr>
          <w:p w14:paraId="25FA60DD" w14:textId="77777777" w:rsidR="00626763" w:rsidRDefault="00626763" w:rsidP="00626763">
            <w:r>
              <w:t>Resilience NSW</w:t>
            </w:r>
          </w:p>
          <w:p w14:paraId="1162C924" w14:textId="30FAE32B" w:rsidR="00626763" w:rsidRDefault="00626763" w:rsidP="00626763">
            <w:r>
              <w:t>in partnership with other agencies eg NSW Rural F</w:t>
            </w:r>
            <w:r w:rsidR="00D54F5A">
              <w:t>ire Service, &amp; Dept of Planning, Industry &amp; Environment and Infrastructure NSW</w:t>
            </w:r>
          </w:p>
          <w:p w14:paraId="15CB2F2A" w14:textId="77777777" w:rsidR="00DC102D" w:rsidRDefault="00DC102D" w:rsidP="00191251"/>
          <w:p w14:paraId="2EDD23DE" w14:textId="77777777" w:rsidR="00626763" w:rsidRDefault="00626763" w:rsidP="00191251"/>
          <w:p w14:paraId="74B5CBAB" w14:textId="77777777" w:rsidR="00FB3B93" w:rsidRDefault="00FB3B93" w:rsidP="00191251"/>
          <w:p w14:paraId="7D535F05" w14:textId="77777777" w:rsidR="00FB3B93" w:rsidRDefault="00FB3B93" w:rsidP="00191251"/>
          <w:p w14:paraId="0271456C" w14:textId="645E7221" w:rsidR="00FB3B93" w:rsidRDefault="00FB3B93" w:rsidP="00191251"/>
          <w:p w14:paraId="164D5334" w14:textId="77777777" w:rsidR="009C0F8D" w:rsidRDefault="009C0F8D" w:rsidP="00191251"/>
          <w:p w14:paraId="66BCBD16" w14:textId="77777777" w:rsidR="00FB3B93" w:rsidRDefault="00F418EB" w:rsidP="00191251">
            <w:r>
              <w:t>Re</w:t>
            </w:r>
            <w:r w:rsidR="00FB3B93">
              <w:t>silience NSW</w:t>
            </w:r>
          </w:p>
        </w:tc>
      </w:tr>
      <w:tr w:rsidR="00F418EB" w:rsidRPr="000A72D2" w14:paraId="0716D4D2" w14:textId="77777777" w:rsidTr="00F418EB">
        <w:trPr>
          <w:cantSplit/>
        </w:trPr>
        <w:tc>
          <w:tcPr>
            <w:tcW w:w="1042" w:type="pct"/>
          </w:tcPr>
          <w:p w14:paraId="5C7219D5" w14:textId="77777777" w:rsidR="00F418EB" w:rsidRDefault="00F418EB" w:rsidP="00DC102D">
            <w:pPr>
              <w:rPr>
                <w:b/>
              </w:rPr>
            </w:pPr>
            <w:r>
              <w:rPr>
                <w:b/>
              </w:rPr>
              <w:lastRenderedPageBreak/>
              <w:t>Element 3</w:t>
            </w:r>
          </w:p>
          <w:p w14:paraId="2055DBDE" w14:textId="77777777" w:rsidR="00F418EB" w:rsidRPr="00F418EB" w:rsidRDefault="00F418EB" w:rsidP="00DC102D">
            <w:pPr>
              <w:rPr>
                <w:b/>
              </w:rPr>
            </w:pPr>
            <w:r>
              <w:t>Local and Regional Risk Reduction</w:t>
            </w:r>
          </w:p>
        </w:tc>
        <w:tc>
          <w:tcPr>
            <w:tcW w:w="978" w:type="pct"/>
          </w:tcPr>
          <w:p w14:paraId="18E0A52C" w14:textId="77777777" w:rsidR="00F418EB" w:rsidRDefault="00F418EB" w:rsidP="00191251">
            <w:r>
              <w:t>Output 1</w:t>
            </w:r>
          </w:p>
          <w:p w14:paraId="7D2D546F" w14:textId="6F76ED48" w:rsidR="00F418EB" w:rsidRPr="00F736B7" w:rsidRDefault="00F418EB" w:rsidP="00F418EB">
            <w:r>
              <w:rPr>
                <w:rFonts w:asciiTheme="minorHAnsi" w:hAnsiTheme="minorHAnsi"/>
                <w:sz w:val="24"/>
              </w:rPr>
              <w:t xml:space="preserve">Regional and local risk reduction and preparedness </w:t>
            </w:r>
            <w:r w:rsidR="007B5AC5">
              <w:rPr>
                <w:rFonts w:asciiTheme="minorHAnsi" w:hAnsiTheme="minorHAnsi"/>
                <w:sz w:val="24"/>
              </w:rPr>
              <w:t>projects</w:t>
            </w:r>
          </w:p>
          <w:p w14:paraId="4F0D2327" w14:textId="77777777" w:rsidR="004B58C0" w:rsidRDefault="004B58C0" w:rsidP="004B58C0"/>
          <w:p w14:paraId="460A80AF" w14:textId="77777777" w:rsidR="004B58C0" w:rsidRDefault="004B58C0" w:rsidP="004B58C0">
            <w:r w:rsidRPr="000A72D2">
              <w:t>Output</w:t>
            </w:r>
            <w:r>
              <w:t xml:space="preserve"> 2</w:t>
            </w:r>
          </w:p>
          <w:p w14:paraId="0D43D8B8" w14:textId="3007195C" w:rsidR="004B58C0" w:rsidRDefault="004B58C0" w:rsidP="004B58C0">
            <w:r>
              <w:t>Community resilience and risk reduction initiatives</w:t>
            </w:r>
          </w:p>
          <w:p w14:paraId="7EDDAFEE" w14:textId="77777777" w:rsidR="004B58C0" w:rsidRDefault="004B58C0" w:rsidP="004B58C0"/>
          <w:p w14:paraId="19B33A4B" w14:textId="77777777" w:rsidR="004B58C0" w:rsidRDefault="004B58C0" w:rsidP="004B58C0"/>
          <w:p w14:paraId="0BD01A67" w14:textId="77777777" w:rsidR="004B58C0" w:rsidRDefault="004B58C0" w:rsidP="004B58C0"/>
          <w:p w14:paraId="49919C03" w14:textId="77777777" w:rsidR="004B58C0" w:rsidRDefault="004B58C0" w:rsidP="004B58C0"/>
          <w:p w14:paraId="721AFA93" w14:textId="77777777" w:rsidR="004B58C0" w:rsidRDefault="004B58C0" w:rsidP="004B58C0"/>
          <w:p w14:paraId="100BD14A" w14:textId="77777777" w:rsidR="004B58C0" w:rsidRDefault="004B58C0" w:rsidP="004B58C0"/>
          <w:p w14:paraId="3FE6ECB6" w14:textId="3929D151" w:rsidR="00F418EB" w:rsidRDefault="00F418EB" w:rsidP="004B58C0"/>
        </w:tc>
        <w:tc>
          <w:tcPr>
            <w:tcW w:w="942" w:type="pct"/>
          </w:tcPr>
          <w:p w14:paraId="1913CD20" w14:textId="77777777" w:rsidR="00F418EB" w:rsidRDefault="00F418EB" w:rsidP="00F418EB">
            <w:r>
              <w:t>Outcome</w:t>
            </w:r>
          </w:p>
          <w:p w14:paraId="27B0F149" w14:textId="77777777" w:rsidR="00F418EB" w:rsidRDefault="00F418EB" w:rsidP="00F418EB">
            <w:r>
              <w:t>Increased reduction of risk at local and regional levels</w:t>
            </w:r>
          </w:p>
          <w:p w14:paraId="4A253AE3" w14:textId="77777777" w:rsidR="004B58C0" w:rsidRDefault="004B58C0" w:rsidP="00F418EB"/>
          <w:p w14:paraId="5BF7CCD0" w14:textId="77777777" w:rsidR="007B5AC5" w:rsidRDefault="007B5AC5" w:rsidP="00F418EB"/>
          <w:p w14:paraId="67C3E1A7" w14:textId="77777777" w:rsidR="004B58C0" w:rsidRDefault="004B58C0" w:rsidP="004B58C0">
            <w:r w:rsidRPr="000A72D2">
              <w:t>Outcome 1</w:t>
            </w:r>
          </w:p>
          <w:p w14:paraId="73B10D2C" w14:textId="3CC4742E" w:rsidR="004B58C0" w:rsidRPr="000A72D2" w:rsidRDefault="004B58C0">
            <w:r>
              <w:t>Reducing risk and strengthening resilience to natural disasters through community engagement, partnerships and plannin</w:t>
            </w:r>
            <w:r w:rsidR="008A24E5">
              <w:t>g</w:t>
            </w:r>
          </w:p>
        </w:tc>
        <w:tc>
          <w:tcPr>
            <w:tcW w:w="1019" w:type="pct"/>
          </w:tcPr>
          <w:p w14:paraId="6A533A1B" w14:textId="77777777" w:rsidR="00F418EB" w:rsidRDefault="00F418EB" w:rsidP="00F418EB">
            <w:r>
              <w:t>Objectives Support and enable locally-led and owned place-based disaster risk reduction efforts</w:t>
            </w:r>
          </w:p>
          <w:p w14:paraId="15E91805" w14:textId="77777777" w:rsidR="004B58C0" w:rsidRDefault="004B58C0" w:rsidP="00F418EB"/>
          <w:p w14:paraId="2A4B351C" w14:textId="77777777" w:rsidR="004B58C0" w:rsidRPr="00F418EB" w:rsidRDefault="004B58C0" w:rsidP="004B58C0">
            <w:r w:rsidRPr="00F418EB">
              <w:t>Objectives</w:t>
            </w:r>
          </w:p>
          <w:p w14:paraId="22413CFA" w14:textId="77777777" w:rsidR="004B58C0" w:rsidRDefault="004B58C0" w:rsidP="004B58C0">
            <w:r>
              <w:t>Improve local community engagement focused activities that identify and reduce risk</w:t>
            </w:r>
          </w:p>
          <w:p w14:paraId="3D0C5A2F" w14:textId="77777777" w:rsidR="004B58C0" w:rsidRDefault="004B58C0" w:rsidP="004B58C0"/>
          <w:p w14:paraId="15FC5C7D" w14:textId="3026518E" w:rsidR="004B58C0" w:rsidRDefault="004B58C0" w:rsidP="004B58C0"/>
          <w:p w14:paraId="0D74DE1C" w14:textId="77777777" w:rsidR="00F418EB" w:rsidRDefault="00F418EB" w:rsidP="00F418EB"/>
          <w:p w14:paraId="5779A293" w14:textId="77777777" w:rsidR="00F418EB" w:rsidRPr="00F418EB" w:rsidRDefault="00F418EB" w:rsidP="00F418EB"/>
        </w:tc>
        <w:tc>
          <w:tcPr>
            <w:tcW w:w="1019" w:type="pct"/>
          </w:tcPr>
          <w:p w14:paraId="705EC966" w14:textId="77777777" w:rsidR="00F418EB" w:rsidRDefault="00F418EB" w:rsidP="00F418EB">
            <w:r>
              <w:t>State or Territory</w:t>
            </w:r>
          </w:p>
          <w:p w14:paraId="7F6152C0" w14:textId="77777777" w:rsidR="00F418EB" w:rsidRDefault="00F418EB" w:rsidP="00F418EB">
            <w:r>
              <w:t>Resilience NSW</w:t>
            </w:r>
          </w:p>
          <w:p w14:paraId="53B083F7" w14:textId="77777777" w:rsidR="004B58C0" w:rsidRDefault="004B58C0" w:rsidP="00F418EB"/>
          <w:p w14:paraId="35C36A15" w14:textId="77777777" w:rsidR="004B58C0" w:rsidRDefault="004B58C0" w:rsidP="00F418EB"/>
          <w:p w14:paraId="24C968D2" w14:textId="77777777" w:rsidR="004B58C0" w:rsidRDefault="004B58C0" w:rsidP="00F418EB"/>
          <w:p w14:paraId="5DC6F4D0" w14:textId="77777777" w:rsidR="004B58C0" w:rsidRDefault="004B58C0" w:rsidP="00F418EB"/>
          <w:p w14:paraId="34AAB611" w14:textId="77777777" w:rsidR="004B58C0" w:rsidRDefault="004B58C0" w:rsidP="00F418EB"/>
          <w:p w14:paraId="1417703D" w14:textId="77777777" w:rsidR="004B58C0" w:rsidRDefault="004B58C0" w:rsidP="00F418EB"/>
          <w:p w14:paraId="62398144" w14:textId="77777777" w:rsidR="004B58C0" w:rsidRDefault="004B58C0" w:rsidP="00F418EB">
            <w:r>
              <w:t>Resilience NSW</w:t>
            </w:r>
          </w:p>
          <w:p w14:paraId="5320F4E1" w14:textId="77777777" w:rsidR="004B58C0" w:rsidRDefault="004B58C0" w:rsidP="00F418EB"/>
          <w:p w14:paraId="325F3A26" w14:textId="77777777" w:rsidR="004B58C0" w:rsidRDefault="004B58C0" w:rsidP="00F418EB"/>
          <w:p w14:paraId="0A46988D" w14:textId="77777777" w:rsidR="004B58C0" w:rsidRDefault="004B58C0" w:rsidP="00F418EB"/>
          <w:p w14:paraId="51571D68" w14:textId="77777777" w:rsidR="004B58C0" w:rsidRDefault="004B58C0" w:rsidP="00F418EB"/>
          <w:p w14:paraId="0C7D4D33" w14:textId="77777777" w:rsidR="004B58C0" w:rsidRDefault="004B58C0" w:rsidP="00F418EB"/>
          <w:p w14:paraId="3E0752BA" w14:textId="77777777" w:rsidR="004B58C0" w:rsidRDefault="004B58C0" w:rsidP="00F418EB"/>
          <w:p w14:paraId="39FD8210" w14:textId="77777777" w:rsidR="004B58C0" w:rsidRDefault="004B58C0" w:rsidP="00F418EB"/>
          <w:p w14:paraId="4D736725" w14:textId="77777777" w:rsidR="004B58C0" w:rsidRDefault="004B58C0" w:rsidP="00F418EB"/>
          <w:p w14:paraId="5F48CD48" w14:textId="77777777" w:rsidR="004B58C0" w:rsidRDefault="004B58C0" w:rsidP="00F418EB"/>
          <w:p w14:paraId="1D1699CB" w14:textId="77777777" w:rsidR="004B58C0" w:rsidRDefault="004B58C0" w:rsidP="00F418EB"/>
        </w:tc>
      </w:tr>
      <w:tr w:rsidR="00F736B7" w:rsidRPr="000A72D2" w14:paraId="2D4337CE" w14:textId="77777777" w:rsidTr="00F418EB">
        <w:trPr>
          <w:cantSplit/>
        </w:trPr>
        <w:tc>
          <w:tcPr>
            <w:tcW w:w="1042" w:type="pct"/>
          </w:tcPr>
          <w:p w14:paraId="11EF2820" w14:textId="77777777" w:rsidR="00F736B7" w:rsidRPr="00F418EB" w:rsidRDefault="00F736B7" w:rsidP="00DC102D">
            <w:pPr>
              <w:rPr>
                <w:b/>
              </w:rPr>
            </w:pPr>
            <w:r w:rsidRPr="00F418EB">
              <w:rPr>
                <w:b/>
              </w:rPr>
              <w:t xml:space="preserve">Element </w:t>
            </w:r>
            <w:r w:rsidR="00F418EB" w:rsidRPr="00F418EB">
              <w:rPr>
                <w:b/>
              </w:rPr>
              <w:t>4</w:t>
            </w:r>
          </w:p>
          <w:p w14:paraId="1EE31112" w14:textId="77777777" w:rsidR="00FD2306" w:rsidRDefault="002C24E3" w:rsidP="002C24E3">
            <w:r>
              <w:t>Program Management and Evaluation</w:t>
            </w:r>
          </w:p>
        </w:tc>
        <w:tc>
          <w:tcPr>
            <w:tcW w:w="978" w:type="pct"/>
          </w:tcPr>
          <w:p w14:paraId="081290EC" w14:textId="77777777" w:rsidR="00F736B7" w:rsidRDefault="00F736B7" w:rsidP="00F736B7">
            <w:r>
              <w:t>Output 1</w:t>
            </w:r>
          </w:p>
          <w:p w14:paraId="4B4E55BF" w14:textId="3B712751" w:rsidR="00F736B7" w:rsidRDefault="00F736B7" w:rsidP="00F736B7">
            <w:r>
              <w:t xml:space="preserve">Funding for the administration </w:t>
            </w:r>
            <w:r w:rsidR="007B5AC5">
              <w:t xml:space="preserve">and evaluation </w:t>
            </w:r>
            <w:r>
              <w:t>of the program</w:t>
            </w:r>
          </w:p>
        </w:tc>
        <w:tc>
          <w:tcPr>
            <w:tcW w:w="942" w:type="pct"/>
          </w:tcPr>
          <w:p w14:paraId="173C5A14" w14:textId="77777777" w:rsidR="00F418EB" w:rsidRDefault="00F418EB" w:rsidP="00070BCC">
            <w:r>
              <w:t>Outcome</w:t>
            </w:r>
          </w:p>
          <w:p w14:paraId="01587501" w14:textId="351DA16E" w:rsidR="00F736B7" w:rsidRDefault="00F736B7" w:rsidP="00070BCC">
            <w:r>
              <w:t>A staff member dedicated to managing and administering projects</w:t>
            </w:r>
            <w:r w:rsidR="007B5AC5">
              <w:t xml:space="preserve"> and managing evaluation</w:t>
            </w:r>
          </w:p>
        </w:tc>
        <w:tc>
          <w:tcPr>
            <w:tcW w:w="1019" w:type="pct"/>
          </w:tcPr>
          <w:p w14:paraId="398D62A2" w14:textId="77777777" w:rsidR="00F418EB" w:rsidRDefault="00F418EB" w:rsidP="00DC102D">
            <w:r>
              <w:t>Objectives</w:t>
            </w:r>
          </w:p>
          <w:p w14:paraId="000DAE55" w14:textId="77777777" w:rsidR="00F736B7" w:rsidRDefault="00F736B7" w:rsidP="00DC102D">
            <w:r>
              <w:t>Projects are administered in accordance with Resilience NSW practices and audit requirements</w:t>
            </w:r>
          </w:p>
        </w:tc>
        <w:tc>
          <w:tcPr>
            <w:tcW w:w="1019" w:type="pct"/>
          </w:tcPr>
          <w:p w14:paraId="30D55B1A" w14:textId="77777777" w:rsidR="00F736B7" w:rsidRDefault="00F736B7" w:rsidP="00F736B7">
            <w:r>
              <w:t>Resilience NSW</w:t>
            </w:r>
          </w:p>
          <w:p w14:paraId="0414CE83" w14:textId="77777777" w:rsidR="00F736B7" w:rsidRDefault="00F736B7" w:rsidP="00DC102D"/>
        </w:tc>
      </w:tr>
    </w:tbl>
    <w:p w14:paraId="06C0A6DE" w14:textId="77777777" w:rsidR="0036688B" w:rsidRPr="00A36A37" w:rsidRDefault="0036688B" w:rsidP="00A17D70">
      <w:pPr>
        <w:pStyle w:val="Heading2"/>
      </w:pPr>
      <w:r w:rsidRPr="00A36A37">
        <w:t>Risk management</w:t>
      </w:r>
    </w:p>
    <w:p w14:paraId="27CE3BA3" w14:textId="77777777" w:rsidR="007374A0" w:rsidRPr="00701076" w:rsidRDefault="001F63E8" w:rsidP="007374A0">
      <w:pPr>
        <w:pStyle w:val="Normalnumbered"/>
        <w:spacing w:after="240" w:line="260" w:lineRule="exact"/>
        <w:jc w:val="both"/>
      </w:pPr>
      <w:r>
        <w:t>Resilience NSW has a Grants Administration Policy and Procedures Document and standard operating procedures for the administration of all grants funding.  Projects are monitored using the Grants Management system En</w:t>
      </w:r>
      <w:r w:rsidR="00590303">
        <w:t xml:space="preserve">Quire 2.  </w:t>
      </w:r>
    </w:p>
    <w:p w14:paraId="2DD29D67" w14:textId="77777777" w:rsidR="0036688B" w:rsidRPr="00A36A37" w:rsidRDefault="00347F6D" w:rsidP="00A17D70">
      <w:pPr>
        <w:pStyle w:val="Heading2"/>
      </w:pPr>
      <w:r>
        <w:t>Relevant State Context</w:t>
      </w:r>
    </w:p>
    <w:p w14:paraId="175370DE" w14:textId="0AF599E4" w:rsidR="008A24E5" w:rsidRDefault="00314D9E" w:rsidP="00B009BF">
      <w:pPr>
        <w:pStyle w:val="Normalnumbered"/>
      </w:pPr>
      <w:r>
        <w:t xml:space="preserve">In developing this </w:t>
      </w:r>
      <w:r w:rsidR="00E47C62">
        <w:t>Implementation Plan</w:t>
      </w:r>
      <w:r>
        <w:t xml:space="preserve"> consideration has been given to </w:t>
      </w:r>
      <w:r w:rsidR="00347F6D">
        <w:t xml:space="preserve">relevant </w:t>
      </w:r>
      <w:r w:rsidR="009D49F8">
        <w:t xml:space="preserve">State </w:t>
      </w:r>
      <w:r w:rsidR="00347F6D">
        <w:t>context.  Key factors that have influenced the proposed direction are</w:t>
      </w:r>
      <w:r>
        <w:t xml:space="preserve"> </w:t>
      </w:r>
      <w:r w:rsidR="00590303">
        <w:t>set out in Table 4</w:t>
      </w:r>
    </w:p>
    <w:p w14:paraId="46913344" w14:textId="4B6881F5" w:rsidR="008A24E5" w:rsidRDefault="008A24E5" w:rsidP="0036688B">
      <w:pPr>
        <w:keepNext/>
        <w:spacing w:before="240" w:after="240"/>
        <w:rPr>
          <w:rFonts w:ascii="Consolas" w:hAnsi="Consolas"/>
          <w:b/>
          <w:color w:val="3D4B67"/>
          <w:szCs w:val="20"/>
        </w:rPr>
      </w:pPr>
    </w:p>
    <w:p w14:paraId="42A1BDD7" w14:textId="183B8F36" w:rsidR="0036688B" w:rsidRPr="00254BF5" w:rsidRDefault="0036688B" w:rsidP="0036688B">
      <w:pPr>
        <w:keepNext/>
        <w:spacing w:before="240" w:after="240"/>
        <w:rPr>
          <w:rFonts w:ascii="Consolas" w:hAnsi="Consolas"/>
          <w:b/>
          <w:color w:val="3D4B67"/>
          <w:szCs w:val="20"/>
        </w:rPr>
      </w:pPr>
      <w:r>
        <w:rPr>
          <w:rFonts w:ascii="Consolas" w:hAnsi="Consolas"/>
          <w:b/>
          <w:color w:val="3D4B67"/>
          <w:szCs w:val="20"/>
        </w:rPr>
        <w:t xml:space="preserve">Table </w:t>
      </w:r>
      <w:r w:rsidR="00BF5863">
        <w:rPr>
          <w:rFonts w:ascii="Consolas" w:hAnsi="Consolas"/>
          <w:b/>
          <w:color w:val="3D4B67"/>
          <w:szCs w:val="20"/>
        </w:rPr>
        <w:t>4</w:t>
      </w:r>
      <w:r w:rsidRPr="00254BF5">
        <w:rPr>
          <w:rFonts w:ascii="Consolas" w:hAnsi="Consolas"/>
          <w:b/>
          <w:color w:val="3D4B67"/>
          <w:szCs w:val="20"/>
        </w:rPr>
        <w:t xml:space="preserve">: </w:t>
      </w:r>
      <w:r>
        <w:rPr>
          <w:rFonts w:ascii="Consolas" w:hAnsi="Consolas"/>
          <w:b/>
          <w:color w:val="3D4B67"/>
          <w:szCs w:val="20"/>
        </w:rPr>
        <w:t xml:space="preserve">Links with existing </w:t>
      </w:r>
      <w:r w:rsidR="00D579C1">
        <w:rPr>
          <w:rFonts w:ascii="Consolas" w:hAnsi="Consolas"/>
          <w:b/>
          <w:color w:val="3D4B67"/>
          <w:szCs w:val="20"/>
        </w:rPr>
        <w:t>reforms or project</w:t>
      </w:r>
      <w:r w:rsidR="003A1AFC">
        <w:rPr>
          <w:rFonts w:ascii="Consolas" w:hAnsi="Consolas"/>
          <w:b/>
          <w:color w:val="3D4B67"/>
          <w:szCs w:val="20"/>
        </w:rPr>
        <w:t>s</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3052"/>
        <w:gridCol w:w="3172"/>
      </w:tblGrid>
      <w:tr w:rsidR="0036688B" w:rsidRPr="000A72D2" w14:paraId="68ED3CCB" w14:textId="77777777" w:rsidTr="007A36B5">
        <w:trPr>
          <w:cantSplit/>
        </w:trPr>
        <w:tc>
          <w:tcPr>
            <w:tcW w:w="1415" w:type="pct"/>
            <w:shd w:val="clear" w:color="auto" w:fill="E6E6E6"/>
          </w:tcPr>
          <w:p w14:paraId="51FCA72A" w14:textId="77777777" w:rsidR="0036688B" w:rsidRPr="006353DA" w:rsidRDefault="0036688B" w:rsidP="006353DA">
            <w:pPr>
              <w:rPr>
                <w:b/>
              </w:rPr>
            </w:pPr>
            <w:r w:rsidRPr="006353DA">
              <w:rPr>
                <w:b/>
              </w:rPr>
              <w:t xml:space="preserve">Proposed </w:t>
            </w:r>
            <w:r w:rsidR="00C27447" w:rsidRPr="006353DA">
              <w:rPr>
                <w:b/>
              </w:rPr>
              <w:t>p</w:t>
            </w:r>
            <w:r w:rsidR="002616A0" w:rsidRPr="006353DA">
              <w:rPr>
                <w:b/>
              </w:rPr>
              <w:t>roject</w:t>
            </w:r>
            <w:r w:rsidR="00432B5D" w:rsidRPr="006353DA">
              <w:rPr>
                <w:b/>
              </w:rPr>
              <w:t xml:space="preserve"> element</w:t>
            </w:r>
            <w:r w:rsidR="00C27447" w:rsidRPr="006353DA">
              <w:rPr>
                <w:b/>
              </w:rPr>
              <w:t>s</w:t>
            </w:r>
            <w:r w:rsidR="002616A0" w:rsidRPr="006353DA">
              <w:rPr>
                <w:b/>
              </w:rPr>
              <w:t xml:space="preserve"> </w:t>
            </w:r>
          </w:p>
        </w:tc>
        <w:tc>
          <w:tcPr>
            <w:tcW w:w="1758" w:type="pct"/>
            <w:shd w:val="clear" w:color="auto" w:fill="E6E6E6"/>
          </w:tcPr>
          <w:p w14:paraId="64A5C9BA" w14:textId="77777777" w:rsidR="0036688B" w:rsidRPr="006353DA" w:rsidRDefault="0036688B" w:rsidP="006353DA">
            <w:pPr>
              <w:rPr>
                <w:b/>
              </w:rPr>
            </w:pPr>
            <w:r w:rsidRPr="006353DA">
              <w:rPr>
                <w:b/>
              </w:rPr>
              <w:t xml:space="preserve">Existing </w:t>
            </w:r>
            <w:r w:rsidR="00432B5D" w:rsidRPr="006353DA">
              <w:rPr>
                <w:b/>
              </w:rPr>
              <w:t>reforms or projects</w:t>
            </w:r>
          </w:p>
        </w:tc>
        <w:tc>
          <w:tcPr>
            <w:tcW w:w="1827" w:type="pct"/>
            <w:shd w:val="clear" w:color="auto" w:fill="E6E6E6"/>
          </w:tcPr>
          <w:p w14:paraId="4738CBBF" w14:textId="77777777" w:rsidR="0036688B" w:rsidRPr="006353DA" w:rsidRDefault="00BC5FA5" w:rsidP="006353DA">
            <w:pPr>
              <w:rPr>
                <w:b/>
              </w:rPr>
            </w:pPr>
            <w:r w:rsidRPr="006353DA">
              <w:rPr>
                <w:b/>
              </w:rPr>
              <w:t>C</w:t>
            </w:r>
            <w:r w:rsidR="0036688B" w:rsidRPr="006353DA">
              <w:rPr>
                <w:b/>
              </w:rPr>
              <w:t>omplementary nature of activities</w:t>
            </w:r>
          </w:p>
        </w:tc>
      </w:tr>
      <w:tr w:rsidR="0036688B" w:rsidRPr="000A72D2" w14:paraId="03C55876" w14:textId="77777777" w:rsidTr="007A36B5">
        <w:trPr>
          <w:cantSplit/>
        </w:trPr>
        <w:tc>
          <w:tcPr>
            <w:tcW w:w="1415" w:type="pct"/>
          </w:tcPr>
          <w:p w14:paraId="704232DA" w14:textId="77777777" w:rsidR="00B3418D" w:rsidRDefault="00B3418D" w:rsidP="00B3418D">
            <w:r>
              <w:t>Understanding risk and planning</w:t>
            </w:r>
          </w:p>
          <w:p w14:paraId="36A5BFBF" w14:textId="77777777" w:rsidR="00590303" w:rsidRPr="000A72D2" w:rsidRDefault="00590303" w:rsidP="00B3418D"/>
        </w:tc>
        <w:tc>
          <w:tcPr>
            <w:tcW w:w="1758" w:type="pct"/>
          </w:tcPr>
          <w:p w14:paraId="0FB9C141" w14:textId="77777777" w:rsidR="0028740F" w:rsidRDefault="0028740F" w:rsidP="007A36B5">
            <w:pPr>
              <w:pStyle w:val="TableText"/>
              <w:rPr>
                <w:rFonts w:asciiTheme="minorHAnsi" w:hAnsiTheme="minorHAnsi" w:cs="Calibri"/>
                <w:sz w:val="22"/>
                <w:szCs w:val="22"/>
              </w:rPr>
            </w:pPr>
            <w:r w:rsidRPr="0028740F">
              <w:rPr>
                <w:rFonts w:asciiTheme="minorHAnsi" w:hAnsiTheme="minorHAnsi" w:cs="Calibri"/>
                <w:sz w:val="22"/>
                <w:szCs w:val="22"/>
              </w:rPr>
              <w:t>2017 State Level Risk Assessment</w:t>
            </w:r>
          </w:p>
          <w:p w14:paraId="64379D4C" w14:textId="77777777" w:rsidR="002C24E3" w:rsidRPr="0028740F" w:rsidRDefault="002C24E3" w:rsidP="007A36B5">
            <w:pPr>
              <w:pStyle w:val="TableText"/>
              <w:rPr>
                <w:rFonts w:asciiTheme="minorHAnsi" w:hAnsiTheme="minorHAnsi" w:cs="Calibri"/>
                <w:sz w:val="22"/>
                <w:szCs w:val="22"/>
              </w:rPr>
            </w:pPr>
            <w:r>
              <w:rPr>
                <w:rFonts w:asciiTheme="minorHAnsi" w:hAnsiTheme="minorHAnsi" w:cs="Calibri"/>
                <w:sz w:val="22"/>
                <w:szCs w:val="22"/>
              </w:rPr>
              <w:t>NSW Critical Infrastructure Strategy</w:t>
            </w:r>
          </w:p>
          <w:p w14:paraId="449A5FC6" w14:textId="77777777" w:rsidR="0028740F" w:rsidRPr="0028740F" w:rsidRDefault="0028740F" w:rsidP="007A36B5">
            <w:pPr>
              <w:pStyle w:val="TableText"/>
              <w:rPr>
                <w:rFonts w:asciiTheme="minorHAnsi" w:hAnsiTheme="minorHAnsi" w:cs="Calibri"/>
                <w:sz w:val="22"/>
                <w:szCs w:val="22"/>
              </w:rPr>
            </w:pPr>
          </w:p>
        </w:tc>
        <w:tc>
          <w:tcPr>
            <w:tcW w:w="1827" w:type="pct"/>
          </w:tcPr>
          <w:p w14:paraId="71590FBC" w14:textId="77777777" w:rsidR="00E83247" w:rsidRDefault="00E83247" w:rsidP="00E83247">
            <w:pPr>
              <w:pStyle w:val="TableText"/>
              <w:rPr>
                <w:rFonts w:asciiTheme="minorHAnsi" w:hAnsiTheme="minorHAnsi" w:cs="Calibri"/>
                <w:sz w:val="22"/>
                <w:szCs w:val="22"/>
              </w:rPr>
            </w:pPr>
            <w:r>
              <w:rPr>
                <w:rFonts w:asciiTheme="minorHAnsi" w:hAnsiTheme="minorHAnsi" w:cs="Calibri"/>
                <w:sz w:val="22"/>
                <w:szCs w:val="22"/>
              </w:rPr>
              <w:t>AdaptNSW - Climate Change Strategy – Department of Planning, Industry and Environment</w:t>
            </w:r>
          </w:p>
          <w:p w14:paraId="00BD9337" w14:textId="77777777" w:rsidR="00EE62D4" w:rsidRPr="0028740F" w:rsidRDefault="00E83247" w:rsidP="00E83247">
            <w:pPr>
              <w:pStyle w:val="TableText"/>
              <w:rPr>
                <w:rFonts w:asciiTheme="minorHAnsi" w:hAnsiTheme="minorHAnsi" w:cs="Calibri"/>
                <w:sz w:val="22"/>
                <w:szCs w:val="22"/>
              </w:rPr>
            </w:pPr>
            <w:r>
              <w:rPr>
                <w:rFonts w:asciiTheme="minorHAnsi" w:hAnsiTheme="minorHAnsi" w:cs="Calibri"/>
                <w:sz w:val="22"/>
                <w:szCs w:val="22"/>
              </w:rPr>
              <w:t>State Infrastructure Strategy – Infrastructure NSW</w:t>
            </w:r>
          </w:p>
        </w:tc>
      </w:tr>
      <w:tr w:rsidR="0036688B" w:rsidRPr="000A72D2" w14:paraId="09D2AE18" w14:textId="77777777" w:rsidTr="007A36B5">
        <w:trPr>
          <w:cantSplit/>
        </w:trPr>
        <w:tc>
          <w:tcPr>
            <w:tcW w:w="1415" w:type="pct"/>
          </w:tcPr>
          <w:p w14:paraId="44DF522D" w14:textId="77777777" w:rsidR="0036688B" w:rsidRDefault="00432B5D" w:rsidP="006353DA">
            <w:r>
              <w:lastRenderedPageBreak/>
              <w:t>Element</w:t>
            </w:r>
            <w:r w:rsidDel="00432B5D">
              <w:t xml:space="preserve"> </w:t>
            </w:r>
            <w:r w:rsidR="0036688B">
              <w:t>2</w:t>
            </w:r>
          </w:p>
          <w:p w14:paraId="46606D3C" w14:textId="77777777" w:rsidR="00B3418D" w:rsidRDefault="00B3418D" w:rsidP="00B3418D">
            <w:pPr>
              <w:autoSpaceDE w:val="0"/>
              <w:autoSpaceDN w:val="0"/>
              <w:adjustRightInd w:val="0"/>
              <w:rPr>
                <w:rFonts w:asciiTheme="minorHAnsi" w:hAnsiTheme="minorHAnsi"/>
                <w:sz w:val="24"/>
              </w:rPr>
            </w:pPr>
            <w:r>
              <w:rPr>
                <w:rFonts w:asciiTheme="minorHAnsi" w:hAnsiTheme="minorHAnsi"/>
                <w:sz w:val="24"/>
              </w:rPr>
              <w:t>State Risk Reduction</w:t>
            </w:r>
          </w:p>
          <w:p w14:paraId="7C4B6C10" w14:textId="77777777" w:rsidR="00590303" w:rsidRPr="000A72D2" w:rsidRDefault="00590303" w:rsidP="00B3418D"/>
        </w:tc>
        <w:tc>
          <w:tcPr>
            <w:tcW w:w="1758" w:type="pct"/>
          </w:tcPr>
          <w:p w14:paraId="747D96C6" w14:textId="77777777" w:rsidR="0036688B" w:rsidRPr="0028740F" w:rsidRDefault="0028740F" w:rsidP="007A36B5">
            <w:pPr>
              <w:pStyle w:val="TableText"/>
              <w:rPr>
                <w:rFonts w:asciiTheme="minorHAnsi" w:hAnsiTheme="minorHAnsi" w:cs="Calibri"/>
                <w:sz w:val="22"/>
                <w:szCs w:val="22"/>
              </w:rPr>
            </w:pPr>
            <w:r w:rsidRPr="0028740F">
              <w:rPr>
                <w:rFonts w:asciiTheme="minorHAnsi" w:hAnsiTheme="minorHAnsi" w:cs="Calibri"/>
                <w:sz w:val="22"/>
                <w:szCs w:val="22"/>
              </w:rPr>
              <w:t xml:space="preserve">NSW State Natural Disaster Risk Assessment </w:t>
            </w:r>
          </w:p>
          <w:p w14:paraId="110E189A" w14:textId="77777777" w:rsidR="00B3418D" w:rsidRPr="00EE62D4" w:rsidRDefault="00B3418D" w:rsidP="00B3418D">
            <w:pPr>
              <w:pStyle w:val="TableText"/>
              <w:rPr>
                <w:rFonts w:asciiTheme="minorHAnsi" w:hAnsiTheme="minorHAnsi" w:cs="Calibri"/>
                <w:sz w:val="22"/>
                <w:szCs w:val="22"/>
              </w:rPr>
            </w:pPr>
            <w:r w:rsidRPr="00EE62D4">
              <w:rPr>
                <w:rFonts w:asciiTheme="minorHAnsi" w:hAnsiTheme="minorHAnsi" w:cs="Calibri"/>
                <w:sz w:val="22"/>
                <w:szCs w:val="22"/>
              </w:rPr>
              <w:t>NSW Bush Fire Risk Mitigation and Resilience Grants Programs</w:t>
            </w:r>
          </w:p>
          <w:p w14:paraId="64D28A5C" w14:textId="77777777" w:rsidR="00B3418D" w:rsidRPr="00EE62D4" w:rsidRDefault="00B3418D" w:rsidP="00B3418D">
            <w:pPr>
              <w:pStyle w:val="TableText"/>
              <w:rPr>
                <w:rFonts w:asciiTheme="minorHAnsi" w:hAnsiTheme="minorHAnsi" w:cs="Calibri"/>
                <w:sz w:val="22"/>
                <w:szCs w:val="22"/>
              </w:rPr>
            </w:pPr>
            <w:r w:rsidRPr="00EE62D4">
              <w:rPr>
                <w:rFonts w:asciiTheme="minorHAnsi" w:hAnsiTheme="minorHAnsi" w:cs="Calibri"/>
                <w:sz w:val="22"/>
                <w:szCs w:val="22"/>
              </w:rPr>
              <w:t>State Floodplain Management Program</w:t>
            </w:r>
          </w:p>
          <w:p w14:paraId="7C12D105" w14:textId="77777777" w:rsidR="00B3418D" w:rsidRPr="0028740F" w:rsidRDefault="00B3418D" w:rsidP="00B3418D">
            <w:pPr>
              <w:pStyle w:val="TableText"/>
              <w:rPr>
                <w:rFonts w:asciiTheme="minorHAnsi" w:hAnsiTheme="minorHAnsi" w:cs="Calibri"/>
                <w:sz w:val="22"/>
                <w:szCs w:val="22"/>
              </w:rPr>
            </w:pPr>
          </w:p>
        </w:tc>
        <w:tc>
          <w:tcPr>
            <w:tcW w:w="1827" w:type="pct"/>
          </w:tcPr>
          <w:p w14:paraId="78E9B8B4" w14:textId="77777777" w:rsidR="00B3418D" w:rsidRDefault="00B3418D" w:rsidP="00B3418D">
            <w:pPr>
              <w:pStyle w:val="TableText"/>
              <w:rPr>
                <w:rFonts w:asciiTheme="minorHAnsi" w:hAnsiTheme="minorHAnsi" w:cs="Calibri"/>
                <w:sz w:val="22"/>
                <w:szCs w:val="22"/>
              </w:rPr>
            </w:pPr>
            <w:r>
              <w:rPr>
                <w:rFonts w:asciiTheme="minorHAnsi" w:hAnsiTheme="minorHAnsi" w:cs="Calibri"/>
                <w:sz w:val="22"/>
                <w:szCs w:val="22"/>
              </w:rPr>
              <w:t>The NSW Rural Fire Service and the Department of Planning, Industry and Environment deliver a range of programs to mitigate risk. Priority projects will be delivered alongside state funded initiatives to co-ordinate effort and achieve efficiencies.</w:t>
            </w:r>
          </w:p>
          <w:p w14:paraId="395FD664" w14:textId="77777777" w:rsidR="00B3418D" w:rsidRDefault="00B3418D" w:rsidP="00B3418D">
            <w:pPr>
              <w:pStyle w:val="TableText"/>
              <w:rPr>
                <w:rFonts w:asciiTheme="minorHAnsi" w:hAnsiTheme="minorHAnsi" w:cs="Calibri"/>
                <w:sz w:val="22"/>
                <w:szCs w:val="22"/>
              </w:rPr>
            </w:pPr>
            <w:r w:rsidRPr="0028740F">
              <w:rPr>
                <w:rFonts w:asciiTheme="minorHAnsi" w:hAnsiTheme="minorHAnsi" w:cs="Calibri"/>
                <w:sz w:val="22"/>
                <w:szCs w:val="22"/>
              </w:rPr>
              <w:t>Initiatives may also be identified via Bushfire Inquiries conducted by State and Commonwealth governments.</w:t>
            </w:r>
          </w:p>
          <w:p w14:paraId="2CB07DB1" w14:textId="77777777" w:rsidR="0028740F" w:rsidRPr="0028740F" w:rsidRDefault="0028740F" w:rsidP="007A36B5">
            <w:pPr>
              <w:pStyle w:val="TableText"/>
              <w:rPr>
                <w:rFonts w:asciiTheme="minorHAnsi" w:hAnsiTheme="minorHAnsi" w:cs="Calibri"/>
                <w:sz w:val="22"/>
                <w:szCs w:val="22"/>
              </w:rPr>
            </w:pPr>
            <w:r w:rsidRPr="0028740F">
              <w:rPr>
                <w:rFonts w:asciiTheme="minorHAnsi" w:hAnsiTheme="minorHAnsi" w:cs="Calibri"/>
                <w:sz w:val="22"/>
                <w:szCs w:val="22"/>
              </w:rPr>
              <w:t>Build on and updates work undertaken for the NSW State Risk Assessment and 2017 State Level Emergency Risk Assessment.</w:t>
            </w:r>
          </w:p>
        </w:tc>
      </w:tr>
      <w:tr w:rsidR="00432B5D" w:rsidRPr="000A72D2" w14:paraId="5611338A" w14:textId="77777777" w:rsidTr="007A36B5">
        <w:trPr>
          <w:cantSplit/>
        </w:trPr>
        <w:tc>
          <w:tcPr>
            <w:tcW w:w="1415" w:type="pct"/>
          </w:tcPr>
          <w:p w14:paraId="726D8A6F" w14:textId="77777777" w:rsidR="00432B5D" w:rsidRDefault="00432B5D" w:rsidP="006353DA">
            <w:r>
              <w:t>Element 3</w:t>
            </w:r>
          </w:p>
          <w:p w14:paraId="6F64BB9C" w14:textId="77777777" w:rsidR="00B3418D" w:rsidRDefault="00B3418D" w:rsidP="00590303">
            <w:pPr>
              <w:autoSpaceDE w:val="0"/>
              <w:autoSpaceDN w:val="0"/>
              <w:adjustRightInd w:val="0"/>
              <w:rPr>
                <w:rFonts w:cs="Corbel"/>
                <w:color w:val="000000"/>
                <w:szCs w:val="23"/>
              </w:rPr>
            </w:pPr>
            <w:r>
              <w:t>Local and Regional Risk Reduction</w:t>
            </w:r>
            <w:r>
              <w:rPr>
                <w:rFonts w:cs="Corbel"/>
                <w:color w:val="000000"/>
                <w:szCs w:val="23"/>
              </w:rPr>
              <w:t xml:space="preserve"> </w:t>
            </w:r>
          </w:p>
          <w:p w14:paraId="067E301C" w14:textId="77777777" w:rsidR="00B3418D" w:rsidRDefault="00B3418D" w:rsidP="00590303">
            <w:pPr>
              <w:autoSpaceDE w:val="0"/>
              <w:autoSpaceDN w:val="0"/>
              <w:adjustRightInd w:val="0"/>
              <w:rPr>
                <w:rFonts w:cs="Corbel"/>
                <w:color w:val="000000"/>
                <w:szCs w:val="23"/>
              </w:rPr>
            </w:pPr>
          </w:p>
          <w:p w14:paraId="32084CF5" w14:textId="77777777" w:rsidR="00590303" w:rsidRDefault="00590303" w:rsidP="00B3418D">
            <w:pPr>
              <w:autoSpaceDE w:val="0"/>
              <w:autoSpaceDN w:val="0"/>
              <w:adjustRightInd w:val="0"/>
            </w:pPr>
          </w:p>
        </w:tc>
        <w:tc>
          <w:tcPr>
            <w:tcW w:w="1758" w:type="pct"/>
          </w:tcPr>
          <w:p w14:paraId="037D21FB" w14:textId="77777777" w:rsidR="0028740F" w:rsidRDefault="0028740F" w:rsidP="007A36B5">
            <w:pPr>
              <w:pStyle w:val="TableText"/>
              <w:rPr>
                <w:rFonts w:asciiTheme="minorHAnsi" w:hAnsiTheme="minorHAnsi" w:cs="Calibri"/>
                <w:sz w:val="22"/>
                <w:szCs w:val="22"/>
              </w:rPr>
            </w:pPr>
            <w:r w:rsidRPr="00EE62D4">
              <w:rPr>
                <w:rFonts w:asciiTheme="minorHAnsi" w:hAnsiTheme="minorHAnsi" w:cs="Calibri"/>
                <w:sz w:val="22"/>
                <w:szCs w:val="22"/>
              </w:rPr>
              <w:t>2017 State Level Emergency Risk Assessment</w:t>
            </w:r>
          </w:p>
          <w:p w14:paraId="728D5EE4" w14:textId="77777777" w:rsidR="00B3418D" w:rsidRPr="00B3418D" w:rsidRDefault="00B3418D" w:rsidP="00B3418D">
            <w:pPr>
              <w:pStyle w:val="TableText"/>
              <w:rPr>
                <w:rFonts w:asciiTheme="minorHAnsi" w:hAnsiTheme="minorHAnsi" w:cs="Calibri"/>
                <w:sz w:val="22"/>
                <w:szCs w:val="22"/>
              </w:rPr>
            </w:pPr>
            <w:r w:rsidRPr="00B3418D">
              <w:rPr>
                <w:rFonts w:asciiTheme="minorHAnsi" w:hAnsiTheme="minorHAnsi" w:cs="Calibri"/>
                <w:sz w:val="22"/>
                <w:szCs w:val="22"/>
              </w:rPr>
              <w:t>Projects will embody lessons learned</w:t>
            </w:r>
            <w:r w:rsidR="00E83247">
              <w:rPr>
                <w:rFonts w:asciiTheme="minorHAnsi" w:hAnsiTheme="minorHAnsi" w:cs="Calibri"/>
                <w:sz w:val="22"/>
                <w:szCs w:val="22"/>
              </w:rPr>
              <w:t xml:space="preserve"> (local and regional) -</w:t>
            </w:r>
            <w:r w:rsidRPr="00B3418D">
              <w:rPr>
                <w:rFonts w:asciiTheme="minorHAnsi" w:hAnsiTheme="minorHAnsi" w:cs="Calibri"/>
                <w:sz w:val="22"/>
                <w:szCs w:val="22"/>
              </w:rPr>
              <w:t xml:space="preserve"> 2019/20 Summer disaster season</w:t>
            </w:r>
          </w:p>
          <w:p w14:paraId="347E4053" w14:textId="77777777" w:rsidR="00B3418D" w:rsidRPr="000A72D2" w:rsidRDefault="002C24E3" w:rsidP="007A36B5">
            <w:pPr>
              <w:pStyle w:val="TableText"/>
              <w:rPr>
                <w:rFonts w:ascii="Times New Roman" w:hAnsi="Times New Roman" w:cs="Times New Roman"/>
                <w:sz w:val="22"/>
                <w:szCs w:val="22"/>
              </w:rPr>
            </w:pPr>
            <w:r w:rsidRPr="0028740F">
              <w:rPr>
                <w:rFonts w:asciiTheme="minorHAnsi" w:hAnsiTheme="minorHAnsi" w:cs="Calibri"/>
                <w:sz w:val="22"/>
                <w:szCs w:val="22"/>
              </w:rPr>
              <w:t>New South Wales State 2021 State Plan</w:t>
            </w:r>
          </w:p>
        </w:tc>
        <w:tc>
          <w:tcPr>
            <w:tcW w:w="1827" w:type="pct"/>
          </w:tcPr>
          <w:p w14:paraId="6A766E6A" w14:textId="77777777" w:rsidR="00B3418D" w:rsidRDefault="00B3418D" w:rsidP="00B3418D">
            <w:pPr>
              <w:pStyle w:val="TableText"/>
              <w:rPr>
                <w:rFonts w:asciiTheme="minorHAnsi" w:hAnsiTheme="minorHAnsi" w:cs="Calibri"/>
                <w:i/>
                <w:sz w:val="22"/>
                <w:szCs w:val="22"/>
              </w:rPr>
            </w:pPr>
            <w:r w:rsidRPr="0028740F">
              <w:rPr>
                <w:rFonts w:asciiTheme="minorHAnsi" w:hAnsiTheme="minorHAnsi" w:cs="Calibri"/>
                <w:sz w:val="22"/>
                <w:szCs w:val="22"/>
              </w:rPr>
              <w:t xml:space="preserve">Funding Projects will support the principles of the </w:t>
            </w:r>
            <w:r>
              <w:rPr>
                <w:rFonts w:asciiTheme="minorHAnsi" w:hAnsiTheme="minorHAnsi" w:cs="Calibri"/>
                <w:sz w:val="22"/>
                <w:szCs w:val="22"/>
              </w:rPr>
              <w:t>National Disaster Risk Reduction Framework</w:t>
            </w:r>
            <w:r w:rsidRPr="004F346C">
              <w:rPr>
                <w:rFonts w:asciiTheme="minorHAnsi" w:hAnsiTheme="minorHAnsi" w:cs="Calibri"/>
                <w:i/>
                <w:sz w:val="22"/>
                <w:szCs w:val="22"/>
              </w:rPr>
              <w:t>– Leverage existing and future government programs to fund priority risk reduction measures</w:t>
            </w:r>
          </w:p>
          <w:p w14:paraId="5C76D689" w14:textId="77777777" w:rsidR="00432B5D" w:rsidRPr="00AD4F36" w:rsidRDefault="00AD4F36" w:rsidP="007A36B5">
            <w:pPr>
              <w:pStyle w:val="TableText"/>
              <w:rPr>
                <w:rFonts w:asciiTheme="minorHAnsi" w:hAnsiTheme="minorHAnsi" w:cs="Calibri"/>
                <w:sz w:val="22"/>
                <w:szCs w:val="22"/>
              </w:rPr>
            </w:pPr>
            <w:r w:rsidRPr="0028740F">
              <w:rPr>
                <w:rFonts w:asciiTheme="minorHAnsi" w:hAnsiTheme="minorHAnsi" w:cs="Calibri"/>
                <w:sz w:val="22"/>
                <w:szCs w:val="22"/>
              </w:rPr>
              <w:t>Initiatives may also be identified via Bushfire Inquiries conducted by State and Commonwealth governments.</w:t>
            </w:r>
          </w:p>
        </w:tc>
      </w:tr>
      <w:tr w:rsidR="00432B5D" w:rsidRPr="000A72D2" w14:paraId="01036E1F" w14:textId="77777777" w:rsidTr="007A36B5">
        <w:trPr>
          <w:cantSplit/>
        </w:trPr>
        <w:tc>
          <w:tcPr>
            <w:tcW w:w="1415" w:type="pct"/>
          </w:tcPr>
          <w:p w14:paraId="6CF312F1" w14:textId="77777777" w:rsidR="00432B5D" w:rsidRDefault="00432B5D" w:rsidP="006353DA">
            <w:r>
              <w:t>Element 4</w:t>
            </w:r>
          </w:p>
          <w:p w14:paraId="442A9146" w14:textId="77777777" w:rsidR="00B3418D" w:rsidRDefault="002C24E3" w:rsidP="00B3418D">
            <w:pPr>
              <w:rPr>
                <w:rFonts w:asciiTheme="minorHAnsi" w:hAnsiTheme="minorHAnsi"/>
                <w:sz w:val="24"/>
              </w:rPr>
            </w:pPr>
            <w:r>
              <w:rPr>
                <w:rFonts w:asciiTheme="minorHAnsi" w:hAnsiTheme="minorHAnsi"/>
                <w:sz w:val="24"/>
              </w:rPr>
              <w:t>Program Management and Evaluation</w:t>
            </w:r>
          </w:p>
          <w:p w14:paraId="30140FA9" w14:textId="77777777" w:rsidR="00590303" w:rsidRDefault="00590303" w:rsidP="00B3418D">
            <w:pPr>
              <w:pStyle w:val="Heading5"/>
            </w:pPr>
          </w:p>
        </w:tc>
        <w:tc>
          <w:tcPr>
            <w:tcW w:w="1758" w:type="pct"/>
          </w:tcPr>
          <w:p w14:paraId="0CA98916" w14:textId="77777777" w:rsidR="00EE62D4" w:rsidRPr="00EE62D4" w:rsidRDefault="00EE62D4" w:rsidP="007A36B5">
            <w:pPr>
              <w:pStyle w:val="TableText"/>
              <w:rPr>
                <w:rFonts w:asciiTheme="minorHAnsi" w:hAnsiTheme="minorHAnsi" w:cs="Calibri"/>
                <w:sz w:val="22"/>
                <w:szCs w:val="22"/>
              </w:rPr>
            </w:pPr>
            <w:r w:rsidRPr="00EE62D4">
              <w:rPr>
                <w:rFonts w:asciiTheme="minorHAnsi" w:hAnsiTheme="minorHAnsi" w:cs="Calibri"/>
                <w:sz w:val="22"/>
                <w:szCs w:val="22"/>
              </w:rPr>
              <w:t>The Implementation officer position is an integral resource</w:t>
            </w:r>
            <w:r w:rsidR="002C24E3">
              <w:rPr>
                <w:rFonts w:asciiTheme="minorHAnsi" w:hAnsiTheme="minorHAnsi" w:cs="Calibri"/>
                <w:sz w:val="22"/>
                <w:szCs w:val="22"/>
              </w:rPr>
              <w:t xml:space="preserve"> to manage the program and co-ordinate evaluation activities</w:t>
            </w:r>
          </w:p>
        </w:tc>
        <w:tc>
          <w:tcPr>
            <w:tcW w:w="1827" w:type="pct"/>
          </w:tcPr>
          <w:p w14:paraId="5EFCB76E" w14:textId="77777777" w:rsidR="00432B5D" w:rsidRDefault="00EE62D4" w:rsidP="007A36B5">
            <w:pPr>
              <w:pStyle w:val="TableText"/>
              <w:rPr>
                <w:rFonts w:asciiTheme="minorHAnsi" w:hAnsiTheme="minorHAnsi" w:cs="Calibri"/>
                <w:sz w:val="22"/>
                <w:szCs w:val="22"/>
              </w:rPr>
            </w:pPr>
            <w:r w:rsidRPr="00EE62D4">
              <w:rPr>
                <w:rFonts w:asciiTheme="minorHAnsi" w:hAnsiTheme="minorHAnsi" w:cs="Calibri"/>
                <w:sz w:val="22"/>
                <w:szCs w:val="22"/>
              </w:rPr>
              <w:t>Ensures funding is used to deliver projects that align with the NSW and Commonwealth emergency management and risk reduction priorities.</w:t>
            </w:r>
          </w:p>
          <w:p w14:paraId="2015D7C5" w14:textId="77777777" w:rsidR="002C24E3" w:rsidRPr="00EE62D4" w:rsidRDefault="002C24E3" w:rsidP="007A36B5">
            <w:pPr>
              <w:pStyle w:val="TableText"/>
              <w:rPr>
                <w:rFonts w:asciiTheme="minorHAnsi" w:hAnsiTheme="minorHAnsi" w:cs="Calibri"/>
                <w:sz w:val="22"/>
                <w:szCs w:val="22"/>
              </w:rPr>
            </w:pPr>
            <w:r>
              <w:rPr>
                <w:rFonts w:asciiTheme="minorHAnsi" w:hAnsiTheme="minorHAnsi" w:cs="Calibri"/>
                <w:sz w:val="22"/>
                <w:szCs w:val="22"/>
              </w:rPr>
              <w:t>Evaluation of the program to report on achievement of outcomes</w:t>
            </w:r>
          </w:p>
        </w:tc>
      </w:tr>
    </w:tbl>
    <w:p w14:paraId="7BA44EA9" w14:textId="77777777" w:rsidR="0061613E" w:rsidRDefault="003123F7">
      <w:pPr>
        <w:rPr>
          <w:rFonts w:cs="Arial"/>
          <w:b/>
          <w:bCs/>
          <w:iCs/>
          <w:color w:val="3D4B67"/>
          <w:sz w:val="29"/>
          <w:szCs w:val="28"/>
        </w:rPr>
      </w:pPr>
      <w:r w:rsidRPr="005E36CD" w:rsidDel="003123F7">
        <w:rPr>
          <w:rFonts w:ascii="Consolas" w:hAnsi="Consolas"/>
          <w:b/>
          <w:color w:val="3D4B67"/>
          <w:szCs w:val="20"/>
          <w:highlight w:val="lightGray"/>
        </w:rPr>
        <w:t xml:space="preserve"> </w:t>
      </w:r>
      <w:r w:rsidR="0061613E">
        <w:br w:type="page"/>
      </w:r>
    </w:p>
    <w:p w14:paraId="696A9A76" w14:textId="77777777" w:rsidR="0036688B" w:rsidRPr="00A36A37" w:rsidRDefault="0036688B" w:rsidP="00A17D70">
      <w:pPr>
        <w:pStyle w:val="Heading2"/>
      </w:pPr>
      <w:r w:rsidRPr="00A36A37">
        <w:lastRenderedPageBreak/>
        <w:t>Sign off</w:t>
      </w:r>
    </w:p>
    <w:p w14:paraId="39B489FE" w14:textId="77777777" w:rsidR="0036688B" w:rsidRPr="00B06563"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36688B" w:rsidRPr="008A2566" w14:paraId="4B56EEBE" w14:textId="77777777" w:rsidTr="007A36B5">
        <w:tc>
          <w:tcPr>
            <w:tcW w:w="5070" w:type="dxa"/>
            <w:tcBorders>
              <w:top w:val="nil"/>
              <w:bottom w:val="single" w:sz="4" w:space="0" w:color="A6A6A6"/>
              <w:right w:val="nil"/>
            </w:tcBorders>
            <w:vAlign w:val="center"/>
          </w:tcPr>
          <w:p w14:paraId="5E1EA90B"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5947E7AE"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368FF280" w14:textId="77777777" w:rsidR="0036688B" w:rsidRPr="008A2566" w:rsidRDefault="0036688B" w:rsidP="007A36B5">
            <w:pPr>
              <w:spacing w:before="120" w:after="120" w:line="280" w:lineRule="exact"/>
            </w:pPr>
            <w:r w:rsidRPr="000A1323">
              <w:rPr>
                <w:b/>
                <w:bCs/>
                <w:color w:val="C00000"/>
              </w:rPr>
              <w:t>Date</w:t>
            </w:r>
          </w:p>
        </w:tc>
      </w:tr>
      <w:tr w:rsidR="0036688B" w:rsidRPr="008A2566" w14:paraId="02B8336F" w14:textId="77777777" w:rsidTr="007A36B5">
        <w:tc>
          <w:tcPr>
            <w:tcW w:w="9242" w:type="dxa"/>
            <w:gridSpan w:val="3"/>
            <w:tcBorders>
              <w:top w:val="single" w:sz="4" w:space="0" w:color="A6A6A6"/>
            </w:tcBorders>
          </w:tcPr>
          <w:p w14:paraId="6111CB7C" w14:textId="34649F00" w:rsidR="0036688B" w:rsidRPr="00B009BF" w:rsidRDefault="007B5AC5" w:rsidP="00895C19">
            <w:pPr>
              <w:spacing w:after="960" w:line="280" w:lineRule="exact"/>
              <w:rPr>
                <w:b/>
                <w:bCs/>
                <w:color w:val="365F91"/>
              </w:rPr>
            </w:pPr>
            <w:r>
              <w:rPr>
                <w:b/>
                <w:bCs/>
                <w:color w:val="365F91"/>
              </w:rPr>
              <w:t>The Hon David Elliott MP, Minister for Police and Emergency Services</w:t>
            </w:r>
          </w:p>
        </w:tc>
      </w:tr>
      <w:tr w:rsidR="0036688B" w:rsidRPr="008A2566" w14:paraId="56F8D3B3" w14:textId="77777777" w:rsidTr="007A36B5">
        <w:tc>
          <w:tcPr>
            <w:tcW w:w="5070" w:type="dxa"/>
            <w:tcBorders>
              <w:top w:val="nil"/>
              <w:bottom w:val="single" w:sz="4" w:space="0" w:color="A6A6A6"/>
              <w:right w:val="nil"/>
            </w:tcBorders>
            <w:vAlign w:val="center"/>
          </w:tcPr>
          <w:p w14:paraId="6F99E590"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7E08C703"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31C7BF0B" w14:textId="77777777" w:rsidR="0036688B" w:rsidRPr="008A2566" w:rsidRDefault="0036688B" w:rsidP="007A36B5">
            <w:pPr>
              <w:spacing w:before="120" w:after="120" w:line="280" w:lineRule="exact"/>
            </w:pPr>
            <w:r w:rsidRPr="000A1323">
              <w:rPr>
                <w:b/>
                <w:bCs/>
                <w:color w:val="C00000"/>
              </w:rPr>
              <w:t>Date</w:t>
            </w:r>
          </w:p>
        </w:tc>
      </w:tr>
      <w:tr w:rsidR="0036688B" w:rsidRPr="008A2566" w14:paraId="46D116FC" w14:textId="77777777" w:rsidTr="007A36B5">
        <w:trPr>
          <w:trHeight w:val="822"/>
        </w:trPr>
        <w:tc>
          <w:tcPr>
            <w:tcW w:w="9242" w:type="dxa"/>
            <w:gridSpan w:val="3"/>
          </w:tcPr>
          <w:p w14:paraId="22DE578A" w14:textId="43B5BFB8" w:rsidR="0036688B" w:rsidRPr="00B06563" w:rsidRDefault="002D42FE" w:rsidP="002D42FE">
            <w:pPr>
              <w:spacing w:after="960" w:line="280" w:lineRule="exact"/>
              <w:rPr>
                <w:b/>
                <w:bCs/>
                <w:color w:val="365F91"/>
              </w:rPr>
            </w:pPr>
            <w:r>
              <w:rPr>
                <w:b/>
                <w:bCs/>
                <w:color w:val="365F91"/>
              </w:rPr>
              <w:t>The Hon David Littleproud MP</w:t>
            </w:r>
            <w:r>
              <w:rPr>
                <w:b/>
                <w:bCs/>
                <w:color w:val="365F91"/>
              </w:rPr>
              <w:br/>
              <w:t>Minister for Agriculture, Drought and Emergency Management</w:t>
            </w:r>
          </w:p>
        </w:tc>
      </w:tr>
    </w:tbl>
    <w:p w14:paraId="5E6B90D2" w14:textId="77777777" w:rsidR="0036688B" w:rsidRDefault="0036688B" w:rsidP="0061613E"/>
    <w:sectPr w:rsidR="0036688B" w:rsidSect="00520331">
      <w:headerReference w:type="even" r:id="rId14"/>
      <w:headerReference w:type="default" r:id="rId15"/>
      <w:footerReference w:type="even" r:id="rId16"/>
      <w:footerReference w:type="default" r:id="rId17"/>
      <w:headerReference w:type="first" r:id="rId18"/>
      <w:footerReference w:type="first" r:id="rId19"/>
      <w:pgSz w:w="11906" w:h="16838" w:code="9"/>
      <w:pgMar w:top="851" w:right="1440" w:bottom="1021" w:left="1440" w:header="624" w:footer="624"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79D8D" w16cid:durableId="228E2E43"/>
  <w16cid:commentId w16cid:paraId="109A628C" w16cid:durableId="228E2E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41DC" w14:textId="77777777" w:rsidR="009C0F8D" w:rsidRDefault="009C0F8D" w:rsidP="00520331">
      <w:r>
        <w:separator/>
      </w:r>
    </w:p>
  </w:endnote>
  <w:endnote w:type="continuationSeparator" w:id="0">
    <w:p w14:paraId="51AD78B2" w14:textId="77777777" w:rsidR="009C0F8D" w:rsidRDefault="009C0F8D"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AED6" w14:textId="77777777" w:rsidR="00254BA8" w:rsidRDefault="00254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BA50" w14:textId="5AF6D25D" w:rsidR="009C0F8D" w:rsidRPr="00413980" w:rsidRDefault="009C0F8D">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454BCB">
      <w:rPr>
        <w:noProof/>
        <w:sz w:val="20"/>
        <w:szCs w:val="20"/>
      </w:rPr>
      <w:t>1</w:t>
    </w:r>
    <w:r>
      <w:rPr>
        <w:sz w:val="20"/>
        <w:szCs w:val="20"/>
      </w:rPr>
      <w:fldChar w:fldCharType="end"/>
    </w:r>
  </w:p>
  <w:p w14:paraId="72838107" w14:textId="77777777" w:rsidR="009C0F8D" w:rsidRDefault="009C0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C691" w14:textId="77777777" w:rsidR="00254BA8" w:rsidRDefault="0025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5FA5" w14:textId="77777777" w:rsidR="009C0F8D" w:rsidRDefault="009C0F8D" w:rsidP="00520331">
      <w:r>
        <w:separator/>
      </w:r>
    </w:p>
  </w:footnote>
  <w:footnote w:type="continuationSeparator" w:id="0">
    <w:p w14:paraId="729F3B65" w14:textId="77777777" w:rsidR="009C0F8D" w:rsidRDefault="009C0F8D"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F89F" w14:textId="77777777" w:rsidR="00254BA8" w:rsidRDefault="00254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9AD4" w14:textId="07658AE2" w:rsidR="00254BA8" w:rsidRDefault="00254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CEC5" w14:textId="77777777" w:rsidR="00254BA8" w:rsidRDefault="0025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1E403E3C"/>
    <w:multiLevelType w:val="hybridMultilevel"/>
    <w:tmpl w:val="091E2AA6"/>
    <w:lvl w:ilvl="0" w:tplc="DB5C0BC2">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 w15:restartNumberingAfterBreak="0">
    <w:nsid w:val="2D7C30F1"/>
    <w:multiLevelType w:val="hybridMultilevel"/>
    <w:tmpl w:val="ED742D5C"/>
    <w:lvl w:ilvl="0" w:tplc="9EA46F7E">
      <w:start w:val="4"/>
      <w:numFmt w:val="lowerLetter"/>
      <w:lvlText w:val="(%1)"/>
      <w:lvlJc w:val="left"/>
      <w:pPr>
        <w:ind w:left="360" w:hanging="360"/>
      </w:pPr>
      <w:rPr>
        <w:rFonts w:cs="Corbel" w:hint="default"/>
        <w:color w:val="00000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9"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1"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2"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3"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4"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5"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10"/>
  </w:num>
  <w:num w:numId="6">
    <w:abstractNumId w:val="0"/>
  </w:num>
  <w:num w:numId="7">
    <w:abstractNumId w:val="11"/>
  </w:num>
  <w:num w:numId="8">
    <w:abstractNumId w:val="6"/>
  </w:num>
  <w:num w:numId="9">
    <w:abstractNumId w:val="15"/>
  </w:num>
  <w:num w:numId="10">
    <w:abstractNumId w:val="13"/>
  </w:num>
  <w:num w:numId="11">
    <w:abstractNumId w:val="14"/>
  </w:num>
  <w:num w:numId="12">
    <w:abstractNumId w:val="16"/>
  </w:num>
  <w:num w:numId="13">
    <w:abstractNumId w:val="12"/>
  </w:num>
  <w:num w:numId="14">
    <w:abstractNumId w:val="5"/>
  </w:num>
  <w:num w:numId="15">
    <w:abstractNumId w:val="8"/>
  </w:num>
  <w:num w:numId="16">
    <w:abstractNumId w:val="3"/>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E"/>
    <w:rsid w:val="000014B1"/>
    <w:rsid w:val="0000225C"/>
    <w:rsid w:val="00003A92"/>
    <w:rsid w:val="00003EAE"/>
    <w:rsid w:val="00011DA2"/>
    <w:rsid w:val="00012AAE"/>
    <w:rsid w:val="00013A91"/>
    <w:rsid w:val="00020449"/>
    <w:rsid w:val="00020791"/>
    <w:rsid w:val="000235EA"/>
    <w:rsid w:val="00023C24"/>
    <w:rsid w:val="000240B5"/>
    <w:rsid w:val="00024B99"/>
    <w:rsid w:val="0002586A"/>
    <w:rsid w:val="00025F50"/>
    <w:rsid w:val="00030F67"/>
    <w:rsid w:val="00034877"/>
    <w:rsid w:val="000375F8"/>
    <w:rsid w:val="00041625"/>
    <w:rsid w:val="0004432A"/>
    <w:rsid w:val="00044E74"/>
    <w:rsid w:val="00045778"/>
    <w:rsid w:val="00045AD7"/>
    <w:rsid w:val="00047FE7"/>
    <w:rsid w:val="00050AEC"/>
    <w:rsid w:val="00054A8D"/>
    <w:rsid w:val="000550DD"/>
    <w:rsid w:val="0005527C"/>
    <w:rsid w:val="00056C4B"/>
    <w:rsid w:val="0006101B"/>
    <w:rsid w:val="00062172"/>
    <w:rsid w:val="00062EA4"/>
    <w:rsid w:val="00065861"/>
    <w:rsid w:val="00070BCC"/>
    <w:rsid w:val="000758BF"/>
    <w:rsid w:val="00086B8C"/>
    <w:rsid w:val="000873E5"/>
    <w:rsid w:val="00091BA8"/>
    <w:rsid w:val="000925CD"/>
    <w:rsid w:val="00093235"/>
    <w:rsid w:val="000A1323"/>
    <w:rsid w:val="000A72D2"/>
    <w:rsid w:val="000B09BC"/>
    <w:rsid w:val="000C017B"/>
    <w:rsid w:val="000C1698"/>
    <w:rsid w:val="000C4D0B"/>
    <w:rsid w:val="000D3392"/>
    <w:rsid w:val="000D48C5"/>
    <w:rsid w:val="000D4B5B"/>
    <w:rsid w:val="000D5B7F"/>
    <w:rsid w:val="000D5C4C"/>
    <w:rsid w:val="000D7C4C"/>
    <w:rsid w:val="000E0EE6"/>
    <w:rsid w:val="000E3092"/>
    <w:rsid w:val="000E78C0"/>
    <w:rsid w:val="000F33C7"/>
    <w:rsid w:val="000F354C"/>
    <w:rsid w:val="000F5EB9"/>
    <w:rsid w:val="0010047C"/>
    <w:rsid w:val="00102898"/>
    <w:rsid w:val="00102DDE"/>
    <w:rsid w:val="00105402"/>
    <w:rsid w:val="00105FB1"/>
    <w:rsid w:val="0011223F"/>
    <w:rsid w:val="00113524"/>
    <w:rsid w:val="00113D82"/>
    <w:rsid w:val="0011673E"/>
    <w:rsid w:val="001168E4"/>
    <w:rsid w:val="00120218"/>
    <w:rsid w:val="0012049E"/>
    <w:rsid w:val="001273B5"/>
    <w:rsid w:val="001331EC"/>
    <w:rsid w:val="00143AE3"/>
    <w:rsid w:val="0014500D"/>
    <w:rsid w:val="00146B46"/>
    <w:rsid w:val="00150526"/>
    <w:rsid w:val="00151977"/>
    <w:rsid w:val="00157439"/>
    <w:rsid w:val="001637AC"/>
    <w:rsid w:val="00164CEE"/>
    <w:rsid w:val="00166312"/>
    <w:rsid w:val="00166E0A"/>
    <w:rsid w:val="001678AB"/>
    <w:rsid w:val="00170639"/>
    <w:rsid w:val="00170688"/>
    <w:rsid w:val="00170B1A"/>
    <w:rsid w:val="00171B14"/>
    <w:rsid w:val="00172229"/>
    <w:rsid w:val="00172B12"/>
    <w:rsid w:val="0017357F"/>
    <w:rsid w:val="00174BD4"/>
    <w:rsid w:val="001755D1"/>
    <w:rsid w:val="001815C3"/>
    <w:rsid w:val="00187A15"/>
    <w:rsid w:val="00191251"/>
    <w:rsid w:val="001918B1"/>
    <w:rsid w:val="00192CDE"/>
    <w:rsid w:val="001A652E"/>
    <w:rsid w:val="001B5415"/>
    <w:rsid w:val="001C0CA7"/>
    <w:rsid w:val="001C1144"/>
    <w:rsid w:val="001C56EC"/>
    <w:rsid w:val="001C6B67"/>
    <w:rsid w:val="001D14B8"/>
    <w:rsid w:val="001D2622"/>
    <w:rsid w:val="001D47EA"/>
    <w:rsid w:val="001D5134"/>
    <w:rsid w:val="001E4E1F"/>
    <w:rsid w:val="001E67A2"/>
    <w:rsid w:val="001E74D0"/>
    <w:rsid w:val="001F45C6"/>
    <w:rsid w:val="001F5305"/>
    <w:rsid w:val="001F63E8"/>
    <w:rsid w:val="001F68F6"/>
    <w:rsid w:val="001F7A0E"/>
    <w:rsid w:val="001F7BEA"/>
    <w:rsid w:val="001F7CB8"/>
    <w:rsid w:val="002010E0"/>
    <w:rsid w:val="002061D9"/>
    <w:rsid w:val="00206671"/>
    <w:rsid w:val="002069F7"/>
    <w:rsid w:val="002127EB"/>
    <w:rsid w:val="00216539"/>
    <w:rsid w:val="00221363"/>
    <w:rsid w:val="00221F0A"/>
    <w:rsid w:val="00222865"/>
    <w:rsid w:val="002268B0"/>
    <w:rsid w:val="00227BC0"/>
    <w:rsid w:val="00227DB1"/>
    <w:rsid w:val="002311B1"/>
    <w:rsid w:val="002330D9"/>
    <w:rsid w:val="00241B51"/>
    <w:rsid w:val="00243E8B"/>
    <w:rsid w:val="002514DE"/>
    <w:rsid w:val="00254BA8"/>
    <w:rsid w:val="00254BF5"/>
    <w:rsid w:val="0025586C"/>
    <w:rsid w:val="00256AB0"/>
    <w:rsid w:val="00257088"/>
    <w:rsid w:val="00261564"/>
    <w:rsid w:val="002616A0"/>
    <w:rsid w:val="002648E8"/>
    <w:rsid w:val="0026503A"/>
    <w:rsid w:val="002675BB"/>
    <w:rsid w:val="002678DE"/>
    <w:rsid w:val="00267B81"/>
    <w:rsid w:val="00270D9D"/>
    <w:rsid w:val="00281AE3"/>
    <w:rsid w:val="00282641"/>
    <w:rsid w:val="00285609"/>
    <w:rsid w:val="00286FA2"/>
    <w:rsid w:val="0028740F"/>
    <w:rsid w:val="0028755A"/>
    <w:rsid w:val="00292CB8"/>
    <w:rsid w:val="00292F4F"/>
    <w:rsid w:val="0029380F"/>
    <w:rsid w:val="002A0ADA"/>
    <w:rsid w:val="002A0B94"/>
    <w:rsid w:val="002A1344"/>
    <w:rsid w:val="002A4DDC"/>
    <w:rsid w:val="002A53DD"/>
    <w:rsid w:val="002A7553"/>
    <w:rsid w:val="002B5BE3"/>
    <w:rsid w:val="002C24E3"/>
    <w:rsid w:val="002C39DE"/>
    <w:rsid w:val="002C5FEA"/>
    <w:rsid w:val="002D0CB9"/>
    <w:rsid w:val="002D3ACC"/>
    <w:rsid w:val="002D42FE"/>
    <w:rsid w:val="002D46C5"/>
    <w:rsid w:val="002D76C5"/>
    <w:rsid w:val="002E061E"/>
    <w:rsid w:val="002E328E"/>
    <w:rsid w:val="002F0E1C"/>
    <w:rsid w:val="002F5890"/>
    <w:rsid w:val="003020F6"/>
    <w:rsid w:val="00306502"/>
    <w:rsid w:val="00306791"/>
    <w:rsid w:val="00307178"/>
    <w:rsid w:val="00307C5E"/>
    <w:rsid w:val="0031129A"/>
    <w:rsid w:val="00312179"/>
    <w:rsid w:val="003123F7"/>
    <w:rsid w:val="00314D9E"/>
    <w:rsid w:val="00323275"/>
    <w:rsid w:val="003258BF"/>
    <w:rsid w:val="003259CC"/>
    <w:rsid w:val="00326AD1"/>
    <w:rsid w:val="00326B13"/>
    <w:rsid w:val="00333E94"/>
    <w:rsid w:val="00334C02"/>
    <w:rsid w:val="00336199"/>
    <w:rsid w:val="003422D5"/>
    <w:rsid w:val="003478BB"/>
    <w:rsid w:val="00347F6D"/>
    <w:rsid w:val="00352194"/>
    <w:rsid w:val="00357F8E"/>
    <w:rsid w:val="0036301F"/>
    <w:rsid w:val="0036688B"/>
    <w:rsid w:val="00376922"/>
    <w:rsid w:val="00377F3C"/>
    <w:rsid w:val="0038097D"/>
    <w:rsid w:val="003815E5"/>
    <w:rsid w:val="003820C9"/>
    <w:rsid w:val="00382F8A"/>
    <w:rsid w:val="00383ACA"/>
    <w:rsid w:val="00384D6E"/>
    <w:rsid w:val="00390C6F"/>
    <w:rsid w:val="00391D0E"/>
    <w:rsid w:val="00394698"/>
    <w:rsid w:val="003976F6"/>
    <w:rsid w:val="003A04D0"/>
    <w:rsid w:val="003A1A3E"/>
    <w:rsid w:val="003A1AFC"/>
    <w:rsid w:val="003A2E07"/>
    <w:rsid w:val="003A3824"/>
    <w:rsid w:val="003B1409"/>
    <w:rsid w:val="003B149C"/>
    <w:rsid w:val="003B21D1"/>
    <w:rsid w:val="003B6C45"/>
    <w:rsid w:val="003B7BBD"/>
    <w:rsid w:val="003B7DE3"/>
    <w:rsid w:val="003C08A0"/>
    <w:rsid w:val="003C590D"/>
    <w:rsid w:val="003C6FEC"/>
    <w:rsid w:val="003C7037"/>
    <w:rsid w:val="003C730D"/>
    <w:rsid w:val="003D0FF5"/>
    <w:rsid w:val="003D6C4E"/>
    <w:rsid w:val="003E14C4"/>
    <w:rsid w:val="003E230C"/>
    <w:rsid w:val="003E2CD7"/>
    <w:rsid w:val="003E3308"/>
    <w:rsid w:val="003E58F7"/>
    <w:rsid w:val="003E59CF"/>
    <w:rsid w:val="003E5AD7"/>
    <w:rsid w:val="003F5357"/>
    <w:rsid w:val="00403BD6"/>
    <w:rsid w:val="004058AB"/>
    <w:rsid w:val="00406094"/>
    <w:rsid w:val="00410DA4"/>
    <w:rsid w:val="00411AEC"/>
    <w:rsid w:val="00411F49"/>
    <w:rsid w:val="0041257A"/>
    <w:rsid w:val="00413980"/>
    <w:rsid w:val="00413EC6"/>
    <w:rsid w:val="00423987"/>
    <w:rsid w:val="00424699"/>
    <w:rsid w:val="00426754"/>
    <w:rsid w:val="004279D2"/>
    <w:rsid w:val="00432B5D"/>
    <w:rsid w:val="00435169"/>
    <w:rsid w:val="0043684F"/>
    <w:rsid w:val="00450CC7"/>
    <w:rsid w:val="0045119E"/>
    <w:rsid w:val="00454BCB"/>
    <w:rsid w:val="00454D37"/>
    <w:rsid w:val="004554D1"/>
    <w:rsid w:val="00455C34"/>
    <w:rsid w:val="00455FF8"/>
    <w:rsid w:val="0045685E"/>
    <w:rsid w:val="00456FE1"/>
    <w:rsid w:val="0045732B"/>
    <w:rsid w:val="00464B1D"/>
    <w:rsid w:val="00465565"/>
    <w:rsid w:val="00466411"/>
    <w:rsid w:val="00466976"/>
    <w:rsid w:val="0046735E"/>
    <w:rsid w:val="004702FA"/>
    <w:rsid w:val="004705DC"/>
    <w:rsid w:val="00470E82"/>
    <w:rsid w:val="00473439"/>
    <w:rsid w:val="00481B0B"/>
    <w:rsid w:val="00492241"/>
    <w:rsid w:val="00497DC1"/>
    <w:rsid w:val="004A23CE"/>
    <w:rsid w:val="004A3502"/>
    <w:rsid w:val="004A3769"/>
    <w:rsid w:val="004A4638"/>
    <w:rsid w:val="004B1483"/>
    <w:rsid w:val="004B1C1C"/>
    <w:rsid w:val="004B2FF6"/>
    <w:rsid w:val="004B4105"/>
    <w:rsid w:val="004B58C0"/>
    <w:rsid w:val="004B764C"/>
    <w:rsid w:val="004C08DB"/>
    <w:rsid w:val="004C6399"/>
    <w:rsid w:val="004D0910"/>
    <w:rsid w:val="004D4FD7"/>
    <w:rsid w:val="004D5DD7"/>
    <w:rsid w:val="004D78CB"/>
    <w:rsid w:val="004E0571"/>
    <w:rsid w:val="004E1366"/>
    <w:rsid w:val="004E1E0B"/>
    <w:rsid w:val="004E4069"/>
    <w:rsid w:val="004E5C0F"/>
    <w:rsid w:val="004E5C62"/>
    <w:rsid w:val="004F346C"/>
    <w:rsid w:val="004F34BA"/>
    <w:rsid w:val="004F6F15"/>
    <w:rsid w:val="00500237"/>
    <w:rsid w:val="005052EB"/>
    <w:rsid w:val="0051547D"/>
    <w:rsid w:val="005160EA"/>
    <w:rsid w:val="00516681"/>
    <w:rsid w:val="00520331"/>
    <w:rsid w:val="005215AD"/>
    <w:rsid w:val="00522C00"/>
    <w:rsid w:val="0052492E"/>
    <w:rsid w:val="00524DF0"/>
    <w:rsid w:val="005252BB"/>
    <w:rsid w:val="00526D66"/>
    <w:rsid w:val="0052720F"/>
    <w:rsid w:val="005304E0"/>
    <w:rsid w:val="0053281C"/>
    <w:rsid w:val="00532D46"/>
    <w:rsid w:val="00534699"/>
    <w:rsid w:val="0053594B"/>
    <w:rsid w:val="00536679"/>
    <w:rsid w:val="005371C5"/>
    <w:rsid w:val="0053794F"/>
    <w:rsid w:val="00543CF2"/>
    <w:rsid w:val="00557E9F"/>
    <w:rsid w:val="00557ED2"/>
    <w:rsid w:val="005605E7"/>
    <w:rsid w:val="00564642"/>
    <w:rsid w:val="00564B6C"/>
    <w:rsid w:val="00570806"/>
    <w:rsid w:val="00571A57"/>
    <w:rsid w:val="00576D34"/>
    <w:rsid w:val="0058036E"/>
    <w:rsid w:val="00582B9D"/>
    <w:rsid w:val="00590303"/>
    <w:rsid w:val="005944CD"/>
    <w:rsid w:val="005971F4"/>
    <w:rsid w:val="005A0BC4"/>
    <w:rsid w:val="005A1088"/>
    <w:rsid w:val="005A409C"/>
    <w:rsid w:val="005A5C86"/>
    <w:rsid w:val="005A785C"/>
    <w:rsid w:val="005B43AC"/>
    <w:rsid w:val="005B6897"/>
    <w:rsid w:val="005B7422"/>
    <w:rsid w:val="005C5BE0"/>
    <w:rsid w:val="005C5F3F"/>
    <w:rsid w:val="005C6E07"/>
    <w:rsid w:val="005D0B2B"/>
    <w:rsid w:val="005D34CF"/>
    <w:rsid w:val="005D354B"/>
    <w:rsid w:val="005E0B1E"/>
    <w:rsid w:val="005E36CD"/>
    <w:rsid w:val="005E5731"/>
    <w:rsid w:val="006016C6"/>
    <w:rsid w:val="006051B7"/>
    <w:rsid w:val="006131E0"/>
    <w:rsid w:val="00614C99"/>
    <w:rsid w:val="00615F14"/>
    <w:rsid w:val="0061613E"/>
    <w:rsid w:val="00623A09"/>
    <w:rsid w:val="00623FD6"/>
    <w:rsid w:val="006260DA"/>
    <w:rsid w:val="0062623F"/>
    <w:rsid w:val="0062646E"/>
    <w:rsid w:val="006266C5"/>
    <w:rsid w:val="00626763"/>
    <w:rsid w:val="00626E51"/>
    <w:rsid w:val="00632E63"/>
    <w:rsid w:val="00634EA2"/>
    <w:rsid w:val="006353DA"/>
    <w:rsid w:val="00635EB2"/>
    <w:rsid w:val="00642796"/>
    <w:rsid w:val="00645CF3"/>
    <w:rsid w:val="00646513"/>
    <w:rsid w:val="00651117"/>
    <w:rsid w:val="006557F7"/>
    <w:rsid w:val="00657AC0"/>
    <w:rsid w:val="0066045D"/>
    <w:rsid w:val="00664B5C"/>
    <w:rsid w:val="00665A82"/>
    <w:rsid w:val="006663CA"/>
    <w:rsid w:val="00670C93"/>
    <w:rsid w:val="00672EF8"/>
    <w:rsid w:val="006744F3"/>
    <w:rsid w:val="00674BD1"/>
    <w:rsid w:val="006835A1"/>
    <w:rsid w:val="00685640"/>
    <w:rsid w:val="0069039D"/>
    <w:rsid w:val="006932B9"/>
    <w:rsid w:val="00693514"/>
    <w:rsid w:val="00695736"/>
    <w:rsid w:val="00695DE1"/>
    <w:rsid w:val="00695F47"/>
    <w:rsid w:val="00697B63"/>
    <w:rsid w:val="00697EFC"/>
    <w:rsid w:val="006A2577"/>
    <w:rsid w:val="006A700D"/>
    <w:rsid w:val="006B1FEC"/>
    <w:rsid w:val="006B2276"/>
    <w:rsid w:val="006B38A5"/>
    <w:rsid w:val="006B73B2"/>
    <w:rsid w:val="006C23E5"/>
    <w:rsid w:val="006C44E3"/>
    <w:rsid w:val="006C5FD6"/>
    <w:rsid w:val="006C674D"/>
    <w:rsid w:val="006D2308"/>
    <w:rsid w:val="006D2E7E"/>
    <w:rsid w:val="006D5224"/>
    <w:rsid w:val="006D759C"/>
    <w:rsid w:val="006E26BF"/>
    <w:rsid w:val="006E3E61"/>
    <w:rsid w:val="006E6BBF"/>
    <w:rsid w:val="006F39E8"/>
    <w:rsid w:val="00701076"/>
    <w:rsid w:val="00702027"/>
    <w:rsid w:val="007045EF"/>
    <w:rsid w:val="00704F28"/>
    <w:rsid w:val="0070504A"/>
    <w:rsid w:val="007102AF"/>
    <w:rsid w:val="00710578"/>
    <w:rsid w:val="00710A58"/>
    <w:rsid w:val="00711D54"/>
    <w:rsid w:val="00712CD4"/>
    <w:rsid w:val="00714796"/>
    <w:rsid w:val="0071515C"/>
    <w:rsid w:val="007179FE"/>
    <w:rsid w:val="00724B5D"/>
    <w:rsid w:val="00725D61"/>
    <w:rsid w:val="00726ECC"/>
    <w:rsid w:val="00730ACE"/>
    <w:rsid w:val="007322F4"/>
    <w:rsid w:val="00735359"/>
    <w:rsid w:val="007374A0"/>
    <w:rsid w:val="00737A4C"/>
    <w:rsid w:val="00737BBB"/>
    <w:rsid w:val="00740B95"/>
    <w:rsid w:val="00740C7B"/>
    <w:rsid w:val="00741883"/>
    <w:rsid w:val="00741BC1"/>
    <w:rsid w:val="00742F33"/>
    <w:rsid w:val="00743A3B"/>
    <w:rsid w:val="007445C9"/>
    <w:rsid w:val="00744AC4"/>
    <w:rsid w:val="007467DB"/>
    <w:rsid w:val="00751C53"/>
    <w:rsid w:val="007538EC"/>
    <w:rsid w:val="00753B56"/>
    <w:rsid w:val="007555DF"/>
    <w:rsid w:val="00756F0C"/>
    <w:rsid w:val="00760C16"/>
    <w:rsid w:val="007614A5"/>
    <w:rsid w:val="0076189D"/>
    <w:rsid w:val="00761ECE"/>
    <w:rsid w:val="00762C15"/>
    <w:rsid w:val="0076354F"/>
    <w:rsid w:val="00767FD7"/>
    <w:rsid w:val="007732AB"/>
    <w:rsid w:val="0077559C"/>
    <w:rsid w:val="0077579C"/>
    <w:rsid w:val="00775FCE"/>
    <w:rsid w:val="0078054D"/>
    <w:rsid w:val="0078156F"/>
    <w:rsid w:val="00785C43"/>
    <w:rsid w:val="00787C1C"/>
    <w:rsid w:val="00792303"/>
    <w:rsid w:val="00793ABA"/>
    <w:rsid w:val="00794FAA"/>
    <w:rsid w:val="00795BE6"/>
    <w:rsid w:val="00795BF2"/>
    <w:rsid w:val="007A07AD"/>
    <w:rsid w:val="007A0B18"/>
    <w:rsid w:val="007A36B5"/>
    <w:rsid w:val="007B0CDF"/>
    <w:rsid w:val="007B1E44"/>
    <w:rsid w:val="007B2B71"/>
    <w:rsid w:val="007B5AC5"/>
    <w:rsid w:val="007B69EC"/>
    <w:rsid w:val="007B7FDC"/>
    <w:rsid w:val="007C0559"/>
    <w:rsid w:val="007C099D"/>
    <w:rsid w:val="007C59A1"/>
    <w:rsid w:val="007C664E"/>
    <w:rsid w:val="007D43A7"/>
    <w:rsid w:val="007D55E2"/>
    <w:rsid w:val="007D600E"/>
    <w:rsid w:val="007E0D34"/>
    <w:rsid w:val="007E37B4"/>
    <w:rsid w:val="007E7F84"/>
    <w:rsid w:val="007F0686"/>
    <w:rsid w:val="007F231E"/>
    <w:rsid w:val="008008A9"/>
    <w:rsid w:val="008031E3"/>
    <w:rsid w:val="00805249"/>
    <w:rsid w:val="00805B73"/>
    <w:rsid w:val="008106DA"/>
    <w:rsid w:val="00811C8E"/>
    <w:rsid w:val="0081390E"/>
    <w:rsid w:val="00813BA1"/>
    <w:rsid w:val="008201C5"/>
    <w:rsid w:val="00821A01"/>
    <w:rsid w:val="00825793"/>
    <w:rsid w:val="0083732A"/>
    <w:rsid w:val="008461B7"/>
    <w:rsid w:val="00846C3D"/>
    <w:rsid w:val="008479DE"/>
    <w:rsid w:val="00851070"/>
    <w:rsid w:val="00853DC4"/>
    <w:rsid w:val="0085528F"/>
    <w:rsid w:val="00856320"/>
    <w:rsid w:val="008571C7"/>
    <w:rsid w:val="00862E8C"/>
    <w:rsid w:val="008630BC"/>
    <w:rsid w:val="00866C07"/>
    <w:rsid w:val="0087408F"/>
    <w:rsid w:val="00874371"/>
    <w:rsid w:val="008749D5"/>
    <w:rsid w:val="00880A5C"/>
    <w:rsid w:val="0088309A"/>
    <w:rsid w:val="00883B42"/>
    <w:rsid w:val="00884E25"/>
    <w:rsid w:val="008858EC"/>
    <w:rsid w:val="00890C42"/>
    <w:rsid w:val="00891B8B"/>
    <w:rsid w:val="00892019"/>
    <w:rsid w:val="00892AB4"/>
    <w:rsid w:val="00893EDA"/>
    <w:rsid w:val="008949AC"/>
    <w:rsid w:val="00895155"/>
    <w:rsid w:val="00895628"/>
    <w:rsid w:val="00895C19"/>
    <w:rsid w:val="008A02DF"/>
    <w:rsid w:val="008A1747"/>
    <w:rsid w:val="008A1ADB"/>
    <w:rsid w:val="008A24E5"/>
    <w:rsid w:val="008A2566"/>
    <w:rsid w:val="008B2738"/>
    <w:rsid w:val="008B32CB"/>
    <w:rsid w:val="008B7590"/>
    <w:rsid w:val="008C11FF"/>
    <w:rsid w:val="008C23FF"/>
    <w:rsid w:val="008C266D"/>
    <w:rsid w:val="008C7CDD"/>
    <w:rsid w:val="008D12CD"/>
    <w:rsid w:val="008D2EFE"/>
    <w:rsid w:val="008D36C0"/>
    <w:rsid w:val="008E5657"/>
    <w:rsid w:val="008E59F3"/>
    <w:rsid w:val="008F1F0E"/>
    <w:rsid w:val="008F5323"/>
    <w:rsid w:val="00902C70"/>
    <w:rsid w:val="00903748"/>
    <w:rsid w:val="00903874"/>
    <w:rsid w:val="00904DE4"/>
    <w:rsid w:val="009100A9"/>
    <w:rsid w:val="00912B42"/>
    <w:rsid w:val="00913044"/>
    <w:rsid w:val="0091451C"/>
    <w:rsid w:val="00916F5D"/>
    <w:rsid w:val="00920FC6"/>
    <w:rsid w:val="00921FC4"/>
    <w:rsid w:val="009229B5"/>
    <w:rsid w:val="0092583F"/>
    <w:rsid w:val="00934F9B"/>
    <w:rsid w:val="0093628D"/>
    <w:rsid w:val="00936FD4"/>
    <w:rsid w:val="00937DC6"/>
    <w:rsid w:val="0094198E"/>
    <w:rsid w:val="00943512"/>
    <w:rsid w:val="00950AF2"/>
    <w:rsid w:val="00950DCC"/>
    <w:rsid w:val="0095265D"/>
    <w:rsid w:val="00953742"/>
    <w:rsid w:val="009564F8"/>
    <w:rsid w:val="00956E74"/>
    <w:rsid w:val="00961C19"/>
    <w:rsid w:val="009629ED"/>
    <w:rsid w:val="009629F2"/>
    <w:rsid w:val="00967564"/>
    <w:rsid w:val="00967793"/>
    <w:rsid w:val="00971E73"/>
    <w:rsid w:val="00977256"/>
    <w:rsid w:val="00990792"/>
    <w:rsid w:val="009915C9"/>
    <w:rsid w:val="00991B97"/>
    <w:rsid w:val="009956D5"/>
    <w:rsid w:val="00997CA0"/>
    <w:rsid w:val="009A489E"/>
    <w:rsid w:val="009A56E2"/>
    <w:rsid w:val="009A5FF9"/>
    <w:rsid w:val="009A67F3"/>
    <w:rsid w:val="009A6ADF"/>
    <w:rsid w:val="009A6BEF"/>
    <w:rsid w:val="009B0F83"/>
    <w:rsid w:val="009B2905"/>
    <w:rsid w:val="009B2DE1"/>
    <w:rsid w:val="009B538E"/>
    <w:rsid w:val="009B7028"/>
    <w:rsid w:val="009C00B1"/>
    <w:rsid w:val="009C0F8D"/>
    <w:rsid w:val="009C231F"/>
    <w:rsid w:val="009C48DE"/>
    <w:rsid w:val="009C68EB"/>
    <w:rsid w:val="009D4179"/>
    <w:rsid w:val="009D49F8"/>
    <w:rsid w:val="009E17B0"/>
    <w:rsid w:val="009E2880"/>
    <w:rsid w:val="009E2929"/>
    <w:rsid w:val="009E4D9F"/>
    <w:rsid w:val="009E6F51"/>
    <w:rsid w:val="009E7480"/>
    <w:rsid w:val="009E7BA1"/>
    <w:rsid w:val="009F4008"/>
    <w:rsid w:val="009F4238"/>
    <w:rsid w:val="009F536E"/>
    <w:rsid w:val="00A00980"/>
    <w:rsid w:val="00A113A9"/>
    <w:rsid w:val="00A11622"/>
    <w:rsid w:val="00A134DE"/>
    <w:rsid w:val="00A16E2D"/>
    <w:rsid w:val="00A17D70"/>
    <w:rsid w:val="00A2009B"/>
    <w:rsid w:val="00A21407"/>
    <w:rsid w:val="00A21A05"/>
    <w:rsid w:val="00A22683"/>
    <w:rsid w:val="00A25E9F"/>
    <w:rsid w:val="00A265E0"/>
    <w:rsid w:val="00A304B9"/>
    <w:rsid w:val="00A30520"/>
    <w:rsid w:val="00A342D3"/>
    <w:rsid w:val="00A364B3"/>
    <w:rsid w:val="00A36A37"/>
    <w:rsid w:val="00A36C30"/>
    <w:rsid w:val="00A40C62"/>
    <w:rsid w:val="00A4144A"/>
    <w:rsid w:val="00A42FA8"/>
    <w:rsid w:val="00A43902"/>
    <w:rsid w:val="00A459E0"/>
    <w:rsid w:val="00A512C0"/>
    <w:rsid w:val="00A54DD4"/>
    <w:rsid w:val="00A567F0"/>
    <w:rsid w:val="00A635AB"/>
    <w:rsid w:val="00A6718F"/>
    <w:rsid w:val="00A74588"/>
    <w:rsid w:val="00A74D8C"/>
    <w:rsid w:val="00A75DF2"/>
    <w:rsid w:val="00A7767B"/>
    <w:rsid w:val="00A82DAE"/>
    <w:rsid w:val="00A86184"/>
    <w:rsid w:val="00A874ED"/>
    <w:rsid w:val="00A94024"/>
    <w:rsid w:val="00AA0E00"/>
    <w:rsid w:val="00AA2E42"/>
    <w:rsid w:val="00AA45EF"/>
    <w:rsid w:val="00AA64AF"/>
    <w:rsid w:val="00AB1B9F"/>
    <w:rsid w:val="00AC0B68"/>
    <w:rsid w:val="00AC5296"/>
    <w:rsid w:val="00AC530A"/>
    <w:rsid w:val="00AC6A39"/>
    <w:rsid w:val="00AD0639"/>
    <w:rsid w:val="00AD1B9D"/>
    <w:rsid w:val="00AD2E8B"/>
    <w:rsid w:val="00AD3518"/>
    <w:rsid w:val="00AD483C"/>
    <w:rsid w:val="00AD4F36"/>
    <w:rsid w:val="00AE44A2"/>
    <w:rsid w:val="00AE4A8A"/>
    <w:rsid w:val="00AE7B92"/>
    <w:rsid w:val="00AF2007"/>
    <w:rsid w:val="00AF2429"/>
    <w:rsid w:val="00AF2CBF"/>
    <w:rsid w:val="00AF54E4"/>
    <w:rsid w:val="00AF6AFA"/>
    <w:rsid w:val="00B009BF"/>
    <w:rsid w:val="00B06563"/>
    <w:rsid w:val="00B07788"/>
    <w:rsid w:val="00B16941"/>
    <w:rsid w:val="00B172DA"/>
    <w:rsid w:val="00B21E7E"/>
    <w:rsid w:val="00B24B34"/>
    <w:rsid w:val="00B2724A"/>
    <w:rsid w:val="00B276EB"/>
    <w:rsid w:val="00B314DA"/>
    <w:rsid w:val="00B33F8E"/>
    <w:rsid w:val="00B3418D"/>
    <w:rsid w:val="00B36CBE"/>
    <w:rsid w:val="00B37130"/>
    <w:rsid w:val="00B37AF0"/>
    <w:rsid w:val="00B37CDC"/>
    <w:rsid w:val="00B37EA8"/>
    <w:rsid w:val="00B4004B"/>
    <w:rsid w:val="00B42587"/>
    <w:rsid w:val="00B426FB"/>
    <w:rsid w:val="00B42FE2"/>
    <w:rsid w:val="00B44EEC"/>
    <w:rsid w:val="00B5572D"/>
    <w:rsid w:val="00B5581B"/>
    <w:rsid w:val="00B55C78"/>
    <w:rsid w:val="00B57FA4"/>
    <w:rsid w:val="00B64B72"/>
    <w:rsid w:val="00B65FDC"/>
    <w:rsid w:val="00B6750E"/>
    <w:rsid w:val="00B6768A"/>
    <w:rsid w:val="00B704A8"/>
    <w:rsid w:val="00B71936"/>
    <w:rsid w:val="00B7652F"/>
    <w:rsid w:val="00B83A11"/>
    <w:rsid w:val="00B920EA"/>
    <w:rsid w:val="00B92557"/>
    <w:rsid w:val="00B934F5"/>
    <w:rsid w:val="00B960B9"/>
    <w:rsid w:val="00BA2E35"/>
    <w:rsid w:val="00BA56A2"/>
    <w:rsid w:val="00BA67A7"/>
    <w:rsid w:val="00BB0F3B"/>
    <w:rsid w:val="00BB5A3F"/>
    <w:rsid w:val="00BB5AE1"/>
    <w:rsid w:val="00BC0F74"/>
    <w:rsid w:val="00BC3EE5"/>
    <w:rsid w:val="00BC5580"/>
    <w:rsid w:val="00BC5FA5"/>
    <w:rsid w:val="00BD1061"/>
    <w:rsid w:val="00BD10DF"/>
    <w:rsid w:val="00BD44D2"/>
    <w:rsid w:val="00BD6CB7"/>
    <w:rsid w:val="00BE1621"/>
    <w:rsid w:val="00BE1840"/>
    <w:rsid w:val="00BE19EA"/>
    <w:rsid w:val="00BE4B5C"/>
    <w:rsid w:val="00BE6FD1"/>
    <w:rsid w:val="00BE73AE"/>
    <w:rsid w:val="00BF0182"/>
    <w:rsid w:val="00BF5863"/>
    <w:rsid w:val="00BF7C9F"/>
    <w:rsid w:val="00BF7CA1"/>
    <w:rsid w:val="00C02A8D"/>
    <w:rsid w:val="00C036B8"/>
    <w:rsid w:val="00C0629B"/>
    <w:rsid w:val="00C10B12"/>
    <w:rsid w:val="00C151F8"/>
    <w:rsid w:val="00C20FA9"/>
    <w:rsid w:val="00C22701"/>
    <w:rsid w:val="00C26A29"/>
    <w:rsid w:val="00C27447"/>
    <w:rsid w:val="00C31746"/>
    <w:rsid w:val="00C44D75"/>
    <w:rsid w:val="00C450B4"/>
    <w:rsid w:val="00C50000"/>
    <w:rsid w:val="00C51281"/>
    <w:rsid w:val="00C5363A"/>
    <w:rsid w:val="00C60217"/>
    <w:rsid w:val="00C61EB5"/>
    <w:rsid w:val="00C65B2D"/>
    <w:rsid w:val="00C71C55"/>
    <w:rsid w:val="00C75F10"/>
    <w:rsid w:val="00C84398"/>
    <w:rsid w:val="00C85701"/>
    <w:rsid w:val="00C85D70"/>
    <w:rsid w:val="00C9144D"/>
    <w:rsid w:val="00C92A30"/>
    <w:rsid w:val="00CA34B2"/>
    <w:rsid w:val="00CA4D0B"/>
    <w:rsid w:val="00CA4F7A"/>
    <w:rsid w:val="00CB3BE4"/>
    <w:rsid w:val="00CB5B74"/>
    <w:rsid w:val="00CC2C29"/>
    <w:rsid w:val="00CC622A"/>
    <w:rsid w:val="00CC7566"/>
    <w:rsid w:val="00CD3DC7"/>
    <w:rsid w:val="00CD5739"/>
    <w:rsid w:val="00CE11F9"/>
    <w:rsid w:val="00CE34D7"/>
    <w:rsid w:val="00CE5578"/>
    <w:rsid w:val="00CF6596"/>
    <w:rsid w:val="00D027F7"/>
    <w:rsid w:val="00D02BA9"/>
    <w:rsid w:val="00D03F9B"/>
    <w:rsid w:val="00D12122"/>
    <w:rsid w:val="00D12D35"/>
    <w:rsid w:val="00D136B3"/>
    <w:rsid w:val="00D179BE"/>
    <w:rsid w:val="00D23AF6"/>
    <w:rsid w:val="00D24267"/>
    <w:rsid w:val="00D25B98"/>
    <w:rsid w:val="00D2629A"/>
    <w:rsid w:val="00D3241C"/>
    <w:rsid w:val="00D41986"/>
    <w:rsid w:val="00D42064"/>
    <w:rsid w:val="00D42934"/>
    <w:rsid w:val="00D430F7"/>
    <w:rsid w:val="00D439F3"/>
    <w:rsid w:val="00D43E61"/>
    <w:rsid w:val="00D45B7E"/>
    <w:rsid w:val="00D45D49"/>
    <w:rsid w:val="00D517E6"/>
    <w:rsid w:val="00D523AA"/>
    <w:rsid w:val="00D52EC8"/>
    <w:rsid w:val="00D5437C"/>
    <w:rsid w:val="00D54B25"/>
    <w:rsid w:val="00D54F5A"/>
    <w:rsid w:val="00D579C1"/>
    <w:rsid w:val="00D57B16"/>
    <w:rsid w:val="00D60677"/>
    <w:rsid w:val="00D633A7"/>
    <w:rsid w:val="00D67C92"/>
    <w:rsid w:val="00D67F9A"/>
    <w:rsid w:val="00D70214"/>
    <w:rsid w:val="00D703F6"/>
    <w:rsid w:val="00D70F2B"/>
    <w:rsid w:val="00D71FFA"/>
    <w:rsid w:val="00D77C3A"/>
    <w:rsid w:val="00D81D66"/>
    <w:rsid w:val="00D83DE1"/>
    <w:rsid w:val="00D916CC"/>
    <w:rsid w:val="00D92955"/>
    <w:rsid w:val="00D92C97"/>
    <w:rsid w:val="00DA058B"/>
    <w:rsid w:val="00DA3B2B"/>
    <w:rsid w:val="00DA5878"/>
    <w:rsid w:val="00DA6509"/>
    <w:rsid w:val="00DA68EA"/>
    <w:rsid w:val="00DA69C4"/>
    <w:rsid w:val="00DB1C04"/>
    <w:rsid w:val="00DB3377"/>
    <w:rsid w:val="00DB59F5"/>
    <w:rsid w:val="00DB5DD6"/>
    <w:rsid w:val="00DB6AE7"/>
    <w:rsid w:val="00DB7FCA"/>
    <w:rsid w:val="00DC0703"/>
    <w:rsid w:val="00DC102D"/>
    <w:rsid w:val="00DC188E"/>
    <w:rsid w:val="00DD2E0A"/>
    <w:rsid w:val="00DD68A3"/>
    <w:rsid w:val="00DE0B15"/>
    <w:rsid w:val="00DE28F3"/>
    <w:rsid w:val="00DE34B4"/>
    <w:rsid w:val="00DE39E4"/>
    <w:rsid w:val="00DE4056"/>
    <w:rsid w:val="00DE692E"/>
    <w:rsid w:val="00DE6BDB"/>
    <w:rsid w:val="00DF0CC5"/>
    <w:rsid w:val="00DF2B7E"/>
    <w:rsid w:val="00DF33A8"/>
    <w:rsid w:val="00DF351A"/>
    <w:rsid w:val="00DF41AC"/>
    <w:rsid w:val="00E0008F"/>
    <w:rsid w:val="00E00D48"/>
    <w:rsid w:val="00E10974"/>
    <w:rsid w:val="00E12F01"/>
    <w:rsid w:val="00E13456"/>
    <w:rsid w:val="00E141A1"/>
    <w:rsid w:val="00E151E6"/>
    <w:rsid w:val="00E153AF"/>
    <w:rsid w:val="00E22229"/>
    <w:rsid w:val="00E26DBF"/>
    <w:rsid w:val="00E27404"/>
    <w:rsid w:val="00E37B4C"/>
    <w:rsid w:val="00E4007F"/>
    <w:rsid w:val="00E41DFF"/>
    <w:rsid w:val="00E42F38"/>
    <w:rsid w:val="00E43636"/>
    <w:rsid w:val="00E43CEF"/>
    <w:rsid w:val="00E447D2"/>
    <w:rsid w:val="00E47C62"/>
    <w:rsid w:val="00E503CB"/>
    <w:rsid w:val="00E51046"/>
    <w:rsid w:val="00E520B3"/>
    <w:rsid w:val="00E52D3F"/>
    <w:rsid w:val="00E60585"/>
    <w:rsid w:val="00E61E47"/>
    <w:rsid w:val="00E61FE1"/>
    <w:rsid w:val="00E65248"/>
    <w:rsid w:val="00E66A12"/>
    <w:rsid w:val="00E66FF0"/>
    <w:rsid w:val="00E72FB1"/>
    <w:rsid w:val="00E73924"/>
    <w:rsid w:val="00E75BBD"/>
    <w:rsid w:val="00E766C0"/>
    <w:rsid w:val="00E76E07"/>
    <w:rsid w:val="00E77CDD"/>
    <w:rsid w:val="00E8160C"/>
    <w:rsid w:val="00E83247"/>
    <w:rsid w:val="00E8431B"/>
    <w:rsid w:val="00E84CEE"/>
    <w:rsid w:val="00EA201E"/>
    <w:rsid w:val="00EA6BA0"/>
    <w:rsid w:val="00EA76D3"/>
    <w:rsid w:val="00EB063A"/>
    <w:rsid w:val="00EB0830"/>
    <w:rsid w:val="00EC04C4"/>
    <w:rsid w:val="00EC468B"/>
    <w:rsid w:val="00EC7B84"/>
    <w:rsid w:val="00ED1446"/>
    <w:rsid w:val="00ED76DB"/>
    <w:rsid w:val="00EE62D4"/>
    <w:rsid w:val="00EE673A"/>
    <w:rsid w:val="00EE7F08"/>
    <w:rsid w:val="00EF12E8"/>
    <w:rsid w:val="00F00003"/>
    <w:rsid w:val="00F00938"/>
    <w:rsid w:val="00F016E8"/>
    <w:rsid w:val="00F0314A"/>
    <w:rsid w:val="00F05A8B"/>
    <w:rsid w:val="00F06F33"/>
    <w:rsid w:val="00F073B0"/>
    <w:rsid w:val="00F10C35"/>
    <w:rsid w:val="00F12AA8"/>
    <w:rsid w:val="00F14AB9"/>
    <w:rsid w:val="00F16280"/>
    <w:rsid w:val="00F20501"/>
    <w:rsid w:val="00F2328A"/>
    <w:rsid w:val="00F2493A"/>
    <w:rsid w:val="00F2796D"/>
    <w:rsid w:val="00F30A59"/>
    <w:rsid w:val="00F368C9"/>
    <w:rsid w:val="00F418EB"/>
    <w:rsid w:val="00F437C8"/>
    <w:rsid w:val="00F43C6E"/>
    <w:rsid w:val="00F43E64"/>
    <w:rsid w:val="00F45540"/>
    <w:rsid w:val="00F461D5"/>
    <w:rsid w:val="00F4679E"/>
    <w:rsid w:val="00F52240"/>
    <w:rsid w:val="00F53028"/>
    <w:rsid w:val="00F627AB"/>
    <w:rsid w:val="00F6354B"/>
    <w:rsid w:val="00F64102"/>
    <w:rsid w:val="00F654E0"/>
    <w:rsid w:val="00F736B7"/>
    <w:rsid w:val="00F8223F"/>
    <w:rsid w:val="00F8541D"/>
    <w:rsid w:val="00F85AD1"/>
    <w:rsid w:val="00F9039F"/>
    <w:rsid w:val="00F91C6A"/>
    <w:rsid w:val="00F939E2"/>
    <w:rsid w:val="00F95992"/>
    <w:rsid w:val="00F959C8"/>
    <w:rsid w:val="00F961DF"/>
    <w:rsid w:val="00FA2DAE"/>
    <w:rsid w:val="00FA486F"/>
    <w:rsid w:val="00FB0AA0"/>
    <w:rsid w:val="00FB0F1F"/>
    <w:rsid w:val="00FB3B93"/>
    <w:rsid w:val="00FB6263"/>
    <w:rsid w:val="00FC0A11"/>
    <w:rsid w:val="00FC0C06"/>
    <w:rsid w:val="00FC248E"/>
    <w:rsid w:val="00FC3672"/>
    <w:rsid w:val="00FC55E9"/>
    <w:rsid w:val="00FD2306"/>
    <w:rsid w:val="00FD4D69"/>
    <w:rsid w:val="00FD569D"/>
    <w:rsid w:val="00FD5D35"/>
    <w:rsid w:val="00FD652B"/>
    <w:rsid w:val="00FD78BF"/>
    <w:rsid w:val="00FE0271"/>
    <w:rsid w:val="00FE089D"/>
    <w:rsid w:val="00FE2DC7"/>
    <w:rsid w:val="00FE421E"/>
    <w:rsid w:val="00FE49F6"/>
    <w:rsid w:val="00FE67D9"/>
    <w:rsid w:val="00FE7F17"/>
    <w:rsid w:val="00FF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8E585"/>
  <w14:defaultImageDpi w14:val="0"/>
  <w15:docId w15:val="{AD463ADD-46FF-4059-91F7-237C362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Normal (Web)" w:locked="1" w:uiPriority="0"/>
    <w:lsdException w:name="HTML Acronym" w:locked="1" w:uiPriority="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4">
    <w:name w:val="heading 4"/>
    <w:basedOn w:val="Normal"/>
    <w:next w:val="Normal"/>
    <w:link w:val="Heading4Char"/>
    <w:uiPriority w:val="9"/>
    <w:unhideWhenUsed/>
    <w:qFormat/>
    <w:locked/>
    <w:rsid w:val="00C036B8"/>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unhideWhenUsed/>
    <w:qFormat/>
    <w:locked/>
    <w:rsid w:val="00C036B8"/>
    <w:pPr>
      <w:keepNext/>
      <w:keepLines/>
      <w:spacing w:before="40"/>
      <w:outlineLvl w:val="4"/>
    </w:pPr>
    <w:rPr>
      <w:rFonts w:asciiTheme="majorHAnsi" w:eastAsiaTheme="majorEastAsia" w:hAnsiTheme="majorHAnsi"/>
      <w:color w:val="365F91" w:themeColor="accent1" w:themeShade="BF"/>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4Char">
    <w:name w:val="Heading 4 Char"/>
    <w:basedOn w:val="DefaultParagraphFont"/>
    <w:link w:val="Heading4"/>
    <w:uiPriority w:val="9"/>
    <w:locked/>
    <w:rsid w:val="00C036B8"/>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locked/>
    <w:rsid w:val="00C036B8"/>
    <w:rPr>
      <w:rFonts w:asciiTheme="majorHAnsi" w:eastAsiaTheme="majorEastAsia" w:hAnsiTheme="majorHAnsi" w:cs="Times New Roman"/>
      <w:color w:val="365F91" w:themeColor="accent1" w:themeShade="BF"/>
      <w:sz w:val="24"/>
      <w:szCs w:val="24"/>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s="Times New Roman"/>
      <w:color w:val="000000" w:themeColor="text1"/>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s="Times New Roman"/>
      <w:color w:val="000000" w:themeColor="text1"/>
      <w:sz w:val="24"/>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paragraph" w:styleId="NoSpacing">
    <w:name w:val="No Spacing"/>
    <w:link w:val="NoSpacingChar"/>
    <w:uiPriority w:val="1"/>
    <w:qFormat/>
    <w:rsid w:val="00A16E2D"/>
    <w:rPr>
      <w:rFonts w:ascii="Calibri" w:hAnsi="Calibri"/>
      <w:sz w:val="22"/>
      <w:szCs w:val="22"/>
      <w:lang w:eastAsia="en-US"/>
    </w:rPr>
  </w:style>
  <w:style w:type="character" w:customStyle="1" w:styleId="NoSpacingChar">
    <w:name w:val="No Spacing Char"/>
    <w:basedOn w:val="DefaultParagraphFont"/>
    <w:link w:val="NoSpacing"/>
    <w:uiPriority w:val="1"/>
    <w:rsid w:val="00A16E2D"/>
    <w:rPr>
      <w:rFonts w:ascii="Calibri" w:hAnsi="Calibri"/>
      <w:sz w:val="22"/>
      <w:szCs w:val="22"/>
      <w:lang w:eastAsia="en-US"/>
    </w:rPr>
  </w:style>
  <w:style w:type="table" w:styleId="GridTable5Dark-Accent5">
    <w:name w:val="Grid Table 5 Dark Accent 5"/>
    <w:basedOn w:val="TableNormal"/>
    <w:uiPriority w:val="50"/>
    <w:rsid w:val="00787C1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5349">
      <w:marLeft w:val="0"/>
      <w:marRight w:val="0"/>
      <w:marTop w:val="0"/>
      <w:marBottom w:val="0"/>
      <w:divBdr>
        <w:top w:val="none" w:sz="0" w:space="0" w:color="auto"/>
        <w:left w:val="none" w:sz="0" w:space="0" w:color="auto"/>
        <w:bottom w:val="none" w:sz="0" w:space="0" w:color="auto"/>
        <w:right w:val="none" w:sz="0" w:space="0" w:color="auto"/>
      </w:divBdr>
    </w:div>
    <w:div w:id="467435350">
      <w:marLeft w:val="0"/>
      <w:marRight w:val="0"/>
      <w:marTop w:val="0"/>
      <w:marBottom w:val="0"/>
      <w:divBdr>
        <w:top w:val="none" w:sz="0" w:space="0" w:color="auto"/>
        <w:left w:val="none" w:sz="0" w:space="0" w:color="auto"/>
        <w:bottom w:val="none" w:sz="0" w:space="0" w:color="auto"/>
        <w:right w:val="none" w:sz="0" w:space="0" w:color="auto"/>
      </w:divBdr>
    </w:div>
    <w:div w:id="467435351">
      <w:marLeft w:val="0"/>
      <w:marRight w:val="0"/>
      <w:marTop w:val="0"/>
      <w:marBottom w:val="0"/>
      <w:divBdr>
        <w:top w:val="none" w:sz="0" w:space="0" w:color="auto"/>
        <w:left w:val="none" w:sz="0" w:space="0" w:color="auto"/>
        <w:bottom w:val="none" w:sz="0" w:space="0" w:color="auto"/>
        <w:right w:val="none" w:sz="0" w:space="0" w:color="auto"/>
      </w:divBdr>
    </w:div>
    <w:div w:id="906568804">
      <w:bodyDiv w:val="1"/>
      <w:marLeft w:val="0"/>
      <w:marRight w:val="0"/>
      <w:marTop w:val="0"/>
      <w:marBottom w:val="0"/>
      <w:divBdr>
        <w:top w:val="none" w:sz="0" w:space="0" w:color="auto"/>
        <w:left w:val="none" w:sz="0" w:space="0" w:color="auto"/>
        <w:bottom w:val="none" w:sz="0" w:space="0" w:color="auto"/>
        <w:right w:val="none" w:sz="0" w:space="0" w:color="auto"/>
      </w:divBdr>
    </w:div>
    <w:div w:id="16031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2020FG-64-88144</_dlc_DocId>
    <_dlc_DocIdUrl xmlns="0f563589-9cf9-4143-b1eb-fb0534803d38">
      <Url>http://tweb/sites/fg/csrd/_layouts/15/DocIdRedir.aspx?ID=2020FG-64-88144</Url>
      <Description>2020FG-64-88144</Description>
    </_dlc_DocIdUrl>
  </documentManagement>
</p:properti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581B-0E90-4556-A877-6190959FB09C}">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3.xml><?xml version="1.0" encoding="utf-8"?>
<ds:datastoreItem xmlns:ds="http://schemas.openxmlformats.org/officeDocument/2006/customXml" ds:itemID="{E48E30A2-82E0-47B2-B7BE-CCA8DDA3B955}"/>
</file>

<file path=customXml/itemProps4.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5.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6.xml><?xml version="1.0" encoding="utf-8"?>
<ds:datastoreItem xmlns:ds="http://schemas.openxmlformats.org/officeDocument/2006/customXml" ds:itemID="{6225CF03-1643-422A-B921-FFF36125573C}"/>
</file>

<file path=customXml/itemProps7.xml><?xml version="1.0" encoding="utf-8"?>
<ds:datastoreItem xmlns:ds="http://schemas.openxmlformats.org/officeDocument/2006/customXml" ds:itemID="{BEE185CB-05BD-46CC-A8BB-75ED858C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2132</Words>
  <Characters>12801</Characters>
  <Application>Microsoft Office Word</Application>
  <DocSecurity>0</DocSecurity>
  <Lines>779</Lines>
  <Paragraphs>247</Paragraphs>
  <ScaleCrop>false</ScaleCrop>
  <HeadingPairs>
    <vt:vector size="2" baseType="variant">
      <vt:variant>
        <vt:lpstr>Title</vt:lpstr>
      </vt:variant>
      <vt:variant>
        <vt:i4>1</vt:i4>
      </vt:variant>
    </vt:vector>
  </HeadingPairs>
  <TitlesOfParts>
    <vt:vector size="1" baseType="lpstr">
      <vt:lpstr>Disaster Risk Reduction - NSW Implementation Plan</vt:lpstr>
    </vt:vector>
  </TitlesOfParts>
  <Company>Australian Government - The Treasury</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 NSW Implementation Plan</dc:title>
  <dc:subject>Environment National Partnerships</dc:subject>
  <dc:creator>Council on Federal Financial Relations</dc:creator>
  <cp:keywords>[SEC=OFFICIAL]</cp:keywords>
  <dc:description/>
  <cp:lastModifiedBy>Thomas, Deborah</cp:lastModifiedBy>
  <cp:revision>3</cp:revision>
  <cp:lastPrinted>2019-07-25T01:10:00Z</cp:lastPrinted>
  <dcterms:created xsi:type="dcterms:W3CDTF">2020-07-08T02:05:00Z</dcterms:created>
  <dcterms:modified xsi:type="dcterms:W3CDTF">2020-07-08T02:06:00Z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15F651F9EBBF48A38B2844951AECF092</vt:lpwstr>
  </property>
  <property fmtid="{D5CDD505-2E9C-101B-9397-08002B2CF9AE}" pid="9" name="PM_ProtectiveMarkingValue_Footer">
    <vt:lpwstr>OFFICIAL</vt:lpwstr>
  </property>
  <property fmtid="{D5CDD505-2E9C-101B-9397-08002B2CF9AE}" pid="10" name="PM_Originator_Hash_SHA1">
    <vt:lpwstr>38133F7C5BF999D570FB0D312BE67AEC121E5FF8</vt:lpwstr>
  </property>
  <property fmtid="{D5CDD505-2E9C-101B-9397-08002B2CF9AE}" pid="11" name="PM_OriginationTimeStamp">
    <vt:lpwstr>2020-07-08T02:05:26Z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98B85F64D20E118748854748D1D16392</vt:lpwstr>
  </property>
  <property fmtid="{D5CDD505-2E9C-101B-9397-08002B2CF9AE}" pid="20" name="PM_Hash_Salt">
    <vt:lpwstr>EA3E7B764EB6FE2E20DFB991547AB5EC</vt:lpwstr>
  </property>
  <property fmtid="{D5CDD505-2E9C-101B-9397-08002B2CF9AE}" pid="21" name="PM_Hash_SHA1">
    <vt:lpwstr>216FBA8AF91AEC807EEF9BE764D728E109BF1F57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0x010100348D01E61E107C4DA4B97E380EA20D47005CDF45B49E80F24CAD80DFC012154DA9</vt:lpwstr>
  </property>
  <property fmtid="{D5CDD505-2E9C-101B-9397-08002B2CF9AE}" pid="25" name="TSYRecordClass">
    <vt:lpwstr>2;#TSY RA-8748 - Retain as national archives|243f2231-dbfc-4282-b24a-c9b768286bd0</vt:lpwstr>
  </property>
  <property fmtid="{D5CDD505-2E9C-101B-9397-08002B2CF9AE}" pid="26" name="_dlc_DocIdItemGuid">
    <vt:lpwstr>277a0c61-b2e9-4def-8c8b-356e637d356c</vt:lpwstr>
  </property>
  <property fmtid="{D5CDD505-2E9C-101B-9397-08002B2CF9AE}" pid="27" name="RecordPoint_WorkflowType">
    <vt:lpwstr>ActiveSubmitStub</vt:lpwstr>
  </property>
  <property fmtid="{D5CDD505-2E9C-101B-9397-08002B2CF9AE}" pid="28" name="RecordPoint_ActiveItemWebId">
    <vt:lpwstr>{a4589788-615f-4b8b-8296-7f9f6dfbab44}</vt:lpwstr>
  </property>
  <property fmtid="{D5CDD505-2E9C-101B-9397-08002B2CF9AE}" pid="29" name="RecordPoint_ActiveItemSiteId">
    <vt:lpwstr>{a3a280d1-e8f1-4ce7-94f0-aaa2322da0dd}</vt:lpwstr>
  </property>
  <property fmtid="{D5CDD505-2E9C-101B-9397-08002B2CF9AE}" pid="30" name="RecordPoint_ActiveItemListId">
    <vt:lpwstr>{4435c73b-6585-4bc2-a76a-5d21b1a02e06}</vt:lpwstr>
  </property>
  <property fmtid="{D5CDD505-2E9C-101B-9397-08002B2CF9AE}" pid="31" name="RecordPoint_ActiveItemUniqueId">
    <vt:lpwstr>{277a0c61-b2e9-4def-8c8b-356e637d356c}</vt:lpwstr>
  </property>
</Properties>
</file>