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942"/>
        <w:tblW w:w="5000" w:type="pct"/>
        <w:tblLook w:val="01E0" w:firstRow="1" w:lastRow="1" w:firstColumn="1" w:lastColumn="1" w:noHBand="0" w:noVBand="0"/>
      </w:tblPr>
      <w:tblGrid>
        <w:gridCol w:w="1548"/>
        <w:gridCol w:w="7927"/>
      </w:tblGrid>
      <w:tr w:rsidR="00520331" w14:paraId="6C6219EB" w14:textId="77777777">
        <w:tc>
          <w:tcPr>
            <w:tcW w:w="817" w:type="pct"/>
          </w:tcPr>
          <w:p w14:paraId="2F5FBB1F" w14:textId="77777777" w:rsidR="00520331" w:rsidRPr="001E74D0" w:rsidRDefault="00520331" w:rsidP="00520331">
            <w:bookmarkStart w:id="0" w:name="_GoBack"/>
            <w:bookmarkEnd w:id="0"/>
          </w:p>
        </w:tc>
        <w:tc>
          <w:tcPr>
            <w:tcW w:w="4183" w:type="pct"/>
          </w:tcPr>
          <w:p w14:paraId="069A66B0" w14:textId="77777777" w:rsidR="00520331" w:rsidRPr="00FC55E9" w:rsidRDefault="00520331" w:rsidP="00520331">
            <w:pPr>
              <w:pStyle w:val="AgreementParties"/>
              <w:numPr>
                <w:ilvl w:val="0"/>
                <w:numId w:val="0"/>
              </w:numPr>
              <w:ind w:left="49"/>
            </w:pPr>
          </w:p>
        </w:tc>
      </w:tr>
    </w:tbl>
    <w:p w14:paraId="0A893E1E" w14:textId="77777777" w:rsidR="00A21A05" w:rsidRPr="00DE04BD" w:rsidRDefault="00A21A05" w:rsidP="00A17D70">
      <w:pPr>
        <w:pStyle w:val="Title"/>
      </w:pPr>
    </w:p>
    <w:p w14:paraId="4E20AE2F" w14:textId="77777777" w:rsidR="0036688B" w:rsidRPr="00A17D70" w:rsidRDefault="00AC703B" w:rsidP="00A17D70">
      <w:pPr>
        <w:pStyle w:val="Title"/>
      </w:pPr>
      <w:r>
        <w:t>Northern Territory</w:t>
      </w:r>
      <w:r w:rsidR="0036688B" w:rsidRPr="00A17D70">
        <w:t xml:space="preserve"> Implementation Plan </w:t>
      </w:r>
    </w:p>
    <w:p w14:paraId="56C71E22" w14:textId="77777777" w:rsidR="0036688B" w:rsidRPr="00A17D70" w:rsidRDefault="00B934F5" w:rsidP="00A17D70">
      <w:pPr>
        <w:pStyle w:val="Subtitle"/>
      </w:pPr>
      <w:r>
        <w:t xml:space="preserve">National Partnership </w:t>
      </w:r>
      <w:r w:rsidR="0036688B" w:rsidRPr="00A17D70">
        <w:t>on</w:t>
      </w:r>
      <w:r w:rsidR="00B920EA">
        <w:t xml:space="preserve"> </w:t>
      </w:r>
      <w:r w:rsidR="00F8223F">
        <w:t>disaster risk reduction</w:t>
      </w:r>
    </w:p>
    <w:p w14:paraId="2FDBEF1F" w14:textId="77777777" w:rsidR="00F076C9" w:rsidRDefault="0036688B" w:rsidP="008B1BE8">
      <w:pPr>
        <w:pStyle w:val="Heading1"/>
      </w:pPr>
      <w:r w:rsidRPr="008B1BE8">
        <w:t>Part 1: Preliminaries</w:t>
      </w:r>
    </w:p>
    <w:p w14:paraId="237139E7" w14:textId="77777777" w:rsidR="008B1BE8" w:rsidRPr="008B1BE8" w:rsidRDefault="008B1BE8" w:rsidP="008B1BE8"/>
    <w:p w14:paraId="49C70AE4" w14:textId="77777777" w:rsidR="00D12D35" w:rsidRDefault="001918B1"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is </w:t>
      </w:r>
      <w:r w:rsidR="00C22701" w:rsidRPr="00041625">
        <w:rPr>
          <w:szCs w:val="23"/>
        </w:rPr>
        <w:t>a schedule to</w:t>
      </w:r>
      <w:r w:rsidRPr="00041625">
        <w:rPr>
          <w:szCs w:val="23"/>
        </w:rPr>
        <w:t xml:space="preserve"> the National Partnership Agreement on </w:t>
      </w:r>
      <w:r w:rsidR="00F8223F">
        <w:rPr>
          <w:szCs w:val="23"/>
        </w:rPr>
        <w:t>Disaster Risk Reduction</w:t>
      </w:r>
      <w:r w:rsidRPr="00041625">
        <w:rPr>
          <w:szCs w:val="23"/>
        </w:rPr>
        <w:t xml:space="preserve"> and should be read in conjunction with that Agreement. </w:t>
      </w:r>
    </w:p>
    <w:p w14:paraId="73F99A9A" w14:textId="77777777" w:rsidR="001918B1" w:rsidRPr="00041625" w:rsidRDefault="001918B1" w:rsidP="0036688B">
      <w:pPr>
        <w:pStyle w:val="Normalnumbered"/>
        <w:spacing w:after="240" w:line="260" w:lineRule="exact"/>
        <w:rPr>
          <w:szCs w:val="23"/>
        </w:rPr>
      </w:pPr>
      <w:r w:rsidRPr="00041625">
        <w:rPr>
          <w:szCs w:val="23"/>
        </w:rPr>
        <w:t>The objective in the National Partnership is</w:t>
      </w:r>
      <w:r w:rsidR="00D12D35" w:rsidRPr="00D12D35">
        <w:t xml:space="preserve"> </w:t>
      </w:r>
      <w:r w:rsidR="00D12D35">
        <w:t xml:space="preserve">to </w:t>
      </w:r>
      <w:r w:rsidR="00465565">
        <w:t xml:space="preserve">proactively </w:t>
      </w:r>
      <w:r w:rsidR="00D12D35">
        <w:t xml:space="preserve">reduce </w:t>
      </w:r>
      <w:r w:rsidR="00465565">
        <w:t>the risk and limit the impact of d</w:t>
      </w:r>
      <w:r w:rsidR="00D12D35">
        <w:t>isasters associated with natural hazards on Australian communities and economies</w:t>
      </w:r>
      <w:r w:rsidRPr="00041625">
        <w:rPr>
          <w:szCs w:val="23"/>
        </w:rPr>
        <w:t>.</w:t>
      </w:r>
    </w:p>
    <w:p w14:paraId="49ACF49D" w14:textId="77777777" w:rsidR="007A07AD" w:rsidRPr="0061613E" w:rsidRDefault="00D12D35" w:rsidP="0061613E">
      <w:pPr>
        <w:pStyle w:val="Normalnumbered"/>
        <w:spacing w:after="240" w:line="260" w:lineRule="exact"/>
        <w:rPr>
          <w:szCs w:val="23"/>
        </w:rPr>
      </w:pPr>
      <w:r w:rsidRPr="00571A57">
        <w:t xml:space="preserve">The initiative will deliver </w:t>
      </w:r>
      <w:r w:rsidR="00AD1B9D" w:rsidRPr="00571A57">
        <w:t>on</w:t>
      </w:r>
      <w:r w:rsidRPr="00571A57">
        <w:t xml:space="preserve"> the</w:t>
      </w:r>
      <w:r>
        <w:t xml:space="preserve"> priorities, five</w:t>
      </w:r>
      <w:r>
        <w:noBreakHyphen/>
        <w:t>year outcomes and 2030 goals of the National Disaster Risk Reduction Framework across Australia’s built, social, natural and economic environments. It aims to reduce existing disaster risk, minimise the creation of future</w:t>
      </w:r>
      <w:r w:rsidR="009F536E">
        <w:t xml:space="preserve"> disaster</w:t>
      </w:r>
      <w:r>
        <w:t xml:space="preserve"> risk and </w:t>
      </w:r>
      <w:r w:rsidR="00465565">
        <w:t xml:space="preserve">equip decision-makers with the capabilities and information needed to reduce disaster risk and </w:t>
      </w:r>
      <w:r>
        <w:t>manage residual risk.</w:t>
      </w:r>
    </w:p>
    <w:p w14:paraId="0B310FD1" w14:textId="77777777" w:rsidR="003E230C" w:rsidRPr="00041625" w:rsidRDefault="003E230C" w:rsidP="00A17D70">
      <w:pPr>
        <w:pStyle w:val="Heading1"/>
      </w:pPr>
      <w:r w:rsidRPr="00041625">
        <w:t xml:space="preserve">Part 2: Terms of this </w:t>
      </w:r>
      <w:r w:rsidR="00E47C62" w:rsidRPr="00041625">
        <w:t>I</w:t>
      </w:r>
      <w:r w:rsidR="00E47C62" w:rsidRPr="00A17D70">
        <w:t>mplem</w:t>
      </w:r>
      <w:r w:rsidR="00E47C62" w:rsidRPr="00041625">
        <w:t>entation Plan</w:t>
      </w:r>
    </w:p>
    <w:p w14:paraId="7438842A" w14:textId="77777777" w:rsidR="003E230C" w:rsidRPr="003E230C" w:rsidRDefault="003E230C" w:rsidP="003E230C"/>
    <w:p w14:paraId="373324C9" w14:textId="2E584B06" w:rsidR="0036688B" w:rsidRPr="00041625" w:rsidRDefault="0036688B"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will commence as soon as it is agreed between the Commonwealth of Australia, represented by the Minister for </w:t>
      </w:r>
      <w:r w:rsidR="000E0783">
        <w:rPr>
          <w:szCs w:val="23"/>
        </w:rPr>
        <w:t xml:space="preserve">Agriculture, Drought </w:t>
      </w:r>
      <w:r w:rsidR="00D12D35">
        <w:rPr>
          <w:szCs w:val="23"/>
        </w:rPr>
        <w:t>and Emergency Management</w:t>
      </w:r>
      <w:r w:rsidRPr="00041625">
        <w:rPr>
          <w:szCs w:val="23"/>
        </w:rPr>
        <w:t xml:space="preserve">, and </w:t>
      </w:r>
      <w:r w:rsidR="00AC703B">
        <w:rPr>
          <w:szCs w:val="23"/>
        </w:rPr>
        <w:t>Northern Territory</w:t>
      </w:r>
      <w:r w:rsidR="000D744D">
        <w:rPr>
          <w:szCs w:val="23"/>
        </w:rPr>
        <w:t xml:space="preserve"> (NT)</w:t>
      </w:r>
      <w:r w:rsidRPr="00041625">
        <w:rPr>
          <w:szCs w:val="23"/>
        </w:rPr>
        <w:t xml:space="preserve">, represented by </w:t>
      </w:r>
      <w:r w:rsidR="00AC703B">
        <w:rPr>
          <w:szCs w:val="23"/>
        </w:rPr>
        <w:t>the Chief Minister</w:t>
      </w:r>
      <w:r w:rsidR="00A50598">
        <w:rPr>
          <w:szCs w:val="23"/>
        </w:rPr>
        <w:t xml:space="preserve"> of the </w:t>
      </w:r>
      <w:r w:rsidR="008C021B">
        <w:rPr>
          <w:szCs w:val="23"/>
        </w:rPr>
        <w:t>NT</w:t>
      </w:r>
      <w:r w:rsidRPr="00041625">
        <w:rPr>
          <w:szCs w:val="23"/>
        </w:rPr>
        <w:t>.</w:t>
      </w:r>
    </w:p>
    <w:p w14:paraId="401711A7" w14:textId="77777777" w:rsidR="00F709D6" w:rsidRDefault="00F709D6" w:rsidP="00F709D6">
      <w:pPr>
        <w:pStyle w:val="Normalnumbered"/>
        <w:rPr>
          <w:szCs w:val="23"/>
        </w:rPr>
      </w:pPr>
      <w:r w:rsidRPr="00F709D6">
        <w:rPr>
          <w:szCs w:val="23"/>
        </w:rPr>
        <w:t xml:space="preserve">As a schedule to the National Partnership Agreement on Disaster Risk Reduction, the purpose of this Implementation Plan is to provide the public with an indication of how the project is intended to be delivered and demonstrate the NT’s capacity to achieve the outcomes of the National Partnership.  </w:t>
      </w:r>
    </w:p>
    <w:p w14:paraId="500D1D51" w14:textId="77777777" w:rsidR="00F709D6" w:rsidRPr="00F709D6" w:rsidRDefault="00F709D6" w:rsidP="00F709D6">
      <w:pPr>
        <w:pStyle w:val="Normalnumbered"/>
        <w:numPr>
          <w:ilvl w:val="0"/>
          <w:numId w:val="0"/>
        </w:numPr>
        <w:ind w:left="567"/>
        <w:rPr>
          <w:szCs w:val="23"/>
        </w:rPr>
      </w:pPr>
    </w:p>
    <w:p w14:paraId="222A8A9D" w14:textId="77777777" w:rsidR="0036688B" w:rsidRPr="00041625" w:rsidRDefault="0036688B"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will cease on completion </w:t>
      </w:r>
      <w:r w:rsidR="00F9039F" w:rsidRPr="00041625">
        <w:rPr>
          <w:szCs w:val="23"/>
        </w:rPr>
        <w:t xml:space="preserve">or termination </w:t>
      </w:r>
      <w:r w:rsidRPr="00041625">
        <w:rPr>
          <w:szCs w:val="23"/>
        </w:rPr>
        <w:t xml:space="preserve">of </w:t>
      </w:r>
      <w:r w:rsidR="00AC5296" w:rsidRPr="00041625">
        <w:rPr>
          <w:szCs w:val="23"/>
        </w:rPr>
        <w:t>the National Partnership</w:t>
      </w:r>
      <w:r w:rsidR="00BC5FA5" w:rsidRPr="00041625">
        <w:rPr>
          <w:szCs w:val="23"/>
        </w:rPr>
        <w:t>, including final performance reporting and processing of final payments against performance milestones.</w:t>
      </w:r>
    </w:p>
    <w:p w14:paraId="551468E0" w14:textId="77777777" w:rsidR="0036688B" w:rsidRPr="00041625" w:rsidRDefault="0036688B"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may be varied by written agreement between the </w:t>
      </w:r>
      <w:r w:rsidR="00D3241C" w:rsidRPr="00041625">
        <w:rPr>
          <w:szCs w:val="23"/>
        </w:rPr>
        <w:t xml:space="preserve">Commonwealth and State </w:t>
      </w:r>
      <w:r w:rsidRPr="00041625">
        <w:rPr>
          <w:szCs w:val="23"/>
        </w:rPr>
        <w:t>Ministers</w:t>
      </w:r>
      <w:r w:rsidR="00D3241C" w:rsidRPr="00041625">
        <w:rPr>
          <w:szCs w:val="23"/>
        </w:rPr>
        <w:t xml:space="preserve"> responsible for it under the overarching National Partnership</w:t>
      </w:r>
      <w:r w:rsidRPr="00041625">
        <w:rPr>
          <w:szCs w:val="23"/>
        </w:rPr>
        <w:t xml:space="preserve">. </w:t>
      </w:r>
    </w:p>
    <w:p w14:paraId="0B0829ED" w14:textId="77777777" w:rsidR="0036688B" w:rsidRDefault="0036688B" w:rsidP="0036688B">
      <w:pPr>
        <w:pStyle w:val="Normalnumbered"/>
        <w:spacing w:after="240" w:line="260" w:lineRule="exact"/>
        <w:rPr>
          <w:szCs w:val="23"/>
        </w:rPr>
      </w:pPr>
      <w:r w:rsidRPr="00041625">
        <w:rPr>
          <w:szCs w:val="23"/>
        </w:rPr>
        <w:t xml:space="preserve">The Parties to this </w:t>
      </w:r>
      <w:r w:rsidR="00E47C62" w:rsidRPr="00041625">
        <w:rPr>
          <w:szCs w:val="23"/>
        </w:rPr>
        <w:t>Implementation Plan</w:t>
      </w:r>
      <w:r w:rsidRPr="00041625">
        <w:rPr>
          <w:szCs w:val="23"/>
        </w:rPr>
        <w:t xml:space="preserve"> do not intend any of the provisions to be legally enforceable. However, that does not lessen the Parties’ commitment to </w:t>
      </w:r>
      <w:r w:rsidR="00CD5739" w:rsidRPr="00041625">
        <w:rPr>
          <w:szCs w:val="23"/>
        </w:rPr>
        <w:t xml:space="preserve">the plan and its full </w:t>
      </w:r>
      <w:r w:rsidRPr="00041625">
        <w:rPr>
          <w:szCs w:val="23"/>
        </w:rPr>
        <w:t>implementation.</w:t>
      </w:r>
    </w:p>
    <w:p w14:paraId="533D26B0" w14:textId="77777777" w:rsidR="00514402" w:rsidRPr="00041625" w:rsidRDefault="00514402" w:rsidP="00514402">
      <w:pPr>
        <w:pStyle w:val="Normalnumbered"/>
        <w:numPr>
          <w:ilvl w:val="0"/>
          <w:numId w:val="0"/>
        </w:numPr>
        <w:spacing w:after="240" w:line="260" w:lineRule="exact"/>
        <w:ind w:left="567"/>
        <w:rPr>
          <w:szCs w:val="23"/>
        </w:rPr>
      </w:pPr>
    </w:p>
    <w:p w14:paraId="6C02139D" w14:textId="77777777" w:rsidR="0036688B" w:rsidRPr="00B704A8" w:rsidRDefault="0036688B" w:rsidP="00A17D70">
      <w:pPr>
        <w:pStyle w:val="Heading1"/>
      </w:pPr>
      <w:r w:rsidRPr="00B704A8">
        <w:lastRenderedPageBreak/>
        <w:t xml:space="preserve">Part </w:t>
      </w:r>
      <w:r w:rsidR="00C26A29" w:rsidRPr="00B704A8">
        <w:t>3</w:t>
      </w:r>
      <w:r w:rsidRPr="00B704A8">
        <w:t xml:space="preserve">: Strategy for </w:t>
      </w:r>
      <w:r w:rsidR="00AC703B">
        <w:t>Northern Terrtory</w:t>
      </w:r>
      <w:r w:rsidRPr="00B704A8">
        <w:t xml:space="preserve"> implementation</w:t>
      </w:r>
    </w:p>
    <w:p w14:paraId="26B75A88" w14:textId="77777777" w:rsidR="0036688B" w:rsidRPr="00A17D70" w:rsidRDefault="0036688B" w:rsidP="00A17D70">
      <w:pPr>
        <w:pStyle w:val="Heading2"/>
      </w:pPr>
      <w:r w:rsidRPr="00A17D70">
        <w:t xml:space="preserve">Project information </w:t>
      </w:r>
    </w:p>
    <w:p w14:paraId="6318EDD8" w14:textId="77777777" w:rsidR="0036688B" w:rsidRPr="00936B3E" w:rsidRDefault="0036688B" w:rsidP="009D3DB5">
      <w:pPr>
        <w:spacing w:line="260" w:lineRule="exact"/>
        <w:jc w:val="both"/>
        <w:rPr>
          <w:color w:val="auto"/>
          <w:sz w:val="16"/>
          <w:szCs w:val="16"/>
        </w:rPr>
      </w:pPr>
    </w:p>
    <w:p w14:paraId="4E695A86" w14:textId="77777777" w:rsidR="003A3BA7" w:rsidRDefault="00387690" w:rsidP="00632CF8">
      <w:pPr>
        <w:pStyle w:val="Normalnumbered"/>
      </w:pPr>
      <w:r w:rsidRPr="00387690">
        <w:t xml:space="preserve">The </w:t>
      </w:r>
      <w:r w:rsidR="008C021B">
        <w:t>NT</w:t>
      </w:r>
      <w:r w:rsidR="00D43DB4">
        <w:t xml:space="preserve"> will </w:t>
      </w:r>
      <w:r w:rsidRPr="00387690">
        <w:t xml:space="preserve">deliver </w:t>
      </w:r>
      <w:r w:rsidR="00F778B5">
        <w:t xml:space="preserve">projects aimed at fulfilling the </w:t>
      </w:r>
      <w:r w:rsidR="00632CF8">
        <w:t xml:space="preserve">four </w:t>
      </w:r>
      <w:r w:rsidR="00F778B5">
        <w:t xml:space="preserve">priorities </w:t>
      </w:r>
      <w:r w:rsidR="00D43DB4">
        <w:t xml:space="preserve">of the </w:t>
      </w:r>
      <w:r w:rsidRPr="00387690">
        <w:t xml:space="preserve">National </w:t>
      </w:r>
      <w:r>
        <w:t>Disaster Risk Reduction Framework</w:t>
      </w:r>
      <w:r w:rsidRPr="00387690">
        <w:t>.</w:t>
      </w:r>
      <w:r>
        <w:t xml:space="preserve">  Th</w:t>
      </w:r>
      <w:r w:rsidR="00F709D6">
        <w:t>e</w:t>
      </w:r>
      <w:r>
        <w:t xml:space="preserve"> funding model referred to </w:t>
      </w:r>
      <w:r w:rsidR="00C20323">
        <w:t xml:space="preserve">in this Implementation Plan will be known as the </w:t>
      </w:r>
      <w:r w:rsidR="008C021B">
        <w:t>NT</w:t>
      </w:r>
      <w:r>
        <w:t xml:space="preserve"> Risk Reduction </w:t>
      </w:r>
      <w:r w:rsidR="007D37BC">
        <w:t>Program (NTRRP</w:t>
      </w:r>
      <w:r>
        <w:t>)</w:t>
      </w:r>
      <w:r w:rsidR="00B204CC">
        <w:t>.</w:t>
      </w:r>
      <w:r w:rsidRPr="00387690">
        <w:t xml:space="preserve">  </w:t>
      </w:r>
    </w:p>
    <w:p w14:paraId="3AC2A577" w14:textId="77777777" w:rsidR="00F53426" w:rsidRDefault="00F53426" w:rsidP="00F53426">
      <w:pPr>
        <w:pStyle w:val="Normalnumbered"/>
        <w:numPr>
          <w:ilvl w:val="0"/>
          <w:numId w:val="0"/>
        </w:numPr>
        <w:ind w:left="567"/>
      </w:pPr>
    </w:p>
    <w:p w14:paraId="58529774" w14:textId="77777777" w:rsidR="00D43DB4" w:rsidRDefault="0036688B" w:rsidP="00632CF8">
      <w:pPr>
        <w:pStyle w:val="Normalnumbered"/>
      </w:pPr>
      <w:r>
        <w:t>The</w:t>
      </w:r>
      <w:r w:rsidR="00F778B5">
        <w:t xml:space="preserve"> priorities for funding under the</w:t>
      </w:r>
      <w:r w:rsidR="00877ECD">
        <w:t xml:space="preserve"> NTRRP</w:t>
      </w:r>
      <w:r w:rsidR="008F4AF0">
        <w:t xml:space="preserve"> are</w:t>
      </w:r>
      <w:r w:rsidRPr="0011673E">
        <w:t xml:space="preserve">: </w:t>
      </w:r>
    </w:p>
    <w:p w14:paraId="73891315" w14:textId="77777777" w:rsidR="00D43DB4" w:rsidRDefault="00E123E1" w:rsidP="00632CF8">
      <w:pPr>
        <w:pStyle w:val="Normalnumbered"/>
        <w:numPr>
          <w:ilvl w:val="1"/>
          <w:numId w:val="9"/>
        </w:numPr>
      </w:pPr>
      <w:r w:rsidRPr="00D43DB4">
        <w:rPr>
          <w:b/>
        </w:rPr>
        <w:t>Understanding Disaster R</w:t>
      </w:r>
      <w:r w:rsidR="00A50598" w:rsidRPr="00D43DB4">
        <w:rPr>
          <w:b/>
        </w:rPr>
        <w:t>isk</w:t>
      </w:r>
      <w:r w:rsidR="00B204CC" w:rsidRPr="00D43DB4">
        <w:rPr>
          <w:b/>
        </w:rPr>
        <w:t>:</w:t>
      </w:r>
      <w:r w:rsidR="00387690" w:rsidRPr="00D43DB4">
        <w:t xml:space="preserve"> </w:t>
      </w:r>
      <w:r w:rsidR="00DC50B5" w:rsidRPr="00D43DB4">
        <w:t>Take meaningful action t</w:t>
      </w:r>
      <w:r w:rsidR="00D43DB4" w:rsidRPr="00D43DB4">
        <w:t>o reduce existing disaster risk</w:t>
      </w:r>
      <w:r w:rsidR="00D354C1">
        <w:t xml:space="preserve"> and minimise </w:t>
      </w:r>
      <w:r w:rsidR="00202D37">
        <w:t xml:space="preserve">creation of </w:t>
      </w:r>
      <w:r w:rsidR="00D354C1">
        <w:t>future disaster risk</w:t>
      </w:r>
      <w:r w:rsidR="00D43DB4" w:rsidRPr="00D43DB4">
        <w:t>.</w:t>
      </w:r>
    </w:p>
    <w:p w14:paraId="6CADF394" w14:textId="77777777" w:rsidR="00D43DB4" w:rsidRDefault="00B204CC" w:rsidP="00632CF8">
      <w:pPr>
        <w:pStyle w:val="Normalnumbered"/>
        <w:numPr>
          <w:ilvl w:val="1"/>
          <w:numId w:val="9"/>
        </w:numPr>
      </w:pPr>
      <w:r w:rsidRPr="00D43DB4">
        <w:rPr>
          <w:b/>
        </w:rPr>
        <w:t>Accountable Decision Making:</w:t>
      </w:r>
      <w:r w:rsidRPr="00D43DB4">
        <w:t xml:space="preserve"> </w:t>
      </w:r>
      <w:r w:rsidR="00DC50B5" w:rsidRPr="00D43DB4">
        <w:t xml:space="preserve">Enable accountable decision-making across all sectors to respond to immediate and long-term disaster risk and actively manage the potential creation or exacerbation of disaster risk. </w:t>
      </w:r>
    </w:p>
    <w:p w14:paraId="686664C8" w14:textId="77777777" w:rsidR="00D43DB4" w:rsidRDefault="00B204CC" w:rsidP="00632CF8">
      <w:pPr>
        <w:pStyle w:val="Normalnumbered"/>
        <w:numPr>
          <w:ilvl w:val="1"/>
          <w:numId w:val="9"/>
        </w:numPr>
      </w:pPr>
      <w:r w:rsidRPr="00D43DB4">
        <w:rPr>
          <w:b/>
        </w:rPr>
        <w:t>Enhanced Investment:</w:t>
      </w:r>
      <w:r w:rsidRPr="00D43DB4">
        <w:t xml:space="preserve"> </w:t>
      </w:r>
      <w:r w:rsidR="00DC50B5" w:rsidRPr="00D43DB4">
        <w:t>Enhance investment in disaster risk reduction to build resilience.</w:t>
      </w:r>
    </w:p>
    <w:p w14:paraId="3B353BC7" w14:textId="77777777" w:rsidR="00F7424D" w:rsidRDefault="00DC50B5" w:rsidP="00877ECD">
      <w:pPr>
        <w:pStyle w:val="Normalnumbered"/>
        <w:numPr>
          <w:ilvl w:val="1"/>
          <w:numId w:val="9"/>
        </w:numPr>
      </w:pPr>
      <w:r w:rsidRPr="00D43DB4">
        <w:rPr>
          <w:b/>
        </w:rPr>
        <w:t>Governance, Ownership and Responsibility:</w:t>
      </w:r>
      <w:r w:rsidRPr="00D43DB4">
        <w:t xml:space="preserve"> Strive for transparent, </w:t>
      </w:r>
      <w:r w:rsidR="00592CA6" w:rsidRPr="00D43DB4">
        <w:t>sustainable</w:t>
      </w:r>
      <w:r w:rsidRPr="00D43DB4">
        <w:t xml:space="preserve"> and accountable governance, </w:t>
      </w:r>
      <w:r w:rsidR="00592CA6" w:rsidRPr="00D43DB4">
        <w:t>ownership</w:t>
      </w:r>
      <w:r w:rsidRPr="00D43DB4">
        <w:t xml:space="preserve"> and responsibility for disaster risk management. </w:t>
      </w:r>
    </w:p>
    <w:p w14:paraId="04430315" w14:textId="77777777" w:rsidR="00714F22" w:rsidRDefault="00714F22" w:rsidP="00714F22">
      <w:pPr>
        <w:pStyle w:val="Heading2"/>
      </w:pPr>
      <w:r>
        <w:t>Governance</w:t>
      </w:r>
    </w:p>
    <w:p w14:paraId="19DA028A" w14:textId="77777777" w:rsidR="00F53426" w:rsidRDefault="00F53426" w:rsidP="00F53426">
      <w:pPr>
        <w:pStyle w:val="Normalnumbered"/>
        <w:numPr>
          <w:ilvl w:val="0"/>
          <w:numId w:val="0"/>
        </w:numPr>
        <w:ind w:left="1440"/>
      </w:pPr>
    </w:p>
    <w:p w14:paraId="5BA02DAA" w14:textId="77777777" w:rsidR="008B58AA" w:rsidRDefault="008B58AA" w:rsidP="007B269B">
      <w:pPr>
        <w:pStyle w:val="Normalnumbered"/>
      </w:pPr>
      <w:r>
        <w:t xml:space="preserve">The </w:t>
      </w:r>
      <w:r w:rsidR="00F075F8">
        <w:t xml:space="preserve">management  </w:t>
      </w:r>
      <w:r>
        <w:t xml:space="preserve">of grants for the </w:t>
      </w:r>
      <w:r w:rsidR="00877ECD">
        <w:t>NTRRP</w:t>
      </w:r>
      <w:r>
        <w:t xml:space="preserve"> applications will </w:t>
      </w:r>
      <w:r w:rsidR="00F075F8">
        <w:t>progress through</w:t>
      </w:r>
      <w:r>
        <w:t>:</w:t>
      </w:r>
    </w:p>
    <w:p w14:paraId="2B04C22E" w14:textId="77777777" w:rsidR="008B58AA" w:rsidRPr="00054D6B" w:rsidRDefault="008C021B" w:rsidP="008F20AD">
      <w:pPr>
        <w:pStyle w:val="Normalnumbered"/>
        <w:numPr>
          <w:ilvl w:val="1"/>
          <w:numId w:val="9"/>
        </w:numPr>
      </w:pPr>
      <w:r>
        <w:rPr>
          <w:b/>
        </w:rPr>
        <w:t>NT</w:t>
      </w:r>
      <w:r w:rsidR="00877ECD" w:rsidRPr="008F20AD">
        <w:rPr>
          <w:b/>
        </w:rPr>
        <w:t xml:space="preserve"> Risk Reduction Program</w:t>
      </w:r>
      <w:r w:rsidR="00E73BDE" w:rsidRPr="008F20AD">
        <w:rPr>
          <w:b/>
        </w:rPr>
        <w:t xml:space="preserve"> </w:t>
      </w:r>
      <w:r w:rsidR="00CF0674" w:rsidRPr="00CF0674">
        <w:rPr>
          <w:b/>
        </w:rPr>
        <w:t xml:space="preserve">Manager </w:t>
      </w:r>
      <w:r w:rsidR="0017644A" w:rsidRPr="008F20AD">
        <w:rPr>
          <w:b/>
        </w:rPr>
        <w:t>(</w:t>
      </w:r>
      <w:r w:rsidR="00877ECD" w:rsidRPr="008F20AD">
        <w:rPr>
          <w:b/>
        </w:rPr>
        <w:t>NT</w:t>
      </w:r>
      <w:r w:rsidR="008B58AA" w:rsidRPr="008F20AD">
        <w:rPr>
          <w:b/>
        </w:rPr>
        <w:t>RRP</w:t>
      </w:r>
      <w:r w:rsidR="00E73BDE" w:rsidRPr="008F20AD">
        <w:rPr>
          <w:b/>
        </w:rPr>
        <w:t xml:space="preserve"> </w:t>
      </w:r>
      <w:r w:rsidR="008B58AA" w:rsidRPr="008F20AD">
        <w:rPr>
          <w:b/>
        </w:rPr>
        <w:t>Manager</w:t>
      </w:r>
      <w:r w:rsidR="00E73BDE" w:rsidRPr="008F20AD">
        <w:rPr>
          <w:b/>
        </w:rPr>
        <w:t>)</w:t>
      </w:r>
      <w:r w:rsidR="00973926" w:rsidRPr="008F20AD">
        <w:rPr>
          <w:b/>
        </w:rPr>
        <w:t>:</w:t>
      </w:r>
      <w:r w:rsidR="00973926">
        <w:t xml:space="preserve"> </w:t>
      </w:r>
      <w:r w:rsidR="00877ECD">
        <w:t>The NT</w:t>
      </w:r>
      <w:r w:rsidR="00973926" w:rsidRPr="00973926">
        <w:t xml:space="preserve">RRP Manager oversees the </w:t>
      </w:r>
      <w:r w:rsidR="008F20AD" w:rsidRPr="00973926">
        <w:t xml:space="preserve">compliance with </w:t>
      </w:r>
      <w:r w:rsidR="008F20AD">
        <w:t>the NPA Implementation Plan</w:t>
      </w:r>
      <w:r w:rsidR="008F20AD" w:rsidRPr="00973926">
        <w:t xml:space="preserve"> </w:t>
      </w:r>
      <w:r w:rsidR="00973926" w:rsidRPr="00973926">
        <w:t xml:space="preserve">and </w:t>
      </w:r>
      <w:r w:rsidR="008F20AD">
        <w:t xml:space="preserve">will facilitate the effective management of the </w:t>
      </w:r>
      <w:r w:rsidR="008F20AD" w:rsidRPr="008F20AD">
        <w:t>NTRRP</w:t>
      </w:r>
      <w:r w:rsidR="008F20AD">
        <w:t xml:space="preserve"> and associated funding. The </w:t>
      </w:r>
      <w:r w:rsidR="008F20AD" w:rsidRPr="008F20AD">
        <w:t xml:space="preserve">NTRRP Manager </w:t>
      </w:r>
      <w:r w:rsidR="008F20AD">
        <w:t xml:space="preserve">will provide strategic budget advice as it relates to the program and produce reporting and program analysis for presentation to the Steering Committee and </w:t>
      </w:r>
      <w:r w:rsidR="006966E9">
        <w:t xml:space="preserve">the </w:t>
      </w:r>
      <w:r w:rsidR="00892AED">
        <w:t>Territory Emergency Management Council (</w:t>
      </w:r>
      <w:r w:rsidR="008F20AD">
        <w:t>TEMC</w:t>
      </w:r>
      <w:r w:rsidR="00892AED">
        <w:t>)</w:t>
      </w:r>
      <w:r w:rsidR="008F20AD">
        <w:t>.</w:t>
      </w:r>
      <w:r w:rsidR="00973926" w:rsidRPr="00973926">
        <w:t xml:space="preserve"> </w:t>
      </w:r>
      <w:r w:rsidR="00877ECD">
        <w:t>The NTRRP</w:t>
      </w:r>
      <w:r w:rsidR="00F7424D">
        <w:t xml:space="preserve"> will cover the </w:t>
      </w:r>
      <w:r w:rsidR="00306293">
        <w:t xml:space="preserve">salary and administrative </w:t>
      </w:r>
      <w:r w:rsidR="00F7424D">
        <w:t xml:space="preserve">costs </w:t>
      </w:r>
      <w:r w:rsidR="00306293">
        <w:t>associated with</w:t>
      </w:r>
      <w:r w:rsidR="00F7424D">
        <w:t xml:space="preserve"> this position. </w:t>
      </w:r>
      <w:r w:rsidR="00973926">
        <w:br/>
      </w:r>
    </w:p>
    <w:p w14:paraId="709A1601" w14:textId="77777777" w:rsidR="008B58AA" w:rsidRPr="00054D6B" w:rsidRDefault="002546A1" w:rsidP="008F20AD">
      <w:pPr>
        <w:pStyle w:val="Normalnumbered"/>
        <w:numPr>
          <w:ilvl w:val="1"/>
          <w:numId w:val="9"/>
        </w:numPr>
      </w:pPr>
      <w:r w:rsidRPr="00973926">
        <w:rPr>
          <w:b/>
        </w:rPr>
        <w:t>N</w:t>
      </w:r>
      <w:r w:rsidR="00877ECD">
        <w:rPr>
          <w:b/>
        </w:rPr>
        <w:t>T</w:t>
      </w:r>
      <w:r w:rsidRPr="00973926">
        <w:rPr>
          <w:b/>
        </w:rPr>
        <w:t xml:space="preserve">RRP </w:t>
      </w:r>
      <w:r w:rsidR="0097282E">
        <w:rPr>
          <w:b/>
        </w:rPr>
        <w:t>Assessment</w:t>
      </w:r>
      <w:r w:rsidR="008B58AA" w:rsidRPr="00973926">
        <w:rPr>
          <w:b/>
        </w:rPr>
        <w:t xml:space="preserve"> </w:t>
      </w:r>
      <w:r w:rsidR="0097282E">
        <w:rPr>
          <w:b/>
        </w:rPr>
        <w:t>Panel</w:t>
      </w:r>
      <w:r w:rsidR="0017644A">
        <w:rPr>
          <w:b/>
        </w:rPr>
        <w:t xml:space="preserve"> (</w:t>
      </w:r>
      <w:r w:rsidR="0097282E">
        <w:rPr>
          <w:b/>
        </w:rPr>
        <w:t>Assessment</w:t>
      </w:r>
      <w:r w:rsidRPr="00973926">
        <w:rPr>
          <w:b/>
        </w:rPr>
        <w:t xml:space="preserve"> </w:t>
      </w:r>
      <w:r w:rsidR="0017644A">
        <w:rPr>
          <w:b/>
        </w:rPr>
        <w:t>Panel</w:t>
      </w:r>
      <w:r w:rsidRPr="00973926">
        <w:rPr>
          <w:b/>
        </w:rPr>
        <w:t>)</w:t>
      </w:r>
      <w:r w:rsidR="002806D3">
        <w:rPr>
          <w:b/>
        </w:rPr>
        <w:t>:</w:t>
      </w:r>
      <w:r w:rsidR="00054D6B" w:rsidRPr="00054D6B">
        <w:t xml:space="preserve"> </w:t>
      </w:r>
      <w:r w:rsidR="00973926" w:rsidRPr="00973926">
        <w:t xml:space="preserve">The </w:t>
      </w:r>
      <w:r w:rsidR="0017644A">
        <w:t xml:space="preserve">Assessment Panel </w:t>
      </w:r>
      <w:r w:rsidR="00474F75">
        <w:t>will consist</w:t>
      </w:r>
      <w:r w:rsidR="00973926" w:rsidRPr="00973926">
        <w:t xml:space="preserve"> of </w:t>
      </w:r>
      <w:r w:rsidR="00474F75">
        <w:t xml:space="preserve">a minimum of three </w:t>
      </w:r>
      <w:r w:rsidR="00973926" w:rsidRPr="00973926">
        <w:t xml:space="preserve">members from </w:t>
      </w:r>
      <w:r w:rsidR="00474F75">
        <w:t xml:space="preserve">separate </w:t>
      </w:r>
      <w:r w:rsidR="00973926" w:rsidRPr="00973926">
        <w:t xml:space="preserve">NT Government agencies. The </w:t>
      </w:r>
      <w:r w:rsidR="008F20AD" w:rsidRPr="008F20AD">
        <w:t xml:space="preserve">Assessment Panel </w:t>
      </w:r>
      <w:r w:rsidR="008F20AD">
        <w:t>ensures</w:t>
      </w:r>
      <w:r w:rsidR="008F20AD" w:rsidRPr="00220160">
        <w:t xml:space="preserve"> that projects align with the Project Objectives outlined in Table 2 – Program Logic</w:t>
      </w:r>
      <w:r w:rsidR="008F20AD" w:rsidRPr="00973926">
        <w:t xml:space="preserve"> </w:t>
      </w:r>
      <w:r w:rsidR="00973926" w:rsidRPr="00973926">
        <w:t>and make</w:t>
      </w:r>
      <w:r w:rsidR="00BC74FE">
        <w:t>s</w:t>
      </w:r>
      <w:r w:rsidR="00973926" w:rsidRPr="00973926">
        <w:t xml:space="preserve"> final recommendations to</w:t>
      </w:r>
      <w:r w:rsidR="00973926">
        <w:t xml:space="preserve"> the Steering Committee</w:t>
      </w:r>
      <w:r w:rsidR="008F20AD">
        <w:t>.</w:t>
      </w:r>
      <w:r w:rsidR="00973926">
        <w:br/>
      </w:r>
    </w:p>
    <w:p w14:paraId="624B2683" w14:textId="77777777" w:rsidR="002767C4" w:rsidRDefault="008B58AA" w:rsidP="004775A0">
      <w:pPr>
        <w:pStyle w:val="Normalnumbered"/>
        <w:numPr>
          <w:ilvl w:val="1"/>
          <w:numId w:val="9"/>
        </w:numPr>
      </w:pPr>
      <w:r w:rsidRPr="00973926">
        <w:rPr>
          <w:b/>
        </w:rPr>
        <w:t>The Steering Committee</w:t>
      </w:r>
      <w:r w:rsidRPr="002767C4">
        <w:rPr>
          <w:b/>
        </w:rPr>
        <w:t xml:space="preserve"> </w:t>
      </w:r>
      <w:r w:rsidR="002546A1" w:rsidRPr="002767C4">
        <w:rPr>
          <w:b/>
        </w:rPr>
        <w:t>(</w:t>
      </w:r>
      <w:r w:rsidR="0017644A">
        <w:rPr>
          <w:b/>
        </w:rPr>
        <w:t>Steering Committee</w:t>
      </w:r>
      <w:r w:rsidR="002546A1" w:rsidRPr="002767C4">
        <w:rPr>
          <w:b/>
        </w:rPr>
        <w:t>)</w:t>
      </w:r>
      <w:r w:rsidR="00973926" w:rsidRPr="002767C4">
        <w:rPr>
          <w:b/>
        </w:rPr>
        <w:t xml:space="preserve">: </w:t>
      </w:r>
      <w:r w:rsidR="00973926">
        <w:t>The final oversigh</w:t>
      </w:r>
      <w:r w:rsidR="00220160">
        <w:t>t of the governance of the NTRRP</w:t>
      </w:r>
      <w:r w:rsidR="00973926">
        <w:t xml:space="preserve"> will be conducted through the Steering Committee. The Steering Committee </w:t>
      </w:r>
      <w:r w:rsidR="004775A0">
        <w:t xml:space="preserve">is </w:t>
      </w:r>
      <w:r w:rsidR="004775A0" w:rsidRPr="004775A0">
        <w:t xml:space="preserve">comprised of representatives from the Department of the Chief Minister, </w:t>
      </w:r>
      <w:r w:rsidR="008C021B">
        <w:t>NT</w:t>
      </w:r>
      <w:r w:rsidR="004775A0" w:rsidRPr="004775A0">
        <w:t xml:space="preserve"> Police Fire and Emergency Services and the Department of Treasury and Finance</w:t>
      </w:r>
      <w:r w:rsidR="004775A0">
        <w:t>, responsible for</w:t>
      </w:r>
      <w:r w:rsidR="00973926">
        <w:t>:</w:t>
      </w:r>
    </w:p>
    <w:p w14:paraId="78115D0F" w14:textId="77777777" w:rsidR="00220160" w:rsidRDefault="00220160" w:rsidP="00220160">
      <w:pPr>
        <w:pStyle w:val="Normalnumbered"/>
        <w:numPr>
          <w:ilvl w:val="2"/>
          <w:numId w:val="9"/>
        </w:numPr>
      </w:pPr>
      <w:r>
        <w:t xml:space="preserve">Final approval of projects </w:t>
      </w:r>
    </w:p>
    <w:p w14:paraId="4D2BF0C0" w14:textId="77777777" w:rsidR="00973926" w:rsidRDefault="00220160" w:rsidP="002767C4">
      <w:pPr>
        <w:pStyle w:val="Normalnumbered"/>
        <w:numPr>
          <w:ilvl w:val="2"/>
          <w:numId w:val="9"/>
        </w:numPr>
      </w:pPr>
      <w:r>
        <w:t>Approval of variations to projects</w:t>
      </w:r>
    </w:p>
    <w:p w14:paraId="29BFC999" w14:textId="77777777" w:rsidR="00973926" w:rsidRDefault="00973926" w:rsidP="002767C4">
      <w:pPr>
        <w:pStyle w:val="Normalnumbered"/>
        <w:numPr>
          <w:ilvl w:val="2"/>
          <w:numId w:val="9"/>
        </w:numPr>
      </w:pPr>
      <w:r>
        <w:t>Approving</w:t>
      </w:r>
      <w:r w:rsidR="00220160">
        <w:t xml:space="preserve"> initial and milestone </w:t>
      </w:r>
      <w:r>
        <w:t xml:space="preserve">payments of grants managed under the fund </w:t>
      </w:r>
    </w:p>
    <w:p w14:paraId="3DA5AFE0" w14:textId="77777777" w:rsidR="005B2528" w:rsidRDefault="00973926" w:rsidP="00934E33">
      <w:pPr>
        <w:pStyle w:val="Normalnumbered"/>
        <w:numPr>
          <w:ilvl w:val="2"/>
          <w:numId w:val="9"/>
        </w:numPr>
      </w:pPr>
      <w:r>
        <w:t xml:space="preserve">Approval of Milestone Reports to the Commonwealth </w:t>
      </w:r>
      <w:r w:rsidR="00E73BDE">
        <w:t xml:space="preserve">made </w:t>
      </w:r>
      <w:r>
        <w:t>in accordance the National Partnership Agreement</w:t>
      </w:r>
      <w:r w:rsidR="00E73BDE">
        <w:t xml:space="preserve"> requirements</w:t>
      </w:r>
      <w:r>
        <w:t xml:space="preserve">. </w:t>
      </w:r>
    </w:p>
    <w:p w14:paraId="1858EE2F" w14:textId="77777777" w:rsidR="00F53426" w:rsidRDefault="00F53426" w:rsidP="00F53426">
      <w:pPr>
        <w:pStyle w:val="Normalnumbered"/>
        <w:numPr>
          <w:ilvl w:val="0"/>
          <w:numId w:val="0"/>
        </w:numPr>
        <w:ind w:left="567"/>
      </w:pPr>
    </w:p>
    <w:p w14:paraId="26B63154" w14:textId="77777777" w:rsidR="00FD0A87" w:rsidRDefault="00FD0A87" w:rsidP="00FD0A87">
      <w:pPr>
        <w:pStyle w:val="Normalnumbered"/>
      </w:pPr>
      <w:r>
        <w:t xml:space="preserve">The management of NTRRF grants will be undertaken through </w:t>
      </w:r>
      <w:r w:rsidR="00714F22">
        <w:t xml:space="preserve">an online grants management </w:t>
      </w:r>
      <w:r w:rsidR="00D6061F">
        <w:t>system</w:t>
      </w:r>
      <w:r w:rsidR="00714F22">
        <w:t xml:space="preserve">, </w:t>
      </w:r>
      <w:r>
        <w:t xml:space="preserve">GrantsNT. GrantsNT is the sole grant management </w:t>
      </w:r>
      <w:r w:rsidR="00714F22">
        <w:t>mechanism</w:t>
      </w:r>
      <w:r>
        <w:t xml:space="preserve"> in use by the NT Government</w:t>
      </w:r>
      <w:r w:rsidR="005D2B2B">
        <w:t xml:space="preserve"> and is</w:t>
      </w:r>
      <w:r w:rsidR="00B56A9B">
        <w:t xml:space="preserve"> an </w:t>
      </w:r>
      <w:r w:rsidR="00F53426">
        <w:t xml:space="preserve">end-to-end grant management process which </w:t>
      </w:r>
      <w:r>
        <w:t>facilitates:</w:t>
      </w:r>
    </w:p>
    <w:p w14:paraId="368F3C75" w14:textId="77777777" w:rsidR="00FD0A87" w:rsidRDefault="00FD0A87" w:rsidP="00FD0A87">
      <w:pPr>
        <w:pStyle w:val="Normalnumbered"/>
        <w:numPr>
          <w:ilvl w:val="1"/>
          <w:numId w:val="9"/>
        </w:numPr>
      </w:pPr>
      <w:r>
        <w:t>Applications for grant funding</w:t>
      </w:r>
    </w:p>
    <w:p w14:paraId="300F1F49" w14:textId="77777777" w:rsidR="00FD0A87" w:rsidRDefault="00FD0A87" w:rsidP="00FD0A87">
      <w:pPr>
        <w:pStyle w:val="Normalnumbered"/>
        <w:numPr>
          <w:ilvl w:val="1"/>
          <w:numId w:val="9"/>
        </w:numPr>
      </w:pPr>
      <w:r>
        <w:t>Payments to grant applicants, including periodical payments</w:t>
      </w:r>
    </w:p>
    <w:p w14:paraId="4F2FF1A2" w14:textId="77777777" w:rsidR="00FD0A87" w:rsidRDefault="00FD0A87" w:rsidP="00FD0A87">
      <w:pPr>
        <w:pStyle w:val="Normalnumbered"/>
        <w:numPr>
          <w:ilvl w:val="1"/>
          <w:numId w:val="9"/>
        </w:numPr>
      </w:pPr>
      <w:r>
        <w:lastRenderedPageBreak/>
        <w:t>Acquittal of grants</w:t>
      </w:r>
    </w:p>
    <w:p w14:paraId="7D55C3F1" w14:textId="77777777" w:rsidR="002806D3" w:rsidRDefault="002806D3" w:rsidP="002806D3">
      <w:pPr>
        <w:pStyle w:val="Normalnumbered"/>
        <w:numPr>
          <w:ilvl w:val="1"/>
          <w:numId w:val="9"/>
        </w:numPr>
      </w:pPr>
      <w:r>
        <w:t xml:space="preserve">Inform on reporting milestones; and </w:t>
      </w:r>
    </w:p>
    <w:p w14:paraId="5E4AEA90" w14:textId="77777777" w:rsidR="00D6061F" w:rsidRDefault="0095760B" w:rsidP="007B269B">
      <w:pPr>
        <w:pStyle w:val="Normalnumbered"/>
        <w:numPr>
          <w:ilvl w:val="1"/>
          <w:numId w:val="9"/>
        </w:numPr>
      </w:pPr>
      <w:r>
        <w:t xml:space="preserve">Assurance </w:t>
      </w:r>
      <w:r w:rsidR="003C41E9">
        <w:t>in</w:t>
      </w:r>
      <w:r>
        <w:t xml:space="preserve"> p</w:t>
      </w:r>
      <w:r w:rsidR="00FD0A87">
        <w:t>erformance reporting</w:t>
      </w:r>
      <w:r w:rsidR="002806D3">
        <w:t>.</w:t>
      </w:r>
    </w:p>
    <w:p w14:paraId="7B157372" w14:textId="77777777" w:rsidR="0095760B" w:rsidRDefault="0095760B" w:rsidP="0095760B">
      <w:pPr>
        <w:pStyle w:val="Normalnumbered"/>
        <w:numPr>
          <w:ilvl w:val="0"/>
          <w:numId w:val="0"/>
        </w:numPr>
        <w:ind w:left="1440"/>
      </w:pPr>
    </w:p>
    <w:p w14:paraId="00FAD427" w14:textId="77777777" w:rsidR="0095760B" w:rsidRDefault="006F788F" w:rsidP="0095760B">
      <w:pPr>
        <w:pStyle w:val="Normalnumbered"/>
      </w:pPr>
      <w:r>
        <w:t xml:space="preserve">GrantsNT is </w:t>
      </w:r>
      <w:r w:rsidR="00E10326">
        <w:t xml:space="preserve">not yet </w:t>
      </w:r>
      <w:r w:rsidR="001B5768">
        <w:t>configured</w:t>
      </w:r>
      <w:r w:rsidR="00E10326">
        <w:t xml:space="preserve"> to manage NT Government agencies, </w:t>
      </w:r>
      <w:r>
        <w:t xml:space="preserve">however system enhancements are planned to </w:t>
      </w:r>
      <w:r w:rsidR="00701BD8">
        <w:t xml:space="preserve">facilitate </w:t>
      </w:r>
      <w:r w:rsidR="00F7424D">
        <w:t>the m</w:t>
      </w:r>
      <w:r w:rsidR="00306293">
        <w:t xml:space="preserve">anagement of </w:t>
      </w:r>
      <w:r>
        <w:t xml:space="preserve">these </w:t>
      </w:r>
      <w:r w:rsidR="00306293">
        <w:t>NTRRP</w:t>
      </w:r>
      <w:r w:rsidR="0095760B">
        <w:t xml:space="preserve"> </w:t>
      </w:r>
      <w:r w:rsidR="002806D3">
        <w:t>grants</w:t>
      </w:r>
      <w:r>
        <w:t xml:space="preserve">. </w:t>
      </w:r>
      <w:r w:rsidR="001B5768">
        <w:t xml:space="preserve">An alternative system will be in place pending these upgrades. </w:t>
      </w:r>
      <w:r w:rsidR="00D6061F">
        <w:t xml:space="preserve">All correspondence and </w:t>
      </w:r>
      <w:r w:rsidR="00306293">
        <w:t>records</w:t>
      </w:r>
      <w:r w:rsidR="00D6061F">
        <w:t xml:space="preserve"> will be </w:t>
      </w:r>
      <w:r w:rsidR="00306293">
        <w:t>stored on an approved NT Government records management system</w:t>
      </w:r>
      <w:r w:rsidR="00D6061F">
        <w:t xml:space="preserve">. </w:t>
      </w:r>
    </w:p>
    <w:p w14:paraId="31A999D6" w14:textId="77777777" w:rsidR="00F53426" w:rsidRDefault="00F53426" w:rsidP="00F53426">
      <w:pPr>
        <w:pStyle w:val="Normalnumbered"/>
        <w:numPr>
          <w:ilvl w:val="0"/>
          <w:numId w:val="0"/>
        </w:numPr>
        <w:ind w:left="1440"/>
      </w:pPr>
    </w:p>
    <w:p w14:paraId="527F6D06" w14:textId="77777777" w:rsidR="00BB07D8" w:rsidRDefault="00892AED" w:rsidP="00E73BDE">
      <w:pPr>
        <w:pStyle w:val="Normalnumbered"/>
      </w:pPr>
      <w:r>
        <w:t xml:space="preserve">The </w:t>
      </w:r>
      <w:r w:rsidR="006966E9">
        <w:t xml:space="preserve">NTRRP </w:t>
      </w:r>
      <w:r w:rsidR="00714510">
        <w:t xml:space="preserve">will receive </w:t>
      </w:r>
      <w:r w:rsidR="00BB07D8">
        <w:t>quarterly</w:t>
      </w:r>
      <w:r w:rsidR="00B56A9B">
        <w:t xml:space="preserve"> progress</w:t>
      </w:r>
      <w:r w:rsidR="00BB07D8">
        <w:t xml:space="preserve"> report</w:t>
      </w:r>
      <w:r w:rsidR="00B56A9B">
        <w:t>s</w:t>
      </w:r>
      <w:r w:rsidR="00BB07D8">
        <w:t xml:space="preserve"> on </w:t>
      </w:r>
      <w:r w:rsidR="0095760B">
        <w:t>delivery of the</w:t>
      </w:r>
      <w:r w:rsidR="00306293">
        <w:t xml:space="preserve"> NTRRP</w:t>
      </w:r>
      <w:r w:rsidR="00B56A9B">
        <w:t xml:space="preserve">. </w:t>
      </w:r>
      <w:r w:rsidR="00BB07D8">
        <w:t xml:space="preserve"> </w:t>
      </w:r>
      <w:r w:rsidR="006966E9">
        <w:t>Reports</w:t>
      </w:r>
      <w:r w:rsidR="00645AC7">
        <w:t xml:space="preserve"> will </w:t>
      </w:r>
      <w:r w:rsidR="006966E9">
        <w:t>detail</w:t>
      </w:r>
      <w:r w:rsidR="00645AC7">
        <w:t xml:space="preserve"> the status, progress and achievements of milestones.   </w:t>
      </w:r>
    </w:p>
    <w:p w14:paraId="7D86730E" w14:textId="77777777" w:rsidR="008A1747" w:rsidRDefault="008A1747" w:rsidP="00D43DB4">
      <w:pPr>
        <w:pStyle w:val="Heading2"/>
      </w:pPr>
      <w:r>
        <w:t>Estimated costs</w:t>
      </w:r>
    </w:p>
    <w:p w14:paraId="29F8C996" w14:textId="77777777" w:rsidR="00D43DB4" w:rsidRPr="00717D5D" w:rsidRDefault="00D43DB4" w:rsidP="00D43DB4">
      <w:pPr>
        <w:rPr>
          <w:sz w:val="10"/>
          <w:szCs w:val="10"/>
        </w:rPr>
      </w:pPr>
    </w:p>
    <w:p w14:paraId="485A4FBD" w14:textId="77777777" w:rsidR="00F709D6" w:rsidRDefault="008A1747" w:rsidP="00F709D6">
      <w:pPr>
        <w:pStyle w:val="Normalnumbered"/>
        <w:spacing w:after="240" w:line="260" w:lineRule="exact"/>
      </w:pPr>
      <w:r w:rsidRPr="00432B5D">
        <w:t xml:space="preserve">The maximum financial contribution to be provided by the Commonwealth for the project to the jurisdiction is </w:t>
      </w:r>
      <w:r w:rsidR="00A94191">
        <w:t>$</w:t>
      </w:r>
      <w:r w:rsidR="00592CA6">
        <w:t>5.22</w:t>
      </w:r>
      <w:r w:rsidR="00A94191">
        <w:t xml:space="preserve"> million</w:t>
      </w:r>
      <w:r w:rsidRPr="00432B5D">
        <w:t xml:space="preserve"> payable in accordance with milestones</w:t>
      </w:r>
      <w:r>
        <w:t xml:space="preserve"> </w:t>
      </w:r>
      <w:r w:rsidRPr="00432B5D">
        <w:t xml:space="preserve">set out in </w:t>
      </w:r>
      <w:r>
        <w:t>the National Partnership</w:t>
      </w:r>
      <w:r w:rsidRPr="00432B5D">
        <w:t>.  Al</w:t>
      </w:r>
      <w:r w:rsidR="00F709D6">
        <w:t>l payments are exclusive of GST.</w:t>
      </w:r>
    </w:p>
    <w:p w14:paraId="4BB1F41B" w14:textId="454E5F3E" w:rsidR="00F709D6" w:rsidRPr="00F709D6" w:rsidRDefault="00F709D6" w:rsidP="00F709D6">
      <w:pPr>
        <w:pStyle w:val="Normalnumbered"/>
        <w:spacing w:after="240" w:line="260" w:lineRule="exact"/>
      </w:pPr>
      <w:r w:rsidRPr="00F709D6">
        <w:t xml:space="preserve">The estimated overall budget (exclusive of GST) is set out in Table 1. The budget is indicative only and the NT retains the flexibility to move funds between components and/or years, as long as outcomes are not affected. The Commonwealth contribution can only be moved between years with the agreement of the Commonwealth.    </w:t>
      </w:r>
    </w:p>
    <w:p w14:paraId="04EE7F9C" w14:textId="77777777" w:rsidR="00717D5D" w:rsidRPr="00C01038" w:rsidRDefault="008A1747" w:rsidP="00717D5D">
      <w:pPr>
        <w:pStyle w:val="Heading3"/>
      </w:pPr>
      <w:r w:rsidRPr="00432B5D">
        <w:t xml:space="preserve">Table </w:t>
      </w:r>
      <w:r w:rsidR="00175F67">
        <w:t>1</w:t>
      </w:r>
      <w:r w:rsidRPr="00432B5D">
        <w:t>: Es</w:t>
      </w:r>
      <w:r w:rsidR="00F17640">
        <w:t>timated financial contributions</w:t>
      </w:r>
    </w:p>
    <w:tbl>
      <w:tblPr>
        <w:tblW w:w="9843" w:type="dxa"/>
        <w:tblBorders>
          <w:top w:val="single" w:sz="4" w:space="0" w:color="000080"/>
          <w:bottom w:val="single" w:sz="4" w:space="0" w:color="000080"/>
        </w:tblBorders>
        <w:tblLook w:val="01E0" w:firstRow="1" w:lastRow="1" w:firstColumn="1" w:lastColumn="1" w:noHBand="0" w:noVBand="0"/>
      </w:tblPr>
      <w:tblGrid>
        <w:gridCol w:w="2694"/>
        <w:gridCol w:w="1417"/>
        <w:gridCol w:w="1276"/>
        <w:gridCol w:w="1134"/>
        <w:gridCol w:w="1134"/>
        <w:gridCol w:w="1134"/>
        <w:gridCol w:w="1054"/>
      </w:tblGrid>
      <w:tr w:rsidR="00571A57" w:rsidRPr="00432B5D" w14:paraId="00491CEB" w14:textId="77777777" w:rsidTr="00051946">
        <w:tc>
          <w:tcPr>
            <w:tcW w:w="2694" w:type="dxa"/>
            <w:tcBorders>
              <w:top w:val="single" w:sz="4" w:space="0" w:color="000080"/>
            </w:tcBorders>
          </w:tcPr>
          <w:p w14:paraId="4CA2484E" w14:textId="77777777" w:rsidR="00571A57" w:rsidRPr="00432B5D" w:rsidRDefault="00571A57" w:rsidP="008A1747">
            <w:pPr>
              <w:keepNext/>
              <w:keepLines/>
              <w:spacing w:before="40" w:after="40"/>
              <w:rPr>
                <w:b/>
                <w:bCs/>
              </w:rPr>
            </w:pPr>
            <w:r w:rsidRPr="00432B5D">
              <w:rPr>
                <w:b/>
                <w:bCs/>
              </w:rPr>
              <w:t>($ million)</w:t>
            </w:r>
          </w:p>
        </w:tc>
        <w:tc>
          <w:tcPr>
            <w:tcW w:w="1417" w:type="dxa"/>
            <w:tcBorders>
              <w:top w:val="single" w:sz="4" w:space="0" w:color="000080"/>
              <w:bottom w:val="single" w:sz="4" w:space="0" w:color="000080"/>
            </w:tcBorders>
          </w:tcPr>
          <w:p w14:paraId="08BCC0DD" w14:textId="77777777" w:rsidR="00571A57" w:rsidRPr="00432B5D" w:rsidRDefault="00F46B97" w:rsidP="00571A57">
            <w:pPr>
              <w:keepNext/>
              <w:keepLines/>
              <w:spacing w:before="40" w:after="40"/>
              <w:ind w:right="33"/>
              <w:jc w:val="right"/>
            </w:pPr>
            <w:r>
              <w:t>2019-20</w:t>
            </w:r>
            <w:r w:rsidR="006966E9">
              <w:t>*</w:t>
            </w:r>
          </w:p>
        </w:tc>
        <w:tc>
          <w:tcPr>
            <w:tcW w:w="1276" w:type="dxa"/>
            <w:tcBorders>
              <w:top w:val="single" w:sz="4" w:space="0" w:color="000080"/>
              <w:bottom w:val="single" w:sz="4" w:space="0" w:color="000080"/>
            </w:tcBorders>
          </w:tcPr>
          <w:p w14:paraId="4C3FA0AC" w14:textId="77777777" w:rsidR="00571A57" w:rsidRPr="00432B5D" w:rsidRDefault="00F46B97" w:rsidP="00F46B97">
            <w:pPr>
              <w:keepNext/>
              <w:keepLines/>
              <w:spacing w:before="40" w:after="40"/>
              <w:ind w:right="33"/>
              <w:jc w:val="right"/>
            </w:pPr>
            <w:r>
              <w:t>2020-21</w:t>
            </w:r>
            <w:r w:rsidR="00051946">
              <w:t>*</w:t>
            </w:r>
          </w:p>
        </w:tc>
        <w:tc>
          <w:tcPr>
            <w:tcW w:w="1134" w:type="dxa"/>
            <w:tcBorders>
              <w:top w:val="single" w:sz="4" w:space="0" w:color="000080"/>
              <w:bottom w:val="single" w:sz="4" w:space="0" w:color="000080"/>
            </w:tcBorders>
          </w:tcPr>
          <w:p w14:paraId="4003BDC7" w14:textId="77777777" w:rsidR="00571A57" w:rsidRPr="00432B5D" w:rsidRDefault="00F46B97" w:rsidP="00571A57">
            <w:pPr>
              <w:keepNext/>
              <w:keepLines/>
              <w:spacing w:before="40" w:after="40"/>
              <w:ind w:right="33"/>
              <w:jc w:val="right"/>
            </w:pPr>
            <w:r>
              <w:t>2021-22</w:t>
            </w:r>
          </w:p>
        </w:tc>
        <w:tc>
          <w:tcPr>
            <w:tcW w:w="1134" w:type="dxa"/>
            <w:tcBorders>
              <w:top w:val="single" w:sz="4" w:space="0" w:color="000080"/>
              <w:bottom w:val="single" w:sz="4" w:space="0" w:color="000080"/>
            </w:tcBorders>
          </w:tcPr>
          <w:p w14:paraId="6A944638" w14:textId="77777777" w:rsidR="00571A57" w:rsidRPr="00432B5D" w:rsidRDefault="00F46B97" w:rsidP="00571A57">
            <w:pPr>
              <w:keepNext/>
              <w:keepLines/>
              <w:spacing w:before="40" w:after="40"/>
              <w:ind w:right="33"/>
              <w:jc w:val="right"/>
            </w:pPr>
            <w:r>
              <w:t>2022-23</w:t>
            </w:r>
          </w:p>
        </w:tc>
        <w:tc>
          <w:tcPr>
            <w:tcW w:w="1134" w:type="dxa"/>
            <w:tcBorders>
              <w:top w:val="single" w:sz="4" w:space="0" w:color="000080"/>
              <w:bottom w:val="single" w:sz="4" w:space="0" w:color="000080"/>
            </w:tcBorders>
          </w:tcPr>
          <w:p w14:paraId="5556C4C2" w14:textId="77777777" w:rsidR="00571A57" w:rsidRPr="00432B5D" w:rsidRDefault="00F46B97" w:rsidP="00571A57">
            <w:pPr>
              <w:keepNext/>
              <w:keepLines/>
              <w:spacing w:before="40" w:after="40"/>
              <w:ind w:right="33"/>
              <w:jc w:val="right"/>
            </w:pPr>
            <w:r>
              <w:t>2023-24</w:t>
            </w:r>
          </w:p>
        </w:tc>
        <w:tc>
          <w:tcPr>
            <w:tcW w:w="1054" w:type="dxa"/>
            <w:tcBorders>
              <w:top w:val="single" w:sz="4" w:space="0" w:color="000080"/>
              <w:bottom w:val="single" w:sz="4" w:space="0" w:color="000080"/>
            </w:tcBorders>
          </w:tcPr>
          <w:p w14:paraId="7CC72E53" w14:textId="77777777" w:rsidR="00571A57" w:rsidRPr="00432B5D" w:rsidRDefault="00571A57" w:rsidP="00571A57">
            <w:pPr>
              <w:keepNext/>
              <w:keepLines/>
              <w:spacing w:before="40" w:after="40"/>
              <w:ind w:right="33"/>
              <w:jc w:val="right"/>
            </w:pPr>
            <w:r w:rsidRPr="00432B5D">
              <w:t>Total</w:t>
            </w:r>
          </w:p>
        </w:tc>
      </w:tr>
      <w:tr w:rsidR="00571A57" w:rsidRPr="00432B5D" w14:paraId="38A31134" w14:textId="77777777" w:rsidTr="00051946">
        <w:tc>
          <w:tcPr>
            <w:tcW w:w="2694" w:type="dxa"/>
          </w:tcPr>
          <w:p w14:paraId="0FE7131B" w14:textId="77777777" w:rsidR="00571A57" w:rsidRPr="00432B5D" w:rsidRDefault="00E123E1" w:rsidP="00A17D70">
            <w:pPr>
              <w:rPr>
                <w:sz w:val="24"/>
              </w:rPr>
            </w:pPr>
            <w:r>
              <w:t>Understanding Disaster Risk</w:t>
            </w:r>
          </w:p>
        </w:tc>
        <w:tc>
          <w:tcPr>
            <w:tcW w:w="1417" w:type="dxa"/>
            <w:tcBorders>
              <w:top w:val="single" w:sz="4" w:space="0" w:color="000080"/>
            </w:tcBorders>
          </w:tcPr>
          <w:p w14:paraId="2ED49AF9" w14:textId="77777777" w:rsidR="00571A57" w:rsidRPr="00432B5D" w:rsidRDefault="00E34E6F" w:rsidP="00571A57">
            <w:pPr>
              <w:ind w:right="33"/>
              <w:jc w:val="right"/>
            </w:pPr>
            <w:r>
              <w:t>0</w:t>
            </w:r>
            <w:r w:rsidR="00D43DB4">
              <w:t>.261</w:t>
            </w:r>
          </w:p>
        </w:tc>
        <w:tc>
          <w:tcPr>
            <w:tcW w:w="1276" w:type="dxa"/>
            <w:tcBorders>
              <w:top w:val="single" w:sz="4" w:space="0" w:color="000080"/>
            </w:tcBorders>
          </w:tcPr>
          <w:p w14:paraId="2D4A1217" w14:textId="77777777" w:rsidR="00571A57" w:rsidRPr="00B47870" w:rsidRDefault="00D43DB4" w:rsidP="00571A57">
            <w:pPr>
              <w:ind w:right="33"/>
              <w:jc w:val="right"/>
            </w:pPr>
            <w:r w:rsidRPr="00D43DB4">
              <w:t>0.261</w:t>
            </w:r>
          </w:p>
        </w:tc>
        <w:tc>
          <w:tcPr>
            <w:tcW w:w="1134" w:type="dxa"/>
            <w:tcBorders>
              <w:top w:val="single" w:sz="4" w:space="0" w:color="000080"/>
            </w:tcBorders>
          </w:tcPr>
          <w:p w14:paraId="0DA4BAED" w14:textId="77777777" w:rsidR="00571A57" w:rsidRPr="00432B5D" w:rsidRDefault="00093FE7" w:rsidP="00571A57">
            <w:pPr>
              <w:ind w:right="33"/>
              <w:jc w:val="right"/>
            </w:pPr>
            <w:r>
              <w:t>0.261</w:t>
            </w:r>
          </w:p>
        </w:tc>
        <w:tc>
          <w:tcPr>
            <w:tcW w:w="1134" w:type="dxa"/>
            <w:tcBorders>
              <w:top w:val="single" w:sz="4" w:space="0" w:color="000080"/>
            </w:tcBorders>
          </w:tcPr>
          <w:p w14:paraId="03A3BCEA" w14:textId="77777777" w:rsidR="00571A57" w:rsidRPr="00432B5D" w:rsidRDefault="00093FE7" w:rsidP="00571A57">
            <w:pPr>
              <w:ind w:right="33"/>
              <w:jc w:val="right"/>
            </w:pPr>
            <w:r>
              <w:t>0.261</w:t>
            </w:r>
          </w:p>
        </w:tc>
        <w:tc>
          <w:tcPr>
            <w:tcW w:w="1134" w:type="dxa"/>
            <w:tcBorders>
              <w:top w:val="single" w:sz="4" w:space="0" w:color="000080"/>
            </w:tcBorders>
          </w:tcPr>
          <w:p w14:paraId="3B9313EE" w14:textId="77777777" w:rsidR="00571A57" w:rsidRPr="00432B5D" w:rsidRDefault="00093FE7" w:rsidP="00571A57">
            <w:pPr>
              <w:ind w:right="33"/>
              <w:jc w:val="right"/>
            </w:pPr>
            <w:r>
              <w:t>0.261</w:t>
            </w:r>
          </w:p>
        </w:tc>
        <w:tc>
          <w:tcPr>
            <w:tcW w:w="1054" w:type="dxa"/>
            <w:tcBorders>
              <w:top w:val="single" w:sz="4" w:space="0" w:color="000080"/>
            </w:tcBorders>
          </w:tcPr>
          <w:p w14:paraId="147070C6" w14:textId="77777777" w:rsidR="00571A57" w:rsidRPr="00432B5D" w:rsidRDefault="005E4C59" w:rsidP="00193DE1">
            <w:pPr>
              <w:ind w:right="33"/>
              <w:jc w:val="right"/>
            </w:pPr>
            <w:r>
              <w:t>1.</w:t>
            </w:r>
            <w:r w:rsidR="00193DE1">
              <w:t>305</w:t>
            </w:r>
          </w:p>
        </w:tc>
      </w:tr>
      <w:tr w:rsidR="00093FE7" w:rsidRPr="00432B5D" w14:paraId="3A0193C3" w14:textId="77777777" w:rsidTr="00051946">
        <w:tc>
          <w:tcPr>
            <w:tcW w:w="2694" w:type="dxa"/>
          </w:tcPr>
          <w:p w14:paraId="62D7D759" w14:textId="77777777" w:rsidR="00093FE7" w:rsidRPr="00432B5D" w:rsidRDefault="00E123E1" w:rsidP="00093FE7">
            <w:pPr>
              <w:rPr>
                <w:sz w:val="24"/>
              </w:rPr>
            </w:pPr>
            <w:r>
              <w:t>Accountable Decision Making</w:t>
            </w:r>
          </w:p>
        </w:tc>
        <w:tc>
          <w:tcPr>
            <w:tcW w:w="1417" w:type="dxa"/>
          </w:tcPr>
          <w:p w14:paraId="0D6D5AE9" w14:textId="77777777" w:rsidR="00093FE7" w:rsidRPr="00432B5D" w:rsidRDefault="00D43DB4" w:rsidP="00093FE7">
            <w:pPr>
              <w:ind w:right="33"/>
              <w:jc w:val="right"/>
            </w:pPr>
            <w:r w:rsidRPr="00D43DB4">
              <w:t>0.261</w:t>
            </w:r>
          </w:p>
        </w:tc>
        <w:tc>
          <w:tcPr>
            <w:tcW w:w="1276" w:type="dxa"/>
          </w:tcPr>
          <w:p w14:paraId="37454D80" w14:textId="77777777" w:rsidR="00093FE7" w:rsidRPr="00B47870" w:rsidRDefault="00D43DB4" w:rsidP="00093FE7">
            <w:pPr>
              <w:ind w:right="33"/>
              <w:jc w:val="right"/>
            </w:pPr>
            <w:r w:rsidRPr="00D43DB4">
              <w:t>0.261</w:t>
            </w:r>
          </w:p>
        </w:tc>
        <w:tc>
          <w:tcPr>
            <w:tcW w:w="1134" w:type="dxa"/>
          </w:tcPr>
          <w:p w14:paraId="78BAEB75" w14:textId="77777777" w:rsidR="00093FE7" w:rsidRPr="00432B5D" w:rsidRDefault="00093FE7" w:rsidP="00093FE7">
            <w:pPr>
              <w:ind w:right="33"/>
              <w:jc w:val="right"/>
            </w:pPr>
            <w:r>
              <w:t>0.261</w:t>
            </w:r>
          </w:p>
        </w:tc>
        <w:tc>
          <w:tcPr>
            <w:tcW w:w="1134" w:type="dxa"/>
          </w:tcPr>
          <w:p w14:paraId="35E7DE0B" w14:textId="77777777" w:rsidR="00093FE7" w:rsidRPr="00432B5D" w:rsidRDefault="00093FE7" w:rsidP="00093FE7">
            <w:pPr>
              <w:ind w:right="33"/>
              <w:jc w:val="right"/>
            </w:pPr>
            <w:r>
              <w:t>0.261</w:t>
            </w:r>
          </w:p>
        </w:tc>
        <w:tc>
          <w:tcPr>
            <w:tcW w:w="1134" w:type="dxa"/>
          </w:tcPr>
          <w:p w14:paraId="1B3E0D43" w14:textId="77777777" w:rsidR="00093FE7" w:rsidRPr="00432B5D" w:rsidRDefault="00093FE7" w:rsidP="00093FE7">
            <w:pPr>
              <w:ind w:right="33"/>
              <w:jc w:val="right"/>
            </w:pPr>
            <w:r>
              <w:t>0.261</w:t>
            </w:r>
          </w:p>
        </w:tc>
        <w:tc>
          <w:tcPr>
            <w:tcW w:w="1054" w:type="dxa"/>
          </w:tcPr>
          <w:p w14:paraId="368F7ED5" w14:textId="77777777" w:rsidR="00093FE7" w:rsidRPr="00432B5D" w:rsidRDefault="005E4C59" w:rsidP="00193DE1">
            <w:pPr>
              <w:ind w:right="33"/>
              <w:jc w:val="right"/>
            </w:pPr>
            <w:r>
              <w:t>1.</w:t>
            </w:r>
            <w:r w:rsidR="00193DE1">
              <w:t>305</w:t>
            </w:r>
          </w:p>
        </w:tc>
      </w:tr>
      <w:tr w:rsidR="00093FE7" w:rsidRPr="00432B5D" w14:paraId="3E50E799" w14:textId="77777777" w:rsidTr="00051946">
        <w:tc>
          <w:tcPr>
            <w:tcW w:w="2694" w:type="dxa"/>
          </w:tcPr>
          <w:p w14:paraId="698E6645" w14:textId="77777777" w:rsidR="00093FE7" w:rsidRPr="00432B5D" w:rsidRDefault="00E123E1" w:rsidP="00093FE7">
            <w:pPr>
              <w:rPr>
                <w:sz w:val="24"/>
              </w:rPr>
            </w:pPr>
            <w:r>
              <w:t>Enhanced Investment</w:t>
            </w:r>
          </w:p>
        </w:tc>
        <w:tc>
          <w:tcPr>
            <w:tcW w:w="1417" w:type="dxa"/>
          </w:tcPr>
          <w:p w14:paraId="16F65B62" w14:textId="77777777" w:rsidR="00093FE7" w:rsidRPr="00432B5D" w:rsidRDefault="00D43DB4" w:rsidP="00093FE7">
            <w:pPr>
              <w:ind w:right="33"/>
              <w:jc w:val="right"/>
            </w:pPr>
            <w:r w:rsidRPr="00D43DB4">
              <w:t>0.261</w:t>
            </w:r>
          </w:p>
        </w:tc>
        <w:tc>
          <w:tcPr>
            <w:tcW w:w="1276" w:type="dxa"/>
          </w:tcPr>
          <w:p w14:paraId="041C6AD0" w14:textId="77777777" w:rsidR="00093FE7" w:rsidRPr="00B47870" w:rsidRDefault="00D43DB4" w:rsidP="00093FE7">
            <w:pPr>
              <w:ind w:right="33"/>
              <w:jc w:val="right"/>
            </w:pPr>
            <w:r w:rsidRPr="00D43DB4">
              <w:t>0.261</w:t>
            </w:r>
          </w:p>
        </w:tc>
        <w:tc>
          <w:tcPr>
            <w:tcW w:w="1134" w:type="dxa"/>
          </w:tcPr>
          <w:p w14:paraId="513A677B" w14:textId="77777777" w:rsidR="00093FE7" w:rsidRPr="00432B5D" w:rsidRDefault="00093FE7" w:rsidP="00093FE7">
            <w:pPr>
              <w:ind w:right="33"/>
              <w:jc w:val="right"/>
            </w:pPr>
            <w:r>
              <w:t>0.261</w:t>
            </w:r>
          </w:p>
        </w:tc>
        <w:tc>
          <w:tcPr>
            <w:tcW w:w="1134" w:type="dxa"/>
          </w:tcPr>
          <w:p w14:paraId="48A0C32F" w14:textId="77777777" w:rsidR="00093FE7" w:rsidRPr="00432B5D" w:rsidRDefault="00093FE7" w:rsidP="00093FE7">
            <w:pPr>
              <w:ind w:right="33"/>
              <w:jc w:val="right"/>
            </w:pPr>
            <w:r>
              <w:t>0.261</w:t>
            </w:r>
          </w:p>
        </w:tc>
        <w:tc>
          <w:tcPr>
            <w:tcW w:w="1134" w:type="dxa"/>
          </w:tcPr>
          <w:p w14:paraId="5A6CB252" w14:textId="77777777" w:rsidR="00093FE7" w:rsidRPr="00432B5D" w:rsidRDefault="00093FE7" w:rsidP="00093FE7">
            <w:pPr>
              <w:ind w:right="33"/>
              <w:jc w:val="right"/>
            </w:pPr>
            <w:r>
              <w:t>0.261</w:t>
            </w:r>
          </w:p>
        </w:tc>
        <w:tc>
          <w:tcPr>
            <w:tcW w:w="1054" w:type="dxa"/>
          </w:tcPr>
          <w:p w14:paraId="1701E23C" w14:textId="77777777" w:rsidR="00093FE7" w:rsidRPr="00432B5D" w:rsidRDefault="00193DE1" w:rsidP="00093FE7">
            <w:pPr>
              <w:ind w:right="33"/>
              <w:jc w:val="right"/>
            </w:pPr>
            <w:r>
              <w:t>1.305</w:t>
            </w:r>
          </w:p>
        </w:tc>
      </w:tr>
      <w:tr w:rsidR="00093FE7" w:rsidRPr="00432B5D" w14:paraId="68DEFB06" w14:textId="77777777" w:rsidTr="00051946">
        <w:tc>
          <w:tcPr>
            <w:tcW w:w="2694" w:type="dxa"/>
          </w:tcPr>
          <w:p w14:paraId="40D19D37" w14:textId="77777777" w:rsidR="00093FE7" w:rsidRPr="00432B5D" w:rsidRDefault="00E123E1" w:rsidP="00093FE7">
            <w:pPr>
              <w:rPr>
                <w:sz w:val="24"/>
              </w:rPr>
            </w:pPr>
            <w:r>
              <w:t>Governance, Ownership and Responsibility</w:t>
            </w:r>
          </w:p>
        </w:tc>
        <w:tc>
          <w:tcPr>
            <w:tcW w:w="1417" w:type="dxa"/>
            <w:tcBorders>
              <w:bottom w:val="nil"/>
            </w:tcBorders>
          </w:tcPr>
          <w:p w14:paraId="44892F81" w14:textId="77777777" w:rsidR="00093FE7" w:rsidRPr="00432B5D" w:rsidRDefault="00D43DB4" w:rsidP="00093FE7">
            <w:pPr>
              <w:ind w:right="33"/>
              <w:jc w:val="right"/>
            </w:pPr>
            <w:r w:rsidRPr="00D43DB4">
              <w:t>0.261</w:t>
            </w:r>
          </w:p>
        </w:tc>
        <w:tc>
          <w:tcPr>
            <w:tcW w:w="1276" w:type="dxa"/>
            <w:tcBorders>
              <w:bottom w:val="nil"/>
            </w:tcBorders>
          </w:tcPr>
          <w:p w14:paraId="5DF0509D" w14:textId="77777777" w:rsidR="00093FE7" w:rsidRPr="00B47870" w:rsidRDefault="00D43DB4" w:rsidP="00093FE7">
            <w:pPr>
              <w:ind w:right="33"/>
              <w:jc w:val="right"/>
            </w:pPr>
            <w:r w:rsidRPr="00D43DB4">
              <w:t>0.261</w:t>
            </w:r>
          </w:p>
        </w:tc>
        <w:tc>
          <w:tcPr>
            <w:tcW w:w="1134" w:type="dxa"/>
            <w:tcBorders>
              <w:bottom w:val="nil"/>
            </w:tcBorders>
          </w:tcPr>
          <w:p w14:paraId="67516E53" w14:textId="77777777" w:rsidR="00093FE7" w:rsidRPr="00432B5D" w:rsidRDefault="00093FE7" w:rsidP="00093FE7">
            <w:pPr>
              <w:ind w:right="33"/>
              <w:jc w:val="right"/>
            </w:pPr>
            <w:r>
              <w:t>0.261</w:t>
            </w:r>
          </w:p>
        </w:tc>
        <w:tc>
          <w:tcPr>
            <w:tcW w:w="1134" w:type="dxa"/>
            <w:tcBorders>
              <w:bottom w:val="nil"/>
            </w:tcBorders>
          </w:tcPr>
          <w:p w14:paraId="3A025772" w14:textId="77777777" w:rsidR="00093FE7" w:rsidRPr="00432B5D" w:rsidRDefault="00093FE7" w:rsidP="00093FE7">
            <w:pPr>
              <w:ind w:right="33"/>
              <w:jc w:val="right"/>
            </w:pPr>
            <w:r>
              <w:t>0.261</w:t>
            </w:r>
          </w:p>
        </w:tc>
        <w:tc>
          <w:tcPr>
            <w:tcW w:w="1134" w:type="dxa"/>
            <w:tcBorders>
              <w:bottom w:val="nil"/>
            </w:tcBorders>
          </w:tcPr>
          <w:p w14:paraId="06E17C78" w14:textId="77777777" w:rsidR="00093FE7" w:rsidRPr="00432B5D" w:rsidRDefault="00093FE7" w:rsidP="00093FE7">
            <w:pPr>
              <w:ind w:right="33"/>
              <w:jc w:val="right"/>
            </w:pPr>
            <w:r>
              <w:t>0.261</w:t>
            </w:r>
          </w:p>
        </w:tc>
        <w:tc>
          <w:tcPr>
            <w:tcW w:w="1054" w:type="dxa"/>
            <w:tcBorders>
              <w:bottom w:val="nil"/>
            </w:tcBorders>
          </w:tcPr>
          <w:p w14:paraId="1370C916" w14:textId="77777777" w:rsidR="00093FE7" w:rsidRPr="00432B5D" w:rsidRDefault="00193DE1" w:rsidP="00093FE7">
            <w:pPr>
              <w:ind w:right="33"/>
              <w:jc w:val="right"/>
            </w:pPr>
            <w:r>
              <w:t>1.305</w:t>
            </w:r>
          </w:p>
        </w:tc>
      </w:tr>
      <w:tr w:rsidR="00F46B97" w:rsidRPr="00432B5D" w14:paraId="2610B985" w14:textId="77777777" w:rsidTr="00051946">
        <w:tc>
          <w:tcPr>
            <w:tcW w:w="2694" w:type="dxa"/>
          </w:tcPr>
          <w:p w14:paraId="4D51118F" w14:textId="77777777" w:rsidR="00F46B97" w:rsidRPr="00B6557C" w:rsidRDefault="00F46B97" w:rsidP="00093FE7">
            <w:r w:rsidRPr="00B6557C">
              <w:t>Bushfires NT Headquarters</w:t>
            </w:r>
          </w:p>
        </w:tc>
        <w:tc>
          <w:tcPr>
            <w:tcW w:w="1417" w:type="dxa"/>
            <w:tcBorders>
              <w:bottom w:val="nil"/>
            </w:tcBorders>
          </w:tcPr>
          <w:p w14:paraId="3A1B88DF" w14:textId="77777777" w:rsidR="00F46B97" w:rsidRPr="00B6557C" w:rsidRDefault="005E4C59" w:rsidP="00093FE7">
            <w:pPr>
              <w:ind w:right="33"/>
              <w:jc w:val="right"/>
            </w:pPr>
            <w:r w:rsidRPr="00B6557C">
              <w:t>6.433</w:t>
            </w:r>
          </w:p>
        </w:tc>
        <w:tc>
          <w:tcPr>
            <w:tcW w:w="1276" w:type="dxa"/>
            <w:tcBorders>
              <w:bottom w:val="nil"/>
            </w:tcBorders>
          </w:tcPr>
          <w:p w14:paraId="4D5E9865" w14:textId="77777777" w:rsidR="00F46B97" w:rsidRPr="00B6557C" w:rsidRDefault="005E4C59" w:rsidP="00FE5A40">
            <w:pPr>
              <w:ind w:right="33"/>
              <w:jc w:val="right"/>
            </w:pPr>
            <w:r w:rsidRPr="00B6557C">
              <w:t>0</w:t>
            </w:r>
          </w:p>
        </w:tc>
        <w:tc>
          <w:tcPr>
            <w:tcW w:w="1134" w:type="dxa"/>
            <w:tcBorders>
              <w:bottom w:val="nil"/>
            </w:tcBorders>
          </w:tcPr>
          <w:p w14:paraId="41093C2C" w14:textId="77777777" w:rsidR="00F46B97" w:rsidRPr="00B6557C" w:rsidRDefault="00ED591F" w:rsidP="00093FE7">
            <w:pPr>
              <w:ind w:right="33"/>
              <w:jc w:val="right"/>
            </w:pPr>
            <w:r w:rsidRPr="00B6557C">
              <w:t>0</w:t>
            </w:r>
          </w:p>
        </w:tc>
        <w:tc>
          <w:tcPr>
            <w:tcW w:w="1134" w:type="dxa"/>
            <w:tcBorders>
              <w:bottom w:val="nil"/>
            </w:tcBorders>
          </w:tcPr>
          <w:p w14:paraId="1A5649E4" w14:textId="77777777" w:rsidR="00F46B97" w:rsidRPr="00B6557C" w:rsidRDefault="00ED591F" w:rsidP="00093FE7">
            <w:pPr>
              <w:ind w:right="33"/>
              <w:jc w:val="right"/>
            </w:pPr>
            <w:r w:rsidRPr="00B6557C">
              <w:t>0</w:t>
            </w:r>
          </w:p>
        </w:tc>
        <w:tc>
          <w:tcPr>
            <w:tcW w:w="1134" w:type="dxa"/>
            <w:tcBorders>
              <w:bottom w:val="nil"/>
            </w:tcBorders>
          </w:tcPr>
          <w:p w14:paraId="7B5D6480" w14:textId="77777777" w:rsidR="00F46B97" w:rsidRPr="00B6557C" w:rsidRDefault="00ED591F" w:rsidP="00093FE7">
            <w:pPr>
              <w:ind w:right="33"/>
              <w:jc w:val="right"/>
            </w:pPr>
            <w:r w:rsidRPr="00B6557C">
              <w:t>0</w:t>
            </w:r>
          </w:p>
        </w:tc>
        <w:tc>
          <w:tcPr>
            <w:tcW w:w="1054" w:type="dxa"/>
            <w:tcBorders>
              <w:bottom w:val="nil"/>
            </w:tcBorders>
          </w:tcPr>
          <w:p w14:paraId="48E576F0" w14:textId="77777777" w:rsidR="00F46B97" w:rsidRDefault="00F46B97" w:rsidP="005E4C59">
            <w:pPr>
              <w:ind w:right="33"/>
              <w:jc w:val="right"/>
            </w:pPr>
            <w:r w:rsidRPr="00B6557C">
              <w:t>6</w:t>
            </w:r>
            <w:r w:rsidR="00E123E1" w:rsidRPr="00B6557C">
              <w:t>.</w:t>
            </w:r>
            <w:r w:rsidR="005E4C59" w:rsidRPr="00B6557C">
              <w:t>433</w:t>
            </w:r>
          </w:p>
        </w:tc>
      </w:tr>
      <w:tr w:rsidR="00571A57" w:rsidRPr="00432B5D" w14:paraId="35E467F5" w14:textId="77777777" w:rsidTr="00051946">
        <w:tc>
          <w:tcPr>
            <w:tcW w:w="2694" w:type="dxa"/>
          </w:tcPr>
          <w:p w14:paraId="6AA9DF1B" w14:textId="77777777" w:rsidR="00571A57" w:rsidRPr="00432B5D" w:rsidRDefault="00571A57" w:rsidP="00A17D70">
            <w:r w:rsidRPr="00432B5D">
              <w:t>Total estimated budget</w:t>
            </w:r>
          </w:p>
        </w:tc>
        <w:tc>
          <w:tcPr>
            <w:tcW w:w="1417" w:type="dxa"/>
            <w:tcBorders>
              <w:top w:val="single" w:sz="4" w:space="0" w:color="000080"/>
            </w:tcBorders>
          </w:tcPr>
          <w:p w14:paraId="11E10D11" w14:textId="77777777" w:rsidR="00571A57" w:rsidRPr="00432B5D" w:rsidRDefault="005E4C59" w:rsidP="00571A57">
            <w:pPr>
              <w:ind w:right="33"/>
              <w:jc w:val="right"/>
            </w:pPr>
            <w:r>
              <w:t>7.477</w:t>
            </w:r>
          </w:p>
        </w:tc>
        <w:tc>
          <w:tcPr>
            <w:tcW w:w="1276" w:type="dxa"/>
            <w:tcBorders>
              <w:top w:val="single" w:sz="4" w:space="0" w:color="000080"/>
            </w:tcBorders>
          </w:tcPr>
          <w:p w14:paraId="01BEFB21" w14:textId="77777777" w:rsidR="00571A57" w:rsidRPr="00432B5D" w:rsidRDefault="005E4C59" w:rsidP="00D43DB4">
            <w:pPr>
              <w:ind w:right="33"/>
              <w:jc w:val="right"/>
            </w:pPr>
            <w:r>
              <w:t>1.044</w:t>
            </w:r>
          </w:p>
        </w:tc>
        <w:tc>
          <w:tcPr>
            <w:tcW w:w="1134" w:type="dxa"/>
            <w:tcBorders>
              <w:top w:val="single" w:sz="4" w:space="0" w:color="000080"/>
            </w:tcBorders>
          </w:tcPr>
          <w:p w14:paraId="16B4CC13" w14:textId="77777777" w:rsidR="00571A57" w:rsidRPr="00432B5D" w:rsidRDefault="00D655B2" w:rsidP="00571A57">
            <w:pPr>
              <w:ind w:right="33"/>
              <w:jc w:val="right"/>
            </w:pPr>
            <w:r>
              <w:t>1.044</w:t>
            </w:r>
          </w:p>
        </w:tc>
        <w:tc>
          <w:tcPr>
            <w:tcW w:w="1134" w:type="dxa"/>
            <w:tcBorders>
              <w:top w:val="single" w:sz="4" w:space="0" w:color="000080"/>
            </w:tcBorders>
          </w:tcPr>
          <w:p w14:paraId="3105B964" w14:textId="77777777" w:rsidR="00571A57" w:rsidRPr="00432B5D" w:rsidRDefault="00D655B2" w:rsidP="00571A57">
            <w:pPr>
              <w:ind w:right="33"/>
              <w:jc w:val="right"/>
            </w:pPr>
            <w:r>
              <w:t>1.044</w:t>
            </w:r>
          </w:p>
        </w:tc>
        <w:tc>
          <w:tcPr>
            <w:tcW w:w="1134" w:type="dxa"/>
            <w:tcBorders>
              <w:top w:val="single" w:sz="4" w:space="0" w:color="000080"/>
            </w:tcBorders>
          </w:tcPr>
          <w:p w14:paraId="43A5FC8E" w14:textId="77777777" w:rsidR="00571A57" w:rsidRPr="00432B5D" w:rsidRDefault="00D655B2" w:rsidP="00571A57">
            <w:pPr>
              <w:ind w:right="33"/>
              <w:jc w:val="right"/>
            </w:pPr>
            <w:r>
              <w:t>1.044</w:t>
            </w:r>
          </w:p>
        </w:tc>
        <w:tc>
          <w:tcPr>
            <w:tcW w:w="1054" w:type="dxa"/>
            <w:tcBorders>
              <w:top w:val="single" w:sz="4" w:space="0" w:color="000080"/>
            </w:tcBorders>
          </w:tcPr>
          <w:p w14:paraId="51D6BB83" w14:textId="77777777" w:rsidR="00571A57" w:rsidRPr="00432B5D" w:rsidRDefault="00193DE1" w:rsidP="00571A57">
            <w:pPr>
              <w:ind w:right="33"/>
              <w:jc w:val="right"/>
            </w:pPr>
            <w:r>
              <w:t>11.653</w:t>
            </w:r>
          </w:p>
        </w:tc>
      </w:tr>
      <w:tr w:rsidR="00571A57" w:rsidRPr="00432B5D" w14:paraId="3C7D905C" w14:textId="77777777" w:rsidTr="00051946">
        <w:tc>
          <w:tcPr>
            <w:tcW w:w="2694" w:type="dxa"/>
          </w:tcPr>
          <w:p w14:paraId="1674F3E7" w14:textId="77777777" w:rsidR="00571A57" w:rsidRPr="00432B5D" w:rsidRDefault="00571A57" w:rsidP="00A17D70">
            <w:r w:rsidRPr="00432B5D">
              <w:rPr>
                <w:i/>
                <w:iCs/>
              </w:rPr>
              <w:t>less</w:t>
            </w:r>
            <w:r w:rsidRPr="00432B5D">
              <w:t xml:space="preserve"> estimated Commonwealth contribution</w:t>
            </w:r>
          </w:p>
        </w:tc>
        <w:tc>
          <w:tcPr>
            <w:tcW w:w="1417" w:type="dxa"/>
            <w:tcBorders>
              <w:bottom w:val="single" w:sz="4" w:space="0" w:color="000080"/>
            </w:tcBorders>
          </w:tcPr>
          <w:p w14:paraId="1FBDACDA" w14:textId="77777777" w:rsidR="00571A57" w:rsidRPr="00432B5D" w:rsidRDefault="00A04646" w:rsidP="00A04646">
            <w:pPr>
              <w:ind w:right="33"/>
              <w:jc w:val="right"/>
            </w:pPr>
            <w:r>
              <w:t>1.044</w:t>
            </w:r>
          </w:p>
        </w:tc>
        <w:tc>
          <w:tcPr>
            <w:tcW w:w="1276" w:type="dxa"/>
            <w:tcBorders>
              <w:bottom w:val="single" w:sz="4" w:space="0" w:color="000080"/>
            </w:tcBorders>
          </w:tcPr>
          <w:p w14:paraId="4A9CE90F" w14:textId="77777777" w:rsidR="00571A57" w:rsidRPr="00432B5D" w:rsidRDefault="00D43DB4" w:rsidP="00571A57">
            <w:pPr>
              <w:ind w:right="33"/>
              <w:jc w:val="right"/>
            </w:pPr>
            <w:r>
              <w:t>1.044</w:t>
            </w:r>
          </w:p>
        </w:tc>
        <w:tc>
          <w:tcPr>
            <w:tcW w:w="1134" w:type="dxa"/>
            <w:tcBorders>
              <w:bottom w:val="single" w:sz="4" w:space="0" w:color="000080"/>
            </w:tcBorders>
          </w:tcPr>
          <w:p w14:paraId="00A5B154" w14:textId="77777777" w:rsidR="00571A57" w:rsidRPr="00432B5D" w:rsidRDefault="00D655B2" w:rsidP="00571A57">
            <w:pPr>
              <w:ind w:right="33"/>
              <w:jc w:val="right"/>
            </w:pPr>
            <w:r>
              <w:t>1.044</w:t>
            </w:r>
          </w:p>
        </w:tc>
        <w:tc>
          <w:tcPr>
            <w:tcW w:w="1134" w:type="dxa"/>
            <w:tcBorders>
              <w:bottom w:val="single" w:sz="4" w:space="0" w:color="000080"/>
            </w:tcBorders>
          </w:tcPr>
          <w:p w14:paraId="6F90A4ED" w14:textId="77777777" w:rsidR="00571A57" w:rsidRPr="00432B5D" w:rsidRDefault="00D655B2" w:rsidP="00571A57">
            <w:pPr>
              <w:ind w:right="33"/>
              <w:jc w:val="right"/>
            </w:pPr>
            <w:r>
              <w:t>1.044</w:t>
            </w:r>
          </w:p>
        </w:tc>
        <w:tc>
          <w:tcPr>
            <w:tcW w:w="1134" w:type="dxa"/>
            <w:tcBorders>
              <w:bottom w:val="single" w:sz="4" w:space="0" w:color="000080"/>
            </w:tcBorders>
          </w:tcPr>
          <w:p w14:paraId="1B1407E5" w14:textId="77777777" w:rsidR="00571A57" w:rsidRPr="00432B5D" w:rsidRDefault="00D655B2" w:rsidP="00571A57">
            <w:pPr>
              <w:ind w:right="33"/>
              <w:jc w:val="right"/>
            </w:pPr>
            <w:r>
              <w:t>1.044</w:t>
            </w:r>
          </w:p>
        </w:tc>
        <w:tc>
          <w:tcPr>
            <w:tcW w:w="1054" w:type="dxa"/>
            <w:tcBorders>
              <w:bottom w:val="single" w:sz="4" w:space="0" w:color="000080"/>
            </w:tcBorders>
          </w:tcPr>
          <w:p w14:paraId="6A7F9B81" w14:textId="77777777" w:rsidR="00571A57" w:rsidRPr="00432B5D" w:rsidRDefault="00D655B2" w:rsidP="00571A57">
            <w:pPr>
              <w:ind w:right="33"/>
              <w:jc w:val="right"/>
            </w:pPr>
            <w:r>
              <w:t>5.22</w:t>
            </w:r>
          </w:p>
        </w:tc>
      </w:tr>
      <w:tr w:rsidR="00571A57" w:rsidRPr="00432B5D" w14:paraId="0CF6365D" w14:textId="77777777" w:rsidTr="00051946">
        <w:trPr>
          <w:cantSplit/>
        </w:trPr>
        <w:tc>
          <w:tcPr>
            <w:tcW w:w="2694" w:type="dxa"/>
          </w:tcPr>
          <w:p w14:paraId="3817F3DC" w14:textId="77777777" w:rsidR="00571A57" w:rsidRPr="00432B5D" w:rsidRDefault="00571A57" w:rsidP="00A17D70">
            <w:r w:rsidRPr="00432B5D">
              <w:t>equals estimated balance of non-Commonwealth contributions</w:t>
            </w:r>
          </w:p>
        </w:tc>
        <w:tc>
          <w:tcPr>
            <w:tcW w:w="1417" w:type="dxa"/>
            <w:tcBorders>
              <w:top w:val="single" w:sz="4" w:space="0" w:color="000080"/>
              <w:bottom w:val="single" w:sz="4" w:space="0" w:color="000080"/>
            </w:tcBorders>
          </w:tcPr>
          <w:p w14:paraId="09F321FB" w14:textId="77777777" w:rsidR="00571A57" w:rsidRPr="00432B5D" w:rsidRDefault="005E4C59" w:rsidP="00571A57">
            <w:pPr>
              <w:ind w:right="33"/>
              <w:jc w:val="right"/>
            </w:pPr>
            <w:r>
              <w:t>6.433</w:t>
            </w:r>
          </w:p>
        </w:tc>
        <w:tc>
          <w:tcPr>
            <w:tcW w:w="1276" w:type="dxa"/>
            <w:tcBorders>
              <w:top w:val="single" w:sz="4" w:space="0" w:color="000080"/>
              <w:bottom w:val="single" w:sz="4" w:space="0" w:color="000080"/>
            </w:tcBorders>
          </w:tcPr>
          <w:p w14:paraId="4F6B529B" w14:textId="77777777" w:rsidR="00571A57" w:rsidRPr="00432B5D" w:rsidRDefault="005E4C59" w:rsidP="009B0EA7">
            <w:pPr>
              <w:ind w:right="33"/>
              <w:jc w:val="right"/>
            </w:pPr>
            <w:r>
              <w:t>0</w:t>
            </w:r>
          </w:p>
        </w:tc>
        <w:tc>
          <w:tcPr>
            <w:tcW w:w="1134" w:type="dxa"/>
            <w:tcBorders>
              <w:top w:val="single" w:sz="4" w:space="0" w:color="000080"/>
              <w:bottom w:val="single" w:sz="4" w:space="0" w:color="000080"/>
            </w:tcBorders>
          </w:tcPr>
          <w:p w14:paraId="634CD587" w14:textId="77777777" w:rsidR="00571A57" w:rsidRPr="00432B5D" w:rsidRDefault="00D655B2" w:rsidP="00571A57">
            <w:pPr>
              <w:ind w:right="33"/>
              <w:jc w:val="right"/>
            </w:pPr>
            <w:r>
              <w:t>0</w:t>
            </w:r>
          </w:p>
        </w:tc>
        <w:tc>
          <w:tcPr>
            <w:tcW w:w="1134" w:type="dxa"/>
            <w:tcBorders>
              <w:top w:val="single" w:sz="4" w:space="0" w:color="000080"/>
              <w:bottom w:val="single" w:sz="4" w:space="0" w:color="000080"/>
            </w:tcBorders>
          </w:tcPr>
          <w:p w14:paraId="15A8985A" w14:textId="77777777" w:rsidR="00571A57" w:rsidRPr="00432B5D" w:rsidRDefault="00D655B2" w:rsidP="00571A57">
            <w:pPr>
              <w:ind w:right="33"/>
              <w:jc w:val="right"/>
            </w:pPr>
            <w:r>
              <w:t>0</w:t>
            </w:r>
          </w:p>
        </w:tc>
        <w:tc>
          <w:tcPr>
            <w:tcW w:w="1134" w:type="dxa"/>
            <w:tcBorders>
              <w:top w:val="single" w:sz="4" w:space="0" w:color="000080"/>
              <w:bottom w:val="single" w:sz="4" w:space="0" w:color="000080"/>
            </w:tcBorders>
          </w:tcPr>
          <w:p w14:paraId="7FE97548" w14:textId="77777777" w:rsidR="00571A57" w:rsidRPr="00432B5D" w:rsidRDefault="00D655B2" w:rsidP="00571A57">
            <w:pPr>
              <w:ind w:right="33"/>
              <w:jc w:val="right"/>
            </w:pPr>
            <w:r>
              <w:t>0</w:t>
            </w:r>
          </w:p>
        </w:tc>
        <w:tc>
          <w:tcPr>
            <w:tcW w:w="1054" w:type="dxa"/>
            <w:tcBorders>
              <w:top w:val="single" w:sz="4" w:space="0" w:color="000080"/>
              <w:bottom w:val="single" w:sz="4" w:space="0" w:color="000080"/>
            </w:tcBorders>
          </w:tcPr>
          <w:p w14:paraId="3A453B06" w14:textId="77777777" w:rsidR="00571A57" w:rsidRPr="00432B5D" w:rsidRDefault="005E4C59" w:rsidP="00571A57">
            <w:pPr>
              <w:ind w:right="33"/>
              <w:jc w:val="right"/>
            </w:pPr>
            <w:r>
              <w:t>6.433</w:t>
            </w:r>
          </w:p>
        </w:tc>
      </w:tr>
      <w:tr w:rsidR="00571A57" w:rsidRPr="00432B5D" w14:paraId="13D786E9" w14:textId="77777777" w:rsidTr="00051946">
        <w:trPr>
          <w:cantSplit/>
        </w:trPr>
        <w:tc>
          <w:tcPr>
            <w:tcW w:w="2694" w:type="dxa"/>
            <w:tcBorders>
              <w:bottom w:val="single" w:sz="4" w:space="0" w:color="000080"/>
            </w:tcBorders>
          </w:tcPr>
          <w:p w14:paraId="5C9057D0" w14:textId="77777777" w:rsidR="00571A57" w:rsidRPr="00432B5D" w:rsidRDefault="00571A57" w:rsidP="00A17D70">
            <w:r w:rsidRPr="00432B5D">
              <w:t xml:space="preserve">Total </w:t>
            </w:r>
            <w:r w:rsidRPr="00432B5D">
              <w:rPr>
                <w:b/>
              </w:rPr>
              <w:t>Commonwealth contribution</w:t>
            </w:r>
          </w:p>
        </w:tc>
        <w:tc>
          <w:tcPr>
            <w:tcW w:w="1417" w:type="dxa"/>
            <w:tcBorders>
              <w:top w:val="single" w:sz="4" w:space="0" w:color="000080"/>
              <w:bottom w:val="single" w:sz="4" w:space="0" w:color="000080"/>
            </w:tcBorders>
          </w:tcPr>
          <w:p w14:paraId="2885B216" w14:textId="77777777" w:rsidR="00571A57" w:rsidRPr="00432B5D" w:rsidRDefault="00E34E6F" w:rsidP="00571A57">
            <w:pPr>
              <w:ind w:right="33"/>
              <w:jc w:val="right"/>
            </w:pPr>
            <w:r>
              <w:t>1.044</w:t>
            </w:r>
          </w:p>
        </w:tc>
        <w:tc>
          <w:tcPr>
            <w:tcW w:w="1276" w:type="dxa"/>
            <w:tcBorders>
              <w:top w:val="single" w:sz="4" w:space="0" w:color="000080"/>
              <w:bottom w:val="single" w:sz="4" w:space="0" w:color="000080"/>
            </w:tcBorders>
          </w:tcPr>
          <w:p w14:paraId="2C0DC292" w14:textId="77777777" w:rsidR="00571A57" w:rsidRPr="00432B5D" w:rsidRDefault="00E34E6F" w:rsidP="00571A57">
            <w:pPr>
              <w:ind w:right="33"/>
              <w:jc w:val="right"/>
            </w:pPr>
            <w:r>
              <w:t>1.044</w:t>
            </w:r>
          </w:p>
        </w:tc>
        <w:tc>
          <w:tcPr>
            <w:tcW w:w="1134" w:type="dxa"/>
            <w:tcBorders>
              <w:top w:val="single" w:sz="4" w:space="0" w:color="000080"/>
              <w:bottom w:val="single" w:sz="4" w:space="0" w:color="000080"/>
            </w:tcBorders>
          </w:tcPr>
          <w:p w14:paraId="26EE26F1" w14:textId="77777777" w:rsidR="00571A57" w:rsidRPr="00432B5D" w:rsidRDefault="00E34E6F" w:rsidP="00571A57">
            <w:pPr>
              <w:ind w:right="33"/>
              <w:jc w:val="right"/>
            </w:pPr>
            <w:r>
              <w:t>1.044</w:t>
            </w:r>
          </w:p>
        </w:tc>
        <w:tc>
          <w:tcPr>
            <w:tcW w:w="1134" w:type="dxa"/>
            <w:tcBorders>
              <w:top w:val="single" w:sz="4" w:space="0" w:color="000080"/>
              <w:bottom w:val="single" w:sz="4" w:space="0" w:color="000080"/>
            </w:tcBorders>
          </w:tcPr>
          <w:p w14:paraId="1958C578" w14:textId="77777777" w:rsidR="00571A57" w:rsidRPr="00432B5D" w:rsidRDefault="00E34E6F" w:rsidP="00571A57">
            <w:pPr>
              <w:ind w:right="33"/>
              <w:jc w:val="right"/>
            </w:pPr>
            <w:r>
              <w:t>1.044</w:t>
            </w:r>
          </w:p>
        </w:tc>
        <w:tc>
          <w:tcPr>
            <w:tcW w:w="1134" w:type="dxa"/>
            <w:tcBorders>
              <w:top w:val="single" w:sz="4" w:space="0" w:color="000080"/>
              <w:bottom w:val="single" w:sz="4" w:space="0" w:color="000080"/>
            </w:tcBorders>
          </w:tcPr>
          <w:p w14:paraId="7D9C3EDE" w14:textId="77777777" w:rsidR="00571A57" w:rsidRPr="00432B5D" w:rsidRDefault="00E34E6F" w:rsidP="00571A57">
            <w:pPr>
              <w:ind w:right="33"/>
              <w:jc w:val="right"/>
            </w:pPr>
            <w:r>
              <w:t>1.044</w:t>
            </w:r>
          </w:p>
        </w:tc>
        <w:tc>
          <w:tcPr>
            <w:tcW w:w="1054" w:type="dxa"/>
            <w:tcBorders>
              <w:top w:val="single" w:sz="4" w:space="0" w:color="000080"/>
              <w:bottom w:val="single" w:sz="4" w:space="0" w:color="000080"/>
            </w:tcBorders>
          </w:tcPr>
          <w:p w14:paraId="6E24C647" w14:textId="77777777" w:rsidR="00571A57" w:rsidRPr="00432B5D" w:rsidRDefault="00093FE7" w:rsidP="00571A57">
            <w:pPr>
              <w:ind w:right="33"/>
              <w:jc w:val="right"/>
            </w:pPr>
            <w:r>
              <w:t>5.22</w:t>
            </w:r>
          </w:p>
        </w:tc>
      </w:tr>
    </w:tbl>
    <w:p w14:paraId="4E5F4886" w14:textId="77777777" w:rsidR="00DA0724" w:rsidRDefault="00C01038" w:rsidP="00A17D70">
      <w:pPr>
        <w:pStyle w:val="Heading2"/>
      </w:pPr>
      <w:r w:rsidRPr="00C01038">
        <w:rPr>
          <w:sz w:val="16"/>
          <w:szCs w:val="16"/>
        </w:rPr>
        <w:t>*F</w:t>
      </w:r>
      <w:r w:rsidR="00051946">
        <w:rPr>
          <w:sz w:val="16"/>
          <w:szCs w:val="16"/>
        </w:rPr>
        <w:t>irst two years conducted concurrently.</w:t>
      </w:r>
    </w:p>
    <w:p w14:paraId="386E1924" w14:textId="77777777" w:rsidR="00C01038" w:rsidRDefault="00C01038" w:rsidP="00C01038"/>
    <w:p w14:paraId="72C75976" w14:textId="77777777" w:rsidR="00C01038" w:rsidRPr="00C01038" w:rsidRDefault="00C01038" w:rsidP="00C01038">
      <w:pPr>
        <w:sectPr w:rsidR="00C01038" w:rsidRPr="00C01038" w:rsidSect="007B1DDC">
          <w:headerReference w:type="even" r:id="rId14"/>
          <w:headerReference w:type="default" r:id="rId15"/>
          <w:footerReference w:type="even" r:id="rId16"/>
          <w:footerReference w:type="default" r:id="rId17"/>
          <w:headerReference w:type="first" r:id="rId18"/>
          <w:footerReference w:type="first" r:id="rId19"/>
          <w:pgSz w:w="11906" w:h="16838" w:code="9"/>
          <w:pgMar w:top="851" w:right="991" w:bottom="1021" w:left="1440" w:header="624" w:footer="624" w:gutter="0"/>
          <w:cols w:space="708"/>
          <w:docGrid w:linePitch="360"/>
        </w:sectPr>
      </w:pPr>
    </w:p>
    <w:p w14:paraId="64BFE679" w14:textId="77777777" w:rsidR="00513A18" w:rsidRDefault="004822D6" w:rsidP="00A16865">
      <w:pPr>
        <w:pStyle w:val="Heading2"/>
      </w:pPr>
      <w:r>
        <w:lastRenderedPageBreak/>
        <w:t>In-kind Contribution</w:t>
      </w:r>
      <w:r w:rsidR="007D37BC">
        <w:t xml:space="preserve"> </w:t>
      </w:r>
    </w:p>
    <w:p w14:paraId="30F98B4C" w14:textId="77777777" w:rsidR="00A16865" w:rsidRPr="00A16865" w:rsidRDefault="00A16865" w:rsidP="00A16865"/>
    <w:p w14:paraId="7061A631" w14:textId="77777777" w:rsidR="00E652EF" w:rsidRDefault="00E652EF" w:rsidP="00E652EF">
      <w:pPr>
        <w:pStyle w:val="Normalnumbered"/>
      </w:pPr>
      <w:r>
        <w:t xml:space="preserve">The </w:t>
      </w:r>
      <w:r w:rsidR="008C021B">
        <w:t>NT</w:t>
      </w:r>
      <w:r>
        <w:t xml:space="preserve"> Government </w:t>
      </w:r>
      <w:r w:rsidR="00A16865">
        <w:t xml:space="preserve">has </w:t>
      </w:r>
      <w:r>
        <w:t xml:space="preserve">committed $6.433m for the construction of a new Bushfires NT Headquarters. The </w:t>
      </w:r>
      <w:r w:rsidR="001C532F">
        <w:t>H</w:t>
      </w:r>
      <w:r>
        <w:t xml:space="preserve">eadquarters </w:t>
      </w:r>
      <w:r w:rsidR="00A16865">
        <w:t xml:space="preserve">provides a central location to </w:t>
      </w:r>
      <w:r>
        <w:t>bring together the planning, mitigation, wildfire response</w:t>
      </w:r>
      <w:r w:rsidR="008C021B">
        <w:t>,</w:t>
      </w:r>
      <w:r>
        <w:t xml:space="preserve"> compliance</w:t>
      </w:r>
      <w:r w:rsidR="008C021B">
        <w:t>,</w:t>
      </w:r>
      <w:r>
        <w:t xml:space="preserve"> enforcement and volunteer support functions.  </w:t>
      </w:r>
      <w:r w:rsidR="00513A18">
        <w:t xml:space="preserve">The Headquarters will be completed </w:t>
      </w:r>
      <w:r w:rsidR="00A16865">
        <w:t>late</w:t>
      </w:r>
      <w:r w:rsidR="00513A18">
        <w:t xml:space="preserve"> May</w:t>
      </w:r>
      <w:r w:rsidR="00A16865">
        <w:t xml:space="preserve"> 2020</w:t>
      </w:r>
      <w:r w:rsidR="00513A18">
        <w:t xml:space="preserve">. </w:t>
      </w:r>
    </w:p>
    <w:p w14:paraId="6D319FDB" w14:textId="77777777" w:rsidR="00C730CC" w:rsidRDefault="00C730CC" w:rsidP="00C730CC">
      <w:pPr>
        <w:pStyle w:val="Normalnumbered"/>
        <w:numPr>
          <w:ilvl w:val="0"/>
          <w:numId w:val="0"/>
        </w:numPr>
        <w:ind w:left="567"/>
      </w:pPr>
    </w:p>
    <w:p w14:paraId="23CE90B8" w14:textId="77777777" w:rsidR="00C730CC" w:rsidRDefault="00C730CC" w:rsidP="00B56B2E">
      <w:pPr>
        <w:pStyle w:val="Normalnumbered"/>
      </w:pPr>
      <w:r>
        <w:t xml:space="preserve">Bushfires NT’s role is to support land managers </w:t>
      </w:r>
      <w:r w:rsidR="00B56B2E">
        <w:t>in</w:t>
      </w:r>
      <w:r>
        <w:t xml:space="preserve"> maintain</w:t>
      </w:r>
      <w:r w:rsidR="00B56B2E">
        <w:t>ing</w:t>
      </w:r>
      <w:r>
        <w:t xml:space="preserve"> and implement</w:t>
      </w:r>
      <w:r w:rsidR="00B56B2E">
        <w:t>ing</w:t>
      </w:r>
      <w:r>
        <w:t xml:space="preserve"> fire management strategies;</w:t>
      </w:r>
      <w:r w:rsidRPr="00C730CC">
        <w:t xml:space="preserve"> </w:t>
      </w:r>
      <w:r>
        <w:t>strengthen community capacity and resilience in fire management;</w:t>
      </w:r>
      <w:r w:rsidRPr="00C730CC">
        <w:t xml:space="preserve"> </w:t>
      </w:r>
      <w:r>
        <w:t>support bushfire management research development and innovation; engage the broader community in fire management; administer the Bushfires Management Act 2016 and</w:t>
      </w:r>
      <w:r w:rsidR="00B56B2E" w:rsidRPr="00B56B2E">
        <w:t xml:space="preserve"> </w:t>
      </w:r>
      <w:r w:rsidR="00B56B2E">
        <w:t>participate in bushfire management as necessary.</w:t>
      </w:r>
    </w:p>
    <w:p w14:paraId="46929592" w14:textId="77777777" w:rsidR="00B56B2E" w:rsidRDefault="00B56B2E" w:rsidP="00B56B2E">
      <w:pPr>
        <w:pStyle w:val="ListParagraph"/>
      </w:pPr>
    </w:p>
    <w:p w14:paraId="0080DAC2" w14:textId="77777777" w:rsidR="00B56B2E" w:rsidRDefault="00B56B2E" w:rsidP="00B56B2E">
      <w:pPr>
        <w:pStyle w:val="Normalnumbered"/>
      </w:pPr>
      <w:r w:rsidRPr="00B56B2E">
        <w:t>Th</w:t>
      </w:r>
      <w:r>
        <w:t xml:space="preserve">e Headquarters </w:t>
      </w:r>
      <w:r w:rsidR="0013088C">
        <w:t>will centralise key functions</w:t>
      </w:r>
      <w:r w:rsidR="003C6AC3">
        <w:t xml:space="preserve">, improving </w:t>
      </w:r>
      <w:r w:rsidRPr="00B56B2E">
        <w:t>the efficiency and effectiveness of fire management operations across the Northern Territory. As a land management agency, Bushfires NT staff and volunteers significantly contribute to disaster risk reduction through the application of rural fire management practices, bushfire mitigation activities and the maintenance of response capabilities. Staff and volunteers work proactively with rural land owners, community members and service providers to strengthen resilience thereby actively reducing risk posed by bushfires.</w:t>
      </w:r>
    </w:p>
    <w:p w14:paraId="6A54FA59" w14:textId="77777777" w:rsidR="00E652EF" w:rsidRDefault="00E652EF" w:rsidP="001C532F">
      <w:pPr>
        <w:pStyle w:val="Normalnumbered"/>
        <w:numPr>
          <w:ilvl w:val="0"/>
          <w:numId w:val="0"/>
        </w:numPr>
      </w:pPr>
    </w:p>
    <w:p w14:paraId="5915192D" w14:textId="77777777" w:rsidR="00B56B2E" w:rsidRDefault="00B56B2E" w:rsidP="00B56B2E">
      <w:pPr>
        <w:pStyle w:val="Normalnumbered"/>
      </w:pPr>
      <w:r>
        <w:t xml:space="preserve">The NT Gamba Grass Action Program (GGAP) will be conducted out of the new Headquarters. Gamba grass poses a major fire risk to the NT. Gamba is a highly invasive weed that creates high fuel loads and can cause uncontrollable, hot and intense fires. The goal of the GGAP is to encourage and assist compliance by providing information, resources, advice and practical assistance to the community in managing gamba. The GGAP also directs compliance though a permit and compliance order program. </w:t>
      </w:r>
    </w:p>
    <w:p w14:paraId="1973A76B" w14:textId="77777777" w:rsidR="00B56B2E" w:rsidRDefault="00B56B2E" w:rsidP="00B56B2E">
      <w:pPr>
        <w:pStyle w:val="ListParagraph"/>
      </w:pPr>
    </w:p>
    <w:p w14:paraId="04EA8612" w14:textId="77777777" w:rsidR="00AB5564" w:rsidRPr="003C6AC3" w:rsidRDefault="00B56B2E" w:rsidP="00B56B2E">
      <w:pPr>
        <w:pStyle w:val="Normalnumbered"/>
      </w:pPr>
      <w:r>
        <w:t>The creation of a G</w:t>
      </w:r>
      <w:r w:rsidRPr="00B56B2E">
        <w:t>amba fire mitigation unit allows a dedicated focus on</w:t>
      </w:r>
      <w:r>
        <w:t xml:space="preserve"> the GGAP, </w:t>
      </w:r>
      <w:r w:rsidRPr="00B56B2E">
        <w:t xml:space="preserve">reducing the risk to life and property caused by unmanaged gamba grass, and the costs </w:t>
      </w:r>
      <w:r>
        <w:t>being</w:t>
      </w:r>
      <w:r w:rsidRPr="00B56B2E">
        <w:t xml:space="preserve"> invested into firefighting and fire mitigation response. </w:t>
      </w:r>
      <w:r w:rsidR="003C6AC3">
        <w:t xml:space="preserve">The new Headquarters </w:t>
      </w:r>
      <w:r w:rsidR="003E0DA4">
        <w:t xml:space="preserve">will </w:t>
      </w:r>
      <w:r w:rsidR="003C6AC3">
        <w:t>facilitate the effective function of the unit by co-locating the Weed</w:t>
      </w:r>
      <w:r w:rsidR="003E0DA4">
        <w:t>s and Bushfires</w:t>
      </w:r>
      <w:r w:rsidR="003C6AC3">
        <w:t xml:space="preserve"> Compliance </w:t>
      </w:r>
      <w:r w:rsidR="00861FCD">
        <w:t>teams at a central site in the rural area.</w:t>
      </w:r>
    </w:p>
    <w:p w14:paraId="34261DFB" w14:textId="77777777" w:rsidR="001C532F" w:rsidRDefault="001C532F" w:rsidP="00A16865"/>
    <w:p w14:paraId="3558FDED" w14:textId="77777777" w:rsidR="001C532F" w:rsidRDefault="001C532F" w:rsidP="001C532F">
      <w:pPr>
        <w:pStyle w:val="Normalnumbered"/>
      </w:pPr>
      <w:r>
        <w:t xml:space="preserve">The Headquarters </w:t>
      </w:r>
      <w:r w:rsidR="006966E9">
        <w:t xml:space="preserve">will </w:t>
      </w:r>
      <w:r>
        <w:t xml:space="preserve">also </w:t>
      </w:r>
      <w:r w:rsidR="00C730CC">
        <w:t>reduce risk to the community from fire by establishing a</w:t>
      </w:r>
      <w:r>
        <w:t>n incident control centre for the management</w:t>
      </w:r>
      <w:r w:rsidR="00017F6C">
        <w:t xml:space="preserve"> of wildfires in the rural area</w:t>
      </w:r>
      <w:r>
        <w:t xml:space="preserve"> using improved communication systems. The facility will </w:t>
      </w:r>
      <w:r w:rsidR="00051946">
        <w:t xml:space="preserve">link </w:t>
      </w:r>
      <w:r>
        <w:t xml:space="preserve">volunteers, staff, </w:t>
      </w:r>
      <w:r w:rsidR="00051946">
        <w:t>aerial resources</w:t>
      </w:r>
      <w:r>
        <w:t xml:space="preserve"> and ground contractors during wildfires and emergencies</w:t>
      </w:r>
      <w:r w:rsidR="00051946">
        <w:t xml:space="preserve">, enabling a </w:t>
      </w:r>
      <w:r w:rsidR="00A16865">
        <w:t xml:space="preserve">more effective </w:t>
      </w:r>
      <w:r>
        <w:t>monitor</w:t>
      </w:r>
      <w:r w:rsidR="00A16865">
        <w:t>ing of</w:t>
      </w:r>
      <w:r>
        <w:t xml:space="preserve"> fire ground</w:t>
      </w:r>
      <w:r w:rsidR="00A16865">
        <w:t>s and aerial fire response</w:t>
      </w:r>
      <w:r>
        <w:t>.</w:t>
      </w:r>
    </w:p>
    <w:p w14:paraId="32123B79" w14:textId="77777777" w:rsidR="001C532F" w:rsidRDefault="001C532F" w:rsidP="001C532F">
      <w:pPr>
        <w:pStyle w:val="Normalnumbered"/>
        <w:numPr>
          <w:ilvl w:val="0"/>
          <w:numId w:val="0"/>
        </w:numPr>
        <w:ind w:left="567"/>
      </w:pPr>
    </w:p>
    <w:p w14:paraId="00806AA7" w14:textId="77777777" w:rsidR="001C532F" w:rsidRDefault="001C532F" w:rsidP="001C532F">
      <w:pPr>
        <w:pStyle w:val="Normalnumbered"/>
      </w:pPr>
      <w:r>
        <w:t xml:space="preserve">The Headquarters incorporates a training centre for volunteers, including a </w:t>
      </w:r>
      <w:r w:rsidR="00A16865">
        <w:t xml:space="preserve">more </w:t>
      </w:r>
      <w:r>
        <w:t xml:space="preserve">suitable </w:t>
      </w:r>
      <w:r w:rsidR="00A16865">
        <w:t xml:space="preserve">area </w:t>
      </w:r>
      <w:r>
        <w:t xml:space="preserve">for practical fire suppression training. The increased risk </w:t>
      </w:r>
      <w:r w:rsidR="00A16865">
        <w:t>to</w:t>
      </w:r>
      <w:r>
        <w:t xml:space="preserve"> firefighters associated with </w:t>
      </w:r>
      <w:r w:rsidR="003E7EE7">
        <w:t>G</w:t>
      </w:r>
      <w:r>
        <w:t xml:space="preserve">amba grass fires has necessitated greater emphasis on volunteer training and development of new, higher level courses. </w:t>
      </w:r>
    </w:p>
    <w:p w14:paraId="5988260A" w14:textId="77777777" w:rsidR="001C532F" w:rsidRDefault="001C532F" w:rsidP="001C532F">
      <w:pPr>
        <w:pStyle w:val="Normalnumbered"/>
        <w:numPr>
          <w:ilvl w:val="0"/>
          <w:numId w:val="0"/>
        </w:numPr>
      </w:pPr>
    </w:p>
    <w:p w14:paraId="57282F44" w14:textId="77777777" w:rsidR="007D37BC" w:rsidRPr="00A33F77" w:rsidRDefault="00A33F77" w:rsidP="00A33F77">
      <w:pPr>
        <w:pStyle w:val="Normalnumbered"/>
        <w:sectPr w:rsidR="007D37BC" w:rsidRPr="00A33F77" w:rsidSect="007D37BC">
          <w:footerReference w:type="default" r:id="rId20"/>
          <w:pgSz w:w="11906" w:h="16838" w:code="9"/>
          <w:pgMar w:top="851" w:right="991" w:bottom="1021" w:left="1440" w:header="680" w:footer="510" w:gutter="0"/>
          <w:cols w:space="708"/>
          <w:docGrid w:linePitch="360"/>
        </w:sectPr>
      </w:pPr>
      <w:r>
        <w:t>Th</w:t>
      </w:r>
      <w:r w:rsidR="009D162E">
        <w:t xml:space="preserve">e </w:t>
      </w:r>
      <w:r w:rsidR="008C021B">
        <w:t>NT</w:t>
      </w:r>
      <w:r w:rsidR="009D162E">
        <w:t xml:space="preserve"> will</w:t>
      </w:r>
      <w:r>
        <w:t xml:space="preserve"> </w:t>
      </w:r>
      <w:r w:rsidR="004775A0">
        <w:t>provide</w:t>
      </w:r>
      <w:r w:rsidR="004775A0" w:rsidRPr="004775A0">
        <w:t xml:space="preserve"> </w:t>
      </w:r>
      <w:r w:rsidR="004775A0">
        <w:t xml:space="preserve">the Commonwealth with </w:t>
      </w:r>
      <w:r w:rsidR="004775A0" w:rsidRPr="004775A0">
        <w:t xml:space="preserve">updates on planned risk reduction activities </w:t>
      </w:r>
      <w:r w:rsidR="00283C28">
        <w:t xml:space="preserve">undertaken from this facility </w:t>
      </w:r>
      <w:r w:rsidR="004775A0" w:rsidRPr="004775A0">
        <w:t>in annual NPA performance</w:t>
      </w:r>
      <w:r>
        <w:t xml:space="preserve"> reporting. </w:t>
      </w:r>
    </w:p>
    <w:p w14:paraId="3BAA1CA5" w14:textId="77777777" w:rsidR="0036688B" w:rsidRPr="00A36A37" w:rsidRDefault="0036688B" w:rsidP="00A17D70">
      <w:pPr>
        <w:pStyle w:val="Heading2"/>
      </w:pPr>
      <w:r w:rsidRPr="00A36A37">
        <w:lastRenderedPageBreak/>
        <w:t>Program logic</w:t>
      </w:r>
    </w:p>
    <w:p w14:paraId="0819B0B9" w14:textId="77777777" w:rsidR="0036688B" w:rsidRPr="00C71C55" w:rsidRDefault="0036688B" w:rsidP="00A50598">
      <w:pPr>
        <w:spacing w:line="260" w:lineRule="exact"/>
        <w:jc w:val="both"/>
        <w:rPr>
          <w:i/>
          <w:color w:val="auto"/>
          <w:szCs w:val="20"/>
        </w:rPr>
      </w:pPr>
    </w:p>
    <w:p w14:paraId="5C9D6752" w14:textId="77777777" w:rsidR="007D37BC" w:rsidRPr="007D37BC" w:rsidRDefault="0036688B" w:rsidP="00EC5995">
      <w:pPr>
        <w:pStyle w:val="Normalnumbered"/>
        <w:keepNext/>
        <w:spacing w:after="240" w:line="260" w:lineRule="exact"/>
        <w:jc w:val="both"/>
        <w:rPr>
          <w:i/>
          <w:color w:val="3D4B67"/>
          <w:szCs w:val="23"/>
        </w:rPr>
      </w:pPr>
      <w:r>
        <w:t xml:space="preserve">The way in which these </w:t>
      </w:r>
      <w:r w:rsidR="00334C02">
        <w:t>project</w:t>
      </w:r>
      <w:r w:rsidR="00432B5D">
        <w:t xml:space="preserve"> element</w:t>
      </w:r>
      <w:r w:rsidR="00334C02">
        <w:t xml:space="preserve">s </w:t>
      </w:r>
      <w:r>
        <w:t>will achieve the objective</w:t>
      </w:r>
      <w:r w:rsidR="008B2738">
        <w:t xml:space="preserve"> and outcomes</w:t>
      </w:r>
      <w:r>
        <w:t xml:space="preserve"> set out in the </w:t>
      </w:r>
      <w:r w:rsidR="002E328E">
        <w:t>National Partnership</w:t>
      </w:r>
      <w:r>
        <w:t xml:space="preserve"> is detailed in </w:t>
      </w:r>
      <w:r w:rsidR="00742F33">
        <w:t>T</w:t>
      </w:r>
      <w:r>
        <w:t xml:space="preserve">able </w:t>
      </w:r>
      <w:r w:rsidR="00CA68F8">
        <w:t>2</w:t>
      </w:r>
      <w:r>
        <w:t xml:space="preserve"> below.</w:t>
      </w:r>
    </w:p>
    <w:p w14:paraId="1D91A4E2" w14:textId="77777777" w:rsidR="003E230C" w:rsidRPr="007D37BC" w:rsidRDefault="0036688B" w:rsidP="00921B3C">
      <w:pPr>
        <w:pStyle w:val="Normalnumbered"/>
        <w:keepNext/>
        <w:numPr>
          <w:ilvl w:val="0"/>
          <w:numId w:val="0"/>
        </w:numPr>
        <w:spacing w:after="240" w:line="260" w:lineRule="exact"/>
        <w:ind w:left="567"/>
        <w:jc w:val="both"/>
        <w:rPr>
          <w:i/>
          <w:color w:val="3D4B67"/>
          <w:szCs w:val="23"/>
        </w:rPr>
      </w:pPr>
      <w:r w:rsidRPr="007D37BC">
        <w:rPr>
          <w:rFonts w:ascii="Consolas" w:hAnsi="Consolas"/>
          <w:b/>
          <w:color w:val="3D4B67"/>
          <w:szCs w:val="20"/>
        </w:rPr>
        <w:t xml:space="preserve">Table </w:t>
      </w:r>
      <w:r w:rsidR="00CA68F8" w:rsidRPr="007D37BC">
        <w:rPr>
          <w:rFonts w:ascii="Consolas" w:hAnsi="Consolas"/>
          <w:b/>
          <w:color w:val="3D4B67"/>
          <w:szCs w:val="20"/>
        </w:rPr>
        <w:t>2</w:t>
      </w:r>
      <w:r w:rsidRPr="007D37BC">
        <w:rPr>
          <w:rFonts w:ascii="Consolas" w:hAnsi="Consolas"/>
          <w:b/>
          <w:color w:val="3D4B67"/>
          <w:szCs w:val="20"/>
        </w:rPr>
        <w:t xml:space="preserve">: Program logic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3"/>
        <w:gridCol w:w="2048"/>
        <w:gridCol w:w="4111"/>
        <w:gridCol w:w="5391"/>
        <w:gridCol w:w="1773"/>
      </w:tblGrid>
      <w:tr w:rsidR="008A2703" w:rsidRPr="000A72D2" w14:paraId="34FD9DB2" w14:textId="77777777" w:rsidTr="00D56F19">
        <w:trPr>
          <w:cantSplit/>
          <w:trHeight w:val="567"/>
          <w:tblHeader/>
        </w:trPr>
        <w:tc>
          <w:tcPr>
            <w:tcW w:w="1633" w:type="dxa"/>
            <w:shd w:val="clear" w:color="auto" w:fill="E6E6E6"/>
          </w:tcPr>
          <w:p w14:paraId="776F41BF" w14:textId="77777777" w:rsidR="00F2493A" w:rsidRPr="006353DA" w:rsidRDefault="00737A4C" w:rsidP="00915CD0">
            <w:pPr>
              <w:rPr>
                <w:b/>
                <w:lang w:val="en-US" w:eastAsia="en-US"/>
              </w:rPr>
            </w:pPr>
            <w:r w:rsidRPr="006353DA">
              <w:rPr>
                <w:b/>
                <w:lang w:val="en-US" w:eastAsia="en-US"/>
              </w:rPr>
              <w:t>Project</w:t>
            </w:r>
            <w:r w:rsidR="00432B5D" w:rsidRPr="006353DA">
              <w:rPr>
                <w:b/>
                <w:lang w:val="en-US" w:eastAsia="en-US"/>
              </w:rPr>
              <w:t xml:space="preserve"> element</w:t>
            </w:r>
          </w:p>
          <w:p w14:paraId="023A3FD1" w14:textId="77777777" w:rsidR="00F2493A" w:rsidRPr="006353DA" w:rsidRDefault="00F2493A" w:rsidP="00915CD0">
            <w:pPr>
              <w:rPr>
                <w:rFonts w:ascii="Times New Roman" w:hAnsi="Times New Roman"/>
                <w:b/>
              </w:rPr>
            </w:pPr>
          </w:p>
        </w:tc>
        <w:tc>
          <w:tcPr>
            <w:tcW w:w="2048" w:type="dxa"/>
            <w:shd w:val="clear" w:color="auto" w:fill="E6E6E6"/>
          </w:tcPr>
          <w:p w14:paraId="0FAED91F" w14:textId="77777777" w:rsidR="00915CD0" w:rsidRDefault="00774305" w:rsidP="00915CD0">
            <w:pPr>
              <w:rPr>
                <w:b/>
              </w:rPr>
            </w:pPr>
            <w:r>
              <w:rPr>
                <w:b/>
              </w:rPr>
              <w:t>Output</w:t>
            </w:r>
          </w:p>
          <w:p w14:paraId="41CC237A" w14:textId="77777777" w:rsidR="00F2493A" w:rsidRPr="00915CD0" w:rsidRDefault="00F2493A" w:rsidP="00915CD0"/>
        </w:tc>
        <w:tc>
          <w:tcPr>
            <w:tcW w:w="4111" w:type="dxa"/>
            <w:shd w:val="clear" w:color="auto" w:fill="E6E6E6"/>
          </w:tcPr>
          <w:p w14:paraId="4F79C60D" w14:textId="77777777" w:rsidR="00F2493A" w:rsidRPr="006353DA" w:rsidRDefault="00F2493A" w:rsidP="00915CD0">
            <w:pPr>
              <w:rPr>
                <w:b/>
              </w:rPr>
            </w:pPr>
            <w:r w:rsidRPr="006353DA">
              <w:rPr>
                <w:b/>
              </w:rPr>
              <w:t>Outcomes</w:t>
            </w:r>
          </w:p>
        </w:tc>
        <w:tc>
          <w:tcPr>
            <w:tcW w:w="5391" w:type="dxa"/>
            <w:shd w:val="clear" w:color="auto" w:fill="E6E6E6"/>
          </w:tcPr>
          <w:p w14:paraId="0DAFCC8C" w14:textId="77777777" w:rsidR="00F2493A" w:rsidRPr="006353DA" w:rsidRDefault="00F2493A" w:rsidP="00915CD0">
            <w:pPr>
              <w:rPr>
                <w:b/>
              </w:rPr>
            </w:pPr>
            <w:r w:rsidRPr="006353DA">
              <w:rPr>
                <w:b/>
              </w:rPr>
              <w:t>Project Objectives</w:t>
            </w:r>
          </w:p>
        </w:tc>
        <w:tc>
          <w:tcPr>
            <w:tcW w:w="1773" w:type="dxa"/>
            <w:shd w:val="clear" w:color="auto" w:fill="E6E6E6"/>
          </w:tcPr>
          <w:p w14:paraId="2C46D8F3" w14:textId="77777777" w:rsidR="00F2493A" w:rsidRPr="006353DA" w:rsidRDefault="00F2493A" w:rsidP="00915CD0">
            <w:pPr>
              <w:rPr>
                <w:b/>
              </w:rPr>
            </w:pPr>
            <w:r w:rsidRPr="006353DA">
              <w:rPr>
                <w:b/>
              </w:rPr>
              <w:t>Responsibilities</w:t>
            </w:r>
          </w:p>
        </w:tc>
      </w:tr>
      <w:tr w:rsidR="000E4214" w:rsidRPr="000A72D2" w14:paraId="5B5D6ABB" w14:textId="77777777" w:rsidTr="00D56F19">
        <w:trPr>
          <w:cantSplit/>
          <w:trHeight w:val="567"/>
        </w:trPr>
        <w:tc>
          <w:tcPr>
            <w:tcW w:w="1633" w:type="dxa"/>
          </w:tcPr>
          <w:p w14:paraId="00979115" w14:textId="77777777" w:rsidR="0061613E" w:rsidRPr="000A72D2" w:rsidRDefault="00915CD0" w:rsidP="00915CD0">
            <w:r>
              <w:t>U</w:t>
            </w:r>
            <w:r w:rsidR="00DA0724">
              <w:t>nderstanding Disaster Risk</w:t>
            </w:r>
          </w:p>
        </w:tc>
        <w:tc>
          <w:tcPr>
            <w:tcW w:w="2048" w:type="dxa"/>
          </w:tcPr>
          <w:p w14:paraId="51A576D2" w14:textId="77777777" w:rsidR="00F2493A" w:rsidRPr="000A72D2" w:rsidRDefault="00332D3A" w:rsidP="00547D00">
            <w:r>
              <w:t>A</w:t>
            </w:r>
            <w:r w:rsidR="00547D00">
              <w:t xml:space="preserve">n improved </w:t>
            </w:r>
            <w:r>
              <w:t xml:space="preserve">understanding of </w:t>
            </w:r>
            <w:r w:rsidR="0061034D">
              <w:t>disaster</w:t>
            </w:r>
            <w:r w:rsidR="00547D00">
              <w:t xml:space="preserve"> risk across all sectors of the community </w:t>
            </w:r>
          </w:p>
        </w:tc>
        <w:tc>
          <w:tcPr>
            <w:tcW w:w="4111" w:type="dxa"/>
          </w:tcPr>
          <w:p w14:paraId="53CC25DD" w14:textId="77777777" w:rsidR="00F2493A" w:rsidRDefault="00C71405" w:rsidP="002F1ED1">
            <w:pPr>
              <w:spacing w:line="276" w:lineRule="auto"/>
            </w:pPr>
            <w:r>
              <w:t xml:space="preserve">Decision makers in the </w:t>
            </w:r>
            <w:r w:rsidR="00CA68F8">
              <w:t>NT understand and act upon their</w:t>
            </w:r>
            <w:r w:rsidR="006162A7">
              <w:t xml:space="preserve"> </w:t>
            </w:r>
            <w:r>
              <w:t>responsibilities</w:t>
            </w:r>
            <w:r w:rsidR="006162A7">
              <w:t xml:space="preserve"> </w:t>
            </w:r>
            <w:r w:rsidR="000E4214">
              <w:t xml:space="preserve">relating to disaster risk </w:t>
            </w:r>
            <w:r w:rsidR="006162A7">
              <w:t>information</w:t>
            </w:r>
            <w:r w:rsidR="000E4214">
              <w:t>.</w:t>
            </w:r>
          </w:p>
          <w:p w14:paraId="59D570D7" w14:textId="77777777" w:rsidR="002F1ED1" w:rsidRDefault="002F1ED1" w:rsidP="002F1ED1">
            <w:pPr>
              <w:spacing w:line="276" w:lineRule="auto"/>
            </w:pPr>
          </w:p>
          <w:p w14:paraId="6C56D4F9" w14:textId="77777777" w:rsidR="002F1ED1" w:rsidRDefault="00C71405" w:rsidP="002F1ED1">
            <w:pPr>
              <w:spacing w:line="276" w:lineRule="auto"/>
            </w:pPr>
            <w:r>
              <w:t>The N</w:t>
            </w:r>
            <w:r w:rsidR="00375BF5">
              <w:t>T</w:t>
            </w:r>
            <w:r w:rsidR="000E4214">
              <w:t xml:space="preserve"> is supported </w:t>
            </w:r>
            <w:r>
              <w:t xml:space="preserve">by </w:t>
            </w:r>
            <w:r w:rsidR="000E4214">
              <w:t xml:space="preserve">national </w:t>
            </w:r>
            <w:r>
              <w:t xml:space="preserve">and jurisdictional </w:t>
            </w:r>
            <w:r w:rsidR="000E4214">
              <w:t>capabilities that enable the creation, capture and sharing of useful disaster risk information.</w:t>
            </w:r>
          </w:p>
          <w:p w14:paraId="5A3551BC" w14:textId="77777777" w:rsidR="00C71405" w:rsidRDefault="00C71405" w:rsidP="002F1ED1">
            <w:pPr>
              <w:spacing w:line="276" w:lineRule="auto"/>
            </w:pPr>
          </w:p>
          <w:p w14:paraId="4A8D8E1C" w14:textId="77777777" w:rsidR="007B1DDC" w:rsidRDefault="00C71405" w:rsidP="00C71405">
            <w:pPr>
              <w:spacing w:line="276" w:lineRule="auto"/>
            </w:pPr>
            <w:r>
              <w:t xml:space="preserve">Disaster </w:t>
            </w:r>
            <w:r w:rsidR="000E4214">
              <w:t>risk information is freely disclosed, shared and integrated into risk planning across sectors</w:t>
            </w:r>
            <w:r w:rsidR="00CA68F8">
              <w:t xml:space="preserve"> in the NT</w:t>
            </w:r>
            <w:r w:rsidR="000E4214">
              <w:t>.</w:t>
            </w:r>
          </w:p>
          <w:p w14:paraId="3391A8D5" w14:textId="77777777" w:rsidR="007B1DDC" w:rsidRPr="007B1DDC" w:rsidRDefault="007B1DDC" w:rsidP="007B1DDC"/>
          <w:p w14:paraId="7606B2FD" w14:textId="77777777" w:rsidR="007B1DDC" w:rsidRPr="007B1DDC" w:rsidRDefault="007B1DDC" w:rsidP="007B1DDC"/>
          <w:p w14:paraId="7A0D9C47" w14:textId="77777777" w:rsidR="007B1DDC" w:rsidRPr="007B1DDC" w:rsidRDefault="007B1DDC" w:rsidP="007B1DDC"/>
          <w:p w14:paraId="7731401C" w14:textId="77777777" w:rsidR="007B1DDC" w:rsidRPr="007B1DDC" w:rsidRDefault="007B1DDC" w:rsidP="007B1DDC"/>
          <w:p w14:paraId="377556CD" w14:textId="77777777" w:rsidR="007B1DDC" w:rsidRPr="007B1DDC" w:rsidRDefault="007B1DDC" w:rsidP="007B1DDC"/>
          <w:p w14:paraId="2B8FCE37" w14:textId="77777777" w:rsidR="007B1DDC" w:rsidRPr="007B1DDC" w:rsidRDefault="007B1DDC" w:rsidP="007B1DDC"/>
          <w:p w14:paraId="46E6E25B" w14:textId="77777777" w:rsidR="007B1DDC" w:rsidRPr="007B1DDC" w:rsidRDefault="007B1DDC" w:rsidP="007B1DDC"/>
          <w:p w14:paraId="228696C0" w14:textId="77777777" w:rsidR="007B1DDC" w:rsidRPr="007B1DDC" w:rsidRDefault="007B1DDC" w:rsidP="007B1DDC"/>
          <w:p w14:paraId="2052077D" w14:textId="77777777" w:rsidR="007B1DDC" w:rsidRPr="007B1DDC" w:rsidRDefault="007B1DDC" w:rsidP="007B1DDC"/>
          <w:p w14:paraId="05F601AF" w14:textId="77777777" w:rsidR="000E4214" w:rsidRPr="007B1DDC" w:rsidRDefault="000E4214" w:rsidP="007B1DDC">
            <w:pPr>
              <w:jc w:val="right"/>
            </w:pPr>
          </w:p>
        </w:tc>
        <w:tc>
          <w:tcPr>
            <w:tcW w:w="5391" w:type="dxa"/>
          </w:tcPr>
          <w:p w14:paraId="49AB3DB0" w14:textId="77777777" w:rsidR="00175F67" w:rsidRPr="00632CF8" w:rsidRDefault="00175F67" w:rsidP="00C54176">
            <w:pPr>
              <w:spacing w:after="240"/>
            </w:pPr>
            <w:r w:rsidRPr="00632CF8">
              <w:t>Delivery focuses on projects that identify risks and better understanding disaster risks to social, cultural, physical, economic and environmental domains across the NT:</w:t>
            </w:r>
          </w:p>
          <w:p w14:paraId="496A5BBC" w14:textId="77777777" w:rsidR="00DA0724" w:rsidRDefault="00DA0724" w:rsidP="00C54176">
            <w:pPr>
              <w:pStyle w:val="ListParagraph"/>
              <w:numPr>
                <w:ilvl w:val="0"/>
                <w:numId w:val="28"/>
              </w:numPr>
              <w:ind w:left="456" w:hanging="426"/>
            </w:pPr>
            <w:r w:rsidRPr="006C1485">
              <w:t>Improve awareness of, and engagement on, disaster risks and impacts</w:t>
            </w:r>
            <w:r w:rsidR="00CA68F8">
              <w:t xml:space="preserve"> in the </w:t>
            </w:r>
            <w:r w:rsidR="008C021B">
              <w:t>NT</w:t>
            </w:r>
            <w:r w:rsidR="00D91AEE">
              <w:t>.</w:t>
            </w:r>
          </w:p>
          <w:p w14:paraId="104E0A20" w14:textId="77777777" w:rsidR="00DA0724" w:rsidRDefault="00332D3A" w:rsidP="00C54176">
            <w:pPr>
              <w:pStyle w:val="ListParagraph"/>
              <w:numPr>
                <w:ilvl w:val="0"/>
                <w:numId w:val="28"/>
              </w:numPr>
              <w:ind w:left="456" w:hanging="426"/>
            </w:pPr>
            <w:r>
              <w:t>I</w:t>
            </w:r>
            <w:r w:rsidR="00DA0724" w:rsidRPr="006C1485">
              <w:t>dentif</w:t>
            </w:r>
            <w:r w:rsidR="0061034D">
              <w:t>y</w:t>
            </w:r>
            <w:r>
              <w:t xml:space="preserve"> and manage </w:t>
            </w:r>
            <w:r w:rsidR="00DA0724" w:rsidRPr="006C1485">
              <w:t>data,</w:t>
            </w:r>
            <w:r w:rsidR="006162A7">
              <w:t xml:space="preserve"> information and resource gaps</w:t>
            </w:r>
            <w:r w:rsidR="00D91AEE">
              <w:t>.</w:t>
            </w:r>
          </w:p>
          <w:p w14:paraId="1CE72466" w14:textId="77777777" w:rsidR="00DA0724" w:rsidRDefault="00332D3A" w:rsidP="00C54176">
            <w:pPr>
              <w:pStyle w:val="ListParagraph"/>
              <w:numPr>
                <w:ilvl w:val="0"/>
                <w:numId w:val="28"/>
              </w:numPr>
              <w:ind w:left="456" w:hanging="426"/>
            </w:pPr>
            <w:r>
              <w:t>Reduc</w:t>
            </w:r>
            <w:r w:rsidR="0061034D">
              <w:t>e</w:t>
            </w:r>
            <w:r w:rsidR="00DA0724" w:rsidRPr="006C1485">
              <w:t xml:space="preserve"> technical barriers to data and infor</w:t>
            </w:r>
            <w:r w:rsidR="006162A7">
              <w:t>mation sharing and availability</w:t>
            </w:r>
            <w:r w:rsidR="00D91AEE">
              <w:t>.</w:t>
            </w:r>
          </w:p>
          <w:p w14:paraId="6A6C2E6D" w14:textId="77777777" w:rsidR="00332D3A" w:rsidRDefault="00332D3A" w:rsidP="00C54176">
            <w:pPr>
              <w:pStyle w:val="ListParagraph"/>
              <w:numPr>
                <w:ilvl w:val="0"/>
                <w:numId w:val="28"/>
              </w:numPr>
              <w:ind w:left="456" w:hanging="426"/>
            </w:pPr>
            <w:r>
              <w:t>Integrat</w:t>
            </w:r>
            <w:r w:rsidR="0061034D">
              <w:t>e</w:t>
            </w:r>
            <w:r>
              <w:t xml:space="preserve"> </w:t>
            </w:r>
            <w:r w:rsidR="00DA0724" w:rsidRPr="006C1485">
              <w:t xml:space="preserve">plausible </w:t>
            </w:r>
            <w:r w:rsidR="006162A7">
              <w:t>future scenarios into planning</w:t>
            </w:r>
          </w:p>
          <w:p w14:paraId="533DEF7A" w14:textId="77777777" w:rsidR="00774305" w:rsidRDefault="006162A7" w:rsidP="00C54176">
            <w:pPr>
              <w:pStyle w:val="ListParagraph"/>
              <w:numPr>
                <w:ilvl w:val="0"/>
                <w:numId w:val="28"/>
              </w:numPr>
              <w:ind w:left="456" w:hanging="426"/>
            </w:pPr>
            <w:r>
              <w:t>Improve</w:t>
            </w:r>
            <w:r w:rsidR="00332D3A">
              <w:t xml:space="preserve"> access to </w:t>
            </w:r>
            <w:r w:rsidR="00DA0724" w:rsidRPr="006C1485">
              <w:t>cohesive disaster risk information and communication capabilities to deliver actionable dis</w:t>
            </w:r>
            <w:r>
              <w:t>aster risk data and information</w:t>
            </w:r>
            <w:r w:rsidR="00D91AEE">
              <w:t>.</w:t>
            </w:r>
          </w:p>
          <w:p w14:paraId="0A18FA09" w14:textId="77777777" w:rsidR="00DA0724" w:rsidRDefault="00332D3A" w:rsidP="00C54176">
            <w:pPr>
              <w:pStyle w:val="ListParagraph"/>
              <w:numPr>
                <w:ilvl w:val="0"/>
                <w:numId w:val="28"/>
              </w:numPr>
              <w:ind w:left="456" w:hanging="426"/>
            </w:pPr>
            <w:r>
              <w:t>L</w:t>
            </w:r>
            <w:r w:rsidR="00DA0724" w:rsidRPr="006C1485">
              <w:t>ong-term and solution-driven research, innovation and knowledge practic</w:t>
            </w:r>
            <w:r w:rsidR="00D91AEE">
              <w:t>es, and disaster risk education.</w:t>
            </w:r>
          </w:p>
          <w:p w14:paraId="7B3CCF28" w14:textId="77777777" w:rsidR="00F2493A" w:rsidRPr="000A72D2" w:rsidRDefault="00332D3A" w:rsidP="003E7EE7">
            <w:pPr>
              <w:pStyle w:val="ListParagraph"/>
              <w:numPr>
                <w:ilvl w:val="0"/>
                <w:numId w:val="28"/>
              </w:numPr>
              <w:ind w:left="456" w:hanging="426"/>
            </w:pPr>
            <w:r>
              <w:t xml:space="preserve">Improve </w:t>
            </w:r>
            <w:r w:rsidR="00DA0724" w:rsidRPr="006C1485">
              <w:t>disclosure of dis</w:t>
            </w:r>
            <w:r w:rsidR="006162A7">
              <w:t>aster risk to all stakeholders</w:t>
            </w:r>
            <w:r w:rsidR="00D91AEE">
              <w:t>.</w:t>
            </w:r>
          </w:p>
        </w:tc>
        <w:tc>
          <w:tcPr>
            <w:tcW w:w="1773" w:type="dxa"/>
          </w:tcPr>
          <w:p w14:paraId="66E431F5" w14:textId="77777777" w:rsidR="00F2493A" w:rsidRPr="000A72D2" w:rsidRDefault="008C021B" w:rsidP="00915CD0">
            <w:r>
              <w:t>NT</w:t>
            </w:r>
          </w:p>
        </w:tc>
      </w:tr>
      <w:tr w:rsidR="00915CD0" w:rsidRPr="000A72D2" w14:paraId="538C3887" w14:textId="77777777" w:rsidTr="00D56F19">
        <w:trPr>
          <w:cantSplit/>
          <w:trHeight w:val="567"/>
        </w:trPr>
        <w:tc>
          <w:tcPr>
            <w:tcW w:w="1633" w:type="dxa"/>
          </w:tcPr>
          <w:p w14:paraId="29D462E6" w14:textId="77777777" w:rsidR="00DA0724" w:rsidRDefault="00DA0724" w:rsidP="00915CD0">
            <w:r>
              <w:lastRenderedPageBreak/>
              <w:t>Accountable Decisions</w:t>
            </w:r>
          </w:p>
        </w:tc>
        <w:tc>
          <w:tcPr>
            <w:tcW w:w="2048" w:type="dxa"/>
          </w:tcPr>
          <w:p w14:paraId="53E2D8A9" w14:textId="77777777" w:rsidR="007834E7" w:rsidRDefault="00332D3A" w:rsidP="00915CD0">
            <w:r>
              <w:t>Decision-</w:t>
            </w:r>
            <w:r w:rsidR="007834E7">
              <w:t>makers are e</w:t>
            </w:r>
            <w:r w:rsidR="00734736">
              <w:t xml:space="preserve">quipped </w:t>
            </w:r>
            <w:r w:rsidR="007834E7">
              <w:t xml:space="preserve">to respond to immediate and long-term disaster risk and actively manage the potential creation or exacerbation of disaster risk. </w:t>
            </w:r>
          </w:p>
          <w:p w14:paraId="409EB3B2" w14:textId="77777777" w:rsidR="007834E7" w:rsidRDefault="007834E7" w:rsidP="00915CD0"/>
          <w:p w14:paraId="23608783" w14:textId="77777777" w:rsidR="007834E7" w:rsidRDefault="007834E7" w:rsidP="00915CD0"/>
        </w:tc>
        <w:tc>
          <w:tcPr>
            <w:tcW w:w="4111" w:type="dxa"/>
          </w:tcPr>
          <w:p w14:paraId="493B69E2" w14:textId="77777777" w:rsidR="00DA0724" w:rsidRDefault="000E4214" w:rsidP="00774305">
            <w:pPr>
              <w:spacing w:line="276" w:lineRule="auto"/>
            </w:pPr>
            <w:r>
              <w:t xml:space="preserve">Public, private and community sector decision-makers </w:t>
            </w:r>
            <w:r w:rsidR="007834E7">
              <w:t xml:space="preserve">actively address </w:t>
            </w:r>
            <w:r>
              <w:t xml:space="preserve">disaster risk </w:t>
            </w:r>
            <w:r w:rsidR="007834E7">
              <w:t>and</w:t>
            </w:r>
            <w:r>
              <w:t xml:space="preserve"> other risks.</w:t>
            </w:r>
          </w:p>
          <w:p w14:paraId="0759CCE9" w14:textId="77777777" w:rsidR="00774305" w:rsidRDefault="00774305" w:rsidP="00774305">
            <w:pPr>
              <w:spacing w:line="276" w:lineRule="auto"/>
            </w:pPr>
          </w:p>
          <w:p w14:paraId="1B16B6E7" w14:textId="77777777" w:rsidR="000E4214" w:rsidRDefault="000E4214" w:rsidP="00774305">
            <w:pPr>
              <w:spacing w:line="276" w:lineRule="auto"/>
            </w:pPr>
            <w:r>
              <w:t>Decision-making processes and models,</w:t>
            </w:r>
            <w:r w:rsidR="005101CE">
              <w:t xml:space="preserve"> including cost benefit </w:t>
            </w:r>
            <w:r>
              <w:t xml:space="preserve">analyses, </w:t>
            </w:r>
            <w:r w:rsidR="007834E7">
              <w:t>appropriately</w:t>
            </w:r>
            <w:r w:rsidR="005101CE">
              <w:t xml:space="preserve"> </w:t>
            </w:r>
            <w:r>
              <w:t>address current and future</w:t>
            </w:r>
            <w:r w:rsidR="005101CE">
              <w:t xml:space="preserve"> </w:t>
            </w:r>
            <w:r>
              <w:t>disaster risks</w:t>
            </w:r>
            <w:r w:rsidR="005101CE">
              <w:t>.</w:t>
            </w:r>
          </w:p>
          <w:p w14:paraId="51736E7E" w14:textId="77777777" w:rsidR="00774305" w:rsidRDefault="00774305" w:rsidP="00774305">
            <w:pPr>
              <w:spacing w:line="276" w:lineRule="auto"/>
            </w:pPr>
          </w:p>
          <w:p w14:paraId="5462C8EA" w14:textId="77777777" w:rsidR="005101CE" w:rsidRDefault="005101CE" w:rsidP="00774305">
            <w:pPr>
              <w:spacing w:line="276" w:lineRule="auto"/>
            </w:pPr>
            <w:r>
              <w:t>Priority</w:t>
            </w:r>
            <w:r w:rsidR="00CA68F8">
              <w:t xml:space="preserve"> NT</w:t>
            </w:r>
            <w:r>
              <w:t xml:space="preserve"> disaster risks are identified and actively mitigated.</w:t>
            </w:r>
          </w:p>
          <w:p w14:paraId="6CC29D7C" w14:textId="77777777" w:rsidR="00774305" w:rsidRDefault="00774305" w:rsidP="00774305">
            <w:pPr>
              <w:spacing w:line="276" w:lineRule="auto"/>
            </w:pPr>
          </w:p>
          <w:p w14:paraId="01208E25" w14:textId="77777777" w:rsidR="005101CE" w:rsidRDefault="005101CE" w:rsidP="00774305">
            <w:pPr>
              <w:spacing w:line="276" w:lineRule="auto"/>
            </w:pPr>
            <w:r>
              <w:t>Integrated and robust frameworks are used to assess and reduce disaster risk in all environments, but particularly infrastructure, land use and development planning</w:t>
            </w:r>
            <w:r w:rsidR="00734736">
              <w:t xml:space="preserve"> in the NT</w:t>
            </w:r>
            <w:r>
              <w:t>.</w:t>
            </w:r>
          </w:p>
        </w:tc>
        <w:tc>
          <w:tcPr>
            <w:tcW w:w="5391" w:type="dxa"/>
          </w:tcPr>
          <w:p w14:paraId="58F9CABA" w14:textId="77777777" w:rsidR="00175F67" w:rsidRDefault="00175F67" w:rsidP="00C54176">
            <w:pPr>
              <w:spacing w:after="240"/>
            </w:pPr>
            <w:r w:rsidRPr="00175F67">
              <w:t xml:space="preserve">Delivery </w:t>
            </w:r>
            <w:r w:rsidR="00632CF8">
              <w:t xml:space="preserve">of programs </w:t>
            </w:r>
            <w:r w:rsidRPr="00175F67">
              <w:t>focuses on projects that will equip decision-makers with the requisite knowledge, skills and abilities to make timely and informed decisions to reduce disaster risk and manage residual risk</w:t>
            </w:r>
            <w:r>
              <w:t>:</w:t>
            </w:r>
          </w:p>
          <w:p w14:paraId="01E31EA3" w14:textId="77777777" w:rsidR="000E4214" w:rsidRDefault="000B2EC0" w:rsidP="00C54176">
            <w:pPr>
              <w:pStyle w:val="ListParagraph"/>
              <w:numPr>
                <w:ilvl w:val="0"/>
                <w:numId w:val="26"/>
              </w:numPr>
              <w:ind w:left="456" w:hanging="426"/>
            </w:pPr>
            <w:r>
              <w:t xml:space="preserve">Identify </w:t>
            </w:r>
            <w:r w:rsidR="000E4214">
              <w:t>disaster ris</w:t>
            </w:r>
            <w:r w:rsidR="006162A7">
              <w:t>ks and mitigation opportunities</w:t>
            </w:r>
            <w:r w:rsidR="00734736">
              <w:t xml:space="preserve"> in the NT</w:t>
            </w:r>
            <w:r w:rsidR="006162A7">
              <w:t>.</w:t>
            </w:r>
          </w:p>
          <w:p w14:paraId="011B02B9" w14:textId="77777777" w:rsidR="000E4214" w:rsidRDefault="000E4214" w:rsidP="00C54176">
            <w:pPr>
              <w:pStyle w:val="ListParagraph"/>
              <w:numPr>
                <w:ilvl w:val="0"/>
                <w:numId w:val="26"/>
              </w:numPr>
              <w:ind w:left="456" w:hanging="426"/>
            </w:pPr>
            <w:r>
              <w:t>Build the capability and capacity of decision-makers to address disaster risk in policy, pr</w:t>
            </w:r>
            <w:r w:rsidR="006162A7">
              <w:t>ogram and investment decisions.</w:t>
            </w:r>
          </w:p>
          <w:p w14:paraId="04442CD5" w14:textId="77777777" w:rsidR="000E4214" w:rsidRDefault="000E4214" w:rsidP="00C54176">
            <w:pPr>
              <w:pStyle w:val="ListParagraph"/>
              <w:numPr>
                <w:ilvl w:val="0"/>
                <w:numId w:val="26"/>
              </w:numPr>
              <w:ind w:left="456" w:hanging="426"/>
            </w:pPr>
            <w:r>
              <w:t xml:space="preserve">Establish incentives, and address disincentives and barriers </w:t>
            </w:r>
            <w:r w:rsidR="00734736">
              <w:t>in</w:t>
            </w:r>
            <w:r>
              <w:t xml:space="preserve"> r</w:t>
            </w:r>
            <w:r w:rsidR="006162A7">
              <w:t>educing disaster risk.</w:t>
            </w:r>
          </w:p>
          <w:p w14:paraId="4678A5A3" w14:textId="77777777" w:rsidR="000E4214" w:rsidRDefault="006162A7" w:rsidP="00C54176">
            <w:pPr>
              <w:pStyle w:val="ListParagraph"/>
              <w:numPr>
                <w:ilvl w:val="0"/>
                <w:numId w:val="26"/>
              </w:numPr>
              <w:ind w:left="456" w:hanging="426"/>
            </w:pPr>
            <w:r>
              <w:t>P</w:t>
            </w:r>
            <w:r w:rsidR="000E4214">
              <w:t>lanning and development practices that</w:t>
            </w:r>
            <w:r w:rsidR="00734736">
              <w:t xml:space="preserve"> help the NT</w:t>
            </w:r>
            <w:r w:rsidR="000E4214">
              <w:t xml:space="preserve"> adapt to rapid social, economic, en</w:t>
            </w:r>
            <w:r>
              <w:t>vironmental and cultural change.</w:t>
            </w:r>
            <w:r w:rsidR="000E4214">
              <w:t xml:space="preserve"> </w:t>
            </w:r>
          </w:p>
          <w:p w14:paraId="1D77491F" w14:textId="77777777" w:rsidR="00DA0724" w:rsidRDefault="000E4214" w:rsidP="00C54176">
            <w:pPr>
              <w:pStyle w:val="ListParagraph"/>
              <w:numPr>
                <w:ilvl w:val="0"/>
                <w:numId w:val="26"/>
              </w:numPr>
              <w:ind w:left="456" w:hanging="426"/>
            </w:pPr>
            <w:r>
              <w:t xml:space="preserve">Promote compliance with, and embed resilience requirements into relevant </w:t>
            </w:r>
            <w:r w:rsidR="00734736">
              <w:t xml:space="preserve">NT </w:t>
            </w:r>
            <w:r>
              <w:t>standards, codes and specifications.</w:t>
            </w:r>
          </w:p>
          <w:p w14:paraId="043CED54" w14:textId="77777777" w:rsidR="006162A7" w:rsidRDefault="006162A7" w:rsidP="006162A7"/>
        </w:tc>
        <w:tc>
          <w:tcPr>
            <w:tcW w:w="1773" w:type="dxa"/>
          </w:tcPr>
          <w:p w14:paraId="3069526F" w14:textId="77777777" w:rsidR="00DA0724" w:rsidRDefault="008C021B" w:rsidP="00915CD0">
            <w:r>
              <w:t>NT</w:t>
            </w:r>
          </w:p>
        </w:tc>
      </w:tr>
      <w:tr w:rsidR="001A52A9" w:rsidRPr="000A72D2" w14:paraId="1BDDEC37" w14:textId="77777777" w:rsidTr="00D56F19">
        <w:trPr>
          <w:cantSplit/>
          <w:trHeight w:val="567"/>
        </w:trPr>
        <w:tc>
          <w:tcPr>
            <w:tcW w:w="1633" w:type="dxa"/>
          </w:tcPr>
          <w:p w14:paraId="45616278" w14:textId="77777777" w:rsidR="001A52A9" w:rsidRDefault="001A52A9" w:rsidP="00915CD0">
            <w:r>
              <w:lastRenderedPageBreak/>
              <w:t>Enhanced Investment</w:t>
            </w:r>
          </w:p>
        </w:tc>
        <w:tc>
          <w:tcPr>
            <w:tcW w:w="2048" w:type="dxa"/>
          </w:tcPr>
          <w:p w14:paraId="440B5DC0" w14:textId="77777777" w:rsidR="001A52A9" w:rsidRDefault="00C812D0" w:rsidP="00915CD0">
            <w:r>
              <w:t>Enhance investment in disaster risk reduction to build resilience.</w:t>
            </w:r>
          </w:p>
        </w:tc>
        <w:tc>
          <w:tcPr>
            <w:tcW w:w="4111" w:type="dxa"/>
          </w:tcPr>
          <w:p w14:paraId="03186585" w14:textId="77777777" w:rsidR="00774305" w:rsidRDefault="00C812D0" w:rsidP="00774305">
            <w:pPr>
              <w:spacing w:line="276" w:lineRule="auto"/>
            </w:pPr>
            <w:r>
              <w:t>Existing and future disaster risk reduction investments target high priority locally and nationally significant disaster risk.</w:t>
            </w:r>
          </w:p>
          <w:p w14:paraId="59FB5FD4" w14:textId="77777777" w:rsidR="00774305" w:rsidRDefault="00774305" w:rsidP="00774305">
            <w:pPr>
              <w:spacing w:line="276" w:lineRule="auto"/>
            </w:pPr>
          </w:p>
          <w:p w14:paraId="1B9830EC" w14:textId="77777777" w:rsidR="00C812D0" w:rsidRDefault="0061034D" w:rsidP="00774305">
            <w:pPr>
              <w:spacing w:line="276" w:lineRule="auto"/>
            </w:pPr>
            <w:r>
              <w:t xml:space="preserve">Investment in disaster risk </w:t>
            </w:r>
            <w:r w:rsidR="00C812D0">
              <w:t>reduction is designed to maximise broader outcomes including increased productivity, improved connectivity, and social inclusion.</w:t>
            </w:r>
          </w:p>
          <w:p w14:paraId="38997D3D" w14:textId="77777777" w:rsidR="00774305" w:rsidRDefault="00774305" w:rsidP="00774305">
            <w:pPr>
              <w:spacing w:line="276" w:lineRule="auto"/>
            </w:pPr>
          </w:p>
          <w:p w14:paraId="73666D24" w14:textId="77777777" w:rsidR="00C812D0" w:rsidRDefault="00C812D0" w:rsidP="00774305">
            <w:pPr>
              <w:spacing w:line="276" w:lineRule="auto"/>
            </w:pPr>
            <w:r>
              <w:t>Investments in disaster risk reduction and resilience limit future disaster recovery costs.</w:t>
            </w:r>
          </w:p>
        </w:tc>
        <w:tc>
          <w:tcPr>
            <w:tcW w:w="5391" w:type="dxa"/>
          </w:tcPr>
          <w:p w14:paraId="3B75F211" w14:textId="77777777" w:rsidR="00632CF8" w:rsidRDefault="00632CF8" w:rsidP="00C54176">
            <w:pPr>
              <w:spacing w:after="240"/>
            </w:pPr>
            <w:r w:rsidRPr="00632CF8">
              <w:t xml:space="preserve">Delivery focuses on projects that pursue investment in disaster risk </w:t>
            </w:r>
            <w:r w:rsidR="004A166E">
              <w:t>initiatives</w:t>
            </w:r>
            <w:r w:rsidR="004A166E" w:rsidRPr="00632CF8">
              <w:t xml:space="preserve"> </w:t>
            </w:r>
            <w:r w:rsidRPr="00632CF8">
              <w:t xml:space="preserve">to minimise the cost of disasters when they occur </w:t>
            </w:r>
            <w:r w:rsidRPr="00632CF8">
              <w:rPr>
                <w:i/>
              </w:rPr>
              <w:t>(i.e. Build Back Better)</w:t>
            </w:r>
            <w:r w:rsidRPr="00632CF8">
              <w:t xml:space="preserve"> and promote resilience</w:t>
            </w:r>
            <w:r>
              <w:t>:</w:t>
            </w:r>
          </w:p>
          <w:p w14:paraId="36D456E9" w14:textId="77777777" w:rsidR="001A52A9" w:rsidRDefault="00774305" w:rsidP="00C54176">
            <w:pPr>
              <w:pStyle w:val="ListParagraph"/>
              <w:numPr>
                <w:ilvl w:val="0"/>
                <w:numId w:val="25"/>
              </w:numPr>
              <w:ind w:left="314" w:hanging="284"/>
            </w:pPr>
            <w:r>
              <w:t>P</w:t>
            </w:r>
            <w:r w:rsidR="001A52A9">
              <w:t>ursue collaborative commercial financing options for disa</w:t>
            </w:r>
            <w:r w:rsidR="006162A7">
              <w:t>ster risk reduction initiatives.</w:t>
            </w:r>
          </w:p>
          <w:p w14:paraId="0B16EF3B" w14:textId="77777777" w:rsidR="001A52A9" w:rsidRDefault="001A52A9" w:rsidP="00C54176">
            <w:pPr>
              <w:pStyle w:val="ListParagraph"/>
              <w:numPr>
                <w:ilvl w:val="0"/>
                <w:numId w:val="25"/>
              </w:numPr>
              <w:ind w:left="314" w:hanging="284"/>
            </w:pPr>
            <w:r w:rsidRPr="001A52A9">
              <w:t>Develop disaster risk reduction investment</w:t>
            </w:r>
            <w:r>
              <w:t xml:space="preserve"> </w:t>
            </w:r>
            <w:r w:rsidRPr="001A52A9">
              <w:t>tools to provide practical guidance on</w:t>
            </w:r>
            <w:r>
              <w:t xml:space="preserve"> </w:t>
            </w:r>
            <w:r w:rsidRPr="001A52A9">
              <w:t>investmen</w:t>
            </w:r>
            <w:r w:rsidR="006162A7">
              <w:t>t</w:t>
            </w:r>
            <w:r w:rsidRPr="001A52A9">
              <w:t xml:space="preserve"> mechanisms</w:t>
            </w:r>
            <w:r w:rsidR="00734736">
              <w:t xml:space="preserve"> in the NT</w:t>
            </w:r>
            <w:r w:rsidR="006162A7">
              <w:t>.</w:t>
            </w:r>
            <w:r>
              <w:t xml:space="preserve"> </w:t>
            </w:r>
          </w:p>
          <w:p w14:paraId="09E461F6" w14:textId="77777777" w:rsidR="001A52A9" w:rsidRDefault="001A52A9" w:rsidP="00C54176">
            <w:pPr>
              <w:pStyle w:val="ListParagraph"/>
              <w:numPr>
                <w:ilvl w:val="0"/>
                <w:numId w:val="25"/>
              </w:numPr>
              <w:ind w:left="314" w:hanging="284"/>
            </w:pPr>
            <w:r w:rsidRPr="001A52A9">
              <w:t xml:space="preserve">Leverage existing and future </w:t>
            </w:r>
            <w:r w:rsidR="00734736">
              <w:t xml:space="preserve">NT and Australian </w:t>
            </w:r>
            <w:r w:rsidRPr="001A52A9">
              <w:t>government</w:t>
            </w:r>
            <w:r>
              <w:t xml:space="preserve"> </w:t>
            </w:r>
            <w:r w:rsidRPr="001A52A9">
              <w:t>programs to fund priority risk reduction</w:t>
            </w:r>
            <w:r>
              <w:t xml:space="preserve"> </w:t>
            </w:r>
            <w:r w:rsidRPr="001A52A9">
              <w:t>measures</w:t>
            </w:r>
            <w:r w:rsidR="006162A7">
              <w:t>.</w:t>
            </w:r>
          </w:p>
          <w:p w14:paraId="198EBE56" w14:textId="77777777" w:rsidR="001A52A9" w:rsidRDefault="001A52A9" w:rsidP="00C54176">
            <w:pPr>
              <w:pStyle w:val="ListParagraph"/>
              <w:numPr>
                <w:ilvl w:val="0"/>
                <w:numId w:val="25"/>
              </w:numPr>
              <w:ind w:left="314" w:hanging="284"/>
            </w:pPr>
            <w:r w:rsidRPr="001A52A9">
              <w:t>Identify additional current and future</w:t>
            </w:r>
            <w:r>
              <w:t xml:space="preserve"> </w:t>
            </w:r>
            <w:r w:rsidRPr="001A52A9">
              <w:t>potential funding streams</w:t>
            </w:r>
            <w:r w:rsidR="006162A7">
              <w:t>.</w:t>
            </w:r>
          </w:p>
          <w:p w14:paraId="1428A3EA" w14:textId="77777777" w:rsidR="006162A7" w:rsidRDefault="001A52A9" w:rsidP="00C54176">
            <w:pPr>
              <w:pStyle w:val="ListParagraph"/>
              <w:numPr>
                <w:ilvl w:val="0"/>
                <w:numId w:val="25"/>
              </w:numPr>
              <w:ind w:left="314" w:hanging="284"/>
            </w:pPr>
            <w:r w:rsidRPr="001A52A9">
              <w:t>Improve the accessibility, variety and</w:t>
            </w:r>
            <w:r>
              <w:t xml:space="preserve"> </w:t>
            </w:r>
            <w:r w:rsidRPr="001A52A9">
              <w:t>uptake of insurance</w:t>
            </w:r>
            <w:r w:rsidR="006162A7">
              <w:t xml:space="preserve"> in the </w:t>
            </w:r>
            <w:r w:rsidR="008C021B">
              <w:t>NT</w:t>
            </w:r>
            <w:r w:rsidR="006162A7">
              <w:t>.</w:t>
            </w:r>
          </w:p>
          <w:p w14:paraId="76250419" w14:textId="77777777" w:rsidR="001A52A9" w:rsidRDefault="001A52A9" w:rsidP="00C54176">
            <w:pPr>
              <w:pStyle w:val="ListParagraph"/>
              <w:numPr>
                <w:ilvl w:val="0"/>
                <w:numId w:val="25"/>
              </w:numPr>
              <w:ind w:left="314" w:hanging="284"/>
            </w:pPr>
            <w:r w:rsidRPr="001A52A9">
              <w:t>Empower</w:t>
            </w:r>
            <w:r w:rsidR="006162A7">
              <w:t xml:space="preserve"> Territory</w:t>
            </w:r>
            <w:r w:rsidRPr="001A52A9">
              <w:t xml:space="preserve"> communities, individuals and</w:t>
            </w:r>
            <w:r>
              <w:t xml:space="preserve"> </w:t>
            </w:r>
            <w:r w:rsidRPr="001A52A9">
              <w:t>small businesses to make informed and</w:t>
            </w:r>
            <w:r>
              <w:t xml:space="preserve"> </w:t>
            </w:r>
            <w:r w:rsidRPr="001A52A9">
              <w:t>sustainable investments</w:t>
            </w:r>
            <w:r>
              <w:t>.</w:t>
            </w:r>
          </w:p>
          <w:p w14:paraId="051B26DA" w14:textId="77777777" w:rsidR="006162A7" w:rsidRPr="001A52A9" w:rsidRDefault="006162A7" w:rsidP="006162A7"/>
        </w:tc>
        <w:tc>
          <w:tcPr>
            <w:tcW w:w="1773" w:type="dxa"/>
          </w:tcPr>
          <w:p w14:paraId="7DAE1EBB" w14:textId="77777777" w:rsidR="001A52A9" w:rsidRDefault="008C021B" w:rsidP="00915CD0">
            <w:r>
              <w:t>NT</w:t>
            </w:r>
          </w:p>
        </w:tc>
      </w:tr>
      <w:tr w:rsidR="00915CD0" w:rsidRPr="000A72D2" w14:paraId="4E247CB2" w14:textId="77777777" w:rsidTr="00393C59">
        <w:trPr>
          <w:cantSplit/>
          <w:trHeight w:val="4963"/>
        </w:trPr>
        <w:tc>
          <w:tcPr>
            <w:tcW w:w="1633" w:type="dxa"/>
          </w:tcPr>
          <w:p w14:paraId="2BBBAC42" w14:textId="77777777" w:rsidR="00DC50B5" w:rsidRDefault="00C812D0" w:rsidP="00915CD0">
            <w:r w:rsidRPr="00C812D0">
              <w:lastRenderedPageBreak/>
              <w:t>Governance</w:t>
            </w:r>
            <w:r>
              <w:t>, Ownership and Responsibility</w:t>
            </w:r>
          </w:p>
        </w:tc>
        <w:tc>
          <w:tcPr>
            <w:tcW w:w="2048" w:type="dxa"/>
          </w:tcPr>
          <w:p w14:paraId="59CC353E" w14:textId="77777777" w:rsidR="00DC50B5" w:rsidRDefault="00332D3A" w:rsidP="00332D3A">
            <w:r>
              <w:t>T</w:t>
            </w:r>
            <w:r w:rsidR="00C812D0" w:rsidRPr="00C812D0">
              <w:t xml:space="preserve">ransparent, sustainable and accountable governance, ownership and responsibility </w:t>
            </w:r>
            <w:r>
              <w:t>in</w:t>
            </w:r>
            <w:r w:rsidR="00C812D0" w:rsidRPr="00C812D0">
              <w:t xml:space="preserve"> disaster risk management.</w:t>
            </w:r>
          </w:p>
        </w:tc>
        <w:tc>
          <w:tcPr>
            <w:tcW w:w="4111" w:type="dxa"/>
          </w:tcPr>
          <w:p w14:paraId="0A23807D" w14:textId="77777777" w:rsidR="00DC50B5" w:rsidRDefault="0061034D" w:rsidP="00332D3A">
            <w:pPr>
              <w:spacing w:line="276" w:lineRule="auto"/>
            </w:pPr>
            <w:r>
              <w:t xml:space="preserve">Understanding of responsibility in reducing disaster risk across all communities and sectors. </w:t>
            </w:r>
          </w:p>
          <w:p w14:paraId="0F0503A5" w14:textId="77777777" w:rsidR="00332D3A" w:rsidRDefault="00332D3A" w:rsidP="00332D3A">
            <w:pPr>
              <w:spacing w:line="276" w:lineRule="auto"/>
            </w:pPr>
          </w:p>
          <w:p w14:paraId="4E698850" w14:textId="77777777" w:rsidR="00C812D0" w:rsidRDefault="00C812D0" w:rsidP="00332D3A">
            <w:pPr>
              <w:spacing w:line="276" w:lineRule="auto"/>
            </w:pPr>
            <w:r>
              <w:t>Mechanisms are in place nationally to identify and reduce disaster risk arising from cross-sector interdependencies.</w:t>
            </w:r>
          </w:p>
          <w:p w14:paraId="419F47D1" w14:textId="77777777" w:rsidR="00332D3A" w:rsidRDefault="00332D3A" w:rsidP="00332D3A">
            <w:pPr>
              <w:spacing w:line="276" w:lineRule="auto"/>
            </w:pPr>
          </w:p>
          <w:p w14:paraId="16930634" w14:textId="77777777" w:rsidR="00C812D0" w:rsidRDefault="00C812D0" w:rsidP="00332D3A">
            <w:pPr>
              <w:spacing w:line="276" w:lineRule="auto"/>
            </w:pPr>
            <w:r>
              <w:t>Transferred ownership of disaster risk through commercial exchanges is transparent and acknowledged.</w:t>
            </w:r>
          </w:p>
          <w:p w14:paraId="2161B43C" w14:textId="77777777" w:rsidR="00332D3A" w:rsidRDefault="00332D3A" w:rsidP="00332D3A">
            <w:pPr>
              <w:spacing w:line="276" w:lineRule="auto"/>
            </w:pPr>
          </w:p>
          <w:p w14:paraId="3C4C363E" w14:textId="77777777" w:rsidR="00C812D0" w:rsidRDefault="00C812D0" w:rsidP="00332D3A">
            <w:pPr>
              <w:spacing w:line="276" w:lineRule="auto"/>
            </w:pPr>
            <w:r>
              <w:t>All sectors and communities are engaged in a national mechanism to connect and guide efforts to reduce disaster risk</w:t>
            </w:r>
          </w:p>
        </w:tc>
        <w:tc>
          <w:tcPr>
            <w:tcW w:w="5391" w:type="dxa"/>
          </w:tcPr>
          <w:p w14:paraId="52C9B733" w14:textId="77777777" w:rsidR="00632CF8" w:rsidRDefault="00632CF8" w:rsidP="00C54176">
            <w:pPr>
              <w:spacing w:after="240"/>
            </w:pPr>
            <w:r w:rsidRPr="00632CF8">
              <w:t>Delivery focuses on projects that support or improve emergency management governance and culture to reduce disaster risk</w:t>
            </w:r>
            <w:r>
              <w:t>:</w:t>
            </w:r>
          </w:p>
          <w:p w14:paraId="1F85EEBB" w14:textId="77777777" w:rsidR="00DC50B5" w:rsidRPr="001A52A9" w:rsidRDefault="00332D3A" w:rsidP="00C54176">
            <w:pPr>
              <w:pStyle w:val="ListParagraph"/>
              <w:numPr>
                <w:ilvl w:val="0"/>
                <w:numId w:val="27"/>
              </w:numPr>
              <w:ind w:left="314" w:hanging="284"/>
            </w:pPr>
            <w:r>
              <w:t>S</w:t>
            </w:r>
            <w:r w:rsidR="00DC50B5" w:rsidRPr="001A52A9">
              <w:t xml:space="preserve">upport and enable </w:t>
            </w:r>
            <w:r w:rsidR="00734736">
              <w:t>Territory-led and owned disaster risk reduction efforts</w:t>
            </w:r>
            <w:r w:rsidR="00D91AEE">
              <w:t>.</w:t>
            </w:r>
          </w:p>
          <w:p w14:paraId="70242F2F" w14:textId="77777777" w:rsidR="00DC50B5" w:rsidRPr="001A52A9" w:rsidRDefault="00332D3A" w:rsidP="00C54176">
            <w:pPr>
              <w:pStyle w:val="ListParagraph"/>
              <w:numPr>
                <w:ilvl w:val="0"/>
                <w:numId w:val="27"/>
              </w:numPr>
              <w:ind w:left="314" w:hanging="284"/>
            </w:pPr>
            <w:r>
              <w:t>I</w:t>
            </w:r>
            <w:r w:rsidR="00DC50B5" w:rsidRPr="001A52A9">
              <w:t>ncentiv</w:t>
            </w:r>
            <w:r w:rsidR="0061034D">
              <w:t xml:space="preserve">es for </w:t>
            </w:r>
            <w:r w:rsidR="00DC50B5" w:rsidRPr="001A52A9">
              <w:t>improved transparency of disaster risk ownership through pers</w:t>
            </w:r>
            <w:r w:rsidR="00734736">
              <w:t>onal and business transactions</w:t>
            </w:r>
            <w:r w:rsidR="00D91AEE">
              <w:t>.</w:t>
            </w:r>
          </w:p>
          <w:p w14:paraId="37330135" w14:textId="77777777" w:rsidR="00332D3A" w:rsidRDefault="00332D3A" w:rsidP="00C54176">
            <w:pPr>
              <w:pStyle w:val="ListParagraph"/>
              <w:numPr>
                <w:ilvl w:val="0"/>
                <w:numId w:val="27"/>
              </w:numPr>
              <w:ind w:left="314" w:hanging="284"/>
            </w:pPr>
            <w:r>
              <w:t>C</w:t>
            </w:r>
            <w:r w:rsidR="00DC50B5" w:rsidRPr="001A52A9">
              <w:t>onsistent report</w:t>
            </w:r>
            <w:r w:rsidR="0061034D">
              <w:t>ing</w:t>
            </w:r>
            <w:r w:rsidR="00DC50B5" w:rsidRPr="001A52A9">
              <w:t xml:space="preserve"> on disaster risk reduction efforts and outcomes</w:t>
            </w:r>
            <w:r w:rsidR="00734736">
              <w:t xml:space="preserve"> in the NT</w:t>
            </w:r>
            <w:r w:rsidR="00D91AEE">
              <w:t>.</w:t>
            </w:r>
          </w:p>
          <w:p w14:paraId="3AC20DB8" w14:textId="77777777" w:rsidR="00DC50B5" w:rsidRDefault="00332D3A" w:rsidP="00C54176">
            <w:pPr>
              <w:pStyle w:val="ListParagraph"/>
              <w:numPr>
                <w:ilvl w:val="0"/>
                <w:numId w:val="27"/>
              </w:numPr>
              <w:ind w:left="314" w:hanging="284"/>
            </w:pPr>
            <w:r>
              <w:t>C</w:t>
            </w:r>
            <w:r w:rsidR="00DC50B5" w:rsidRPr="001A52A9">
              <w:t>reate clear governance pathways for pursuing d</w:t>
            </w:r>
            <w:r w:rsidR="00734736">
              <w:t>isaster risk reduction projects</w:t>
            </w:r>
            <w:r w:rsidR="00D91AEE">
              <w:t>.</w:t>
            </w:r>
          </w:p>
          <w:p w14:paraId="41951FEA" w14:textId="77777777" w:rsidR="00632CF8" w:rsidRDefault="00632CF8" w:rsidP="00332D3A"/>
        </w:tc>
        <w:tc>
          <w:tcPr>
            <w:tcW w:w="1773" w:type="dxa"/>
          </w:tcPr>
          <w:p w14:paraId="10F62635" w14:textId="77777777" w:rsidR="00DC50B5" w:rsidRDefault="008C021B" w:rsidP="00915CD0">
            <w:r>
              <w:t>NT</w:t>
            </w:r>
          </w:p>
        </w:tc>
      </w:tr>
    </w:tbl>
    <w:p w14:paraId="68D09067" w14:textId="77777777" w:rsidR="00915CD0" w:rsidRDefault="00915CD0" w:rsidP="00A17D70">
      <w:pPr>
        <w:pStyle w:val="Heading2"/>
        <w:sectPr w:rsidR="00915CD0" w:rsidSect="007D37BC">
          <w:pgSz w:w="16838" w:h="11906" w:orient="landscape" w:code="9"/>
          <w:pgMar w:top="1440" w:right="851" w:bottom="991" w:left="1021" w:header="680" w:footer="510" w:gutter="0"/>
          <w:cols w:space="708"/>
          <w:docGrid w:linePitch="360"/>
        </w:sectPr>
      </w:pPr>
    </w:p>
    <w:p w14:paraId="2440B429" w14:textId="77777777" w:rsidR="0036688B" w:rsidRDefault="0036688B" w:rsidP="00A17D70">
      <w:pPr>
        <w:pStyle w:val="Heading2"/>
      </w:pPr>
      <w:r w:rsidRPr="00A36A37">
        <w:lastRenderedPageBreak/>
        <w:t>Risk management</w:t>
      </w:r>
    </w:p>
    <w:p w14:paraId="614C3C38" w14:textId="77777777" w:rsidR="00547D00" w:rsidRPr="00547D00" w:rsidRDefault="00547D00" w:rsidP="00547D00"/>
    <w:p w14:paraId="44AF1A71" w14:textId="77777777" w:rsidR="00534D46" w:rsidRDefault="00534D46" w:rsidP="00534D46">
      <w:pPr>
        <w:pStyle w:val="Normalnumbered"/>
      </w:pPr>
      <w:r w:rsidRPr="00534D46">
        <w:t>Risk will be managed in line with AS/ISO 31000:2018 Risk Management Standards and Guidelines. An overarching risk management plan will be prepared at the Governance level and reviewed regularly</w:t>
      </w:r>
      <w:r>
        <w:t>. Any r</w:t>
      </w:r>
      <w:r w:rsidRPr="00534D46">
        <w:t xml:space="preserve">isk registers for projects will be prepared as part of the application and approval process and monitored throughout the project life cycle.  </w:t>
      </w:r>
    </w:p>
    <w:p w14:paraId="0C9642B0" w14:textId="77777777" w:rsidR="00547D00" w:rsidRDefault="008C021B" w:rsidP="00547D00">
      <w:pPr>
        <w:pStyle w:val="Heading2"/>
      </w:pPr>
      <w:r>
        <w:t>NT</w:t>
      </w:r>
      <w:r w:rsidR="00347F6D">
        <w:t xml:space="preserve"> Context</w:t>
      </w:r>
    </w:p>
    <w:p w14:paraId="7B89010C" w14:textId="77777777" w:rsidR="00776EE0" w:rsidRDefault="00776EE0" w:rsidP="00FC69CA">
      <w:pPr>
        <w:pStyle w:val="Normalnumbered"/>
        <w:numPr>
          <w:ilvl w:val="0"/>
          <w:numId w:val="0"/>
        </w:numPr>
        <w:tabs>
          <w:tab w:val="num" w:pos="1134"/>
        </w:tabs>
        <w:rPr>
          <w:color w:val="auto"/>
        </w:rPr>
      </w:pPr>
    </w:p>
    <w:p w14:paraId="51FA2285" w14:textId="77777777" w:rsidR="00BA5F8F" w:rsidRPr="00BA5F8F" w:rsidRDefault="009B153E" w:rsidP="00BA5F8F">
      <w:pPr>
        <w:pStyle w:val="Normalnumbered"/>
        <w:tabs>
          <w:tab w:val="num" w:pos="1134"/>
        </w:tabs>
        <w:rPr>
          <w:color w:val="auto"/>
        </w:rPr>
      </w:pPr>
      <w:r>
        <w:t xml:space="preserve">Natural disasters have long been a regular feature of the landscape of the </w:t>
      </w:r>
      <w:r w:rsidR="008C021B">
        <w:t>NT</w:t>
      </w:r>
      <w:r w:rsidR="00254315">
        <w:t>; it is recognised that they will become more regular and intense as climate change takes effect</w:t>
      </w:r>
      <w:r>
        <w:t xml:space="preserve">. </w:t>
      </w:r>
      <w:r w:rsidR="00776EE0">
        <w:t xml:space="preserve">Disaster management </w:t>
      </w:r>
      <w:r w:rsidR="008915B8">
        <w:t>in the N</w:t>
      </w:r>
      <w:r>
        <w:t>T</w:t>
      </w:r>
      <w:r w:rsidR="008915B8">
        <w:t xml:space="preserve"> is challenged by a geographical area </w:t>
      </w:r>
      <w:r w:rsidR="00547D00">
        <w:t>of 1.4 million square kilometres and a</w:t>
      </w:r>
      <w:r w:rsidR="008915B8">
        <w:t xml:space="preserve"> population </w:t>
      </w:r>
      <w:r w:rsidR="00547D00">
        <w:t>of less than a quarter of a million people, providing a small</w:t>
      </w:r>
      <w:r w:rsidR="008915B8">
        <w:t xml:space="preserve"> fundi</w:t>
      </w:r>
      <w:r>
        <w:t xml:space="preserve">ng base. </w:t>
      </w:r>
    </w:p>
    <w:p w14:paraId="040B1738" w14:textId="77777777" w:rsidR="00BA5F8F" w:rsidRDefault="00BA5F8F" w:rsidP="00BA5F8F">
      <w:pPr>
        <w:pStyle w:val="Normalnumbered"/>
        <w:numPr>
          <w:ilvl w:val="0"/>
          <w:numId w:val="0"/>
        </w:numPr>
        <w:tabs>
          <w:tab w:val="num" w:pos="1134"/>
        </w:tabs>
        <w:ind w:left="567"/>
        <w:rPr>
          <w:color w:val="auto"/>
        </w:rPr>
      </w:pPr>
    </w:p>
    <w:p w14:paraId="38867D16" w14:textId="77777777" w:rsidR="00BA5F8F" w:rsidRDefault="00113465" w:rsidP="00BA5F8F">
      <w:pPr>
        <w:pStyle w:val="Normalnumbered"/>
        <w:tabs>
          <w:tab w:val="num" w:pos="1134"/>
        </w:tabs>
        <w:rPr>
          <w:color w:val="auto"/>
        </w:rPr>
      </w:pPr>
      <w:r w:rsidRPr="00137D85">
        <w:t xml:space="preserve">The </w:t>
      </w:r>
      <w:r w:rsidR="008C021B">
        <w:t>NT</w:t>
      </w:r>
      <w:r w:rsidRPr="00137D85">
        <w:t xml:space="preserve"> will leverage all </w:t>
      </w:r>
      <w:r>
        <w:t xml:space="preserve">available </w:t>
      </w:r>
      <w:r w:rsidRPr="00137D85">
        <w:t>opportunities to understand the risks, invest wisely and provide an effective governance framework</w:t>
      </w:r>
      <w:r>
        <w:t xml:space="preserve">. </w:t>
      </w:r>
      <w:r w:rsidRPr="009A6445">
        <w:t xml:space="preserve">The </w:t>
      </w:r>
      <w:r w:rsidR="00080D1F">
        <w:t>NDRRF</w:t>
      </w:r>
      <w:r w:rsidRPr="009A6445">
        <w:t xml:space="preserve"> priorities are being incorporated into the </w:t>
      </w:r>
      <w:r w:rsidR="00080D1F">
        <w:t>TEMC’s</w:t>
      </w:r>
      <w:r w:rsidRPr="009A6445">
        <w:t xml:space="preserve"> Strategic Plan to produce outcomes which focus on the reduction of risk from disasters.</w:t>
      </w:r>
      <w:r>
        <w:t xml:space="preserve">  </w:t>
      </w:r>
    </w:p>
    <w:p w14:paraId="1A79823F" w14:textId="77777777" w:rsidR="00BA5F8F" w:rsidRDefault="00BA5F8F" w:rsidP="00BA5F8F">
      <w:pPr>
        <w:pStyle w:val="ListParagraph"/>
      </w:pPr>
    </w:p>
    <w:p w14:paraId="428668C7" w14:textId="77777777" w:rsidR="00BA5F8F" w:rsidRDefault="009B153E" w:rsidP="00BA5F8F">
      <w:pPr>
        <w:pStyle w:val="Normalnumbered"/>
        <w:tabs>
          <w:tab w:val="num" w:pos="1134"/>
        </w:tabs>
        <w:rPr>
          <w:color w:val="auto"/>
        </w:rPr>
      </w:pPr>
      <w:r>
        <w:t>T</w:t>
      </w:r>
      <w:r w:rsidR="008915B8">
        <w:t xml:space="preserve">he </w:t>
      </w:r>
      <w:r w:rsidR="008C021B">
        <w:t>NT</w:t>
      </w:r>
      <w:r w:rsidR="008915B8">
        <w:t xml:space="preserve"> </w:t>
      </w:r>
      <w:r>
        <w:t xml:space="preserve">recognises the importance of </w:t>
      </w:r>
      <w:r w:rsidR="00776EE0">
        <w:t xml:space="preserve">risk reduction </w:t>
      </w:r>
      <w:r>
        <w:t xml:space="preserve">in minimising vulnerability and enhancing the capacity and capability in effectively managing natural </w:t>
      </w:r>
      <w:r w:rsidR="008915B8">
        <w:t>disaster</w:t>
      </w:r>
      <w:r w:rsidR="00254315">
        <w:t xml:space="preserve">s. </w:t>
      </w:r>
      <w:r w:rsidRPr="00BA5F8F">
        <w:rPr>
          <w:color w:val="auto"/>
        </w:rPr>
        <w:t>Consideration of vulnerability, risk reduction, response and recovery activities starts at the local level, supported and informed by planning at the regional and Territory level. Local communities are better served in having a comprehensive understanding about hazards and risks, including who is most vulnerable, and potential impacts or consequences of hazard events.</w:t>
      </w:r>
      <w:r w:rsidR="00D16050" w:rsidRPr="00BA5F8F">
        <w:rPr>
          <w:color w:val="auto"/>
        </w:rPr>
        <w:t xml:space="preserve"> </w:t>
      </w:r>
      <w:r w:rsidR="00163B7F" w:rsidRPr="00BA5F8F">
        <w:rPr>
          <w:color w:val="auto"/>
        </w:rPr>
        <w:t>As part of the NT’s aim to reduce risk</w:t>
      </w:r>
      <w:r w:rsidR="00C62B1C">
        <w:rPr>
          <w:color w:val="auto"/>
        </w:rPr>
        <w:t>,</w:t>
      </w:r>
      <w:r w:rsidR="00A620DD" w:rsidRPr="00BA5F8F">
        <w:rPr>
          <w:color w:val="auto"/>
        </w:rPr>
        <w:t xml:space="preserve"> </w:t>
      </w:r>
      <w:r w:rsidR="00187811" w:rsidRPr="00BA5F8F">
        <w:rPr>
          <w:color w:val="auto"/>
        </w:rPr>
        <w:t xml:space="preserve">Bushfires NT is building a strategy for identifying and reducing risk in remote communities. This project will report on the level of bushfire risk in remote communities and provide recommendations to </w:t>
      </w:r>
      <w:r w:rsidR="00163B7F" w:rsidRPr="00BA5F8F">
        <w:rPr>
          <w:color w:val="auto"/>
        </w:rPr>
        <w:t>inform future decision making to address future risks.</w:t>
      </w:r>
    </w:p>
    <w:p w14:paraId="396E757B" w14:textId="77777777" w:rsidR="00BA5F8F" w:rsidRDefault="00BA5F8F" w:rsidP="00BA5F8F">
      <w:pPr>
        <w:pStyle w:val="ListParagraph"/>
        <w:rPr>
          <w:color w:val="auto"/>
        </w:rPr>
      </w:pPr>
    </w:p>
    <w:p w14:paraId="5D9DCBB2" w14:textId="77777777" w:rsidR="00EA09BC" w:rsidRDefault="00EA09BC" w:rsidP="00BA5F8F">
      <w:pPr>
        <w:pStyle w:val="Normalnumbered"/>
        <w:tabs>
          <w:tab w:val="num" w:pos="1134"/>
        </w:tabs>
        <w:rPr>
          <w:color w:val="auto"/>
        </w:rPr>
      </w:pPr>
      <w:r w:rsidRPr="00BA5F8F">
        <w:rPr>
          <w:color w:val="auto"/>
        </w:rPr>
        <w:t>An understanding of risk will inform prevention, planning, response and recovery activities</w:t>
      </w:r>
      <w:r w:rsidR="0022372E">
        <w:rPr>
          <w:color w:val="auto"/>
        </w:rPr>
        <w:t xml:space="preserve"> and enable</w:t>
      </w:r>
      <w:r w:rsidRPr="00BA5F8F">
        <w:rPr>
          <w:color w:val="auto"/>
        </w:rPr>
        <w:t xml:space="preserve"> people</w:t>
      </w:r>
      <w:r w:rsidR="0022372E">
        <w:rPr>
          <w:color w:val="auto"/>
        </w:rPr>
        <w:t xml:space="preserve">, </w:t>
      </w:r>
      <w:r w:rsidRPr="00BA5F8F">
        <w:rPr>
          <w:color w:val="auto"/>
        </w:rPr>
        <w:t xml:space="preserve">communities </w:t>
      </w:r>
      <w:r w:rsidR="0022372E">
        <w:rPr>
          <w:color w:val="auto"/>
        </w:rPr>
        <w:t xml:space="preserve">and decision-makers to </w:t>
      </w:r>
      <w:r w:rsidRPr="00BA5F8F">
        <w:rPr>
          <w:color w:val="auto"/>
        </w:rPr>
        <w:t xml:space="preserve">take action to </w:t>
      </w:r>
      <w:r w:rsidR="0022372E">
        <w:rPr>
          <w:color w:val="auto"/>
        </w:rPr>
        <w:t xml:space="preserve">reduce risk. It aims to </w:t>
      </w:r>
      <w:r w:rsidRPr="00BA5F8F">
        <w:rPr>
          <w:color w:val="auto"/>
        </w:rPr>
        <w:t>prevent</w:t>
      </w:r>
      <w:r w:rsidR="0022372E">
        <w:rPr>
          <w:color w:val="auto"/>
        </w:rPr>
        <w:t xml:space="preserve"> loss, </w:t>
      </w:r>
      <w:r w:rsidRPr="00BA5F8F">
        <w:rPr>
          <w:color w:val="auto"/>
        </w:rPr>
        <w:t>minimise vulnerability</w:t>
      </w:r>
      <w:r w:rsidR="0022372E">
        <w:rPr>
          <w:color w:val="auto"/>
        </w:rPr>
        <w:t xml:space="preserve"> and </w:t>
      </w:r>
      <w:r w:rsidRPr="00BA5F8F">
        <w:rPr>
          <w:color w:val="auto"/>
        </w:rPr>
        <w:t>improve the ability to</w:t>
      </w:r>
      <w:r w:rsidR="0022372E">
        <w:rPr>
          <w:color w:val="auto"/>
        </w:rPr>
        <w:t xml:space="preserve"> plan for and</w:t>
      </w:r>
      <w:r w:rsidRPr="00BA5F8F">
        <w:rPr>
          <w:color w:val="auto"/>
        </w:rPr>
        <w:t xml:space="preserve"> respond to disaster events and </w:t>
      </w:r>
      <w:r w:rsidR="00BF42F7" w:rsidRPr="00BA5F8F">
        <w:rPr>
          <w:color w:val="auto"/>
        </w:rPr>
        <w:t>quickly recover</w:t>
      </w:r>
      <w:r w:rsidRPr="00BA5F8F">
        <w:rPr>
          <w:color w:val="auto"/>
        </w:rPr>
        <w:t xml:space="preserve"> when </w:t>
      </w:r>
      <w:r w:rsidR="0022372E">
        <w:rPr>
          <w:color w:val="auto"/>
        </w:rPr>
        <w:t>they</w:t>
      </w:r>
      <w:r w:rsidRPr="00BA5F8F">
        <w:rPr>
          <w:color w:val="auto"/>
        </w:rPr>
        <w:t xml:space="preserve"> occur.</w:t>
      </w:r>
      <w:r w:rsidR="00D16050" w:rsidRPr="00BA5F8F">
        <w:rPr>
          <w:color w:val="auto"/>
        </w:rPr>
        <w:t xml:space="preserve"> </w:t>
      </w:r>
      <w:r w:rsidR="00163B7F" w:rsidRPr="00BA5F8F">
        <w:rPr>
          <w:color w:val="auto"/>
        </w:rPr>
        <w:t>For example, t</w:t>
      </w:r>
      <w:r w:rsidR="00D16050" w:rsidRPr="00BA5F8F">
        <w:rPr>
          <w:color w:val="auto"/>
        </w:rPr>
        <w:t xml:space="preserve">he NT Department of Environment and Natural Resources plans to develop </w:t>
      </w:r>
      <w:r w:rsidR="00187811" w:rsidRPr="00BA5F8F">
        <w:rPr>
          <w:color w:val="auto"/>
        </w:rPr>
        <w:t xml:space="preserve">a Flood Planning Tool which streamlines the delivery of hydrological and hydraulic models with real-time and forecast rainfall data. This is a more effective way to identify risk, improve town planning and enhance planning during emergencies. </w:t>
      </w:r>
    </w:p>
    <w:p w14:paraId="099C479B" w14:textId="77777777" w:rsidR="00BA5F8F" w:rsidRDefault="00BA5F8F" w:rsidP="00BA5F8F">
      <w:pPr>
        <w:pStyle w:val="ListParagraph"/>
        <w:rPr>
          <w:color w:val="auto"/>
        </w:rPr>
      </w:pPr>
    </w:p>
    <w:p w14:paraId="4B73B3EA" w14:textId="77777777" w:rsidR="0001514F" w:rsidRPr="009B153E" w:rsidRDefault="0001514F" w:rsidP="0051067F">
      <w:pPr>
        <w:pStyle w:val="Normalnumbered"/>
        <w:numPr>
          <w:ilvl w:val="0"/>
          <w:numId w:val="0"/>
        </w:numPr>
        <w:ind w:left="567" w:hanging="567"/>
        <w:rPr>
          <w:color w:val="auto"/>
        </w:rPr>
      </w:pPr>
    </w:p>
    <w:p w14:paraId="30C9F119" w14:textId="77777777" w:rsidR="00D16050" w:rsidRDefault="00D16050" w:rsidP="00D16050">
      <w:pPr>
        <w:pStyle w:val="Normalnumbered"/>
        <w:numPr>
          <w:ilvl w:val="0"/>
          <w:numId w:val="0"/>
        </w:numPr>
        <w:tabs>
          <w:tab w:val="num" w:pos="1134"/>
        </w:tabs>
        <w:rPr>
          <w:rFonts w:ascii="Consolas" w:hAnsi="Consolas"/>
          <w:b/>
          <w:color w:val="3D4B67"/>
          <w:szCs w:val="20"/>
        </w:rPr>
      </w:pPr>
    </w:p>
    <w:p w14:paraId="4E3324CC" w14:textId="77777777" w:rsidR="00D16050" w:rsidRDefault="00D16050" w:rsidP="00D16050">
      <w:pPr>
        <w:keepNext/>
        <w:spacing w:before="240" w:after="240"/>
        <w:rPr>
          <w:rFonts w:ascii="Consolas" w:hAnsi="Consolas"/>
          <w:b/>
          <w:color w:val="3D4B67"/>
          <w:szCs w:val="20"/>
        </w:rPr>
      </w:pPr>
    </w:p>
    <w:p w14:paraId="1B178259" w14:textId="77777777" w:rsidR="00D16050" w:rsidRDefault="00D16050" w:rsidP="00D16050">
      <w:pPr>
        <w:rPr>
          <w:rFonts w:cs="Arial"/>
          <w:b/>
          <w:bCs/>
          <w:iCs/>
          <w:color w:val="3D4B67"/>
          <w:sz w:val="29"/>
          <w:szCs w:val="28"/>
        </w:rPr>
      </w:pPr>
      <w:r>
        <w:rPr>
          <w:rFonts w:ascii="Consolas" w:hAnsi="Consolas"/>
          <w:b/>
          <w:color w:val="3D4B67"/>
          <w:szCs w:val="20"/>
          <w:highlight w:val="lightGray"/>
        </w:rPr>
        <w:t xml:space="preserve"> </w:t>
      </w:r>
      <w:r>
        <w:br w:type="page"/>
      </w:r>
    </w:p>
    <w:p w14:paraId="6FF05ACF" w14:textId="77777777" w:rsidR="0061613E" w:rsidRPr="00FC69CA" w:rsidRDefault="0061613E" w:rsidP="003A3BA7">
      <w:pPr>
        <w:pStyle w:val="Normalnumbered"/>
        <w:numPr>
          <w:ilvl w:val="0"/>
          <w:numId w:val="0"/>
        </w:numPr>
        <w:tabs>
          <w:tab w:val="num" w:pos="1134"/>
        </w:tabs>
        <w:rPr>
          <w:color w:val="auto"/>
        </w:rPr>
      </w:pPr>
    </w:p>
    <w:p w14:paraId="72D8A62A" w14:textId="77777777" w:rsidR="0036688B" w:rsidRPr="00A36A37" w:rsidRDefault="0036688B" w:rsidP="00A17D70">
      <w:pPr>
        <w:pStyle w:val="Heading2"/>
      </w:pPr>
      <w:r w:rsidRPr="00A36A37">
        <w:t>Sign off</w:t>
      </w:r>
    </w:p>
    <w:p w14:paraId="7C6B99E8" w14:textId="77777777" w:rsidR="0036688B" w:rsidRPr="00B06563" w:rsidRDefault="0036688B" w:rsidP="0036688B">
      <w:pPr>
        <w:spacing w:after="240" w:line="260" w:lineRule="exact"/>
        <w:jc w:val="both"/>
        <w:rPr>
          <w:color w:val="000000"/>
          <w:szCs w:val="20"/>
          <w:lang w:val="en-GB"/>
        </w:rPr>
      </w:pPr>
      <w:r w:rsidRPr="00B06563">
        <w:rPr>
          <w:color w:val="000000"/>
          <w:szCs w:val="20"/>
          <w:lang w:val="en-GB"/>
        </w:rPr>
        <w:t>The Parties have confirmed their commitment to this agreement as follows:</w:t>
      </w: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36688B" w:rsidRPr="008A2566" w14:paraId="1202D858" w14:textId="77777777" w:rsidTr="007A36B5">
        <w:tc>
          <w:tcPr>
            <w:tcW w:w="5070" w:type="dxa"/>
            <w:tcBorders>
              <w:top w:val="nil"/>
              <w:bottom w:val="single" w:sz="4" w:space="0" w:color="A6A6A6"/>
              <w:right w:val="nil"/>
            </w:tcBorders>
            <w:vAlign w:val="center"/>
          </w:tcPr>
          <w:p w14:paraId="46FC54D7" w14:textId="77777777" w:rsidR="0036688B" w:rsidRPr="008A2566" w:rsidRDefault="0036688B" w:rsidP="007A36B5">
            <w:pPr>
              <w:spacing w:before="120" w:after="120" w:line="280" w:lineRule="exact"/>
            </w:pPr>
            <w:r w:rsidRPr="000A1323">
              <w:rPr>
                <w:b/>
                <w:bCs/>
                <w:color w:val="C00000"/>
              </w:rPr>
              <w:t>Signature</w:t>
            </w:r>
          </w:p>
        </w:tc>
        <w:tc>
          <w:tcPr>
            <w:tcW w:w="283" w:type="dxa"/>
            <w:tcBorders>
              <w:top w:val="nil"/>
              <w:left w:val="nil"/>
              <w:bottom w:val="single" w:sz="4" w:space="0" w:color="A6A6A6"/>
              <w:right w:val="nil"/>
            </w:tcBorders>
          </w:tcPr>
          <w:p w14:paraId="594F83D0" w14:textId="77777777" w:rsidR="0036688B" w:rsidRPr="000A1323" w:rsidRDefault="0036688B" w:rsidP="007A36B5">
            <w:pPr>
              <w:spacing w:before="120" w:after="120" w:line="280" w:lineRule="exact"/>
              <w:rPr>
                <w:b/>
                <w:bCs/>
                <w:color w:val="C00000"/>
              </w:rPr>
            </w:pPr>
          </w:p>
        </w:tc>
        <w:tc>
          <w:tcPr>
            <w:tcW w:w="3889" w:type="dxa"/>
            <w:tcBorders>
              <w:top w:val="nil"/>
              <w:left w:val="nil"/>
              <w:bottom w:val="single" w:sz="4" w:space="0" w:color="A6A6A6"/>
            </w:tcBorders>
            <w:vAlign w:val="center"/>
          </w:tcPr>
          <w:p w14:paraId="5A8095E2" w14:textId="77777777" w:rsidR="0036688B" w:rsidRPr="008A2566" w:rsidRDefault="0036688B" w:rsidP="007A36B5">
            <w:pPr>
              <w:spacing w:before="120" w:after="120" w:line="280" w:lineRule="exact"/>
            </w:pPr>
            <w:r w:rsidRPr="000A1323">
              <w:rPr>
                <w:b/>
                <w:bCs/>
                <w:color w:val="C00000"/>
              </w:rPr>
              <w:t>Date</w:t>
            </w:r>
          </w:p>
        </w:tc>
      </w:tr>
      <w:tr w:rsidR="0036688B" w:rsidRPr="008A2566" w14:paraId="32D67FF9" w14:textId="77777777" w:rsidTr="007A36B5">
        <w:tc>
          <w:tcPr>
            <w:tcW w:w="9242" w:type="dxa"/>
            <w:gridSpan w:val="3"/>
            <w:tcBorders>
              <w:top w:val="single" w:sz="4" w:space="0" w:color="A6A6A6"/>
            </w:tcBorders>
          </w:tcPr>
          <w:p w14:paraId="12326843" w14:textId="77777777" w:rsidR="0036688B" w:rsidRPr="008A2566" w:rsidRDefault="00D56F19" w:rsidP="00DE04BD">
            <w:pPr>
              <w:spacing w:after="960" w:line="280" w:lineRule="exact"/>
            </w:pPr>
            <w:r>
              <w:rPr>
                <w:b/>
                <w:bCs/>
                <w:color w:val="365F91"/>
              </w:rPr>
              <w:t>The Hon</w:t>
            </w:r>
            <w:r w:rsidR="00DE04BD">
              <w:rPr>
                <w:b/>
                <w:bCs/>
                <w:color w:val="365F91"/>
              </w:rPr>
              <w:t>ourable</w:t>
            </w:r>
            <w:r>
              <w:rPr>
                <w:b/>
                <w:bCs/>
                <w:color w:val="365F91"/>
              </w:rPr>
              <w:t xml:space="preserve"> Michael Gunner MLA</w:t>
            </w:r>
            <w:r>
              <w:rPr>
                <w:b/>
                <w:bCs/>
                <w:color w:val="365F91"/>
              </w:rPr>
              <w:br/>
              <w:t>Chief Minister of the Northern Territory</w:t>
            </w:r>
            <w:r w:rsidR="00DE04BD">
              <w:rPr>
                <w:b/>
                <w:bCs/>
                <w:color w:val="365F91"/>
              </w:rPr>
              <w:t xml:space="preserve"> of Australia</w:t>
            </w:r>
          </w:p>
        </w:tc>
      </w:tr>
      <w:tr w:rsidR="0036688B" w:rsidRPr="008A2566" w14:paraId="26ED06B2" w14:textId="77777777" w:rsidTr="007A36B5">
        <w:tc>
          <w:tcPr>
            <w:tcW w:w="5070" w:type="dxa"/>
            <w:tcBorders>
              <w:top w:val="nil"/>
              <w:bottom w:val="single" w:sz="4" w:space="0" w:color="A6A6A6"/>
              <w:right w:val="nil"/>
            </w:tcBorders>
            <w:vAlign w:val="center"/>
          </w:tcPr>
          <w:p w14:paraId="69F83EAF" w14:textId="77777777" w:rsidR="0036688B" w:rsidRPr="008A2566" w:rsidRDefault="0036688B" w:rsidP="007A36B5">
            <w:pPr>
              <w:spacing w:before="120" w:after="120" w:line="280" w:lineRule="exact"/>
            </w:pPr>
            <w:r w:rsidRPr="000A1323">
              <w:rPr>
                <w:b/>
                <w:bCs/>
                <w:color w:val="C00000"/>
              </w:rPr>
              <w:t>Signature</w:t>
            </w:r>
          </w:p>
        </w:tc>
        <w:tc>
          <w:tcPr>
            <w:tcW w:w="283" w:type="dxa"/>
            <w:tcBorders>
              <w:top w:val="nil"/>
              <w:left w:val="nil"/>
              <w:bottom w:val="single" w:sz="4" w:space="0" w:color="A6A6A6"/>
              <w:right w:val="nil"/>
            </w:tcBorders>
          </w:tcPr>
          <w:p w14:paraId="7389A77F" w14:textId="77777777" w:rsidR="0036688B" w:rsidRPr="000A1323" w:rsidRDefault="0036688B" w:rsidP="007A36B5">
            <w:pPr>
              <w:spacing w:before="120" w:after="120" w:line="280" w:lineRule="exact"/>
              <w:rPr>
                <w:b/>
                <w:bCs/>
                <w:color w:val="C00000"/>
              </w:rPr>
            </w:pPr>
          </w:p>
        </w:tc>
        <w:tc>
          <w:tcPr>
            <w:tcW w:w="3889" w:type="dxa"/>
            <w:tcBorders>
              <w:top w:val="nil"/>
              <w:left w:val="nil"/>
              <w:bottom w:val="single" w:sz="4" w:space="0" w:color="A6A6A6"/>
            </w:tcBorders>
            <w:vAlign w:val="center"/>
          </w:tcPr>
          <w:p w14:paraId="02EBB0DF" w14:textId="77777777" w:rsidR="0036688B" w:rsidRPr="008A2566" w:rsidRDefault="0036688B" w:rsidP="007A36B5">
            <w:pPr>
              <w:spacing w:before="120" w:after="120" w:line="280" w:lineRule="exact"/>
            </w:pPr>
            <w:r w:rsidRPr="000A1323">
              <w:rPr>
                <w:b/>
                <w:bCs/>
                <w:color w:val="C00000"/>
              </w:rPr>
              <w:t>Date</w:t>
            </w:r>
          </w:p>
        </w:tc>
      </w:tr>
      <w:tr w:rsidR="0036688B" w:rsidRPr="008A2566" w14:paraId="5D4F4864" w14:textId="77777777" w:rsidTr="007A36B5">
        <w:trPr>
          <w:trHeight w:val="822"/>
        </w:trPr>
        <w:tc>
          <w:tcPr>
            <w:tcW w:w="9242" w:type="dxa"/>
            <w:gridSpan w:val="3"/>
          </w:tcPr>
          <w:p w14:paraId="6E26B088" w14:textId="77777777" w:rsidR="00DE04BD" w:rsidRPr="00B06563" w:rsidRDefault="00DE04BD" w:rsidP="004C264A">
            <w:pPr>
              <w:spacing w:after="960" w:line="280" w:lineRule="exact"/>
              <w:rPr>
                <w:b/>
                <w:bCs/>
                <w:color w:val="365F91"/>
              </w:rPr>
            </w:pPr>
            <w:r>
              <w:rPr>
                <w:b/>
                <w:bCs/>
                <w:color w:val="365F91"/>
              </w:rPr>
              <w:t xml:space="preserve">The Honourable </w:t>
            </w:r>
            <w:r w:rsidR="004C264A">
              <w:rPr>
                <w:b/>
                <w:bCs/>
                <w:color w:val="365F91"/>
              </w:rPr>
              <w:t>David Littleproud</w:t>
            </w:r>
            <w:r w:rsidR="00FF28A9">
              <w:rPr>
                <w:b/>
                <w:bCs/>
                <w:color w:val="365F91"/>
              </w:rPr>
              <w:t xml:space="preserve"> MP</w:t>
            </w:r>
            <w:r>
              <w:rPr>
                <w:b/>
                <w:bCs/>
                <w:color w:val="365F91"/>
              </w:rPr>
              <w:br/>
            </w:r>
            <w:r w:rsidR="004C264A" w:rsidRPr="004C264A">
              <w:rPr>
                <w:b/>
                <w:bCs/>
                <w:color w:val="365F91"/>
              </w:rPr>
              <w:t>Minister for Agriculture, Drought and Emergency Management</w:t>
            </w:r>
          </w:p>
        </w:tc>
      </w:tr>
    </w:tbl>
    <w:p w14:paraId="45990F40" w14:textId="77777777" w:rsidR="0036688B" w:rsidRDefault="0036688B" w:rsidP="0061613E"/>
    <w:sectPr w:rsidR="0036688B" w:rsidSect="002D3566">
      <w:pgSz w:w="11906" w:h="16838" w:code="9"/>
      <w:pgMar w:top="851" w:right="991" w:bottom="1021"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BDCEB" w14:textId="77777777" w:rsidR="00A94335" w:rsidRDefault="00A94335" w:rsidP="00520331">
      <w:r>
        <w:separator/>
      </w:r>
    </w:p>
  </w:endnote>
  <w:endnote w:type="continuationSeparator" w:id="0">
    <w:p w14:paraId="37245C4A" w14:textId="77777777" w:rsidR="00A94335" w:rsidRDefault="00A94335" w:rsidP="005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02"/>
    <w:family w:val="decorative"/>
    <w:notTrueType/>
    <w:pitch w:val="variable"/>
  </w:font>
  <w:font w:name="Arial">
    <w:altName w:val="Arial"/>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C2B68" w14:textId="77777777" w:rsidR="00164E6E" w:rsidRDefault="00164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64986"/>
      <w:docPartObj>
        <w:docPartGallery w:val="Page Numbers (Bottom of Page)"/>
        <w:docPartUnique/>
      </w:docPartObj>
    </w:sdtPr>
    <w:sdtEndPr>
      <w:rPr>
        <w:noProof/>
      </w:rPr>
    </w:sdtEndPr>
    <w:sdtContent>
      <w:p w14:paraId="45449FFF" w14:textId="710EA584" w:rsidR="003A6A77" w:rsidRDefault="003A6A77">
        <w:pPr>
          <w:pStyle w:val="Footer"/>
          <w:jc w:val="center"/>
        </w:pPr>
        <w:r>
          <w:fldChar w:fldCharType="begin"/>
        </w:r>
        <w:r>
          <w:instrText xml:space="preserve"> PAGE   \* MERGEFORMAT </w:instrText>
        </w:r>
        <w:r>
          <w:fldChar w:fldCharType="separate"/>
        </w:r>
        <w:r w:rsidR="00514726">
          <w:rPr>
            <w:noProof/>
          </w:rPr>
          <w:t>1</w:t>
        </w:r>
        <w:r>
          <w:rPr>
            <w:noProof/>
          </w:rPr>
          <w:fldChar w:fldCharType="end"/>
        </w:r>
      </w:p>
    </w:sdtContent>
  </w:sdt>
  <w:p w14:paraId="74BACA7B" w14:textId="77777777" w:rsidR="003A6A77" w:rsidRPr="007B1DDC" w:rsidRDefault="003A6A77" w:rsidP="007B1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8734" w14:textId="77777777" w:rsidR="00164E6E" w:rsidRDefault="00164E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260273"/>
      <w:docPartObj>
        <w:docPartGallery w:val="Page Numbers (Bottom of Page)"/>
        <w:docPartUnique/>
      </w:docPartObj>
    </w:sdtPr>
    <w:sdtEndPr>
      <w:rPr>
        <w:noProof/>
      </w:rPr>
    </w:sdtEndPr>
    <w:sdtContent>
      <w:p w14:paraId="63AA06EE" w14:textId="2B8D7FB5" w:rsidR="003A6A77" w:rsidRDefault="003A6A77">
        <w:pPr>
          <w:pStyle w:val="Footer"/>
          <w:jc w:val="center"/>
        </w:pPr>
        <w:r>
          <w:fldChar w:fldCharType="begin"/>
        </w:r>
        <w:r>
          <w:instrText xml:space="preserve"> PAGE   \* MERGEFORMAT </w:instrText>
        </w:r>
        <w:r>
          <w:fldChar w:fldCharType="separate"/>
        </w:r>
        <w:r w:rsidR="00514726">
          <w:rPr>
            <w:noProof/>
          </w:rPr>
          <w:t>10</w:t>
        </w:r>
        <w:r>
          <w:rPr>
            <w:noProof/>
          </w:rPr>
          <w:fldChar w:fldCharType="end"/>
        </w:r>
      </w:p>
    </w:sdtContent>
  </w:sdt>
  <w:p w14:paraId="0CD8D465" w14:textId="77777777" w:rsidR="003A6A77" w:rsidRDefault="003A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E8192" w14:textId="77777777" w:rsidR="00A94335" w:rsidRDefault="00A94335" w:rsidP="00520331">
      <w:r>
        <w:separator/>
      </w:r>
    </w:p>
  </w:footnote>
  <w:footnote w:type="continuationSeparator" w:id="0">
    <w:p w14:paraId="4BCE17EC" w14:textId="77777777" w:rsidR="00A94335" w:rsidRDefault="00A94335" w:rsidP="0052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EA333" w14:textId="77777777" w:rsidR="00164E6E" w:rsidRDefault="00164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F4D1" w14:textId="5C7A6103" w:rsidR="003A6A77" w:rsidRDefault="003A6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0963" w14:textId="77777777" w:rsidR="00164E6E" w:rsidRDefault="00164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6F9A"/>
    <w:multiLevelType w:val="hybridMultilevel"/>
    <w:tmpl w:val="B9DCCD6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2" w15:restartNumberingAfterBreak="0">
    <w:nsid w:val="0DA772D2"/>
    <w:multiLevelType w:val="hybridMultilevel"/>
    <w:tmpl w:val="42DC7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81AE7"/>
    <w:multiLevelType w:val="hybridMultilevel"/>
    <w:tmpl w:val="94E6DD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30340"/>
    <w:multiLevelType w:val="hybridMultilevel"/>
    <w:tmpl w:val="B644F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021C8"/>
    <w:multiLevelType w:val="hybridMultilevel"/>
    <w:tmpl w:val="5E567E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7" w15:restartNumberingAfterBreak="0">
    <w:nsid w:val="267E673B"/>
    <w:multiLevelType w:val="hybridMultilevel"/>
    <w:tmpl w:val="CBFAE9B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E25C47"/>
    <w:multiLevelType w:val="hybridMultilevel"/>
    <w:tmpl w:val="9C4A5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34392ECD"/>
    <w:multiLevelType w:val="hybridMultilevel"/>
    <w:tmpl w:val="B7B67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4A46FD"/>
    <w:multiLevelType w:val="hybridMultilevel"/>
    <w:tmpl w:val="1C74FA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13"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4"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15"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6" w15:restartNumberingAfterBreak="0">
    <w:nsid w:val="52A6011C"/>
    <w:multiLevelType w:val="hybridMultilevel"/>
    <w:tmpl w:val="5F721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9"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20"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21" w15:restartNumberingAfterBreak="0">
    <w:nsid w:val="5C836293"/>
    <w:multiLevelType w:val="hybridMultilevel"/>
    <w:tmpl w:val="F6D00FC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9479D3"/>
    <w:multiLevelType w:val="hybridMultilevel"/>
    <w:tmpl w:val="E164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F00176"/>
    <w:multiLevelType w:val="hybridMultilevel"/>
    <w:tmpl w:val="7EFAC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471C1D"/>
    <w:multiLevelType w:val="hybridMultilevel"/>
    <w:tmpl w:val="8C16C0E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26"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27" w15:restartNumberingAfterBreak="0">
    <w:nsid w:val="6F10135A"/>
    <w:multiLevelType w:val="hybridMultilevel"/>
    <w:tmpl w:val="48BE29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364201E"/>
    <w:multiLevelType w:val="hybridMultilevel"/>
    <w:tmpl w:val="94C0360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9" w15:restartNumberingAfterBreak="0">
    <w:nsid w:val="75981C02"/>
    <w:multiLevelType w:val="multilevel"/>
    <w:tmpl w:val="03786CE8"/>
    <w:lvl w:ilvl="0">
      <w:start w:val="1"/>
      <w:numFmt w:val="lowerLetter"/>
      <w:lvlRestart w:val="0"/>
      <w:lvlText w:val="(%1)"/>
      <w:lvlJc w:val="left"/>
      <w:pPr>
        <w:tabs>
          <w:tab w:val="num" w:pos="567"/>
        </w:tabs>
        <w:ind w:left="0"/>
      </w:pPr>
      <w:rPr>
        <w:rFonts w:cs="Times New Roman" w:hint="default"/>
        <w:b w:val="0"/>
        <w:i w:val="0"/>
        <w:color w:val="000000"/>
      </w:rPr>
    </w:lvl>
    <w:lvl w:ilvl="1">
      <w:start w:val="1"/>
      <w:numFmt w:val="decimal"/>
      <w:lvlText w:val="%2"/>
      <w:lvlJc w:val="left"/>
      <w:pPr>
        <w:tabs>
          <w:tab w:val="num" w:pos="567"/>
        </w:tabs>
        <w:ind w:left="567" w:hanging="567"/>
      </w:pPr>
      <w:rPr>
        <w:rFonts w:cs="Times New Roman" w:hint="default"/>
        <w:b w:val="0"/>
        <w:i w:val="0"/>
        <w:color w:val="000000"/>
      </w:rPr>
    </w:lvl>
    <w:lvl w:ilvl="2">
      <w:start w:val="1"/>
      <w:numFmt w:val="decimal"/>
      <w:lvlText w:val="%3"/>
      <w:lvlJc w:val="left"/>
      <w:pPr>
        <w:tabs>
          <w:tab w:val="num" w:pos="1134"/>
        </w:tabs>
        <w:ind w:left="1134" w:hanging="567"/>
      </w:pPr>
      <w:rPr>
        <w:rFonts w:cs="Times New Roman" w:hint="default"/>
        <w:b w:val="0"/>
        <w:i w:val="0"/>
        <w:color w:val="000000"/>
      </w:rPr>
    </w:lvl>
    <w:lvl w:ilvl="3">
      <w:start w:val="1"/>
      <w:numFmt w:val="decimal"/>
      <w:lvlText w:val="%4"/>
      <w:lvlJc w:val="left"/>
      <w:pPr>
        <w:tabs>
          <w:tab w:val="num" w:pos="1701"/>
        </w:tabs>
        <w:ind w:left="1701" w:hanging="567"/>
      </w:pPr>
      <w:rPr>
        <w:rFonts w:cs="Times New Roman" w:hint="default"/>
        <w:b w:val="0"/>
        <w:i w:val="0"/>
        <w:color w:val="000000"/>
      </w:rPr>
    </w:lvl>
    <w:lvl w:ilvl="4">
      <w:start w:val="1"/>
      <w:numFmt w:val="decimal"/>
      <w:lvlText w:val="%5"/>
      <w:lvlJc w:val="left"/>
      <w:pPr>
        <w:tabs>
          <w:tab w:val="num" w:pos="2268"/>
        </w:tabs>
        <w:ind w:left="2268" w:hanging="567"/>
      </w:pPr>
      <w:rPr>
        <w:rFonts w:cs="Times New Roman" w:hint="default"/>
        <w:b w:val="0"/>
        <w:i w:val="0"/>
        <w:color w:val="000000"/>
      </w:rPr>
    </w:lvl>
    <w:lvl w:ilvl="5">
      <w:start w:val="1"/>
      <w:numFmt w:val="decimal"/>
      <w:lvlText w:val="%6"/>
      <w:lvlJc w:val="left"/>
      <w:pPr>
        <w:tabs>
          <w:tab w:val="num" w:pos="2835"/>
        </w:tabs>
        <w:ind w:left="2835" w:hanging="567"/>
      </w:pPr>
      <w:rPr>
        <w:rFonts w:cs="Times New Roman" w:hint="default"/>
        <w:b w:val="0"/>
        <w:i w:val="0"/>
        <w:color w:val="000000"/>
      </w:rPr>
    </w:lvl>
    <w:lvl w:ilvl="6">
      <w:start w:val="1"/>
      <w:numFmt w:val="decimal"/>
      <w:lvlText w:val="%7"/>
      <w:lvlJc w:val="left"/>
      <w:pPr>
        <w:tabs>
          <w:tab w:val="num" w:pos="3402"/>
        </w:tabs>
        <w:ind w:left="3402" w:hanging="567"/>
      </w:pPr>
      <w:rPr>
        <w:rFonts w:cs="Times New Roman" w:hint="default"/>
        <w:b w:val="0"/>
        <w:i w:val="0"/>
        <w:color w:val="000000"/>
      </w:rPr>
    </w:lvl>
    <w:lvl w:ilvl="7">
      <w:start w:val="1"/>
      <w:numFmt w:val="decimal"/>
      <w:lvlText w:val="%8"/>
      <w:lvlJc w:val="left"/>
      <w:pPr>
        <w:tabs>
          <w:tab w:val="num" w:pos="3969"/>
        </w:tabs>
        <w:ind w:left="3969" w:hanging="567"/>
      </w:pPr>
      <w:rPr>
        <w:rFonts w:cs="Times New Roman" w:hint="default"/>
        <w:b w:val="0"/>
        <w:i w:val="0"/>
        <w:color w:val="000000"/>
      </w:rPr>
    </w:lvl>
    <w:lvl w:ilvl="8">
      <w:start w:val="1"/>
      <w:numFmt w:val="decimal"/>
      <w:lvlText w:val="%9"/>
      <w:lvlJc w:val="left"/>
      <w:pPr>
        <w:tabs>
          <w:tab w:val="num" w:pos="4536"/>
        </w:tabs>
        <w:ind w:left="4536" w:hanging="567"/>
      </w:pPr>
      <w:rPr>
        <w:rFonts w:cs="Times New Roman" w:hint="default"/>
        <w:b w:val="0"/>
        <w:i w:val="0"/>
        <w:color w:val="000000"/>
      </w:rPr>
    </w:lvl>
  </w:abstractNum>
  <w:abstractNum w:abstractNumId="30" w15:restartNumberingAfterBreak="0">
    <w:nsid w:val="78854AAC"/>
    <w:multiLevelType w:val="hybridMultilevel"/>
    <w:tmpl w:val="0CBE4E9E"/>
    <w:lvl w:ilvl="0" w:tplc="6EAE68F8">
      <w:start w:val="1"/>
      <w:numFmt w:val="decimal"/>
      <w:pStyle w:val="Normalnumbered"/>
      <w:lvlText w:val="%1."/>
      <w:lvlJc w:val="left"/>
      <w:pPr>
        <w:tabs>
          <w:tab w:val="num" w:pos="567"/>
        </w:tabs>
        <w:ind w:left="567" w:hanging="567"/>
      </w:pPr>
      <w:rPr>
        <w:rFonts w:cs="Times New Roman" w:hint="default"/>
        <w:i w:val="0"/>
        <w:color w:val="auto"/>
      </w:rPr>
    </w:lvl>
    <w:lvl w:ilvl="1" w:tplc="0C09001B">
      <w:start w:val="1"/>
      <w:numFmt w:val="lowerRoman"/>
      <w:lvlText w:val="%2."/>
      <w:lvlJc w:val="right"/>
      <w:pPr>
        <w:tabs>
          <w:tab w:val="num" w:pos="1440"/>
        </w:tabs>
        <w:ind w:left="1440" w:hanging="360"/>
      </w:p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1" w15:restartNumberingAfterBreak="0">
    <w:nsid w:val="7B75138B"/>
    <w:multiLevelType w:val="hybridMultilevel"/>
    <w:tmpl w:val="DC2C00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7"/>
  </w:num>
  <w:num w:numId="4">
    <w:abstractNumId w:val="6"/>
  </w:num>
  <w:num w:numId="5">
    <w:abstractNumId w:val="18"/>
  </w:num>
  <w:num w:numId="6">
    <w:abstractNumId w:val="1"/>
  </w:num>
  <w:num w:numId="7">
    <w:abstractNumId w:val="19"/>
  </w:num>
  <w:num w:numId="8">
    <w:abstractNumId w:val="13"/>
  </w:num>
  <w:num w:numId="9">
    <w:abstractNumId w:val="30"/>
  </w:num>
  <w:num w:numId="10">
    <w:abstractNumId w:val="25"/>
  </w:num>
  <w:num w:numId="11">
    <w:abstractNumId w:val="26"/>
  </w:num>
  <w:num w:numId="12">
    <w:abstractNumId w:val="32"/>
  </w:num>
  <w:num w:numId="13">
    <w:abstractNumId w:val="20"/>
  </w:num>
  <w:num w:numId="14">
    <w:abstractNumId w:val="12"/>
  </w:num>
  <w:num w:numId="15">
    <w:abstractNumId w:val="15"/>
  </w:num>
  <w:num w:numId="16">
    <w:abstractNumId w:val="29"/>
  </w:num>
  <w:num w:numId="17">
    <w:abstractNumId w:val="10"/>
  </w:num>
  <w:num w:numId="18">
    <w:abstractNumId w:val="22"/>
  </w:num>
  <w:num w:numId="19">
    <w:abstractNumId w:val="16"/>
  </w:num>
  <w:num w:numId="20">
    <w:abstractNumId w:val="4"/>
  </w:num>
  <w:num w:numId="21">
    <w:abstractNumId w:val="31"/>
  </w:num>
  <w:num w:numId="22">
    <w:abstractNumId w:val="11"/>
  </w:num>
  <w:num w:numId="23">
    <w:abstractNumId w:val="27"/>
  </w:num>
  <w:num w:numId="24">
    <w:abstractNumId w:val="2"/>
  </w:num>
  <w:num w:numId="25">
    <w:abstractNumId w:val="3"/>
  </w:num>
  <w:num w:numId="26">
    <w:abstractNumId w:val="5"/>
  </w:num>
  <w:num w:numId="27">
    <w:abstractNumId w:val="24"/>
  </w:num>
  <w:num w:numId="28">
    <w:abstractNumId w:val="21"/>
  </w:num>
  <w:num w:numId="29">
    <w:abstractNumId w:val="7"/>
  </w:num>
  <w:num w:numId="30">
    <w:abstractNumId w:val="0"/>
  </w:num>
  <w:num w:numId="31">
    <w:abstractNumId w:val="28"/>
  </w:num>
  <w:num w:numId="32">
    <w:abstractNumId w:val="23"/>
  </w:num>
  <w:num w:numId="3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7E"/>
    <w:rsid w:val="000014B1"/>
    <w:rsid w:val="0000225C"/>
    <w:rsid w:val="00003A92"/>
    <w:rsid w:val="00003EAE"/>
    <w:rsid w:val="00011DA2"/>
    <w:rsid w:val="00012AAE"/>
    <w:rsid w:val="00013A91"/>
    <w:rsid w:val="0001514F"/>
    <w:rsid w:val="000178A4"/>
    <w:rsid w:val="00017F6C"/>
    <w:rsid w:val="00023C24"/>
    <w:rsid w:val="000240B5"/>
    <w:rsid w:val="00024B99"/>
    <w:rsid w:val="0002586A"/>
    <w:rsid w:val="00025F50"/>
    <w:rsid w:val="00030F67"/>
    <w:rsid w:val="00034877"/>
    <w:rsid w:val="000375F8"/>
    <w:rsid w:val="00041625"/>
    <w:rsid w:val="0004432A"/>
    <w:rsid w:val="00044E74"/>
    <w:rsid w:val="00045778"/>
    <w:rsid w:val="00045AD7"/>
    <w:rsid w:val="00047FE7"/>
    <w:rsid w:val="00051946"/>
    <w:rsid w:val="00054A8D"/>
    <w:rsid w:val="00054D6B"/>
    <w:rsid w:val="000550DD"/>
    <w:rsid w:val="0005527C"/>
    <w:rsid w:val="00056C4B"/>
    <w:rsid w:val="000573D3"/>
    <w:rsid w:val="00062172"/>
    <w:rsid w:val="00063EC8"/>
    <w:rsid w:val="000721AA"/>
    <w:rsid w:val="000758BF"/>
    <w:rsid w:val="00080D1F"/>
    <w:rsid w:val="00086B8C"/>
    <w:rsid w:val="000873E5"/>
    <w:rsid w:val="00091BA8"/>
    <w:rsid w:val="000925CD"/>
    <w:rsid w:val="00093235"/>
    <w:rsid w:val="00093FE7"/>
    <w:rsid w:val="000A1323"/>
    <w:rsid w:val="000A72D2"/>
    <w:rsid w:val="000B09BC"/>
    <w:rsid w:val="000B2EC0"/>
    <w:rsid w:val="000B7659"/>
    <w:rsid w:val="000C017B"/>
    <w:rsid w:val="000C0C13"/>
    <w:rsid w:val="000C1698"/>
    <w:rsid w:val="000D3392"/>
    <w:rsid w:val="000D4B5B"/>
    <w:rsid w:val="000D5B7F"/>
    <w:rsid w:val="000D5C4C"/>
    <w:rsid w:val="000D744D"/>
    <w:rsid w:val="000D7C4C"/>
    <w:rsid w:val="000E0783"/>
    <w:rsid w:val="000E3092"/>
    <w:rsid w:val="000E4214"/>
    <w:rsid w:val="000E6DC7"/>
    <w:rsid w:val="000E78C0"/>
    <w:rsid w:val="000F354C"/>
    <w:rsid w:val="000F45D4"/>
    <w:rsid w:val="000F5EB9"/>
    <w:rsid w:val="0010047C"/>
    <w:rsid w:val="00102898"/>
    <w:rsid w:val="00102DDE"/>
    <w:rsid w:val="00103360"/>
    <w:rsid w:val="00105402"/>
    <w:rsid w:val="00105FB1"/>
    <w:rsid w:val="0011223F"/>
    <w:rsid w:val="00113465"/>
    <w:rsid w:val="00113524"/>
    <w:rsid w:val="0011673E"/>
    <w:rsid w:val="001168E4"/>
    <w:rsid w:val="00120218"/>
    <w:rsid w:val="0012049E"/>
    <w:rsid w:val="001273B5"/>
    <w:rsid w:val="0013088C"/>
    <w:rsid w:val="001331EC"/>
    <w:rsid w:val="00137D85"/>
    <w:rsid w:val="001467F9"/>
    <w:rsid w:val="00146B46"/>
    <w:rsid w:val="00150526"/>
    <w:rsid w:val="00151977"/>
    <w:rsid w:val="0015335A"/>
    <w:rsid w:val="00153B82"/>
    <w:rsid w:val="001637AC"/>
    <w:rsid w:val="00163B7F"/>
    <w:rsid w:val="00164CEE"/>
    <w:rsid w:val="00164E6E"/>
    <w:rsid w:val="00166312"/>
    <w:rsid w:val="0017023E"/>
    <w:rsid w:val="00170639"/>
    <w:rsid w:val="00170688"/>
    <w:rsid w:val="00170B1A"/>
    <w:rsid w:val="00171B14"/>
    <w:rsid w:val="00172229"/>
    <w:rsid w:val="00172B12"/>
    <w:rsid w:val="00174BD4"/>
    <w:rsid w:val="001755D1"/>
    <w:rsid w:val="00175F67"/>
    <w:rsid w:val="0017644A"/>
    <w:rsid w:val="00187811"/>
    <w:rsid w:val="00187A15"/>
    <w:rsid w:val="00191251"/>
    <w:rsid w:val="001918B1"/>
    <w:rsid w:val="00192CDE"/>
    <w:rsid w:val="00193DE1"/>
    <w:rsid w:val="001A52A9"/>
    <w:rsid w:val="001A652E"/>
    <w:rsid w:val="001B5415"/>
    <w:rsid w:val="001B5768"/>
    <w:rsid w:val="001C1144"/>
    <w:rsid w:val="001C532F"/>
    <w:rsid w:val="001C56EC"/>
    <w:rsid w:val="001C6B67"/>
    <w:rsid w:val="001D14B8"/>
    <w:rsid w:val="001D1893"/>
    <w:rsid w:val="001D47EA"/>
    <w:rsid w:val="001D5134"/>
    <w:rsid w:val="001D67E6"/>
    <w:rsid w:val="001D7231"/>
    <w:rsid w:val="001E4E1F"/>
    <w:rsid w:val="001E67A2"/>
    <w:rsid w:val="001E74D0"/>
    <w:rsid w:val="001F45C6"/>
    <w:rsid w:val="001F5305"/>
    <w:rsid w:val="001F68F6"/>
    <w:rsid w:val="001F7A0E"/>
    <w:rsid w:val="001F7CB8"/>
    <w:rsid w:val="002010E0"/>
    <w:rsid w:val="00202D37"/>
    <w:rsid w:val="00206671"/>
    <w:rsid w:val="00220160"/>
    <w:rsid w:val="00221363"/>
    <w:rsid w:val="00221F0A"/>
    <w:rsid w:val="0022372E"/>
    <w:rsid w:val="002268B0"/>
    <w:rsid w:val="00227BC0"/>
    <w:rsid w:val="002311B1"/>
    <w:rsid w:val="002330D9"/>
    <w:rsid w:val="00241B51"/>
    <w:rsid w:val="00243E8B"/>
    <w:rsid w:val="00245222"/>
    <w:rsid w:val="002514DE"/>
    <w:rsid w:val="00254315"/>
    <w:rsid w:val="002546A1"/>
    <w:rsid w:val="00254BF5"/>
    <w:rsid w:val="00255087"/>
    <w:rsid w:val="0025586C"/>
    <w:rsid w:val="00256AB0"/>
    <w:rsid w:val="00257088"/>
    <w:rsid w:val="00261564"/>
    <w:rsid w:val="002616A0"/>
    <w:rsid w:val="002648E8"/>
    <w:rsid w:val="0026503A"/>
    <w:rsid w:val="002678DE"/>
    <w:rsid w:val="00267B81"/>
    <w:rsid w:val="00270D9D"/>
    <w:rsid w:val="00272FA4"/>
    <w:rsid w:val="002767C4"/>
    <w:rsid w:val="002806D3"/>
    <w:rsid w:val="00281AE3"/>
    <w:rsid w:val="00282641"/>
    <w:rsid w:val="00283C28"/>
    <w:rsid w:val="00285609"/>
    <w:rsid w:val="00286FA2"/>
    <w:rsid w:val="00292CB8"/>
    <w:rsid w:val="00292F4F"/>
    <w:rsid w:val="002A0ADA"/>
    <w:rsid w:val="002A0B94"/>
    <w:rsid w:val="002A1344"/>
    <w:rsid w:val="002A4A9C"/>
    <w:rsid w:val="002A4DDC"/>
    <w:rsid w:val="002A53DD"/>
    <w:rsid w:val="002A7553"/>
    <w:rsid w:val="002B0847"/>
    <w:rsid w:val="002B2B4C"/>
    <w:rsid w:val="002B5BE3"/>
    <w:rsid w:val="002C39DE"/>
    <w:rsid w:val="002C5FEA"/>
    <w:rsid w:val="002D0CB9"/>
    <w:rsid w:val="002D3566"/>
    <w:rsid w:val="002D3ACC"/>
    <w:rsid w:val="002D46C5"/>
    <w:rsid w:val="002D76C5"/>
    <w:rsid w:val="002E0454"/>
    <w:rsid w:val="002E061E"/>
    <w:rsid w:val="002E328E"/>
    <w:rsid w:val="002F1ED1"/>
    <w:rsid w:val="002F3169"/>
    <w:rsid w:val="002F406B"/>
    <w:rsid w:val="002F5545"/>
    <w:rsid w:val="002F5890"/>
    <w:rsid w:val="003020F6"/>
    <w:rsid w:val="00306293"/>
    <w:rsid w:val="00306502"/>
    <w:rsid w:val="00306791"/>
    <w:rsid w:val="00307C5E"/>
    <w:rsid w:val="0031129A"/>
    <w:rsid w:val="00312179"/>
    <w:rsid w:val="003123F7"/>
    <w:rsid w:val="00314D9E"/>
    <w:rsid w:val="003258BF"/>
    <w:rsid w:val="003259CC"/>
    <w:rsid w:val="00326AD1"/>
    <w:rsid w:val="00326B13"/>
    <w:rsid w:val="00332D3A"/>
    <w:rsid w:val="00334C02"/>
    <w:rsid w:val="00335A6B"/>
    <w:rsid w:val="00336199"/>
    <w:rsid w:val="003422D5"/>
    <w:rsid w:val="00346B17"/>
    <w:rsid w:val="003478BB"/>
    <w:rsid w:val="00347F6D"/>
    <w:rsid w:val="00352194"/>
    <w:rsid w:val="00352A66"/>
    <w:rsid w:val="00354CE3"/>
    <w:rsid w:val="00354E40"/>
    <w:rsid w:val="00357F8E"/>
    <w:rsid w:val="0036301F"/>
    <w:rsid w:val="0036688B"/>
    <w:rsid w:val="003706F8"/>
    <w:rsid w:val="00375BF5"/>
    <w:rsid w:val="00376922"/>
    <w:rsid w:val="003773B0"/>
    <w:rsid w:val="00377F3C"/>
    <w:rsid w:val="003815E5"/>
    <w:rsid w:val="003820C9"/>
    <w:rsid w:val="00383ACA"/>
    <w:rsid w:val="00384D6E"/>
    <w:rsid w:val="00387690"/>
    <w:rsid w:val="00391D0E"/>
    <w:rsid w:val="00393C59"/>
    <w:rsid w:val="00394698"/>
    <w:rsid w:val="003976F6"/>
    <w:rsid w:val="00397739"/>
    <w:rsid w:val="003A1A3E"/>
    <w:rsid w:val="003A2E07"/>
    <w:rsid w:val="003A3BA7"/>
    <w:rsid w:val="003A6A0B"/>
    <w:rsid w:val="003A6A77"/>
    <w:rsid w:val="003B1409"/>
    <w:rsid w:val="003B149C"/>
    <w:rsid w:val="003B21D1"/>
    <w:rsid w:val="003B6C45"/>
    <w:rsid w:val="003B7DE3"/>
    <w:rsid w:val="003C18FA"/>
    <w:rsid w:val="003C41E9"/>
    <w:rsid w:val="003C590D"/>
    <w:rsid w:val="003C6AC3"/>
    <w:rsid w:val="003C6FEC"/>
    <w:rsid w:val="003C7037"/>
    <w:rsid w:val="003C730D"/>
    <w:rsid w:val="003D0FF5"/>
    <w:rsid w:val="003D3A2F"/>
    <w:rsid w:val="003D5154"/>
    <w:rsid w:val="003D634C"/>
    <w:rsid w:val="003E0DA4"/>
    <w:rsid w:val="003E14C4"/>
    <w:rsid w:val="003E230C"/>
    <w:rsid w:val="003E2CD7"/>
    <w:rsid w:val="003E3308"/>
    <w:rsid w:val="003E3D6D"/>
    <w:rsid w:val="003E59CF"/>
    <w:rsid w:val="003E7E3B"/>
    <w:rsid w:val="003E7EE7"/>
    <w:rsid w:val="003F5357"/>
    <w:rsid w:val="00400F6D"/>
    <w:rsid w:val="00403BD6"/>
    <w:rsid w:val="0040557A"/>
    <w:rsid w:val="004058AB"/>
    <w:rsid w:val="00406094"/>
    <w:rsid w:val="00410DA4"/>
    <w:rsid w:val="00411AEC"/>
    <w:rsid w:val="00411F49"/>
    <w:rsid w:val="0041257A"/>
    <w:rsid w:val="00413980"/>
    <w:rsid w:val="00413EC6"/>
    <w:rsid w:val="00423987"/>
    <w:rsid w:val="00424699"/>
    <w:rsid w:val="00426754"/>
    <w:rsid w:val="0042690A"/>
    <w:rsid w:val="004279D2"/>
    <w:rsid w:val="00432B5D"/>
    <w:rsid w:val="00435169"/>
    <w:rsid w:val="004412BA"/>
    <w:rsid w:val="00447070"/>
    <w:rsid w:val="00450CC7"/>
    <w:rsid w:val="0045119E"/>
    <w:rsid w:val="00454D37"/>
    <w:rsid w:val="004554D1"/>
    <w:rsid w:val="00455FF8"/>
    <w:rsid w:val="0045685E"/>
    <w:rsid w:val="00456FE1"/>
    <w:rsid w:val="0045732B"/>
    <w:rsid w:val="00464B1D"/>
    <w:rsid w:val="00465565"/>
    <w:rsid w:val="00466411"/>
    <w:rsid w:val="00466976"/>
    <w:rsid w:val="0046735E"/>
    <w:rsid w:val="004705DC"/>
    <w:rsid w:val="00470E82"/>
    <w:rsid w:val="00473439"/>
    <w:rsid w:val="00474F75"/>
    <w:rsid w:val="004775A0"/>
    <w:rsid w:val="00481B0B"/>
    <w:rsid w:val="004822D6"/>
    <w:rsid w:val="00497DC1"/>
    <w:rsid w:val="004A166E"/>
    <w:rsid w:val="004A23CE"/>
    <w:rsid w:val="004A2405"/>
    <w:rsid w:val="004A3502"/>
    <w:rsid w:val="004B1483"/>
    <w:rsid w:val="004B2FF6"/>
    <w:rsid w:val="004B4105"/>
    <w:rsid w:val="004B764C"/>
    <w:rsid w:val="004C264A"/>
    <w:rsid w:val="004C6399"/>
    <w:rsid w:val="004D4FD7"/>
    <w:rsid w:val="004D78CB"/>
    <w:rsid w:val="004E0571"/>
    <w:rsid w:val="004E1366"/>
    <w:rsid w:val="004E4069"/>
    <w:rsid w:val="004E5C62"/>
    <w:rsid w:val="004F4A26"/>
    <w:rsid w:val="004F6F15"/>
    <w:rsid w:val="00500237"/>
    <w:rsid w:val="005052EB"/>
    <w:rsid w:val="005101CE"/>
    <w:rsid w:val="0051067F"/>
    <w:rsid w:val="00513A18"/>
    <w:rsid w:val="00514402"/>
    <w:rsid w:val="00514726"/>
    <w:rsid w:val="0051547D"/>
    <w:rsid w:val="005160EA"/>
    <w:rsid w:val="00516681"/>
    <w:rsid w:val="00520331"/>
    <w:rsid w:val="005215AD"/>
    <w:rsid w:val="00522C00"/>
    <w:rsid w:val="0052492E"/>
    <w:rsid w:val="00524DF0"/>
    <w:rsid w:val="005252BB"/>
    <w:rsid w:val="00526D66"/>
    <w:rsid w:val="0052720F"/>
    <w:rsid w:val="005304E0"/>
    <w:rsid w:val="00532D46"/>
    <w:rsid w:val="00534699"/>
    <w:rsid w:val="00534D46"/>
    <w:rsid w:val="0053594B"/>
    <w:rsid w:val="00536679"/>
    <w:rsid w:val="005371C5"/>
    <w:rsid w:val="0053794F"/>
    <w:rsid w:val="00543CF2"/>
    <w:rsid w:val="00547D00"/>
    <w:rsid w:val="0055315F"/>
    <w:rsid w:val="00557E9F"/>
    <w:rsid w:val="00564642"/>
    <w:rsid w:val="0056790E"/>
    <w:rsid w:val="00571A57"/>
    <w:rsid w:val="00576D34"/>
    <w:rsid w:val="0058036E"/>
    <w:rsid w:val="00582B9D"/>
    <w:rsid w:val="00592CA6"/>
    <w:rsid w:val="005944CD"/>
    <w:rsid w:val="005971F4"/>
    <w:rsid w:val="005A0BC4"/>
    <w:rsid w:val="005A409C"/>
    <w:rsid w:val="005A5C86"/>
    <w:rsid w:val="005A785C"/>
    <w:rsid w:val="005B2528"/>
    <w:rsid w:val="005B43AC"/>
    <w:rsid w:val="005B6897"/>
    <w:rsid w:val="005B7422"/>
    <w:rsid w:val="005C5BE0"/>
    <w:rsid w:val="005C5F3F"/>
    <w:rsid w:val="005C6E07"/>
    <w:rsid w:val="005D0002"/>
    <w:rsid w:val="005D2B2B"/>
    <w:rsid w:val="005D34CF"/>
    <w:rsid w:val="005D354B"/>
    <w:rsid w:val="005E0B1E"/>
    <w:rsid w:val="005E36CD"/>
    <w:rsid w:val="005E4C59"/>
    <w:rsid w:val="005E5731"/>
    <w:rsid w:val="006016C6"/>
    <w:rsid w:val="006051B7"/>
    <w:rsid w:val="0061034D"/>
    <w:rsid w:val="006131E0"/>
    <w:rsid w:val="00614278"/>
    <w:rsid w:val="00614C99"/>
    <w:rsid w:val="00615F14"/>
    <w:rsid w:val="0061613E"/>
    <w:rsid w:val="006162A7"/>
    <w:rsid w:val="00623A09"/>
    <w:rsid w:val="006260DA"/>
    <w:rsid w:val="0062623F"/>
    <w:rsid w:val="006266C5"/>
    <w:rsid w:val="00626E51"/>
    <w:rsid w:val="00632CF8"/>
    <w:rsid w:val="00634EA2"/>
    <w:rsid w:val="006353DA"/>
    <w:rsid w:val="00635EB2"/>
    <w:rsid w:val="00642796"/>
    <w:rsid w:val="00645AC7"/>
    <w:rsid w:val="00645CF3"/>
    <w:rsid w:val="00646513"/>
    <w:rsid w:val="00651117"/>
    <w:rsid w:val="006557F7"/>
    <w:rsid w:val="00657AC0"/>
    <w:rsid w:val="0066045D"/>
    <w:rsid w:val="00664AD5"/>
    <w:rsid w:val="00664B5C"/>
    <w:rsid w:val="00665A82"/>
    <w:rsid w:val="006663CA"/>
    <w:rsid w:val="00670C93"/>
    <w:rsid w:val="00672EF8"/>
    <w:rsid w:val="006744F3"/>
    <w:rsid w:val="00674BD1"/>
    <w:rsid w:val="006821C4"/>
    <w:rsid w:val="006835A1"/>
    <w:rsid w:val="0069039D"/>
    <w:rsid w:val="006932B9"/>
    <w:rsid w:val="00693514"/>
    <w:rsid w:val="00695736"/>
    <w:rsid w:val="00695DE1"/>
    <w:rsid w:val="006966E9"/>
    <w:rsid w:val="00697B63"/>
    <w:rsid w:val="00697EFC"/>
    <w:rsid w:val="006A2577"/>
    <w:rsid w:val="006A700D"/>
    <w:rsid w:val="006A7B58"/>
    <w:rsid w:val="006B1FEC"/>
    <w:rsid w:val="006B2276"/>
    <w:rsid w:val="006B2A17"/>
    <w:rsid w:val="006B38A5"/>
    <w:rsid w:val="006B73B2"/>
    <w:rsid w:val="006C1485"/>
    <w:rsid w:val="006C5FD6"/>
    <w:rsid w:val="006C658B"/>
    <w:rsid w:val="006C674D"/>
    <w:rsid w:val="006D0B63"/>
    <w:rsid w:val="006D2308"/>
    <w:rsid w:val="006D2E7E"/>
    <w:rsid w:val="006E26BF"/>
    <w:rsid w:val="006E3E61"/>
    <w:rsid w:val="006E7483"/>
    <w:rsid w:val="006E7E97"/>
    <w:rsid w:val="006F1F14"/>
    <w:rsid w:val="006F39E8"/>
    <w:rsid w:val="006F788F"/>
    <w:rsid w:val="00701076"/>
    <w:rsid w:val="00701BD8"/>
    <w:rsid w:val="00702027"/>
    <w:rsid w:val="007045EF"/>
    <w:rsid w:val="0070504A"/>
    <w:rsid w:val="007102AF"/>
    <w:rsid w:val="00710578"/>
    <w:rsid w:val="00710A58"/>
    <w:rsid w:val="00711225"/>
    <w:rsid w:val="00711D54"/>
    <w:rsid w:val="00712CD4"/>
    <w:rsid w:val="00714510"/>
    <w:rsid w:val="00714F22"/>
    <w:rsid w:val="0071515C"/>
    <w:rsid w:val="00717672"/>
    <w:rsid w:val="007179FE"/>
    <w:rsid w:val="00717D5D"/>
    <w:rsid w:val="00724B5D"/>
    <w:rsid w:val="00725D61"/>
    <w:rsid w:val="00726ECC"/>
    <w:rsid w:val="00730ACE"/>
    <w:rsid w:val="007322F4"/>
    <w:rsid w:val="00734736"/>
    <w:rsid w:val="007374A0"/>
    <w:rsid w:val="00737A4C"/>
    <w:rsid w:val="00737BBB"/>
    <w:rsid w:val="00740B95"/>
    <w:rsid w:val="00740C7B"/>
    <w:rsid w:val="00741883"/>
    <w:rsid w:val="00741BC1"/>
    <w:rsid w:val="00742F33"/>
    <w:rsid w:val="00743A3B"/>
    <w:rsid w:val="007445C9"/>
    <w:rsid w:val="007505BE"/>
    <w:rsid w:val="007538EC"/>
    <w:rsid w:val="00753B56"/>
    <w:rsid w:val="007555DF"/>
    <w:rsid w:val="00756699"/>
    <w:rsid w:val="00756F0C"/>
    <w:rsid w:val="00760C16"/>
    <w:rsid w:val="0076189D"/>
    <w:rsid w:val="00761ECE"/>
    <w:rsid w:val="00762C15"/>
    <w:rsid w:val="0076354F"/>
    <w:rsid w:val="007732AB"/>
    <w:rsid w:val="00773B9B"/>
    <w:rsid w:val="00774305"/>
    <w:rsid w:val="0077559C"/>
    <w:rsid w:val="00775FCE"/>
    <w:rsid w:val="00776EE0"/>
    <w:rsid w:val="0078054D"/>
    <w:rsid w:val="0078156F"/>
    <w:rsid w:val="007834E7"/>
    <w:rsid w:val="00785C43"/>
    <w:rsid w:val="00792303"/>
    <w:rsid w:val="00793ABA"/>
    <w:rsid w:val="00794FAA"/>
    <w:rsid w:val="00795BE6"/>
    <w:rsid w:val="00795BF2"/>
    <w:rsid w:val="007A07AD"/>
    <w:rsid w:val="007A0B18"/>
    <w:rsid w:val="007A36B5"/>
    <w:rsid w:val="007B0CDF"/>
    <w:rsid w:val="007B1DDC"/>
    <w:rsid w:val="007B1E44"/>
    <w:rsid w:val="007B269B"/>
    <w:rsid w:val="007B34F5"/>
    <w:rsid w:val="007B69EC"/>
    <w:rsid w:val="007B7FDC"/>
    <w:rsid w:val="007C0559"/>
    <w:rsid w:val="007C10E7"/>
    <w:rsid w:val="007C20A0"/>
    <w:rsid w:val="007C664E"/>
    <w:rsid w:val="007D37BC"/>
    <w:rsid w:val="007D43A7"/>
    <w:rsid w:val="007D55E2"/>
    <w:rsid w:val="007D600E"/>
    <w:rsid w:val="007E37B4"/>
    <w:rsid w:val="007E7F84"/>
    <w:rsid w:val="007F0686"/>
    <w:rsid w:val="007F1B4B"/>
    <w:rsid w:val="007F231E"/>
    <w:rsid w:val="0080075E"/>
    <w:rsid w:val="00802739"/>
    <w:rsid w:val="008031E3"/>
    <w:rsid w:val="00805249"/>
    <w:rsid w:val="008106DA"/>
    <w:rsid w:val="00811C8E"/>
    <w:rsid w:val="0081390E"/>
    <w:rsid w:val="00813BA1"/>
    <w:rsid w:val="00820137"/>
    <w:rsid w:val="008201C5"/>
    <w:rsid w:val="00821A01"/>
    <w:rsid w:val="00822C68"/>
    <w:rsid w:val="00832609"/>
    <w:rsid w:val="008461B7"/>
    <w:rsid w:val="00846C3D"/>
    <w:rsid w:val="008479DE"/>
    <w:rsid w:val="00851070"/>
    <w:rsid w:val="00853DC4"/>
    <w:rsid w:val="00856320"/>
    <w:rsid w:val="00861FCD"/>
    <w:rsid w:val="00862E8C"/>
    <w:rsid w:val="008630BC"/>
    <w:rsid w:val="00866C07"/>
    <w:rsid w:val="00874371"/>
    <w:rsid w:val="0087552F"/>
    <w:rsid w:val="00877ECD"/>
    <w:rsid w:val="00880405"/>
    <w:rsid w:val="00880A5C"/>
    <w:rsid w:val="0088309A"/>
    <w:rsid w:val="00883B42"/>
    <w:rsid w:val="00884E25"/>
    <w:rsid w:val="008858EC"/>
    <w:rsid w:val="008865C5"/>
    <w:rsid w:val="008912AD"/>
    <w:rsid w:val="008915B8"/>
    <w:rsid w:val="00892AB4"/>
    <w:rsid w:val="00892AED"/>
    <w:rsid w:val="00893AAA"/>
    <w:rsid w:val="008949AC"/>
    <w:rsid w:val="00895155"/>
    <w:rsid w:val="00895C19"/>
    <w:rsid w:val="008A02DF"/>
    <w:rsid w:val="008A1747"/>
    <w:rsid w:val="008A1ADB"/>
    <w:rsid w:val="008A2566"/>
    <w:rsid w:val="008A2703"/>
    <w:rsid w:val="008B1BE8"/>
    <w:rsid w:val="008B2738"/>
    <w:rsid w:val="008B58AA"/>
    <w:rsid w:val="008B6B5D"/>
    <w:rsid w:val="008C021B"/>
    <w:rsid w:val="008C0EE2"/>
    <w:rsid w:val="008C11FF"/>
    <w:rsid w:val="008C1930"/>
    <w:rsid w:val="008C23FF"/>
    <w:rsid w:val="008C6D06"/>
    <w:rsid w:val="008C7CDD"/>
    <w:rsid w:val="008D12CD"/>
    <w:rsid w:val="008D21F7"/>
    <w:rsid w:val="008D2EFE"/>
    <w:rsid w:val="008D3076"/>
    <w:rsid w:val="008D36C0"/>
    <w:rsid w:val="008D7D0C"/>
    <w:rsid w:val="008E5657"/>
    <w:rsid w:val="008F1F0E"/>
    <w:rsid w:val="008F20AD"/>
    <w:rsid w:val="008F4AF0"/>
    <w:rsid w:val="008F5323"/>
    <w:rsid w:val="00901BB3"/>
    <w:rsid w:val="00902C70"/>
    <w:rsid w:val="00903692"/>
    <w:rsid w:val="00903748"/>
    <w:rsid w:val="00903874"/>
    <w:rsid w:val="00904DE4"/>
    <w:rsid w:val="00912B42"/>
    <w:rsid w:val="00913044"/>
    <w:rsid w:val="009137C5"/>
    <w:rsid w:val="0091451C"/>
    <w:rsid w:val="00915CD0"/>
    <w:rsid w:val="00916F5D"/>
    <w:rsid w:val="00917602"/>
    <w:rsid w:val="00920FC6"/>
    <w:rsid w:val="00921B3C"/>
    <w:rsid w:val="009308D2"/>
    <w:rsid w:val="00934E33"/>
    <w:rsid w:val="00934F9B"/>
    <w:rsid w:val="0093628D"/>
    <w:rsid w:val="00936B3E"/>
    <w:rsid w:val="00936FD4"/>
    <w:rsid w:val="009375CF"/>
    <w:rsid w:val="00937DC6"/>
    <w:rsid w:val="0094198E"/>
    <w:rsid w:val="00943512"/>
    <w:rsid w:val="00950AF2"/>
    <w:rsid w:val="00950DCC"/>
    <w:rsid w:val="0095265D"/>
    <w:rsid w:val="00953742"/>
    <w:rsid w:val="009564F8"/>
    <w:rsid w:val="00956E74"/>
    <w:rsid w:val="0095760B"/>
    <w:rsid w:val="00961C19"/>
    <w:rsid w:val="009629ED"/>
    <w:rsid w:val="009629F2"/>
    <w:rsid w:val="00964A32"/>
    <w:rsid w:val="00967793"/>
    <w:rsid w:val="00971E73"/>
    <w:rsid w:val="0097282E"/>
    <w:rsid w:val="00973926"/>
    <w:rsid w:val="00977256"/>
    <w:rsid w:val="00990792"/>
    <w:rsid w:val="00991B97"/>
    <w:rsid w:val="00991CA0"/>
    <w:rsid w:val="009956D5"/>
    <w:rsid w:val="00997CA0"/>
    <w:rsid w:val="009A26EC"/>
    <w:rsid w:val="009A489E"/>
    <w:rsid w:val="009A4C11"/>
    <w:rsid w:val="009A5FF9"/>
    <w:rsid w:val="009A6445"/>
    <w:rsid w:val="009A67F3"/>
    <w:rsid w:val="009A6ADF"/>
    <w:rsid w:val="009B0EA7"/>
    <w:rsid w:val="009B0F83"/>
    <w:rsid w:val="009B153E"/>
    <w:rsid w:val="009B2905"/>
    <w:rsid w:val="009B2DE1"/>
    <w:rsid w:val="009B538E"/>
    <w:rsid w:val="009B7028"/>
    <w:rsid w:val="009C13AC"/>
    <w:rsid w:val="009C48DE"/>
    <w:rsid w:val="009C68EB"/>
    <w:rsid w:val="009D162E"/>
    <w:rsid w:val="009D3DB5"/>
    <w:rsid w:val="009D49F8"/>
    <w:rsid w:val="009E17B0"/>
    <w:rsid w:val="009E2880"/>
    <w:rsid w:val="009E2929"/>
    <w:rsid w:val="009E4D9F"/>
    <w:rsid w:val="009E7480"/>
    <w:rsid w:val="009F4008"/>
    <w:rsid w:val="009F4238"/>
    <w:rsid w:val="009F536E"/>
    <w:rsid w:val="00A00980"/>
    <w:rsid w:val="00A04646"/>
    <w:rsid w:val="00A113A9"/>
    <w:rsid w:val="00A11622"/>
    <w:rsid w:val="00A12566"/>
    <w:rsid w:val="00A134DE"/>
    <w:rsid w:val="00A16865"/>
    <w:rsid w:val="00A17D70"/>
    <w:rsid w:val="00A2009B"/>
    <w:rsid w:val="00A21407"/>
    <w:rsid w:val="00A21A05"/>
    <w:rsid w:val="00A22683"/>
    <w:rsid w:val="00A25E9F"/>
    <w:rsid w:val="00A304B9"/>
    <w:rsid w:val="00A30520"/>
    <w:rsid w:val="00A33F77"/>
    <w:rsid w:val="00A342D3"/>
    <w:rsid w:val="00A36A37"/>
    <w:rsid w:val="00A40C62"/>
    <w:rsid w:val="00A4144A"/>
    <w:rsid w:val="00A414FD"/>
    <w:rsid w:val="00A43902"/>
    <w:rsid w:val="00A459E0"/>
    <w:rsid w:val="00A50598"/>
    <w:rsid w:val="00A512C0"/>
    <w:rsid w:val="00A51FDD"/>
    <w:rsid w:val="00A54DD4"/>
    <w:rsid w:val="00A567F0"/>
    <w:rsid w:val="00A620DD"/>
    <w:rsid w:val="00A6718F"/>
    <w:rsid w:val="00A74588"/>
    <w:rsid w:val="00A75DF2"/>
    <w:rsid w:val="00A7767B"/>
    <w:rsid w:val="00A77EEC"/>
    <w:rsid w:val="00A86184"/>
    <w:rsid w:val="00A94024"/>
    <w:rsid w:val="00A94191"/>
    <w:rsid w:val="00A94335"/>
    <w:rsid w:val="00AA0E00"/>
    <w:rsid w:val="00AA2E42"/>
    <w:rsid w:val="00AA45EF"/>
    <w:rsid w:val="00AA64AF"/>
    <w:rsid w:val="00AB1B9F"/>
    <w:rsid w:val="00AB5564"/>
    <w:rsid w:val="00AC0B68"/>
    <w:rsid w:val="00AC3BDD"/>
    <w:rsid w:val="00AC5296"/>
    <w:rsid w:val="00AC530A"/>
    <w:rsid w:val="00AC6A39"/>
    <w:rsid w:val="00AC703B"/>
    <w:rsid w:val="00AD0639"/>
    <w:rsid w:val="00AD1B9D"/>
    <w:rsid w:val="00AD2C4F"/>
    <w:rsid w:val="00AD2E8B"/>
    <w:rsid w:val="00AD3518"/>
    <w:rsid w:val="00AD483C"/>
    <w:rsid w:val="00AE61F4"/>
    <w:rsid w:val="00AE7B92"/>
    <w:rsid w:val="00AF2007"/>
    <w:rsid w:val="00AF2429"/>
    <w:rsid w:val="00AF4D42"/>
    <w:rsid w:val="00AF6AFA"/>
    <w:rsid w:val="00AF7C4B"/>
    <w:rsid w:val="00B05728"/>
    <w:rsid w:val="00B061BF"/>
    <w:rsid w:val="00B06563"/>
    <w:rsid w:val="00B07788"/>
    <w:rsid w:val="00B16941"/>
    <w:rsid w:val="00B172DA"/>
    <w:rsid w:val="00B204CC"/>
    <w:rsid w:val="00B21E7E"/>
    <w:rsid w:val="00B24B34"/>
    <w:rsid w:val="00B2724A"/>
    <w:rsid w:val="00B276EB"/>
    <w:rsid w:val="00B314DA"/>
    <w:rsid w:val="00B33F8E"/>
    <w:rsid w:val="00B36CBE"/>
    <w:rsid w:val="00B37AF0"/>
    <w:rsid w:val="00B37EA8"/>
    <w:rsid w:val="00B42587"/>
    <w:rsid w:val="00B44AE4"/>
    <w:rsid w:val="00B44B51"/>
    <w:rsid w:val="00B44EEC"/>
    <w:rsid w:val="00B47870"/>
    <w:rsid w:val="00B52284"/>
    <w:rsid w:val="00B54678"/>
    <w:rsid w:val="00B5572D"/>
    <w:rsid w:val="00B5581B"/>
    <w:rsid w:val="00B55C78"/>
    <w:rsid w:val="00B56A9B"/>
    <w:rsid w:val="00B56B2E"/>
    <w:rsid w:val="00B578EC"/>
    <w:rsid w:val="00B60CEF"/>
    <w:rsid w:val="00B61844"/>
    <w:rsid w:val="00B63C2B"/>
    <w:rsid w:val="00B64B72"/>
    <w:rsid w:val="00B6557C"/>
    <w:rsid w:val="00B65FDC"/>
    <w:rsid w:val="00B6768A"/>
    <w:rsid w:val="00B67DB5"/>
    <w:rsid w:val="00B704A8"/>
    <w:rsid w:val="00B71936"/>
    <w:rsid w:val="00B7652F"/>
    <w:rsid w:val="00B83A11"/>
    <w:rsid w:val="00B920EA"/>
    <w:rsid w:val="00B934F5"/>
    <w:rsid w:val="00B960B9"/>
    <w:rsid w:val="00BA2E35"/>
    <w:rsid w:val="00BA56A2"/>
    <w:rsid w:val="00BA5F8F"/>
    <w:rsid w:val="00BA67A7"/>
    <w:rsid w:val="00BB07D8"/>
    <w:rsid w:val="00BB0804"/>
    <w:rsid w:val="00BB0F3B"/>
    <w:rsid w:val="00BB5A3F"/>
    <w:rsid w:val="00BB5AE1"/>
    <w:rsid w:val="00BC0F74"/>
    <w:rsid w:val="00BC3EE5"/>
    <w:rsid w:val="00BC5FA5"/>
    <w:rsid w:val="00BC74FE"/>
    <w:rsid w:val="00BD1061"/>
    <w:rsid w:val="00BD10DF"/>
    <w:rsid w:val="00BD44D2"/>
    <w:rsid w:val="00BD6CB7"/>
    <w:rsid w:val="00BD73D1"/>
    <w:rsid w:val="00BE1840"/>
    <w:rsid w:val="00BE19EA"/>
    <w:rsid w:val="00BE4B5C"/>
    <w:rsid w:val="00BE6B44"/>
    <w:rsid w:val="00BE6FD1"/>
    <w:rsid w:val="00BE73AE"/>
    <w:rsid w:val="00BF0182"/>
    <w:rsid w:val="00BF42F7"/>
    <w:rsid w:val="00BF5863"/>
    <w:rsid w:val="00BF7C9F"/>
    <w:rsid w:val="00BF7CA1"/>
    <w:rsid w:val="00C01038"/>
    <w:rsid w:val="00C02A8D"/>
    <w:rsid w:val="00C03323"/>
    <w:rsid w:val="00C0629B"/>
    <w:rsid w:val="00C1297C"/>
    <w:rsid w:val="00C151F8"/>
    <w:rsid w:val="00C17B4D"/>
    <w:rsid w:val="00C20323"/>
    <w:rsid w:val="00C20BA0"/>
    <w:rsid w:val="00C22701"/>
    <w:rsid w:val="00C26A29"/>
    <w:rsid w:val="00C27447"/>
    <w:rsid w:val="00C31746"/>
    <w:rsid w:val="00C33A3A"/>
    <w:rsid w:val="00C36EC6"/>
    <w:rsid w:val="00C41C91"/>
    <w:rsid w:val="00C44D75"/>
    <w:rsid w:val="00C450B4"/>
    <w:rsid w:val="00C50000"/>
    <w:rsid w:val="00C51281"/>
    <w:rsid w:val="00C5363A"/>
    <w:rsid w:val="00C54176"/>
    <w:rsid w:val="00C55D05"/>
    <w:rsid w:val="00C60217"/>
    <w:rsid w:val="00C61EB5"/>
    <w:rsid w:val="00C62B1C"/>
    <w:rsid w:val="00C65B2D"/>
    <w:rsid w:val="00C71405"/>
    <w:rsid w:val="00C71C55"/>
    <w:rsid w:val="00C730CC"/>
    <w:rsid w:val="00C75F10"/>
    <w:rsid w:val="00C812D0"/>
    <w:rsid w:val="00C84398"/>
    <w:rsid w:val="00C85701"/>
    <w:rsid w:val="00C85D70"/>
    <w:rsid w:val="00C87048"/>
    <w:rsid w:val="00C9144D"/>
    <w:rsid w:val="00C92A30"/>
    <w:rsid w:val="00CA34B2"/>
    <w:rsid w:val="00CA4D0B"/>
    <w:rsid w:val="00CA4F7A"/>
    <w:rsid w:val="00CA68F8"/>
    <w:rsid w:val="00CB3EB6"/>
    <w:rsid w:val="00CB5B74"/>
    <w:rsid w:val="00CC2C29"/>
    <w:rsid w:val="00CC4BBB"/>
    <w:rsid w:val="00CC7566"/>
    <w:rsid w:val="00CD3DC7"/>
    <w:rsid w:val="00CD5739"/>
    <w:rsid w:val="00CE11F9"/>
    <w:rsid w:val="00CE34D7"/>
    <w:rsid w:val="00CE5578"/>
    <w:rsid w:val="00CF0674"/>
    <w:rsid w:val="00CF2348"/>
    <w:rsid w:val="00CF6596"/>
    <w:rsid w:val="00D0071F"/>
    <w:rsid w:val="00D027F7"/>
    <w:rsid w:val="00D02BA9"/>
    <w:rsid w:val="00D0355A"/>
    <w:rsid w:val="00D03F9B"/>
    <w:rsid w:val="00D12D35"/>
    <w:rsid w:val="00D136B3"/>
    <w:rsid w:val="00D16050"/>
    <w:rsid w:val="00D179BE"/>
    <w:rsid w:val="00D21E90"/>
    <w:rsid w:val="00D23AF6"/>
    <w:rsid w:val="00D24267"/>
    <w:rsid w:val="00D25B98"/>
    <w:rsid w:val="00D2629A"/>
    <w:rsid w:val="00D3241C"/>
    <w:rsid w:val="00D354C1"/>
    <w:rsid w:val="00D42064"/>
    <w:rsid w:val="00D42934"/>
    <w:rsid w:val="00D430F7"/>
    <w:rsid w:val="00D43DB4"/>
    <w:rsid w:val="00D43E61"/>
    <w:rsid w:val="00D45B7E"/>
    <w:rsid w:val="00D45D49"/>
    <w:rsid w:val="00D47082"/>
    <w:rsid w:val="00D50642"/>
    <w:rsid w:val="00D517E6"/>
    <w:rsid w:val="00D523AA"/>
    <w:rsid w:val="00D52EC8"/>
    <w:rsid w:val="00D5437C"/>
    <w:rsid w:val="00D56F19"/>
    <w:rsid w:val="00D579C1"/>
    <w:rsid w:val="00D57B16"/>
    <w:rsid w:val="00D6061F"/>
    <w:rsid w:val="00D60677"/>
    <w:rsid w:val="00D633A7"/>
    <w:rsid w:val="00D655B2"/>
    <w:rsid w:val="00D67F9A"/>
    <w:rsid w:val="00D70214"/>
    <w:rsid w:val="00D703F6"/>
    <w:rsid w:val="00D70F2B"/>
    <w:rsid w:val="00D724DD"/>
    <w:rsid w:val="00D77C3A"/>
    <w:rsid w:val="00D81D66"/>
    <w:rsid w:val="00D83DE1"/>
    <w:rsid w:val="00D91AEE"/>
    <w:rsid w:val="00D92955"/>
    <w:rsid w:val="00D92C97"/>
    <w:rsid w:val="00DA058B"/>
    <w:rsid w:val="00DA0724"/>
    <w:rsid w:val="00DA3B2B"/>
    <w:rsid w:val="00DA5878"/>
    <w:rsid w:val="00DA68EA"/>
    <w:rsid w:val="00DA69C4"/>
    <w:rsid w:val="00DB3377"/>
    <w:rsid w:val="00DB59F5"/>
    <w:rsid w:val="00DB5DD6"/>
    <w:rsid w:val="00DB6AE7"/>
    <w:rsid w:val="00DB7FCA"/>
    <w:rsid w:val="00DC0703"/>
    <w:rsid w:val="00DC07C5"/>
    <w:rsid w:val="00DC188E"/>
    <w:rsid w:val="00DC50B5"/>
    <w:rsid w:val="00DD1304"/>
    <w:rsid w:val="00DD2E0A"/>
    <w:rsid w:val="00DD68A3"/>
    <w:rsid w:val="00DE04BD"/>
    <w:rsid w:val="00DE0B15"/>
    <w:rsid w:val="00DE28F3"/>
    <w:rsid w:val="00DE34B4"/>
    <w:rsid w:val="00DE39E4"/>
    <w:rsid w:val="00DE4056"/>
    <w:rsid w:val="00DE692E"/>
    <w:rsid w:val="00DE6BDB"/>
    <w:rsid w:val="00DF0CC5"/>
    <w:rsid w:val="00DF2B7E"/>
    <w:rsid w:val="00DF33A8"/>
    <w:rsid w:val="00DF351A"/>
    <w:rsid w:val="00DF41AC"/>
    <w:rsid w:val="00E0008F"/>
    <w:rsid w:val="00E00D48"/>
    <w:rsid w:val="00E10326"/>
    <w:rsid w:val="00E10974"/>
    <w:rsid w:val="00E123E1"/>
    <w:rsid w:val="00E12F01"/>
    <w:rsid w:val="00E13456"/>
    <w:rsid w:val="00E141A1"/>
    <w:rsid w:val="00E151E6"/>
    <w:rsid w:val="00E153AF"/>
    <w:rsid w:val="00E22229"/>
    <w:rsid w:val="00E27404"/>
    <w:rsid w:val="00E30734"/>
    <w:rsid w:val="00E34E6F"/>
    <w:rsid w:val="00E37B4C"/>
    <w:rsid w:val="00E4007F"/>
    <w:rsid w:val="00E41DFF"/>
    <w:rsid w:val="00E43636"/>
    <w:rsid w:val="00E43CEF"/>
    <w:rsid w:val="00E447D2"/>
    <w:rsid w:val="00E47C62"/>
    <w:rsid w:val="00E503CB"/>
    <w:rsid w:val="00E51046"/>
    <w:rsid w:val="00E51367"/>
    <w:rsid w:val="00E51D2E"/>
    <w:rsid w:val="00E520B3"/>
    <w:rsid w:val="00E54F7B"/>
    <w:rsid w:val="00E55ACF"/>
    <w:rsid w:val="00E60585"/>
    <w:rsid w:val="00E61E47"/>
    <w:rsid w:val="00E61FE1"/>
    <w:rsid w:val="00E65248"/>
    <w:rsid w:val="00E652EF"/>
    <w:rsid w:val="00E66A12"/>
    <w:rsid w:val="00E66FF0"/>
    <w:rsid w:val="00E6724B"/>
    <w:rsid w:val="00E67F72"/>
    <w:rsid w:val="00E73924"/>
    <w:rsid w:val="00E73BDE"/>
    <w:rsid w:val="00E75BBD"/>
    <w:rsid w:val="00E766C0"/>
    <w:rsid w:val="00E76E07"/>
    <w:rsid w:val="00E77CDD"/>
    <w:rsid w:val="00E8160C"/>
    <w:rsid w:val="00E8431B"/>
    <w:rsid w:val="00E84CEE"/>
    <w:rsid w:val="00E862D2"/>
    <w:rsid w:val="00EA09BC"/>
    <w:rsid w:val="00EA201E"/>
    <w:rsid w:val="00EA76D3"/>
    <w:rsid w:val="00EB0830"/>
    <w:rsid w:val="00EB3187"/>
    <w:rsid w:val="00EC468B"/>
    <w:rsid w:val="00EC63BF"/>
    <w:rsid w:val="00EC7B84"/>
    <w:rsid w:val="00ED1F43"/>
    <w:rsid w:val="00ED591F"/>
    <w:rsid w:val="00ED76DB"/>
    <w:rsid w:val="00EE673A"/>
    <w:rsid w:val="00EF12E8"/>
    <w:rsid w:val="00F00003"/>
    <w:rsid w:val="00F00938"/>
    <w:rsid w:val="00F0314A"/>
    <w:rsid w:val="00F05A8B"/>
    <w:rsid w:val="00F06F33"/>
    <w:rsid w:val="00F073B0"/>
    <w:rsid w:val="00F075F8"/>
    <w:rsid w:val="00F076C9"/>
    <w:rsid w:val="00F10C35"/>
    <w:rsid w:val="00F12AA8"/>
    <w:rsid w:val="00F14AB9"/>
    <w:rsid w:val="00F16280"/>
    <w:rsid w:val="00F17640"/>
    <w:rsid w:val="00F20501"/>
    <w:rsid w:val="00F2328A"/>
    <w:rsid w:val="00F2493A"/>
    <w:rsid w:val="00F2796D"/>
    <w:rsid w:val="00F30A59"/>
    <w:rsid w:val="00F368C9"/>
    <w:rsid w:val="00F437C8"/>
    <w:rsid w:val="00F43C6E"/>
    <w:rsid w:val="00F43E64"/>
    <w:rsid w:val="00F45540"/>
    <w:rsid w:val="00F461D5"/>
    <w:rsid w:val="00F46B97"/>
    <w:rsid w:val="00F52240"/>
    <w:rsid w:val="00F53028"/>
    <w:rsid w:val="00F53426"/>
    <w:rsid w:val="00F627AB"/>
    <w:rsid w:val="00F6354B"/>
    <w:rsid w:val="00F64102"/>
    <w:rsid w:val="00F654E0"/>
    <w:rsid w:val="00F709D6"/>
    <w:rsid w:val="00F7424D"/>
    <w:rsid w:val="00F778B5"/>
    <w:rsid w:val="00F8223F"/>
    <w:rsid w:val="00F875B6"/>
    <w:rsid w:val="00F9039F"/>
    <w:rsid w:val="00F91C6A"/>
    <w:rsid w:val="00F930A1"/>
    <w:rsid w:val="00F939E2"/>
    <w:rsid w:val="00F93F43"/>
    <w:rsid w:val="00F961DF"/>
    <w:rsid w:val="00FA0DE6"/>
    <w:rsid w:val="00FA2DAE"/>
    <w:rsid w:val="00FA486F"/>
    <w:rsid w:val="00FB0F1F"/>
    <w:rsid w:val="00FC0A11"/>
    <w:rsid w:val="00FC0C06"/>
    <w:rsid w:val="00FC248E"/>
    <w:rsid w:val="00FC3672"/>
    <w:rsid w:val="00FC55E9"/>
    <w:rsid w:val="00FC69CA"/>
    <w:rsid w:val="00FD0A87"/>
    <w:rsid w:val="00FD4D69"/>
    <w:rsid w:val="00FD569D"/>
    <w:rsid w:val="00FD5D35"/>
    <w:rsid w:val="00FD652B"/>
    <w:rsid w:val="00FD78BF"/>
    <w:rsid w:val="00FE0271"/>
    <w:rsid w:val="00FE089D"/>
    <w:rsid w:val="00FE2DC7"/>
    <w:rsid w:val="00FE421E"/>
    <w:rsid w:val="00FE5A40"/>
    <w:rsid w:val="00FE7F17"/>
    <w:rsid w:val="00FF1CA4"/>
    <w:rsid w:val="00FF28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CF9A388"/>
  <w14:defaultImageDpi w14:val="0"/>
  <w15:docId w15:val="{6E8C2DC2-3A65-439B-9227-0D9012D3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locked="1"/>
    <w:lsdException w:name="caption" w:locked="1" w:semiHidden="1" w:uiPriority="0" w:unhideWhenUsed="1" w:qFormat="1"/>
    <w:lsdException w:name="page number" w:locked="1" w:uiPriority="0"/>
    <w:lsdException w:name="List Number" w:semiHidden="1" w:unhideWhenUsed="1"/>
    <w:lsdException w:name="List 4" w:semiHidden="1" w:unhideWhenUsed="1"/>
    <w:lsdException w:name="List 5" w:semiHidden="1" w:unhideWhenUsed="1"/>
    <w:lsdException w:name="Title" w:locked="1" w:qFormat="1"/>
    <w:lsdException w:name="Default Paragraph Font" w:semiHidden="1" w:uiPriority="1" w:unhideWhenUsed="1"/>
    <w:lsdException w:name="Subtitle" w:locked="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locked="1" w:uiPriority="0" w:qFormat="1"/>
    <w:lsdException w:name="Emphasis" w:locked="1" w:uiPriority="0" w:qFormat="1"/>
    <w:lsdException w:name="Normal (Web)" w:locked="1" w:uiPriority="0"/>
    <w:lsdException w:name="HTML Acronym"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58"/>
    <w:rPr>
      <w:rFonts w:ascii="Corbel" w:hAnsi="Corbel"/>
      <w:color w:val="000000" w:themeColor="text1"/>
      <w:sz w:val="23"/>
      <w:szCs w:val="24"/>
    </w:rPr>
  </w:style>
  <w:style w:type="paragraph" w:styleId="Heading1">
    <w:name w:val="heading 1"/>
    <w:basedOn w:val="Normal"/>
    <w:next w:val="Normal"/>
    <w:link w:val="Heading1Char"/>
    <w:uiPriority w:val="9"/>
    <w:qFormat/>
    <w:rsid w:val="00A17D70"/>
    <w:pPr>
      <w:keepNext/>
      <w:keepLines/>
      <w:spacing w:before="48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A17D70"/>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9">
    <w:name w:val="heading 9"/>
    <w:basedOn w:val="CoverTitleMain"/>
    <w:next w:val="Normal"/>
    <w:link w:val="Heading9Char"/>
    <w:uiPriority w:val="99"/>
    <w:qFormat/>
    <w:pPr>
      <w:numPr>
        <w:ilvl w:val="8"/>
        <w:numId w:val="10"/>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7D70"/>
    <w:rPr>
      <w:rFonts w:ascii="Consolas" w:hAnsi="Consolas" w:cs="Arial"/>
      <w:bCs/>
      <w:caps/>
      <w:color w:val="3D4B67"/>
      <w:kern w:val="32"/>
      <w:sz w:val="36"/>
      <w:szCs w:val="36"/>
    </w:rPr>
  </w:style>
  <w:style w:type="character" w:customStyle="1" w:styleId="Heading2Char">
    <w:name w:val="Heading 2 Char"/>
    <w:basedOn w:val="DefaultParagraphFont"/>
    <w:link w:val="Heading2"/>
    <w:uiPriority w:val="99"/>
    <w:locked/>
    <w:rsid w:val="00A17D70"/>
    <w:rPr>
      <w:rFonts w:ascii="Corbel" w:hAnsi="Corbel" w:cs="Arial"/>
      <w:b/>
      <w:bCs/>
      <w:iCs/>
      <w:color w:val="3D4B67"/>
      <w:sz w:val="28"/>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9Char">
    <w:name w:val="Heading 9 Char"/>
    <w:basedOn w:val="DefaultParagraphFont"/>
    <w:link w:val="Heading9"/>
    <w:uiPriority w:val="99"/>
    <w:locked/>
    <w:rPr>
      <w:rFonts w:ascii="Corbel" w:hAnsi="Corbel" w:cs="Corbel"/>
      <w:color w:val="3D4B67"/>
      <w:sz w:val="36"/>
      <w:szCs w:val="36"/>
    </w:rPr>
  </w:style>
  <w:style w:type="paragraph" w:styleId="ListParagraph">
    <w:name w:val="List Paragraph"/>
    <w:basedOn w:val="Normal"/>
    <w:uiPriority w:val="34"/>
    <w:qFormat/>
    <w:rsid w:val="00B21E7E"/>
    <w:pPr>
      <w:ind w:left="720"/>
    </w:pPr>
  </w:style>
  <w:style w:type="character" w:styleId="CommentReference">
    <w:name w:val="annotation reference"/>
    <w:basedOn w:val="DefaultParagraphFont"/>
    <w:uiPriority w:val="99"/>
    <w:semiHidden/>
    <w:rsid w:val="00B21E7E"/>
    <w:rPr>
      <w:rFonts w:cs="Times New Roman"/>
      <w:sz w:val="16"/>
      <w:szCs w:val="16"/>
    </w:rPr>
  </w:style>
  <w:style w:type="paragraph" w:styleId="CommentText">
    <w:name w:val="annotation text"/>
    <w:basedOn w:val="Normal"/>
    <w:link w:val="CommentTextChar"/>
    <w:uiPriority w:val="99"/>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basedOn w:val="DefaultParagraphFont"/>
    <w:link w:val="Bullet"/>
    <w:uiPriority w:val="99"/>
    <w:locked/>
    <w:rPr>
      <w:rFonts w:ascii="Corbel" w:hAnsi="Corbel"/>
      <w:color w:val="000000" w:themeColor="text1"/>
      <w:sz w:val="23"/>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semiHidden/>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customStyle="1" w:styleId="Default">
    <w:name w:val="Default"/>
    <w:uiPriority w:val="99"/>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2"/>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3"/>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4"/>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4"/>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4"/>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7"/>
      </w:numPr>
      <w:spacing w:after="240" w:line="260" w:lineRule="exact"/>
      <w:ind w:left="1134" w:hanging="567"/>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pPr>
      <w:numPr>
        <w:numId w:val="5"/>
      </w:numPr>
      <w:spacing w:after="240" w:line="260" w:lineRule="exact"/>
      <w:jc w:val="both"/>
    </w:pPr>
    <w:rPr>
      <w:rFonts w:cs="Corbel"/>
      <w:color w:val="000000"/>
      <w:szCs w:val="23"/>
    </w:rPr>
  </w:style>
  <w:style w:type="paragraph" w:customStyle="1" w:styleId="BoxDash">
    <w:name w:val="Box Dash"/>
    <w:basedOn w:val="Normal"/>
    <w:uiPriority w:val="99"/>
    <w:pPr>
      <w:numPr>
        <w:ilvl w:val="1"/>
        <w:numId w:val="5"/>
      </w:numPr>
      <w:spacing w:after="240" w:line="260" w:lineRule="exact"/>
      <w:jc w:val="both"/>
    </w:pPr>
    <w:rPr>
      <w:rFonts w:cs="Corbel"/>
      <w:color w:val="000000"/>
      <w:szCs w:val="23"/>
    </w:rPr>
  </w:style>
  <w:style w:type="paragraph" w:customStyle="1" w:styleId="BoxDoubleDot">
    <w:name w:val="Box Double Dot"/>
    <w:basedOn w:val="Normal"/>
    <w:uiPriority w:val="99"/>
    <w:pPr>
      <w:numPr>
        <w:ilvl w:val="2"/>
        <w:numId w:val="5"/>
      </w:numPr>
      <w:spacing w:after="240" w:line="260" w:lineRule="exact"/>
      <w:jc w:val="both"/>
    </w:pPr>
    <w:rPr>
      <w:rFonts w:cs="Corbel"/>
      <w:color w:val="000000"/>
      <w:szCs w:val="23"/>
    </w:rPr>
  </w:style>
  <w:style w:type="paragraph" w:customStyle="1" w:styleId="Romannumeral">
    <w:name w:val="Roman numeral"/>
    <w:basedOn w:val="Normal"/>
    <w:uiPriority w:val="99"/>
    <w:pPr>
      <w:numPr>
        <w:numId w:val="6"/>
      </w:numPr>
      <w:spacing w:after="240" w:line="260" w:lineRule="exact"/>
      <w:jc w:val="both"/>
    </w:pPr>
    <w:rPr>
      <w:rFonts w:cs="Corbel"/>
      <w:color w:val="000000"/>
      <w:szCs w:val="23"/>
    </w:rPr>
  </w:style>
  <w:style w:type="paragraph" w:customStyle="1" w:styleId="ScheduleStartNnumber">
    <w:name w:val="ScheduleStartNnumber"/>
    <w:uiPriority w:val="99"/>
    <w:pPr>
      <w:numPr>
        <w:numId w:val="8"/>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8"/>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pPr>
      <w:numPr>
        <w:numId w:val="9"/>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uiPriority w:val="99"/>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1"/>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2"/>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3"/>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4"/>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15"/>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locked/>
    <w:rsid w:val="00FD4D69"/>
    <w:rPr>
      <w:rFonts w:ascii="Corbel" w:hAnsi="Corbel"/>
      <w:color w:val="000000" w:themeColor="text1"/>
      <w:sz w:val="23"/>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939117">
      <w:bodyDiv w:val="1"/>
      <w:marLeft w:val="0"/>
      <w:marRight w:val="0"/>
      <w:marTop w:val="0"/>
      <w:marBottom w:val="0"/>
      <w:divBdr>
        <w:top w:val="none" w:sz="0" w:space="0" w:color="auto"/>
        <w:left w:val="none" w:sz="0" w:space="0" w:color="auto"/>
        <w:bottom w:val="none" w:sz="0" w:space="0" w:color="auto"/>
        <w:right w:val="none" w:sz="0" w:space="0" w:color="auto"/>
      </w:divBdr>
    </w:div>
    <w:div w:id="849024997">
      <w:bodyDiv w:val="1"/>
      <w:marLeft w:val="0"/>
      <w:marRight w:val="0"/>
      <w:marTop w:val="0"/>
      <w:marBottom w:val="0"/>
      <w:divBdr>
        <w:top w:val="none" w:sz="0" w:space="0" w:color="auto"/>
        <w:left w:val="none" w:sz="0" w:space="0" w:color="auto"/>
        <w:bottom w:val="none" w:sz="0" w:space="0" w:color="auto"/>
        <w:right w:val="none" w:sz="0" w:space="0" w:color="auto"/>
      </w:divBdr>
    </w:div>
    <w:div w:id="856232641">
      <w:bodyDiv w:val="1"/>
      <w:marLeft w:val="0"/>
      <w:marRight w:val="0"/>
      <w:marTop w:val="0"/>
      <w:marBottom w:val="0"/>
      <w:divBdr>
        <w:top w:val="none" w:sz="0" w:space="0" w:color="auto"/>
        <w:left w:val="none" w:sz="0" w:space="0" w:color="auto"/>
        <w:bottom w:val="none" w:sz="0" w:space="0" w:color="auto"/>
        <w:right w:val="none" w:sz="0" w:space="0" w:color="auto"/>
      </w:divBdr>
    </w:div>
    <w:div w:id="1080371153">
      <w:bodyDiv w:val="1"/>
      <w:marLeft w:val="0"/>
      <w:marRight w:val="0"/>
      <w:marTop w:val="0"/>
      <w:marBottom w:val="0"/>
      <w:divBdr>
        <w:top w:val="none" w:sz="0" w:space="0" w:color="auto"/>
        <w:left w:val="none" w:sz="0" w:space="0" w:color="auto"/>
        <w:bottom w:val="none" w:sz="0" w:space="0" w:color="auto"/>
        <w:right w:val="none" w:sz="0" w:space="0" w:color="auto"/>
      </w:divBdr>
    </w:div>
    <w:div w:id="1147477626">
      <w:marLeft w:val="0"/>
      <w:marRight w:val="0"/>
      <w:marTop w:val="0"/>
      <w:marBottom w:val="0"/>
      <w:divBdr>
        <w:top w:val="none" w:sz="0" w:space="0" w:color="auto"/>
        <w:left w:val="none" w:sz="0" w:space="0" w:color="auto"/>
        <w:bottom w:val="none" w:sz="0" w:space="0" w:color="auto"/>
        <w:right w:val="none" w:sz="0" w:space="0" w:color="auto"/>
      </w:divBdr>
    </w:div>
    <w:div w:id="11474776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3959" ma:contentTypeDescription=" " ma:contentTypeScope="" ma:versionID="a3116dee368bdcfdd905dbca7a89b76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2020FG-64-88145</_dlc_DocId>
    <_dlc_DocIdUrl xmlns="0f563589-9cf9-4143-b1eb-fb0534803d38">
      <Url>http://tweb/sites/fg/csrd/_layouts/15/DocIdRedir.aspx?ID=2020FG-64-88145</Url>
      <Description>2020FG-64-88145</Description>
    </_dlc_DocIdUrl>
  </documentManagement>
</p:propertie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5156-FEA6-4E84-AA9F-22D63F8F3F6F}">
  <ds:schemaRefs>
    <ds:schemaRef ds:uri="http://schemas.microsoft.com/sharepoint/v3/contenttype/forms"/>
  </ds:schemaRefs>
</ds:datastoreItem>
</file>

<file path=customXml/itemProps2.xml><?xml version="1.0" encoding="utf-8"?>
<ds:datastoreItem xmlns:ds="http://schemas.openxmlformats.org/officeDocument/2006/customXml" ds:itemID="{879DD862-8328-4B33-8B5D-984A0C1682CF}">
  <ds:schemaRefs>
    <ds:schemaRef ds:uri="http://schemas.microsoft.com/sharepoint/events"/>
  </ds:schemaRefs>
</ds:datastoreItem>
</file>

<file path=customXml/itemProps3.xml><?xml version="1.0" encoding="utf-8"?>
<ds:datastoreItem xmlns:ds="http://schemas.openxmlformats.org/officeDocument/2006/customXml" ds:itemID="{9A81CF93-60C6-4168-B8B0-D970B940E829}"/>
</file>

<file path=customXml/itemProps4.xml><?xml version="1.0" encoding="utf-8"?>
<ds:datastoreItem xmlns:ds="http://schemas.openxmlformats.org/officeDocument/2006/customXml" ds:itemID="{43793BE9-C41C-4878-8507-214915DEA700}">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7547108-866B-4AF3-B004-909684EDD138}">
  <ds:schemaRefs>
    <ds:schemaRef ds:uri="Microsoft.SharePoint.Taxonomy.ContentTypeSync"/>
  </ds:schemaRefs>
</ds:datastoreItem>
</file>

<file path=customXml/itemProps6.xml><?xml version="1.0" encoding="utf-8"?>
<ds:datastoreItem xmlns:ds="http://schemas.openxmlformats.org/officeDocument/2006/customXml" ds:itemID="{295E8520-E2B1-44E3-B860-2D6E1990C4DB}">
  <ds:schemaRefs>
    <ds:schemaRef ds:uri="office.server.policy"/>
  </ds:schemaRefs>
</ds:datastoreItem>
</file>

<file path=customXml/itemProps7.xml><?xml version="1.0" encoding="utf-8"?>
<ds:datastoreItem xmlns:ds="http://schemas.openxmlformats.org/officeDocument/2006/customXml" ds:itemID="{6F45AAD5-AB31-49CA-8239-69CE5995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2585</Words>
  <Characters>15273</Characters>
  <Application>Microsoft Office Word</Application>
  <DocSecurity>0</DocSecurity>
  <Lines>489</Lines>
  <Paragraphs>196</Paragraphs>
  <ScaleCrop>false</ScaleCrop>
  <HeadingPairs>
    <vt:vector size="2" baseType="variant">
      <vt:variant>
        <vt:lpstr>Title</vt:lpstr>
      </vt:variant>
      <vt:variant>
        <vt:i4>1</vt:i4>
      </vt:variant>
    </vt:vector>
  </HeadingPairs>
  <TitlesOfParts>
    <vt:vector size="1" baseType="lpstr">
      <vt:lpstr>Disaster Risk Reduction - NT Implementation Plan</vt:lpstr>
    </vt:vector>
  </TitlesOfParts>
  <Company>Australian Government - The Treasury</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Risk Reduction - NT Implementation Plan</dc:title>
  <dc:subject>Environment National Partnerships</dc:subject>
  <dc:creator>Council on Federal Financial Relations</dc:creator>
  <cp:keywords>[SEC=OFFICIAL]</cp:keywords>
  <dc:description/>
  <cp:lastModifiedBy>Thomas, Deborah</cp:lastModifiedBy>
  <cp:revision>3</cp:revision>
  <cp:lastPrinted>2020-04-23T04:58:00Z</cp:lastPrinted>
  <dcterms:created xsi:type="dcterms:W3CDTF">2020-07-08T02:07:00Z</dcterms:created>
  <dcterms:modified xsi:type="dcterms:W3CDTF">2020-07-08T02:07:00Z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1720cb41-e811-4b75-80a7-4ce09e6f8454</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3D60B0D5EB2841CAAD32B835D475EC6D</vt:lpwstr>
  </property>
  <property fmtid="{D5CDD505-2E9C-101B-9397-08002B2CF9AE}" pid="12" name="PM_ProtectiveMarkingValue_Footer">
    <vt:lpwstr>OFFICIAL</vt:lpwstr>
  </property>
  <property fmtid="{D5CDD505-2E9C-101B-9397-08002B2CF9AE}" pid="13" name="PM_Originator_Hash_SHA1">
    <vt:lpwstr>38133F7C5BF999D570FB0D312BE67AEC121E5FF8</vt:lpwstr>
  </property>
  <property fmtid="{D5CDD505-2E9C-101B-9397-08002B2CF9AE}" pid="14" name="PM_OriginationTimeStamp">
    <vt:lpwstr>2020-07-08T02:07:12Z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2018.1</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1A990CCC2D1E586ECE535B84FDCCDFEE</vt:lpwstr>
  </property>
  <property fmtid="{D5CDD505-2E9C-101B-9397-08002B2CF9AE}" pid="23" name="PM_Hash_Salt">
    <vt:lpwstr>E1EA2BA5481AA2EC47F700F1C13ACB59</vt:lpwstr>
  </property>
  <property fmtid="{D5CDD505-2E9C-101B-9397-08002B2CF9AE}" pid="24" name="PM_Hash_SHA1">
    <vt:lpwstr>C00004F6489EC4F398FCB8D83667F83B8F04C0BB</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RecordPoint_WorkflowType">
    <vt:lpwstr>ActiveSubmitStub</vt:lpwstr>
  </property>
  <property fmtid="{D5CDD505-2E9C-101B-9397-08002B2CF9AE}" pid="28" name="RecordPoint_ActiveItemWebId">
    <vt:lpwstr>{a4589788-615f-4b8b-8296-7f9f6dfbab44}</vt:lpwstr>
  </property>
  <property fmtid="{D5CDD505-2E9C-101B-9397-08002B2CF9AE}" pid="29" name="RecordPoint_ActiveItemSiteId">
    <vt:lpwstr>{a3a280d1-e8f1-4ce7-94f0-aaa2322da0dd}</vt:lpwstr>
  </property>
  <property fmtid="{D5CDD505-2E9C-101B-9397-08002B2CF9AE}" pid="30" name="RecordPoint_ActiveItemListId">
    <vt:lpwstr>{4435c73b-6585-4bc2-a76a-5d21b1a02e06}</vt:lpwstr>
  </property>
  <property fmtid="{D5CDD505-2E9C-101B-9397-08002B2CF9AE}" pid="31" name="RecordPoint_ActiveItemUniqueId">
    <vt:lpwstr>{1720cb41-e811-4b75-80a7-4ce09e6f8454}</vt:lpwstr>
  </property>
</Properties>
</file>