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942"/>
        <w:tblW w:w="5000" w:type="pct"/>
        <w:tblLook w:val="01E0" w:firstRow="1" w:lastRow="1" w:firstColumn="1" w:lastColumn="1" w:noHBand="0" w:noVBand="0"/>
      </w:tblPr>
      <w:tblGrid>
        <w:gridCol w:w="1475"/>
        <w:gridCol w:w="7551"/>
      </w:tblGrid>
      <w:tr w:rsidR="00520331" w14:paraId="552D5B96" w14:textId="77777777" w:rsidTr="00E892E6">
        <w:tc>
          <w:tcPr>
            <w:tcW w:w="817" w:type="pct"/>
          </w:tcPr>
          <w:p w14:paraId="7E92ADD3" w14:textId="77777777" w:rsidR="00520331" w:rsidRPr="001E74D0" w:rsidRDefault="00520331" w:rsidP="00520331">
            <w:bookmarkStart w:id="0" w:name="_GoBack"/>
            <w:bookmarkEnd w:id="0"/>
          </w:p>
        </w:tc>
        <w:tc>
          <w:tcPr>
            <w:tcW w:w="4183" w:type="pct"/>
          </w:tcPr>
          <w:p w14:paraId="5C2366D8" w14:textId="77777777" w:rsidR="00520331" w:rsidRPr="00FC55E9" w:rsidRDefault="00520331" w:rsidP="00520331">
            <w:pPr>
              <w:pStyle w:val="AgreementParties"/>
              <w:numPr>
                <w:ilvl w:val="0"/>
                <w:numId w:val="0"/>
              </w:numPr>
              <w:ind w:left="49"/>
            </w:pPr>
          </w:p>
        </w:tc>
      </w:tr>
    </w:tbl>
    <w:p w14:paraId="481F71A4" w14:textId="77777777" w:rsidR="0036688B" w:rsidRPr="00A17D70" w:rsidRDefault="007F2C89" w:rsidP="00A17D70">
      <w:pPr>
        <w:pStyle w:val="Title"/>
      </w:pPr>
      <w:r>
        <w:t>South Australian</w:t>
      </w:r>
      <w:r w:rsidR="0036688B" w:rsidRPr="00A17D70">
        <w:t xml:space="preserve"> Implementation Plan </w:t>
      </w:r>
    </w:p>
    <w:p w14:paraId="79578CD9" w14:textId="77777777" w:rsidR="0036688B" w:rsidRPr="00A17D70" w:rsidRDefault="00B934F5" w:rsidP="00A17D70">
      <w:pPr>
        <w:pStyle w:val="Subtitle"/>
      </w:pPr>
      <w:r>
        <w:t xml:space="preserve">National Partnership </w:t>
      </w:r>
      <w:r w:rsidR="0036688B">
        <w:t>on</w:t>
      </w:r>
      <w:r w:rsidR="00B920EA">
        <w:t xml:space="preserve"> </w:t>
      </w:r>
      <w:r w:rsidR="00F8223F">
        <w:t>disaster risk reduction</w:t>
      </w:r>
    </w:p>
    <w:p w14:paraId="2EC34CBB" w14:textId="77777777" w:rsidR="0036688B" w:rsidRPr="00041625" w:rsidRDefault="0036688B" w:rsidP="00A17D70">
      <w:pPr>
        <w:pStyle w:val="Heading1"/>
      </w:pPr>
      <w:r w:rsidRPr="00041625">
        <w:t>Part 1: Pr</w:t>
      </w:r>
      <w:r w:rsidRPr="00A17D70">
        <w:t>el</w:t>
      </w:r>
      <w:r w:rsidRPr="00041625">
        <w:t>iminaries</w:t>
      </w:r>
      <w:r w:rsidR="008920FB">
        <w:t xml:space="preserve"> </w:t>
      </w:r>
    </w:p>
    <w:p w14:paraId="15636AFE" w14:textId="3B66D74E" w:rsidR="00D12D35" w:rsidRDefault="001918B1" w:rsidP="0036688B">
      <w:pPr>
        <w:pStyle w:val="Normalnumbered"/>
        <w:spacing w:after="240" w:line="260" w:lineRule="exact"/>
      </w:pPr>
      <w:r>
        <w:t xml:space="preserve">This </w:t>
      </w:r>
      <w:r w:rsidR="00E47C62">
        <w:t>Implementation Plan</w:t>
      </w:r>
      <w:r>
        <w:t xml:space="preserve"> is </w:t>
      </w:r>
      <w:r w:rsidR="00C22701">
        <w:t>a schedule to</w:t>
      </w:r>
      <w:r>
        <w:t xml:space="preserve"> the National Partnership Agreement on </w:t>
      </w:r>
      <w:r w:rsidR="00F8223F">
        <w:t>Disaster Risk Reduction</w:t>
      </w:r>
      <w:r>
        <w:t xml:space="preserve"> </w:t>
      </w:r>
      <w:r w:rsidR="00E21E47">
        <w:t xml:space="preserve">(the Agreement) </w:t>
      </w:r>
      <w:r>
        <w:t xml:space="preserve">and should be read in conjunction with that Agreement. </w:t>
      </w:r>
    </w:p>
    <w:p w14:paraId="220C4993" w14:textId="3F3B137D" w:rsidR="001918B1" w:rsidRPr="00041625" w:rsidRDefault="001918B1" w:rsidP="0036688B">
      <w:pPr>
        <w:pStyle w:val="Normalnumbered"/>
        <w:spacing w:after="240" w:line="260" w:lineRule="exact"/>
      </w:pPr>
      <w:r>
        <w:t xml:space="preserve">The objective </w:t>
      </w:r>
      <w:r w:rsidR="009F6012">
        <w:t xml:space="preserve">of </w:t>
      </w:r>
      <w:r>
        <w:t xml:space="preserve">the </w:t>
      </w:r>
      <w:r w:rsidR="00E21E47">
        <w:t>Agreement</w:t>
      </w:r>
      <w:r>
        <w:t xml:space="preserve"> is</w:t>
      </w:r>
      <w:r w:rsidR="00D12D35">
        <w:t xml:space="preserve"> to </w:t>
      </w:r>
      <w:r w:rsidR="00465565">
        <w:t xml:space="preserve">proactively </w:t>
      </w:r>
      <w:r w:rsidR="00D12D35">
        <w:t xml:space="preserve">reduce </w:t>
      </w:r>
      <w:r w:rsidR="00465565">
        <w:t>the risk and limit the impact of d</w:t>
      </w:r>
      <w:r w:rsidR="00D12D35">
        <w:t>isasters associated with natural hazards on Australian communities and economies</w:t>
      </w:r>
      <w:r>
        <w:t>.</w:t>
      </w:r>
    </w:p>
    <w:p w14:paraId="4C6F41D3" w14:textId="18ED310B" w:rsidR="007A07AD" w:rsidRPr="0061613E" w:rsidRDefault="00D12D35" w:rsidP="0061613E">
      <w:pPr>
        <w:pStyle w:val="Normalnumbered"/>
        <w:spacing w:after="240" w:line="260" w:lineRule="exact"/>
      </w:pPr>
      <w:r>
        <w:t xml:space="preserve">The </w:t>
      </w:r>
      <w:r w:rsidR="00E21E47">
        <w:t xml:space="preserve">Agreement </w:t>
      </w:r>
      <w:r>
        <w:t xml:space="preserve">will deliver </w:t>
      </w:r>
      <w:r w:rsidR="00AD1B9D">
        <w:t>on</w:t>
      </w:r>
      <w:r>
        <w:t xml:space="preserve"> the priorities, five</w:t>
      </w:r>
      <w:r w:rsidR="53A06FFD">
        <w:t>-</w:t>
      </w:r>
      <w:r>
        <w:t>year outcomes and 2030 goals of the National Disaster Risk Reduction Framework across Australia’s built, social, natural and economic environments. It aims to reduce existing disaster risk, minimise the creation of future</w:t>
      </w:r>
      <w:r w:rsidR="009F536E">
        <w:t xml:space="preserve"> disaster</w:t>
      </w:r>
      <w:r>
        <w:t xml:space="preserve"> risk and </w:t>
      </w:r>
      <w:r w:rsidR="00465565">
        <w:t xml:space="preserve">equip decision-makers with the capabilities and information needed to reduce disaster risk and </w:t>
      </w:r>
      <w:r>
        <w:t>manage residual risk.</w:t>
      </w:r>
    </w:p>
    <w:p w14:paraId="633D290C" w14:textId="77777777" w:rsidR="003E230C" w:rsidRPr="00041625" w:rsidRDefault="003E230C" w:rsidP="00A17D70">
      <w:pPr>
        <w:pStyle w:val="Heading1"/>
      </w:pPr>
      <w:r w:rsidRPr="00041625">
        <w:t xml:space="preserve">Part 2: Terms of this </w:t>
      </w:r>
      <w:r w:rsidR="00E47C62" w:rsidRPr="00041625">
        <w:t>I</w:t>
      </w:r>
      <w:r w:rsidR="00E47C62" w:rsidRPr="00A17D70">
        <w:t>mplem</w:t>
      </w:r>
      <w:r w:rsidR="00E47C62" w:rsidRPr="00041625">
        <w:t>entation Plan</w:t>
      </w:r>
      <w:r w:rsidR="004D78CB" w:rsidRPr="00041625">
        <w:tab/>
      </w:r>
    </w:p>
    <w:p w14:paraId="3C5C92B1" w14:textId="77777777" w:rsidR="003E230C" w:rsidRPr="003E230C" w:rsidRDefault="003E230C" w:rsidP="003E230C"/>
    <w:p w14:paraId="46746844" w14:textId="0F36A425" w:rsidR="0036688B" w:rsidRPr="00041625" w:rsidRDefault="0036688B" w:rsidP="0036688B">
      <w:pPr>
        <w:pStyle w:val="Normalnumbered"/>
        <w:spacing w:after="240" w:line="260" w:lineRule="exact"/>
      </w:pPr>
      <w:r>
        <w:t xml:space="preserve">This </w:t>
      </w:r>
      <w:r w:rsidR="00E47C62">
        <w:t>Implementation Plan</w:t>
      </w:r>
      <w:r>
        <w:t xml:space="preserve"> will commence as soon as it is agreed between the Commonwealth of Australia, represented by the Minister for </w:t>
      </w:r>
      <w:r w:rsidR="00300065">
        <w:t>Agriculture</w:t>
      </w:r>
      <w:r w:rsidR="00D12D35">
        <w:t>, Drought and Emergency Management</w:t>
      </w:r>
      <w:r>
        <w:t xml:space="preserve">, and </w:t>
      </w:r>
      <w:r w:rsidR="00312AD0">
        <w:t>South Australia</w:t>
      </w:r>
      <w:r>
        <w:t xml:space="preserve">, represented by </w:t>
      </w:r>
      <w:r w:rsidR="00312AD0">
        <w:t>the Minister for Emergency Services</w:t>
      </w:r>
      <w:r>
        <w:t>.</w:t>
      </w:r>
    </w:p>
    <w:p w14:paraId="7AD0DBFB" w14:textId="3209F959" w:rsidR="0036688B" w:rsidRPr="00041625" w:rsidRDefault="0036688B" w:rsidP="0036688B">
      <w:pPr>
        <w:pStyle w:val="Normalnumbered"/>
        <w:spacing w:after="240" w:line="260" w:lineRule="exact"/>
      </w:pPr>
      <w:r>
        <w:t xml:space="preserve">As a schedule to the </w:t>
      </w:r>
      <w:r w:rsidR="00E21E47">
        <w:t>Agreement</w:t>
      </w:r>
      <w:r>
        <w:t xml:space="preserve">, the purpose of this </w:t>
      </w:r>
      <w:r w:rsidR="00E47C62">
        <w:t>Implementation Plan</w:t>
      </w:r>
      <w:r>
        <w:t xml:space="preserve"> is to </w:t>
      </w:r>
      <w:r w:rsidR="0055667D">
        <w:t>provide the public with an indication of how the project is intended to be delivered and demonstrate</w:t>
      </w:r>
      <w:r w:rsidR="00E21E47">
        <w:t xml:space="preserve"> </w:t>
      </w:r>
      <w:r w:rsidR="00312AD0">
        <w:t>South Australia</w:t>
      </w:r>
      <w:r w:rsidR="007B7FDC">
        <w:t xml:space="preserve">’s </w:t>
      </w:r>
      <w:r w:rsidR="0055667D">
        <w:t xml:space="preserve">capacity to achieve the outcomes of the </w:t>
      </w:r>
      <w:r w:rsidR="004B268D">
        <w:t>Agreement</w:t>
      </w:r>
      <w:r>
        <w:t xml:space="preserve">. </w:t>
      </w:r>
    </w:p>
    <w:p w14:paraId="39941FE0" w14:textId="3CD65718" w:rsidR="0036688B" w:rsidRPr="00041625" w:rsidRDefault="0036688B" w:rsidP="0036688B">
      <w:pPr>
        <w:pStyle w:val="Normalnumbered"/>
        <w:spacing w:after="240" w:line="260" w:lineRule="exact"/>
      </w:pPr>
      <w:r>
        <w:t xml:space="preserve">This </w:t>
      </w:r>
      <w:r w:rsidR="00E47C62">
        <w:t>Implementation Plan</w:t>
      </w:r>
      <w:r>
        <w:t xml:space="preserve"> will cease on completion </w:t>
      </w:r>
      <w:r w:rsidR="00F9039F">
        <w:t xml:space="preserve">or termination </w:t>
      </w:r>
      <w:r>
        <w:t xml:space="preserve">of </w:t>
      </w:r>
      <w:r w:rsidR="00AC5296">
        <w:t xml:space="preserve">the </w:t>
      </w:r>
      <w:r w:rsidR="00E21E47">
        <w:t>Agreement</w:t>
      </w:r>
      <w:r w:rsidR="00BC5FA5">
        <w:t>, including final performance reporting and processing of final payments against performance milestones.</w:t>
      </w:r>
    </w:p>
    <w:p w14:paraId="0297993D" w14:textId="43AF894C" w:rsidR="0036688B" w:rsidRPr="00041625" w:rsidRDefault="0036688B" w:rsidP="0036688B">
      <w:pPr>
        <w:pStyle w:val="Normalnumbered"/>
        <w:spacing w:after="240" w:line="260" w:lineRule="exact"/>
      </w:pPr>
      <w:r>
        <w:t xml:space="preserve">This </w:t>
      </w:r>
      <w:r w:rsidR="00E47C62">
        <w:t>Implementation Plan</w:t>
      </w:r>
      <w:r>
        <w:t xml:space="preserve"> may be varied by written agreement between the </w:t>
      </w:r>
      <w:r w:rsidR="00D3241C">
        <w:t xml:space="preserve">Commonwealth and State </w:t>
      </w:r>
      <w:r>
        <w:t>Minister</w:t>
      </w:r>
      <w:r w:rsidR="0055667D">
        <w:t>s responsible for it</w:t>
      </w:r>
      <w:r w:rsidR="00D3241C">
        <w:t xml:space="preserve"> under the overarching </w:t>
      </w:r>
      <w:r w:rsidR="00E21E47">
        <w:t>Agreement.</w:t>
      </w:r>
    </w:p>
    <w:p w14:paraId="0CDE69DE" w14:textId="40330AC4" w:rsidR="0036688B" w:rsidRPr="00041625" w:rsidRDefault="0036688B" w:rsidP="0036688B">
      <w:pPr>
        <w:pStyle w:val="Normalnumbered"/>
        <w:spacing w:after="240" w:line="260" w:lineRule="exact"/>
      </w:pPr>
      <w:r>
        <w:t xml:space="preserve">The Parties to this </w:t>
      </w:r>
      <w:r w:rsidR="00E47C62">
        <w:t>Implementation Plan</w:t>
      </w:r>
      <w:r>
        <w:t xml:space="preserve"> do not intend any of the provisions to be legally enforceable. However, that does not lessen the Parties’ commitment to </w:t>
      </w:r>
      <w:r w:rsidR="00CD5739">
        <w:t xml:space="preserve">the </w:t>
      </w:r>
      <w:r w:rsidR="00E21E47">
        <w:t>Implementation Plan</w:t>
      </w:r>
      <w:r w:rsidR="00CD5739">
        <w:t xml:space="preserve"> and its </w:t>
      </w:r>
      <w:r w:rsidR="0055667D">
        <w:t xml:space="preserve">full </w:t>
      </w:r>
      <w:r>
        <w:t>implementation.</w:t>
      </w:r>
    </w:p>
    <w:p w14:paraId="3C74F086" w14:textId="77777777" w:rsidR="00231B70" w:rsidRDefault="00231B70">
      <w:pPr>
        <w:rPr>
          <w:rFonts w:ascii="Consolas" w:hAnsi="Consolas" w:cs="Arial"/>
          <w:bCs/>
          <w:caps/>
          <w:color w:val="3D4B67"/>
          <w:kern w:val="32"/>
          <w:sz w:val="32"/>
          <w:szCs w:val="36"/>
        </w:rPr>
      </w:pPr>
      <w:r>
        <w:br w:type="page"/>
      </w:r>
    </w:p>
    <w:p w14:paraId="79137067" w14:textId="77777777" w:rsidR="00231B70" w:rsidRDefault="00231B70" w:rsidP="00A17D70">
      <w:pPr>
        <w:pStyle w:val="Heading1"/>
      </w:pPr>
    </w:p>
    <w:p w14:paraId="4B901FAC" w14:textId="048B8FAC" w:rsidR="0036688B" w:rsidRPr="00B704A8" w:rsidRDefault="0036688B" w:rsidP="00A17D70">
      <w:pPr>
        <w:pStyle w:val="Heading1"/>
      </w:pPr>
      <w:r>
        <w:t xml:space="preserve">Part </w:t>
      </w:r>
      <w:r w:rsidR="00C26A29">
        <w:t>3</w:t>
      </w:r>
      <w:r>
        <w:t xml:space="preserve">: Strategy for </w:t>
      </w:r>
      <w:r w:rsidR="00312AD0">
        <w:t xml:space="preserve">south </w:t>
      </w:r>
      <w:r w:rsidR="5B6183A0">
        <w:t>Australia's</w:t>
      </w:r>
      <w:r>
        <w:t xml:space="preserve"> implementation</w:t>
      </w:r>
    </w:p>
    <w:p w14:paraId="731BF8E4" w14:textId="77777777" w:rsidR="0036688B" w:rsidRPr="00A17D70" w:rsidRDefault="0036688B" w:rsidP="00A17D70">
      <w:pPr>
        <w:pStyle w:val="Heading2"/>
      </w:pPr>
      <w:r>
        <w:t xml:space="preserve">Project information </w:t>
      </w:r>
    </w:p>
    <w:p w14:paraId="13283792" w14:textId="77777777" w:rsidR="17D7E5B9" w:rsidRDefault="17D7E5B9" w:rsidP="17D7E5B9"/>
    <w:p w14:paraId="2F1920FD" w14:textId="7F73815F" w:rsidR="00F50540" w:rsidRDefault="00F50540" w:rsidP="00F50540">
      <w:pPr>
        <w:pStyle w:val="Normalnumbered"/>
      </w:pPr>
      <w:r>
        <w:t xml:space="preserve">The project streams for the </w:t>
      </w:r>
      <w:r w:rsidRPr="4B6021E5">
        <w:rPr>
          <w:rFonts w:eastAsia="Corbel" w:cs="Corbel"/>
        </w:rPr>
        <w:t>South Australian Disaster Risk Reduction Grants Program</w:t>
      </w:r>
      <w:r>
        <w:t xml:space="preserve"> </w:t>
      </w:r>
      <w:r w:rsidR="000518BA">
        <w:t xml:space="preserve">will align with the objectives and priorities of the </w:t>
      </w:r>
      <w:r w:rsidR="00E21E47">
        <w:t xml:space="preserve">National </w:t>
      </w:r>
      <w:r w:rsidR="000518BA">
        <w:t xml:space="preserve">Disaster Risk Reduction Framework and </w:t>
      </w:r>
      <w:r>
        <w:t xml:space="preserve">are identified in Table 1 below. </w:t>
      </w:r>
    </w:p>
    <w:p w14:paraId="5CD68CA0" w14:textId="77777777" w:rsidR="0036688B" w:rsidRPr="00A17D70" w:rsidRDefault="0036688B" w:rsidP="00A17D70">
      <w:pPr>
        <w:pStyle w:val="Heading3"/>
      </w:pPr>
      <w:r>
        <w:t xml:space="preserve">Table 1: Project </w:t>
      </w:r>
      <w:r w:rsidR="2924EBBD">
        <w:t>streams</w:t>
      </w: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1879"/>
        <w:gridCol w:w="4679"/>
        <w:gridCol w:w="1417"/>
      </w:tblGrid>
      <w:tr w:rsidR="00D603D1" w:rsidRPr="000A72D2" w14:paraId="3CD53205" w14:textId="77777777" w:rsidTr="00281D69">
        <w:trPr>
          <w:cantSplit/>
        </w:trPr>
        <w:tc>
          <w:tcPr>
            <w:tcW w:w="386" w:type="pct"/>
            <w:shd w:val="clear" w:color="auto" w:fill="E6E6E6"/>
          </w:tcPr>
          <w:p w14:paraId="2DDDAF84" w14:textId="77777777" w:rsidR="00D603D1" w:rsidRPr="001B5415" w:rsidRDefault="00D603D1" w:rsidP="00A17D70">
            <w:pPr>
              <w:rPr>
                <w:b/>
              </w:rPr>
            </w:pPr>
            <w:r w:rsidRPr="001B5415">
              <w:rPr>
                <w:b/>
              </w:rPr>
              <w:t>No.</w:t>
            </w:r>
          </w:p>
        </w:tc>
        <w:tc>
          <w:tcPr>
            <w:tcW w:w="1087" w:type="pct"/>
            <w:shd w:val="clear" w:color="auto" w:fill="E6E6E6"/>
          </w:tcPr>
          <w:p w14:paraId="2CA3292E" w14:textId="77777777" w:rsidR="00D603D1" w:rsidRDefault="00D603D1" w:rsidP="00A17D70">
            <w:pPr>
              <w:rPr>
                <w:b/>
              </w:rPr>
            </w:pPr>
            <w:r w:rsidRPr="001B5415">
              <w:rPr>
                <w:b/>
              </w:rPr>
              <w:t>Title</w:t>
            </w:r>
          </w:p>
          <w:p w14:paraId="0A6F9578" w14:textId="77777777" w:rsidR="00D603D1" w:rsidRPr="001B5415" w:rsidRDefault="00D603D1" w:rsidP="00A17D70">
            <w:pPr>
              <w:rPr>
                <w:b/>
              </w:rPr>
            </w:pPr>
            <w:r>
              <w:rPr>
                <w:b/>
              </w:rPr>
              <w:t>(Streams)</w:t>
            </w:r>
          </w:p>
        </w:tc>
        <w:tc>
          <w:tcPr>
            <w:tcW w:w="2707" w:type="pct"/>
            <w:shd w:val="clear" w:color="auto" w:fill="E6E6E6"/>
          </w:tcPr>
          <w:p w14:paraId="75C5C234" w14:textId="77777777" w:rsidR="00D603D1" w:rsidRPr="001B5415" w:rsidRDefault="00D603D1" w:rsidP="00A17D70">
            <w:pPr>
              <w:rPr>
                <w:b/>
              </w:rPr>
            </w:pPr>
            <w:r w:rsidRPr="001B5415">
              <w:rPr>
                <w:b/>
              </w:rPr>
              <w:t>Short description</w:t>
            </w:r>
          </w:p>
        </w:tc>
        <w:tc>
          <w:tcPr>
            <w:tcW w:w="820" w:type="pct"/>
            <w:shd w:val="clear" w:color="auto" w:fill="E6E6E6"/>
          </w:tcPr>
          <w:p w14:paraId="224B4650" w14:textId="77777777" w:rsidR="00D603D1" w:rsidRPr="001B5415" w:rsidRDefault="00D603D1" w:rsidP="46CADA4D">
            <w:pPr>
              <w:rPr>
                <w:b/>
                <w:bCs/>
              </w:rPr>
            </w:pPr>
            <w:r w:rsidRPr="001B5415">
              <w:rPr>
                <w:b/>
                <w:bCs/>
                <w:spacing w:val="4"/>
                <w:lang w:val="en-US" w:eastAsia="en-US"/>
              </w:rPr>
              <w:t>Dependent on streams</w:t>
            </w:r>
          </w:p>
        </w:tc>
      </w:tr>
      <w:tr w:rsidR="00D603D1" w:rsidRPr="000A72D2" w14:paraId="49DD0BDA" w14:textId="77777777" w:rsidTr="00281D69">
        <w:trPr>
          <w:cantSplit/>
        </w:trPr>
        <w:tc>
          <w:tcPr>
            <w:tcW w:w="386" w:type="pct"/>
          </w:tcPr>
          <w:p w14:paraId="59ECC42E" w14:textId="77777777" w:rsidR="00D603D1" w:rsidRPr="000A72D2" w:rsidRDefault="00D603D1" w:rsidP="00A17D70">
            <w:r>
              <w:t>1</w:t>
            </w:r>
          </w:p>
        </w:tc>
        <w:tc>
          <w:tcPr>
            <w:tcW w:w="1087" w:type="pct"/>
          </w:tcPr>
          <w:p w14:paraId="6B2EF4CC" w14:textId="5DA7B09B" w:rsidR="00D603D1" w:rsidRDefault="00D603D1" w:rsidP="00A17D70">
            <w:r>
              <w:t>Leadership,</w:t>
            </w:r>
            <w:r w:rsidR="00E21E47">
              <w:t xml:space="preserve"> and Grants</w:t>
            </w:r>
            <w:r>
              <w:t xml:space="preserve"> Administration </w:t>
            </w:r>
            <w:r w:rsidR="00E21E47">
              <w:t>and</w:t>
            </w:r>
            <w:r>
              <w:t xml:space="preserve"> Project Support</w:t>
            </w:r>
            <w:r w:rsidR="00AB6691" w:rsidRPr="008264ED">
              <w:rPr>
                <w:vertAlign w:val="superscript"/>
              </w:rPr>
              <w:t>1</w:t>
            </w:r>
          </w:p>
          <w:p w14:paraId="4B367F4D" w14:textId="77777777" w:rsidR="00D603D1" w:rsidRDefault="00D603D1" w:rsidP="00A17D70"/>
          <w:p w14:paraId="04BE8671" w14:textId="5F718400" w:rsidR="00D603D1" w:rsidRPr="000A72D2" w:rsidRDefault="00D603D1" w:rsidP="00A17D70"/>
        </w:tc>
        <w:tc>
          <w:tcPr>
            <w:tcW w:w="2707" w:type="pct"/>
          </w:tcPr>
          <w:p w14:paraId="76A77419" w14:textId="77777777" w:rsidR="00231B70" w:rsidRDefault="00D603D1" w:rsidP="00A17D70">
            <w:r>
              <w:t xml:space="preserve">The South Australian Fire and Emergency Services Commission (SAFECOM) will undertake a </w:t>
            </w:r>
            <w:r w:rsidRPr="00110BA0">
              <w:t>strategic leadership</w:t>
            </w:r>
            <w:r w:rsidR="00231B70">
              <w:t xml:space="preserve"> role in implementing the National Disaster Risk Reduction Framework in South Australia. </w:t>
            </w:r>
          </w:p>
          <w:p w14:paraId="36C3E4BC" w14:textId="51904CA8" w:rsidR="00D603D1" w:rsidRDefault="00231B70" w:rsidP="00A17D70">
            <w:r>
              <w:t xml:space="preserve">This will be </w:t>
            </w:r>
            <w:r w:rsidR="00D603D1">
              <w:t xml:space="preserve">achieved by </w:t>
            </w:r>
            <w:r w:rsidR="00D603D1" w:rsidRPr="00110BA0">
              <w:t>coordinating</w:t>
            </w:r>
            <w:r w:rsidR="00D603D1">
              <w:t xml:space="preserve"> </w:t>
            </w:r>
            <w:r w:rsidR="00281D69">
              <w:t>broad/</w:t>
            </w:r>
            <w:r w:rsidR="00D603D1">
              <w:t>whole-of-state multi</w:t>
            </w:r>
            <w:r w:rsidR="00E21E47">
              <w:t>-</w:t>
            </w:r>
            <w:r w:rsidR="00D603D1">
              <w:t>hazard risk reduction and resilience building initiatives to support shared responsibility across State and local governments and the non-govern</w:t>
            </w:r>
            <w:r>
              <w:t>ment sector. Under this stream</w:t>
            </w:r>
            <w:r w:rsidR="00D603D1">
              <w:t xml:space="preserve"> SAFECOM will </w:t>
            </w:r>
            <w:r>
              <w:t xml:space="preserve">also </w:t>
            </w:r>
            <w:r w:rsidR="00D603D1">
              <w:t xml:space="preserve">ensure </w:t>
            </w:r>
            <w:r w:rsidR="00D603D1" w:rsidRPr="00110BA0">
              <w:t>compliance</w:t>
            </w:r>
            <w:r w:rsidR="00D603D1">
              <w:t xml:space="preserve"> with </w:t>
            </w:r>
            <w:r w:rsidR="00D603D1" w:rsidRPr="00110BA0">
              <w:t>administration and reporting</w:t>
            </w:r>
            <w:r w:rsidR="00D603D1">
              <w:t xml:space="preserve"> requirements</w:t>
            </w:r>
            <w:r>
              <w:t xml:space="preserve">, </w:t>
            </w:r>
            <w:r w:rsidR="00D603D1" w:rsidRPr="00110BA0">
              <w:t>monitor</w:t>
            </w:r>
            <w:r w:rsidR="00D603D1">
              <w:t xml:space="preserve"> the grant program streams</w:t>
            </w:r>
            <w:r>
              <w:t xml:space="preserve">, </w:t>
            </w:r>
            <w:r w:rsidRPr="00231B70">
              <w:t>and provide support to the State Assessment Panel and projects to ensure that the key objectives and outcomes of the Agreement are met.</w:t>
            </w:r>
          </w:p>
          <w:p w14:paraId="142ACCA7" w14:textId="77777777" w:rsidR="00D603D1" w:rsidRPr="000A72D2" w:rsidRDefault="00D603D1" w:rsidP="00A17D70"/>
        </w:tc>
        <w:tc>
          <w:tcPr>
            <w:tcW w:w="820" w:type="pct"/>
          </w:tcPr>
          <w:p w14:paraId="529F71C9" w14:textId="77777777" w:rsidR="00D603D1" w:rsidRPr="000A72D2" w:rsidRDefault="00D603D1" w:rsidP="00A17D70">
            <w:r>
              <w:t>2,3,4,5</w:t>
            </w:r>
          </w:p>
        </w:tc>
      </w:tr>
      <w:tr w:rsidR="00D603D1" w:rsidRPr="000A72D2" w14:paraId="34AB42A6" w14:textId="77777777" w:rsidTr="00281D69">
        <w:trPr>
          <w:cantSplit/>
        </w:trPr>
        <w:tc>
          <w:tcPr>
            <w:tcW w:w="386" w:type="pct"/>
          </w:tcPr>
          <w:p w14:paraId="401C903F" w14:textId="77777777" w:rsidR="00D603D1" w:rsidRPr="000A72D2" w:rsidRDefault="00D603D1" w:rsidP="00A17D70">
            <w:r>
              <w:t>2</w:t>
            </w:r>
          </w:p>
        </w:tc>
        <w:tc>
          <w:tcPr>
            <w:tcW w:w="1087" w:type="pct"/>
          </w:tcPr>
          <w:p w14:paraId="22D6A9DD" w14:textId="37B664A0" w:rsidR="00D603D1" w:rsidRDefault="00D603D1" w:rsidP="00A17D70">
            <w:r>
              <w:t xml:space="preserve">Innovation – Seed Funding </w:t>
            </w:r>
          </w:p>
          <w:p w14:paraId="203F491F" w14:textId="77777777" w:rsidR="00D603D1" w:rsidRDefault="00D603D1" w:rsidP="00A17D70">
            <w:r>
              <w:t xml:space="preserve">in partnership with Future Industries Exchange for Entrepreneurship (FIXE) </w:t>
            </w:r>
          </w:p>
          <w:p w14:paraId="3CC6964D" w14:textId="77777777" w:rsidR="00D603D1" w:rsidRDefault="00D603D1" w:rsidP="00A17D70"/>
          <w:p w14:paraId="2980E39D" w14:textId="77777777" w:rsidR="00D603D1" w:rsidRPr="000A72D2" w:rsidRDefault="00D603D1" w:rsidP="00A17D70"/>
        </w:tc>
        <w:tc>
          <w:tcPr>
            <w:tcW w:w="2707" w:type="pct"/>
          </w:tcPr>
          <w:p w14:paraId="03B3A988" w14:textId="6BE2CD1C" w:rsidR="00D603D1" w:rsidRPr="000A72D2" w:rsidRDefault="00281D69" w:rsidP="009862C1">
            <w:r>
              <w:t xml:space="preserve">In partnership with FIXE, the Innovation – Seed Funding </w:t>
            </w:r>
            <w:r w:rsidR="009862C1">
              <w:t xml:space="preserve">Stream </w:t>
            </w:r>
            <w:r>
              <w:t>will support activities that align to priorities and outcomes identified in the National Disaster Risk Reduction Framework and related elements in other key Strategic Documents</w:t>
            </w:r>
            <w:r w:rsidR="009F6012">
              <w:t>.</w:t>
            </w:r>
            <w:r>
              <w:rPr>
                <w:vertAlign w:val="superscript"/>
              </w:rPr>
              <w:t>2</w:t>
            </w:r>
            <w:r>
              <w:t xml:space="preserve"> </w:t>
            </w:r>
            <w:r w:rsidRPr="004B268D">
              <w:t>Within that broad scope</w:t>
            </w:r>
            <w:r w:rsidR="009862C1">
              <w:t>,</w:t>
            </w:r>
            <w:r w:rsidRPr="004B268D">
              <w:t xml:space="preserve"> challenges or problems identified from within the emergency management sector will be </w:t>
            </w:r>
            <w:r w:rsidR="009F6012" w:rsidRPr="004B268D">
              <w:t>identified,</w:t>
            </w:r>
            <w:r w:rsidR="009F6012">
              <w:t xml:space="preserve"> with a</w:t>
            </w:r>
            <w:r>
              <w:t>gencies/organisations invited to submit proposals</w:t>
            </w:r>
            <w:r w:rsidR="009F6012">
              <w:t xml:space="preserve"> to address these chall</w:t>
            </w:r>
            <w:r w:rsidR="00E21E47">
              <w:t>e</w:t>
            </w:r>
            <w:r w:rsidR="009F6012">
              <w:t>nges.</w:t>
            </w:r>
            <w:r>
              <w:t xml:space="preserve"> </w:t>
            </w:r>
            <w:r w:rsidR="009F6012">
              <w:t>S</w:t>
            </w:r>
            <w:r>
              <w:t>uccessful seed funded innovation projects may be eligible to apply in subsequent funding rounds under Stream 3 Innovation -</w:t>
            </w:r>
            <w:r w:rsidR="009862C1">
              <w:t xml:space="preserve"> </w:t>
            </w:r>
            <w:r>
              <w:t>Scaling up.</w:t>
            </w:r>
            <w:r w:rsidR="00D603D1">
              <w:t xml:space="preserve"> </w:t>
            </w:r>
          </w:p>
        </w:tc>
        <w:tc>
          <w:tcPr>
            <w:tcW w:w="820" w:type="pct"/>
          </w:tcPr>
          <w:p w14:paraId="40A5D363" w14:textId="21E40061" w:rsidR="00D603D1" w:rsidRPr="000A72D2" w:rsidRDefault="009862C1" w:rsidP="00A17D70">
            <w:r>
              <w:t>N/A</w:t>
            </w:r>
          </w:p>
        </w:tc>
      </w:tr>
      <w:tr w:rsidR="00281D69" w:rsidRPr="000A72D2" w14:paraId="5F1D2470" w14:textId="77777777" w:rsidTr="00281D69">
        <w:trPr>
          <w:cantSplit/>
        </w:trPr>
        <w:tc>
          <w:tcPr>
            <w:tcW w:w="386" w:type="pct"/>
          </w:tcPr>
          <w:p w14:paraId="2928B14C" w14:textId="77777777" w:rsidR="00281D69" w:rsidRPr="000A72D2" w:rsidRDefault="00281D69" w:rsidP="00281D69">
            <w:r>
              <w:lastRenderedPageBreak/>
              <w:t>3</w:t>
            </w:r>
          </w:p>
        </w:tc>
        <w:tc>
          <w:tcPr>
            <w:tcW w:w="1087" w:type="pct"/>
          </w:tcPr>
          <w:p w14:paraId="19268608" w14:textId="4DBD3E92" w:rsidR="00281D69" w:rsidRDefault="00281D69" w:rsidP="00281D69">
            <w:r>
              <w:t>Innovation - Scaling Up</w:t>
            </w:r>
          </w:p>
          <w:p w14:paraId="29E0C09F" w14:textId="77777777" w:rsidR="00281D69" w:rsidRDefault="00281D69" w:rsidP="00281D69"/>
          <w:p w14:paraId="7353B88D" w14:textId="77777777" w:rsidR="00281D69" w:rsidRDefault="00281D69" w:rsidP="00281D69"/>
          <w:p w14:paraId="6DDBFDC5" w14:textId="77777777" w:rsidR="00281D69" w:rsidRDefault="00281D69" w:rsidP="00281D69"/>
          <w:p w14:paraId="2BA354D8" w14:textId="77777777" w:rsidR="00281D69" w:rsidRDefault="00281D69" w:rsidP="00281D69"/>
          <w:p w14:paraId="33FABA10" w14:textId="77777777" w:rsidR="00281D69" w:rsidRPr="000A72D2" w:rsidRDefault="00281D69" w:rsidP="00281D69"/>
        </w:tc>
        <w:tc>
          <w:tcPr>
            <w:tcW w:w="2707" w:type="pct"/>
          </w:tcPr>
          <w:p w14:paraId="435C3B0F" w14:textId="73F78D9A" w:rsidR="00281D69" w:rsidRPr="000713F9" w:rsidRDefault="00281D69" w:rsidP="00281D69">
            <w:pPr>
              <w:rPr>
                <w:color w:val="auto"/>
              </w:rPr>
            </w:pPr>
            <w:r w:rsidRPr="4B6021E5">
              <w:rPr>
                <w:color w:val="auto"/>
              </w:rPr>
              <w:t>Th</w:t>
            </w:r>
            <w:r w:rsidR="00E21E47">
              <w:rPr>
                <w:color w:val="auto"/>
              </w:rPr>
              <w:t xml:space="preserve">e Innovation – Scaling Up </w:t>
            </w:r>
            <w:r w:rsidRPr="4B6021E5">
              <w:rPr>
                <w:color w:val="auto"/>
              </w:rPr>
              <w:t>Stream is designed to build on the outputs of Stream 2.  Seed fund</w:t>
            </w:r>
            <w:r>
              <w:rPr>
                <w:color w:val="auto"/>
              </w:rPr>
              <w:t>ed</w:t>
            </w:r>
            <w:r w:rsidRPr="4B6021E5">
              <w:rPr>
                <w:color w:val="auto"/>
              </w:rPr>
              <w:t xml:space="preserve"> projects with demonstrated merit </w:t>
            </w:r>
            <w:r>
              <w:rPr>
                <w:color w:val="auto"/>
              </w:rPr>
              <w:t xml:space="preserve">in the disaster risk reduction space </w:t>
            </w:r>
            <w:r w:rsidRPr="4B6021E5">
              <w:rPr>
                <w:color w:val="auto"/>
              </w:rPr>
              <w:t>will have the opportunity</w:t>
            </w:r>
            <w:r>
              <w:rPr>
                <w:color w:val="auto"/>
              </w:rPr>
              <w:t xml:space="preserve"> to scale-up or build upon the established innovation on a broader community or systems level.</w:t>
            </w:r>
          </w:p>
        </w:tc>
        <w:tc>
          <w:tcPr>
            <w:tcW w:w="820" w:type="pct"/>
          </w:tcPr>
          <w:p w14:paraId="253E38FE" w14:textId="77777777" w:rsidR="00281D69" w:rsidRPr="000A72D2" w:rsidRDefault="00281D69" w:rsidP="00281D69">
            <w:r>
              <w:t>2</w:t>
            </w:r>
          </w:p>
        </w:tc>
      </w:tr>
      <w:tr w:rsidR="00281D69" w:rsidRPr="000A72D2" w14:paraId="71A6019A" w14:textId="77777777" w:rsidTr="00281D69">
        <w:trPr>
          <w:cantSplit/>
        </w:trPr>
        <w:tc>
          <w:tcPr>
            <w:tcW w:w="386" w:type="pct"/>
          </w:tcPr>
          <w:p w14:paraId="7C0BD76B" w14:textId="77777777" w:rsidR="00281D69" w:rsidRDefault="00281D69" w:rsidP="00281D69">
            <w:r>
              <w:t>4</w:t>
            </w:r>
          </w:p>
        </w:tc>
        <w:tc>
          <w:tcPr>
            <w:tcW w:w="1087" w:type="pct"/>
          </w:tcPr>
          <w:p w14:paraId="6D5411F0" w14:textId="1A317E31" w:rsidR="00281D69" w:rsidRDefault="00281D69" w:rsidP="00281D69">
            <w:r>
              <w:t xml:space="preserve">State Strategic Projects   </w:t>
            </w:r>
          </w:p>
          <w:p w14:paraId="5626AD32" w14:textId="77777777" w:rsidR="00281D69" w:rsidRDefault="00281D69" w:rsidP="00281D69"/>
          <w:p w14:paraId="3DF08A02" w14:textId="59ABFF81" w:rsidR="00281D69" w:rsidRPr="000A72D2" w:rsidRDefault="00281D69" w:rsidP="00281D69"/>
        </w:tc>
        <w:tc>
          <w:tcPr>
            <w:tcW w:w="2707" w:type="pct"/>
          </w:tcPr>
          <w:p w14:paraId="0DA27300" w14:textId="043A0FE3" w:rsidR="00281D69" w:rsidRPr="000A72D2" w:rsidRDefault="00281D69" w:rsidP="00281D69">
            <w:r>
              <w:t>Th</w:t>
            </w:r>
            <w:r w:rsidR="00E21E47">
              <w:t xml:space="preserve">e State Strategic Project </w:t>
            </w:r>
            <w:r>
              <w:t xml:space="preserve">Stream will assist the State Emergency Management Committee (SEMC) to progress priorities and </w:t>
            </w:r>
            <w:r w:rsidR="00E21E47">
              <w:t xml:space="preserve">intended </w:t>
            </w:r>
            <w:r>
              <w:t xml:space="preserve">outcomes identified in the National Disaster Risk Reduction Framework and related objectives identified in key </w:t>
            </w:r>
            <w:r w:rsidR="009F6012">
              <w:t>s</w:t>
            </w:r>
            <w:r>
              <w:t xml:space="preserve">trategic </w:t>
            </w:r>
            <w:r w:rsidR="009F6012">
              <w:t>d</w:t>
            </w:r>
            <w:r>
              <w:t>ocuments</w:t>
            </w:r>
            <w:r w:rsidR="009F6012">
              <w:t>.</w:t>
            </w:r>
            <w:r>
              <w:rPr>
                <w:vertAlign w:val="superscript"/>
              </w:rPr>
              <w:t>2</w:t>
            </w:r>
            <w:r>
              <w:t xml:space="preserve"> </w:t>
            </w:r>
            <w:r w:rsidR="009F6012">
              <w:t>Supported i</w:t>
            </w:r>
            <w:r>
              <w:t xml:space="preserve">nitiatives will be strategic in nature and most efficiently conducted at a </w:t>
            </w:r>
            <w:r w:rsidR="009F6012">
              <w:t>s</w:t>
            </w:r>
            <w:r>
              <w:t xml:space="preserve">tate-level to deliver sustainable </w:t>
            </w:r>
            <w:r w:rsidR="00E21E47">
              <w:t xml:space="preserve">disaster </w:t>
            </w:r>
            <w:r>
              <w:t xml:space="preserve">risk reduction benefits across a range of hazards. </w:t>
            </w:r>
          </w:p>
        </w:tc>
        <w:tc>
          <w:tcPr>
            <w:tcW w:w="820" w:type="pct"/>
          </w:tcPr>
          <w:p w14:paraId="079EC987" w14:textId="43A544D9" w:rsidR="00281D69" w:rsidRDefault="009862C1" w:rsidP="00281D69">
            <w:r>
              <w:t>N/A</w:t>
            </w:r>
          </w:p>
        </w:tc>
      </w:tr>
      <w:tr w:rsidR="00281D69" w:rsidRPr="000A72D2" w14:paraId="4BAF05BB" w14:textId="77777777" w:rsidTr="00281D69">
        <w:trPr>
          <w:cantSplit/>
        </w:trPr>
        <w:tc>
          <w:tcPr>
            <w:tcW w:w="386" w:type="pct"/>
          </w:tcPr>
          <w:p w14:paraId="08986EAE" w14:textId="77777777" w:rsidR="00281D69" w:rsidRDefault="00281D69" w:rsidP="00281D69">
            <w:r>
              <w:t>5</w:t>
            </w:r>
          </w:p>
        </w:tc>
        <w:tc>
          <w:tcPr>
            <w:tcW w:w="1087" w:type="pct"/>
          </w:tcPr>
          <w:p w14:paraId="5ADAB4E5" w14:textId="77777777" w:rsidR="00281D69" w:rsidRDefault="00281D69" w:rsidP="00281D69">
            <w:r>
              <w:t>Disaster Risk Reduction Grants</w:t>
            </w:r>
          </w:p>
          <w:p w14:paraId="6DEBD5F3" w14:textId="77777777" w:rsidR="00281D69" w:rsidRDefault="00281D69" w:rsidP="00281D69"/>
          <w:p w14:paraId="0B7BAC03" w14:textId="77777777" w:rsidR="00281D69" w:rsidRDefault="00281D69" w:rsidP="00281D69"/>
          <w:p w14:paraId="0B83453E" w14:textId="77777777" w:rsidR="00281D69" w:rsidRPr="000A72D2" w:rsidRDefault="00281D69" w:rsidP="00281D69"/>
        </w:tc>
        <w:tc>
          <w:tcPr>
            <w:tcW w:w="2707" w:type="pct"/>
          </w:tcPr>
          <w:p w14:paraId="2D5B93F3" w14:textId="19F51475" w:rsidR="00E21E47" w:rsidRDefault="00281D69" w:rsidP="00E21E47">
            <w:r>
              <w:t>Th</w:t>
            </w:r>
            <w:r w:rsidR="00E21E47">
              <w:t>e Disaster Risk Reduction Grants</w:t>
            </w:r>
          </w:p>
          <w:p w14:paraId="460421BB" w14:textId="544CB81D" w:rsidR="00281D69" w:rsidRPr="000A72D2" w:rsidRDefault="00281D69" w:rsidP="00281D69">
            <w:r>
              <w:t xml:space="preserve">Stream will fund projects that align </w:t>
            </w:r>
            <w:r w:rsidR="009862C1">
              <w:t>with,</w:t>
            </w:r>
            <w:r>
              <w:t xml:space="preserve"> and progress </w:t>
            </w:r>
            <w:r w:rsidR="009862C1">
              <w:t xml:space="preserve">the </w:t>
            </w:r>
            <w:r>
              <w:t xml:space="preserve">priorities and outcomes identified in the National Disaster Risk Reduction Framework and related elements of other key </w:t>
            </w:r>
            <w:r w:rsidR="009F6012">
              <w:t>s</w:t>
            </w:r>
            <w:r>
              <w:t xml:space="preserve">trategic </w:t>
            </w:r>
            <w:r w:rsidR="009F6012">
              <w:t>d</w:t>
            </w:r>
            <w:r>
              <w:t>ocuments</w:t>
            </w:r>
            <w:r>
              <w:rPr>
                <w:vertAlign w:val="superscript"/>
              </w:rPr>
              <w:t xml:space="preserve">2 </w:t>
            </w:r>
            <w:r>
              <w:t>that demonstrate sustainable outcomes.</w:t>
            </w:r>
          </w:p>
        </w:tc>
        <w:tc>
          <w:tcPr>
            <w:tcW w:w="820" w:type="pct"/>
          </w:tcPr>
          <w:p w14:paraId="0FFF2EB1" w14:textId="3CC7ECB2" w:rsidR="00281D69" w:rsidRDefault="009862C1" w:rsidP="00281D69">
            <w:r>
              <w:t>N/A</w:t>
            </w:r>
          </w:p>
        </w:tc>
      </w:tr>
    </w:tbl>
    <w:p w14:paraId="7C70F165" w14:textId="365138F2" w:rsidR="00AB6691" w:rsidRDefault="00AB6691" w:rsidP="00AB6691">
      <w:pPr>
        <w:pStyle w:val="ListParagraph"/>
        <w:numPr>
          <w:ilvl w:val="0"/>
          <w:numId w:val="4"/>
        </w:numPr>
        <w:rPr>
          <w:sz w:val="18"/>
          <w:szCs w:val="18"/>
        </w:rPr>
      </w:pPr>
      <w:r>
        <w:rPr>
          <w:b/>
          <w:bCs/>
          <w:color w:val="auto"/>
          <w:sz w:val="18"/>
          <w:szCs w:val="18"/>
        </w:rPr>
        <w:t xml:space="preserve"> </w:t>
      </w:r>
      <w:r>
        <w:rPr>
          <w:sz w:val="18"/>
          <w:szCs w:val="18"/>
        </w:rPr>
        <w:t xml:space="preserve">Leadership, Administration and Project Support </w:t>
      </w:r>
    </w:p>
    <w:p w14:paraId="57BFB2FD" w14:textId="192EC68A" w:rsidR="00281D69" w:rsidRPr="008264ED" w:rsidRDefault="00281D69" w:rsidP="00281D69">
      <w:pPr>
        <w:ind w:left="360"/>
        <w:rPr>
          <w:sz w:val="18"/>
          <w:szCs w:val="18"/>
        </w:rPr>
      </w:pPr>
      <w:r w:rsidRPr="008264ED">
        <w:rPr>
          <w:sz w:val="18"/>
          <w:szCs w:val="18"/>
        </w:rPr>
        <w:t>Comprises 3 FTEs</w:t>
      </w:r>
      <w:r w:rsidR="00E21E47">
        <w:rPr>
          <w:sz w:val="18"/>
          <w:szCs w:val="18"/>
        </w:rPr>
        <w:t>:</w:t>
      </w:r>
      <w:r w:rsidRPr="008264ED">
        <w:rPr>
          <w:sz w:val="18"/>
          <w:szCs w:val="18"/>
        </w:rPr>
        <w:t xml:space="preserve"> 1 FTE to lead implementation of the National Disaster Risk Reduction Framework in SA. 2 FTEs to administer the </w:t>
      </w:r>
      <w:r w:rsidR="009F6012" w:rsidRPr="003B2672">
        <w:rPr>
          <w:rFonts w:eastAsia="Corbel"/>
          <w:sz w:val="18"/>
          <w:szCs w:val="18"/>
        </w:rPr>
        <w:t xml:space="preserve">South Australian Disaster Risk Reduction Grants </w:t>
      </w:r>
      <w:r w:rsidR="009F6012">
        <w:rPr>
          <w:sz w:val="18"/>
          <w:szCs w:val="18"/>
        </w:rPr>
        <w:t>P</w:t>
      </w:r>
      <w:r w:rsidRPr="008264ED">
        <w:rPr>
          <w:sz w:val="18"/>
          <w:szCs w:val="18"/>
        </w:rPr>
        <w:t xml:space="preserve">rogram, provide executive support to the State Assessment Panel, general project support, ensure compliance and address internal and external audit enquiries.  </w:t>
      </w:r>
    </w:p>
    <w:p w14:paraId="147BB113" w14:textId="3D50F216" w:rsidR="01B7FA7C" w:rsidRPr="002B2051" w:rsidRDefault="00AB6691" w:rsidP="00AB6691">
      <w:pPr>
        <w:pStyle w:val="Heading2"/>
        <w:ind w:left="360"/>
        <w:rPr>
          <w:rFonts w:eastAsia="Corbel" w:cs="Corbel"/>
          <w:sz w:val="18"/>
          <w:szCs w:val="18"/>
        </w:rPr>
      </w:pPr>
      <w:r>
        <w:rPr>
          <w:b w:val="0"/>
          <w:bCs w:val="0"/>
          <w:color w:val="auto"/>
          <w:sz w:val="18"/>
          <w:szCs w:val="18"/>
        </w:rPr>
        <w:t xml:space="preserve">2.         </w:t>
      </w:r>
      <w:r w:rsidR="01B7FA7C" w:rsidRPr="4B6021E5">
        <w:rPr>
          <w:b w:val="0"/>
          <w:bCs w:val="0"/>
          <w:color w:val="auto"/>
          <w:sz w:val="18"/>
          <w:szCs w:val="18"/>
        </w:rPr>
        <w:t>Strategic documents:</w:t>
      </w:r>
      <w:r w:rsidR="00B193CD" w:rsidRPr="4B6021E5">
        <w:rPr>
          <w:b w:val="0"/>
          <w:bCs w:val="0"/>
          <w:color w:val="auto"/>
          <w:sz w:val="18"/>
          <w:szCs w:val="18"/>
        </w:rPr>
        <w:t xml:space="preserve"> Refer </w:t>
      </w:r>
      <w:r w:rsidR="2AE16DF9" w:rsidRPr="4B6021E5">
        <w:rPr>
          <w:b w:val="0"/>
          <w:bCs w:val="0"/>
          <w:color w:val="auto"/>
          <w:sz w:val="18"/>
          <w:szCs w:val="18"/>
        </w:rPr>
        <w:t>to Program Logic</w:t>
      </w:r>
      <w:r w:rsidR="00603D2B">
        <w:rPr>
          <w:b w:val="0"/>
          <w:bCs w:val="0"/>
          <w:color w:val="auto"/>
          <w:sz w:val="18"/>
          <w:szCs w:val="18"/>
        </w:rPr>
        <w:t xml:space="preserve"> </w:t>
      </w:r>
      <w:r w:rsidR="003B2672">
        <w:rPr>
          <w:b w:val="0"/>
          <w:bCs w:val="0"/>
          <w:color w:val="auto"/>
          <w:sz w:val="18"/>
          <w:szCs w:val="18"/>
        </w:rPr>
        <w:t>(</w:t>
      </w:r>
      <w:r w:rsidR="00603D2B">
        <w:rPr>
          <w:b w:val="0"/>
          <w:bCs w:val="0"/>
          <w:color w:val="auto"/>
          <w:sz w:val="18"/>
          <w:szCs w:val="18"/>
        </w:rPr>
        <w:t>1</w:t>
      </w:r>
      <w:r w:rsidR="00336359">
        <w:rPr>
          <w:b w:val="0"/>
          <w:bCs w:val="0"/>
          <w:color w:val="auto"/>
          <w:sz w:val="18"/>
          <w:szCs w:val="18"/>
        </w:rPr>
        <w:t>4</w:t>
      </w:r>
      <w:r w:rsidR="003B2672">
        <w:rPr>
          <w:b w:val="0"/>
          <w:bCs w:val="0"/>
          <w:color w:val="auto"/>
          <w:sz w:val="18"/>
          <w:szCs w:val="18"/>
        </w:rPr>
        <w:t>)</w:t>
      </w:r>
      <w:r w:rsidR="00B193CD" w:rsidRPr="4B6021E5">
        <w:rPr>
          <w:b w:val="0"/>
          <w:bCs w:val="0"/>
          <w:color w:val="auto"/>
          <w:sz w:val="18"/>
          <w:szCs w:val="18"/>
        </w:rPr>
        <w:t>.</w:t>
      </w:r>
    </w:p>
    <w:p w14:paraId="6715A047" w14:textId="77777777" w:rsidR="008A1747" w:rsidRPr="00A36A37" w:rsidRDefault="008A1747" w:rsidP="00A17D70">
      <w:pPr>
        <w:pStyle w:val="Heading2"/>
      </w:pPr>
      <w:r>
        <w:t>Estimated costs</w:t>
      </w:r>
    </w:p>
    <w:p w14:paraId="43B2A7D3" w14:textId="77777777" w:rsidR="17D7E5B9" w:rsidRDefault="17D7E5B9" w:rsidP="17D7E5B9"/>
    <w:p w14:paraId="37DD0FF0" w14:textId="6642E5D3" w:rsidR="008A1747" w:rsidRDefault="008A1747" w:rsidP="008A1747">
      <w:pPr>
        <w:pStyle w:val="Normalnumbered"/>
        <w:spacing w:after="240" w:line="260" w:lineRule="exact"/>
      </w:pPr>
      <w:r>
        <w:t xml:space="preserve">The maximum financial contribution to be provided by the Commonwealth </w:t>
      </w:r>
      <w:r w:rsidR="00110BA0">
        <w:t xml:space="preserve">for the project </w:t>
      </w:r>
      <w:r w:rsidR="004C1F0A">
        <w:t xml:space="preserve">to South Australia </w:t>
      </w:r>
      <w:r>
        <w:t xml:space="preserve">is </w:t>
      </w:r>
      <w:r w:rsidR="00620770">
        <w:t>$8.35</w:t>
      </w:r>
      <w:r w:rsidR="00110BA0">
        <w:t>2</w:t>
      </w:r>
      <w:r w:rsidR="00620770">
        <w:t xml:space="preserve">m </w:t>
      </w:r>
      <w:r>
        <w:t xml:space="preserve">payable in accordance with milestones set out in the </w:t>
      </w:r>
      <w:r w:rsidR="009F6012">
        <w:t>Agreement</w:t>
      </w:r>
      <w:r>
        <w:t>.  All payments are exclusive of GST.</w:t>
      </w:r>
    </w:p>
    <w:p w14:paraId="623C35CA" w14:textId="214076D0" w:rsidR="00281D69" w:rsidRPr="00FE6374" w:rsidRDefault="008264ED" w:rsidP="008A1747">
      <w:pPr>
        <w:pStyle w:val="Normalnumbered"/>
        <w:spacing w:after="240" w:line="260" w:lineRule="exact"/>
      </w:pPr>
      <w:r w:rsidRPr="00FE6374">
        <w:t>S</w:t>
      </w:r>
      <w:r w:rsidR="00E21E47" w:rsidRPr="00FE6374">
        <w:t xml:space="preserve">outh Australia </w:t>
      </w:r>
      <w:r w:rsidRPr="00FE6374">
        <w:t xml:space="preserve">considered a range of options to accommodate the delay in establishment of the </w:t>
      </w:r>
      <w:r w:rsidR="009F6012" w:rsidRPr="00FE6374">
        <w:t xml:space="preserve">Agreement </w:t>
      </w:r>
      <w:r w:rsidR="00E21E47" w:rsidRPr="00FE6374">
        <w:t>and has decided</w:t>
      </w:r>
      <w:r w:rsidRPr="00FE6374">
        <w:t xml:space="preserve"> to </w:t>
      </w:r>
      <w:r w:rsidR="00E21E47" w:rsidRPr="00FE6374">
        <w:t>conduct a four</w:t>
      </w:r>
      <w:r w:rsidR="006E190F" w:rsidRPr="00FE6374">
        <w:t>-</w:t>
      </w:r>
      <w:r w:rsidR="00E21E47" w:rsidRPr="00FE6374">
        <w:t>year</w:t>
      </w:r>
      <w:r w:rsidR="009F6012" w:rsidRPr="00FE6374">
        <w:t xml:space="preserve"> </w:t>
      </w:r>
      <w:r w:rsidR="00E21E47" w:rsidRPr="00FE6374">
        <w:t xml:space="preserve">program to align with the </w:t>
      </w:r>
      <w:r w:rsidR="009F6012" w:rsidRPr="00FE6374">
        <w:t>Agreement</w:t>
      </w:r>
      <w:r w:rsidR="00E21E47" w:rsidRPr="00FE6374">
        <w:t xml:space="preserve"> expiry date of 30 June 2024</w:t>
      </w:r>
      <w:r w:rsidR="00336359">
        <w:t>.</w:t>
      </w:r>
      <w:r w:rsidR="00E21E47" w:rsidRPr="00FE6374">
        <w:t xml:space="preserve"> </w:t>
      </w:r>
    </w:p>
    <w:p w14:paraId="53E7AEC7" w14:textId="5652361F" w:rsidR="00CD20A4" w:rsidRPr="00432B5D" w:rsidRDefault="008A1747" w:rsidP="00CD20A4">
      <w:pPr>
        <w:pStyle w:val="Normalnumbered"/>
        <w:spacing w:after="240" w:line="260" w:lineRule="exact"/>
      </w:pPr>
      <w:r>
        <w:t xml:space="preserve">The estimated overall budget (exclusive of GST) is set out in Table 2.  The budget is indicative only and </w:t>
      </w:r>
      <w:r w:rsidR="00312AD0">
        <w:t xml:space="preserve">South Australia </w:t>
      </w:r>
      <w:r>
        <w:t xml:space="preserve">retains the flexibility to move funds between </w:t>
      </w:r>
      <w:r w:rsidR="77FAD4C8">
        <w:t>stream</w:t>
      </w:r>
      <w:r w:rsidR="00A40AD6">
        <w:t xml:space="preserve">s </w:t>
      </w:r>
      <w:r>
        <w:t>and/or years, as long as outcomes are not affected.  The Commonwealth contribution can only be moved between years with the agreement of the Commonwealth.</w:t>
      </w:r>
      <w:r w:rsidR="00CD20A4">
        <w:br/>
      </w:r>
    </w:p>
    <w:p w14:paraId="78E17B56" w14:textId="77777777" w:rsidR="008A1747" w:rsidRPr="00E8160C" w:rsidRDefault="008A1747" w:rsidP="4B6021E5">
      <w:pPr>
        <w:pStyle w:val="Heading3"/>
      </w:pPr>
      <w:r>
        <w:t xml:space="preserve">Table 2: Estimated financial contributions </w:t>
      </w:r>
    </w:p>
    <w:tbl>
      <w:tblPr>
        <w:tblW w:w="9787" w:type="dxa"/>
        <w:tblBorders>
          <w:top w:val="single" w:sz="4" w:space="0" w:color="000080"/>
          <w:bottom w:val="single" w:sz="4" w:space="0" w:color="000080"/>
        </w:tblBorders>
        <w:tblLayout w:type="fixed"/>
        <w:tblLook w:val="01E0" w:firstRow="1" w:lastRow="1" w:firstColumn="1" w:lastColumn="1" w:noHBand="0" w:noVBand="0"/>
      </w:tblPr>
      <w:tblGrid>
        <w:gridCol w:w="3261"/>
        <w:gridCol w:w="1087"/>
        <w:gridCol w:w="1088"/>
        <w:gridCol w:w="1088"/>
        <w:gridCol w:w="1087"/>
        <w:gridCol w:w="1088"/>
        <w:gridCol w:w="1088"/>
      </w:tblGrid>
      <w:tr w:rsidR="007F56A5" w:rsidRPr="00432B5D" w14:paraId="3C7D296C" w14:textId="77777777" w:rsidTr="008F5999">
        <w:tc>
          <w:tcPr>
            <w:tcW w:w="3261" w:type="dxa"/>
            <w:tcBorders>
              <w:top w:val="single" w:sz="4" w:space="0" w:color="000080"/>
              <w:bottom w:val="single" w:sz="4" w:space="0" w:color="auto"/>
            </w:tcBorders>
          </w:tcPr>
          <w:p w14:paraId="7D459823" w14:textId="77777777" w:rsidR="007F56A5" w:rsidRPr="00432B5D" w:rsidRDefault="007F56A5" w:rsidP="007F56A5">
            <w:pPr>
              <w:keepNext/>
              <w:keepLines/>
              <w:spacing w:before="40" w:after="40"/>
              <w:rPr>
                <w:b/>
                <w:bCs/>
              </w:rPr>
            </w:pPr>
            <w:r w:rsidRPr="310369B0">
              <w:rPr>
                <w:b/>
                <w:bCs/>
              </w:rPr>
              <w:t xml:space="preserve">Stream  </w:t>
            </w:r>
          </w:p>
          <w:p w14:paraId="71EA6754" w14:textId="77777777" w:rsidR="007F56A5" w:rsidRPr="00432B5D" w:rsidRDefault="007F56A5" w:rsidP="007F56A5">
            <w:pPr>
              <w:keepNext/>
              <w:keepLines/>
              <w:spacing w:before="40" w:after="40"/>
              <w:rPr>
                <w:b/>
                <w:bCs/>
              </w:rPr>
            </w:pPr>
            <w:r w:rsidRPr="310369B0">
              <w:rPr>
                <w:b/>
                <w:bCs/>
              </w:rPr>
              <w:t>($ million)</w:t>
            </w:r>
          </w:p>
        </w:tc>
        <w:tc>
          <w:tcPr>
            <w:tcW w:w="1087" w:type="dxa"/>
            <w:tcBorders>
              <w:top w:val="single" w:sz="4" w:space="0" w:color="000080"/>
              <w:bottom w:val="single" w:sz="4" w:space="0" w:color="auto"/>
            </w:tcBorders>
          </w:tcPr>
          <w:p w14:paraId="61996DB7" w14:textId="1777D27D" w:rsidR="007F56A5" w:rsidRPr="001D4A4C" w:rsidRDefault="007F56A5" w:rsidP="007F56A5">
            <w:pPr>
              <w:keepNext/>
              <w:keepLines/>
              <w:spacing w:before="40" w:after="40"/>
              <w:ind w:right="33"/>
              <w:jc w:val="right"/>
              <w:rPr>
                <w:b/>
              </w:rPr>
            </w:pPr>
            <w:r w:rsidRPr="001D4A4C">
              <w:rPr>
                <w:b/>
              </w:rPr>
              <w:t>Year 1</w:t>
            </w:r>
            <w:r w:rsidR="00A65053">
              <w:rPr>
                <w:b/>
              </w:rPr>
              <w:t>*</w:t>
            </w:r>
          </w:p>
          <w:p w14:paraId="3B709596" w14:textId="0B2D4824" w:rsidR="007F56A5" w:rsidRPr="001D4A4C" w:rsidRDefault="007F56A5" w:rsidP="007F56A5">
            <w:pPr>
              <w:keepNext/>
              <w:keepLines/>
              <w:spacing w:before="40" w:after="40"/>
              <w:ind w:right="33"/>
              <w:jc w:val="right"/>
              <w:rPr>
                <w:b/>
              </w:rPr>
            </w:pPr>
            <w:r>
              <w:t>2019-20</w:t>
            </w:r>
          </w:p>
        </w:tc>
        <w:tc>
          <w:tcPr>
            <w:tcW w:w="1088" w:type="dxa"/>
            <w:tcBorders>
              <w:top w:val="single" w:sz="4" w:space="0" w:color="000080"/>
              <w:bottom w:val="single" w:sz="4" w:space="0" w:color="000080"/>
            </w:tcBorders>
          </w:tcPr>
          <w:p w14:paraId="488B0204" w14:textId="3548E9E4" w:rsidR="007F56A5" w:rsidRPr="001D4A4C" w:rsidRDefault="007F56A5" w:rsidP="007F56A5">
            <w:pPr>
              <w:keepNext/>
              <w:keepLines/>
              <w:spacing w:before="40" w:after="40"/>
              <w:ind w:right="33"/>
              <w:jc w:val="right"/>
              <w:rPr>
                <w:b/>
              </w:rPr>
            </w:pPr>
            <w:r w:rsidRPr="001D4A4C">
              <w:rPr>
                <w:b/>
              </w:rPr>
              <w:t xml:space="preserve">Year </w:t>
            </w:r>
            <w:r>
              <w:rPr>
                <w:b/>
              </w:rPr>
              <w:t>2</w:t>
            </w:r>
            <w:r w:rsidR="00A65053">
              <w:rPr>
                <w:b/>
              </w:rPr>
              <w:t>*</w:t>
            </w:r>
          </w:p>
          <w:p w14:paraId="17D94113" w14:textId="3C3ACA23" w:rsidR="007F56A5" w:rsidRPr="00432B5D" w:rsidRDefault="007F56A5" w:rsidP="007F56A5">
            <w:pPr>
              <w:keepNext/>
              <w:keepLines/>
              <w:spacing w:before="40" w:after="40"/>
              <w:ind w:right="33"/>
              <w:jc w:val="right"/>
            </w:pPr>
            <w:r>
              <w:t>2020-21</w:t>
            </w:r>
          </w:p>
        </w:tc>
        <w:tc>
          <w:tcPr>
            <w:tcW w:w="1088" w:type="dxa"/>
            <w:tcBorders>
              <w:top w:val="single" w:sz="4" w:space="0" w:color="000080"/>
              <w:bottom w:val="single" w:sz="4" w:space="0" w:color="000080"/>
            </w:tcBorders>
          </w:tcPr>
          <w:p w14:paraId="04A245C8" w14:textId="47F5E65B" w:rsidR="007F56A5" w:rsidRPr="001D4A4C" w:rsidRDefault="007F56A5" w:rsidP="007F56A5">
            <w:pPr>
              <w:keepNext/>
              <w:keepLines/>
              <w:spacing w:before="40" w:after="40"/>
              <w:ind w:right="33"/>
              <w:jc w:val="right"/>
              <w:rPr>
                <w:b/>
              </w:rPr>
            </w:pPr>
            <w:r w:rsidRPr="001D4A4C">
              <w:rPr>
                <w:b/>
              </w:rPr>
              <w:t xml:space="preserve">Year </w:t>
            </w:r>
            <w:r>
              <w:rPr>
                <w:b/>
              </w:rPr>
              <w:t>3</w:t>
            </w:r>
          </w:p>
          <w:p w14:paraId="605BAEE5" w14:textId="074D4E3C" w:rsidR="007F56A5" w:rsidRPr="00432B5D" w:rsidRDefault="007F56A5" w:rsidP="007F56A5">
            <w:pPr>
              <w:keepNext/>
              <w:keepLines/>
              <w:spacing w:before="40" w:after="40"/>
              <w:ind w:right="33"/>
              <w:jc w:val="right"/>
            </w:pPr>
            <w:r>
              <w:t>2021-22</w:t>
            </w:r>
          </w:p>
        </w:tc>
        <w:tc>
          <w:tcPr>
            <w:tcW w:w="1087" w:type="dxa"/>
            <w:tcBorders>
              <w:top w:val="single" w:sz="4" w:space="0" w:color="000080"/>
              <w:bottom w:val="single" w:sz="4" w:space="0" w:color="000080"/>
            </w:tcBorders>
          </w:tcPr>
          <w:p w14:paraId="38516B99" w14:textId="3F930102" w:rsidR="007F56A5" w:rsidRPr="001D4A4C" w:rsidRDefault="007F56A5" w:rsidP="007F56A5">
            <w:pPr>
              <w:keepNext/>
              <w:keepLines/>
              <w:spacing w:before="40" w:after="40"/>
              <w:ind w:right="33"/>
              <w:jc w:val="right"/>
              <w:rPr>
                <w:b/>
              </w:rPr>
            </w:pPr>
            <w:r w:rsidRPr="001D4A4C">
              <w:rPr>
                <w:b/>
              </w:rPr>
              <w:t xml:space="preserve">Year </w:t>
            </w:r>
            <w:r>
              <w:rPr>
                <w:b/>
              </w:rPr>
              <w:t>4</w:t>
            </w:r>
          </w:p>
          <w:p w14:paraId="26998F58" w14:textId="2D2A5BB6" w:rsidR="007F56A5" w:rsidRPr="00432B5D" w:rsidRDefault="007F56A5" w:rsidP="007F56A5">
            <w:pPr>
              <w:keepNext/>
              <w:keepLines/>
              <w:spacing w:before="40" w:after="40"/>
              <w:ind w:right="33"/>
              <w:jc w:val="right"/>
            </w:pPr>
            <w:r>
              <w:t>2022-23</w:t>
            </w:r>
          </w:p>
        </w:tc>
        <w:tc>
          <w:tcPr>
            <w:tcW w:w="1088" w:type="dxa"/>
            <w:tcBorders>
              <w:top w:val="single" w:sz="4" w:space="0" w:color="000080"/>
              <w:bottom w:val="single" w:sz="4" w:space="0" w:color="000080"/>
            </w:tcBorders>
          </w:tcPr>
          <w:p w14:paraId="6C1CF6BC" w14:textId="059A7C4D" w:rsidR="007F56A5" w:rsidRPr="001D4A4C" w:rsidRDefault="007F56A5" w:rsidP="007F56A5">
            <w:pPr>
              <w:keepNext/>
              <w:keepLines/>
              <w:spacing w:before="40" w:after="40"/>
              <w:ind w:right="33"/>
              <w:jc w:val="right"/>
              <w:rPr>
                <w:b/>
              </w:rPr>
            </w:pPr>
            <w:r w:rsidRPr="001D4A4C">
              <w:rPr>
                <w:b/>
              </w:rPr>
              <w:t xml:space="preserve">Year </w:t>
            </w:r>
            <w:r>
              <w:rPr>
                <w:b/>
              </w:rPr>
              <w:t>5</w:t>
            </w:r>
          </w:p>
          <w:p w14:paraId="2E328D59" w14:textId="0C56AF9F" w:rsidR="007F56A5" w:rsidRPr="00432B5D" w:rsidRDefault="007F56A5" w:rsidP="007F56A5">
            <w:pPr>
              <w:keepNext/>
              <w:keepLines/>
              <w:spacing w:before="40" w:after="40"/>
              <w:ind w:right="33"/>
              <w:jc w:val="right"/>
            </w:pPr>
            <w:r>
              <w:t>2023-24</w:t>
            </w:r>
          </w:p>
        </w:tc>
        <w:tc>
          <w:tcPr>
            <w:tcW w:w="1088" w:type="dxa"/>
            <w:tcBorders>
              <w:top w:val="single" w:sz="4" w:space="0" w:color="000080"/>
              <w:bottom w:val="single" w:sz="4" w:space="0" w:color="000080"/>
            </w:tcBorders>
          </w:tcPr>
          <w:p w14:paraId="4C7841B2" w14:textId="77777777" w:rsidR="007F56A5" w:rsidRPr="008264ED" w:rsidRDefault="007F56A5" w:rsidP="007F56A5">
            <w:pPr>
              <w:keepNext/>
              <w:keepLines/>
              <w:spacing w:before="40" w:after="40"/>
              <w:ind w:right="33"/>
              <w:jc w:val="right"/>
              <w:rPr>
                <w:b/>
                <w:bCs/>
              </w:rPr>
            </w:pPr>
            <w:r w:rsidRPr="008264ED">
              <w:rPr>
                <w:b/>
                <w:bCs/>
              </w:rPr>
              <w:t>Total</w:t>
            </w:r>
          </w:p>
        </w:tc>
      </w:tr>
      <w:tr w:rsidR="00E830F1" w:rsidRPr="00432B5D" w14:paraId="0A36DAA9" w14:textId="77777777" w:rsidTr="008F5999">
        <w:tc>
          <w:tcPr>
            <w:tcW w:w="3261" w:type="dxa"/>
            <w:tcBorders>
              <w:top w:val="single" w:sz="4" w:space="0" w:color="auto"/>
            </w:tcBorders>
          </w:tcPr>
          <w:p w14:paraId="28AAF352" w14:textId="26416734" w:rsidR="00E830F1" w:rsidRPr="00432B5D" w:rsidRDefault="00E830F1" w:rsidP="310369B0">
            <w:r>
              <w:t>Leadership, Administration &amp; Project Support</w:t>
            </w:r>
          </w:p>
        </w:tc>
        <w:tc>
          <w:tcPr>
            <w:tcW w:w="1087" w:type="dxa"/>
            <w:tcBorders>
              <w:top w:val="single" w:sz="4" w:space="0" w:color="auto"/>
              <w:bottom w:val="nil"/>
            </w:tcBorders>
          </w:tcPr>
          <w:p w14:paraId="27CD6693" w14:textId="06412869" w:rsidR="00E830F1" w:rsidRDefault="00E830F1" w:rsidP="00571A57">
            <w:pPr>
              <w:ind w:right="33"/>
              <w:jc w:val="right"/>
            </w:pPr>
          </w:p>
        </w:tc>
        <w:tc>
          <w:tcPr>
            <w:tcW w:w="1088" w:type="dxa"/>
            <w:tcBorders>
              <w:top w:val="single" w:sz="4" w:space="0" w:color="000080"/>
            </w:tcBorders>
          </w:tcPr>
          <w:p w14:paraId="41455786" w14:textId="692767FE" w:rsidR="00E830F1" w:rsidRPr="00432B5D" w:rsidRDefault="00E830F1" w:rsidP="00571A57">
            <w:pPr>
              <w:ind w:right="33"/>
              <w:jc w:val="right"/>
            </w:pPr>
            <w:r>
              <w:t>0.30</w:t>
            </w:r>
          </w:p>
        </w:tc>
        <w:tc>
          <w:tcPr>
            <w:tcW w:w="1088" w:type="dxa"/>
            <w:tcBorders>
              <w:top w:val="single" w:sz="4" w:space="0" w:color="000080"/>
            </w:tcBorders>
          </w:tcPr>
          <w:p w14:paraId="1C3B7524" w14:textId="698EFE1A" w:rsidR="00E830F1" w:rsidRPr="00432B5D" w:rsidRDefault="00E830F1" w:rsidP="00571A57">
            <w:pPr>
              <w:ind w:right="33"/>
              <w:jc w:val="right"/>
            </w:pPr>
            <w:r>
              <w:t>0.30</w:t>
            </w:r>
          </w:p>
        </w:tc>
        <w:tc>
          <w:tcPr>
            <w:tcW w:w="1087" w:type="dxa"/>
            <w:tcBorders>
              <w:top w:val="single" w:sz="4" w:space="0" w:color="000080"/>
            </w:tcBorders>
          </w:tcPr>
          <w:p w14:paraId="3009A82B" w14:textId="2DB72282" w:rsidR="00E830F1" w:rsidRPr="00432B5D" w:rsidRDefault="00E830F1" w:rsidP="00571A57">
            <w:pPr>
              <w:ind w:right="33"/>
              <w:jc w:val="right"/>
            </w:pPr>
            <w:r>
              <w:t>0.30</w:t>
            </w:r>
          </w:p>
        </w:tc>
        <w:tc>
          <w:tcPr>
            <w:tcW w:w="1088" w:type="dxa"/>
            <w:tcBorders>
              <w:top w:val="single" w:sz="4" w:space="0" w:color="000080"/>
            </w:tcBorders>
          </w:tcPr>
          <w:p w14:paraId="7D853509" w14:textId="65B3A0C1" w:rsidR="00E830F1" w:rsidRPr="00432B5D" w:rsidRDefault="00E830F1" w:rsidP="00571A57">
            <w:pPr>
              <w:ind w:right="33"/>
              <w:jc w:val="right"/>
            </w:pPr>
            <w:r>
              <w:t>0.30</w:t>
            </w:r>
          </w:p>
        </w:tc>
        <w:tc>
          <w:tcPr>
            <w:tcW w:w="1088" w:type="dxa"/>
            <w:tcBorders>
              <w:top w:val="single" w:sz="4" w:space="0" w:color="000080"/>
            </w:tcBorders>
          </w:tcPr>
          <w:p w14:paraId="017F42EB" w14:textId="6B34343E" w:rsidR="00E830F1" w:rsidRPr="00432B5D" w:rsidRDefault="00E830F1" w:rsidP="00571A57">
            <w:pPr>
              <w:ind w:right="33"/>
              <w:jc w:val="right"/>
            </w:pPr>
            <w:r>
              <w:t>1.2</w:t>
            </w:r>
          </w:p>
        </w:tc>
      </w:tr>
      <w:tr w:rsidR="00E830F1" w:rsidRPr="00432B5D" w14:paraId="4A495089" w14:textId="77777777" w:rsidTr="008F5999">
        <w:tc>
          <w:tcPr>
            <w:tcW w:w="3261" w:type="dxa"/>
          </w:tcPr>
          <w:p w14:paraId="756F3C17" w14:textId="77777777" w:rsidR="00E830F1" w:rsidRPr="00432B5D" w:rsidRDefault="00E830F1" w:rsidP="310369B0">
            <w:r>
              <w:lastRenderedPageBreak/>
              <w:t xml:space="preserve">Innovation - seed funding </w:t>
            </w:r>
          </w:p>
        </w:tc>
        <w:tc>
          <w:tcPr>
            <w:tcW w:w="1087" w:type="dxa"/>
            <w:tcBorders>
              <w:top w:val="nil"/>
            </w:tcBorders>
          </w:tcPr>
          <w:p w14:paraId="2EB97B5A" w14:textId="77777777" w:rsidR="00E830F1" w:rsidRDefault="00E830F1" w:rsidP="006F2B19">
            <w:pPr>
              <w:ind w:right="33"/>
              <w:jc w:val="right"/>
            </w:pPr>
          </w:p>
        </w:tc>
        <w:tc>
          <w:tcPr>
            <w:tcW w:w="1088" w:type="dxa"/>
          </w:tcPr>
          <w:p w14:paraId="47613AA0" w14:textId="7C296DAF" w:rsidR="00E830F1" w:rsidRPr="00432B5D" w:rsidRDefault="00E830F1" w:rsidP="006F2B19">
            <w:pPr>
              <w:ind w:right="33"/>
              <w:jc w:val="right"/>
            </w:pPr>
            <w:r>
              <w:t>0.</w:t>
            </w:r>
            <w:r w:rsidR="008F5999">
              <w:t>675</w:t>
            </w:r>
          </w:p>
        </w:tc>
        <w:tc>
          <w:tcPr>
            <w:tcW w:w="1088" w:type="dxa"/>
          </w:tcPr>
          <w:p w14:paraId="7812DC85" w14:textId="2F029813" w:rsidR="00E830F1" w:rsidRPr="00432B5D" w:rsidRDefault="00E830F1" w:rsidP="006F2B19">
            <w:pPr>
              <w:ind w:right="33"/>
              <w:jc w:val="right"/>
            </w:pPr>
            <w:r>
              <w:t>0.</w:t>
            </w:r>
            <w:r w:rsidR="008F5999">
              <w:t>3375</w:t>
            </w:r>
          </w:p>
        </w:tc>
        <w:tc>
          <w:tcPr>
            <w:tcW w:w="1087" w:type="dxa"/>
          </w:tcPr>
          <w:p w14:paraId="06A2D6B4" w14:textId="7D5F85A7" w:rsidR="00E830F1" w:rsidRPr="00432B5D" w:rsidRDefault="00E830F1" w:rsidP="006F2B19">
            <w:pPr>
              <w:ind w:right="33"/>
              <w:jc w:val="right"/>
            </w:pPr>
            <w:r>
              <w:t>0.</w:t>
            </w:r>
            <w:r w:rsidR="008F5999">
              <w:t>3375</w:t>
            </w:r>
          </w:p>
        </w:tc>
        <w:tc>
          <w:tcPr>
            <w:tcW w:w="1088" w:type="dxa"/>
          </w:tcPr>
          <w:p w14:paraId="30135896" w14:textId="07874F24" w:rsidR="00E830F1" w:rsidRPr="00432B5D" w:rsidRDefault="00E830F1" w:rsidP="006F2B19">
            <w:pPr>
              <w:ind w:right="33"/>
              <w:jc w:val="right"/>
            </w:pPr>
            <w:r>
              <w:t>-</w:t>
            </w:r>
          </w:p>
        </w:tc>
        <w:tc>
          <w:tcPr>
            <w:tcW w:w="1088" w:type="dxa"/>
          </w:tcPr>
          <w:p w14:paraId="617E6DDB" w14:textId="7AF4CA45" w:rsidR="00E830F1" w:rsidRPr="00432B5D" w:rsidRDefault="00E830F1" w:rsidP="006F2B19">
            <w:pPr>
              <w:ind w:right="33"/>
              <w:jc w:val="right"/>
            </w:pPr>
            <w:r>
              <w:t>1.</w:t>
            </w:r>
            <w:r w:rsidR="00E071A5">
              <w:t>35</w:t>
            </w:r>
          </w:p>
        </w:tc>
      </w:tr>
      <w:tr w:rsidR="00E830F1" w:rsidRPr="00432B5D" w14:paraId="4C7A86BA" w14:textId="77777777" w:rsidTr="008F5999">
        <w:tc>
          <w:tcPr>
            <w:tcW w:w="3261" w:type="dxa"/>
          </w:tcPr>
          <w:p w14:paraId="79A379C6" w14:textId="77777777" w:rsidR="00E830F1" w:rsidRPr="00432B5D" w:rsidRDefault="00E830F1" w:rsidP="310369B0">
            <w:r>
              <w:t xml:space="preserve">Innovation - scaling up </w:t>
            </w:r>
          </w:p>
        </w:tc>
        <w:tc>
          <w:tcPr>
            <w:tcW w:w="1087" w:type="dxa"/>
          </w:tcPr>
          <w:p w14:paraId="3DFBCC11" w14:textId="77777777" w:rsidR="00E830F1" w:rsidRPr="00432B5D" w:rsidRDefault="00E830F1" w:rsidP="006F2B19">
            <w:pPr>
              <w:ind w:right="33"/>
              <w:jc w:val="right"/>
            </w:pPr>
          </w:p>
        </w:tc>
        <w:tc>
          <w:tcPr>
            <w:tcW w:w="1088" w:type="dxa"/>
            <w:tcBorders>
              <w:bottom w:val="nil"/>
            </w:tcBorders>
          </w:tcPr>
          <w:p w14:paraId="0F839140" w14:textId="1CBDF20E" w:rsidR="00E830F1" w:rsidRPr="00432B5D" w:rsidRDefault="00E830F1" w:rsidP="006F2B19">
            <w:pPr>
              <w:ind w:right="33"/>
              <w:jc w:val="right"/>
            </w:pPr>
            <w:r w:rsidRPr="00432B5D">
              <w:t>–</w:t>
            </w:r>
          </w:p>
        </w:tc>
        <w:tc>
          <w:tcPr>
            <w:tcW w:w="1088" w:type="dxa"/>
            <w:tcBorders>
              <w:bottom w:val="nil"/>
            </w:tcBorders>
          </w:tcPr>
          <w:p w14:paraId="45680284" w14:textId="49C703F3" w:rsidR="00E830F1" w:rsidRPr="00432B5D" w:rsidRDefault="00E830F1" w:rsidP="006F2B19">
            <w:pPr>
              <w:ind w:right="33"/>
              <w:jc w:val="right"/>
            </w:pPr>
            <w:r>
              <w:t>1.0</w:t>
            </w:r>
          </w:p>
        </w:tc>
        <w:tc>
          <w:tcPr>
            <w:tcW w:w="1087" w:type="dxa"/>
            <w:tcBorders>
              <w:bottom w:val="nil"/>
            </w:tcBorders>
          </w:tcPr>
          <w:p w14:paraId="4235599F" w14:textId="72EF556B" w:rsidR="00E830F1" w:rsidRPr="00432B5D" w:rsidRDefault="00E830F1" w:rsidP="006F2B19">
            <w:pPr>
              <w:ind w:right="33"/>
              <w:jc w:val="right"/>
            </w:pPr>
            <w:r>
              <w:t>1.0</w:t>
            </w:r>
          </w:p>
        </w:tc>
        <w:tc>
          <w:tcPr>
            <w:tcW w:w="1088" w:type="dxa"/>
            <w:tcBorders>
              <w:bottom w:val="nil"/>
            </w:tcBorders>
          </w:tcPr>
          <w:p w14:paraId="13BBF02C" w14:textId="62ACE966" w:rsidR="00E830F1" w:rsidRPr="00432B5D" w:rsidRDefault="00E830F1" w:rsidP="006F2B19">
            <w:pPr>
              <w:ind w:right="33"/>
              <w:jc w:val="right"/>
            </w:pPr>
            <w:r>
              <w:t>1.0</w:t>
            </w:r>
          </w:p>
        </w:tc>
        <w:tc>
          <w:tcPr>
            <w:tcW w:w="1088" w:type="dxa"/>
            <w:tcBorders>
              <w:bottom w:val="nil"/>
            </w:tcBorders>
          </w:tcPr>
          <w:p w14:paraId="1D9A88B0" w14:textId="1E82CDE4" w:rsidR="00E830F1" w:rsidRPr="00432B5D" w:rsidRDefault="00E830F1" w:rsidP="006F2B19">
            <w:pPr>
              <w:ind w:right="33"/>
              <w:jc w:val="right"/>
            </w:pPr>
            <w:r>
              <w:t>3.0</w:t>
            </w:r>
          </w:p>
        </w:tc>
      </w:tr>
      <w:tr w:rsidR="00E830F1" w14:paraId="6D3EA9A1" w14:textId="77777777" w:rsidTr="008F5999">
        <w:tc>
          <w:tcPr>
            <w:tcW w:w="3261" w:type="dxa"/>
          </w:tcPr>
          <w:p w14:paraId="138F6FA8" w14:textId="6E8FDEFA" w:rsidR="00E830F1" w:rsidRDefault="00E830F1" w:rsidP="3E02EBB8">
            <w:r>
              <w:t xml:space="preserve">State Strategic Projects </w:t>
            </w:r>
          </w:p>
        </w:tc>
        <w:tc>
          <w:tcPr>
            <w:tcW w:w="1087" w:type="dxa"/>
            <w:tcBorders>
              <w:bottom w:val="nil"/>
            </w:tcBorders>
          </w:tcPr>
          <w:p w14:paraId="7C9FEA8E" w14:textId="77777777" w:rsidR="00E830F1" w:rsidRDefault="00E830F1" w:rsidP="3E02EBB8">
            <w:pPr>
              <w:jc w:val="right"/>
            </w:pPr>
          </w:p>
        </w:tc>
        <w:tc>
          <w:tcPr>
            <w:tcW w:w="1088" w:type="dxa"/>
            <w:tcBorders>
              <w:bottom w:val="nil"/>
            </w:tcBorders>
          </w:tcPr>
          <w:p w14:paraId="00BB2A98" w14:textId="7F734043" w:rsidR="00E830F1" w:rsidRDefault="00E071A5" w:rsidP="3E02EBB8">
            <w:pPr>
              <w:jc w:val="right"/>
            </w:pPr>
            <w:r>
              <w:t>2.0</w:t>
            </w:r>
          </w:p>
        </w:tc>
        <w:tc>
          <w:tcPr>
            <w:tcW w:w="1088" w:type="dxa"/>
            <w:tcBorders>
              <w:bottom w:val="nil"/>
            </w:tcBorders>
          </w:tcPr>
          <w:p w14:paraId="275DC34A" w14:textId="037543E1" w:rsidR="00E830F1" w:rsidRDefault="00E830F1" w:rsidP="3E02EBB8">
            <w:pPr>
              <w:jc w:val="right"/>
            </w:pPr>
            <w:r>
              <w:t>1.</w:t>
            </w:r>
            <w:r w:rsidR="00E071A5">
              <w:t>0</w:t>
            </w:r>
          </w:p>
        </w:tc>
        <w:tc>
          <w:tcPr>
            <w:tcW w:w="1087" w:type="dxa"/>
            <w:tcBorders>
              <w:bottom w:val="nil"/>
            </w:tcBorders>
          </w:tcPr>
          <w:p w14:paraId="5319BEF5" w14:textId="44B9B3D4" w:rsidR="00E830F1" w:rsidRDefault="00E830F1" w:rsidP="3E02EBB8">
            <w:pPr>
              <w:jc w:val="right"/>
            </w:pPr>
            <w:r>
              <w:t>1.</w:t>
            </w:r>
            <w:r w:rsidR="00E071A5">
              <w:t>0</w:t>
            </w:r>
          </w:p>
        </w:tc>
        <w:tc>
          <w:tcPr>
            <w:tcW w:w="1088" w:type="dxa"/>
            <w:tcBorders>
              <w:bottom w:val="nil"/>
            </w:tcBorders>
          </w:tcPr>
          <w:p w14:paraId="1DBF9084" w14:textId="2334A27C" w:rsidR="00E830F1" w:rsidRDefault="00E830F1" w:rsidP="3E02EBB8">
            <w:pPr>
              <w:jc w:val="right"/>
            </w:pPr>
            <w:r>
              <w:t>1.</w:t>
            </w:r>
            <w:r w:rsidR="00E071A5">
              <w:t>0</w:t>
            </w:r>
          </w:p>
        </w:tc>
        <w:tc>
          <w:tcPr>
            <w:tcW w:w="1088" w:type="dxa"/>
            <w:tcBorders>
              <w:bottom w:val="nil"/>
            </w:tcBorders>
          </w:tcPr>
          <w:p w14:paraId="008AF0A5" w14:textId="77777777" w:rsidR="00E830F1" w:rsidRDefault="00E830F1" w:rsidP="3E02EBB8">
            <w:pPr>
              <w:jc w:val="right"/>
            </w:pPr>
            <w:r>
              <w:t>5.0</w:t>
            </w:r>
          </w:p>
        </w:tc>
      </w:tr>
      <w:tr w:rsidR="00E830F1" w14:paraId="2F27B5B5" w14:textId="77777777" w:rsidTr="008F5999">
        <w:tc>
          <w:tcPr>
            <w:tcW w:w="3261" w:type="dxa"/>
            <w:tcBorders>
              <w:top w:val="nil"/>
              <w:bottom w:val="single" w:sz="4" w:space="0" w:color="auto"/>
            </w:tcBorders>
          </w:tcPr>
          <w:p w14:paraId="17FE6E77" w14:textId="77777777" w:rsidR="00E830F1" w:rsidRDefault="00E830F1">
            <w:r>
              <w:t xml:space="preserve">Disaster Risk Reduction Grants </w:t>
            </w:r>
          </w:p>
        </w:tc>
        <w:tc>
          <w:tcPr>
            <w:tcW w:w="1087" w:type="dxa"/>
            <w:tcBorders>
              <w:top w:val="nil"/>
              <w:bottom w:val="single" w:sz="4" w:space="0" w:color="auto"/>
            </w:tcBorders>
          </w:tcPr>
          <w:p w14:paraId="0999BD3E" w14:textId="77777777" w:rsidR="00E830F1" w:rsidRDefault="00E830F1" w:rsidP="3E02EBB8">
            <w:pPr>
              <w:jc w:val="right"/>
            </w:pPr>
          </w:p>
        </w:tc>
        <w:tc>
          <w:tcPr>
            <w:tcW w:w="1088" w:type="dxa"/>
            <w:tcBorders>
              <w:top w:val="nil"/>
              <w:bottom w:val="single" w:sz="4" w:space="0" w:color="auto"/>
            </w:tcBorders>
          </w:tcPr>
          <w:p w14:paraId="16E09CAE" w14:textId="60781414" w:rsidR="00E830F1" w:rsidRDefault="008F5999" w:rsidP="3E02EBB8">
            <w:pPr>
              <w:jc w:val="right"/>
            </w:pPr>
            <w:r>
              <w:t>3.7096</w:t>
            </w:r>
          </w:p>
        </w:tc>
        <w:tc>
          <w:tcPr>
            <w:tcW w:w="1088" w:type="dxa"/>
            <w:tcBorders>
              <w:top w:val="nil"/>
              <w:bottom w:val="single" w:sz="4" w:space="0" w:color="auto"/>
            </w:tcBorders>
          </w:tcPr>
          <w:p w14:paraId="41E783B2" w14:textId="1C20FF3C" w:rsidR="00E830F1" w:rsidRDefault="008F5999" w:rsidP="3E02EBB8">
            <w:pPr>
              <w:jc w:val="right"/>
            </w:pPr>
            <w:r>
              <w:t>0.8148</w:t>
            </w:r>
          </w:p>
        </w:tc>
        <w:tc>
          <w:tcPr>
            <w:tcW w:w="1087" w:type="dxa"/>
            <w:tcBorders>
              <w:top w:val="nil"/>
              <w:bottom w:val="single" w:sz="4" w:space="0" w:color="auto"/>
            </w:tcBorders>
          </w:tcPr>
          <w:p w14:paraId="69B41E40" w14:textId="5E050C1E" w:rsidR="00E830F1" w:rsidRDefault="008F5999" w:rsidP="3E02EBB8">
            <w:pPr>
              <w:jc w:val="right"/>
            </w:pPr>
            <w:r>
              <w:t>0.8148</w:t>
            </w:r>
          </w:p>
        </w:tc>
        <w:tc>
          <w:tcPr>
            <w:tcW w:w="1088" w:type="dxa"/>
            <w:tcBorders>
              <w:top w:val="nil"/>
              <w:bottom w:val="single" w:sz="4" w:space="0" w:color="auto"/>
            </w:tcBorders>
          </w:tcPr>
          <w:p w14:paraId="3DF96E3E" w14:textId="046C7BEC" w:rsidR="00E830F1" w:rsidRDefault="008F5999" w:rsidP="3E02EBB8">
            <w:pPr>
              <w:jc w:val="right"/>
            </w:pPr>
            <w:r>
              <w:t>0.8148</w:t>
            </w:r>
          </w:p>
        </w:tc>
        <w:tc>
          <w:tcPr>
            <w:tcW w:w="1088" w:type="dxa"/>
            <w:tcBorders>
              <w:top w:val="nil"/>
              <w:bottom w:val="single" w:sz="4" w:space="0" w:color="auto"/>
            </w:tcBorders>
          </w:tcPr>
          <w:p w14:paraId="1C0CB926" w14:textId="1C4C1F6D" w:rsidR="00E830F1" w:rsidRDefault="00E071A5" w:rsidP="3E02EBB8">
            <w:pPr>
              <w:jc w:val="right"/>
            </w:pPr>
            <w:r>
              <w:t>6.154</w:t>
            </w:r>
          </w:p>
        </w:tc>
      </w:tr>
      <w:tr w:rsidR="00E830F1" w:rsidRPr="00432B5D" w14:paraId="334465FD" w14:textId="77777777" w:rsidTr="008F5999">
        <w:tc>
          <w:tcPr>
            <w:tcW w:w="3261" w:type="dxa"/>
            <w:tcBorders>
              <w:top w:val="single" w:sz="4" w:space="0" w:color="auto"/>
            </w:tcBorders>
          </w:tcPr>
          <w:p w14:paraId="21729E7F" w14:textId="77777777" w:rsidR="00E830F1" w:rsidRPr="00432B5D" w:rsidRDefault="00E830F1" w:rsidP="006F2B19">
            <w:r w:rsidRPr="00432B5D">
              <w:t>Total estimated budget</w:t>
            </w:r>
          </w:p>
        </w:tc>
        <w:tc>
          <w:tcPr>
            <w:tcW w:w="1087" w:type="dxa"/>
            <w:tcBorders>
              <w:top w:val="single" w:sz="4" w:space="0" w:color="auto"/>
              <w:bottom w:val="nil"/>
            </w:tcBorders>
          </w:tcPr>
          <w:p w14:paraId="4116B287" w14:textId="2F94E333" w:rsidR="00E830F1" w:rsidRDefault="00E830F1" w:rsidP="00BB739F">
            <w:pPr>
              <w:ind w:right="33"/>
              <w:jc w:val="right"/>
            </w:pPr>
          </w:p>
        </w:tc>
        <w:tc>
          <w:tcPr>
            <w:tcW w:w="1088" w:type="dxa"/>
            <w:tcBorders>
              <w:top w:val="single" w:sz="4" w:space="0" w:color="auto"/>
            </w:tcBorders>
          </w:tcPr>
          <w:p w14:paraId="45373B63" w14:textId="4D082119" w:rsidR="00E830F1" w:rsidRPr="00432B5D" w:rsidRDefault="008F5999" w:rsidP="00BB739F">
            <w:pPr>
              <w:ind w:right="33"/>
              <w:jc w:val="right"/>
            </w:pPr>
            <w:r>
              <w:t>6.6846</w:t>
            </w:r>
          </w:p>
        </w:tc>
        <w:tc>
          <w:tcPr>
            <w:tcW w:w="1088" w:type="dxa"/>
            <w:tcBorders>
              <w:top w:val="single" w:sz="4" w:space="0" w:color="auto"/>
            </w:tcBorders>
          </w:tcPr>
          <w:p w14:paraId="72EE2937" w14:textId="4BEAAAFA" w:rsidR="00E830F1" w:rsidRPr="00432B5D" w:rsidRDefault="008F5999" w:rsidP="006F2B19">
            <w:pPr>
              <w:ind w:right="33"/>
              <w:jc w:val="right"/>
            </w:pPr>
            <w:r>
              <w:t>3.4523</w:t>
            </w:r>
          </w:p>
        </w:tc>
        <w:tc>
          <w:tcPr>
            <w:tcW w:w="1087" w:type="dxa"/>
            <w:tcBorders>
              <w:top w:val="single" w:sz="4" w:space="0" w:color="auto"/>
            </w:tcBorders>
          </w:tcPr>
          <w:p w14:paraId="35B02488" w14:textId="04AE0C12" w:rsidR="00E830F1" w:rsidRPr="00432B5D" w:rsidRDefault="008F5999" w:rsidP="006F2B19">
            <w:pPr>
              <w:ind w:right="33"/>
              <w:jc w:val="right"/>
            </w:pPr>
            <w:r>
              <w:t>3.4523</w:t>
            </w:r>
          </w:p>
        </w:tc>
        <w:tc>
          <w:tcPr>
            <w:tcW w:w="1088" w:type="dxa"/>
            <w:tcBorders>
              <w:top w:val="single" w:sz="4" w:space="0" w:color="auto"/>
            </w:tcBorders>
          </w:tcPr>
          <w:p w14:paraId="4176517E" w14:textId="2411BA73" w:rsidR="00E830F1" w:rsidRPr="00432B5D" w:rsidRDefault="008F5999" w:rsidP="006F2B19">
            <w:pPr>
              <w:ind w:right="33"/>
              <w:jc w:val="right"/>
            </w:pPr>
            <w:r>
              <w:t>3.1148</w:t>
            </w:r>
          </w:p>
        </w:tc>
        <w:tc>
          <w:tcPr>
            <w:tcW w:w="1088" w:type="dxa"/>
            <w:tcBorders>
              <w:top w:val="single" w:sz="4" w:space="0" w:color="auto"/>
            </w:tcBorders>
          </w:tcPr>
          <w:p w14:paraId="5B7BB10F" w14:textId="4547EC21" w:rsidR="00E830F1" w:rsidRPr="00432B5D" w:rsidRDefault="00E830F1" w:rsidP="006F2B19">
            <w:pPr>
              <w:ind w:right="33"/>
              <w:jc w:val="right"/>
            </w:pPr>
            <w:r>
              <w:t>16.704</w:t>
            </w:r>
          </w:p>
        </w:tc>
      </w:tr>
      <w:tr w:rsidR="00E830F1" w:rsidRPr="00432B5D" w14:paraId="3B735CC8" w14:textId="77777777" w:rsidTr="008F5999">
        <w:tc>
          <w:tcPr>
            <w:tcW w:w="3261" w:type="dxa"/>
          </w:tcPr>
          <w:p w14:paraId="62097712" w14:textId="77777777" w:rsidR="00E830F1" w:rsidRPr="00432B5D" w:rsidRDefault="00E830F1" w:rsidP="006F2B19">
            <w:r w:rsidRPr="00432B5D">
              <w:rPr>
                <w:i/>
                <w:iCs/>
              </w:rPr>
              <w:t>less</w:t>
            </w:r>
            <w:r w:rsidRPr="00432B5D">
              <w:t xml:space="preserve"> estimated Commonwealth contribution</w:t>
            </w:r>
          </w:p>
        </w:tc>
        <w:tc>
          <w:tcPr>
            <w:tcW w:w="1087" w:type="dxa"/>
            <w:tcBorders>
              <w:top w:val="nil"/>
              <w:bottom w:val="single" w:sz="4" w:space="0" w:color="auto"/>
            </w:tcBorders>
          </w:tcPr>
          <w:p w14:paraId="0A388C56" w14:textId="761559A6" w:rsidR="00E830F1" w:rsidDel="00E830F1" w:rsidRDefault="00E830F1" w:rsidP="006F2B19">
            <w:pPr>
              <w:ind w:right="33"/>
              <w:jc w:val="right"/>
            </w:pPr>
            <w:r>
              <w:t>1.6704</w:t>
            </w:r>
          </w:p>
        </w:tc>
        <w:tc>
          <w:tcPr>
            <w:tcW w:w="1088" w:type="dxa"/>
            <w:tcBorders>
              <w:bottom w:val="single" w:sz="4" w:space="0" w:color="000080"/>
            </w:tcBorders>
          </w:tcPr>
          <w:p w14:paraId="2029D76A" w14:textId="641AB001" w:rsidR="00E830F1" w:rsidRPr="00432B5D" w:rsidRDefault="00E830F1" w:rsidP="00A65053">
            <w:pPr>
              <w:ind w:right="33"/>
              <w:jc w:val="right"/>
            </w:pPr>
            <w:r>
              <w:t>1.6704</w:t>
            </w:r>
          </w:p>
        </w:tc>
        <w:tc>
          <w:tcPr>
            <w:tcW w:w="1088" w:type="dxa"/>
            <w:tcBorders>
              <w:bottom w:val="single" w:sz="4" w:space="0" w:color="000080"/>
            </w:tcBorders>
          </w:tcPr>
          <w:p w14:paraId="0039CA3D" w14:textId="03606049" w:rsidR="00E830F1" w:rsidRPr="00432B5D" w:rsidRDefault="00E830F1" w:rsidP="006F2B19">
            <w:pPr>
              <w:ind w:right="33"/>
              <w:jc w:val="right"/>
            </w:pPr>
            <w:r>
              <w:t>1.6704</w:t>
            </w:r>
          </w:p>
        </w:tc>
        <w:tc>
          <w:tcPr>
            <w:tcW w:w="1087" w:type="dxa"/>
            <w:tcBorders>
              <w:bottom w:val="single" w:sz="4" w:space="0" w:color="000080"/>
            </w:tcBorders>
          </w:tcPr>
          <w:p w14:paraId="441039A3" w14:textId="235A8532" w:rsidR="00E830F1" w:rsidRPr="00432B5D" w:rsidRDefault="00E830F1" w:rsidP="006F2B19">
            <w:pPr>
              <w:ind w:right="33"/>
              <w:jc w:val="right"/>
            </w:pPr>
            <w:r>
              <w:t>1.6704</w:t>
            </w:r>
          </w:p>
        </w:tc>
        <w:tc>
          <w:tcPr>
            <w:tcW w:w="1088" w:type="dxa"/>
            <w:tcBorders>
              <w:bottom w:val="single" w:sz="4" w:space="0" w:color="000080"/>
            </w:tcBorders>
          </w:tcPr>
          <w:p w14:paraId="3D7FF3E3" w14:textId="62B49D3D" w:rsidR="00E830F1" w:rsidRPr="00432B5D" w:rsidRDefault="00E830F1" w:rsidP="006E3CE1">
            <w:pPr>
              <w:ind w:right="33"/>
              <w:jc w:val="right"/>
            </w:pPr>
            <w:r>
              <w:t>1.6704</w:t>
            </w:r>
          </w:p>
        </w:tc>
        <w:tc>
          <w:tcPr>
            <w:tcW w:w="1088" w:type="dxa"/>
            <w:tcBorders>
              <w:bottom w:val="single" w:sz="4" w:space="0" w:color="000080"/>
            </w:tcBorders>
          </w:tcPr>
          <w:p w14:paraId="7F069AF3" w14:textId="14F2959B" w:rsidR="00E830F1" w:rsidRPr="00432B5D" w:rsidRDefault="00E830F1" w:rsidP="006F2B19">
            <w:pPr>
              <w:ind w:right="33"/>
              <w:jc w:val="right"/>
            </w:pPr>
            <w:r>
              <w:t>8.352</w:t>
            </w:r>
          </w:p>
        </w:tc>
      </w:tr>
      <w:tr w:rsidR="00E830F1" w:rsidRPr="00432B5D" w14:paraId="14B37C62" w14:textId="77777777" w:rsidTr="008F5999">
        <w:trPr>
          <w:cantSplit/>
        </w:trPr>
        <w:tc>
          <w:tcPr>
            <w:tcW w:w="3261" w:type="dxa"/>
          </w:tcPr>
          <w:p w14:paraId="53BB2BEA" w14:textId="25B276D6" w:rsidR="00E830F1" w:rsidRPr="00432B5D" w:rsidRDefault="00E830F1" w:rsidP="006F2B19">
            <w:r w:rsidRPr="00432B5D">
              <w:t>equals estimated balance of non-Commonwealth contributions</w:t>
            </w:r>
            <w:r w:rsidR="0026248F">
              <w:rPr>
                <w:vertAlign w:val="superscript"/>
              </w:rPr>
              <w:t>3</w:t>
            </w:r>
          </w:p>
        </w:tc>
        <w:tc>
          <w:tcPr>
            <w:tcW w:w="1087" w:type="dxa"/>
            <w:tcBorders>
              <w:top w:val="single" w:sz="4" w:space="0" w:color="auto"/>
              <w:bottom w:val="single" w:sz="4" w:space="0" w:color="auto"/>
            </w:tcBorders>
          </w:tcPr>
          <w:p w14:paraId="7A5164D0" w14:textId="579E5539" w:rsidR="00E830F1" w:rsidRDefault="00E830F1" w:rsidP="006F2B19">
            <w:pPr>
              <w:ind w:right="33"/>
              <w:jc w:val="right"/>
            </w:pPr>
          </w:p>
        </w:tc>
        <w:tc>
          <w:tcPr>
            <w:tcW w:w="1088" w:type="dxa"/>
            <w:tcBorders>
              <w:top w:val="single" w:sz="4" w:space="0" w:color="000080"/>
              <w:bottom w:val="single" w:sz="4" w:space="0" w:color="000080"/>
            </w:tcBorders>
          </w:tcPr>
          <w:p w14:paraId="4E907FE1" w14:textId="2D2E7101" w:rsidR="00E830F1" w:rsidRPr="00432B5D" w:rsidRDefault="008F5999" w:rsidP="00A65053">
            <w:pPr>
              <w:ind w:right="33"/>
              <w:jc w:val="right"/>
            </w:pPr>
            <w:r>
              <w:t>3.3438</w:t>
            </w:r>
          </w:p>
        </w:tc>
        <w:tc>
          <w:tcPr>
            <w:tcW w:w="1088" w:type="dxa"/>
            <w:tcBorders>
              <w:top w:val="single" w:sz="4" w:space="0" w:color="000080"/>
              <w:bottom w:val="single" w:sz="4" w:space="0" w:color="000080"/>
            </w:tcBorders>
          </w:tcPr>
          <w:p w14:paraId="1886CCB5" w14:textId="0B298C10" w:rsidR="00E830F1" w:rsidRPr="00432B5D" w:rsidRDefault="008F5999" w:rsidP="006F2B19">
            <w:pPr>
              <w:ind w:right="33"/>
              <w:jc w:val="right"/>
            </w:pPr>
            <w:r>
              <w:t>1.7819</w:t>
            </w:r>
          </w:p>
        </w:tc>
        <w:tc>
          <w:tcPr>
            <w:tcW w:w="1087" w:type="dxa"/>
            <w:tcBorders>
              <w:top w:val="single" w:sz="4" w:space="0" w:color="000080"/>
              <w:bottom w:val="single" w:sz="4" w:space="0" w:color="000080"/>
            </w:tcBorders>
          </w:tcPr>
          <w:p w14:paraId="0667F9CC" w14:textId="1FA28BD2" w:rsidR="00E830F1" w:rsidRPr="00432B5D" w:rsidRDefault="00E37126" w:rsidP="006F2B19">
            <w:pPr>
              <w:ind w:right="33"/>
              <w:jc w:val="right"/>
            </w:pPr>
            <w:r>
              <w:t>1.7819</w:t>
            </w:r>
          </w:p>
        </w:tc>
        <w:tc>
          <w:tcPr>
            <w:tcW w:w="1088" w:type="dxa"/>
            <w:tcBorders>
              <w:top w:val="single" w:sz="4" w:space="0" w:color="000080"/>
              <w:bottom w:val="single" w:sz="4" w:space="0" w:color="000080"/>
            </w:tcBorders>
          </w:tcPr>
          <w:p w14:paraId="5DE6C9DE" w14:textId="5EEF3C36" w:rsidR="00E830F1" w:rsidRPr="00432B5D" w:rsidRDefault="00E071A5" w:rsidP="006F2B19">
            <w:pPr>
              <w:ind w:right="33"/>
              <w:jc w:val="right"/>
            </w:pPr>
            <w:r>
              <w:t>1.</w:t>
            </w:r>
            <w:r w:rsidR="00E37126">
              <w:t>4444</w:t>
            </w:r>
          </w:p>
        </w:tc>
        <w:tc>
          <w:tcPr>
            <w:tcW w:w="1088" w:type="dxa"/>
            <w:tcBorders>
              <w:top w:val="single" w:sz="4" w:space="0" w:color="000080"/>
              <w:bottom w:val="single" w:sz="4" w:space="0" w:color="000080"/>
            </w:tcBorders>
          </w:tcPr>
          <w:p w14:paraId="5FE5F9F8" w14:textId="39D2FA9D" w:rsidR="00E830F1" w:rsidRPr="00432B5D" w:rsidRDefault="00E830F1" w:rsidP="006F2B19">
            <w:pPr>
              <w:ind w:right="33"/>
              <w:jc w:val="right"/>
            </w:pPr>
            <w:r>
              <w:t>8.352</w:t>
            </w:r>
          </w:p>
        </w:tc>
      </w:tr>
      <w:tr w:rsidR="00E830F1" w:rsidRPr="00432B5D" w14:paraId="2F4E7F87" w14:textId="77777777" w:rsidTr="008F5999">
        <w:trPr>
          <w:cantSplit/>
        </w:trPr>
        <w:tc>
          <w:tcPr>
            <w:tcW w:w="3261" w:type="dxa"/>
            <w:tcBorders>
              <w:bottom w:val="single" w:sz="4" w:space="0" w:color="000080"/>
            </w:tcBorders>
          </w:tcPr>
          <w:p w14:paraId="44B7748C" w14:textId="77777777" w:rsidR="00E830F1" w:rsidRPr="00432B5D" w:rsidRDefault="00E830F1" w:rsidP="006F2B19">
            <w:r w:rsidRPr="003B2672">
              <w:rPr>
                <w:b/>
                <w:bCs/>
              </w:rPr>
              <w:t>Total</w:t>
            </w:r>
            <w:r w:rsidRPr="00432B5D">
              <w:t xml:space="preserve"> </w:t>
            </w:r>
            <w:r w:rsidRPr="00432B5D">
              <w:rPr>
                <w:b/>
              </w:rPr>
              <w:t>Commonwealth contribution</w:t>
            </w:r>
          </w:p>
        </w:tc>
        <w:tc>
          <w:tcPr>
            <w:tcW w:w="1087" w:type="dxa"/>
            <w:tcBorders>
              <w:top w:val="single" w:sz="4" w:space="0" w:color="auto"/>
              <w:bottom w:val="single" w:sz="4" w:space="0" w:color="000080"/>
            </w:tcBorders>
          </w:tcPr>
          <w:p w14:paraId="44EEB867" w14:textId="29FFA78D" w:rsidR="00E830F1" w:rsidDel="00E830F1" w:rsidRDefault="00E830F1" w:rsidP="006F2B19">
            <w:pPr>
              <w:ind w:right="33"/>
              <w:jc w:val="right"/>
              <w:rPr>
                <w:b/>
                <w:bCs/>
              </w:rPr>
            </w:pPr>
            <w:r>
              <w:rPr>
                <w:b/>
                <w:bCs/>
              </w:rPr>
              <w:t>1.6704</w:t>
            </w:r>
          </w:p>
        </w:tc>
        <w:tc>
          <w:tcPr>
            <w:tcW w:w="1088" w:type="dxa"/>
            <w:tcBorders>
              <w:top w:val="single" w:sz="4" w:space="0" w:color="000080"/>
              <w:bottom w:val="single" w:sz="4" w:space="0" w:color="000080"/>
            </w:tcBorders>
          </w:tcPr>
          <w:p w14:paraId="4CFEFA7F" w14:textId="46011157" w:rsidR="00E830F1" w:rsidRPr="00620770" w:rsidRDefault="00E830F1" w:rsidP="006F2B19">
            <w:pPr>
              <w:ind w:right="33"/>
              <w:jc w:val="right"/>
              <w:rPr>
                <w:b/>
                <w:bCs/>
              </w:rPr>
            </w:pPr>
            <w:r>
              <w:rPr>
                <w:b/>
                <w:bCs/>
              </w:rPr>
              <w:t>1.6704</w:t>
            </w:r>
          </w:p>
        </w:tc>
        <w:tc>
          <w:tcPr>
            <w:tcW w:w="1088" w:type="dxa"/>
            <w:tcBorders>
              <w:top w:val="single" w:sz="4" w:space="0" w:color="000080"/>
              <w:bottom w:val="single" w:sz="4" w:space="0" w:color="000080"/>
            </w:tcBorders>
          </w:tcPr>
          <w:p w14:paraId="6CDCB998" w14:textId="32030AD3" w:rsidR="00E830F1" w:rsidRPr="00620770" w:rsidRDefault="00E830F1" w:rsidP="006F2B19">
            <w:pPr>
              <w:ind w:right="33"/>
              <w:jc w:val="right"/>
              <w:rPr>
                <w:b/>
                <w:bCs/>
              </w:rPr>
            </w:pPr>
            <w:r>
              <w:rPr>
                <w:b/>
                <w:bCs/>
              </w:rPr>
              <w:t>1.6704</w:t>
            </w:r>
          </w:p>
        </w:tc>
        <w:tc>
          <w:tcPr>
            <w:tcW w:w="1087" w:type="dxa"/>
            <w:tcBorders>
              <w:top w:val="single" w:sz="4" w:space="0" w:color="000080"/>
              <w:bottom w:val="single" w:sz="4" w:space="0" w:color="000080"/>
            </w:tcBorders>
          </w:tcPr>
          <w:p w14:paraId="6AC8E5CA" w14:textId="39C320C9" w:rsidR="00E830F1" w:rsidRPr="00620770" w:rsidRDefault="00E830F1" w:rsidP="006F2B19">
            <w:pPr>
              <w:ind w:right="33"/>
              <w:jc w:val="right"/>
              <w:rPr>
                <w:b/>
                <w:bCs/>
              </w:rPr>
            </w:pPr>
            <w:r>
              <w:rPr>
                <w:b/>
                <w:bCs/>
              </w:rPr>
              <w:t>1.6704</w:t>
            </w:r>
          </w:p>
        </w:tc>
        <w:tc>
          <w:tcPr>
            <w:tcW w:w="1088" w:type="dxa"/>
            <w:tcBorders>
              <w:top w:val="single" w:sz="4" w:space="0" w:color="000080"/>
              <w:bottom w:val="single" w:sz="4" w:space="0" w:color="000080"/>
            </w:tcBorders>
          </w:tcPr>
          <w:p w14:paraId="3824740A" w14:textId="0DCD9A96" w:rsidR="00E830F1" w:rsidRPr="00620770" w:rsidRDefault="00E830F1" w:rsidP="006F2B19">
            <w:pPr>
              <w:ind w:right="33"/>
              <w:jc w:val="right"/>
              <w:rPr>
                <w:b/>
                <w:bCs/>
              </w:rPr>
            </w:pPr>
            <w:r>
              <w:rPr>
                <w:b/>
                <w:bCs/>
              </w:rPr>
              <w:t>1.6704</w:t>
            </w:r>
          </w:p>
        </w:tc>
        <w:tc>
          <w:tcPr>
            <w:tcW w:w="1088" w:type="dxa"/>
            <w:tcBorders>
              <w:top w:val="single" w:sz="4" w:space="0" w:color="000080"/>
              <w:bottom w:val="single" w:sz="4" w:space="0" w:color="000080"/>
            </w:tcBorders>
          </w:tcPr>
          <w:p w14:paraId="1895363D" w14:textId="787EB86D" w:rsidR="00E830F1" w:rsidRPr="00620770" w:rsidRDefault="00E830F1" w:rsidP="006F2B19">
            <w:pPr>
              <w:ind w:right="33"/>
              <w:jc w:val="right"/>
              <w:rPr>
                <w:b/>
                <w:bCs/>
              </w:rPr>
            </w:pPr>
            <w:r w:rsidRPr="00620770">
              <w:rPr>
                <w:b/>
                <w:bCs/>
              </w:rPr>
              <w:t>8.35</w:t>
            </w:r>
            <w:r>
              <w:rPr>
                <w:b/>
                <w:bCs/>
              </w:rPr>
              <w:t>2</w:t>
            </w:r>
          </w:p>
        </w:tc>
      </w:tr>
    </w:tbl>
    <w:p w14:paraId="58774EBA" w14:textId="2DD0289A" w:rsidR="00F05FB5" w:rsidRPr="00F42B31" w:rsidRDefault="003B2672" w:rsidP="003B2672">
      <w:pPr>
        <w:pStyle w:val="ListParagraph"/>
        <w:tabs>
          <w:tab w:val="left" w:pos="426"/>
          <w:tab w:val="left" w:pos="709"/>
          <w:tab w:val="left" w:pos="851"/>
          <w:tab w:val="left" w:pos="993"/>
        </w:tabs>
        <w:ind w:left="142" w:hanging="142"/>
        <w:rPr>
          <w:rFonts w:eastAsia="Corbel" w:cs="Corbel"/>
          <w:sz w:val="18"/>
          <w:szCs w:val="18"/>
        </w:rPr>
      </w:pPr>
      <w:r>
        <w:rPr>
          <w:sz w:val="18"/>
          <w:szCs w:val="18"/>
        </w:rPr>
        <w:t xml:space="preserve">    </w:t>
      </w:r>
      <w:r w:rsidR="0026248F">
        <w:rPr>
          <w:sz w:val="18"/>
          <w:szCs w:val="18"/>
        </w:rPr>
        <w:t>3</w:t>
      </w:r>
      <w:r w:rsidR="00F42B31">
        <w:rPr>
          <w:sz w:val="18"/>
          <w:szCs w:val="18"/>
        </w:rPr>
        <w:t xml:space="preserve">.    </w:t>
      </w:r>
      <w:r w:rsidR="00F05FB5" w:rsidRPr="00F42B31">
        <w:rPr>
          <w:sz w:val="18"/>
          <w:szCs w:val="18"/>
        </w:rPr>
        <w:t xml:space="preserve">Non-Government Contributions </w:t>
      </w:r>
    </w:p>
    <w:p w14:paraId="741410FB" w14:textId="03005D74" w:rsidR="00F05FB5" w:rsidRDefault="00F05FB5" w:rsidP="003B2672">
      <w:pPr>
        <w:ind w:left="426"/>
        <w:rPr>
          <w:sz w:val="18"/>
          <w:szCs w:val="18"/>
        </w:rPr>
      </w:pPr>
      <w:r w:rsidRPr="4B6021E5">
        <w:rPr>
          <w:sz w:val="18"/>
          <w:szCs w:val="18"/>
        </w:rPr>
        <w:t>Commonwealth funds of $1.67</w:t>
      </w:r>
      <w:r>
        <w:rPr>
          <w:sz w:val="18"/>
          <w:szCs w:val="18"/>
        </w:rPr>
        <w:t>04</w:t>
      </w:r>
      <w:r w:rsidRPr="4B6021E5">
        <w:rPr>
          <w:sz w:val="18"/>
          <w:szCs w:val="18"/>
        </w:rPr>
        <w:t>m per annum will be partially matched through S</w:t>
      </w:r>
      <w:r w:rsidR="00E21E47">
        <w:rPr>
          <w:sz w:val="18"/>
          <w:szCs w:val="18"/>
        </w:rPr>
        <w:t xml:space="preserve">outh Australian </w:t>
      </w:r>
      <w:r>
        <w:rPr>
          <w:sz w:val="18"/>
          <w:szCs w:val="18"/>
        </w:rPr>
        <w:t xml:space="preserve">Government </w:t>
      </w:r>
      <w:r w:rsidRPr="4B6021E5">
        <w:rPr>
          <w:sz w:val="18"/>
          <w:szCs w:val="18"/>
        </w:rPr>
        <w:t xml:space="preserve">funding of $1.27m per annum (indexed) over the </w:t>
      </w:r>
      <w:r w:rsidR="00E21E47">
        <w:rPr>
          <w:sz w:val="18"/>
          <w:szCs w:val="18"/>
        </w:rPr>
        <w:t>term of the A</w:t>
      </w:r>
      <w:r w:rsidRPr="4B6021E5">
        <w:rPr>
          <w:sz w:val="18"/>
          <w:szCs w:val="18"/>
        </w:rPr>
        <w:t xml:space="preserve">greement.  </w:t>
      </w:r>
      <w:r w:rsidR="00E21E47">
        <w:rPr>
          <w:sz w:val="18"/>
          <w:szCs w:val="18"/>
        </w:rPr>
        <w:t xml:space="preserve">The balance of South Australia’s required contribution will be via </w:t>
      </w:r>
      <w:r w:rsidR="00E21E47" w:rsidRPr="4B6021E5">
        <w:rPr>
          <w:sz w:val="18"/>
          <w:szCs w:val="18"/>
        </w:rPr>
        <w:t xml:space="preserve">cash and/or in-kind contributions </w:t>
      </w:r>
      <w:r w:rsidR="00E21E47">
        <w:rPr>
          <w:sz w:val="18"/>
          <w:szCs w:val="18"/>
        </w:rPr>
        <w:t>from g</w:t>
      </w:r>
      <w:r w:rsidRPr="4B6021E5">
        <w:rPr>
          <w:sz w:val="18"/>
          <w:szCs w:val="18"/>
        </w:rPr>
        <w:t xml:space="preserve">rant recipients.  </w:t>
      </w:r>
    </w:p>
    <w:p w14:paraId="400DCA9C" w14:textId="77777777" w:rsidR="008F5999" w:rsidRDefault="008F5999" w:rsidP="003B2672">
      <w:pPr>
        <w:ind w:left="426"/>
        <w:rPr>
          <w:sz w:val="18"/>
          <w:szCs w:val="18"/>
        </w:rPr>
      </w:pPr>
    </w:p>
    <w:p w14:paraId="3EB7A226" w14:textId="6BA67F5B" w:rsidR="00A20525" w:rsidRPr="008F5999" w:rsidRDefault="00A20525" w:rsidP="008F5999">
      <w:pPr>
        <w:ind w:left="142"/>
        <w:rPr>
          <w:sz w:val="18"/>
          <w:szCs w:val="18"/>
        </w:rPr>
      </w:pPr>
      <w:r w:rsidRPr="008F5999">
        <w:rPr>
          <w:sz w:val="18"/>
          <w:szCs w:val="18"/>
        </w:rPr>
        <w:t xml:space="preserve">* </w:t>
      </w:r>
      <w:r w:rsidR="008F5999" w:rsidRPr="008F5999">
        <w:rPr>
          <w:rFonts w:cs="Segoe UI"/>
          <w:color w:val="212121"/>
          <w:sz w:val="18"/>
          <w:szCs w:val="18"/>
          <w:shd w:val="clear" w:color="auto" w:fill="FFFFFF"/>
        </w:rPr>
        <w:t>SA will combine Year 1 and Year 2 funding to conduct a large first grant round in year 2 i.e. 2020-2021. This will comprise Commonwealth contribution</w:t>
      </w:r>
      <w:r w:rsidR="008F5999">
        <w:rPr>
          <w:rFonts w:cs="Segoe UI"/>
          <w:color w:val="212121"/>
          <w:sz w:val="18"/>
          <w:szCs w:val="18"/>
          <w:shd w:val="clear" w:color="auto" w:fill="FFFFFF"/>
        </w:rPr>
        <w:t>s</w:t>
      </w:r>
      <w:r w:rsidR="008F5999" w:rsidRPr="008F5999">
        <w:rPr>
          <w:rFonts w:cs="Segoe UI"/>
          <w:color w:val="212121"/>
          <w:sz w:val="18"/>
          <w:szCs w:val="18"/>
          <w:shd w:val="clear" w:color="auto" w:fill="FFFFFF"/>
        </w:rPr>
        <w:t xml:space="preserve"> of 2 x $1.6704m plus State contribution of 2 x $1.27m with the balance of the matched funding requirement provided by cash and/or in</w:t>
      </w:r>
      <w:r w:rsidR="008F5999">
        <w:rPr>
          <w:rFonts w:cs="Segoe UI"/>
          <w:color w:val="212121"/>
          <w:sz w:val="18"/>
          <w:szCs w:val="18"/>
          <w:shd w:val="clear" w:color="auto" w:fill="FFFFFF"/>
        </w:rPr>
        <w:t>-</w:t>
      </w:r>
      <w:r w:rsidR="008F5999" w:rsidRPr="008F5999">
        <w:rPr>
          <w:rFonts w:cs="Segoe UI"/>
          <w:color w:val="212121"/>
          <w:sz w:val="18"/>
          <w:szCs w:val="18"/>
          <w:shd w:val="clear" w:color="auto" w:fill="FFFFFF"/>
        </w:rPr>
        <w:t>kind contributions from grant recipients.</w:t>
      </w:r>
      <w:r w:rsidR="008F5999" w:rsidRPr="008F5999">
        <w:rPr>
          <w:color w:val="212121"/>
          <w:sz w:val="18"/>
          <w:szCs w:val="18"/>
        </w:rPr>
        <w:br/>
      </w:r>
    </w:p>
    <w:p w14:paraId="717F2ED0" w14:textId="6156EDDC" w:rsidR="0036688B" w:rsidRPr="00A36A37" w:rsidRDefault="0036688B" w:rsidP="00A17D70">
      <w:pPr>
        <w:pStyle w:val="Heading2"/>
      </w:pPr>
      <w:r>
        <w:t>Program logic</w:t>
      </w:r>
    </w:p>
    <w:p w14:paraId="3733DA6C" w14:textId="77777777" w:rsidR="55E06754" w:rsidRDefault="55E06754" w:rsidP="55E06754"/>
    <w:p w14:paraId="57E36140" w14:textId="70BB81AB" w:rsidR="00D96CCB" w:rsidRDefault="00F42B31" w:rsidP="00F42B31">
      <w:pPr>
        <w:ind w:left="426" w:hanging="426"/>
        <w:rPr>
          <w:rFonts w:eastAsia="Corbel"/>
        </w:rPr>
      </w:pPr>
      <w:r>
        <w:rPr>
          <w:rFonts w:eastAsia="Corbel"/>
        </w:rPr>
        <w:t>1</w:t>
      </w:r>
      <w:r w:rsidR="0026248F">
        <w:rPr>
          <w:rFonts w:eastAsia="Corbel"/>
        </w:rPr>
        <w:t>3</w:t>
      </w:r>
      <w:r>
        <w:rPr>
          <w:rFonts w:eastAsia="Corbel"/>
        </w:rPr>
        <w:t xml:space="preserve">.  </w:t>
      </w:r>
      <w:r w:rsidR="6F6517BA" w:rsidRPr="7994A3D4">
        <w:rPr>
          <w:rFonts w:eastAsia="Corbel"/>
        </w:rPr>
        <w:t xml:space="preserve">The </w:t>
      </w:r>
      <w:r w:rsidR="00E21E47">
        <w:rPr>
          <w:rFonts w:eastAsia="Corbel"/>
        </w:rPr>
        <w:t xml:space="preserve">objective, </w:t>
      </w:r>
      <w:r w:rsidR="6F6517BA" w:rsidRPr="7994A3D4">
        <w:rPr>
          <w:rFonts w:eastAsia="Corbel"/>
        </w:rPr>
        <w:t xml:space="preserve">outcomes and </w:t>
      </w:r>
      <w:r w:rsidR="00E21E47">
        <w:rPr>
          <w:rFonts w:eastAsia="Corbel"/>
        </w:rPr>
        <w:t>outputs</w:t>
      </w:r>
      <w:r w:rsidR="00E21E47" w:rsidRPr="7994A3D4">
        <w:rPr>
          <w:rFonts w:eastAsia="Corbel"/>
        </w:rPr>
        <w:t xml:space="preserve"> </w:t>
      </w:r>
      <w:r w:rsidR="6F6517BA" w:rsidRPr="7994A3D4">
        <w:rPr>
          <w:rFonts w:eastAsia="Corbel"/>
        </w:rPr>
        <w:t xml:space="preserve">of the </w:t>
      </w:r>
      <w:r w:rsidR="00E21E47">
        <w:rPr>
          <w:rFonts w:eastAsia="Corbel"/>
        </w:rPr>
        <w:t>Agreement</w:t>
      </w:r>
      <w:r w:rsidR="6F6517BA" w:rsidRPr="7994A3D4">
        <w:rPr>
          <w:rFonts w:eastAsia="Corbel"/>
        </w:rPr>
        <w:t xml:space="preserve"> will be achieved by implementing a program of disaster risk reduction activities to address </w:t>
      </w:r>
      <w:r w:rsidR="00E21E47">
        <w:rPr>
          <w:rFonts w:eastAsia="Corbel"/>
        </w:rPr>
        <w:t xml:space="preserve">natural hazard risks identified in State, regional or local risk assessments and </w:t>
      </w:r>
      <w:r w:rsidR="6F6517BA" w:rsidRPr="7994A3D4">
        <w:rPr>
          <w:rFonts w:eastAsia="Corbel"/>
        </w:rPr>
        <w:t>the</w:t>
      </w:r>
      <w:r w:rsidR="00D96CCB">
        <w:rPr>
          <w:rFonts w:eastAsia="Corbel"/>
        </w:rPr>
        <w:t xml:space="preserve"> following</w:t>
      </w:r>
      <w:r w:rsidR="6F6517BA" w:rsidRPr="7994A3D4">
        <w:rPr>
          <w:rFonts w:eastAsia="Corbel"/>
        </w:rPr>
        <w:t xml:space="preserve"> priorities of the National Disaster Risk Reduction Framework</w:t>
      </w:r>
      <w:r w:rsidR="00D96CCB">
        <w:rPr>
          <w:rFonts w:eastAsia="Corbel"/>
        </w:rPr>
        <w:t>:</w:t>
      </w:r>
    </w:p>
    <w:p w14:paraId="1322D3FD" w14:textId="77777777" w:rsidR="00F42B31" w:rsidRDefault="00F42B31" w:rsidP="008264ED">
      <w:pPr>
        <w:ind w:left="426" w:hanging="426"/>
        <w:rPr>
          <w:rFonts w:eastAsia="Corbel"/>
        </w:rPr>
      </w:pPr>
    </w:p>
    <w:p w14:paraId="307594FC" w14:textId="46708326" w:rsidR="00D96CCB" w:rsidRDefault="00D96CCB" w:rsidP="008264ED">
      <w:pPr>
        <w:pStyle w:val="Normalnumbered"/>
        <w:numPr>
          <w:ilvl w:val="1"/>
          <w:numId w:val="13"/>
        </w:numPr>
        <w:ind w:left="1434" w:hanging="357"/>
        <w:jc w:val="both"/>
        <w:rPr>
          <w:rFonts w:eastAsia="Corbel" w:cs="Corbel"/>
          <w:szCs w:val="23"/>
        </w:rPr>
      </w:pPr>
      <w:r>
        <w:rPr>
          <w:rFonts w:eastAsia="Corbel" w:cs="Corbel"/>
          <w:szCs w:val="23"/>
        </w:rPr>
        <w:t>understanding disaster risk</w:t>
      </w:r>
      <w:r w:rsidR="006E3CE1">
        <w:rPr>
          <w:rFonts w:eastAsia="Corbel" w:cs="Corbel"/>
          <w:szCs w:val="23"/>
        </w:rPr>
        <w:t>;</w:t>
      </w:r>
    </w:p>
    <w:p w14:paraId="25062EC1" w14:textId="656410CF" w:rsidR="00D96CCB" w:rsidRDefault="00D96CCB" w:rsidP="008264ED">
      <w:pPr>
        <w:pStyle w:val="Normalnumbered"/>
        <w:numPr>
          <w:ilvl w:val="1"/>
          <w:numId w:val="13"/>
        </w:numPr>
        <w:ind w:left="1434" w:hanging="357"/>
        <w:jc w:val="both"/>
        <w:rPr>
          <w:rFonts w:eastAsia="Corbel" w:cs="Corbel"/>
          <w:szCs w:val="23"/>
        </w:rPr>
      </w:pPr>
      <w:r>
        <w:rPr>
          <w:rFonts w:eastAsia="Corbel" w:cs="Corbel"/>
          <w:szCs w:val="23"/>
        </w:rPr>
        <w:t>accountable decision-making across all sectors to respond to immediate and long-term disaster risk and actively manage the potential creation or exacerbation of disaster risk</w:t>
      </w:r>
      <w:r w:rsidR="006E3CE1">
        <w:rPr>
          <w:rFonts w:eastAsia="Corbel" w:cs="Corbel"/>
          <w:szCs w:val="23"/>
        </w:rPr>
        <w:t>;</w:t>
      </w:r>
    </w:p>
    <w:p w14:paraId="1AFA86E6" w14:textId="149837B5" w:rsidR="00D96CCB" w:rsidRDefault="00D96CCB" w:rsidP="008264ED">
      <w:pPr>
        <w:pStyle w:val="Normalnumbered"/>
        <w:numPr>
          <w:ilvl w:val="1"/>
          <w:numId w:val="13"/>
        </w:numPr>
        <w:ind w:left="1434" w:hanging="357"/>
        <w:jc w:val="both"/>
        <w:rPr>
          <w:rFonts w:eastAsia="Corbel" w:cs="Corbel"/>
          <w:szCs w:val="23"/>
        </w:rPr>
      </w:pPr>
      <w:r>
        <w:rPr>
          <w:rFonts w:eastAsia="Corbel" w:cs="Corbel"/>
          <w:szCs w:val="23"/>
        </w:rPr>
        <w:t>enhanced investment in disaster risk reduction to build resilience; and</w:t>
      </w:r>
    </w:p>
    <w:p w14:paraId="5B4F3A9F" w14:textId="4544360B" w:rsidR="6F6517BA" w:rsidRDefault="00D96CCB" w:rsidP="003D4506">
      <w:pPr>
        <w:pStyle w:val="Normalnumbered"/>
        <w:numPr>
          <w:ilvl w:val="1"/>
          <w:numId w:val="13"/>
        </w:numPr>
        <w:ind w:left="1434" w:hanging="357"/>
        <w:jc w:val="both"/>
        <w:rPr>
          <w:rFonts w:eastAsia="Corbel" w:cs="Corbel"/>
          <w:szCs w:val="23"/>
        </w:rPr>
      </w:pPr>
      <w:r>
        <w:rPr>
          <w:rFonts w:eastAsia="Corbel" w:cs="Corbel"/>
          <w:szCs w:val="23"/>
        </w:rPr>
        <w:t>transparent, sustainable and accountable governance, ownership and responsibility for disaster risk management</w:t>
      </w:r>
      <w:r w:rsidR="6F6517BA" w:rsidRPr="7994A3D4">
        <w:rPr>
          <w:rFonts w:eastAsia="Corbel" w:cs="Corbel"/>
          <w:szCs w:val="23"/>
        </w:rPr>
        <w:t xml:space="preserve">.  </w:t>
      </w:r>
    </w:p>
    <w:p w14:paraId="64DA15E4" w14:textId="77777777" w:rsidR="003D4506" w:rsidRDefault="003D4506" w:rsidP="008264ED">
      <w:pPr>
        <w:pStyle w:val="Normalnumbered"/>
        <w:numPr>
          <w:ilvl w:val="0"/>
          <w:numId w:val="0"/>
        </w:numPr>
        <w:ind w:left="1434"/>
        <w:jc w:val="both"/>
        <w:rPr>
          <w:rFonts w:eastAsia="Corbel" w:cs="Corbel"/>
          <w:szCs w:val="23"/>
        </w:rPr>
      </w:pPr>
    </w:p>
    <w:p w14:paraId="0988DA5B" w14:textId="649BA7CB" w:rsidR="55E06754" w:rsidRDefault="00F42B31" w:rsidP="00F42B31">
      <w:pPr>
        <w:ind w:left="426" w:hanging="426"/>
        <w:rPr>
          <w:rFonts w:eastAsia="Corbel"/>
        </w:rPr>
      </w:pPr>
      <w:r w:rsidRPr="00F50540">
        <w:rPr>
          <w:rFonts w:eastAsia="Corbel"/>
        </w:rPr>
        <w:t>1</w:t>
      </w:r>
      <w:r w:rsidR="0026248F">
        <w:rPr>
          <w:rFonts w:eastAsia="Corbel"/>
        </w:rPr>
        <w:t>4</w:t>
      </w:r>
      <w:r w:rsidRPr="00F50540">
        <w:rPr>
          <w:rFonts w:eastAsia="Corbel"/>
        </w:rPr>
        <w:t xml:space="preserve">. </w:t>
      </w:r>
      <w:r w:rsidR="00E21E47">
        <w:rPr>
          <w:rFonts w:eastAsia="Corbel"/>
        </w:rPr>
        <w:t xml:space="preserve">  </w:t>
      </w:r>
      <w:r w:rsidR="008264ED">
        <w:rPr>
          <w:rFonts w:eastAsia="Corbel"/>
        </w:rPr>
        <w:t>Disaster risk reduction</w:t>
      </w:r>
      <w:r w:rsidR="00E21E47">
        <w:rPr>
          <w:rFonts w:eastAsia="Corbel"/>
        </w:rPr>
        <w:t>-related</w:t>
      </w:r>
      <w:r w:rsidR="008264ED">
        <w:rPr>
          <w:rFonts w:eastAsia="Corbel"/>
        </w:rPr>
        <w:t xml:space="preserve"> elements of the following key documents will also be </w:t>
      </w:r>
      <w:r w:rsidR="008264ED" w:rsidRPr="00F50540">
        <w:rPr>
          <w:rFonts w:eastAsia="Corbel"/>
        </w:rPr>
        <w:t>strategic drivers for the</w:t>
      </w:r>
      <w:r w:rsidR="003B2672">
        <w:rPr>
          <w:rFonts w:eastAsia="Corbel"/>
        </w:rPr>
        <w:t xml:space="preserve"> </w:t>
      </w:r>
      <w:r w:rsidR="00E21E47">
        <w:rPr>
          <w:rFonts w:eastAsia="Corbel"/>
        </w:rPr>
        <w:t>conduct</w:t>
      </w:r>
      <w:r w:rsidR="008264ED" w:rsidRPr="00F50540">
        <w:rPr>
          <w:rFonts w:eastAsia="Corbel"/>
        </w:rPr>
        <w:t xml:space="preserve"> of the South Australian Disaster Risk</w:t>
      </w:r>
      <w:r w:rsidR="008264ED">
        <w:rPr>
          <w:rFonts w:eastAsia="Corbel"/>
        </w:rPr>
        <w:t xml:space="preserve"> </w:t>
      </w:r>
      <w:r w:rsidR="008264ED" w:rsidRPr="00F50540">
        <w:rPr>
          <w:rFonts w:eastAsia="Corbel"/>
        </w:rPr>
        <w:t>Reduction Grants Program</w:t>
      </w:r>
      <w:r w:rsidR="008264ED">
        <w:rPr>
          <w:rFonts w:eastAsia="Corbel"/>
        </w:rPr>
        <w:t xml:space="preserve"> in South Australia</w:t>
      </w:r>
      <w:r w:rsidR="008264ED" w:rsidRPr="00F50540">
        <w:rPr>
          <w:rFonts w:eastAsia="Corbel"/>
        </w:rPr>
        <w:t>:</w:t>
      </w:r>
    </w:p>
    <w:p w14:paraId="4C48855C" w14:textId="77777777" w:rsidR="00F42B31" w:rsidRPr="00F50540" w:rsidRDefault="00F42B31" w:rsidP="008264ED">
      <w:pPr>
        <w:ind w:left="426" w:hanging="426"/>
        <w:rPr>
          <w:rFonts w:eastAsia="Corbel"/>
        </w:rPr>
      </w:pPr>
    </w:p>
    <w:p w14:paraId="622D7A72" w14:textId="77777777" w:rsidR="55E06754" w:rsidRDefault="4D9720DE" w:rsidP="008264ED">
      <w:pPr>
        <w:pStyle w:val="Normalnumbered"/>
        <w:numPr>
          <w:ilvl w:val="0"/>
          <w:numId w:val="1"/>
        </w:numPr>
        <w:ind w:left="1418" w:hanging="357"/>
        <w:jc w:val="both"/>
        <w:rPr>
          <w:rFonts w:eastAsia="Corbel" w:cs="Corbel"/>
          <w:szCs w:val="23"/>
        </w:rPr>
      </w:pPr>
      <w:r w:rsidRPr="4B6021E5">
        <w:rPr>
          <w:rFonts w:eastAsia="Corbel" w:cs="Corbel"/>
        </w:rPr>
        <w:t>T</w:t>
      </w:r>
      <w:r w:rsidR="6F6517BA" w:rsidRPr="4B6021E5">
        <w:rPr>
          <w:rFonts w:eastAsia="Corbel" w:cs="Corbel"/>
        </w:rPr>
        <w:t>he National Strategy for Disaster Resilience</w:t>
      </w:r>
      <w:r w:rsidR="35210C12" w:rsidRPr="4B6021E5">
        <w:rPr>
          <w:rFonts w:eastAsia="Corbel" w:cs="Corbel"/>
        </w:rPr>
        <w:t xml:space="preserve"> (2011)</w:t>
      </w:r>
    </w:p>
    <w:p w14:paraId="05BF59C2" w14:textId="6EE26843" w:rsidR="55E06754" w:rsidRDefault="6F6517BA" w:rsidP="008264ED">
      <w:pPr>
        <w:pStyle w:val="Normalnumbered"/>
        <w:numPr>
          <w:ilvl w:val="0"/>
          <w:numId w:val="1"/>
        </w:numPr>
        <w:ind w:left="1418" w:hanging="357"/>
        <w:jc w:val="both"/>
        <w:rPr>
          <w:rFonts w:eastAsia="Corbel" w:cs="Corbel"/>
          <w:szCs w:val="23"/>
        </w:rPr>
      </w:pPr>
      <w:r w:rsidRPr="003B2672">
        <w:rPr>
          <w:rFonts w:eastAsia="Corbel" w:cs="Corbel"/>
          <w:i/>
          <w:iCs/>
        </w:rPr>
        <w:t>Stronger Together</w:t>
      </w:r>
      <w:r w:rsidR="00AD56DA">
        <w:rPr>
          <w:rFonts w:eastAsia="Corbel" w:cs="Corbel"/>
        </w:rPr>
        <w:t>:</w:t>
      </w:r>
      <w:r w:rsidRPr="4B6021E5">
        <w:rPr>
          <w:rFonts w:eastAsia="Corbel" w:cs="Corbel"/>
        </w:rPr>
        <w:t xml:space="preserve"> South Australia’s Disaster Resilience Strategy 2019-2024</w:t>
      </w:r>
      <w:r w:rsidR="5C40ABF1" w:rsidRPr="4B6021E5">
        <w:rPr>
          <w:rFonts w:eastAsia="Corbel" w:cs="Corbel"/>
        </w:rPr>
        <w:t xml:space="preserve"> </w:t>
      </w:r>
    </w:p>
    <w:p w14:paraId="18E32200" w14:textId="1AA53D22" w:rsidR="55E06754" w:rsidRDefault="21FDEA68" w:rsidP="008264ED">
      <w:pPr>
        <w:pStyle w:val="Normalnumbered"/>
        <w:numPr>
          <w:ilvl w:val="0"/>
          <w:numId w:val="1"/>
        </w:numPr>
        <w:ind w:left="1418" w:hanging="357"/>
        <w:jc w:val="both"/>
        <w:rPr>
          <w:rFonts w:eastAsia="Corbel" w:cs="Corbel"/>
          <w:szCs w:val="23"/>
        </w:rPr>
      </w:pPr>
      <w:r w:rsidRPr="17C2E428">
        <w:rPr>
          <w:rFonts w:eastAsia="Corbel" w:cs="Corbel"/>
        </w:rPr>
        <w:t>State Strategic Risk Assessment</w:t>
      </w:r>
      <w:r w:rsidR="6F6517BA" w:rsidRPr="17C2E428">
        <w:rPr>
          <w:rFonts w:eastAsia="Corbel" w:cs="Corbel"/>
        </w:rPr>
        <w:t xml:space="preserve"> (S</w:t>
      </w:r>
      <w:r w:rsidR="00E21E47">
        <w:rPr>
          <w:rFonts w:eastAsia="Corbel" w:cs="Corbel"/>
        </w:rPr>
        <w:t>tate Emergency Management Committee (S</w:t>
      </w:r>
      <w:r w:rsidR="6F6517BA" w:rsidRPr="17C2E428">
        <w:rPr>
          <w:rFonts w:eastAsia="Corbel" w:cs="Corbel"/>
        </w:rPr>
        <w:t>EMC</w:t>
      </w:r>
      <w:r w:rsidR="00E21E47">
        <w:rPr>
          <w:rFonts w:eastAsia="Corbel" w:cs="Corbel"/>
        </w:rPr>
        <w:t>)</w:t>
      </w:r>
      <w:r w:rsidR="6C64DD39" w:rsidRPr="17C2E428">
        <w:rPr>
          <w:rFonts w:eastAsia="Corbel" w:cs="Corbel"/>
        </w:rPr>
        <w:t xml:space="preserve"> </w:t>
      </w:r>
      <w:r w:rsidR="025658DD" w:rsidRPr="17C2E428">
        <w:rPr>
          <w:rFonts w:eastAsia="Corbel" w:cs="Corbel"/>
        </w:rPr>
        <w:t>2019)</w:t>
      </w:r>
    </w:p>
    <w:p w14:paraId="5C9C0828" w14:textId="62BDD836" w:rsidR="55E06754" w:rsidRDefault="00E21E47" w:rsidP="008264ED">
      <w:pPr>
        <w:pStyle w:val="Normalnumbered"/>
        <w:numPr>
          <w:ilvl w:val="0"/>
          <w:numId w:val="1"/>
        </w:numPr>
        <w:ind w:left="1418" w:hanging="357"/>
        <w:jc w:val="both"/>
        <w:rPr>
          <w:rFonts w:eastAsia="Corbel" w:cs="Corbel"/>
          <w:szCs w:val="23"/>
        </w:rPr>
      </w:pPr>
      <w:r w:rsidRPr="4B6021E5">
        <w:rPr>
          <w:rFonts w:eastAsia="Corbel" w:cs="Corbel"/>
        </w:rPr>
        <w:t>South Australia’s</w:t>
      </w:r>
      <w:r w:rsidR="025658DD" w:rsidRPr="4B6021E5">
        <w:rPr>
          <w:rFonts w:eastAsia="Corbel" w:cs="Corbel"/>
        </w:rPr>
        <w:t xml:space="preserve"> Across Government Climate Change Strategy (to be finalised 2020)</w:t>
      </w:r>
    </w:p>
    <w:p w14:paraId="68F1BC2C" w14:textId="5BFBCABD" w:rsidR="55E06754" w:rsidRPr="00281D69" w:rsidRDefault="025658DD" w:rsidP="008264ED">
      <w:pPr>
        <w:pStyle w:val="Normalnumbered"/>
        <w:numPr>
          <w:ilvl w:val="0"/>
          <w:numId w:val="1"/>
        </w:numPr>
        <w:ind w:left="1418" w:hanging="357"/>
        <w:jc w:val="both"/>
        <w:rPr>
          <w:rFonts w:eastAsia="Corbel" w:cs="Corbel"/>
          <w:szCs w:val="23"/>
        </w:rPr>
      </w:pPr>
      <w:r w:rsidRPr="4B6021E5">
        <w:rPr>
          <w:rFonts w:eastAsia="Corbel" w:cs="Corbel"/>
        </w:rPr>
        <w:t>SEMC’s Strategic Plan 2017-2022</w:t>
      </w:r>
    </w:p>
    <w:p w14:paraId="659DAA85" w14:textId="3B761F28" w:rsidR="009A1F60" w:rsidRDefault="009A1F60" w:rsidP="009A1F60">
      <w:pPr>
        <w:pStyle w:val="Normalnumbered"/>
        <w:numPr>
          <w:ilvl w:val="0"/>
          <w:numId w:val="0"/>
        </w:numPr>
        <w:ind w:left="357"/>
        <w:jc w:val="both"/>
        <w:rPr>
          <w:rFonts w:eastAsia="Corbel" w:cs="Corbel"/>
          <w:szCs w:val="23"/>
        </w:rPr>
      </w:pPr>
    </w:p>
    <w:p w14:paraId="1CCCD56E" w14:textId="0D08BF74" w:rsidR="55E06754" w:rsidRDefault="000518BA" w:rsidP="000518BA">
      <w:pPr>
        <w:pStyle w:val="Normalnumbered"/>
        <w:numPr>
          <w:ilvl w:val="0"/>
          <w:numId w:val="0"/>
        </w:numPr>
        <w:spacing w:after="240" w:line="260" w:lineRule="exact"/>
        <w:ind w:left="567" w:hanging="567"/>
        <w:jc w:val="both"/>
        <w:rPr>
          <w:rFonts w:eastAsia="Corbel" w:cs="Corbel"/>
        </w:rPr>
      </w:pPr>
      <w:r>
        <w:rPr>
          <w:rFonts w:eastAsia="Corbel" w:cs="Corbel"/>
          <w:szCs w:val="23"/>
        </w:rPr>
        <w:t xml:space="preserve">15.  </w:t>
      </w:r>
      <w:r w:rsidR="008264ED">
        <w:rPr>
          <w:rFonts w:eastAsia="Corbel" w:cs="Corbel"/>
          <w:szCs w:val="23"/>
        </w:rPr>
        <w:t xml:space="preserve"> </w:t>
      </w:r>
      <w:r w:rsidR="00E21E47">
        <w:rPr>
          <w:rFonts w:eastAsia="Corbel" w:cs="Corbel"/>
          <w:szCs w:val="23"/>
        </w:rPr>
        <w:t xml:space="preserve"> </w:t>
      </w:r>
      <w:r w:rsidR="6F6517BA" w:rsidRPr="00F50540">
        <w:rPr>
          <w:rFonts w:eastAsia="Corbel" w:cs="Corbel"/>
        </w:rPr>
        <w:t xml:space="preserve">SAFECOM will utilise total funds from the </w:t>
      </w:r>
      <w:r w:rsidR="009F6012">
        <w:rPr>
          <w:rFonts w:eastAsia="Corbel" w:cs="Corbel"/>
        </w:rPr>
        <w:t>Agreement</w:t>
      </w:r>
      <w:r w:rsidR="6F6517BA" w:rsidRPr="00F50540">
        <w:rPr>
          <w:rFonts w:eastAsia="Corbel" w:cs="Corbel"/>
        </w:rPr>
        <w:t xml:space="preserve"> to conduct the South Australian Disaster Risk Reduction Grants Program on behalf of the Commonwealth </w:t>
      </w:r>
      <w:r w:rsidR="00E21E47">
        <w:rPr>
          <w:rFonts w:eastAsia="Corbel" w:cs="Corbel"/>
        </w:rPr>
        <w:t>M</w:t>
      </w:r>
      <w:r w:rsidR="6F6517BA" w:rsidRPr="00F50540">
        <w:rPr>
          <w:rFonts w:eastAsia="Corbel" w:cs="Corbel"/>
        </w:rPr>
        <w:t xml:space="preserve">inister responsible for emergency management and the South Australian Minister for Emergency Services. </w:t>
      </w:r>
    </w:p>
    <w:p w14:paraId="79249095" w14:textId="17E6D887" w:rsidR="55E06754" w:rsidRPr="008264ED" w:rsidRDefault="6F6517BA" w:rsidP="008264ED">
      <w:pPr>
        <w:pStyle w:val="Normalnumbered"/>
        <w:numPr>
          <w:ilvl w:val="0"/>
          <w:numId w:val="25"/>
        </w:numPr>
        <w:rPr>
          <w:rFonts w:eastAsia="Corbel"/>
        </w:rPr>
      </w:pPr>
      <w:r w:rsidRPr="008264ED">
        <w:rPr>
          <w:rFonts w:eastAsia="Corbel"/>
        </w:rPr>
        <w:lastRenderedPageBreak/>
        <w:t xml:space="preserve">Consistent with the National Disaster Risk Reduction Framework, approved initiatives will demonstrate South Australia’s commitment to collective and integrated action across </w:t>
      </w:r>
      <w:r w:rsidR="00CD20A4">
        <w:rPr>
          <w:rFonts w:eastAsia="Corbel"/>
        </w:rPr>
        <w:t xml:space="preserve">State and local </w:t>
      </w:r>
      <w:r w:rsidRPr="008264ED">
        <w:rPr>
          <w:rFonts w:eastAsia="Corbel"/>
        </w:rPr>
        <w:t xml:space="preserve">government, </w:t>
      </w:r>
      <w:r w:rsidR="00E21E47" w:rsidRPr="008264ED">
        <w:rPr>
          <w:rFonts w:eastAsia="Corbel"/>
        </w:rPr>
        <w:t>the not-for-profit, education and business sectors</w:t>
      </w:r>
      <w:r w:rsidRPr="008264ED">
        <w:rPr>
          <w:rFonts w:eastAsia="Corbel"/>
        </w:rPr>
        <w:t xml:space="preserve">, </w:t>
      </w:r>
      <w:r w:rsidR="00E21E47">
        <w:rPr>
          <w:rFonts w:eastAsia="Corbel"/>
        </w:rPr>
        <w:t xml:space="preserve">and the broader </w:t>
      </w:r>
      <w:r w:rsidRPr="008264ED">
        <w:rPr>
          <w:rFonts w:eastAsia="Corbel"/>
        </w:rPr>
        <w:t>community to reduce existing and future disaster risk.</w:t>
      </w:r>
    </w:p>
    <w:p w14:paraId="1A13B22A" w14:textId="77777777" w:rsidR="008264ED" w:rsidRDefault="008264ED" w:rsidP="008264ED">
      <w:pPr>
        <w:pStyle w:val="Normalnumbered"/>
        <w:numPr>
          <w:ilvl w:val="0"/>
          <w:numId w:val="0"/>
        </w:numPr>
        <w:ind w:left="567"/>
        <w:rPr>
          <w:rFonts w:eastAsia="Corbel"/>
        </w:rPr>
      </w:pPr>
    </w:p>
    <w:p w14:paraId="0ACBAA1B" w14:textId="50D7A408" w:rsidR="55E06754" w:rsidRDefault="6F6517BA" w:rsidP="7994A3D4">
      <w:pPr>
        <w:pStyle w:val="Normalnumbered"/>
        <w:spacing w:after="240" w:line="260" w:lineRule="exact"/>
        <w:jc w:val="both"/>
        <w:rPr>
          <w:rFonts w:eastAsia="Corbel" w:cs="Corbel"/>
        </w:rPr>
      </w:pPr>
      <w:r w:rsidRPr="4B6021E5">
        <w:rPr>
          <w:rFonts w:eastAsia="Corbel" w:cs="Corbel"/>
        </w:rPr>
        <w:t xml:space="preserve">Approved initiatives will be implemented to deliver sustainable benefits across a range of hazards and geographic areas.  </w:t>
      </w:r>
    </w:p>
    <w:p w14:paraId="17A42E32" w14:textId="77777777" w:rsidR="0036688B" w:rsidRPr="00A36A37" w:rsidRDefault="0036688B" w:rsidP="00A17D70">
      <w:pPr>
        <w:pStyle w:val="Heading2"/>
      </w:pPr>
      <w:r w:rsidRPr="00A36A37">
        <w:t>Risk management</w:t>
      </w:r>
    </w:p>
    <w:p w14:paraId="108CF8E0" w14:textId="77777777" w:rsidR="007374A0" w:rsidRDefault="31DB2C9B" w:rsidP="007374A0">
      <w:pPr>
        <w:pStyle w:val="Normalnumbered"/>
        <w:spacing w:after="240" w:line="260" w:lineRule="exact"/>
        <w:jc w:val="both"/>
      </w:pPr>
      <w:r>
        <w:t>R</w:t>
      </w:r>
      <w:r w:rsidR="6FA0770B">
        <w:t>isks have been identified and where relevant added to the SAFECOM risk register</w:t>
      </w:r>
      <w:r w:rsidR="00F93689">
        <w:t xml:space="preserve">.  </w:t>
      </w:r>
      <w:r w:rsidR="007374A0">
        <w:t xml:space="preserve"> </w:t>
      </w:r>
    </w:p>
    <w:p w14:paraId="0B347282" w14:textId="77777777" w:rsidR="00CC25A3" w:rsidRDefault="00CC25A3" w:rsidP="007374A0">
      <w:pPr>
        <w:pStyle w:val="Normalnumbered"/>
        <w:spacing w:after="240" w:line="260" w:lineRule="exact"/>
        <w:jc w:val="both"/>
      </w:pPr>
      <w:r>
        <w:t>T</w:t>
      </w:r>
      <w:r w:rsidR="31B1D15C">
        <w:t>o maintain t</w:t>
      </w:r>
      <w:r>
        <w:t>he independent function and integrity of the</w:t>
      </w:r>
      <w:r w:rsidR="1C3ADEF1">
        <w:t xml:space="preserve"> assessment process, </w:t>
      </w:r>
      <w:r w:rsidR="008920FB">
        <w:t xml:space="preserve">all </w:t>
      </w:r>
      <w:r w:rsidR="1C3ADEF1">
        <w:t>project applications will be subject to a two-stage approval process</w:t>
      </w:r>
      <w:r w:rsidR="219D57E4">
        <w:t xml:space="preserve">. </w:t>
      </w:r>
    </w:p>
    <w:p w14:paraId="50A1F070" w14:textId="5AAFDBB2" w:rsidR="006B2884" w:rsidRDefault="006B2884" w:rsidP="006B2884">
      <w:pPr>
        <w:pStyle w:val="Normalnumbered"/>
      </w:pPr>
      <w:r>
        <w:t>Financial accountability will be maintained by compliance with South Australia</w:t>
      </w:r>
      <w:r w:rsidR="00E21E47">
        <w:t>n State Government</w:t>
      </w:r>
      <w:r>
        <w:t xml:space="preserve"> Treasurer’s Instruction 15 “Grant Funding”.</w:t>
      </w:r>
    </w:p>
    <w:p w14:paraId="731AD486" w14:textId="77777777" w:rsidR="00F42B31" w:rsidRDefault="00F42B31" w:rsidP="008264ED">
      <w:pPr>
        <w:pStyle w:val="Normalnumbered"/>
        <w:numPr>
          <w:ilvl w:val="0"/>
          <w:numId w:val="0"/>
        </w:numPr>
        <w:ind w:left="567"/>
      </w:pPr>
    </w:p>
    <w:p w14:paraId="6F91E69B" w14:textId="77777777" w:rsidR="0036688B" w:rsidRPr="00A36A37" w:rsidRDefault="00347F6D" w:rsidP="00A17D70">
      <w:pPr>
        <w:pStyle w:val="Heading2"/>
      </w:pPr>
      <w:r>
        <w:t>Relevant State Context</w:t>
      </w:r>
    </w:p>
    <w:p w14:paraId="4B48B40E" w14:textId="54754EFC" w:rsidR="00314D9E" w:rsidRDefault="00314D9E" w:rsidP="00314D9E">
      <w:pPr>
        <w:pStyle w:val="Normalnumbered"/>
      </w:pPr>
      <w:r w:rsidRPr="7E47CDD9">
        <w:rPr>
          <w:color w:val="auto"/>
        </w:rPr>
        <w:t xml:space="preserve">In developing this </w:t>
      </w:r>
      <w:r w:rsidR="00E47C62" w:rsidRPr="7E47CDD9">
        <w:rPr>
          <w:color w:val="auto"/>
        </w:rPr>
        <w:t>Implementation Plan</w:t>
      </w:r>
      <w:r w:rsidR="009F6012">
        <w:rPr>
          <w:color w:val="auto"/>
        </w:rPr>
        <w:t>,</w:t>
      </w:r>
      <w:r w:rsidRPr="7E47CDD9">
        <w:rPr>
          <w:color w:val="auto"/>
        </w:rPr>
        <w:t xml:space="preserve"> consideration has been given to </w:t>
      </w:r>
      <w:r w:rsidR="009F6012">
        <w:rPr>
          <w:color w:val="auto"/>
        </w:rPr>
        <w:t>the</w:t>
      </w:r>
      <w:r w:rsidR="009F6012" w:rsidRPr="7E47CDD9">
        <w:rPr>
          <w:color w:val="auto"/>
        </w:rPr>
        <w:t xml:space="preserve"> </w:t>
      </w:r>
      <w:r w:rsidR="005E20AB" w:rsidRPr="7E47CDD9">
        <w:rPr>
          <w:color w:val="auto"/>
        </w:rPr>
        <w:t xml:space="preserve">South Australian </w:t>
      </w:r>
      <w:r w:rsidR="00347F6D" w:rsidRPr="7E47CDD9">
        <w:rPr>
          <w:color w:val="auto"/>
        </w:rPr>
        <w:t>context.  Key factors that have influenced the proposed direction are</w:t>
      </w:r>
      <w:r w:rsidR="7175C899" w:rsidRPr="7E47CDD9">
        <w:rPr>
          <w:color w:val="auto"/>
        </w:rPr>
        <w:t>:</w:t>
      </w:r>
      <w:r w:rsidRPr="7E47CDD9">
        <w:rPr>
          <w:color w:val="auto"/>
        </w:rPr>
        <w:t xml:space="preserve"> </w:t>
      </w:r>
    </w:p>
    <w:p w14:paraId="3F305EB8" w14:textId="77777777" w:rsidR="004D7406" w:rsidRDefault="004D7406" w:rsidP="004D7406">
      <w:pPr>
        <w:pStyle w:val="Normalnumbered"/>
        <w:numPr>
          <w:ilvl w:val="0"/>
          <w:numId w:val="0"/>
        </w:numPr>
        <w:rPr>
          <w:i/>
          <w:color w:val="auto"/>
          <w:szCs w:val="20"/>
        </w:rPr>
      </w:pPr>
    </w:p>
    <w:p w14:paraId="3DAE8652" w14:textId="498E265C" w:rsidR="00D92DF8" w:rsidRPr="00D92DF8" w:rsidRDefault="004D7406" w:rsidP="4B6021E5">
      <w:pPr>
        <w:pStyle w:val="ListParagraph"/>
        <w:numPr>
          <w:ilvl w:val="0"/>
          <w:numId w:val="2"/>
        </w:numPr>
        <w:spacing w:after="240" w:line="260" w:lineRule="exact"/>
        <w:jc w:val="both"/>
        <w:rPr>
          <w:rFonts w:eastAsia="Corbel" w:cs="Corbel"/>
          <w:color w:val="auto"/>
        </w:rPr>
      </w:pPr>
      <w:r w:rsidRPr="4B6021E5">
        <w:rPr>
          <w:color w:val="auto"/>
        </w:rPr>
        <w:t>Historically</w:t>
      </w:r>
      <w:r w:rsidR="00E21E47">
        <w:rPr>
          <w:color w:val="auto"/>
        </w:rPr>
        <w:t>,</w:t>
      </w:r>
      <w:r w:rsidRPr="4B6021E5">
        <w:rPr>
          <w:color w:val="auto"/>
        </w:rPr>
        <w:t xml:space="preserve"> South Australia has experienced natural disasters on a smaller and less frequent scale than many parts of Australia. However, as the driest </w:t>
      </w:r>
      <w:r w:rsidR="009F6012">
        <w:rPr>
          <w:color w:val="auto"/>
        </w:rPr>
        <w:t>s</w:t>
      </w:r>
      <w:r w:rsidRPr="4B6021E5">
        <w:rPr>
          <w:color w:val="auto"/>
        </w:rPr>
        <w:t>tate in the country, S</w:t>
      </w:r>
      <w:r w:rsidR="00E21E47">
        <w:rPr>
          <w:color w:val="auto"/>
        </w:rPr>
        <w:t>outh Australia</w:t>
      </w:r>
      <w:r w:rsidRPr="4B6021E5">
        <w:rPr>
          <w:color w:val="auto"/>
        </w:rPr>
        <w:t xml:space="preserve"> is prone to bushfire and extreme heat events. </w:t>
      </w:r>
      <w:r w:rsidR="008920FB" w:rsidRPr="4B6021E5">
        <w:rPr>
          <w:color w:val="auto"/>
        </w:rPr>
        <w:t>Exceptional</w:t>
      </w:r>
      <w:r w:rsidR="00095E7A" w:rsidRPr="4B6021E5">
        <w:rPr>
          <w:color w:val="auto"/>
        </w:rPr>
        <w:t xml:space="preserve"> events </w:t>
      </w:r>
      <w:r w:rsidR="008920FB" w:rsidRPr="4B6021E5">
        <w:rPr>
          <w:color w:val="auto"/>
        </w:rPr>
        <w:t xml:space="preserve">such as </w:t>
      </w:r>
      <w:r w:rsidR="00095E7A" w:rsidRPr="4B6021E5">
        <w:rPr>
          <w:color w:val="auto"/>
        </w:rPr>
        <w:t xml:space="preserve">the </w:t>
      </w:r>
      <w:r w:rsidR="00A40AD6" w:rsidRPr="4B6021E5">
        <w:rPr>
          <w:color w:val="auto"/>
        </w:rPr>
        <w:t xml:space="preserve">2016 </w:t>
      </w:r>
      <w:r w:rsidR="00095E7A" w:rsidRPr="4B6021E5">
        <w:rPr>
          <w:color w:val="auto"/>
        </w:rPr>
        <w:t xml:space="preserve">extreme weather event which resulted in the state-wide </w:t>
      </w:r>
      <w:r w:rsidR="00A40AD6" w:rsidRPr="4B6021E5">
        <w:rPr>
          <w:color w:val="auto"/>
        </w:rPr>
        <w:t>blackout</w:t>
      </w:r>
      <w:r w:rsidR="008920FB" w:rsidRPr="4B6021E5">
        <w:rPr>
          <w:color w:val="auto"/>
        </w:rPr>
        <w:t>,</w:t>
      </w:r>
      <w:r w:rsidR="00095E7A" w:rsidRPr="4B6021E5">
        <w:rPr>
          <w:color w:val="auto"/>
        </w:rPr>
        <w:t xml:space="preserve"> </w:t>
      </w:r>
      <w:r w:rsidR="008920FB" w:rsidRPr="4B6021E5">
        <w:rPr>
          <w:color w:val="auto"/>
        </w:rPr>
        <w:t>t</w:t>
      </w:r>
      <w:r w:rsidRPr="4B6021E5">
        <w:rPr>
          <w:color w:val="auto"/>
        </w:rPr>
        <w:t>he 2019-20</w:t>
      </w:r>
      <w:r w:rsidR="00E21E47">
        <w:rPr>
          <w:color w:val="auto"/>
        </w:rPr>
        <w:t xml:space="preserve"> Bushfires</w:t>
      </w:r>
      <w:r w:rsidRPr="4B6021E5">
        <w:rPr>
          <w:color w:val="auto"/>
        </w:rPr>
        <w:t xml:space="preserve"> and </w:t>
      </w:r>
      <w:r w:rsidR="00A40AD6" w:rsidRPr="4B6021E5">
        <w:rPr>
          <w:color w:val="auto"/>
        </w:rPr>
        <w:t xml:space="preserve">the </w:t>
      </w:r>
      <w:r w:rsidRPr="4B6021E5">
        <w:rPr>
          <w:color w:val="auto"/>
        </w:rPr>
        <w:t>Covid-19</w:t>
      </w:r>
      <w:r w:rsidR="00A40AD6" w:rsidRPr="4B6021E5">
        <w:rPr>
          <w:color w:val="auto"/>
        </w:rPr>
        <w:t xml:space="preserve"> pandemic</w:t>
      </w:r>
      <w:r w:rsidRPr="4B6021E5">
        <w:rPr>
          <w:color w:val="auto"/>
        </w:rPr>
        <w:t xml:space="preserve"> have brought the importance of increased strategic investment in disaster risk reduction sharply into focus in South Australia. </w:t>
      </w:r>
    </w:p>
    <w:p w14:paraId="6B63CA95" w14:textId="6D6269D7" w:rsidR="0036688B" w:rsidRPr="00A36A37" w:rsidRDefault="004D7406" w:rsidP="3E02EBB8">
      <w:pPr>
        <w:pStyle w:val="ListParagraph"/>
        <w:numPr>
          <w:ilvl w:val="0"/>
          <w:numId w:val="2"/>
        </w:numPr>
        <w:spacing w:after="240" w:line="260" w:lineRule="exact"/>
        <w:jc w:val="both"/>
        <w:rPr>
          <w:rFonts w:eastAsia="Corbel" w:cs="Corbel"/>
        </w:rPr>
      </w:pPr>
      <w:r w:rsidRPr="3E02EBB8">
        <w:rPr>
          <w:i/>
          <w:iCs/>
          <w:color w:val="auto"/>
        </w:rPr>
        <w:t>Stronger Together</w:t>
      </w:r>
      <w:r w:rsidRPr="3E02EBB8">
        <w:rPr>
          <w:color w:val="auto"/>
        </w:rPr>
        <w:t>, SA’s first Disaster Resilience Strategy</w:t>
      </w:r>
      <w:r w:rsidR="04B15692" w:rsidRPr="3E02EBB8">
        <w:rPr>
          <w:color w:val="auto"/>
        </w:rPr>
        <w:t xml:space="preserve"> was endorsed in late 2019.</w:t>
      </w:r>
      <w:r w:rsidR="143A0210" w:rsidRPr="3E02EBB8">
        <w:rPr>
          <w:color w:val="auto"/>
        </w:rPr>
        <w:t xml:space="preserve"> </w:t>
      </w:r>
      <w:r w:rsidRPr="3E02EBB8">
        <w:rPr>
          <w:color w:val="auto"/>
        </w:rPr>
        <w:t xml:space="preserve">Developed with broad input from across </w:t>
      </w:r>
      <w:r w:rsidR="00E21E47">
        <w:rPr>
          <w:color w:val="auto"/>
        </w:rPr>
        <w:t>S</w:t>
      </w:r>
      <w:r w:rsidRPr="3E02EBB8">
        <w:rPr>
          <w:color w:val="auto"/>
        </w:rPr>
        <w:t>tate and local government, NGOs</w:t>
      </w:r>
      <w:r w:rsidR="008920FB" w:rsidRPr="3E02EBB8">
        <w:rPr>
          <w:color w:val="auto"/>
        </w:rPr>
        <w:t xml:space="preserve">, </w:t>
      </w:r>
      <w:r w:rsidRPr="3E02EBB8">
        <w:rPr>
          <w:color w:val="auto"/>
        </w:rPr>
        <w:t>businesses</w:t>
      </w:r>
      <w:r w:rsidR="008920FB" w:rsidRPr="3E02EBB8">
        <w:rPr>
          <w:color w:val="auto"/>
        </w:rPr>
        <w:t xml:space="preserve"> and community members</w:t>
      </w:r>
      <w:r w:rsidRPr="3E02EBB8">
        <w:rPr>
          <w:color w:val="auto"/>
        </w:rPr>
        <w:t xml:space="preserve">, </w:t>
      </w:r>
      <w:r w:rsidRPr="3E02EBB8">
        <w:rPr>
          <w:i/>
          <w:iCs/>
          <w:color w:val="auto"/>
        </w:rPr>
        <w:t>Stronger Together</w:t>
      </w:r>
      <w:r w:rsidRPr="3E02EBB8">
        <w:rPr>
          <w:color w:val="auto"/>
        </w:rPr>
        <w:t xml:space="preserve"> identifies </w:t>
      </w:r>
      <w:r w:rsidR="001D4A4C">
        <w:rPr>
          <w:color w:val="auto"/>
        </w:rPr>
        <w:t>four</w:t>
      </w:r>
      <w:r w:rsidR="00432CAB" w:rsidRPr="3E02EBB8">
        <w:rPr>
          <w:color w:val="auto"/>
        </w:rPr>
        <w:t xml:space="preserve"> </w:t>
      </w:r>
      <w:r w:rsidRPr="3E02EBB8">
        <w:rPr>
          <w:color w:val="auto"/>
        </w:rPr>
        <w:t>key focus area</w:t>
      </w:r>
      <w:r w:rsidR="7821ED38" w:rsidRPr="3E02EBB8">
        <w:rPr>
          <w:color w:val="auto"/>
        </w:rPr>
        <w:t>s</w:t>
      </w:r>
      <w:r w:rsidR="001D4A4C">
        <w:rPr>
          <w:color w:val="auto"/>
        </w:rPr>
        <w:t xml:space="preserve"> </w:t>
      </w:r>
      <w:r w:rsidR="001D4A4C" w:rsidRPr="3E02EBB8">
        <w:rPr>
          <w:color w:val="auto"/>
        </w:rPr>
        <w:t xml:space="preserve">which contribute to a more resilient </w:t>
      </w:r>
      <w:r w:rsidR="001D4A4C">
        <w:rPr>
          <w:color w:val="auto"/>
        </w:rPr>
        <w:t>s</w:t>
      </w:r>
      <w:r w:rsidR="001D4A4C" w:rsidRPr="3E02EBB8">
        <w:rPr>
          <w:color w:val="auto"/>
        </w:rPr>
        <w:t>tate</w:t>
      </w:r>
      <w:r w:rsidR="6875FC77" w:rsidRPr="3E02EBB8">
        <w:rPr>
          <w:color w:val="auto"/>
        </w:rPr>
        <w:t>:</w:t>
      </w:r>
      <w:r w:rsidR="00432CAB" w:rsidRPr="3E02EBB8">
        <w:rPr>
          <w:color w:val="auto"/>
        </w:rPr>
        <w:t xml:space="preserve"> neighbourhoods and communities, small business, children and young people</w:t>
      </w:r>
      <w:r w:rsidR="00640D45">
        <w:rPr>
          <w:color w:val="auto"/>
        </w:rPr>
        <w:t>,</w:t>
      </w:r>
      <w:r w:rsidR="00432CAB" w:rsidRPr="3E02EBB8">
        <w:rPr>
          <w:color w:val="auto"/>
        </w:rPr>
        <w:t xml:space="preserve"> and strategic and connected networks</w:t>
      </w:r>
      <w:r w:rsidRPr="3E02EBB8">
        <w:rPr>
          <w:color w:val="auto"/>
        </w:rPr>
        <w:t>.</w:t>
      </w:r>
      <w:r w:rsidR="005053D8" w:rsidRPr="3E02EBB8">
        <w:rPr>
          <w:color w:val="auto"/>
        </w:rPr>
        <w:t xml:space="preserve">  </w:t>
      </w:r>
      <w:r w:rsidR="009178A8" w:rsidRPr="3E02EBB8">
        <w:rPr>
          <w:color w:val="auto"/>
        </w:rPr>
        <w:t xml:space="preserve"> </w:t>
      </w:r>
    </w:p>
    <w:p w14:paraId="6E5FAB50" w14:textId="77777777" w:rsidR="0311E00D" w:rsidRDefault="0311E00D" w:rsidP="3E02EBB8">
      <w:pPr>
        <w:pStyle w:val="Heading2"/>
      </w:pPr>
      <w:r w:rsidRPr="3E02EBB8">
        <w:rPr>
          <w:rFonts w:eastAsia="Corbel" w:cs="Corbel"/>
          <w:szCs w:val="29"/>
        </w:rPr>
        <w:t>Sign off</w:t>
      </w:r>
    </w:p>
    <w:p w14:paraId="673C1F8F" w14:textId="77777777" w:rsidR="0311E00D" w:rsidRDefault="0311E00D" w:rsidP="3E02EBB8">
      <w:pPr>
        <w:jc w:val="both"/>
      </w:pPr>
      <w:r w:rsidRPr="3E02EBB8">
        <w:rPr>
          <w:rFonts w:eastAsia="Corbel" w:cs="Corbel"/>
          <w:szCs w:val="23"/>
          <w:lang w:val="en-GB"/>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36688B" w:rsidRPr="008A2566" w14:paraId="493812A7" w14:textId="77777777" w:rsidTr="00810C0A">
        <w:tc>
          <w:tcPr>
            <w:tcW w:w="5192" w:type="dxa"/>
            <w:tcBorders>
              <w:top w:val="nil"/>
              <w:bottom w:val="single" w:sz="4" w:space="0" w:color="A6A6A6"/>
              <w:right w:val="nil"/>
            </w:tcBorders>
            <w:vAlign w:val="center"/>
          </w:tcPr>
          <w:p w14:paraId="2C41F3E4" w14:textId="77777777" w:rsidR="009A1F60" w:rsidRDefault="009A1F60" w:rsidP="007A36B5">
            <w:pPr>
              <w:spacing w:before="120" w:after="120" w:line="280" w:lineRule="exact"/>
              <w:rPr>
                <w:b/>
                <w:bCs/>
                <w:color w:val="C00000"/>
              </w:rPr>
            </w:pPr>
          </w:p>
          <w:p w14:paraId="0893A8C3" w14:textId="5962541E" w:rsidR="0036688B" w:rsidRPr="008A2566" w:rsidRDefault="0036688B" w:rsidP="007A36B5">
            <w:pPr>
              <w:spacing w:before="120" w:after="120" w:line="280" w:lineRule="exact"/>
            </w:pPr>
            <w:r w:rsidRPr="000A1323">
              <w:rPr>
                <w:b/>
                <w:bCs/>
                <w:color w:val="C00000"/>
              </w:rPr>
              <w:t>Signature</w:t>
            </w:r>
          </w:p>
        </w:tc>
        <w:tc>
          <w:tcPr>
            <w:tcW w:w="290" w:type="dxa"/>
            <w:tcBorders>
              <w:top w:val="nil"/>
              <w:left w:val="nil"/>
              <w:bottom w:val="single" w:sz="4" w:space="0" w:color="A6A6A6"/>
              <w:right w:val="nil"/>
            </w:tcBorders>
          </w:tcPr>
          <w:p w14:paraId="23BE0554" w14:textId="77777777" w:rsidR="0036688B" w:rsidRPr="000A1323" w:rsidRDefault="0036688B" w:rsidP="007A36B5">
            <w:pPr>
              <w:spacing w:before="120" w:after="120" w:line="280" w:lineRule="exact"/>
              <w:rPr>
                <w:b/>
                <w:bCs/>
                <w:color w:val="C00000"/>
              </w:rPr>
            </w:pPr>
          </w:p>
        </w:tc>
        <w:tc>
          <w:tcPr>
            <w:tcW w:w="3982" w:type="dxa"/>
            <w:tcBorders>
              <w:top w:val="nil"/>
              <w:left w:val="nil"/>
              <w:bottom w:val="single" w:sz="4" w:space="0" w:color="A6A6A6"/>
            </w:tcBorders>
            <w:vAlign w:val="center"/>
          </w:tcPr>
          <w:p w14:paraId="3283367C" w14:textId="77777777" w:rsidR="009A1F60" w:rsidRDefault="009A1F60" w:rsidP="007A36B5">
            <w:pPr>
              <w:spacing w:before="120" w:after="120" w:line="280" w:lineRule="exact"/>
              <w:rPr>
                <w:b/>
                <w:bCs/>
                <w:color w:val="C00000"/>
              </w:rPr>
            </w:pPr>
          </w:p>
          <w:p w14:paraId="4BDF1BBE" w14:textId="7936485E" w:rsidR="0036688B" w:rsidRPr="008A2566" w:rsidRDefault="0036688B" w:rsidP="007A36B5">
            <w:pPr>
              <w:spacing w:before="120" w:after="120" w:line="280" w:lineRule="exact"/>
            </w:pPr>
            <w:r w:rsidRPr="000A1323">
              <w:rPr>
                <w:b/>
                <w:bCs/>
                <w:color w:val="C00000"/>
              </w:rPr>
              <w:t>Date</w:t>
            </w:r>
          </w:p>
        </w:tc>
      </w:tr>
      <w:tr w:rsidR="0036688B" w:rsidRPr="008A2566" w14:paraId="66F45496" w14:textId="77777777" w:rsidTr="00810C0A">
        <w:tc>
          <w:tcPr>
            <w:tcW w:w="9464" w:type="dxa"/>
            <w:gridSpan w:val="3"/>
            <w:tcBorders>
              <w:top w:val="single" w:sz="4" w:space="0" w:color="A6A6A6"/>
            </w:tcBorders>
          </w:tcPr>
          <w:p w14:paraId="75115E5B" w14:textId="5CF309BC" w:rsidR="00B741D4" w:rsidRDefault="00E809AD" w:rsidP="008264ED">
            <w:pPr>
              <w:rPr>
                <w:b/>
                <w:bCs/>
                <w:color w:val="365F91"/>
              </w:rPr>
            </w:pPr>
            <w:r>
              <w:rPr>
                <w:b/>
                <w:bCs/>
                <w:color w:val="365F91"/>
              </w:rPr>
              <w:t xml:space="preserve">The Hon Corey Wingard MP </w:t>
            </w:r>
          </w:p>
          <w:p w14:paraId="07306737" w14:textId="7A7EFF34" w:rsidR="00E809AD" w:rsidRPr="008A2566" w:rsidRDefault="00E809AD" w:rsidP="00895C19">
            <w:pPr>
              <w:spacing w:after="960" w:line="280" w:lineRule="exact"/>
            </w:pPr>
            <w:r w:rsidRPr="008264ED">
              <w:rPr>
                <w:b/>
                <w:bCs/>
                <w:color w:val="365F91"/>
              </w:rPr>
              <w:t xml:space="preserve">Minister for </w:t>
            </w:r>
            <w:r w:rsidR="00AB6691">
              <w:rPr>
                <w:b/>
                <w:bCs/>
                <w:color w:val="365F91"/>
              </w:rPr>
              <w:t xml:space="preserve">Police, </w:t>
            </w:r>
            <w:r w:rsidRPr="00AB6691">
              <w:rPr>
                <w:b/>
                <w:bCs/>
                <w:color w:val="365F91"/>
              </w:rPr>
              <w:t>Emergency Services</w:t>
            </w:r>
            <w:r w:rsidR="00AB6691">
              <w:rPr>
                <w:b/>
                <w:bCs/>
                <w:color w:val="365F91"/>
              </w:rPr>
              <w:t>, Correctional Services, Recreation, Sport and Racing</w:t>
            </w:r>
            <w:r>
              <w:t xml:space="preserve"> </w:t>
            </w:r>
          </w:p>
        </w:tc>
      </w:tr>
      <w:tr w:rsidR="0036688B" w:rsidRPr="008A2566" w14:paraId="082E877A" w14:textId="77777777" w:rsidTr="00810C0A">
        <w:tc>
          <w:tcPr>
            <w:tcW w:w="5192" w:type="dxa"/>
            <w:tcBorders>
              <w:top w:val="nil"/>
              <w:bottom w:val="single" w:sz="4" w:space="0" w:color="A6A6A6"/>
              <w:right w:val="nil"/>
            </w:tcBorders>
            <w:vAlign w:val="center"/>
          </w:tcPr>
          <w:p w14:paraId="465DF3C1" w14:textId="77777777" w:rsidR="0036688B" w:rsidRPr="008A2566" w:rsidRDefault="0036688B" w:rsidP="007A36B5">
            <w:pPr>
              <w:spacing w:before="120" w:after="120" w:line="280" w:lineRule="exact"/>
            </w:pPr>
            <w:r w:rsidRPr="000A1323">
              <w:rPr>
                <w:b/>
                <w:bCs/>
                <w:color w:val="C00000"/>
              </w:rPr>
              <w:t>Signature</w:t>
            </w:r>
          </w:p>
        </w:tc>
        <w:tc>
          <w:tcPr>
            <w:tcW w:w="290" w:type="dxa"/>
            <w:tcBorders>
              <w:top w:val="nil"/>
              <w:left w:val="nil"/>
              <w:bottom w:val="single" w:sz="4" w:space="0" w:color="A6A6A6"/>
              <w:right w:val="nil"/>
            </w:tcBorders>
          </w:tcPr>
          <w:p w14:paraId="1D5D1738" w14:textId="77777777" w:rsidR="0036688B" w:rsidRPr="000A1323" w:rsidRDefault="0036688B" w:rsidP="007A36B5">
            <w:pPr>
              <w:spacing w:before="120" w:after="120" w:line="280" w:lineRule="exact"/>
              <w:rPr>
                <w:b/>
                <w:bCs/>
                <w:color w:val="C00000"/>
              </w:rPr>
            </w:pPr>
          </w:p>
        </w:tc>
        <w:tc>
          <w:tcPr>
            <w:tcW w:w="3982" w:type="dxa"/>
            <w:tcBorders>
              <w:top w:val="nil"/>
              <w:left w:val="nil"/>
              <w:bottom w:val="single" w:sz="4" w:space="0" w:color="A6A6A6"/>
            </w:tcBorders>
            <w:vAlign w:val="center"/>
          </w:tcPr>
          <w:p w14:paraId="17508C99" w14:textId="77777777" w:rsidR="0036688B" w:rsidRPr="008A2566" w:rsidRDefault="0036688B" w:rsidP="007A36B5">
            <w:pPr>
              <w:spacing w:before="120" w:after="120" w:line="280" w:lineRule="exact"/>
            </w:pPr>
            <w:r w:rsidRPr="000A1323">
              <w:rPr>
                <w:b/>
                <w:bCs/>
                <w:color w:val="C00000"/>
              </w:rPr>
              <w:t>Date</w:t>
            </w:r>
          </w:p>
        </w:tc>
      </w:tr>
      <w:tr w:rsidR="0036688B" w:rsidRPr="008A2566" w14:paraId="0E154F75" w14:textId="77777777" w:rsidTr="00810C0A">
        <w:trPr>
          <w:trHeight w:val="822"/>
        </w:trPr>
        <w:tc>
          <w:tcPr>
            <w:tcW w:w="9464" w:type="dxa"/>
            <w:gridSpan w:val="3"/>
          </w:tcPr>
          <w:p w14:paraId="7C100824" w14:textId="55ED5B6B" w:rsidR="0036688B" w:rsidRPr="00B06563" w:rsidRDefault="0063794D" w:rsidP="00895C19">
            <w:pPr>
              <w:spacing w:after="960" w:line="280" w:lineRule="exact"/>
              <w:rPr>
                <w:b/>
                <w:bCs/>
                <w:color w:val="365F91"/>
              </w:rPr>
            </w:pPr>
            <w:r>
              <w:rPr>
                <w:b/>
                <w:bCs/>
                <w:color w:val="365F91"/>
              </w:rPr>
              <w:t>The Hon David Littleproud MP</w:t>
            </w:r>
            <w:r>
              <w:rPr>
                <w:b/>
                <w:bCs/>
                <w:color w:val="365F91"/>
              </w:rPr>
              <w:br/>
              <w:t>Minister for Agriculture, Drought and Emergency Management</w:t>
            </w:r>
          </w:p>
        </w:tc>
      </w:tr>
    </w:tbl>
    <w:p w14:paraId="6295F113" w14:textId="77777777" w:rsidR="0036688B" w:rsidRDefault="0036688B" w:rsidP="008920FB">
      <w:pPr>
        <w:autoSpaceDE w:val="0"/>
        <w:autoSpaceDN w:val="0"/>
        <w:adjustRightInd w:val="0"/>
      </w:pPr>
    </w:p>
    <w:sectPr w:rsidR="0036688B" w:rsidSect="00520331">
      <w:headerReference w:type="even" r:id="rId11"/>
      <w:headerReference w:type="default" r:id="rId12"/>
      <w:footerReference w:type="even" r:id="rId13"/>
      <w:footerReference w:type="default" r:id="rId14"/>
      <w:headerReference w:type="first" r:id="rId15"/>
      <w:footerReference w:type="first" r:id="rId16"/>
      <w:pgSz w:w="11906" w:h="16838" w:code="9"/>
      <w:pgMar w:top="851" w:right="1440" w:bottom="1021" w:left="1440"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32C5E" w14:textId="77777777" w:rsidR="00101991" w:rsidRDefault="00101991" w:rsidP="00520331">
      <w:r>
        <w:separator/>
      </w:r>
    </w:p>
  </w:endnote>
  <w:endnote w:type="continuationSeparator" w:id="0">
    <w:p w14:paraId="3AD9357B" w14:textId="77777777" w:rsidR="00101991" w:rsidRDefault="00101991"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79A" w14:textId="77777777" w:rsidR="00DE0819" w:rsidRDefault="00DE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32F4" w14:textId="4D5A50F4" w:rsidR="00FC5909" w:rsidRPr="00413980" w:rsidRDefault="00FC5909">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456E06">
      <w:rPr>
        <w:noProof/>
        <w:sz w:val="20"/>
        <w:szCs w:val="20"/>
      </w:rPr>
      <w:t>1</w:t>
    </w:r>
    <w:r>
      <w:rPr>
        <w:sz w:val="20"/>
        <w:szCs w:val="20"/>
      </w:rPr>
      <w:fldChar w:fldCharType="end"/>
    </w:r>
  </w:p>
  <w:p w14:paraId="097990BD" w14:textId="77777777" w:rsidR="00FC5909" w:rsidRDefault="00FC5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8ACE" w14:textId="77777777" w:rsidR="00DE0819" w:rsidRDefault="00DE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D3A7A" w14:textId="77777777" w:rsidR="00101991" w:rsidRDefault="00101991" w:rsidP="00520331">
      <w:r>
        <w:separator/>
      </w:r>
    </w:p>
  </w:footnote>
  <w:footnote w:type="continuationSeparator" w:id="0">
    <w:p w14:paraId="623A2626" w14:textId="77777777" w:rsidR="00101991" w:rsidRDefault="00101991" w:rsidP="005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5605" w14:textId="77777777" w:rsidR="00DE0819" w:rsidRDefault="00DE0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F4F3" w14:textId="3E67ECAC" w:rsidR="00FC5909" w:rsidRDefault="00FC5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A51" w14:textId="77777777" w:rsidR="00DE0819" w:rsidRDefault="00DE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938"/>
    <w:multiLevelType w:val="hybridMultilevel"/>
    <w:tmpl w:val="A2342590"/>
    <w:lvl w:ilvl="0" w:tplc="60CE27B8">
      <w:start w:val="1"/>
      <w:numFmt w:val="lowerLetter"/>
      <w:lvlText w:val="%1."/>
      <w:lvlJc w:val="left"/>
      <w:pPr>
        <w:ind w:left="720" w:hanging="360"/>
      </w:pPr>
    </w:lvl>
    <w:lvl w:ilvl="1" w:tplc="0F544B4C">
      <w:start w:val="1"/>
      <w:numFmt w:val="lowerLetter"/>
      <w:lvlText w:val="%2."/>
      <w:lvlJc w:val="left"/>
      <w:pPr>
        <w:ind w:left="1440" w:hanging="360"/>
      </w:pPr>
    </w:lvl>
    <w:lvl w:ilvl="2" w:tplc="246466D4">
      <w:start w:val="1"/>
      <w:numFmt w:val="lowerRoman"/>
      <w:lvlText w:val="%3."/>
      <w:lvlJc w:val="right"/>
      <w:pPr>
        <w:ind w:left="2160" w:hanging="180"/>
      </w:pPr>
    </w:lvl>
    <w:lvl w:ilvl="3" w:tplc="62ACBE86">
      <w:start w:val="1"/>
      <w:numFmt w:val="decimal"/>
      <w:lvlText w:val="%4."/>
      <w:lvlJc w:val="left"/>
      <w:pPr>
        <w:ind w:left="2880" w:hanging="360"/>
      </w:pPr>
    </w:lvl>
    <w:lvl w:ilvl="4" w:tplc="BAA60D88">
      <w:start w:val="1"/>
      <w:numFmt w:val="lowerLetter"/>
      <w:lvlText w:val="%5."/>
      <w:lvlJc w:val="left"/>
      <w:pPr>
        <w:ind w:left="3600" w:hanging="360"/>
      </w:pPr>
    </w:lvl>
    <w:lvl w:ilvl="5" w:tplc="93AA5F42">
      <w:start w:val="1"/>
      <w:numFmt w:val="lowerRoman"/>
      <w:lvlText w:val="%6."/>
      <w:lvlJc w:val="right"/>
      <w:pPr>
        <w:ind w:left="4320" w:hanging="180"/>
      </w:pPr>
    </w:lvl>
    <w:lvl w:ilvl="6" w:tplc="C972D23E">
      <w:start w:val="1"/>
      <w:numFmt w:val="decimal"/>
      <w:lvlText w:val="%7."/>
      <w:lvlJc w:val="left"/>
      <w:pPr>
        <w:ind w:left="5040" w:hanging="360"/>
      </w:pPr>
    </w:lvl>
    <w:lvl w:ilvl="7" w:tplc="52308104">
      <w:start w:val="1"/>
      <w:numFmt w:val="lowerLetter"/>
      <w:lvlText w:val="%8."/>
      <w:lvlJc w:val="left"/>
      <w:pPr>
        <w:ind w:left="5760" w:hanging="360"/>
      </w:pPr>
    </w:lvl>
    <w:lvl w:ilvl="8" w:tplc="0144EC9A">
      <w:start w:val="1"/>
      <w:numFmt w:val="lowerRoman"/>
      <w:lvlText w:val="%9."/>
      <w:lvlJc w:val="right"/>
      <w:pPr>
        <w:ind w:left="6480" w:hanging="180"/>
      </w:pPr>
    </w:lvl>
  </w:abstractNum>
  <w:abstractNum w:abstractNumId="1" w15:restartNumberingAfterBreak="0">
    <w:nsid w:val="032839B2"/>
    <w:multiLevelType w:val="hybridMultilevel"/>
    <w:tmpl w:val="3FDAED12"/>
    <w:lvl w:ilvl="0" w:tplc="77AEB354">
      <w:start w:val="1"/>
      <w:numFmt w:val="lowerLetter"/>
      <w:lvlText w:val="%1)"/>
      <w:lvlJc w:val="left"/>
      <w:pPr>
        <w:ind w:left="720" w:hanging="360"/>
      </w:pPr>
    </w:lvl>
    <w:lvl w:ilvl="1" w:tplc="32EAA536">
      <w:start w:val="1"/>
      <w:numFmt w:val="lowerLetter"/>
      <w:lvlText w:val="%2."/>
      <w:lvlJc w:val="left"/>
      <w:pPr>
        <w:ind w:left="1440" w:hanging="360"/>
      </w:pPr>
    </w:lvl>
    <w:lvl w:ilvl="2" w:tplc="BB5E932A">
      <w:start w:val="1"/>
      <w:numFmt w:val="lowerRoman"/>
      <w:lvlText w:val="%3."/>
      <w:lvlJc w:val="right"/>
      <w:pPr>
        <w:ind w:left="2160" w:hanging="180"/>
      </w:pPr>
    </w:lvl>
    <w:lvl w:ilvl="3" w:tplc="3572D97E">
      <w:start w:val="1"/>
      <w:numFmt w:val="decimal"/>
      <w:lvlText w:val="%4."/>
      <w:lvlJc w:val="left"/>
      <w:pPr>
        <w:ind w:left="2880" w:hanging="360"/>
      </w:pPr>
    </w:lvl>
    <w:lvl w:ilvl="4" w:tplc="2EE2E896">
      <w:start w:val="1"/>
      <w:numFmt w:val="lowerLetter"/>
      <w:lvlText w:val="%5."/>
      <w:lvlJc w:val="left"/>
      <w:pPr>
        <w:ind w:left="3600" w:hanging="360"/>
      </w:pPr>
    </w:lvl>
    <w:lvl w:ilvl="5" w:tplc="4E8CE96A">
      <w:start w:val="1"/>
      <w:numFmt w:val="lowerRoman"/>
      <w:lvlText w:val="%6."/>
      <w:lvlJc w:val="right"/>
      <w:pPr>
        <w:ind w:left="4320" w:hanging="180"/>
      </w:pPr>
    </w:lvl>
    <w:lvl w:ilvl="6" w:tplc="3A2278E6">
      <w:start w:val="1"/>
      <w:numFmt w:val="decimal"/>
      <w:lvlText w:val="%7."/>
      <w:lvlJc w:val="left"/>
      <w:pPr>
        <w:ind w:left="5040" w:hanging="360"/>
      </w:pPr>
    </w:lvl>
    <w:lvl w:ilvl="7" w:tplc="6FC8D074">
      <w:start w:val="1"/>
      <w:numFmt w:val="lowerLetter"/>
      <w:lvlText w:val="%8."/>
      <w:lvlJc w:val="left"/>
      <w:pPr>
        <w:ind w:left="5760" w:hanging="360"/>
      </w:pPr>
    </w:lvl>
    <w:lvl w:ilvl="8" w:tplc="6D5840DA">
      <w:start w:val="1"/>
      <w:numFmt w:val="lowerRoman"/>
      <w:lvlText w:val="%9."/>
      <w:lvlJc w:val="right"/>
      <w:pPr>
        <w:ind w:left="6480" w:hanging="180"/>
      </w:p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3"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321F7C63"/>
    <w:multiLevelType w:val="hybridMultilevel"/>
    <w:tmpl w:val="D3FE4A98"/>
    <w:lvl w:ilvl="0" w:tplc="A306C2FA">
      <w:start w:val="1"/>
      <w:numFmt w:val="decimal"/>
      <w:lvlText w:val="%1."/>
      <w:lvlJc w:val="left"/>
      <w:pPr>
        <w:ind w:left="720" w:hanging="360"/>
      </w:pPr>
    </w:lvl>
    <w:lvl w:ilvl="1" w:tplc="6E8A397A">
      <w:start w:val="1"/>
      <w:numFmt w:val="lowerLetter"/>
      <w:lvlText w:val="%2."/>
      <w:lvlJc w:val="left"/>
      <w:pPr>
        <w:ind w:left="1440" w:hanging="360"/>
      </w:pPr>
    </w:lvl>
    <w:lvl w:ilvl="2" w:tplc="5B682606">
      <w:start w:val="1"/>
      <w:numFmt w:val="lowerRoman"/>
      <w:lvlText w:val="%3."/>
      <w:lvlJc w:val="right"/>
      <w:pPr>
        <w:ind w:left="2160" w:hanging="180"/>
      </w:pPr>
    </w:lvl>
    <w:lvl w:ilvl="3" w:tplc="FFA4C3B2">
      <w:start w:val="1"/>
      <w:numFmt w:val="decimal"/>
      <w:lvlText w:val="%4."/>
      <w:lvlJc w:val="left"/>
      <w:pPr>
        <w:ind w:left="2880" w:hanging="360"/>
      </w:pPr>
    </w:lvl>
    <w:lvl w:ilvl="4" w:tplc="2F7607A6">
      <w:start w:val="1"/>
      <w:numFmt w:val="lowerLetter"/>
      <w:lvlText w:val="%5."/>
      <w:lvlJc w:val="left"/>
      <w:pPr>
        <w:ind w:left="3600" w:hanging="360"/>
      </w:pPr>
    </w:lvl>
    <w:lvl w:ilvl="5" w:tplc="D28CF29C">
      <w:start w:val="1"/>
      <w:numFmt w:val="lowerRoman"/>
      <w:lvlText w:val="%6."/>
      <w:lvlJc w:val="right"/>
      <w:pPr>
        <w:ind w:left="4320" w:hanging="180"/>
      </w:pPr>
    </w:lvl>
    <w:lvl w:ilvl="6" w:tplc="002E1B14">
      <w:start w:val="1"/>
      <w:numFmt w:val="decimal"/>
      <w:lvlText w:val="%7."/>
      <w:lvlJc w:val="left"/>
      <w:pPr>
        <w:ind w:left="5040" w:hanging="360"/>
      </w:pPr>
    </w:lvl>
    <w:lvl w:ilvl="7" w:tplc="56E0316E">
      <w:start w:val="1"/>
      <w:numFmt w:val="lowerLetter"/>
      <w:lvlText w:val="%8."/>
      <w:lvlJc w:val="left"/>
      <w:pPr>
        <w:ind w:left="5760" w:hanging="360"/>
      </w:pPr>
    </w:lvl>
    <w:lvl w:ilvl="8" w:tplc="AA785F82">
      <w:start w:val="1"/>
      <w:numFmt w:val="lowerRoman"/>
      <w:lvlText w:val="%9."/>
      <w:lvlJc w:val="right"/>
      <w:pPr>
        <w:ind w:left="6480" w:hanging="180"/>
      </w:pPr>
    </w:lvl>
  </w:abstractNum>
  <w:abstractNum w:abstractNumId="5"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7"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9"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0"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2"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3"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4" w15:restartNumberingAfterBreak="0">
    <w:nsid w:val="5C1718D7"/>
    <w:multiLevelType w:val="hybridMultilevel"/>
    <w:tmpl w:val="2564D84E"/>
    <w:lvl w:ilvl="0" w:tplc="C81A0C64">
      <w:start w:val="1"/>
      <w:numFmt w:val="bullet"/>
      <w:lvlText w:val=""/>
      <w:lvlJc w:val="left"/>
      <w:pPr>
        <w:ind w:left="720" w:hanging="360"/>
      </w:pPr>
      <w:rPr>
        <w:rFonts w:ascii="Symbol" w:hAnsi="Symbol" w:hint="default"/>
      </w:rPr>
    </w:lvl>
    <w:lvl w:ilvl="1" w:tplc="C8EC9180">
      <w:start w:val="1"/>
      <w:numFmt w:val="bullet"/>
      <w:lvlText w:val="o"/>
      <w:lvlJc w:val="left"/>
      <w:pPr>
        <w:ind w:left="1440" w:hanging="360"/>
      </w:pPr>
      <w:rPr>
        <w:rFonts w:ascii="Courier New" w:hAnsi="Courier New" w:hint="default"/>
      </w:rPr>
    </w:lvl>
    <w:lvl w:ilvl="2" w:tplc="4DBC7F90">
      <w:start w:val="1"/>
      <w:numFmt w:val="bullet"/>
      <w:lvlText w:val=""/>
      <w:lvlJc w:val="left"/>
      <w:pPr>
        <w:ind w:left="2160" w:hanging="360"/>
      </w:pPr>
      <w:rPr>
        <w:rFonts w:ascii="Wingdings" w:hAnsi="Wingdings" w:hint="default"/>
      </w:rPr>
    </w:lvl>
    <w:lvl w:ilvl="3" w:tplc="4894ACD4">
      <w:start w:val="1"/>
      <w:numFmt w:val="bullet"/>
      <w:lvlText w:val=""/>
      <w:lvlJc w:val="left"/>
      <w:pPr>
        <w:ind w:left="2880" w:hanging="360"/>
      </w:pPr>
      <w:rPr>
        <w:rFonts w:ascii="Symbol" w:hAnsi="Symbol" w:hint="default"/>
      </w:rPr>
    </w:lvl>
    <w:lvl w:ilvl="4" w:tplc="DF36C762">
      <w:start w:val="1"/>
      <w:numFmt w:val="bullet"/>
      <w:lvlText w:val="o"/>
      <w:lvlJc w:val="left"/>
      <w:pPr>
        <w:ind w:left="3600" w:hanging="360"/>
      </w:pPr>
      <w:rPr>
        <w:rFonts w:ascii="Courier New" w:hAnsi="Courier New" w:hint="default"/>
      </w:rPr>
    </w:lvl>
    <w:lvl w:ilvl="5" w:tplc="AFCCD6D0">
      <w:start w:val="1"/>
      <w:numFmt w:val="bullet"/>
      <w:lvlText w:val=""/>
      <w:lvlJc w:val="left"/>
      <w:pPr>
        <w:ind w:left="4320" w:hanging="360"/>
      </w:pPr>
      <w:rPr>
        <w:rFonts w:ascii="Wingdings" w:hAnsi="Wingdings" w:hint="default"/>
      </w:rPr>
    </w:lvl>
    <w:lvl w:ilvl="6" w:tplc="6024E018">
      <w:start w:val="1"/>
      <w:numFmt w:val="bullet"/>
      <w:lvlText w:val=""/>
      <w:lvlJc w:val="left"/>
      <w:pPr>
        <w:ind w:left="5040" w:hanging="360"/>
      </w:pPr>
      <w:rPr>
        <w:rFonts w:ascii="Symbol" w:hAnsi="Symbol" w:hint="default"/>
      </w:rPr>
    </w:lvl>
    <w:lvl w:ilvl="7" w:tplc="77FA375E">
      <w:start w:val="1"/>
      <w:numFmt w:val="bullet"/>
      <w:lvlText w:val="o"/>
      <w:lvlJc w:val="left"/>
      <w:pPr>
        <w:ind w:left="5760" w:hanging="360"/>
      </w:pPr>
      <w:rPr>
        <w:rFonts w:ascii="Courier New" w:hAnsi="Courier New" w:hint="default"/>
      </w:rPr>
    </w:lvl>
    <w:lvl w:ilvl="8" w:tplc="9278771A">
      <w:start w:val="1"/>
      <w:numFmt w:val="bullet"/>
      <w:lvlText w:val=""/>
      <w:lvlJc w:val="left"/>
      <w:pPr>
        <w:ind w:left="6480" w:hanging="360"/>
      </w:pPr>
      <w:rPr>
        <w:rFonts w:ascii="Wingdings" w:hAnsi="Wingdings" w:hint="default"/>
      </w:rPr>
    </w:lvl>
  </w:abstractNum>
  <w:abstractNum w:abstractNumId="15" w15:restartNumberingAfterBreak="0">
    <w:nsid w:val="60986763"/>
    <w:multiLevelType w:val="hybridMultilevel"/>
    <w:tmpl w:val="34202BD4"/>
    <w:lvl w:ilvl="0" w:tplc="77AEB354">
      <w:start w:val="1"/>
      <w:numFmt w:val="lowerLetter"/>
      <w:lvlText w:val="%1)"/>
      <w:lvlJc w:val="left"/>
      <w:pPr>
        <w:ind w:left="720" w:hanging="360"/>
      </w:pPr>
    </w:lvl>
    <w:lvl w:ilvl="1" w:tplc="0C090001">
      <w:start w:val="1"/>
      <w:numFmt w:val="bullet"/>
      <w:lvlText w:val=""/>
      <w:lvlJc w:val="left"/>
      <w:pPr>
        <w:ind w:left="1440" w:hanging="360"/>
      </w:pPr>
      <w:rPr>
        <w:rFonts w:ascii="Symbol" w:hAnsi="Symbol" w:cs="Symbol" w:hint="default"/>
      </w:rPr>
    </w:lvl>
    <w:lvl w:ilvl="2" w:tplc="BB5E932A">
      <w:start w:val="1"/>
      <w:numFmt w:val="lowerRoman"/>
      <w:lvlText w:val="%3."/>
      <w:lvlJc w:val="right"/>
      <w:pPr>
        <w:ind w:left="2160" w:hanging="180"/>
      </w:pPr>
    </w:lvl>
    <w:lvl w:ilvl="3" w:tplc="3572D97E">
      <w:start w:val="1"/>
      <w:numFmt w:val="decimal"/>
      <w:lvlText w:val="%4."/>
      <w:lvlJc w:val="left"/>
      <w:pPr>
        <w:ind w:left="2880" w:hanging="360"/>
      </w:pPr>
    </w:lvl>
    <w:lvl w:ilvl="4" w:tplc="2EE2E896">
      <w:start w:val="1"/>
      <w:numFmt w:val="lowerLetter"/>
      <w:lvlText w:val="%5."/>
      <w:lvlJc w:val="left"/>
      <w:pPr>
        <w:ind w:left="3600" w:hanging="360"/>
      </w:pPr>
    </w:lvl>
    <w:lvl w:ilvl="5" w:tplc="4E8CE96A">
      <w:start w:val="1"/>
      <w:numFmt w:val="lowerRoman"/>
      <w:lvlText w:val="%6."/>
      <w:lvlJc w:val="right"/>
      <w:pPr>
        <w:ind w:left="4320" w:hanging="180"/>
      </w:pPr>
    </w:lvl>
    <w:lvl w:ilvl="6" w:tplc="3A2278E6">
      <w:start w:val="1"/>
      <w:numFmt w:val="decimal"/>
      <w:lvlText w:val="%7."/>
      <w:lvlJc w:val="left"/>
      <w:pPr>
        <w:ind w:left="5040" w:hanging="360"/>
      </w:pPr>
    </w:lvl>
    <w:lvl w:ilvl="7" w:tplc="6FC8D074">
      <w:start w:val="1"/>
      <w:numFmt w:val="lowerLetter"/>
      <w:lvlText w:val="%8."/>
      <w:lvlJc w:val="left"/>
      <w:pPr>
        <w:ind w:left="5760" w:hanging="360"/>
      </w:pPr>
    </w:lvl>
    <w:lvl w:ilvl="8" w:tplc="6D5840DA">
      <w:start w:val="1"/>
      <w:numFmt w:val="lowerRoman"/>
      <w:lvlText w:val="%9."/>
      <w:lvlJc w:val="right"/>
      <w:pPr>
        <w:ind w:left="6480" w:hanging="180"/>
      </w:pPr>
    </w:lvl>
  </w:abstractNum>
  <w:abstractNum w:abstractNumId="16" w15:restartNumberingAfterBreak="0">
    <w:nsid w:val="61122B6B"/>
    <w:multiLevelType w:val="hybridMultilevel"/>
    <w:tmpl w:val="81C60276"/>
    <w:lvl w:ilvl="0" w:tplc="A306C2FA">
      <w:start w:val="1"/>
      <w:numFmt w:val="decimal"/>
      <w:lvlText w:val="%1."/>
      <w:lvlJc w:val="left"/>
      <w:pPr>
        <w:ind w:left="720" w:hanging="360"/>
      </w:pPr>
    </w:lvl>
    <w:lvl w:ilvl="1" w:tplc="6E8A397A">
      <w:start w:val="1"/>
      <w:numFmt w:val="lowerLetter"/>
      <w:lvlText w:val="%2."/>
      <w:lvlJc w:val="left"/>
      <w:pPr>
        <w:ind w:left="1440" w:hanging="360"/>
      </w:pPr>
    </w:lvl>
    <w:lvl w:ilvl="2" w:tplc="5B682606">
      <w:start w:val="1"/>
      <w:numFmt w:val="lowerRoman"/>
      <w:lvlText w:val="%3."/>
      <w:lvlJc w:val="right"/>
      <w:pPr>
        <w:ind w:left="2160" w:hanging="180"/>
      </w:pPr>
    </w:lvl>
    <w:lvl w:ilvl="3" w:tplc="FFA4C3B2">
      <w:start w:val="1"/>
      <w:numFmt w:val="decimal"/>
      <w:lvlText w:val="%4."/>
      <w:lvlJc w:val="left"/>
      <w:pPr>
        <w:ind w:left="2880" w:hanging="360"/>
      </w:pPr>
    </w:lvl>
    <w:lvl w:ilvl="4" w:tplc="2F7607A6">
      <w:start w:val="1"/>
      <w:numFmt w:val="lowerLetter"/>
      <w:lvlText w:val="%5."/>
      <w:lvlJc w:val="left"/>
      <w:pPr>
        <w:ind w:left="3600" w:hanging="360"/>
      </w:pPr>
    </w:lvl>
    <w:lvl w:ilvl="5" w:tplc="D28CF29C">
      <w:start w:val="1"/>
      <w:numFmt w:val="lowerRoman"/>
      <w:lvlText w:val="%6."/>
      <w:lvlJc w:val="right"/>
      <w:pPr>
        <w:ind w:left="4320" w:hanging="180"/>
      </w:pPr>
    </w:lvl>
    <w:lvl w:ilvl="6" w:tplc="002E1B14">
      <w:start w:val="1"/>
      <w:numFmt w:val="decimal"/>
      <w:lvlText w:val="%7."/>
      <w:lvlJc w:val="left"/>
      <w:pPr>
        <w:ind w:left="5040" w:hanging="360"/>
      </w:pPr>
    </w:lvl>
    <w:lvl w:ilvl="7" w:tplc="56E0316E">
      <w:start w:val="1"/>
      <w:numFmt w:val="lowerLetter"/>
      <w:lvlText w:val="%8."/>
      <w:lvlJc w:val="left"/>
      <w:pPr>
        <w:ind w:left="5760" w:hanging="360"/>
      </w:pPr>
    </w:lvl>
    <w:lvl w:ilvl="8" w:tplc="AA785F82">
      <w:start w:val="1"/>
      <w:numFmt w:val="lowerRoman"/>
      <w:lvlText w:val="%9."/>
      <w:lvlJc w:val="right"/>
      <w:pPr>
        <w:ind w:left="6480" w:hanging="180"/>
      </w:pPr>
    </w:lvl>
  </w:abstractNum>
  <w:abstractNum w:abstractNumId="17"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18"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19" w15:restartNumberingAfterBreak="0">
    <w:nsid w:val="78854AAC"/>
    <w:multiLevelType w:val="hybridMultilevel"/>
    <w:tmpl w:val="451E0452"/>
    <w:lvl w:ilvl="0" w:tplc="FFFFFFFF">
      <w:start w:val="1"/>
      <w:numFmt w:val="decimal"/>
      <w:pStyle w:val="Normalnumbered"/>
      <w:lvlText w:val="%1."/>
      <w:lvlJc w:val="left"/>
      <w:pPr>
        <w:tabs>
          <w:tab w:val="num" w:pos="567"/>
        </w:tabs>
        <w:ind w:left="567" w:hanging="567"/>
      </w:p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0"/>
  </w:num>
  <w:num w:numId="4">
    <w:abstractNumId w:val="4"/>
  </w:num>
  <w:num w:numId="5">
    <w:abstractNumId w:val="8"/>
  </w:num>
  <w:num w:numId="6">
    <w:abstractNumId w:val="5"/>
  </w:num>
  <w:num w:numId="7">
    <w:abstractNumId w:val="10"/>
  </w:num>
  <w:num w:numId="8">
    <w:abstractNumId w:val="3"/>
  </w:num>
  <w:num w:numId="9">
    <w:abstractNumId w:val="11"/>
  </w:num>
  <w:num w:numId="10">
    <w:abstractNumId w:val="2"/>
  </w:num>
  <w:num w:numId="11">
    <w:abstractNumId w:val="12"/>
  </w:num>
  <w:num w:numId="12">
    <w:abstractNumId w:val="7"/>
  </w:num>
  <w:num w:numId="13">
    <w:abstractNumId w:val="19"/>
  </w:num>
  <w:num w:numId="14">
    <w:abstractNumId w:val="17"/>
  </w:num>
  <w:num w:numId="15">
    <w:abstractNumId w:val="18"/>
  </w:num>
  <w:num w:numId="16">
    <w:abstractNumId w:val="20"/>
  </w:num>
  <w:num w:numId="17">
    <w:abstractNumId w:val="13"/>
  </w:num>
  <w:num w:numId="18">
    <w:abstractNumId w:val="6"/>
  </w:num>
  <w:num w:numId="19">
    <w:abstractNumId w:val="9"/>
  </w:num>
  <w:num w:numId="20">
    <w:abstractNumId w:val="15"/>
  </w:num>
  <w:num w:numId="21">
    <w:abstractNumId w:val="16"/>
  </w:num>
  <w:num w:numId="22">
    <w:abstractNumId w:val="19"/>
    <w:lvlOverride w:ilvl="0">
      <w:startOverride w:val="3"/>
    </w:lvlOverride>
  </w:num>
  <w:num w:numId="23">
    <w:abstractNumId w:val="19"/>
    <w:lvlOverride w:ilvl="0">
      <w:startOverride w:val="14"/>
    </w:lvlOverride>
  </w:num>
  <w:num w:numId="24">
    <w:abstractNumId w:val="19"/>
    <w:lvlOverride w:ilvl="0">
      <w:startOverride w:val="14"/>
    </w:lvlOverride>
  </w:num>
  <w:num w:numId="25">
    <w:abstractNumId w:val="19"/>
    <w:lvlOverride w:ilvl="0">
      <w:startOverride w:val="16"/>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E"/>
    <w:rsid w:val="000014B1"/>
    <w:rsid w:val="0000225C"/>
    <w:rsid w:val="00003A92"/>
    <w:rsid w:val="00003EAE"/>
    <w:rsid w:val="00011DA2"/>
    <w:rsid w:val="00012AAE"/>
    <w:rsid w:val="000130D0"/>
    <w:rsid w:val="00013A91"/>
    <w:rsid w:val="00023C24"/>
    <w:rsid w:val="000240B5"/>
    <w:rsid w:val="00024B99"/>
    <w:rsid w:val="0002586A"/>
    <w:rsid w:val="00025F50"/>
    <w:rsid w:val="00030F67"/>
    <w:rsid w:val="00034877"/>
    <w:rsid w:val="000375F8"/>
    <w:rsid w:val="00040C93"/>
    <w:rsid w:val="0004119C"/>
    <w:rsid w:val="00041625"/>
    <w:rsid w:val="0004432A"/>
    <w:rsid w:val="00044E74"/>
    <w:rsid w:val="00045778"/>
    <w:rsid w:val="00045AD7"/>
    <w:rsid w:val="00047FE7"/>
    <w:rsid w:val="000518BA"/>
    <w:rsid w:val="00054A8D"/>
    <w:rsid w:val="000550DD"/>
    <w:rsid w:val="0005527C"/>
    <w:rsid w:val="00056953"/>
    <w:rsid w:val="00056BAB"/>
    <w:rsid w:val="00056C4B"/>
    <w:rsid w:val="00062172"/>
    <w:rsid w:val="00063912"/>
    <w:rsid w:val="00070F78"/>
    <w:rsid w:val="000713F9"/>
    <w:rsid w:val="000758BF"/>
    <w:rsid w:val="00086B8C"/>
    <w:rsid w:val="000873E5"/>
    <w:rsid w:val="00091BA8"/>
    <w:rsid w:val="000925CD"/>
    <w:rsid w:val="00093235"/>
    <w:rsid w:val="00095E7A"/>
    <w:rsid w:val="000A1323"/>
    <w:rsid w:val="000A72D2"/>
    <w:rsid w:val="000B09BC"/>
    <w:rsid w:val="000B0ABF"/>
    <w:rsid w:val="000C017B"/>
    <w:rsid w:val="000C1698"/>
    <w:rsid w:val="000C50E7"/>
    <w:rsid w:val="000C5B11"/>
    <w:rsid w:val="000D3392"/>
    <w:rsid w:val="000D4B5B"/>
    <w:rsid w:val="000D5B7F"/>
    <w:rsid w:val="000D5C4C"/>
    <w:rsid w:val="000D6315"/>
    <w:rsid w:val="000D7C4C"/>
    <w:rsid w:val="000E3092"/>
    <w:rsid w:val="000E78C0"/>
    <w:rsid w:val="000F354C"/>
    <w:rsid w:val="000F5EB9"/>
    <w:rsid w:val="0010047C"/>
    <w:rsid w:val="00101991"/>
    <w:rsid w:val="00102898"/>
    <w:rsid w:val="00102DDE"/>
    <w:rsid w:val="00105402"/>
    <w:rsid w:val="00105FB1"/>
    <w:rsid w:val="00110BA0"/>
    <w:rsid w:val="0011223F"/>
    <w:rsid w:val="00113524"/>
    <w:rsid w:val="0011673E"/>
    <w:rsid w:val="001168E4"/>
    <w:rsid w:val="00120218"/>
    <w:rsid w:val="0012049E"/>
    <w:rsid w:val="001273B5"/>
    <w:rsid w:val="001331EC"/>
    <w:rsid w:val="0014155C"/>
    <w:rsid w:val="00146B46"/>
    <w:rsid w:val="00150526"/>
    <w:rsid w:val="00151977"/>
    <w:rsid w:val="001637AC"/>
    <w:rsid w:val="00164CEE"/>
    <w:rsid w:val="00166312"/>
    <w:rsid w:val="00170639"/>
    <w:rsid w:val="00170688"/>
    <w:rsid w:val="00170B1A"/>
    <w:rsid w:val="00171B14"/>
    <w:rsid w:val="00172229"/>
    <w:rsid w:val="00172B12"/>
    <w:rsid w:val="00174BD4"/>
    <w:rsid w:val="001755D1"/>
    <w:rsid w:val="0018546C"/>
    <w:rsid w:val="00187A15"/>
    <w:rsid w:val="00191251"/>
    <w:rsid w:val="001918B1"/>
    <w:rsid w:val="00192CDE"/>
    <w:rsid w:val="001A652E"/>
    <w:rsid w:val="001B5415"/>
    <w:rsid w:val="001C1144"/>
    <w:rsid w:val="001C2D66"/>
    <w:rsid w:val="001C56EC"/>
    <w:rsid w:val="001C6B67"/>
    <w:rsid w:val="001D14B8"/>
    <w:rsid w:val="001D47EA"/>
    <w:rsid w:val="001D4A4C"/>
    <w:rsid w:val="001D5134"/>
    <w:rsid w:val="001D78B9"/>
    <w:rsid w:val="001E4E1F"/>
    <w:rsid w:val="001E5367"/>
    <w:rsid w:val="001E67A2"/>
    <w:rsid w:val="001E74D0"/>
    <w:rsid w:val="001F1BE4"/>
    <w:rsid w:val="001F3DA3"/>
    <w:rsid w:val="001F45C6"/>
    <w:rsid w:val="001F5305"/>
    <w:rsid w:val="001F68F6"/>
    <w:rsid w:val="001F7A0E"/>
    <w:rsid w:val="001F7CB8"/>
    <w:rsid w:val="001FDFF5"/>
    <w:rsid w:val="002010E0"/>
    <w:rsid w:val="00206671"/>
    <w:rsid w:val="00221363"/>
    <w:rsid w:val="00221F0A"/>
    <w:rsid w:val="002268B0"/>
    <w:rsid w:val="00227BC0"/>
    <w:rsid w:val="002311B1"/>
    <w:rsid w:val="00231B70"/>
    <w:rsid w:val="002330D9"/>
    <w:rsid w:val="00240DC3"/>
    <w:rsid w:val="00241B51"/>
    <w:rsid w:val="00243E8B"/>
    <w:rsid w:val="002442C5"/>
    <w:rsid w:val="002514DE"/>
    <w:rsid w:val="00254BF5"/>
    <w:rsid w:val="0025586C"/>
    <w:rsid w:val="00256AB0"/>
    <w:rsid w:val="00257088"/>
    <w:rsid w:val="00257C5A"/>
    <w:rsid w:val="00261014"/>
    <w:rsid w:val="00261564"/>
    <w:rsid w:val="002616A0"/>
    <w:rsid w:val="00261BA3"/>
    <w:rsid w:val="0026248F"/>
    <w:rsid w:val="002648E8"/>
    <w:rsid w:val="0026503A"/>
    <w:rsid w:val="002678DE"/>
    <w:rsid w:val="00267B81"/>
    <w:rsid w:val="00270D9D"/>
    <w:rsid w:val="00274BC4"/>
    <w:rsid w:val="00281AE3"/>
    <w:rsid w:val="00281D69"/>
    <w:rsid w:val="00282641"/>
    <w:rsid w:val="00284307"/>
    <w:rsid w:val="00285609"/>
    <w:rsid w:val="00286FA2"/>
    <w:rsid w:val="00292CB8"/>
    <w:rsid w:val="00292F4F"/>
    <w:rsid w:val="002A0ADA"/>
    <w:rsid w:val="002A0B94"/>
    <w:rsid w:val="002A1344"/>
    <w:rsid w:val="002A2570"/>
    <w:rsid w:val="002A4DDC"/>
    <w:rsid w:val="002A53DD"/>
    <w:rsid w:val="002A71DB"/>
    <w:rsid w:val="002A7553"/>
    <w:rsid w:val="002A7C54"/>
    <w:rsid w:val="002B2051"/>
    <w:rsid w:val="002B5BE3"/>
    <w:rsid w:val="002C39DE"/>
    <w:rsid w:val="002C5FEA"/>
    <w:rsid w:val="002C7D59"/>
    <w:rsid w:val="002D0CB9"/>
    <w:rsid w:val="002D3ACC"/>
    <w:rsid w:val="002D46C5"/>
    <w:rsid w:val="002D568D"/>
    <w:rsid w:val="002D76C5"/>
    <w:rsid w:val="002E061E"/>
    <w:rsid w:val="002E328E"/>
    <w:rsid w:val="002F128F"/>
    <w:rsid w:val="002F5890"/>
    <w:rsid w:val="002F7E19"/>
    <w:rsid w:val="00300065"/>
    <w:rsid w:val="003020F6"/>
    <w:rsid w:val="00306502"/>
    <w:rsid w:val="00306791"/>
    <w:rsid w:val="00307C5E"/>
    <w:rsid w:val="00310DAB"/>
    <w:rsid w:val="0031129A"/>
    <w:rsid w:val="00312179"/>
    <w:rsid w:val="003123F7"/>
    <w:rsid w:val="00312AD0"/>
    <w:rsid w:val="00314D9E"/>
    <w:rsid w:val="003241AF"/>
    <w:rsid w:val="003258BF"/>
    <w:rsid w:val="003259CC"/>
    <w:rsid w:val="00326AD1"/>
    <w:rsid w:val="00326B13"/>
    <w:rsid w:val="00334C02"/>
    <w:rsid w:val="00334C37"/>
    <w:rsid w:val="00336199"/>
    <w:rsid w:val="00336359"/>
    <w:rsid w:val="003422D5"/>
    <w:rsid w:val="0034314D"/>
    <w:rsid w:val="00343BD1"/>
    <w:rsid w:val="003478BB"/>
    <w:rsid w:val="00347F6D"/>
    <w:rsid w:val="00352194"/>
    <w:rsid w:val="00357F8E"/>
    <w:rsid w:val="0036301F"/>
    <w:rsid w:val="0036688B"/>
    <w:rsid w:val="003746E9"/>
    <w:rsid w:val="00376922"/>
    <w:rsid w:val="00377F3C"/>
    <w:rsid w:val="003815E5"/>
    <w:rsid w:val="003820C9"/>
    <w:rsid w:val="00383ACA"/>
    <w:rsid w:val="00384D6E"/>
    <w:rsid w:val="00390767"/>
    <w:rsid w:val="00391D0E"/>
    <w:rsid w:val="00394698"/>
    <w:rsid w:val="003953FA"/>
    <w:rsid w:val="00396935"/>
    <w:rsid w:val="003976F6"/>
    <w:rsid w:val="003A1A3E"/>
    <w:rsid w:val="003A2E07"/>
    <w:rsid w:val="003B1409"/>
    <w:rsid w:val="003B149C"/>
    <w:rsid w:val="003B21D1"/>
    <w:rsid w:val="003B2672"/>
    <w:rsid w:val="003B6C45"/>
    <w:rsid w:val="003B7DE3"/>
    <w:rsid w:val="003C590D"/>
    <w:rsid w:val="003C6FEC"/>
    <w:rsid w:val="003C7037"/>
    <w:rsid w:val="003C730D"/>
    <w:rsid w:val="003D0FF5"/>
    <w:rsid w:val="003D2778"/>
    <w:rsid w:val="003D4506"/>
    <w:rsid w:val="003E14C4"/>
    <w:rsid w:val="003E230C"/>
    <w:rsid w:val="003E2CD7"/>
    <w:rsid w:val="003E3308"/>
    <w:rsid w:val="003E59CF"/>
    <w:rsid w:val="003E6C59"/>
    <w:rsid w:val="003F5357"/>
    <w:rsid w:val="00403BD6"/>
    <w:rsid w:val="004058AB"/>
    <w:rsid w:val="00406094"/>
    <w:rsid w:val="00410DA4"/>
    <w:rsid w:val="00411AEC"/>
    <w:rsid w:val="00411F49"/>
    <w:rsid w:val="0041257A"/>
    <w:rsid w:val="00413980"/>
    <w:rsid w:val="00413EC6"/>
    <w:rsid w:val="00423987"/>
    <w:rsid w:val="00424699"/>
    <w:rsid w:val="00426754"/>
    <w:rsid w:val="004279D2"/>
    <w:rsid w:val="00430802"/>
    <w:rsid w:val="00432B5D"/>
    <w:rsid w:val="00432CAB"/>
    <w:rsid w:val="00435169"/>
    <w:rsid w:val="004369A5"/>
    <w:rsid w:val="0044059F"/>
    <w:rsid w:val="0044439A"/>
    <w:rsid w:val="00450CC7"/>
    <w:rsid w:val="0045119E"/>
    <w:rsid w:val="00454D37"/>
    <w:rsid w:val="004554D1"/>
    <w:rsid w:val="00455FF8"/>
    <w:rsid w:val="0045685E"/>
    <w:rsid w:val="00456B2D"/>
    <w:rsid w:val="00456E06"/>
    <w:rsid w:val="00456FE1"/>
    <w:rsid w:val="0045732B"/>
    <w:rsid w:val="00464B1D"/>
    <w:rsid w:val="00465565"/>
    <w:rsid w:val="00465893"/>
    <w:rsid w:val="00465CA6"/>
    <w:rsid w:val="00466411"/>
    <w:rsid w:val="00466976"/>
    <w:rsid w:val="0046735E"/>
    <w:rsid w:val="00470457"/>
    <w:rsid w:val="004705DC"/>
    <w:rsid w:val="00470E82"/>
    <w:rsid w:val="00473439"/>
    <w:rsid w:val="00481B0B"/>
    <w:rsid w:val="00497DC1"/>
    <w:rsid w:val="004A134C"/>
    <w:rsid w:val="004A1E9C"/>
    <w:rsid w:val="004A23CE"/>
    <w:rsid w:val="004A3502"/>
    <w:rsid w:val="004B06F5"/>
    <w:rsid w:val="004B1483"/>
    <w:rsid w:val="004B268D"/>
    <w:rsid w:val="004B2FF6"/>
    <w:rsid w:val="004B4105"/>
    <w:rsid w:val="004B764C"/>
    <w:rsid w:val="004C1F0A"/>
    <w:rsid w:val="004C483D"/>
    <w:rsid w:val="004C6399"/>
    <w:rsid w:val="004D4FD7"/>
    <w:rsid w:val="004D7406"/>
    <w:rsid w:val="004D78CB"/>
    <w:rsid w:val="004E0571"/>
    <w:rsid w:val="004E1366"/>
    <w:rsid w:val="004E4069"/>
    <w:rsid w:val="004E5C62"/>
    <w:rsid w:val="004F3F2C"/>
    <w:rsid w:val="004F4ED0"/>
    <w:rsid w:val="004F5EE0"/>
    <w:rsid w:val="004F6F15"/>
    <w:rsid w:val="00500237"/>
    <w:rsid w:val="00500660"/>
    <w:rsid w:val="0050432D"/>
    <w:rsid w:val="005052EB"/>
    <w:rsid w:val="005053D8"/>
    <w:rsid w:val="005066BE"/>
    <w:rsid w:val="005105BD"/>
    <w:rsid w:val="0051547D"/>
    <w:rsid w:val="005160EA"/>
    <w:rsid w:val="00516681"/>
    <w:rsid w:val="0051699C"/>
    <w:rsid w:val="00520331"/>
    <w:rsid w:val="005215AD"/>
    <w:rsid w:val="00522C00"/>
    <w:rsid w:val="0052492E"/>
    <w:rsid w:val="00524DF0"/>
    <w:rsid w:val="005252BB"/>
    <w:rsid w:val="00526D66"/>
    <w:rsid w:val="0052720F"/>
    <w:rsid w:val="005304E0"/>
    <w:rsid w:val="00532D46"/>
    <w:rsid w:val="00534699"/>
    <w:rsid w:val="0053594B"/>
    <w:rsid w:val="00536679"/>
    <w:rsid w:val="005371C5"/>
    <w:rsid w:val="0053794F"/>
    <w:rsid w:val="00543CF2"/>
    <w:rsid w:val="0055028D"/>
    <w:rsid w:val="0055667D"/>
    <w:rsid w:val="00557E9F"/>
    <w:rsid w:val="00564642"/>
    <w:rsid w:val="005661BD"/>
    <w:rsid w:val="00570886"/>
    <w:rsid w:val="00571A57"/>
    <w:rsid w:val="00576D34"/>
    <w:rsid w:val="0058036E"/>
    <w:rsid w:val="00582B9D"/>
    <w:rsid w:val="005944CD"/>
    <w:rsid w:val="00594A62"/>
    <w:rsid w:val="00596E3F"/>
    <w:rsid w:val="005971F4"/>
    <w:rsid w:val="005A0BC4"/>
    <w:rsid w:val="005A409C"/>
    <w:rsid w:val="005A5C86"/>
    <w:rsid w:val="005A785C"/>
    <w:rsid w:val="005B3986"/>
    <w:rsid w:val="005B43AC"/>
    <w:rsid w:val="005B6897"/>
    <w:rsid w:val="005B7422"/>
    <w:rsid w:val="005C5BE0"/>
    <w:rsid w:val="005C5F3F"/>
    <w:rsid w:val="005C6E07"/>
    <w:rsid w:val="005D34CF"/>
    <w:rsid w:val="005D354B"/>
    <w:rsid w:val="005E0B1E"/>
    <w:rsid w:val="005E20AB"/>
    <w:rsid w:val="005E36CD"/>
    <w:rsid w:val="005E5731"/>
    <w:rsid w:val="005F0CFD"/>
    <w:rsid w:val="005F530D"/>
    <w:rsid w:val="006016C6"/>
    <w:rsid w:val="00603D2B"/>
    <w:rsid w:val="006051B7"/>
    <w:rsid w:val="006107E4"/>
    <w:rsid w:val="006131E0"/>
    <w:rsid w:val="00614C99"/>
    <w:rsid w:val="00615F14"/>
    <w:rsid w:val="0061613E"/>
    <w:rsid w:val="00620770"/>
    <w:rsid w:val="00623A09"/>
    <w:rsid w:val="006260DA"/>
    <w:rsid w:val="0062623F"/>
    <w:rsid w:val="006266C5"/>
    <w:rsid w:val="00626E51"/>
    <w:rsid w:val="00634EA2"/>
    <w:rsid w:val="006353DA"/>
    <w:rsid w:val="00635EB2"/>
    <w:rsid w:val="0063794D"/>
    <w:rsid w:val="00640D45"/>
    <w:rsid w:val="00642796"/>
    <w:rsid w:val="00645CF3"/>
    <w:rsid w:val="00646513"/>
    <w:rsid w:val="00651117"/>
    <w:rsid w:val="00651E79"/>
    <w:rsid w:val="006557F7"/>
    <w:rsid w:val="00657AC0"/>
    <w:rsid w:val="0066045D"/>
    <w:rsid w:val="00664B5C"/>
    <w:rsid w:val="00665A82"/>
    <w:rsid w:val="006663CA"/>
    <w:rsid w:val="00670C93"/>
    <w:rsid w:val="00672EF8"/>
    <w:rsid w:val="006744F3"/>
    <w:rsid w:val="00674BD1"/>
    <w:rsid w:val="006835A1"/>
    <w:rsid w:val="006871E7"/>
    <w:rsid w:val="0069039D"/>
    <w:rsid w:val="006932B9"/>
    <w:rsid w:val="00693514"/>
    <w:rsid w:val="00695736"/>
    <w:rsid w:val="00695DE1"/>
    <w:rsid w:val="00697B63"/>
    <w:rsid w:val="00697EFC"/>
    <w:rsid w:val="006A2577"/>
    <w:rsid w:val="006A2B8D"/>
    <w:rsid w:val="006A700D"/>
    <w:rsid w:val="006A766E"/>
    <w:rsid w:val="006B198C"/>
    <w:rsid w:val="006B1FEC"/>
    <w:rsid w:val="006B2276"/>
    <w:rsid w:val="006B2884"/>
    <w:rsid w:val="006B38A5"/>
    <w:rsid w:val="006B73B2"/>
    <w:rsid w:val="006C02EF"/>
    <w:rsid w:val="006C5FD6"/>
    <w:rsid w:val="006C674D"/>
    <w:rsid w:val="006D2308"/>
    <w:rsid w:val="006D2E7E"/>
    <w:rsid w:val="006E190F"/>
    <w:rsid w:val="006E26BF"/>
    <w:rsid w:val="006E3CE1"/>
    <w:rsid w:val="006E3E61"/>
    <w:rsid w:val="006F2B19"/>
    <w:rsid w:val="006F39E8"/>
    <w:rsid w:val="006F580A"/>
    <w:rsid w:val="00701076"/>
    <w:rsid w:val="00702027"/>
    <w:rsid w:val="007045EF"/>
    <w:rsid w:val="0070504A"/>
    <w:rsid w:val="007059C5"/>
    <w:rsid w:val="0070747A"/>
    <w:rsid w:val="007102AF"/>
    <w:rsid w:val="00710578"/>
    <w:rsid w:val="00710A58"/>
    <w:rsid w:val="00711D54"/>
    <w:rsid w:val="00712CD4"/>
    <w:rsid w:val="0071515C"/>
    <w:rsid w:val="007179FE"/>
    <w:rsid w:val="00724B5D"/>
    <w:rsid w:val="00725D61"/>
    <w:rsid w:val="00726ECC"/>
    <w:rsid w:val="00730ACE"/>
    <w:rsid w:val="007322F4"/>
    <w:rsid w:val="007374A0"/>
    <w:rsid w:val="00737A4C"/>
    <w:rsid w:val="00737BBB"/>
    <w:rsid w:val="00740B95"/>
    <w:rsid w:val="00740C7B"/>
    <w:rsid w:val="00741883"/>
    <w:rsid w:val="00741BC1"/>
    <w:rsid w:val="00742F33"/>
    <w:rsid w:val="00743A3B"/>
    <w:rsid w:val="007445C9"/>
    <w:rsid w:val="007538EC"/>
    <w:rsid w:val="00753B56"/>
    <w:rsid w:val="007555DF"/>
    <w:rsid w:val="00756F0C"/>
    <w:rsid w:val="00760C16"/>
    <w:rsid w:val="0076189D"/>
    <w:rsid w:val="00761ECE"/>
    <w:rsid w:val="00762C15"/>
    <w:rsid w:val="0076354F"/>
    <w:rsid w:val="007732AB"/>
    <w:rsid w:val="00774EB8"/>
    <w:rsid w:val="0077559C"/>
    <w:rsid w:val="00775FCE"/>
    <w:rsid w:val="0077D7FD"/>
    <w:rsid w:val="0078054D"/>
    <w:rsid w:val="0078156F"/>
    <w:rsid w:val="00785C43"/>
    <w:rsid w:val="00792303"/>
    <w:rsid w:val="00793ABA"/>
    <w:rsid w:val="00794FAA"/>
    <w:rsid w:val="00795BE6"/>
    <w:rsid w:val="00795BF2"/>
    <w:rsid w:val="007A07AD"/>
    <w:rsid w:val="007A0B18"/>
    <w:rsid w:val="007A36B5"/>
    <w:rsid w:val="007B0CDF"/>
    <w:rsid w:val="007B1E44"/>
    <w:rsid w:val="007B581C"/>
    <w:rsid w:val="007B69EC"/>
    <w:rsid w:val="007B75E5"/>
    <w:rsid w:val="007B7FDC"/>
    <w:rsid w:val="007C0559"/>
    <w:rsid w:val="007C2B6E"/>
    <w:rsid w:val="007C2D29"/>
    <w:rsid w:val="007C664E"/>
    <w:rsid w:val="007D43A7"/>
    <w:rsid w:val="007D5164"/>
    <w:rsid w:val="007D55E2"/>
    <w:rsid w:val="007D600E"/>
    <w:rsid w:val="007E37B4"/>
    <w:rsid w:val="007E7F84"/>
    <w:rsid w:val="007F0686"/>
    <w:rsid w:val="007F231E"/>
    <w:rsid w:val="007F2C89"/>
    <w:rsid w:val="007F56A5"/>
    <w:rsid w:val="008031E3"/>
    <w:rsid w:val="00805249"/>
    <w:rsid w:val="008106DA"/>
    <w:rsid w:val="00810C0A"/>
    <w:rsid w:val="00811323"/>
    <w:rsid w:val="00811C8E"/>
    <w:rsid w:val="0081390E"/>
    <w:rsid w:val="00813BA1"/>
    <w:rsid w:val="008201C5"/>
    <w:rsid w:val="00821A01"/>
    <w:rsid w:val="008264ED"/>
    <w:rsid w:val="00841CE5"/>
    <w:rsid w:val="008461B7"/>
    <w:rsid w:val="00846C3D"/>
    <w:rsid w:val="008479DE"/>
    <w:rsid w:val="00851070"/>
    <w:rsid w:val="00853DC4"/>
    <w:rsid w:val="00856320"/>
    <w:rsid w:val="00862E8C"/>
    <w:rsid w:val="008630BC"/>
    <w:rsid w:val="00866C07"/>
    <w:rsid w:val="00874371"/>
    <w:rsid w:val="00880A5C"/>
    <w:rsid w:val="0088309A"/>
    <w:rsid w:val="00883891"/>
    <w:rsid w:val="00883B42"/>
    <w:rsid w:val="00884E25"/>
    <w:rsid w:val="008858EC"/>
    <w:rsid w:val="008920FB"/>
    <w:rsid w:val="00892AB4"/>
    <w:rsid w:val="008949AC"/>
    <w:rsid w:val="00895155"/>
    <w:rsid w:val="00895C19"/>
    <w:rsid w:val="0089690B"/>
    <w:rsid w:val="008A02DF"/>
    <w:rsid w:val="008A1747"/>
    <w:rsid w:val="008A1ADB"/>
    <w:rsid w:val="008A217E"/>
    <w:rsid w:val="008A2566"/>
    <w:rsid w:val="008A3985"/>
    <w:rsid w:val="008B2738"/>
    <w:rsid w:val="008B449C"/>
    <w:rsid w:val="008B5AB5"/>
    <w:rsid w:val="008C11FF"/>
    <w:rsid w:val="008C14D8"/>
    <w:rsid w:val="008C23FF"/>
    <w:rsid w:val="008C7CDD"/>
    <w:rsid w:val="008D12CD"/>
    <w:rsid w:val="008D2EFE"/>
    <w:rsid w:val="008D36C0"/>
    <w:rsid w:val="008E5657"/>
    <w:rsid w:val="008F1F0E"/>
    <w:rsid w:val="008F5323"/>
    <w:rsid w:val="008F5999"/>
    <w:rsid w:val="008F5A22"/>
    <w:rsid w:val="00902C70"/>
    <w:rsid w:val="00903748"/>
    <w:rsid w:val="00903874"/>
    <w:rsid w:val="0090452E"/>
    <w:rsid w:val="00904DE4"/>
    <w:rsid w:val="00912B42"/>
    <w:rsid w:val="00913044"/>
    <w:rsid w:val="0091451C"/>
    <w:rsid w:val="00916397"/>
    <w:rsid w:val="00916F5D"/>
    <w:rsid w:val="009178A8"/>
    <w:rsid w:val="00920FC6"/>
    <w:rsid w:val="0093394E"/>
    <w:rsid w:val="00934F9B"/>
    <w:rsid w:val="0093628D"/>
    <w:rsid w:val="00936FD4"/>
    <w:rsid w:val="00937DC6"/>
    <w:rsid w:val="0094198E"/>
    <w:rsid w:val="00943512"/>
    <w:rsid w:val="009464BE"/>
    <w:rsid w:val="00950AF2"/>
    <w:rsid w:val="00950DCC"/>
    <w:rsid w:val="0095265D"/>
    <w:rsid w:val="00953742"/>
    <w:rsid w:val="009564F8"/>
    <w:rsid w:val="0095667A"/>
    <w:rsid w:val="00956E74"/>
    <w:rsid w:val="00961C19"/>
    <w:rsid w:val="009629ED"/>
    <w:rsid w:val="009629F2"/>
    <w:rsid w:val="00967793"/>
    <w:rsid w:val="00971E73"/>
    <w:rsid w:val="00977256"/>
    <w:rsid w:val="0098304D"/>
    <w:rsid w:val="009862C1"/>
    <w:rsid w:val="00990792"/>
    <w:rsid w:val="00991B97"/>
    <w:rsid w:val="00992A70"/>
    <w:rsid w:val="009956D5"/>
    <w:rsid w:val="009974DF"/>
    <w:rsid w:val="00997CA0"/>
    <w:rsid w:val="009A1A66"/>
    <w:rsid w:val="009A1F60"/>
    <w:rsid w:val="009A489E"/>
    <w:rsid w:val="009A5FF9"/>
    <w:rsid w:val="009A67F3"/>
    <w:rsid w:val="009A6ADF"/>
    <w:rsid w:val="009A712A"/>
    <w:rsid w:val="009B0F83"/>
    <w:rsid w:val="009B2905"/>
    <w:rsid w:val="009B2DE1"/>
    <w:rsid w:val="009B538E"/>
    <w:rsid w:val="009B7028"/>
    <w:rsid w:val="009B7C00"/>
    <w:rsid w:val="009C48DE"/>
    <w:rsid w:val="009C68EB"/>
    <w:rsid w:val="009D467F"/>
    <w:rsid w:val="009D49F8"/>
    <w:rsid w:val="009D6929"/>
    <w:rsid w:val="009E17B0"/>
    <w:rsid w:val="009E2880"/>
    <w:rsid w:val="009E2929"/>
    <w:rsid w:val="009E4C7B"/>
    <w:rsid w:val="009E4D9F"/>
    <w:rsid w:val="009E7480"/>
    <w:rsid w:val="009F4008"/>
    <w:rsid w:val="009F4238"/>
    <w:rsid w:val="009F536E"/>
    <w:rsid w:val="009F6012"/>
    <w:rsid w:val="009F71F0"/>
    <w:rsid w:val="00A00980"/>
    <w:rsid w:val="00A05830"/>
    <w:rsid w:val="00A11081"/>
    <w:rsid w:val="00A113A9"/>
    <w:rsid w:val="00A11622"/>
    <w:rsid w:val="00A134DE"/>
    <w:rsid w:val="00A17D70"/>
    <w:rsid w:val="00A2009B"/>
    <w:rsid w:val="00A20525"/>
    <w:rsid w:val="00A21407"/>
    <w:rsid w:val="00A21A05"/>
    <w:rsid w:val="00A22683"/>
    <w:rsid w:val="00A25E9F"/>
    <w:rsid w:val="00A304B9"/>
    <w:rsid w:val="00A30520"/>
    <w:rsid w:val="00A342D3"/>
    <w:rsid w:val="00A36A37"/>
    <w:rsid w:val="00A40AD6"/>
    <w:rsid w:val="00A40C62"/>
    <w:rsid w:val="00A4144A"/>
    <w:rsid w:val="00A43902"/>
    <w:rsid w:val="00A459E0"/>
    <w:rsid w:val="00A512C0"/>
    <w:rsid w:val="00A529F6"/>
    <w:rsid w:val="00A54DD4"/>
    <w:rsid w:val="00A567F0"/>
    <w:rsid w:val="00A65053"/>
    <w:rsid w:val="00A6718F"/>
    <w:rsid w:val="00A74588"/>
    <w:rsid w:val="00A75DF2"/>
    <w:rsid w:val="00A7767B"/>
    <w:rsid w:val="00A86184"/>
    <w:rsid w:val="00A8BB73"/>
    <w:rsid w:val="00A93717"/>
    <w:rsid w:val="00A94024"/>
    <w:rsid w:val="00A957C1"/>
    <w:rsid w:val="00AA0E00"/>
    <w:rsid w:val="00AA2E42"/>
    <w:rsid w:val="00AA45EF"/>
    <w:rsid w:val="00AA64AF"/>
    <w:rsid w:val="00AB1B9F"/>
    <w:rsid w:val="00AB6691"/>
    <w:rsid w:val="00AC0B68"/>
    <w:rsid w:val="00AC5296"/>
    <w:rsid w:val="00AC530A"/>
    <w:rsid w:val="00AC6A39"/>
    <w:rsid w:val="00AD0639"/>
    <w:rsid w:val="00AD1B9D"/>
    <w:rsid w:val="00AD2E8B"/>
    <w:rsid w:val="00AD3518"/>
    <w:rsid w:val="00AD483C"/>
    <w:rsid w:val="00AD56DA"/>
    <w:rsid w:val="00AD79BA"/>
    <w:rsid w:val="00AE7B92"/>
    <w:rsid w:val="00AF2007"/>
    <w:rsid w:val="00AF2429"/>
    <w:rsid w:val="00AF6AFA"/>
    <w:rsid w:val="00B028BF"/>
    <w:rsid w:val="00B04C4A"/>
    <w:rsid w:val="00B05C17"/>
    <w:rsid w:val="00B06563"/>
    <w:rsid w:val="00B075BE"/>
    <w:rsid w:val="00B07788"/>
    <w:rsid w:val="00B12036"/>
    <w:rsid w:val="00B16941"/>
    <w:rsid w:val="00B172DA"/>
    <w:rsid w:val="00B193CD"/>
    <w:rsid w:val="00B21E7E"/>
    <w:rsid w:val="00B24B34"/>
    <w:rsid w:val="00B2724A"/>
    <w:rsid w:val="00B276EB"/>
    <w:rsid w:val="00B314DA"/>
    <w:rsid w:val="00B33F8E"/>
    <w:rsid w:val="00B36CBE"/>
    <w:rsid w:val="00B37AF0"/>
    <w:rsid w:val="00B37EA8"/>
    <w:rsid w:val="00B42587"/>
    <w:rsid w:val="00B43E21"/>
    <w:rsid w:val="00B44EEC"/>
    <w:rsid w:val="00B5572D"/>
    <w:rsid w:val="00B5581B"/>
    <w:rsid w:val="00B55C78"/>
    <w:rsid w:val="00B64B72"/>
    <w:rsid w:val="00B65FDC"/>
    <w:rsid w:val="00B6768A"/>
    <w:rsid w:val="00B704A8"/>
    <w:rsid w:val="00B71936"/>
    <w:rsid w:val="00B741D4"/>
    <w:rsid w:val="00B750D1"/>
    <w:rsid w:val="00B7652F"/>
    <w:rsid w:val="00B83A11"/>
    <w:rsid w:val="00B920EA"/>
    <w:rsid w:val="00B934F5"/>
    <w:rsid w:val="00B960B9"/>
    <w:rsid w:val="00BA2E35"/>
    <w:rsid w:val="00BA56A2"/>
    <w:rsid w:val="00BA67A7"/>
    <w:rsid w:val="00BA6C65"/>
    <w:rsid w:val="00BB0F3B"/>
    <w:rsid w:val="00BB192D"/>
    <w:rsid w:val="00BB5A3F"/>
    <w:rsid w:val="00BB5AE1"/>
    <w:rsid w:val="00BB739F"/>
    <w:rsid w:val="00BC0F74"/>
    <w:rsid w:val="00BC3EE5"/>
    <w:rsid w:val="00BC5FA5"/>
    <w:rsid w:val="00BD1061"/>
    <w:rsid w:val="00BD10DF"/>
    <w:rsid w:val="00BD44D2"/>
    <w:rsid w:val="00BD6CB7"/>
    <w:rsid w:val="00BE1840"/>
    <w:rsid w:val="00BE19EA"/>
    <w:rsid w:val="00BE4A3E"/>
    <w:rsid w:val="00BE4B5C"/>
    <w:rsid w:val="00BE6FD1"/>
    <w:rsid w:val="00BE73AE"/>
    <w:rsid w:val="00BF0182"/>
    <w:rsid w:val="00BF5863"/>
    <w:rsid w:val="00BF7C9F"/>
    <w:rsid w:val="00BF7CA1"/>
    <w:rsid w:val="00C02A8D"/>
    <w:rsid w:val="00C0629B"/>
    <w:rsid w:val="00C07865"/>
    <w:rsid w:val="00C13391"/>
    <w:rsid w:val="00C151F8"/>
    <w:rsid w:val="00C22701"/>
    <w:rsid w:val="00C26A29"/>
    <w:rsid w:val="00C27447"/>
    <w:rsid w:val="00C31746"/>
    <w:rsid w:val="00C3394B"/>
    <w:rsid w:val="00C44D75"/>
    <w:rsid w:val="00C450B4"/>
    <w:rsid w:val="00C50000"/>
    <w:rsid w:val="00C51281"/>
    <w:rsid w:val="00C5363A"/>
    <w:rsid w:val="00C55CD8"/>
    <w:rsid w:val="00C60217"/>
    <w:rsid w:val="00C61EB5"/>
    <w:rsid w:val="00C65B2D"/>
    <w:rsid w:val="00C677AE"/>
    <w:rsid w:val="00C71C55"/>
    <w:rsid w:val="00C75F10"/>
    <w:rsid w:val="00C77B3E"/>
    <w:rsid w:val="00C84398"/>
    <w:rsid w:val="00C8472E"/>
    <w:rsid w:val="00C85701"/>
    <w:rsid w:val="00C85D70"/>
    <w:rsid w:val="00C9144D"/>
    <w:rsid w:val="00C92A30"/>
    <w:rsid w:val="00CA34B2"/>
    <w:rsid w:val="00CA44C0"/>
    <w:rsid w:val="00CA4D0B"/>
    <w:rsid w:val="00CA4F7A"/>
    <w:rsid w:val="00CB48F3"/>
    <w:rsid w:val="00CB5B74"/>
    <w:rsid w:val="00CC25A3"/>
    <w:rsid w:val="00CC2C29"/>
    <w:rsid w:val="00CC4915"/>
    <w:rsid w:val="00CC7566"/>
    <w:rsid w:val="00CD20A4"/>
    <w:rsid w:val="00CD3DC7"/>
    <w:rsid w:val="00CD5739"/>
    <w:rsid w:val="00CE11F9"/>
    <w:rsid w:val="00CE34D7"/>
    <w:rsid w:val="00CE5578"/>
    <w:rsid w:val="00CF6596"/>
    <w:rsid w:val="00D027F7"/>
    <w:rsid w:val="00D02BA9"/>
    <w:rsid w:val="00D03F9B"/>
    <w:rsid w:val="00D10DBA"/>
    <w:rsid w:val="00D12D35"/>
    <w:rsid w:val="00D136B3"/>
    <w:rsid w:val="00D178B9"/>
    <w:rsid w:val="00D179BE"/>
    <w:rsid w:val="00D23AF6"/>
    <w:rsid w:val="00D24267"/>
    <w:rsid w:val="00D25B98"/>
    <w:rsid w:val="00D2629A"/>
    <w:rsid w:val="00D3241C"/>
    <w:rsid w:val="00D34B2D"/>
    <w:rsid w:val="00D42064"/>
    <w:rsid w:val="00D42934"/>
    <w:rsid w:val="00D430F7"/>
    <w:rsid w:val="00D43A60"/>
    <w:rsid w:val="00D43E61"/>
    <w:rsid w:val="00D45B7E"/>
    <w:rsid w:val="00D45D49"/>
    <w:rsid w:val="00D517E6"/>
    <w:rsid w:val="00D523AA"/>
    <w:rsid w:val="00D52EC8"/>
    <w:rsid w:val="00D5437C"/>
    <w:rsid w:val="00D579C1"/>
    <w:rsid w:val="00D57B16"/>
    <w:rsid w:val="00D603D1"/>
    <w:rsid w:val="00D60677"/>
    <w:rsid w:val="00D633A7"/>
    <w:rsid w:val="00D67F9A"/>
    <w:rsid w:val="00D70214"/>
    <w:rsid w:val="00D703F6"/>
    <w:rsid w:val="00D70F2B"/>
    <w:rsid w:val="00D75144"/>
    <w:rsid w:val="00D76E06"/>
    <w:rsid w:val="00D77C3A"/>
    <w:rsid w:val="00D81D66"/>
    <w:rsid w:val="00D83DE1"/>
    <w:rsid w:val="00D92955"/>
    <w:rsid w:val="00D92C97"/>
    <w:rsid w:val="00D92DF8"/>
    <w:rsid w:val="00D93B5A"/>
    <w:rsid w:val="00D96CCB"/>
    <w:rsid w:val="00DA058B"/>
    <w:rsid w:val="00DA3B2B"/>
    <w:rsid w:val="00DA3F4B"/>
    <w:rsid w:val="00DA5878"/>
    <w:rsid w:val="00DA68EA"/>
    <w:rsid w:val="00DA69C4"/>
    <w:rsid w:val="00DB3377"/>
    <w:rsid w:val="00DB3BC3"/>
    <w:rsid w:val="00DB59F5"/>
    <w:rsid w:val="00DB5DD6"/>
    <w:rsid w:val="00DB6AE7"/>
    <w:rsid w:val="00DB7FCA"/>
    <w:rsid w:val="00DC0703"/>
    <w:rsid w:val="00DC188E"/>
    <w:rsid w:val="00DC47AC"/>
    <w:rsid w:val="00DC4A37"/>
    <w:rsid w:val="00DD284C"/>
    <w:rsid w:val="00DD2E0A"/>
    <w:rsid w:val="00DD5C65"/>
    <w:rsid w:val="00DD68A3"/>
    <w:rsid w:val="00DE0819"/>
    <w:rsid w:val="00DE0B15"/>
    <w:rsid w:val="00DE28F3"/>
    <w:rsid w:val="00DE34B4"/>
    <w:rsid w:val="00DE39E4"/>
    <w:rsid w:val="00DE4056"/>
    <w:rsid w:val="00DE692E"/>
    <w:rsid w:val="00DE6BDB"/>
    <w:rsid w:val="00DF0CC5"/>
    <w:rsid w:val="00DF2B7E"/>
    <w:rsid w:val="00DF33A8"/>
    <w:rsid w:val="00DF351A"/>
    <w:rsid w:val="00DF3849"/>
    <w:rsid w:val="00DF41AC"/>
    <w:rsid w:val="00E0008F"/>
    <w:rsid w:val="00E00D48"/>
    <w:rsid w:val="00E071A5"/>
    <w:rsid w:val="00E10974"/>
    <w:rsid w:val="00E12F01"/>
    <w:rsid w:val="00E13456"/>
    <w:rsid w:val="00E141A1"/>
    <w:rsid w:val="00E149D8"/>
    <w:rsid w:val="00E151E6"/>
    <w:rsid w:val="00E153AF"/>
    <w:rsid w:val="00E2134C"/>
    <w:rsid w:val="00E21E47"/>
    <w:rsid w:val="00E22229"/>
    <w:rsid w:val="00E27404"/>
    <w:rsid w:val="00E33FCC"/>
    <w:rsid w:val="00E37126"/>
    <w:rsid w:val="00E37B4C"/>
    <w:rsid w:val="00E4007F"/>
    <w:rsid w:val="00E41DFF"/>
    <w:rsid w:val="00E43636"/>
    <w:rsid w:val="00E43CEF"/>
    <w:rsid w:val="00E447D2"/>
    <w:rsid w:val="00E47C62"/>
    <w:rsid w:val="00E503CB"/>
    <w:rsid w:val="00E51046"/>
    <w:rsid w:val="00E520B3"/>
    <w:rsid w:val="00E56157"/>
    <w:rsid w:val="00E60585"/>
    <w:rsid w:val="00E61E47"/>
    <w:rsid w:val="00E61FE1"/>
    <w:rsid w:val="00E63CE5"/>
    <w:rsid w:val="00E65048"/>
    <w:rsid w:val="00E65248"/>
    <w:rsid w:val="00E66A12"/>
    <w:rsid w:val="00E66FF0"/>
    <w:rsid w:val="00E73924"/>
    <w:rsid w:val="00E75BBD"/>
    <w:rsid w:val="00E766C0"/>
    <w:rsid w:val="00E76E07"/>
    <w:rsid w:val="00E77CDD"/>
    <w:rsid w:val="00E809AD"/>
    <w:rsid w:val="00E8160C"/>
    <w:rsid w:val="00E830F1"/>
    <w:rsid w:val="00E8431B"/>
    <w:rsid w:val="00E84CEE"/>
    <w:rsid w:val="00E85DA4"/>
    <w:rsid w:val="00E892E6"/>
    <w:rsid w:val="00EA201E"/>
    <w:rsid w:val="00EA76D3"/>
    <w:rsid w:val="00EB0830"/>
    <w:rsid w:val="00EC06E0"/>
    <w:rsid w:val="00EC468B"/>
    <w:rsid w:val="00EC7B84"/>
    <w:rsid w:val="00ED76DB"/>
    <w:rsid w:val="00EE673A"/>
    <w:rsid w:val="00EF12E8"/>
    <w:rsid w:val="00F00003"/>
    <w:rsid w:val="00F00938"/>
    <w:rsid w:val="00F0314A"/>
    <w:rsid w:val="00F034E0"/>
    <w:rsid w:val="00F05A8B"/>
    <w:rsid w:val="00F05FB5"/>
    <w:rsid w:val="00F06F33"/>
    <w:rsid w:val="00F073B0"/>
    <w:rsid w:val="00F07CA0"/>
    <w:rsid w:val="00F10C35"/>
    <w:rsid w:val="00F12AA8"/>
    <w:rsid w:val="00F14AB9"/>
    <w:rsid w:val="00F16280"/>
    <w:rsid w:val="00F16871"/>
    <w:rsid w:val="00F20501"/>
    <w:rsid w:val="00F2328A"/>
    <w:rsid w:val="00F2493A"/>
    <w:rsid w:val="00F25A9F"/>
    <w:rsid w:val="00F26C1A"/>
    <w:rsid w:val="00F2796D"/>
    <w:rsid w:val="00F30A59"/>
    <w:rsid w:val="00F325D1"/>
    <w:rsid w:val="00F368C9"/>
    <w:rsid w:val="00F42B31"/>
    <w:rsid w:val="00F437C8"/>
    <w:rsid w:val="00F43C6E"/>
    <w:rsid w:val="00F43E64"/>
    <w:rsid w:val="00F45540"/>
    <w:rsid w:val="00F461D5"/>
    <w:rsid w:val="00F50540"/>
    <w:rsid w:val="00F52240"/>
    <w:rsid w:val="00F53028"/>
    <w:rsid w:val="00F627AB"/>
    <w:rsid w:val="00F6354B"/>
    <w:rsid w:val="00F64102"/>
    <w:rsid w:val="00F654E0"/>
    <w:rsid w:val="00F65A05"/>
    <w:rsid w:val="00F65F3E"/>
    <w:rsid w:val="00F67A1B"/>
    <w:rsid w:val="00F8223F"/>
    <w:rsid w:val="00F83775"/>
    <w:rsid w:val="00F9039F"/>
    <w:rsid w:val="00F91C6A"/>
    <w:rsid w:val="00F93689"/>
    <w:rsid w:val="00F939E2"/>
    <w:rsid w:val="00F961DF"/>
    <w:rsid w:val="00FA2DAE"/>
    <w:rsid w:val="00FA486F"/>
    <w:rsid w:val="00FB0F1F"/>
    <w:rsid w:val="00FC0A11"/>
    <w:rsid w:val="00FC0C06"/>
    <w:rsid w:val="00FC248E"/>
    <w:rsid w:val="00FC3672"/>
    <w:rsid w:val="00FC55E9"/>
    <w:rsid w:val="00FC5909"/>
    <w:rsid w:val="00FD111D"/>
    <w:rsid w:val="00FD4D69"/>
    <w:rsid w:val="00FD569D"/>
    <w:rsid w:val="00FD5D35"/>
    <w:rsid w:val="00FD652B"/>
    <w:rsid w:val="00FD78BF"/>
    <w:rsid w:val="00FE0271"/>
    <w:rsid w:val="00FE089D"/>
    <w:rsid w:val="00FE2DC7"/>
    <w:rsid w:val="00FE421E"/>
    <w:rsid w:val="00FE6374"/>
    <w:rsid w:val="00FE7F17"/>
    <w:rsid w:val="00FF0E3A"/>
    <w:rsid w:val="00FF1CA4"/>
    <w:rsid w:val="010F86D2"/>
    <w:rsid w:val="01237B4A"/>
    <w:rsid w:val="01A506C3"/>
    <w:rsid w:val="01B7FA7C"/>
    <w:rsid w:val="01E61863"/>
    <w:rsid w:val="01EC89C7"/>
    <w:rsid w:val="02114D9D"/>
    <w:rsid w:val="022DEB16"/>
    <w:rsid w:val="0252844F"/>
    <w:rsid w:val="025658DD"/>
    <w:rsid w:val="026A8FAB"/>
    <w:rsid w:val="0311E00D"/>
    <w:rsid w:val="0340D2AA"/>
    <w:rsid w:val="038FF635"/>
    <w:rsid w:val="03BBEE20"/>
    <w:rsid w:val="03D72F33"/>
    <w:rsid w:val="03E49767"/>
    <w:rsid w:val="03E92110"/>
    <w:rsid w:val="03FF1784"/>
    <w:rsid w:val="04197A97"/>
    <w:rsid w:val="048097E8"/>
    <w:rsid w:val="04B15692"/>
    <w:rsid w:val="04E1B1EC"/>
    <w:rsid w:val="054DF534"/>
    <w:rsid w:val="06370CCA"/>
    <w:rsid w:val="066BE185"/>
    <w:rsid w:val="06B41740"/>
    <w:rsid w:val="06C716C1"/>
    <w:rsid w:val="06CE8FF9"/>
    <w:rsid w:val="0803D247"/>
    <w:rsid w:val="084A5C13"/>
    <w:rsid w:val="08E78AC8"/>
    <w:rsid w:val="0A4799BA"/>
    <w:rsid w:val="0A5CD777"/>
    <w:rsid w:val="0A865E97"/>
    <w:rsid w:val="0A8CF0D7"/>
    <w:rsid w:val="0AA23560"/>
    <w:rsid w:val="0AB546F9"/>
    <w:rsid w:val="0B38843E"/>
    <w:rsid w:val="0B7ABACF"/>
    <w:rsid w:val="0BA9683C"/>
    <w:rsid w:val="0BBE24C1"/>
    <w:rsid w:val="0BBFEC17"/>
    <w:rsid w:val="0C41CE6B"/>
    <w:rsid w:val="0CE5D9EE"/>
    <w:rsid w:val="0D96FAE2"/>
    <w:rsid w:val="0DBD35AF"/>
    <w:rsid w:val="0DDD37C7"/>
    <w:rsid w:val="0E9919F5"/>
    <w:rsid w:val="0EA85773"/>
    <w:rsid w:val="0ED57E91"/>
    <w:rsid w:val="0EDF6079"/>
    <w:rsid w:val="0F266B6C"/>
    <w:rsid w:val="0FBFF7B1"/>
    <w:rsid w:val="0FDE3FB1"/>
    <w:rsid w:val="1032BDDA"/>
    <w:rsid w:val="106FE03B"/>
    <w:rsid w:val="10A4340E"/>
    <w:rsid w:val="116D714B"/>
    <w:rsid w:val="124510DA"/>
    <w:rsid w:val="125D669C"/>
    <w:rsid w:val="126E244A"/>
    <w:rsid w:val="128AE2E2"/>
    <w:rsid w:val="12A1367D"/>
    <w:rsid w:val="12BC59DB"/>
    <w:rsid w:val="12FEBF71"/>
    <w:rsid w:val="131195DB"/>
    <w:rsid w:val="13483A30"/>
    <w:rsid w:val="1353A56B"/>
    <w:rsid w:val="136FA234"/>
    <w:rsid w:val="13DBB40D"/>
    <w:rsid w:val="14390933"/>
    <w:rsid w:val="143A0210"/>
    <w:rsid w:val="14B70D59"/>
    <w:rsid w:val="15E461F0"/>
    <w:rsid w:val="161DB12C"/>
    <w:rsid w:val="16A32571"/>
    <w:rsid w:val="16AB51CB"/>
    <w:rsid w:val="16AB66EA"/>
    <w:rsid w:val="16ACF654"/>
    <w:rsid w:val="16E001D7"/>
    <w:rsid w:val="17185E10"/>
    <w:rsid w:val="17503B33"/>
    <w:rsid w:val="179C311D"/>
    <w:rsid w:val="17A87D61"/>
    <w:rsid w:val="17C2E428"/>
    <w:rsid w:val="17D7E5B9"/>
    <w:rsid w:val="1838A3CF"/>
    <w:rsid w:val="185578C1"/>
    <w:rsid w:val="18678B45"/>
    <w:rsid w:val="18691B8E"/>
    <w:rsid w:val="187D292E"/>
    <w:rsid w:val="18AD4317"/>
    <w:rsid w:val="193EB883"/>
    <w:rsid w:val="1941F771"/>
    <w:rsid w:val="198F2610"/>
    <w:rsid w:val="199D8E76"/>
    <w:rsid w:val="19F33494"/>
    <w:rsid w:val="1A5CBF07"/>
    <w:rsid w:val="1A835FA8"/>
    <w:rsid w:val="1B22170B"/>
    <w:rsid w:val="1B2987BD"/>
    <w:rsid w:val="1BDCC685"/>
    <w:rsid w:val="1BFB120F"/>
    <w:rsid w:val="1C239B70"/>
    <w:rsid w:val="1C3ADEF1"/>
    <w:rsid w:val="1CB9F709"/>
    <w:rsid w:val="1CFA1F5B"/>
    <w:rsid w:val="1D24936A"/>
    <w:rsid w:val="1D91E2BA"/>
    <w:rsid w:val="1E9580A9"/>
    <w:rsid w:val="1EAE0C73"/>
    <w:rsid w:val="1F090CAD"/>
    <w:rsid w:val="209CB2A5"/>
    <w:rsid w:val="20C01BB2"/>
    <w:rsid w:val="216CF56D"/>
    <w:rsid w:val="2184E672"/>
    <w:rsid w:val="219D57E4"/>
    <w:rsid w:val="21A65E09"/>
    <w:rsid w:val="21B49D18"/>
    <w:rsid w:val="21FDEA68"/>
    <w:rsid w:val="22181544"/>
    <w:rsid w:val="22441C9E"/>
    <w:rsid w:val="22573E61"/>
    <w:rsid w:val="2287AB6A"/>
    <w:rsid w:val="229CB635"/>
    <w:rsid w:val="22B95B83"/>
    <w:rsid w:val="22E0E700"/>
    <w:rsid w:val="23196635"/>
    <w:rsid w:val="232291C3"/>
    <w:rsid w:val="23288B1B"/>
    <w:rsid w:val="232FA0E5"/>
    <w:rsid w:val="238EEEB7"/>
    <w:rsid w:val="23BFA41F"/>
    <w:rsid w:val="23D3B3CE"/>
    <w:rsid w:val="23D4A4DC"/>
    <w:rsid w:val="24058A47"/>
    <w:rsid w:val="24267A3F"/>
    <w:rsid w:val="24455291"/>
    <w:rsid w:val="24AC0DA8"/>
    <w:rsid w:val="24FD06B8"/>
    <w:rsid w:val="25212482"/>
    <w:rsid w:val="252F230C"/>
    <w:rsid w:val="25CFBE3B"/>
    <w:rsid w:val="25DADD44"/>
    <w:rsid w:val="2795C12A"/>
    <w:rsid w:val="27B9CCBB"/>
    <w:rsid w:val="27C6B4D9"/>
    <w:rsid w:val="27DFDC31"/>
    <w:rsid w:val="27F4ECF9"/>
    <w:rsid w:val="28059974"/>
    <w:rsid w:val="2869733B"/>
    <w:rsid w:val="28C9CD00"/>
    <w:rsid w:val="2906B378"/>
    <w:rsid w:val="2924EBBD"/>
    <w:rsid w:val="2982B5A3"/>
    <w:rsid w:val="2A3AE507"/>
    <w:rsid w:val="2A3DD762"/>
    <w:rsid w:val="2AB6C8AF"/>
    <w:rsid w:val="2AC9A5F0"/>
    <w:rsid w:val="2AD65D20"/>
    <w:rsid w:val="2AE16DF9"/>
    <w:rsid w:val="2BF71A4F"/>
    <w:rsid w:val="2C695B12"/>
    <w:rsid w:val="2CEBF809"/>
    <w:rsid w:val="2D0C03FE"/>
    <w:rsid w:val="2D6088FC"/>
    <w:rsid w:val="2D86436C"/>
    <w:rsid w:val="2DBFD601"/>
    <w:rsid w:val="2DFC6F2E"/>
    <w:rsid w:val="2E2FB06A"/>
    <w:rsid w:val="2E329841"/>
    <w:rsid w:val="2E35504B"/>
    <w:rsid w:val="2E4AF159"/>
    <w:rsid w:val="2EAFE80B"/>
    <w:rsid w:val="2F054302"/>
    <w:rsid w:val="2F0761BE"/>
    <w:rsid w:val="2F7F9DC1"/>
    <w:rsid w:val="308596E1"/>
    <w:rsid w:val="30A2C4D9"/>
    <w:rsid w:val="30E50D38"/>
    <w:rsid w:val="310369B0"/>
    <w:rsid w:val="3162B677"/>
    <w:rsid w:val="3199B887"/>
    <w:rsid w:val="31B1D15C"/>
    <w:rsid w:val="31DB2C9B"/>
    <w:rsid w:val="31EC3078"/>
    <w:rsid w:val="32037262"/>
    <w:rsid w:val="32CE27DA"/>
    <w:rsid w:val="336C7235"/>
    <w:rsid w:val="33C7BFCB"/>
    <w:rsid w:val="33E78EF3"/>
    <w:rsid w:val="33EAEF66"/>
    <w:rsid w:val="33F343BD"/>
    <w:rsid w:val="34240B65"/>
    <w:rsid w:val="34B49879"/>
    <w:rsid w:val="3518E248"/>
    <w:rsid w:val="35210C12"/>
    <w:rsid w:val="35422195"/>
    <w:rsid w:val="354E0A76"/>
    <w:rsid w:val="35EFF5D2"/>
    <w:rsid w:val="35FA7B72"/>
    <w:rsid w:val="3642263A"/>
    <w:rsid w:val="379AB516"/>
    <w:rsid w:val="37E67B80"/>
    <w:rsid w:val="38471792"/>
    <w:rsid w:val="38A4A539"/>
    <w:rsid w:val="38FF3F1B"/>
    <w:rsid w:val="3921B323"/>
    <w:rsid w:val="3975D624"/>
    <w:rsid w:val="39DEE1EB"/>
    <w:rsid w:val="39E0F415"/>
    <w:rsid w:val="39E1ED67"/>
    <w:rsid w:val="39E7018A"/>
    <w:rsid w:val="39F7B830"/>
    <w:rsid w:val="3A2C25EF"/>
    <w:rsid w:val="3B0BC42D"/>
    <w:rsid w:val="3B5B56E9"/>
    <w:rsid w:val="3B7753D4"/>
    <w:rsid w:val="3CAD3CCB"/>
    <w:rsid w:val="3CF1AA63"/>
    <w:rsid w:val="3CF45C67"/>
    <w:rsid w:val="3D1D0DEC"/>
    <w:rsid w:val="3DC4820A"/>
    <w:rsid w:val="3DDFE8E7"/>
    <w:rsid w:val="3E02EBB8"/>
    <w:rsid w:val="3E03FF3B"/>
    <w:rsid w:val="3ED816BB"/>
    <w:rsid w:val="3EDAE0F2"/>
    <w:rsid w:val="3EDE3D1E"/>
    <w:rsid w:val="3EF3D6EB"/>
    <w:rsid w:val="3F0247FB"/>
    <w:rsid w:val="3F9E316D"/>
    <w:rsid w:val="3FB0CF92"/>
    <w:rsid w:val="3FE25462"/>
    <w:rsid w:val="4021D1DA"/>
    <w:rsid w:val="40A0641A"/>
    <w:rsid w:val="40DC1B32"/>
    <w:rsid w:val="4148E01A"/>
    <w:rsid w:val="4169D370"/>
    <w:rsid w:val="41A8914C"/>
    <w:rsid w:val="4206A7A6"/>
    <w:rsid w:val="4216580D"/>
    <w:rsid w:val="42253F9C"/>
    <w:rsid w:val="4237F131"/>
    <w:rsid w:val="4269F810"/>
    <w:rsid w:val="42A06AC0"/>
    <w:rsid w:val="43027E9B"/>
    <w:rsid w:val="437CD934"/>
    <w:rsid w:val="438991E1"/>
    <w:rsid w:val="438D0BF2"/>
    <w:rsid w:val="43A6710B"/>
    <w:rsid w:val="43F41CE1"/>
    <w:rsid w:val="43FA72CC"/>
    <w:rsid w:val="440569A6"/>
    <w:rsid w:val="44858606"/>
    <w:rsid w:val="458CA90B"/>
    <w:rsid w:val="458D3D90"/>
    <w:rsid w:val="45A0A24C"/>
    <w:rsid w:val="46A28D0F"/>
    <w:rsid w:val="46CADA4D"/>
    <w:rsid w:val="46CB1D11"/>
    <w:rsid w:val="46D4AA85"/>
    <w:rsid w:val="46ED01C2"/>
    <w:rsid w:val="4720279E"/>
    <w:rsid w:val="477CF7EE"/>
    <w:rsid w:val="480BE9DA"/>
    <w:rsid w:val="481231E0"/>
    <w:rsid w:val="486D015D"/>
    <w:rsid w:val="48A26DDC"/>
    <w:rsid w:val="490767C5"/>
    <w:rsid w:val="495FC15D"/>
    <w:rsid w:val="4A6D4374"/>
    <w:rsid w:val="4A873B35"/>
    <w:rsid w:val="4AA550DA"/>
    <w:rsid w:val="4AADA057"/>
    <w:rsid w:val="4AB25D93"/>
    <w:rsid w:val="4B5351C7"/>
    <w:rsid w:val="4B6021E5"/>
    <w:rsid w:val="4B67A06F"/>
    <w:rsid w:val="4BA70CA0"/>
    <w:rsid w:val="4BD47ECE"/>
    <w:rsid w:val="4C0859D1"/>
    <w:rsid w:val="4C094BC9"/>
    <w:rsid w:val="4C47332D"/>
    <w:rsid w:val="4C8B454E"/>
    <w:rsid w:val="4CCF2ABD"/>
    <w:rsid w:val="4CFA39CF"/>
    <w:rsid w:val="4D87089B"/>
    <w:rsid w:val="4D9720DE"/>
    <w:rsid w:val="4D977E69"/>
    <w:rsid w:val="4DC273FD"/>
    <w:rsid w:val="4DDD7B15"/>
    <w:rsid w:val="4E0B53C2"/>
    <w:rsid w:val="4E23CF64"/>
    <w:rsid w:val="4F04CA7D"/>
    <w:rsid w:val="4FC03105"/>
    <w:rsid w:val="4FF5CE14"/>
    <w:rsid w:val="50172181"/>
    <w:rsid w:val="504DC75E"/>
    <w:rsid w:val="507BCCCA"/>
    <w:rsid w:val="50B3698F"/>
    <w:rsid w:val="50E10048"/>
    <w:rsid w:val="50FA6E5E"/>
    <w:rsid w:val="510E8E70"/>
    <w:rsid w:val="5126D465"/>
    <w:rsid w:val="515BC3BA"/>
    <w:rsid w:val="51AE8152"/>
    <w:rsid w:val="51C84C45"/>
    <w:rsid w:val="51E9F5EB"/>
    <w:rsid w:val="522E5FB7"/>
    <w:rsid w:val="524BFB8A"/>
    <w:rsid w:val="525F4789"/>
    <w:rsid w:val="5269B692"/>
    <w:rsid w:val="531B2546"/>
    <w:rsid w:val="5357C0D5"/>
    <w:rsid w:val="539CF2E8"/>
    <w:rsid w:val="53A06FFD"/>
    <w:rsid w:val="53FBFEE6"/>
    <w:rsid w:val="5409B30A"/>
    <w:rsid w:val="541B3C3A"/>
    <w:rsid w:val="5456C41A"/>
    <w:rsid w:val="5482414C"/>
    <w:rsid w:val="55A3EE30"/>
    <w:rsid w:val="55E06754"/>
    <w:rsid w:val="5622B5F0"/>
    <w:rsid w:val="56577750"/>
    <w:rsid w:val="567ACF38"/>
    <w:rsid w:val="56D6EE44"/>
    <w:rsid w:val="56ED2FD1"/>
    <w:rsid w:val="57881F2F"/>
    <w:rsid w:val="57A72AA1"/>
    <w:rsid w:val="583778C8"/>
    <w:rsid w:val="5906B5B6"/>
    <w:rsid w:val="59B3822B"/>
    <w:rsid w:val="59D4A120"/>
    <w:rsid w:val="59DE1E68"/>
    <w:rsid w:val="5A25C74C"/>
    <w:rsid w:val="5A3C9A44"/>
    <w:rsid w:val="5A724B23"/>
    <w:rsid w:val="5ACEA2B8"/>
    <w:rsid w:val="5AD80C09"/>
    <w:rsid w:val="5B6183A0"/>
    <w:rsid w:val="5B658298"/>
    <w:rsid w:val="5BD310B6"/>
    <w:rsid w:val="5C40ABF1"/>
    <w:rsid w:val="5CEF51C8"/>
    <w:rsid w:val="5D43F6D3"/>
    <w:rsid w:val="5D69E799"/>
    <w:rsid w:val="5D8D8BE0"/>
    <w:rsid w:val="5DC28043"/>
    <w:rsid w:val="5DCF7AC1"/>
    <w:rsid w:val="5DD9E061"/>
    <w:rsid w:val="5DE2564E"/>
    <w:rsid w:val="5DF2099D"/>
    <w:rsid w:val="5DFA6C95"/>
    <w:rsid w:val="5E0E74D1"/>
    <w:rsid w:val="5ECCB403"/>
    <w:rsid w:val="5EEB2C23"/>
    <w:rsid w:val="5F767AC7"/>
    <w:rsid w:val="5F9FAF0B"/>
    <w:rsid w:val="5FAC88D0"/>
    <w:rsid w:val="5FEEEB61"/>
    <w:rsid w:val="5FF207CE"/>
    <w:rsid w:val="5FF82C69"/>
    <w:rsid w:val="60D604F6"/>
    <w:rsid w:val="616E66E6"/>
    <w:rsid w:val="6171BE03"/>
    <w:rsid w:val="6185E51C"/>
    <w:rsid w:val="61B38C12"/>
    <w:rsid w:val="6260A06C"/>
    <w:rsid w:val="626A87A2"/>
    <w:rsid w:val="62979800"/>
    <w:rsid w:val="62A304D3"/>
    <w:rsid w:val="63035FF8"/>
    <w:rsid w:val="6317059C"/>
    <w:rsid w:val="632DA299"/>
    <w:rsid w:val="63566FD8"/>
    <w:rsid w:val="6384534E"/>
    <w:rsid w:val="64A5C166"/>
    <w:rsid w:val="65242F12"/>
    <w:rsid w:val="65B20DEA"/>
    <w:rsid w:val="65DB36DA"/>
    <w:rsid w:val="66548E31"/>
    <w:rsid w:val="674DEE4A"/>
    <w:rsid w:val="676AA1AF"/>
    <w:rsid w:val="67B7BBD4"/>
    <w:rsid w:val="67F4A55C"/>
    <w:rsid w:val="6832E91E"/>
    <w:rsid w:val="6839E0A1"/>
    <w:rsid w:val="683FCD24"/>
    <w:rsid w:val="6845C259"/>
    <w:rsid w:val="685C5787"/>
    <w:rsid w:val="6875FC77"/>
    <w:rsid w:val="68923349"/>
    <w:rsid w:val="68A7D82B"/>
    <w:rsid w:val="68F10D15"/>
    <w:rsid w:val="696FE943"/>
    <w:rsid w:val="6972445D"/>
    <w:rsid w:val="69800F9C"/>
    <w:rsid w:val="69C46E5C"/>
    <w:rsid w:val="69EC624A"/>
    <w:rsid w:val="6A0BB16E"/>
    <w:rsid w:val="6AD15DC9"/>
    <w:rsid w:val="6B043487"/>
    <w:rsid w:val="6B32314F"/>
    <w:rsid w:val="6B4F622B"/>
    <w:rsid w:val="6B5A195E"/>
    <w:rsid w:val="6C523946"/>
    <w:rsid w:val="6C64DD39"/>
    <w:rsid w:val="6C7997F8"/>
    <w:rsid w:val="6C7C4DE5"/>
    <w:rsid w:val="6C82FB90"/>
    <w:rsid w:val="6C9171DB"/>
    <w:rsid w:val="6D6DD1A0"/>
    <w:rsid w:val="6D9CF3EF"/>
    <w:rsid w:val="6EE958CB"/>
    <w:rsid w:val="6F4FCBA1"/>
    <w:rsid w:val="6F6517BA"/>
    <w:rsid w:val="6F87C782"/>
    <w:rsid w:val="6FA0770B"/>
    <w:rsid w:val="6FD5E92F"/>
    <w:rsid w:val="6FDBEBDE"/>
    <w:rsid w:val="6FE93485"/>
    <w:rsid w:val="701624CB"/>
    <w:rsid w:val="7175C899"/>
    <w:rsid w:val="72221265"/>
    <w:rsid w:val="72354529"/>
    <w:rsid w:val="728FFA4F"/>
    <w:rsid w:val="72ABD013"/>
    <w:rsid w:val="72FC22C2"/>
    <w:rsid w:val="733D8676"/>
    <w:rsid w:val="7357E23F"/>
    <w:rsid w:val="735ACE49"/>
    <w:rsid w:val="7373CCAE"/>
    <w:rsid w:val="7411DD63"/>
    <w:rsid w:val="74304DA9"/>
    <w:rsid w:val="743E725C"/>
    <w:rsid w:val="748B2953"/>
    <w:rsid w:val="749457F4"/>
    <w:rsid w:val="74C1B3FE"/>
    <w:rsid w:val="74FA3E65"/>
    <w:rsid w:val="750C3F5C"/>
    <w:rsid w:val="76058199"/>
    <w:rsid w:val="762C6A26"/>
    <w:rsid w:val="764EC52E"/>
    <w:rsid w:val="767389AC"/>
    <w:rsid w:val="77184F1A"/>
    <w:rsid w:val="775A90EF"/>
    <w:rsid w:val="77FAD4C8"/>
    <w:rsid w:val="7821ED38"/>
    <w:rsid w:val="78819373"/>
    <w:rsid w:val="78962262"/>
    <w:rsid w:val="78A09944"/>
    <w:rsid w:val="78AA4894"/>
    <w:rsid w:val="78CA0376"/>
    <w:rsid w:val="79133CB3"/>
    <w:rsid w:val="793446A7"/>
    <w:rsid w:val="7994A3D4"/>
    <w:rsid w:val="79CD6811"/>
    <w:rsid w:val="7A423C6F"/>
    <w:rsid w:val="7A424049"/>
    <w:rsid w:val="7AAC6C32"/>
    <w:rsid w:val="7B69C2F2"/>
    <w:rsid w:val="7B849C7D"/>
    <w:rsid w:val="7C139883"/>
    <w:rsid w:val="7C18D924"/>
    <w:rsid w:val="7CC62D67"/>
    <w:rsid w:val="7DCD3082"/>
    <w:rsid w:val="7DED3C3C"/>
    <w:rsid w:val="7E47CDD9"/>
    <w:rsid w:val="7F22EA1C"/>
    <w:rsid w:val="7FF3FD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2634A4"/>
  <w14:defaultImageDpi w14:val="0"/>
  <w15:docId w15:val="{9711ACBF-68EB-4952-A7F3-31BE76F3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locked="1"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4"/>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5"/>
      </w:numPr>
      <w:spacing w:after="240"/>
    </w:pPr>
  </w:style>
  <w:style w:type="paragraph" w:customStyle="1" w:styleId="Dash">
    <w:name w:val="Dash"/>
    <w:basedOn w:val="Normal"/>
    <w:uiPriority w:val="99"/>
    <w:pPr>
      <w:numPr>
        <w:ilvl w:val="1"/>
        <w:numId w:val="5"/>
      </w:numPr>
      <w:spacing w:after="240"/>
    </w:pPr>
  </w:style>
  <w:style w:type="paragraph" w:customStyle="1" w:styleId="DoubleDot">
    <w:name w:val="Double Dot"/>
    <w:basedOn w:val="Normal"/>
    <w:uiPriority w:val="99"/>
    <w:pPr>
      <w:numPr>
        <w:ilvl w:val="2"/>
        <w:numId w:val="5"/>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6"/>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7"/>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8"/>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8"/>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8"/>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11"/>
      </w:numPr>
      <w:spacing w:after="240" w:line="260" w:lineRule="exact"/>
      <w:ind w:left="1134" w:hanging="567"/>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9"/>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9"/>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9"/>
      </w:numPr>
      <w:spacing w:after="240" w:line="260" w:lineRule="exact"/>
      <w:jc w:val="both"/>
    </w:pPr>
    <w:rPr>
      <w:rFonts w:cs="Corbel"/>
      <w:color w:val="000000"/>
      <w:szCs w:val="23"/>
    </w:rPr>
  </w:style>
  <w:style w:type="paragraph" w:customStyle="1" w:styleId="Romannumeral">
    <w:name w:val="Roman numeral"/>
    <w:basedOn w:val="Normal"/>
    <w:uiPriority w:val="99"/>
    <w:pPr>
      <w:numPr>
        <w:numId w:val="10"/>
      </w:numPr>
      <w:spacing w:after="240" w:line="260" w:lineRule="exact"/>
      <w:jc w:val="both"/>
    </w:pPr>
    <w:rPr>
      <w:rFonts w:cs="Corbel"/>
      <w:color w:val="000000"/>
      <w:szCs w:val="23"/>
    </w:rPr>
  </w:style>
  <w:style w:type="paragraph" w:customStyle="1" w:styleId="ScheduleStartNnumber">
    <w:name w:val="ScheduleStartNnumber"/>
    <w:uiPriority w:val="99"/>
    <w:pPr>
      <w:numPr>
        <w:numId w:val="12"/>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12"/>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13"/>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5"/>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6"/>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7"/>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8"/>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9"/>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3995">
      <w:bodyDiv w:val="1"/>
      <w:marLeft w:val="0"/>
      <w:marRight w:val="0"/>
      <w:marTop w:val="0"/>
      <w:marBottom w:val="0"/>
      <w:divBdr>
        <w:top w:val="none" w:sz="0" w:space="0" w:color="auto"/>
        <w:left w:val="none" w:sz="0" w:space="0" w:color="auto"/>
        <w:bottom w:val="none" w:sz="0" w:space="0" w:color="auto"/>
        <w:right w:val="none" w:sz="0" w:space="0" w:color="auto"/>
      </w:divBdr>
    </w:div>
    <w:div w:id="2079744010">
      <w:marLeft w:val="0"/>
      <w:marRight w:val="0"/>
      <w:marTop w:val="0"/>
      <w:marBottom w:val="0"/>
      <w:divBdr>
        <w:top w:val="none" w:sz="0" w:space="0" w:color="auto"/>
        <w:left w:val="none" w:sz="0" w:space="0" w:color="auto"/>
        <w:bottom w:val="none" w:sz="0" w:space="0" w:color="auto"/>
        <w:right w:val="none" w:sz="0" w:space="0" w:color="auto"/>
      </w:divBdr>
    </w:div>
    <w:div w:id="2079744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2020FG-64-88139</_dlc_DocId>
    <_dlc_DocIdUrl xmlns="0f563589-9cf9-4143-b1eb-fb0534803d38">
      <Url>http://tweb/sites/fg/csrd/_layouts/15/DocIdRedir.aspx?ID=2020FG-64-88139</Url>
      <Description>2020FG-64-88139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2CFCB7BA-9142-4B8C-9D6B-320A595025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d4ac95-6a41-4ce8-97ee-4b2c94af493a"/>
    <ds:schemaRef ds:uri="http://www.w3.org/XML/1998/namespace"/>
    <ds:schemaRef ds:uri="http://purl.org/dc/dcmitype/"/>
  </ds:schemaRefs>
</ds:datastoreItem>
</file>

<file path=customXml/itemProps2.xml><?xml version="1.0" encoding="utf-8"?>
<ds:datastoreItem xmlns:ds="http://schemas.openxmlformats.org/officeDocument/2006/customXml" ds:itemID="{401B6C1B-0A7D-4490-AD01-77CB361CBA8C}"/>
</file>

<file path=customXml/itemProps3.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4.xml><?xml version="1.0" encoding="utf-8"?>
<ds:datastoreItem xmlns:ds="http://schemas.openxmlformats.org/officeDocument/2006/customXml" ds:itemID="{E5605B7F-0B6A-4CE1-A66C-04C845E4198E}">
  <ds:schemaRefs>
    <ds:schemaRef ds:uri="http://schemas.openxmlformats.org/officeDocument/2006/bibliography"/>
  </ds:schemaRefs>
</ds:datastoreItem>
</file>

<file path=customXml/itemProps5.xml><?xml version="1.0" encoding="utf-8"?>
<ds:datastoreItem xmlns:ds="http://schemas.openxmlformats.org/officeDocument/2006/customXml" ds:itemID="{2C0A6ED5-D64F-4B8F-A84B-DB76E1CC82A0}"/>
</file>

<file path=customXml/itemProps6.xml><?xml version="1.0" encoding="utf-8"?>
<ds:datastoreItem xmlns:ds="http://schemas.openxmlformats.org/officeDocument/2006/customXml" ds:itemID="{A5C75C74-621F-4685-85BF-990BBDE1D0FE}"/>
</file>

<file path=customXml/itemProps7.xml><?xml version="1.0" encoding="utf-8"?>
<ds:datastoreItem xmlns:ds="http://schemas.openxmlformats.org/officeDocument/2006/customXml" ds:itemID="{AA20AF27-F121-4CEB-93F2-95C357660BA7}"/>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9688</Characters>
  <Application>Microsoft Office Word</Application>
  <DocSecurity>0</DocSecurity>
  <Lines>332</Lines>
  <Paragraphs>155</Paragraphs>
  <ScaleCrop>false</ScaleCrop>
  <HeadingPairs>
    <vt:vector size="2" baseType="variant">
      <vt:variant>
        <vt:lpstr>Title</vt:lpstr>
      </vt:variant>
      <vt:variant>
        <vt:i4>1</vt:i4>
      </vt:variant>
    </vt:vector>
  </HeadingPairs>
  <TitlesOfParts>
    <vt:vector size="1" baseType="lpstr">
      <vt:lpstr>Disaster Risk Reduction - SA Implementation Plan</vt:lpstr>
    </vt:vector>
  </TitlesOfParts>
  <Company>Australian Government - The Treasury</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Risk Reduction - SA Implementation Plan</dc:title>
  <dc:subject>Environment National Partnerships</dc:subject>
  <dc:creator>Council on Federal Financial Relations</dc:creator>
  <cp:keywords>[SEC=OFFICIAL]</cp:keywords>
  <dc:description/>
  <cp:lastModifiedBy>Thomas, Deborah</cp:lastModifiedBy>
  <cp:revision>3</cp:revision>
  <cp:lastPrinted>2020-05-06T02:26:00Z</cp:lastPrinted>
  <dcterms:created xsi:type="dcterms:W3CDTF">2020-07-08T02:08:00Z</dcterms:created>
  <dcterms:modified xsi:type="dcterms:W3CDTF">2020-07-08T02:08:00Z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AD5EA2BE86CA40C7A64505026F8F9433</vt:lpwstr>
  </property>
  <property fmtid="{D5CDD505-2E9C-101B-9397-08002B2CF9AE}" pid="10" name="PM_ProtectiveMarkingValue_Footer">
    <vt:lpwstr>OFFICIAL</vt:lpwstr>
  </property>
  <property fmtid="{D5CDD505-2E9C-101B-9397-08002B2CF9AE}" pid="11" name="PM_Originator_Hash_SHA1">
    <vt:lpwstr>38133F7C5BF999D570FB0D312BE67AEC121E5FF8</vt:lpwstr>
  </property>
  <property fmtid="{D5CDD505-2E9C-101B-9397-08002B2CF9AE}" pid="12" name="PM_OriginationTimeStamp">
    <vt:lpwstr>2020-07-08T02:08:13Z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53BC02EF96DF36FA4AC49A20AEE487F3</vt:lpwstr>
  </property>
  <property fmtid="{D5CDD505-2E9C-101B-9397-08002B2CF9AE}" pid="21" name="PM_Hash_Salt">
    <vt:lpwstr>B7D66C52544E2528A4BCF9AF84879593</vt:lpwstr>
  </property>
  <property fmtid="{D5CDD505-2E9C-101B-9397-08002B2CF9AE}" pid="22" name="PM_Hash_SHA1">
    <vt:lpwstr>B0DEA86D41356E1931E7A36AFA648046BCB1542C</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TSYRecordClass">
    <vt:lpwstr>2;#TSY RA-8748 - Retain as national archives|243f2231-dbfc-4282-b24a-c9b768286bd0</vt:lpwstr>
  </property>
  <property fmtid="{D5CDD505-2E9C-101B-9397-08002B2CF9AE}" pid="26" name="_dlc_DocIdItemGuid">
    <vt:lpwstr>1c085c7f-ba70-42c3-ba65-5349756c6260</vt:lpwstr>
  </property>
  <property fmtid="{D5CDD505-2E9C-101B-9397-08002B2CF9AE}" pid="27" name="RecordPoint_WorkflowType">
    <vt:lpwstr>ActiveSubmitStub</vt:lpwstr>
  </property>
  <property fmtid="{D5CDD505-2E9C-101B-9397-08002B2CF9AE}" pid="28" name="RecordPoint_ActiveItemWebId">
    <vt:lpwstr>{a4589788-615f-4b8b-8296-7f9f6dfbab44}</vt:lpwstr>
  </property>
  <property fmtid="{D5CDD505-2E9C-101B-9397-08002B2CF9AE}" pid="29" name="RecordPoint_ActiveItemSiteId">
    <vt:lpwstr>{a3a280d1-e8f1-4ce7-94f0-aaa2322da0dd}</vt:lpwstr>
  </property>
  <property fmtid="{D5CDD505-2E9C-101B-9397-08002B2CF9AE}" pid="30" name="RecordPoint_ActiveItemListId">
    <vt:lpwstr>{4435c73b-6585-4bc2-a76a-5d21b1a02e06}</vt:lpwstr>
  </property>
  <property fmtid="{D5CDD505-2E9C-101B-9397-08002B2CF9AE}" pid="31" name="RecordPoint_ActiveItemUniqueId">
    <vt:lpwstr>{1c085c7f-ba70-42c3-ba65-5349756c6260}</vt:lpwstr>
  </property>
</Properties>
</file>