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942"/>
        <w:tblW w:w="5000" w:type="pct"/>
        <w:tblLook w:val="01E0" w:firstRow="1" w:lastRow="1" w:firstColumn="1" w:lastColumn="1" w:noHBand="0" w:noVBand="0"/>
      </w:tblPr>
      <w:tblGrid>
        <w:gridCol w:w="1475"/>
        <w:gridCol w:w="7551"/>
      </w:tblGrid>
      <w:tr w:rsidR="00520331">
        <w:tc>
          <w:tcPr>
            <w:tcW w:w="817" w:type="pct"/>
          </w:tcPr>
          <w:p w:rsidR="00520331" w:rsidRPr="001E74D0" w:rsidRDefault="00520331" w:rsidP="00520331"/>
        </w:tc>
        <w:tc>
          <w:tcPr>
            <w:tcW w:w="4183" w:type="pct"/>
          </w:tcPr>
          <w:p w:rsidR="00520331" w:rsidRPr="00FC55E9" w:rsidRDefault="00520331" w:rsidP="00520331">
            <w:pPr>
              <w:pStyle w:val="AgreementParties"/>
              <w:numPr>
                <w:ilvl w:val="0"/>
                <w:numId w:val="0"/>
              </w:numPr>
              <w:ind w:left="49"/>
            </w:pPr>
          </w:p>
        </w:tc>
      </w:tr>
    </w:tbl>
    <w:p w:rsidR="00A21A05" w:rsidRDefault="00A21A05" w:rsidP="00A17D70">
      <w:pPr>
        <w:pStyle w:val="Title"/>
      </w:pPr>
    </w:p>
    <w:p w:rsidR="0036688B" w:rsidRPr="00A17D70" w:rsidRDefault="00494887" w:rsidP="00A17D70">
      <w:pPr>
        <w:pStyle w:val="Title"/>
      </w:pPr>
      <w:r>
        <w:t xml:space="preserve">Victoria: </w:t>
      </w:r>
      <w:r w:rsidR="0036688B" w:rsidRPr="00A17D70">
        <w:t xml:space="preserve">Implementation Plan </w:t>
      </w:r>
    </w:p>
    <w:p w:rsidR="0036688B" w:rsidRPr="00A17D70" w:rsidRDefault="00B934F5" w:rsidP="00A17D70">
      <w:pPr>
        <w:pStyle w:val="Subtitle"/>
      </w:pPr>
      <w:r>
        <w:t xml:space="preserve">National Partnership </w:t>
      </w:r>
      <w:r w:rsidR="0036688B" w:rsidRPr="00A17D70">
        <w:t>on</w:t>
      </w:r>
      <w:r w:rsidR="00B920EA">
        <w:t xml:space="preserve"> </w:t>
      </w:r>
      <w:r w:rsidR="00F8223F">
        <w:t>disaster risk reduction</w:t>
      </w:r>
    </w:p>
    <w:p w:rsidR="0036688B" w:rsidRPr="00041625" w:rsidRDefault="0036688B" w:rsidP="00A17D70">
      <w:pPr>
        <w:pStyle w:val="Heading1"/>
      </w:pPr>
      <w:r w:rsidRPr="00041625">
        <w:t>Part 1: Pr</w:t>
      </w:r>
      <w:r w:rsidRPr="00A17D70">
        <w:t>el</w:t>
      </w:r>
      <w:r w:rsidRPr="00041625">
        <w:t>iminaries</w:t>
      </w:r>
    </w:p>
    <w:p w:rsidR="00D12D35" w:rsidRDefault="001918B1" w:rsidP="0036688B">
      <w:pPr>
        <w:pStyle w:val="Normalnumbered"/>
        <w:spacing w:after="240" w:line="260" w:lineRule="exact"/>
        <w:rPr>
          <w:szCs w:val="23"/>
        </w:rPr>
      </w:pPr>
      <w:r w:rsidRPr="00041625">
        <w:rPr>
          <w:szCs w:val="23"/>
        </w:rPr>
        <w:t xml:space="preserve">This </w:t>
      </w:r>
      <w:r w:rsidR="00E47C62" w:rsidRPr="00041625">
        <w:rPr>
          <w:szCs w:val="23"/>
        </w:rPr>
        <w:t>Implementation Plan</w:t>
      </w:r>
      <w:r w:rsidRPr="00041625">
        <w:rPr>
          <w:szCs w:val="23"/>
        </w:rPr>
        <w:t xml:space="preserve"> is </w:t>
      </w:r>
      <w:r w:rsidR="00C22701" w:rsidRPr="00041625">
        <w:rPr>
          <w:szCs w:val="23"/>
        </w:rPr>
        <w:t>a schedule to</w:t>
      </w:r>
      <w:r w:rsidRPr="00041625">
        <w:rPr>
          <w:szCs w:val="23"/>
        </w:rPr>
        <w:t xml:space="preserve"> the National Partnership Agreement on </w:t>
      </w:r>
      <w:r w:rsidR="00F8223F">
        <w:rPr>
          <w:szCs w:val="23"/>
        </w:rPr>
        <w:t>Disaster Risk Reduction</w:t>
      </w:r>
      <w:r w:rsidRPr="00041625">
        <w:rPr>
          <w:szCs w:val="23"/>
        </w:rPr>
        <w:t xml:space="preserve"> and should be read in conjunction with that Agreement. </w:t>
      </w:r>
    </w:p>
    <w:p w:rsidR="001918B1" w:rsidRPr="00041625" w:rsidRDefault="001918B1" w:rsidP="0036688B">
      <w:pPr>
        <w:pStyle w:val="Normalnumbered"/>
        <w:spacing w:after="240" w:line="260" w:lineRule="exact"/>
        <w:rPr>
          <w:szCs w:val="23"/>
        </w:rPr>
      </w:pPr>
      <w:r w:rsidRPr="00041625">
        <w:rPr>
          <w:szCs w:val="23"/>
        </w:rPr>
        <w:t>The objective in the National Partnership is</w:t>
      </w:r>
      <w:r w:rsidR="00D12D35" w:rsidRPr="00D12D35">
        <w:t xml:space="preserve"> </w:t>
      </w:r>
      <w:r w:rsidR="00D12D35">
        <w:t xml:space="preserve">to </w:t>
      </w:r>
      <w:r w:rsidR="00465565">
        <w:t xml:space="preserve">proactively </w:t>
      </w:r>
      <w:r w:rsidR="00D12D35">
        <w:t xml:space="preserve">reduce </w:t>
      </w:r>
      <w:r w:rsidR="00465565">
        <w:t>the risk and limit the impact of d</w:t>
      </w:r>
      <w:r w:rsidR="00D12D35">
        <w:t>isasters associated with natural hazards on Australian communities and economies</w:t>
      </w:r>
      <w:r w:rsidRPr="00041625">
        <w:rPr>
          <w:szCs w:val="23"/>
        </w:rPr>
        <w:t>.</w:t>
      </w:r>
    </w:p>
    <w:p w:rsidR="007A07AD" w:rsidRPr="0061613E" w:rsidRDefault="00D12D35" w:rsidP="0061613E">
      <w:pPr>
        <w:pStyle w:val="Normalnumbered"/>
        <w:spacing w:after="240" w:line="260" w:lineRule="exact"/>
        <w:rPr>
          <w:szCs w:val="23"/>
        </w:rPr>
      </w:pPr>
      <w:r w:rsidRPr="00571A57">
        <w:t xml:space="preserve">The initiative will deliver </w:t>
      </w:r>
      <w:r w:rsidR="00AD1B9D" w:rsidRPr="00571A57">
        <w:t>on</w:t>
      </w:r>
      <w:r w:rsidRPr="00571A57">
        <w:t xml:space="preserve"> the</w:t>
      </w:r>
      <w:r>
        <w:t xml:space="preserve"> priorities, five</w:t>
      </w:r>
      <w:r>
        <w:noBreakHyphen/>
        <w:t>year outcomes and 2030 goals of the National Disaster Risk Reduction Framework across Australia’s built, social, natural and economic environments. It aims to reduce existing disaster risk, minimise the creation of future</w:t>
      </w:r>
      <w:r w:rsidR="009F536E">
        <w:t xml:space="preserve"> disaster</w:t>
      </w:r>
      <w:r>
        <w:t xml:space="preserve"> risk and </w:t>
      </w:r>
      <w:r w:rsidR="00465565">
        <w:t xml:space="preserve">equip decision-makers with the capabilities and information needed to reduce disaster risk and </w:t>
      </w:r>
      <w:r>
        <w:t>manage residual risk.</w:t>
      </w:r>
    </w:p>
    <w:p w:rsidR="003E230C" w:rsidRPr="00041625" w:rsidRDefault="003E230C" w:rsidP="00A17D70">
      <w:pPr>
        <w:pStyle w:val="Heading1"/>
      </w:pPr>
      <w:r w:rsidRPr="00041625">
        <w:t xml:space="preserve">Part 2: Terms of this </w:t>
      </w:r>
      <w:r w:rsidR="00E47C62" w:rsidRPr="00041625">
        <w:t>I</w:t>
      </w:r>
      <w:r w:rsidR="00E47C62" w:rsidRPr="00A17D70">
        <w:t>mplem</w:t>
      </w:r>
      <w:r w:rsidR="00E47C62" w:rsidRPr="00041625">
        <w:t>entation Plan</w:t>
      </w:r>
      <w:r w:rsidR="004D78CB" w:rsidRPr="00041625">
        <w:tab/>
      </w:r>
    </w:p>
    <w:p w:rsidR="003E230C" w:rsidRPr="003E230C" w:rsidRDefault="003E230C" w:rsidP="003E230C"/>
    <w:p w:rsidR="0036688B" w:rsidRPr="00041625" w:rsidRDefault="0036688B" w:rsidP="0036688B">
      <w:pPr>
        <w:pStyle w:val="Normalnumbered"/>
        <w:spacing w:after="240" w:line="260" w:lineRule="exact"/>
        <w:rPr>
          <w:szCs w:val="23"/>
        </w:rPr>
      </w:pPr>
      <w:r w:rsidRPr="00041625">
        <w:rPr>
          <w:szCs w:val="23"/>
        </w:rPr>
        <w:t xml:space="preserve">This </w:t>
      </w:r>
      <w:r w:rsidR="00E47C62" w:rsidRPr="00041625">
        <w:rPr>
          <w:szCs w:val="23"/>
        </w:rPr>
        <w:t>Implementation Plan</w:t>
      </w:r>
      <w:r w:rsidRPr="00041625">
        <w:rPr>
          <w:szCs w:val="23"/>
        </w:rPr>
        <w:t xml:space="preserve"> will commence as soon as it is agreed between the Commonwealth of Australia, represented by the Minister for </w:t>
      </w:r>
      <w:r w:rsidR="000E0783">
        <w:rPr>
          <w:szCs w:val="23"/>
        </w:rPr>
        <w:t xml:space="preserve">Agriculture, Drought </w:t>
      </w:r>
      <w:r w:rsidR="00D12D35">
        <w:rPr>
          <w:szCs w:val="23"/>
        </w:rPr>
        <w:t>and Emergency Management</w:t>
      </w:r>
      <w:r w:rsidRPr="00041625">
        <w:rPr>
          <w:szCs w:val="23"/>
        </w:rPr>
        <w:t>,</w:t>
      </w:r>
      <w:r w:rsidR="00494887">
        <w:rPr>
          <w:szCs w:val="23"/>
        </w:rPr>
        <w:t xml:space="preserve"> and Victoria</w:t>
      </w:r>
      <w:r w:rsidRPr="00041625">
        <w:rPr>
          <w:szCs w:val="23"/>
        </w:rPr>
        <w:t xml:space="preserve">, represented by </w:t>
      </w:r>
      <w:r w:rsidR="00494887">
        <w:rPr>
          <w:szCs w:val="23"/>
        </w:rPr>
        <w:t>the Minister for Police and Emergency Services</w:t>
      </w:r>
      <w:r w:rsidRPr="00041625">
        <w:rPr>
          <w:szCs w:val="23"/>
        </w:rPr>
        <w:t>.</w:t>
      </w:r>
    </w:p>
    <w:p w:rsidR="0036688B" w:rsidRPr="00041625" w:rsidRDefault="0036688B" w:rsidP="0036688B">
      <w:pPr>
        <w:pStyle w:val="Normalnumbered"/>
        <w:spacing w:after="240" w:line="260" w:lineRule="exact"/>
        <w:rPr>
          <w:szCs w:val="23"/>
        </w:rPr>
      </w:pPr>
      <w:r w:rsidRPr="00571A57">
        <w:rPr>
          <w:szCs w:val="23"/>
        </w:rPr>
        <w:t xml:space="preserve">As a schedule to the National Partnership, the purpose of this </w:t>
      </w:r>
      <w:r w:rsidR="00E47C62" w:rsidRPr="00571A57">
        <w:rPr>
          <w:szCs w:val="23"/>
        </w:rPr>
        <w:t>Implementation Plan</w:t>
      </w:r>
      <w:r w:rsidRPr="00571A57">
        <w:rPr>
          <w:szCs w:val="23"/>
        </w:rPr>
        <w:t xml:space="preserve"> is to provide the public with </w:t>
      </w:r>
      <w:r w:rsidR="007B7FDC" w:rsidRPr="00571A57">
        <w:rPr>
          <w:szCs w:val="23"/>
        </w:rPr>
        <w:t>an indication of</w:t>
      </w:r>
      <w:r w:rsidRPr="00571A57">
        <w:rPr>
          <w:szCs w:val="23"/>
        </w:rPr>
        <w:t xml:space="preserve"> how the project </w:t>
      </w:r>
      <w:r w:rsidR="00903874" w:rsidRPr="00571A57">
        <w:rPr>
          <w:szCs w:val="23"/>
        </w:rPr>
        <w:t>is intended</w:t>
      </w:r>
      <w:r w:rsidR="00903874" w:rsidRPr="00041625">
        <w:rPr>
          <w:szCs w:val="23"/>
        </w:rPr>
        <w:t xml:space="preserve"> to be</w:t>
      </w:r>
      <w:r w:rsidRPr="00041625">
        <w:rPr>
          <w:szCs w:val="23"/>
        </w:rPr>
        <w:t xml:space="preserve"> delivered</w:t>
      </w:r>
      <w:r w:rsidR="007B7FDC" w:rsidRPr="00041625">
        <w:rPr>
          <w:szCs w:val="23"/>
        </w:rPr>
        <w:t xml:space="preserve"> and demonstrate</w:t>
      </w:r>
      <w:r w:rsidR="00494887">
        <w:rPr>
          <w:szCs w:val="23"/>
        </w:rPr>
        <w:t xml:space="preserve"> Victoria’s </w:t>
      </w:r>
      <w:r w:rsidR="007B7FDC" w:rsidRPr="00041625">
        <w:rPr>
          <w:szCs w:val="23"/>
        </w:rPr>
        <w:t xml:space="preserve">capacity to achieve the outcomes of the </w:t>
      </w:r>
      <w:r w:rsidR="002E328E" w:rsidRPr="00041625">
        <w:rPr>
          <w:szCs w:val="23"/>
        </w:rPr>
        <w:t>National Partnership</w:t>
      </w:r>
      <w:r w:rsidRPr="00041625">
        <w:rPr>
          <w:szCs w:val="23"/>
        </w:rPr>
        <w:t xml:space="preserve">. </w:t>
      </w:r>
    </w:p>
    <w:p w:rsidR="0036688B" w:rsidRPr="00041625" w:rsidRDefault="0036688B" w:rsidP="0036688B">
      <w:pPr>
        <w:pStyle w:val="Normalnumbered"/>
        <w:spacing w:after="240" w:line="260" w:lineRule="exact"/>
        <w:rPr>
          <w:szCs w:val="23"/>
        </w:rPr>
      </w:pPr>
      <w:r w:rsidRPr="00041625">
        <w:rPr>
          <w:szCs w:val="23"/>
        </w:rPr>
        <w:t xml:space="preserve">This </w:t>
      </w:r>
      <w:r w:rsidR="00E47C62" w:rsidRPr="00041625">
        <w:rPr>
          <w:szCs w:val="23"/>
        </w:rPr>
        <w:t>Implementation Plan</w:t>
      </w:r>
      <w:r w:rsidRPr="00041625">
        <w:rPr>
          <w:szCs w:val="23"/>
        </w:rPr>
        <w:t xml:space="preserve"> will cease on completion </w:t>
      </w:r>
      <w:r w:rsidR="00F9039F" w:rsidRPr="00041625">
        <w:rPr>
          <w:szCs w:val="23"/>
        </w:rPr>
        <w:t xml:space="preserve">or termination </w:t>
      </w:r>
      <w:r w:rsidRPr="00041625">
        <w:rPr>
          <w:szCs w:val="23"/>
        </w:rPr>
        <w:t xml:space="preserve">of </w:t>
      </w:r>
      <w:r w:rsidR="00AC5296" w:rsidRPr="00041625">
        <w:rPr>
          <w:szCs w:val="23"/>
        </w:rPr>
        <w:t>the National Partnership</w:t>
      </w:r>
      <w:r w:rsidR="00BC5FA5" w:rsidRPr="00041625">
        <w:rPr>
          <w:szCs w:val="23"/>
        </w:rPr>
        <w:t>, including final performance reporting and processing of final payments against performance milestones.</w:t>
      </w:r>
    </w:p>
    <w:p w:rsidR="0036688B" w:rsidRPr="00041625" w:rsidRDefault="0036688B" w:rsidP="0036688B">
      <w:pPr>
        <w:pStyle w:val="Normalnumbered"/>
        <w:spacing w:after="240" w:line="260" w:lineRule="exact"/>
        <w:rPr>
          <w:szCs w:val="23"/>
        </w:rPr>
      </w:pPr>
      <w:r w:rsidRPr="00041625">
        <w:rPr>
          <w:szCs w:val="23"/>
        </w:rPr>
        <w:t xml:space="preserve">This </w:t>
      </w:r>
      <w:r w:rsidR="00E47C62" w:rsidRPr="00041625">
        <w:rPr>
          <w:szCs w:val="23"/>
        </w:rPr>
        <w:t>Implementation Plan</w:t>
      </w:r>
      <w:r w:rsidRPr="00041625">
        <w:rPr>
          <w:szCs w:val="23"/>
        </w:rPr>
        <w:t xml:space="preserve"> may be varied by written agreement between the </w:t>
      </w:r>
      <w:r w:rsidR="00D3241C" w:rsidRPr="00041625">
        <w:rPr>
          <w:szCs w:val="23"/>
        </w:rPr>
        <w:t xml:space="preserve">Commonwealth and State </w:t>
      </w:r>
      <w:r w:rsidRPr="00041625">
        <w:rPr>
          <w:szCs w:val="23"/>
        </w:rPr>
        <w:t>Ministers</w:t>
      </w:r>
      <w:r w:rsidR="00D3241C" w:rsidRPr="00041625">
        <w:rPr>
          <w:szCs w:val="23"/>
        </w:rPr>
        <w:t xml:space="preserve"> responsible for it under the overarching National Partnership</w:t>
      </w:r>
      <w:r w:rsidRPr="00041625">
        <w:rPr>
          <w:szCs w:val="23"/>
        </w:rPr>
        <w:t xml:space="preserve">. </w:t>
      </w:r>
    </w:p>
    <w:p w:rsidR="0036688B" w:rsidRPr="00041625" w:rsidRDefault="0036688B" w:rsidP="0036688B">
      <w:pPr>
        <w:pStyle w:val="Normalnumbered"/>
        <w:spacing w:after="240" w:line="260" w:lineRule="exact"/>
        <w:rPr>
          <w:szCs w:val="23"/>
        </w:rPr>
      </w:pPr>
      <w:r w:rsidRPr="00041625">
        <w:rPr>
          <w:szCs w:val="23"/>
        </w:rPr>
        <w:t xml:space="preserve">The Parties to this </w:t>
      </w:r>
      <w:r w:rsidR="00E47C62" w:rsidRPr="00041625">
        <w:rPr>
          <w:szCs w:val="23"/>
        </w:rPr>
        <w:t>Implementation Plan</w:t>
      </w:r>
      <w:r w:rsidRPr="00041625">
        <w:rPr>
          <w:szCs w:val="23"/>
        </w:rPr>
        <w:t xml:space="preserve"> do not intend any of the provisions to be legally enforceable. However, that does not lessen the Parties’ commitment to </w:t>
      </w:r>
      <w:r w:rsidR="00CD5739" w:rsidRPr="00041625">
        <w:rPr>
          <w:szCs w:val="23"/>
        </w:rPr>
        <w:t xml:space="preserve">the plan and its full </w:t>
      </w:r>
      <w:r w:rsidRPr="00041625">
        <w:rPr>
          <w:szCs w:val="23"/>
        </w:rPr>
        <w:t>implementation.</w:t>
      </w:r>
    </w:p>
    <w:p w:rsidR="0036688B" w:rsidRPr="00B704A8" w:rsidRDefault="0036688B" w:rsidP="00A17D70">
      <w:pPr>
        <w:pStyle w:val="Heading1"/>
      </w:pPr>
      <w:r w:rsidRPr="00B704A8">
        <w:t xml:space="preserve">Part </w:t>
      </w:r>
      <w:r w:rsidR="00C26A29" w:rsidRPr="00B704A8">
        <w:t>3</w:t>
      </w:r>
      <w:r w:rsidRPr="00B704A8">
        <w:t xml:space="preserve">: Strategy for </w:t>
      </w:r>
      <w:r w:rsidR="00494887">
        <w:t xml:space="preserve">victoria’s </w:t>
      </w:r>
      <w:r w:rsidRPr="00B704A8">
        <w:t>implementation</w:t>
      </w:r>
    </w:p>
    <w:p w:rsidR="0036688B" w:rsidRPr="00A17D70" w:rsidRDefault="0036688B" w:rsidP="00A17D70">
      <w:pPr>
        <w:pStyle w:val="Heading2"/>
      </w:pPr>
      <w:r w:rsidRPr="00A17D70">
        <w:t xml:space="preserve">Project information </w:t>
      </w:r>
    </w:p>
    <w:p w:rsidR="0036688B" w:rsidRDefault="0036688B" w:rsidP="00C44D75">
      <w:pPr>
        <w:pStyle w:val="Normalnumbered"/>
      </w:pPr>
      <w:r>
        <w:t>The project</w:t>
      </w:r>
      <w:r w:rsidR="00432B5D">
        <w:t xml:space="preserve"> element</w:t>
      </w:r>
      <w:r>
        <w:t>s planned</w:t>
      </w:r>
      <w:r w:rsidR="00494887">
        <w:t xml:space="preserve"> in Victoria for 2019-2024 are as follows</w:t>
      </w:r>
      <w:r w:rsidRPr="0011673E">
        <w:t xml:space="preserve">: </w:t>
      </w:r>
    </w:p>
    <w:p w:rsidR="00D03F9B" w:rsidRPr="0011673E" w:rsidRDefault="00D03F9B" w:rsidP="00D03F9B">
      <w:pPr>
        <w:pStyle w:val="Normalnumbered"/>
        <w:numPr>
          <w:ilvl w:val="0"/>
          <w:numId w:val="0"/>
        </w:numPr>
      </w:pPr>
    </w:p>
    <w:p w:rsidR="0036688B" w:rsidRPr="00306791" w:rsidRDefault="00494887" w:rsidP="00B328FD">
      <w:pPr>
        <w:pStyle w:val="AlphaParagraph"/>
        <w:numPr>
          <w:ilvl w:val="0"/>
          <w:numId w:val="16"/>
        </w:numPr>
        <w:ind w:firstLine="0"/>
      </w:pPr>
      <w:r w:rsidRPr="00494887">
        <w:lastRenderedPageBreak/>
        <w:t>Implementing the Risk and Resilience Grants Program (RRGP) - a grants program open to applications from the public providing Commonwealth funds of up to 50% of the total project cost</w:t>
      </w:r>
      <w:r w:rsidR="0036688B" w:rsidRPr="00306791">
        <w:t>;</w:t>
      </w:r>
    </w:p>
    <w:p w:rsidR="0036688B" w:rsidRPr="00306791" w:rsidRDefault="00494887" w:rsidP="00B328FD">
      <w:pPr>
        <w:pStyle w:val="AlphaParagraph"/>
        <w:numPr>
          <w:ilvl w:val="0"/>
          <w:numId w:val="16"/>
        </w:numPr>
        <w:ind w:firstLine="0"/>
      </w:pPr>
      <w:r w:rsidRPr="00494887">
        <w:t>Funding for a suite of priority risk and resilience activities identified in State-wide and regional strategic plans and risk assessments</w:t>
      </w:r>
      <w:r>
        <w:t>.</w:t>
      </w:r>
    </w:p>
    <w:p w:rsidR="00494887" w:rsidRDefault="00494887" w:rsidP="00494887">
      <w:pPr>
        <w:pStyle w:val="Normalnumbered"/>
      </w:pPr>
      <w:r>
        <w:t>Both the grants program and priority activities will focus on three key themes throughout the life of the NPA:</w:t>
      </w:r>
    </w:p>
    <w:p w:rsidR="00660238" w:rsidRPr="00660238" w:rsidRDefault="00660238" w:rsidP="00B328FD">
      <w:pPr>
        <w:pStyle w:val="Normalnumbered"/>
        <w:numPr>
          <w:ilvl w:val="0"/>
          <w:numId w:val="17"/>
        </w:numPr>
        <w:ind w:left="1418"/>
        <w:rPr>
          <w:u w:val="single"/>
        </w:rPr>
      </w:pPr>
      <w:r w:rsidRPr="00660238">
        <w:rPr>
          <w:u w:val="single"/>
        </w:rPr>
        <w:t>Climate change adaptation and risk reduction</w:t>
      </w:r>
    </w:p>
    <w:p w:rsidR="00494887" w:rsidRDefault="00494887" w:rsidP="00660238">
      <w:pPr>
        <w:pStyle w:val="Normalnumbered"/>
        <w:numPr>
          <w:ilvl w:val="0"/>
          <w:numId w:val="0"/>
        </w:numPr>
        <w:ind w:left="1418"/>
      </w:pPr>
      <w:r>
        <w:t>Funding under this theme will support climate change adaptation and mitigation initiatives that reduce disaster risk.</w:t>
      </w:r>
    </w:p>
    <w:p w:rsidR="00494887" w:rsidRPr="00660238" w:rsidRDefault="00494887" w:rsidP="00B328FD">
      <w:pPr>
        <w:pStyle w:val="Normalnumbered"/>
        <w:numPr>
          <w:ilvl w:val="0"/>
          <w:numId w:val="17"/>
        </w:numPr>
        <w:ind w:left="1418"/>
        <w:rPr>
          <w:u w:val="single"/>
        </w:rPr>
      </w:pPr>
      <w:r w:rsidRPr="00660238">
        <w:rPr>
          <w:u w:val="single"/>
        </w:rPr>
        <w:t>Designing for risk and resilience in infrastructure</w:t>
      </w:r>
    </w:p>
    <w:p w:rsidR="00494887" w:rsidRDefault="00494887" w:rsidP="00660238">
      <w:pPr>
        <w:pStyle w:val="Normalnumbered"/>
        <w:numPr>
          <w:ilvl w:val="0"/>
          <w:numId w:val="0"/>
        </w:numPr>
        <w:ind w:left="1418"/>
      </w:pPr>
      <w:r>
        <w:t>Funding under this theme will support initiatives that strengthen the resilience of Victorian infrastructure including government and community infrastructure.</w:t>
      </w:r>
    </w:p>
    <w:p w:rsidR="00494887" w:rsidRPr="00660238" w:rsidRDefault="00494887" w:rsidP="00B328FD">
      <w:pPr>
        <w:pStyle w:val="Normalnumbered"/>
        <w:numPr>
          <w:ilvl w:val="0"/>
          <w:numId w:val="17"/>
        </w:numPr>
        <w:ind w:left="1418"/>
        <w:rPr>
          <w:u w:val="single"/>
        </w:rPr>
      </w:pPr>
      <w:r w:rsidRPr="00660238">
        <w:rPr>
          <w:u w:val="single"/>
        </w:rPr>
        <w:t>Managing local and regional risks and building resilience</w:t>
      </w:r>
    </w:p>
    <w:p w:rsidR="00494887" w:rsidRDefault="00494887" w:rsidP="00C15F0F">
      <w:pPr>
        <w:pStyle w:val="Normalnumbered"/>
        <w:numPr>
          <w:ilvl w:val="0"/>
          <w:numId w:val="0"/>
        </w:numPr>
        <w:spacing w:after="120"/>
        <w:ind w:left="1418"/>
      </w:pPr>
      <w:r>
        <w:t>Funding under this theme will support initiatives that improve understanding of local or regional disaster risks, strengthen accountability for and governance of regional risks, and/or support initiatives that are seeking to directly reduce disaster risk at a local or regional level.</w:t>
      </w:r>
    </w:p>
    <w:p w:rsidR="00660238" w:rsidRPr="00660238" w:rsidRDefault="00660238" w:rsidP="00C15F0F">
      <w:pPr>
        <w:pStyle w:val="Normalnumbered"/>
        <w:spacing w:after="120" w:line="260" w:lineRule="exact"/>
        <w:rPr>
          <w:szCs w:val="23"/>
        </w:rPr>
      </w:pPr>
      <w:r w:rsidRPr="00660238">
        <w:rPr>
          <w:szCs w:val="23"/>
        </w:rPr>
        <w:t>To maintain the relevance and maximise the benefits of the program, Victoria will review these themes throughout the five-year lifecycle of the NPA and may seek approval of a revised implementation plan. In particular, consideration will be given to the ongoing criticality of these themes following the release of findings from the following inquiries:</w:t>
      </w:r>
    </w:p>
    <w:p w:rsidR="00660238" w:rsidRDefault="00660238" w:rsidP="00B328FD">
      <w:pPr>
        <w:pStyle w:val="Normalnumbered"/>
        <w:numPr>
          <w:ilvl w:val="0"/>
          <w:numId w:val="18"/>
        </w:numPr>
        <w:ind w:left="1276"/>
      </w:pPr>
      <w:r>
        <w:t>The Inquiry into the 2019-20 Victorian Fire Season by the Victorian Inspector- General of Emergency Management;</w:t>
      </w:r>
    </w:p>
    <w:p w:rsidR="00660238" w:rsidRDefault="00660238" w:rsidP="00B328FD">
      <w:pPr>
        <w:pStyle w:val="Normalnumbered"/>
        <w:numPr>
          <w:ilvl w:val="0"/>
          <w:numId w:val="18"/>
        </w:numPr>
        <w:ind w:left="1276"/>
      </w:pPr>
      <w:r>
        <w:t>The Royal Commission into National Natural Disaster Arrangements; and</w:t>
      </w:r>
    </w:p>
    <w:p w:rsidR="00660238" w:rsidRDefault="00660238" w:rsidP="00B328FD">
      <w:pPr>
        <w:pStyle w:val="Normalnumbered"/>
        <w:numPr>
          <w:ilvl w:val="0"/>
          <w:numId w:val="18"/>
        </w:numPr>
        <w:spacing w:after="120"/>
        <w:ind w:left="1276" w:hanging="357"/>
      </w:pPr>
      <w:r>
        <w:t>The CSIRO Inquiry on Climate and Disaster Resilience.</w:t>
      </w:r>
    </w:p>
    <w:p w:rsidR="00494887" w:rsidRDefault="00660238" w:rsidP="00246FCF">
      <w:pPr>
        <w:pStyle w:val="Normalnumbered"/>
        <w:spacing w:after="240" w:line="260" w:lineRule="exact"/>
        <w:rPr>
          <w:szCs w:val="23"/>
        </w:rPr>
      </w:pPr>
      <w:r w:rsidRPr="00246FCF">
        <w:rPr>
          <w:szCs w:val="23"/>
        </w:rPr>
        <w:t>A small allocation of National Partnership funds will be made towards Victoria's costs in administering this funding</w:t>
      </w:r>
      <w:r w:rsidR="00494887" w:rsidRPr="00246FCF">
        <w:rPr>
          <w:szCs w:val="23"/>
        </w:rPr>
        <w:t>.</w:t>
      </w:r>
    </w:p>
    <w:p w:rsidR="00246FCF" w:rsidRPr="00246FCF" w:rsidRDefault="00246FCF" w:rsidP="00246FCF">
      <w:pPr>
        <w:pStyle w:val="Normalnumbered"/>
        <w:numPr>
          <w:ilvl w:val="0"/>
          <w:numId w:val="0"/>
        </w:numPr>
        <w:spacing w:after="240" w:line="260" w:lineRule="exact"/>
        <w:rPr>
          <w:b/>
          <w:szCs w:val="23"/>
        </w:rPr>
      </w:pPr>
      <w:r w:rsidRPr="00246FCF">
        <w:rPr>
          <w:b/>
          <w:szCs w:val="23"/>
        </w:rPr>
        <w:t>Risk and Resilience Grants Program</w:t>
      </w:r>
    </w:p>
    <w:p w:rsidR="00246FCF" w:rsidRDefault="00246FCF" w:rsidP="00C15F0F">
      <w:pPr>
        <w:pStyle w:val="Normalnumbered"/>
        <w:spacing w:after="120" w:line="260" w:lineRule="exact"/>
        <w:rPr>
          <w:szCs w:val="23"/>
        </w:rPr>
      </w:pPr>
      <w:r w:rsidRPr="00246FCF">
        <w:rPr>
          <w:szCs w:val="23"/>
        </w:rPr>
        <w:t>Under the RRGP, assessment panels comprised of subject-matter and emergency management experts will be used to determine the priority of project applications</w:t>
      </w:r>
      <w:r>
        <w:rPr>
          <w:szCs w:val="23"/>
        </w:rPr>
        <w:t>.</w:t>
      </w:r>
    </w:p>
    <w:p w:rsidR="00246FCF" w:rsidRDefault="00246FCF" w:rsidP="00C15F0F">
      <w:pPr>
        <w:pStyle w:val="Normalnumbered"/>
        <w:spacing w:after="120" w:line="260" w:lineRule="exact"/>
        <w:rPr>
          <w:szCs w:val="23"/>
        </w:rPr>
      </w:pPr>
      <w:r w:rsidRPr="00246FCF">
        <w:rPr>
          <w:szCs w:val="23"/>
        </w:rPr>
        <w:t>To be eligible, applicants will need to be able to demonstrate that their project contributes to at least one outcome under the National Disaster Risk Reduction Framework</w:t>
      </w:r>
      <w:r>
        <w:rPr>
          <w:szCs w:val="23"/>
        </w:rPr>
        <w:t>.</w:t>
      </w:r>
    </w:p>
    <w:p w:rsidR="00246FCF" w:rsidRDefault="00246FCF" w:rsidP="00246FCF">
      <w:pPr>
        <w:pStyle w:val="Normalnumbered"/>
        <w:spacing w:after="240" w:line="260" w:lineRule="exact"/>
        <w:rPr>
          <w:szCs w:val="23"/>
        </w:rPr>
      </w:pPr>
      <w:r w:rsidRPr="00246FCF">
        <w:rPr>
          <w:szCs w:val="23"/>
        </w:rPr>
        <w:t>Projects will be prioritised according to the following criteria to ensure that the individual projects, and the program as a whole, fulfils the objectives, outcomes and outputs of the National Partnership:</w:t>
      </w:r>
    </w:p>
    <w:p w:rsidR="00246FCF" w:rsidRDefault="00246FCF" w:rsidP="00B328FD">
      <w:pPr>
        <w:pStyle w:val="Normalnumbered"/>
        <w:numPr>
          <w:ilvl w:val="0"/>
          <w:numId w:val="19"/>
        </w:numPr>
        <w:ind w:left="1418"/>
      </w:pPr>
      <w:r>
        <w:t xml:space="preserve">Risk priority </w:t>
      </w:r>
      <w:r w:rsidR="00C15F0F">
        <w:t>(or need priority in the case of capability/capacity projects)</w:t>
      </w:r>
    </w:p>
    <w:p w:rsidR="00C15F0F" w:rsidRDefault="00C15F0F" w:rsidP="00B328FD">
      <w:pPr>
        <w:pStyle w:val="Normalnumbered"/>
        <w:numPr>
          <w:ilvl w:val="0"/>
          <w:numId w:val="19"/>
        </w:numPr>
        <w:ind w:left="1418"/>
      </w:pPr>
      <w:r>
        <w:t>Value of outcomes or outputs</w:t>
      </w:r>
    </w:p>
    <w:p w:rsidR="00C15F0F" w:rsidRDefault="00C15F0F" w:rsidP="00B328FD">
      <w:pPr>
        <w:pStyle w:val="Normalnumbered"/>
        <w:numPr>
          <w:ilvl w:val="0"/>
          <w:numId w:val="19"/>
        </w:numPr>
        <w:ind w:left="1418"/>
      </w:pPr>
      <w:r>
        <w:t>Direct benefits to a Victorian community</w:t>
      </w:r>
    </w:p>
    <w:p w:rsidR="00C15F0F" w:rsidRDefault="00C15F0F" w:rsidP="00B328FD">
      <w:pPr>
        <w:pStyle w:val="Normalnumbered"/>
        <w:numPr>
          <w:ilvl w:val="0"/>
          <w:numId w:val="19"/>
        </w:numPr>
        <w:ind w:left="1418"/>
      </w:pPr>
      <w:r>
        <w:t>Ease of implementation and delivery</w:t>
      </w:r>
    </w:p>
    <w:p w:rsidR="00C15F0F" w:rsidRPr="00246FCF" w:rsidRDefault="00C15F0F" w:rsidP="00B328FD">
      <w:pPr>
        <w:pStyle w:val="Normalnumbered"/>
        <w:numPr>
          <w:ilvl w:val="0"/>
          <w:numId w:val="19"/>
        </w:numPr>
        <w:spacing w:after="120"/>
        <w:ind w:left="1417" w:hanging="357"/>
      </w:pPr>
      <w:r>
        <w:t>Additional benefits gained through collaboration.</w:t>
      </w:r>
    </w:p>
    <w:p w:rsidR="00246FCF" w:rsidRDefault="00246FCF" w:rsidP="00246FCF">
      <w:pPr>
        <w:pStyle w:val="Normalnumbered"/>
        <w:spacing w:after="240" w:line="260" w:lineRule="exact"/>
        <w:rPr>
          <w:szCs w:val="23"/>
        </w:rPr>
      </w:pPr>
      <w:r w:rsidRPr="00246FCF">
        <w:rPr>
          <w:szCs w:val="23"/>
        </w:rPr>
        <w:t>For research projects, applicants must also provide evidence that one or more emergency management end-users have expressed interest in the results of the project.</w:t>
      </w:r>
    </w:p>
    <w:p w:rsidR="00246FCF" w:rsidRPr="00246FCF" w:rsidRDefault="00246FCF" w:rsidP="00246FCF">
      <w:pPr>
        <w:pStyle w:val="Normalnumbered"/>
        <w:spacing w:after="240" w:line="260" w:lineRule="exact"/>
        <w:rPr>
          <w:szCs w:val="23"/>
        </w:rPr>
      </w:pPr>
      <w:r w:rsidRPr="00246FCF">
        <w:rPr>
          <w:szCs w:val="23"/>
        </w:rPr>
        <w:t xml:space="preserve">All grants will be subject to monitoring and evaluation. The program will be conducted in accordance with probity and other requirements established by the Victorian </w:t>
      </w:r>
      <w:r w:rsidRPr="00246FCF">
        <w:rPr>
          <w:szCs w:val="23"/>
        </w:rPr>
        <w:lastRenderedPageBreak/>
        <w:t>Government and ensure that projects are allocated funding according to a merit-based process.</w:t>
      </w:r>
    </w:p>
    <w:p w:rsidR="00246FCF" w:rsidRPr="00246FCF" w:rsidRDefault="00246FCF" w:rsidP="00246FCF">
      <w:pPr>
        <w:pStyle w:val="Normalnumbered"/>
        <w:numPr>
          <w:ilvl w:val="0"/>
          <w:numId w:val="0"/>
        </w:numPr>
        <w:spacing w:after="240" w:line="260" w:lineRule="exact"/>
        <w:rPr>
          <w:b/>
          <w:szCs w:val="23"/>
        </w:rPr>
      </w:pPr>
      <w:r>
        <w:rPr>
          <w:b/>
          <w:szCs w:val="23"/>
        </w:rPr>
        <w:t>State and Regional Priority Projects</w:t>
      </w:r>
    </w:p>
    <w:p w:rsidR="00246FCF" w:rsidRDefault="00246FCF" w:rsidP="00C15F0F">
      <w:pPr>
        <w:pStyle w:val="Normalnumbered"/>
        <w:spacing w:after="240"/>
      </w:pPr>
      <w:r w:rsidRPr="00246FCF">
        <w:t>This funding stream will provide critical funds for State and regional priority projects</w:t>
      </w:r>
      <w:r>
        <w:t>.</w:t>
      </w:r>
    </w:p>
    <w:p w:rsidR="00246FCF" w:rsidRDefault="00246FCF" w:rsidP="00213D40">
      <w:pPr>
        <w:pStyle w:val="Normalnumbered"/>
        <w:spacing w:after="240" w:line="260" w:lineRule="exact"/>
      </w:pPr>
      <w:r w:rsidRPr="00246FCF">
        <w:t>Projects will be identified by a panel of subject-matter experts, selected for inclusion by the Victorian Government's peak emergency management committee - the State Crisis and Resilience Council, and approved by the Minister for Police and Emergency Services</w:t>
      </w:r>
      <w:r>
        <w:t>.</w:t>
      </w:r>
    </w:p>
    <w:p w:rsidR="00246FCF" w:rsidRPr="00246FCF" w:rsidRDefault="00246FCF" w:rsidP="00213D40">
      <w:pPr>
        <w:pStyle w:val="Normalnumbered"/>
        <w:spacing w:after="240" w:line="260" w:lineRule="exact"/>
      </w:pPr>
      <w:r w:rsidRPr="00246FCF">
        <w:t>Recommendations on priority regional initiatives will be sought from Regional Emergency Management Planning Committees where possible</w:t>
      </w:r>
      <w:r>
        <w:t>.</w:t>
      </w:r>
    </w:p>
    <w:p w:rsidR="008A1747" w:rsidRPr="00A36A37" w:rsidRDefault="008A1747" w:rsidP="00A17D70">
      <w:pPr>
        <w:pStyle w:val="Heading2"/>
      </w:pPr>
      <w:r>
        <w:t>Estimated costs</w:t>
      </w:r>
    </w:p>
    <w:p w:rsidR="008A1747" w:rsidRPr="00432B5D" w:rsidRDefault="008A1747" w:rsidP="008A1747">
      <w:pPr>
        <w:pStyle w:val="Normalnumbered"/>
        <w:spacing w:after="240" w:line="260" w:lineRule="exact"/>
      </w:pPr>
      <w:r w:rsidRPr="00432B5D">
        <w:t>The maximum financial contribution to be provided by the Commonwealth for the project to the jurisdiction is</w:t>
      </w:r>
      <w:r w:rsidR="00213D40">
        <w:t xml:space="preserve"> $16.704 million </w:t>
      </w:r>
      <w:r w:rsidRPr="00432B5D">
        <w:t>payable in accordance with milestones</w:t>
      </w:r>
      <w:r>
        <w:t xml:space="preserve"> </w:t>
      </w:r>
      <w:r w:rsidRPr="00432B5D">
        <w:t xml:space="preserve">set out in </w:t>
      </w:r>
      <w:r>
        <w:t>the National Partnership</w:t>
      </w:r>
      <w:r w:rsidRPr="00432B5D">
        <w:t>.  All payments are exclusive of GST.</w:t>
      </w:r>
    </w:p>
    <w:p w:rsidR="008A1747" w:rsidRPr="00432B5D" w:rsidRDefault="008A1747" w:rsidP="008A1747">
      <w:pPr>
        <w:pStyle w:val="Normalnumbered"/>
        <w:spacing w:after="240" w:line="260" w:lineRule="exact"/>
      </w:pPr>
      <w:r w:rsidRPr="00432B5D">
        <w:t xml:space="preserve">The estimated overall budget (exclusive of GST) is set out in Table </w:t>
      </w:r>
      <w:r>
        <w:t>2</w:t>
      </w:r>
      <w:r w:rsidRPr="00432B5D">
        <w:t>.  The budget is indicative only and</w:t>
      </w:r>
      <w:r w:rsidR="00213D40">
        <w:t xml:space="preserve"> Victoria</w:t>
      </w:r>
      <w:r w:rsidRPr="00432B5D">
        <w:t xml:space="preserve"> retains the flexibility to move funds between components and/or years, as long as outcomes are not affected.</w:t>
      </w:r>
      <w:r>
        <w:t xml:space="preserve">  The Commonwealth contribution can only be moved between years with the agreement of the Commonwealth.</w:t>
      </w:r>
    </w:p>
    <w:p w:rsidR="008A1747" w:rsidRPr="00E8160C" w:rsidRDefault="008A1747" w:rsidP="00A17D70">
      <w:pPr>
        <w:pStyle w:val="Heading3"/>
      </w:pPr>
      <w:r w:rsidRPr="00432B5D">
        <w:t xml:space="preserve">Table </w:t>
      </w:r>
      <w:r>
        <w:t>2</w:t>
      </w:r>
      <w:r w:rsidRPr="00432B5D">
        <w:t xml:space="preserve">: Estimated financial contributions </w:t>
      </w:r>
    </w:p>
    <w:tbl>
      <w:tblPr>
        <w:tblW w:w="0" w:type="auto"/>
        <w:tblBorders>
          <w:top w:val="single" w:sz="4" w:space="0" w:color="000080"/>
          <w:bottom w:val="single" w:sz="4" w:space="0" w:color="000080"/>
        </w:tblBorders>
        <w:tblLook w:val="01E0" w:firstRow="1" w:lastRow="1" w:firstColumn="1" w:lastColumn="1" w:noHBand="0" w:noVBand="0"/>
      </w:tblPr>
      <w:tblGrid>
        <w:gridCol w:w="3274"/>
        <w:gridCol w:w="979"/>
        <w:gridCol w:w="980"/>
        <w:gridCol w:w="847"/>
        <w:gridCol w:w="980"/>
        <w:gridCol w:w="980"/>
        <w:gridCol w:w="986"/>
      </w:tblGrid>
      <w:tr w:rsidR="00571A57" w:rsidRPr="00432B5D" w:rsidTr="002E723E">
        <w:tc>
          <w:tcPr>
            <w:tcW w:w="3369" w:type="dxa"/>
            <w:tcBorders>
              <w:top w:val="single" w:sz="4" w:space="0" w:color="000080"/>
            </w:tcBorders>
          </w:tcPr>
          <w:p w:rsidR="00571A57" w:rsidRPr="00432B5D" w:rsidRDefault="00571A57" w:rsidP="008A1747">
            <w:pPr>
              <w:keepNext/>
              <w:keepLines/>
              <w:spacing w:before="40" w:after="40"/>
              <w:rPr>
                <w:b/>
                <w:bCs/>
              </w:rPr>
            </w:pPr>
            <w:r w:rsidRPr="00432B5D">
              <w:rPr>
                <w:b/>
                <w:bCs/>
              </w:rPr>
              <w:t>($ million)</w:t>
            </w:r>
          </w:p>
        </w:tc>
        <w:tc>
          <w:tcPr>
            <w:tcW w:w="992" w:type="dxa"/>
            <w:tcBorders>
              <w:top w:val="single" w:sz="4" w:space="0" w:color="000080"/>
              <w:bottom w:val="single" w:sz="4" w:space="0" w:color="000080"/>
            </w:tcBorders>
          </w:tcPr>
          <w:p w:rsidR="00571A57" w:rsidRPr="00432B5D" w:rsidRDefault="00571A57" w:rsidP="00571A57">
            <w:pPr>
              <w:keepNext/>
              <w:keepLines/>
              <w:spacing w:before="40" w:after="40"/>
              <w:ind w:right="33"/>
              <w:jc w:val="right"/>
            </w:pPr>
            <w:r w:rsidRPr="00432B5D">
              <w:t>Year 1</w:t>
            </w:r>
            <w:r w:rsidR="00213D40">
              <w:t>*</w:t>
            </w:r>
          </w:p>
        </w:tc>
        <w:tc>
          <w:tcPr>
            <w:tcW w:w="992" w:type="dxa"/>
            <w:tcBorders>
              <w:top w:val="single" w:sz="4" w:space="0" w:color="000080"/>
              <w:bottom w:val="single" w:sz="4" w:space="0" w:color="000080"/>
            </w:tcBorders>
          </w:tcPr>
          <w:p w:rsidR="00571A57" w:rsidRPr="00432B5D" w:rsidRDefault="00571A57" w:rsidP="00571A57">
            <w:pPr>
              <w:keepNext/>
              <w:keepLines/>
              <w:spacing w:before="40" w:after="40"/>
              <w:ind w:right="33"/>
              <w:jc w:val="right"/>
            </w:pPr>
            <w:r w:rsidRPr="00432B5D">
              <w:t>Year 2</w:t>
            </w:r>
          </w:p>
        </w:tc>
        <w:tc>
          <w:tcPr>
            <w:tcW w:w="851" w:type="dxa"/>
            <w:tcBorders>
              <w:top w:val="single" w:sz="4" w:space="0" w:color="000080"/>
              <w:bottom w:val="single" w:sz="4" w:space="0" w:color="000080"/>
            </w:tcBorders>
          </w:tcPr>
          <w:p w:rsidR="00571A57" w:rsidRPr="00432B5D" w:rsidRDefault="00571A57" w:rsidP="00571A57">
            <w:pPr>
              <w:keepNext/>
              <w:keepLines/>
              <w:spacing w:before="40" w:after="40"/>
              <w:ind w:right="33"/>
              <w:jc w:val="right"/>
            </w:pPr>
            <w:r w:rsidRPr="00432B5D">
              <w:t>Year 3</w:t>
            </w:r>
          </w:p>
        </w:tc>
        <w:tc>
          <w:tcPr>
            <w:tcW w:w="992" w:type="dxa"/>
            <w:tcBorders>
              <w:top w:val="single" w:sz="4" w:space="0" w:color="000080"/>
              <w:bottom w:val="single" w:sz="4" w:space="0" w:color="000080"/>
            </w:tcBorders>
          </w:tcPr>
          <w:p w:rsidR="00571A57" w:rsidRPr="00432B5D" w:rsidRDefault="00571A57" w:rsidP="00571A57">
            <w:pPr>
              <w:keepNext/>
              <w:keepLines/>
              <w:spacing w:before="40" w:after="40"/>
              <w:ind w:right="33"/>
              <w:jc w:val="right"/>
            </w:pPr>
            <w:r>
              <w:t>Year 4</w:t>
            </w:r>
          </w:p>
        </w:tc>
        <w:tc>
          <w:tcPr>
            <w:tcW w:w="992" w:type="dxa"/>
            <w:tcBorders>
              <w:top w:val="single" w:sz="4" w:space="0" w:color="000080"/>
              <w:bottom w:val="single" w:sz="4" w:space="0" w:color="000080"/>
            </w:tcBorders>
          </w:tcPr>
          <w:p w:rsidR="00571A57" w:rsidRPr="00432B5D" w:rsidRDefault="00571A57" w:rsidP="00571A57">
            <w:pPr>
              <w:keepNext/>
              <w:keepLines/>
              <w:spacing w:before="40" w:after="40"/>
              <w:ind w:right="33"/>
              <w:jc w:val="right"/>
            </w:pPr>
            <w:r>
              <w:t>Year 5</w:t>
            </w:r>
          </w:p>
        </w:tc>
        <w:tc>
          <w:tcPr>
            <w:tcW w:w="992" w:type="dxa"/>
            <w:tcBorders>
              <w:top w:val="single" w:sz="4" w:space="0" w:color="000080"/>
              <w:bottom w:val="single" w:sz="4" w:space="0" w:color="000080"/>
            </w:tcBorders>
          </w:tcPr>
          <w:p w:rsidR="00571A57" w:rsidRPr="00432B5D" w:rsidRDefault="00571A57" w:rsidP="00571A57">
            <w:pPr>
              <w:keepNext/>
              <w:keepLines/>
              <w:spacing w:before="40" w:after="40"/>
              <w:ind w:right="33"/>
              <w:jc w:val="right"/>
            </w:pPr>
            <w:r w:rsidRPr="00432B5D">
              <w:t>Total</w:t>
            </w:r>
          </w:p>
        </w:tc>
      </w:tr>
      <w:tr w:rsidR="00571A57" w:rsidRPr="00432B5D" w:rsidTr="002E723E">
        <w:tc>
          <w:tcPr>
            <w:tcW w:w="3369" w:type="dxa"/>
          </w:tcPr>
          <w:p w:rsidR="00571A57" w:rsidRPr="00432B5D" w:rsidRDefault="00213D40" w:rsidP="00A17D70">
            <w:pPr>
              <w:rPr>
                <w:sz w:val="24"/>
              </w:rPr>
            </w:pPr>
            <w:r>
              <w:t>RRGP</w:t>
            </w:r>
          </w:p>
        </w:tc>
        <w:tc>
          <w:tcPr>
            <w:tcW w:w="992" w:type="dxa"/>
            <w:tcBorders>
              <w:top w:val="single" w:sz="4" w:space="0" w:color="000080"/>
            </w:tcBorders>
          </w:tcPr>
          <w:p w:rsidR="00571A57" w:rsidRPr="00432B5D" w:rsidRDefault="00213D40" w:rsidP="00571A57">
            <w:pPr>
              <w:ind w:right="33"/>
              <w:jc w:val="right"/>
            </w:pPr>
            <w:r>
              <w:t>2.5</w:t>
            </w:r>
          </w:p>
        </w:tc>
        <w:tc>
          <w:tcPr>
            <w:tcW w:w="992" w:type="dxa"/>
            <w:tcBorders>
              <w:top w:val="single" w:sz="4" w:space="0" w:color="000080"/>
            </w:tcBorders>
          </w:tcPr>
          <w:p w:rsidR="00571A57" w:rsidRPr="00432B5D" w:rsidRDefault="00213D40" w:rsidP="00571A57">
            <w:pPr>
              <w:ind w:right="33"/>
              <w:jc w:val="right"/>
            </w:pPr>
            <w:r>
              <w:t>2.5</w:t>
            </w:r>
          </w:p>
        </w:tc>
        <w:tc>
          <w:tcPr>
            <w:tcW w:w="851" w:type="dxa"/>
            <w:tcBorders>
              <w:top w:val="single" w:sz="4" w:space="0" w:color="000080"/>
            </w:tcBorders>
          </w:tcPr>
          <w:p w:rsidR="00571A57" w:rsidRPr="00432B5D" w:rsidRDefault="00213D40" w:rsidP="00571A57">
            <w:pPr>
              <w:ind w:right="33"/>
              <w:jc w:val="right"/>
            </w:pPr>
            <w:r>
              <w:t>2.5</w:t>
            </w:r>
          </w:p>
        </w:tc>
        <w:tc>
          <w:tcPr>
            <w:tcW w:w="992" w:type="dxa"/>
            <w:tcBorders>
              <w:top w:val="single" w:sz="4" w:space="0" w:color="000080"/>
            </w:tcBorders>
          </w:tcPr>
          <w:p w:rsidR="00571A57" w:rsidRPr="00432B5D" w:rsidRDefault="00213D40" w:rsidP="00571A57">
            <w:pPr>
              <w:ind w:right="33"/>
              <w:jc w:val="right"/>
            </w:pPr>
            <w:r>
              <w:t>2.5</w:t>
            </w:r>
          </w:p>
        </w:tc>
        <w:tc>
          <w:tcPr>
            <w:tcW w:w="992" w:type="dxa"/>
            <w:tcBorders>
              <w:top w:val="single" w:sz="4" w:space="0" w:color="000080"/>
            </w:tcBorders>
          </w:tcPr>
          <w:p w:rsidR="00571A57" w:rsidRPr="00432B5D" w:rsidRDefault="00213D40" w:rsidP="00571A57">
            <w:pPr>
              <w:ind w:right="33"/>
              <w:jc w:val="right"/>
            </w:pPr>
            <w:r>
              <w:t>2.5</w:t>
            </w:r>
          </w:p>
        </w:tc>
        <w:tc>
          <w:tcPr>
            <w:tcW w:w="992" w:type="dxa"/>
            <w:tcBorders>
              <w:top w:val="single" w:sz="4" w:space="0" w:color="000080"/>
            </w:tcBorders>
          </w:tcPr>
          <w:p w:rsidR="00571A57" w:rsidRPr="00432B5D" w:rsidRDefault="00213D40" w:rsidP="00571A57">
            <w:pPr>
              <w:ind w:right="33"/>
              <w:jc w:val="right"/>
            </w:pPr>
            <w:r>
              <w:t>12.5</w:t>
            </w:r>
          </w:p>
        </w:tc>
      </w:tr>
      <w:tr w:rsidR="00571A57" w:rsidRPr="00432B5D" w:rsidTr="002E723E">
        <w:tc>
          <w:tcPr>
            <w:tcW w:w="3369" w:type="dxa"/>
          </w:tcPr>
          <w:p w:rsidR="00571A57" w:rsidRPr="00432B5D" w:rsidRDefault="00213D40" w:rsidP="00A17D70">
            <w:pPr>
              <w:rPr>
                <w:sz w:val="24"/>
              </w:rPr>
            </w:pPr>
            <w:r>
              <w:t>State and regional priority projects</w:t>
            </w:r>
          </w:p>
        </w:tc>
        <w:tc>
          <w:tcPr>
            <w:tcW w:w="992" w:type="dxa"/>
          </w:tcPr>
          <w:p w:rsidR="00571A57" w:rsidRPr="00432B5D" w:rsidRDefault="00213D40" w:rsidP="00571A57">
            <w:pPr>
              <w:ind w:right="33"/>
              <w:jc w:val="right"/>
            </w:pPr>
            <w:r>
              <w:t>3.682</w:t>
            </w:r>
          </w:p>
        </w:tc>
        <w:tc>
          <w:tcPr>
            <w:tcW w:w="992" w:type="dxa"/>
          </w:tcPr>
          <w:p w:rsidR="00571A57" w:rsidRPr="00432B5D" w:rsidRDefault="00213D40" w:rsidP="00571A57">
            <w:pPr>
              <w:ind w:right="33"/>
              <w:jc w:val="right"/>
            </w:pPr>
            <w:r>
              <w:t>3.682</w:t>
            </w:r>
          </w:p>
        </w:tc>
        <w:tc>
          <w:tcPr>
            <w:tcW w:w="851" w:type="dxa"/>
          </w:tcPr>
          <w:p w:rsidR="00571A57" w:rsidRPr="00432B5D" w:rsidRDefault="00213D40" w:rsidP="00571A57">
            <w:pPr>
              <w:ind w:right="33"/>
              <w:jc w:val="right"/>
            </w:pPr>
            <w:r>
              <w:t>3.682</w:t>
            </w:r>
          </w:p>
        </w:tc>
        <w:tc>
          <w:tcPr>
            <w:tcW w:w="992" w:type="dxa"/>
          </w:tcPr>
          <w:p w:rsidR="00571A57" w:rsidRPr="00432B5D" w:rsidRDefault="00213D40" w:rsidP="00571A57">
            <w:pPr>
              <w:ind w:right="33"/>
              <w:jc w:val="right"/>
            </w:pPr>
            <w:r>
              <w:t>3.682</w:t>
            </w:r>
          </w:p>
        </w:tc>
        <w:tc>
          <w:tcPr>
            <w:tcW w:w="992" w:type="dxa"/>
          </w:tcPr>
          <w:p w:rsidR="00571A57" w:rsidRPr="00432B5D" w:rsidRDefault="00213D40" w:rsidP="00571A57">
            <w:pPr>
              <w:ind w:right="33"/>
              <w:jc w:val="right"/>
            </w:pPr>
            <w:r>
              <w:t>3.682</w:t>
            </w:r>
          </w:p>
        </w:tc>
        <w:tc>
          <w:tcPr>
            <w:tcW w:w="992" w:type="dxa"/>
          </w:tcPr>
          <w:p w:rsidR="00571A57" w:rsidRPr="00432B5D" w:rsidRDefault="00213D40" w:rsidP="00571A57">
            <w:pPr>
              <w:ind w:right="33"/>
              <w:jc w:val="right"/>
            </w:pPr>
            <w:r>
              <w:t>18.404</w:t>
            </w:r>
          </w:p>
        </w:tc>
      </w:tr>
      <w:tr w:rsidR="00571A57" w:rsidRPr="00432B5D" w:rsidTr="002E723E">
        <w:tc>
          <w:tcPr>
            <w:tcW w:w="3369" w:type="dxa"/>
          </w:tcPr>
          <w:p w:rsidR="00571A57" w:rsidRPr="00432B5D" w:rsidRDefault="00213D40" w:rsidP="00A17D70">
            <w:pPr>
              <w:rPr>
                <w:sz w:val="24"/>
              </w:rPr>
            </w:pPr>
            <w:r>
              <w:t>Administrative costs</w:t>
            </w:r>
          </w:p>
        </w:tc>
        <w:tc>
          <w:tcPr>
            <w:tcW w:w="992" w:type="dxa"/>
            <w:tcBorders>
              <w:top w:val="nil"/>
              <w:bottom w:val="single" w:sz="4" w:space="0" w:color="000080"/>
            </w:tcBorders>
          </w:tcPr>
          <w:p w:rsidR="00571A57" w:rsidRPr="00432B5D" w:rsidRDefault="00213D40" w:rsidP="00571A57">
            <w:pPr>
              <w:ind w:right="33"/>
              <w:jc w:val="right"/>
            </w:pPr>
            <w:r>
              <w:t>0.5</w:t>
            </w:r>
          </w:p>
        </w:tc>
        <w:tc>
          <w:tcPr>
            <w:tcW w:w="992" w:type="dxa"/>
            <w:tcBorders>
              <w:top w:val="nil"/>
              <w:bottom w:val="single" w:sz="4" w:space="0" w:color="000080"/>
            </w:tcBorders>
          </w:tcPr>
          <w:p w:rsidR="00571A57" w:rsidRPr="00432B5D" w:rsidRDefault="00213D40" w:rsidP="00571A57">
            <w:pPr>
              <w:ind w:right="33"/>
              <w:jc w:val="right"/>
            </w:pPr>
            <w:r>
              <w:t>0.5</w:t>
            </w:r>
          </w:p>
        </w:tc>
        <w:tc>
          <w:tcPr>
            <w:tcW w:w="851" w:type="dxa"/>
            <w:tcBorders>
              <w:top w:val="nil"/>
              <w:bottom w:val="single" w:sz="4" w:space="0" w:color="000080"/>
            </w:tcBorders>
          </w:tcPr>
          <w:p w:rsidR="00571A57" w:rsidRPr="00432B5D" w:rsidRDefault="00213D40" w:rsidP="00571A57">
            <w:pPr>
              <w:ind w:right="33"/>
              <w:jc w:val="right"/>
            </w:pPr>
            <w:r>
              <w:t>0.5</w:t>
            </w:r>
          </w:p>
        </w:tc>
        <w:tc>
          <w:tcPr>
            <w:tcW w:w="992" w:type="dxa"/>
            <w:tcBorders>
              <w:top w:val="nil"/>
              <w:bottom w:val="single" w:sz="4" w:space="0" w:color="000080"/>
            </w:tcBorders>
          </w:tcPr>
          <w:p w:rsidR="00571A57" w:rsidRDefault="00213D40" w:rsidP="00571A57">
            <w:pPr>
              <w:ind w:right="33"/>
              <w:jc w:val="right"/>
            </w:pPr>
            <w:r>
              <w:t>0.5</w:t>
            </w:r>
          </w:p>
        </w:tc>
        <w:tc>
          <w:tcPr>
            <w:tcW w:w="992" w:type="dxa"/>
            <w:tcBorders>
              <w:top w:val="nil"/>
              <w:bottom w:val="single" w:sz="4" w:space="0" w:color="000080"/>
            </w:tcBorders>
          </w:tcPr>
          <w:p w:rsidR="00571A57" w:rsidRDefault="00213D40" w:rsidP="00571A57">
            <w:pPr>
              <w:ind w:right="33"/>
              <w:jc w:val="right"/>
            </w:pPr>
            <w:r>
              <w:t>0.5</w:t>
            </w:r>
          </w:p>
        </w:tc>
        <w:tc>
          <w:tcPr>
            <w:tcW w:w="992" w:type="dxa"/>
            <w:tcBorders>
              <w:top w:val="nil"/>
              <w:bottom w:val="single" w:sz="4" w:space="0" w:color="000080"/>
            </w:tcBorders>
          </w:tcPr>
          <w:p w:rsidR="00571A57" w:rsidRPr="00432B5D" w:rsidRDefault="00213D40" w:rsidP="00571A57">
            <w:pPr>
              <w:ind w:right="33"/>
              <w:jc w:val="right"/>
            </w:pPr>
            <w:r>
              <w:t>2.5</w:t>
            </w:r>
          </w:p>
        </w:tc>
      </w:tr>
      <w:tr w:rsidR="00571A57" w:rsidRPr="00432B5D" w:rsidTr="002E723E">
        <w:tc>
          <w:tcPr>
            <w:tcW w:w="3369" w:type="dxa"/>
          </w:tcPr>
          <w:p w:rsidR="00571A57" w:rsidRPr="00432B5D" w:rsidRDefault="00571A57" w:rsidP="00A17D70">
            <w:r w:rsidRPr="00432B5D">
              <w:t>Total estimated budget</w:t>
            </w:r>
          </w:p>
        </w:tc>
        <w:tc>
          <w:tcPr>
            <w:tcW w:w="992" w:type="dxa"/>
            <w:tcBorders>
              <w:top w:val="single" w:sz="4" w:space="0" w:color="000080"/>
            </w:tcBorders>
          </w:tcPr>
          <w:p w:rsidR="00571A57" w:rsidRPr="00432B5D" w:rsidRDefault="00213D40" w:rsidP="00571A57">
            <w:pPr>
              <w:ind w:right="33"/>
              <w:jc w:val="right"/>
            </w:pPr>
            <w:r>
              <w:t>6.682</w:t>
            </w:r>
          </w:p>
        </w:tc>
        <w:tc>
          <w:tcPr>
            <w:tcW w:w="992" w:type="dxa"/>
            <w:tcBorders>
              <w:top w:val="single" w:sz="4" w:space="0" w:color="000080"/>
            </w:tcBorders>
          </w:tcPr>
          <w:p w:rsidR="00571A57" w:rsidRPr="00432B5D" w:rsidRDefault="00213D40" w:rsidP="00571A57">
            <w:pPr>
              <w:ind w:right="33"/>
              <w:jc w:val="right"/>
            </w:pPr>
            <w:r>
              <w:t>6.682</w:t>
            </w:r>
          </w:p>
        </w:tc>
        <w:tc>
          <w:tcPr>
            <w:tcW w:w="851" w:type="dxa"/>
            <w:tcBorders>
              <w:top w:val="single" w:sz="4" w:space="0" w:color="000080"/>
            </w:tcBorders>
          </w:tcPr>
          <w:p w:rsidR="00571A57" w:rsidRPr="00432B5D" w:rsidRDefault="00213D40" w:rsidP="00571A57">
            <w:pPr>
              <w:ind w:right="33"/>
              <w:jc w:val="right"/>
            </w:pPr>
            <w:r>
              <w:t>6.682</w:t>
            </w:r>
          </w:p>
        </w:tc>
        <w:tc>
          <w:tcPr>
            <w:tcW w:w="992" w:type="dxa"/>
            <w:tcBorders>
              <w:top w:val="single" w:sz="4" w:space="0" w:color="000080"/>
            </w:tcBorders>
          </w:tcPr>
          <w:p w:rsidR="00571A57" w:rsidRPr="00432B5D" w:rsidRDefault="00213D40" w:rsidP="00571A57">
            <w:pPr>
              <w:ind w:right="33"/>
              <w:jc w:val="right"/>
            </w:pPr>
            <w:r>
              <w:t>6.682</w:t>
            </w:r>
          </w:p>
        </w:tc>
        <w:tc>
          <w:tcPr>
            <w:tcW w:w="992" w:type="dxa"/>
            <w:tcBorders>
              <w:top w:val="single" w:sz="4" w:space="0" w:color="000080"/>
            </w:tcBorders>
          </w:tcPr>
          <w:p w:rsidR="00571A57" w:rsidRPr="00432B5D" w:rsidRDefault="00213D40" w:rsidP="00571A57">
            <w:pPr>
              <w:ind w:right="33"/>
              <w:jc w:val="right"/>
            </w:pPr>
            <w:r>
              <w:t>6.682</w:t>
            </w:r>
          </w:p>
        </w:tc>
        <w:tc>
          <w:tcPr>
            <w:tcW w:w="992" w:type="dxa"/>
            <w:tcBorders>
              <w:top w:val="single" w:sz="4" w:space="0" w:color="000080"/>
            </w:tcBorders>
          </w:tcPr>
          <w:p w:rsidR="00571A57" w:rsidRPr="00432B5D" w:rsidRDefault="00213D40" w:rsidP="00571A57">
            <w:pPr>
              <w:ind w:right="33"/>
              <w:jc w:val="right"/>
            </w:pPr>
            <w:r>
              <w:t>33.408</w:t>
            </w:r>
          </w:p>
        </w:tc>
      </w:tr>
      <w:tr w:rsidR="00571A57" w:rsidRPr="00432B5D" w:rsidTr="002E723E">
        <w:tc>
          <w:tcPr>
            <w:tcW w:w="3369" w:type="dxa"/>
          </w:tcPr>
          <w:p w:rsidR="00571A57" w:rsidRPr="00432B5D" w:rsidRDefault="00571A57" w:rsidP="00A17D70">
            <w:r w:rsidRPr="00432B5D">
              <w:rPr>
                <w:i/>
                <w:iCs/>
              </w:rPr>
              <w:t>less</w:t>
            </w:r>
            <w:r w:rsidRPr="00432B5D">
              <w:t xml:space="preserve"> estimated Commonwealth contribution</w:t>
            </w:r>
          </w:p>
        </w:tc>
        <w:tc>
          <w:tcPr>
            <w:tcW w:w="992" w:type="dxa"/>
            <w:tcBorders>
              <w:bottom w:val="single" w:sz="4" w:space="0" w:color="000080"/>
            </w:tcBorders>
          </w:tcPr>
          <w:p w:rsidR="00571A57" w:rsidRPr="00432B5D" w:rsidRDefault="00213D40" w:rsidP="00571A57">
            <w:pPr>
              <w:ind w:right="33"/>
              <w:jc w:val="right"/>
            </w:pPr>
            <w:r>
              <w:t>3.341</w:t>
            </w:r>
          </w:p>
        </w:tc>
        <w:tc>
          <w:tcPr>
            <w:tcW w:w="992" w:type="dxa"/>
            <w:tcBorders>
              <w:bottom w:val="single" w:sz="4" w:space="0" w:color="000080"/>
            </w:tcBorders>
          </w:tcPr>
          <w:p w:rsidR="00571A57" w:rsidRPr="00432B5D" w:rsidRDefault="00213D40" w:rsidP="00571A57">
            <w:pPr>
              <w:ind w:right="33"/>
              <w:jc w:val="right"/>
            </w:pPr>
            <w:r>
              <w:t>3.341</w:t>
            </w:r>
          </w:p>
        </w:tc>
        <w:tc>
          <w:tcPr>
            <w:tcW w:w="851" w:type="dxa"/>
            <w:tcBorders>
              <w:bottom w:val="single" w:sz="4" w:space="0" w:color="000080"/>
            </w:tcBorders>
          </w:tcPr>
          <w:p w:rsidR="00571A57" w:rsidRPr="00432B5D" w:rsidRDefault="00213D40" w:rsidP="00571A57">
            <w:pPr>
              <w:ind w:right="33"/>
              <w:jc w:val="right"/>
            </w:pPr>
            <w:r>
              <w:t>3.341</w:t>
            </w:r>
          </w:p>
        </w:tc>
        <w:tc>
          <w:tcPr>
            <w:tcW w:w="992" w:type="dxa"/>
            <w:tcBorders>
              <w:bottom w:val="single" w:sz="4" w:space="0" w:color="000080"/>
            </w:tcBorders>
          </w:tcPr>
          <w:p w:rsidR="00571A57" w:rsidRPr="00432B5D" w:rsidRDefault="00213D40" w:rsidP="00571A57">
            <w:pPr>
              <w:ind w:right="33"/>
              <w:jc w:val="right"/>
            </w:pPr>
            <w:r>
              <w:t>3.341</w:t>
            </w:r>
          </w:p>
        </w:tc>
        <w:tc>
          <w:tcPr>
            <w:tcW w:w="992" w:type="dxa"/>
            <w:tcBorders>
              <w:bottom w:val="single" w:sz="4" w:space="0" w:color="000080"/>
            </w:tcBorders>
          </w:tcPr>
          <w:p w:rsidR="00571A57" w:rsidRPr="00432B5D" w:rsidRDefault="00213D40" w:rsidP="00571A57">
            <w:pPr>
              <w:ind w:right="33"/>
              <w:jc w:val="right"/>
            </w:pPr>
            <w:r>
              <w:t>3.341</w:t>
            </w:r>
          </w:p>
        </w:tc>
        <w:tc>
          <w:tcPr>
            <w:tcW w:w="992" w:type="dxa"/>
            <w:tcBorders>
              <w:bottom w:val="single" w:sz="4" w:space="0" w:color="000080"/>
            </w:tcBorders>
          </w:tcPr>
          <w:p w:rsidR="00571A57" w:rsidRPr="00432B5D" w:rsidRDefault="00213D40" w:rsidP="00571A57">
            <w:pPr>
              <w:ind w:right="33"/>
              <w:jc w:val="right"/>
            </w:pPr>
            <w:r>
              <w:t>16.704</w:t>
            </w:r>
          </w:p>
        </w:tc>
      </w:tr>
      <w:tr w:rsidR="00571A57" w:rsidRPr="00432B5D" w:rsidTr="002E723E">
        <w:trPr>
          <w:cantSplit/>
        </w:trPr>
        <w:tc>
          <w:tcPr>
            <w:tcW w:w="3369" w:type="dxa"/>
          </w:tcPr>
          <w:p w:rsidR="00571A57" w:rsidRPr="00432B5D" w:rsidRDefault="00571A57" w:rsidP="00A17D70">
            <w:r w:rsidRPr="002E723E">
              <w:rPr>
                <w:i/>
              </w:rPr>
              <w:t>equals</w:t>
            </w:r>
            <w:r w:rsidRPr="00432B5D">
              <w:t xml:space="preserve"> estimated balance of non-Commonwealth contributions</w:t>
            </w:r>
          </w:p>
        </w:tc>
        <w:tc>
          <w:tcPr>
            <w:tcW w:w="992" w:type="dxa"/>
            <w:tcBorders>
              <w:top w:val="single" w:sz="4" w:space="0" w:color="000080"/>
              <w:bottom w:val="single" w:sz="4" w:space="0" w:color="000080"/>
            </w:tcBorders>
          </w:tcPr>
          <w:p w:rsidR="00571A57" w:rsidRPr="00432B5D" w:rsidRDefault="00213D40" w:rsidP="00571A57">
            <w:pPr>
              <w:ind w:right="33"/>
              <w:jc w:val="right"/>
            </w:pPr>
            <w:r>
              <w:t>3.341</w:t>
            </w:r>
          </w:p>
        </w:tc>
        <w:tc>
          <w:tcPr>
            <w:tcW w:w="992" w:type="dxa"/>
            <w:tcBorders>
              <w:top w:val="single" w:sz="4" w:space="0" w:color="000080"/>
              <w:bottom w:val="single" w:sz="4" w:space="0" w:color="000080"/>
            </w:tcBorders>
          </w:tcPr>
          <w:p w:rsidR="00571A57" w:rsidRPr="00432B5D" w:rsidRDefault="00213D40" w:rsidP="00571A57">
            <w:pPr>
              <w:ind w:right="33"/>
              <w:jc w:val="right"/>
            </w:pPr>
            <w:r>
              <w:t>3.341</w:t>
            </w:r>
          </w:p>
        </w:tc>
        <w:tc>
          <w:tcPr>
            <w:tcW w:w="851" w:type="dxa"/>
            <w:tcBorders>
              <w:top w:val="single" w:sz="4" w:space="0" w:color="000080"/>
              <w:bottom w:val="single" w:sz="4" w:space="0" w:color="000080"/>
            </w:tcBorders>
          </w:tcPr>
          <w:p w:rsidR="00571A57" w:rsidRPr="00432B5D" w:rsidRDefault="00213D40" w:rsidP="00571A57">
            <w:pPr>
              <w:ind w:right="33"/>
              <w:jc w:val="right"/>
            </w:pPr>
            <w:r>
              <w:t>3.341</w:t>
            </w:r>
          </w:p>
        </w:tc>
        <w:tc>
          <w:tcPr>
            <w:tcW w:w="992" w:type="dxa"/>
            <w:tcBorders>
              <w:top w:val="single" w:sz="4" w:space="0" w:color="000080"/>
              <w:bottom w:val="single" w:sz="4" w:space="0" w:color="000080"/>
            </w:tcBorders>
          </w:tcPr>
          <w:p w:rsidR="00571A57" w:rsidRPr="00432B5D" w:rsidRDefault="00213D40" w:rsidP="00571A57">
            <w:pPr>
              <w:ind w:right="33"/>
              <w:jc w:val="right"/>
            </w:pPr>
            <w:r>
              <w:t>3.341</w:t>
            </w:r>
          </w:p>
        </w:tc>
        <w:tc>
          <w:tcPr>
            <w:tcW w:w="992" w:type="dxa"/>
            <w:tcBorders>
              <w:top w:val="single" w:sz="4" w:space="0" w:color="000080"/>
              <w:bottom w:val="single" w:sz="4" w:space="0" w:color="000080"/>
            </w:tcBorders>
          </w:tcPr>
          <w:p w:rsidR="00571A57" w:rsidRPr="00432B5D" w:rsidRDefault="00213D40" w:rsidP="00571A57">
            <w:pPr>
              <w:ind w:right="33"/>
              <w:jc w:val="right"/>
            </w:pPr>
            <w:r>
              <w:t>3.341</w:t>
            </w:r>
          </w:p>
        </w:tc>
        <w:tc>
          <w:tcPr>
            <w:tcW w:w="992" w:type="dxa"/>
            <w:tcBorders>
              <w:top w:val="single" w:sz="4" w:space="0" w:color="000080"/>
              <w:bottom w:val="single" w:sz="4" w:space="0" w:color="000080"/>
            </w:tcBorders>
          </w:tcPr>
          <w:p w:rsidR="00571A57" w:rsidRPr="00432B5D" w:rsidRDefault="00213D40" w:rsidP="00571A57">
            <w:pPr>
              <w:ind w:right="33"/>
              <w:jc w:val="right"/>
            </w:pPr>
            <w:r>
              <w:t>16.704</w:t>
            </w:r>
          </w:p>
        </w:tc>
      </w:tr>
      <w:tr w:rsidR="00571A57" w:rsidRPr="00432B5D" w:rsidTr="002E723E">
        <w:trPr>
          <w:cantSplit/>
        </w:trPr>
        <w:tc>
          <w:tcPr>
            <w:tcW w:w="3369" w:type="dxa"/>
            <w:tcBorders>
              <w:bottom w:val="single" w:sz="4" w:space="0" w:color="000080"/>
            </w:tcBorders>
          </w:tcPr>
          <w:p w:rsidR="00571A57" w:rsidRPr="00432B5D" w:rsidRDefault="00571A57" w:rsidP="00A17D70">
            <w:r w:rsidRPr="00432B5D">
              <w:t xml:space="preserve">Total </w:t>
            </w:r>
            <w:r w:rsidRPr="00432B5D">
              <w:rPr>
                <w:b/>
              </w:rPr>
              <w:t>Commonwealth contribution</w:t>
            </w:r>
          </w:p>
        </w:tc>
        <w:tc>
          <w:tcPr>
            <w:tcW w:w="992" w:type="dxa"/>
            <w:tcBorders>
              <w:top w:val="single" w:sz="4" w:space="0" w:color="000080"/>
              <w:bottom w:val="single" w:sz="4" w:space="0" w:color="000080"/>
            </w:tcBorders>
          </w:tcPr>
          <w:p w:rsidR="00571A57" w:rsidRPr="00432B5D" w:rsidRDefault="00213D40" w:rsidP="00571A57">
            <w:pPr>
              <w:ind w:right="33"/>
              <w:jc w:val="right"/>
            </w:pPr>
            <w:r>
              <w:t>3.341</w:t>
            </w:r>
          </w:p>
        </w:tc>
        <w:tc>
          <w:tcPr>
            <w:tcW w:w="992" w:type="dxa"/>
            <w:tcBorders>
              <w:top w:val="single" w:sz="4" w:space="0" w:color="000080"/>
              <w:bottom w:val="single" w:sz="4" w:space="0" w:color="000080"/>
            </w:tcBorders>
          </w:tcPr>
          <w:p w:rsidR="00571A57" w:rsidRPr="00432B5D" w:rsidRDefault="00213D40" w:rsidP="00571A57">
            <w:pPr>
              <w:ind w:right="33"/>
              <w:jc w:val="right"/>
            </w:pPr>
            <w:r>
              <w:t>3.341</w:t>
            </w:r>
          </w:p>
        </w:tc>
        <w:tc>
          <w:tcPr>
            <w:tcW w:w="851" w:type="dxa"/>
            <w:tcBorders>
              <w:top w:val="single" w:sz="4" w:space="0" w:color="000080"/>
              <w:bottom w:val="single" w:sz="4" w:space="0" w:color="000080"/>
            </w:tcBorders>
          </w:tcPr>
          <w:p w:rsidR="00571A57" w:rsidRPr="00432B5D" w:rsidRDefault="00213D40" w:rsidP="00571A57">
            <w:pPr>
              <w:ind w:right="33"/>
              <w:jc w:val="right"/>
            </w:pPr>
            <w:r>
              <w:t>3.341</w:t>
            </w:r>
          </w:p>
        </w:tc>
        <w:tc>
          <w:tcPr>
            <w:tcW w:w="992" w:type="dxa"/>
            <w:tcBorders>
              <w:top w:val="single" w:sz="4" w:space="0" w:color="000080"/>
              <w:bottom w:val="single" w:sz="4" w:space="0" w:color="000080"/>
            </w:tcBorders>
          </w:tcPr>
          <w:p w:rsidR="00571A57" w:rsidRPr="00432B5D" w:rsidRDefault="00213D40" w:rsidP="00571A57">
            <w:pPr>
              <w:ind w:right="33"/>
              <w:jc w:val="right"/>
            </w:pPr>
            <w:r>
              <w:t>3.341</w:t>
            </w:r>
          </w:p>
        </w:tc>
        <w:tc>
          <w:tcPr>
            <w:tcW w:w="992" w:type="dxa"/>
            <w:tcBorders>
              <w:top w:val="single" w:sz="4" w:space="0" w:color="000080"/>
              <w:bottom w:val="single" w:sz="4" w:space="0" w:color="000080"/>
            </w:tcBorders>
          </w:tcPr>
          <w:p w:rsidR="00571A57" w:rsidRPr="00432B5D" w:rsidRDefault="00213D40" w:rsidP="00571A57">
            <w:pPr>
              <w:ind w:right="33"/>
              <w:jc w:val="right"/>
            </w:pPr>
            <w:r>
              <w:t>3.341</w:t>
            </w:r>
          </w:p>
        </w:tc>
        <w:tc>
          <w:tcPr>
            <w:tcW w:w="992" w:type="dxa"/>
            <w:tcBorders>
              <w:top w:val="single" w:sz="4" w:space="0" w:color="000080"/>
              <w:bottom w:val="single" w:sz="4" w:space="0" w:color="000080"/>
            </w:tcBorders>
          </w:tcPr>
          <w:p w:rsidR="00571A57" w:rsidRPr="00432B5D" w:rsidRDefault="00213D40" w:rsidP="00213D40">
            <w:pPr>
              <w:ind w:right="33"/>
              <w:jc w:val="right"/>
            </w:pPr>
            <w:r>
              <w:t>16.704</w:t>
            </w:r>
          </w:p>
        </w:tc>
      </w:tr>
    </w:tbl>
    <w:p w:rsidR="002E723E" w:rsidRPr="002E723E" w:rsidRDefault="002E723E" w:rsidP="002E723E">
      <w:pPr>
        <w:pStyle w:val="Heading2"/>
        <w:spacing w:before="0"/>
        <w:rPr>
          <w:rFonts w:cs="Times New Roman"/>
          <w:b w:val="0"/>
          <w:bCs w:val="0"/>
          <w:iCs w:val="0"/>
          <w:color w:val="000000" w:themeColor="text1"/>
          <w:sz w:val="21"/>
          <w:szCs w:val="21"/>
        </w:rPr>
      </w:pPr>
      <w:r w:rsidRPr="002E723E">
        <w:rPr>
          <w:rFonts w:cs="Times New Roman"/>
          <w:b w:val="0"/>
          <w:bCs w:val="0"/>
          <w:iCs w:val="0"/>
          <w:color w:val="000000" w:themeColor="text1"/>
          <w:sz w:val="21"/>
          <w:szCs w:val="21"/>
        </w:rPr>
        <w:t>* Due to the workforce impacts of the Covid-19 response, year one of the NPA funding will be rolled over</w:t>
      </w:r>
      <w:r>
        <w:rPr>
          <w:rFonts w:cs="Times New Roman"/>
          <w:b w:val="0"/>
          <w:bCs w:val="0"/>
          <w:iCs w:val="0"/>
          <w:color w:val="000000" w:themeColor="text1"/>
          <w:sz w:val="21"/>
          <w:szCs w:val="21"/>
        </w:rPr>
        <w:t> </w:t>
      </w:r>
      <w:r w:rsidRPr="002E723E">
        <w:rPr>
          <w:rFonts w:cs="Times New Roman"/>
          <w:b w:val="0"/>
          <w:bCs w:val="0"/>
          <w:iCs w:val="0"/>
          <w:color w:val="000000" w:themeColor="text1"/>
          <w:sz w:val="21"/>
          <w:szCs w:val="21"/>
        </w:rPr>
        <w:t>into year two.</w:t>
      </w:r>
    </w:p>
    <w:p w:rsidR="0036688B" w:rsidRPr="00A36A37" w:rsidRDefault="0036688B" w:rsidP="00A17D70">
      <w:pPr>
        <w:pStyle w:val="Heading2"/>
      </w:pPr>
      <w:r w:rsidRPr="00A36A37">
        <w:t>Program logic</w:t>
      </w:r>
    </w:p>
    <w:p w:rsidR="0036688B" w:rsidRDefault="0036688B" w:rsidP="007D60F6">
      <w:pPr>
        <w:pStyle w:val="Normalnumbered"/>
        <w:spacing w:before="120" w:after="240" w:line="260" w:lineRule="exact"/>
        <w:jc w:val="both"/>
      </w:pPr>
      <w:r w:rsidRPr="00166312">
        <w:t xml:space="preserve">The </w:t>
      </w:r>
      <w:r w:rsidR="00334C02">
        <w:t>project</w:t>
      </w:r>
      <w:r w:rsidR="00432B5D">
        <w:t xml:space="preserve"> element</w:t>
      </w:r>
      <w:r w:rsidR="00334C02">
        <w:t xml:space="preserve">s </w:t>
      </w:r>
      <w:r>
        <w:t xml:space="preserve">detailed in this Implementation Plan will achieve the outcomes and objectives stated in the </w:t>
      </w:r>
      <w:r w:rsidR="002E328E">
        <w:t>National Partnership</w:t>
      </w:r>
      <w:r>
        <w:t xml:space="preserve"> by</w:t>
      </w:r>
      <w:r w:rsidR="002E723E">
        <w:t>:</w:t>
      </w:r>
    </w:p>
    <w:p w:rsidR="007D60F6" w:rsidRDefault="007D60F6" w:rsidP="007D60F6">
      <w:pPr>
        <w:pStyle w:val="Normalnumbered"/>
        <w:numPr>
          <w:ilvl w:val="0"/>
          <w:numId w:val="0"/>
        </w:numPr>
        <w:spacing w:after="240" w:line="260" w:lineRule="exact"/>
        <w:ind w:left="851" w:hanging="284"/>
        <w:jc w:val="both"/>
      </w:pPr>
      <w:r w:rsidRPr="007D60F6">
        <w:t xml:space="preserve">a) Empowering Victorian communities and the private sector to take on shared </w:t>
      </w:r>
      <w:r>
        <w:br/>
        <w:t xml:space="preserve"> </w:t>
      </w:r>
      <w:r w:rsidRPr="007D60F6">
        <w:t xml:space="preserve">responsibility for disaster risk reduction via the Disaster Risk Reduction Grants </w:t>
      </w:r>
      <w:r>
        <w:br/>
        <w:t xml:space="preserve"> </w:t>
      </w:r>
      <w:r w:rsidRPr="007D60F6">
        <w:t>Program including:</w:t>
      </w:r>
    </w:p>
    <w:p w:rsidR="007D60F6" w:rsidRDefault="007D60F6" w:rsidP="00B328FD">
      <w:pPr>
        <w:pStyle w:val="Normalnumbered"/>
        <w:numPr>
          <w:ilvl w:val="1"/>
          <w:numId w:val="9"/>
        </w:numPr>
        <w:spacing w:after="240" w:line="260" w:lineRule="exact"/>
        <w:jc w:val="both"/>
      </w:pPr>
      <w:r>
        <w:t>improving public awareness of and engagement on disaster risks and impacts;</w:t>
      </w:r>
    </w:p>
    <w:p w:rsidR="007D60F6" w:rsidRDefault="007D60F6" w:rsidP="00B328FD">
      <w:pPr>
        <w:pStyle w:val="Normalnumbered"/>
        <w:numPr>
          <w:ilvl w:val="1"/>
          <w:numId w:val="9"/>
        </w:numPr>
        <w:spacing w:after="240" w:line="260" w:lineRule="exact"/>
        <w:jc w:val="both"/>
      </w:pPr>
      <w:r>
        <w:t>supporting and enabling locally led and owned place-based disaster risk reduction efforts; and</w:t>
      </w:r>
    </w:p>
    <w:p w:rsidR="007D60F6" w:rsidRDefault="007D60F6" w:rsidP="00B328FD">
      <w:pPr>
        <w:pStyle w:val="Normalnumbered"/>
        <w:numPr>
          <w:ilvl w:val="1"/>
          <w:numId w:val="9"/>
        </w:numPr>
        <w:spacing w:after="240" w:line="260" w:lineRule="exact"/>
        <w:jc w:val="both"/>
      </w:pPr>
      <w:r>
        <w:lastRenderedPageBreak/>
        <w:t xml:space="preserve">empowering communities, individuals and small businesses to make informed and sustainable investments. </w:t>
      </w:r>
    </w:p>
    <w:p w:rsidR="007D60F6" w:rsidRDefault="007D60F6" w:rsidP="008B32C2">
      <w:pPr>
        <w:pStyle w:val="Normalnumbered"/>
        <w:numPr>
          <w:ilvl w:val="0"/>
          <w:numId w:val="0"/>
        </w:numPr>
        <w:spacing w:after="240" w:line="260" w:lineRule="exact"/>
        <w:ind w:left="851" w:hanging="284"/>
        <w:jc w:val="both"/>
      </w:pPr>
      <w:r>
        <w:t xml:space="preserve">b) </w:t>
      </w:r>
      <w:r w:rsidRPr="007D60F6">
        <w:t>Strengthening existing governance, ownership and responsibility for risk reduction within the Victorian Government by enhancing governance pathways for pursuing disaster risk reduction projects and regular reporting on disaster risk outcomes</w:t>
      </w:r>
      <w:r>
        <w:t xml:space="preserve">. </w:t>
      </w:r>
    </w:p>
    <w:p w:rsidR="007D60F6" w:rsidRDefault="007D60F6" w:rsidP="008B32C2">
      <w:pPr>
        <w:pStyle w:val="Normalnumbered"/>
        <w:numPr>
          <w:ilvl w:val="0"/>
          <w:numId w:val="0"/>
        </w:numPr>
        <w:spacing w:after="200" w:line="260" w:lineRule="exact"/>
        <w:ind w:left="851" w:hanging="284"/>
        <w:jc w:val="both"/>
      </w:pPr>
      <w:r>
        <w:t xml:space="preserve">c) </w:t>
      </w:r>
      <w:r w:rsidRPr="007D60F6">
        <w:t xml:space="preserve">Embedding risk reduction and resilience requirements into relevant guidelines, </w:t>
      </w:r>
      <w:r>
        <w:br/>
        <w:t xml:space="preserve"> </w:t>
      </w:r>
      <w:r w:rsidRPr="007D60F6">
        <w:t>standards and specifications</w:t>
      </w:r>
      <w:r>
        <w:t xml:space="preserve">. </w:t>
      </w:r>
    </w:p>
    <w:p w:rsidR="007D60F6" w:rsidRDefault="007D60F6" w:rsidP="007D60F6">
      <w:pPr>
        <w:pStyle w:val="Normalnumbered"/>
        <w:numPr>
          <w:ilvl w:val="0"/>
          <w:numId w:val="0"/>
        </w:numPr>
        <w:spacing w:after="240" w:line="260" w:lineRule="exact"/>
        <w:ind w:left="851" w:hanging="284"/>
        <w:jc w:val="both"/>
      </w:pPr>
      <w:r>
        <w:t xml:space="preserve">d) </w:t>
      </w:r>
      <w:r w:rsidRPr="007D60F6">
        <w:t xml:space="preserve">Enhancing investment in the highest priority disaster risks and mitigation </w:t>
      </w:r>
      <w:r>
        <w:br/>
        <w:t xml:space="preserve">  </w:t>
      </w:r>
      <w:r w:rsidRPr="007D60F6">
        <w:t>opportunities at both State and regional levels</w:t>
      </w:r>
      <w:r>
        <w:t xml:space="preserve">. </w:t>
      </w:r>
    </w:p>
    <w:p w:rsidR="0036688B" w:rsidRPr="00A36A37" w:rsidRDefault="0036688B" w:rsidP="00A17D70">
      <w:pPr>
        <w:pStyle w:val="Heading2"/>
      </w:pPr>
      <w:r w:rsidRPr="00A36A37">
        <w:t>Risk management</w:t>
      </w:r>
    </w:p>
    <w:p w:rsidR="007374A0" w:rsidRPr="00701076" w:rsidRDefault="007374A0" w:rsidP="007374A0">
      <w:pPr>
        <w:pStyle w:val="Normalnumbered"/>
        <w:spacing w:after="240" w:line="260" w:lineRule="exact"/>
        <w:jc w:val="both"/>
      </w:pPr>
      <w:r>
        <w:t>A ris</w:t>
      </w:r>
      <w:r w:rsidR="00A26CF2">
        <w:t xml:space="preserve">k management plan is in place. </w:t>
      </w:r>
      <w:r>
        <w:t xml:space="preserve">Risks have been actively identified, entered into a risk log and categorised in terms of impact and </w:t>
      </w:r>
      <w:r w:rsidR="001C56EC">
        <w:t>likelihood</w:t>
      </w:r>
      <w:r>
        <w:t xml:space="preserve">. </w:t>
      </w:r>
    </w:p>
    <w:p w:rsidR="0036688B" w:rsidRPr="00A36A37" w:rsidRDefault="00347F6D" w:rsidP="00A17D70">
      <w:pPr>
        <w:pStyle w:val="Heading2"/>
      </w:pPr>
      <w:r>
        <w:t>Relevant State Context</w:t>
      </w:r>
    </w:p>
    <w:p w:rsidR="00A26CF2" w:rsidRDefault="00314D9E" w:rsidP="00314D9E">
      <w:pPr>
        <w:pStyle w:val="Normalnumbered"/>
        <w:rPr>
          <w:color w:val="auto"/>
        </w:rPr>
      </w:pPr>
      <w:r w:rsidRPr="00A26CF2">
        <w:rPr>
          <w:color w:val="auto"/>
        </w:rPr>
        <w:t xml:space="preserve">In developing this </w:t>
      </w:r>
      <w:r w:rsidR="00E47C62" w:rsidRPr="00A26CF2">
        <w:rPr>
          <w:color w:val="auto"/>
        </w:rPr>
        <w:t>Implementation Plan</w:t>
      </w:r>
      <w:r w:rsidRPr="00A26CF2">
        <w:rPr>
          <w:color w:val="auto"/>
        </w:rPr>
        <w:t xml:space="preserve"> consideration has been given to </w:t>
      </w:r>
      <w:r w:rsidR="00A26CF2">
        <w:rPr>
          <w:color w:val="auto"/>
        </w:rPr>
        <w:t xml:space="preserve">Victoria’s </w:t>
      </w:r>
      <w:r w:rsidR="009D49F8" w:rsidRPr="00A26CF2">
        <w:rPr>
          <w:color w:val="auto"/>
        </w:rPr>
        <w:t xml:space="preserve"> </w:t>
      </w:r>
      <w:r w:rsidR="00347F6D" w:rsidRPr="00A26CF2">
        <w:rPr>
          <w:color w:val="auto"/>
        </w:rPr>
        <w:t>context.  Key factors that have influenced the proposed direction are</w:t>
      </w:r>
      <w:r w:rsidRPr="00A26CF2">
        <w:rPr>
          <w:color w:val="auto"/>
        </w:rPr>
        <w:t xml:space="preserve"> </w:t>
      </w:r>
      <w:r w:rsidR="00741883" w:rsidRPr="00A26CF2">
        <w:rPr>
          <w:color w:val="auto"/>
        </w:rPr>
        <w:t>listed below</w:t>
      </w:r>
      <w:r w:rsidR="00A26CF2">
        <w:rPr>
          <w:color w:val="auto"/>
        </w:rPr>
        <w:t>:</w:t>
      </w:r>
    </w:p>
    <w:p w:rsidR="00A26CF2" w:rsidRDefault="00A26CF2" w:rsidP="00B328FD">
      <w:pPr>
        <w:pStyle w:val="Normalnumbered"/>
        <w:numPr>
          <w:ilvl w:val="0"/>
          <w:numId w:val="20"/>
        </w:numPr>
        <w:ind w:left="1418"/>
      </w:pPr>
      <w:r>
        <w:t xml:space="preserve">Victoria is undergoing significant emergency management planning reform. </w:t>
      </w:r>
      <w:r>
        <w:br/>
        <w:t>The development of Municipal, Regional and State Emergency Management Plans by the end of 2020 will ensure funded activities at the local level align with the broader regional and state risk context.</w:t>
      </w:r>
    </w:p>
    <w:p w:rsidR="00EE3A90" w:rsidRDefault="00A26CF2" w:rsidP="00B328FD">
      <w:pPr>
        <w:pStyle w:val="Normalnumbered"/>
        <w:numPr>
          <w:ilvl w:val="0"/>
          <w:numId w:val="20"/>
        </w:numPr>
        <w:ind w:left="1418"/>
      </w:pPr>
      <w:r w:rsidRPr="00A26CF2">
        <w:t xml:space="preserve">Climate change presents a significant challenge for disaster risk management in </w:t>
      </w:r>
      <w:r>
        <w:t xml:space="preserve">Victoria. </w:t>
      </w:r>
      <w:r w:rsidR="00EE3A90">
        <w:t xml:space="preserve">Climate change is leading to changes in the frequency, intensity, duration and timing of extreme weather and climate events as well as the challenges associated with rising sea levels and temperature rises. The Victorian Government is committed to delivering strong and lasting action on climate change. The National Partnership provides an opportunity to build on the success of Victoria’s Climate Change Adaptation Plan 2017-2020 which has been: </w:t>
      </w:r>
    </w:p>
    <w:p w:rsidR="00EE3A90" w:rsidRDefault="00EE3A90" w:rsidP="00B328FD">
      <w:pPr>
        <w:pStyle w:val="Normalnumbered"/>
        <w:numPr>
          <w:ilvl w:val="2"/>
          <w:numId w:val="20"/>
        </w:numPr>
      </w:pPr>
      <w:r>
        <w:t>building a detailed understanding of Victoria’s exposure to climate change risks and impacts</w:t>
      </w:r>
    </w:p>
    <w:p w:rsidR="00A26CF2" w:rsidRDefault="00EE3A90" w:rsidP="00B328FD">
      <w:pPr>
        <w:pStyle w:val="Normalnumbered"/>
        <w:numPr>
          <w:ilvl w:val="2"/>
          <w:numId w:val="20"/>
        </w:numPr>
      </w:pPr>
      <w:r>
        <w:t>catalysing partnerships for integrated and effective responses to climate change</w:t>
      </w:r>
    </w:p>
    <w:p w:rsidR="00EE3A90" w:rsidRDefault="00EE3A90" w:rsidP="00B328FD">
      <w:pPr>
        <w:pStyle w:val="Normalnumbered"/>
        <w:numPr>
          <w:ilvl w:val="2"/>
          <w:numId w:val="20"/>
        </w:numPr>
      </w:pPr>
      <w:r>
        <w:t xml:space="preserve">tackling immediate priorities to reduce climate change risks. </w:t>
      </w:r>
    </w:p>
    <w:p w:rsidR="0036688B" w:rsidRPr="00A36A37" w:rsidRDefault="0036688B" w:rsidP="00A17D70">
      <w:pPr>
        <w:pStyle w:val="Heading2"/>
      </w:pPr>
      <w:r w:rsidRPr="00A36A37">
        <w:t>Sign off</w:t>
      </w:r>
    </w:p>
    <w:p w:rsidR="0036688B" w:rsidRPr="00B06563" w:rsidRDefault="0036688B" w:rsidP="0036688B">
      <w:pPr>
        <w:spacing w:after="240" w:line="260" w:lineRule="exact"/>
        <w:jc w:val="both"/>
        <w:rPr>
          <w:color w:val="000000"/>
          <w:szCs w:val="20"/>
          <w:lang w:val="en-GB"/>
        </w:rPr>
      </w:pPr>
      <w:r w:rsidRPr="00B06563">
        <w:rPr>
          <w:color w:val="000000"/>
          <w:szCs w:val="20"/>
          <w:lang w:val="en-GB"/>
        </w:rPr>
        <w:t>The Parties have confirmed their commitment to this agreement as follows:</w:t>
      </w:r>
    </w:p>
    <w:tbl>
      <w:tblPr>
        <w:tblW w:w="9689" w:type="dxa"/>
        <w:tblBorders>
          <w:insideH w:val="dashed" w:sz="4" w:space="0" w:color="auto"/>
          <w:insideV w:val="dashed" w:sz="4" w:space="0" w:color="auto"/>
        </w:tblBorders>
        <w:tblLook w:val="00A0" w:firstRow="1" w:lastRow="0" w:firstColumn="1" w:lastColumn="0" w:noHBand="0" w:noVBand="0"/>
      </w:tblPr>
      <w:tblGrid>
        <w:gridCol w:w="5314"/>
        <w:gridCol w:w="296"/>
        <w:gridCol w:w="4079"/>
      </w:tblGrid>
      <w:tr w:rsidR="0036688B" w:rsidRPr="008A2566" w:rsidTr="00EE3A90">
        <w:trPr>
          <w:trHeight w:val="462"/>
        </w:trPr>
        <w:tc>
          <w:tcPr>
            <w:tcW w:w="5314" w:type="dxa"/>
            <w:tcBorders>
              <w:top w:val="nil"/>
              <w:bottom w:val="single" w:sz="4" w:space="0" w:color="A6A6A6"/>
              <w:right w:val="nil"/>
            </w:tcBorders>
            <w:vAlign w:val="center"/>
          </w:tcPr>
          <w:p w:rsidR="0036688B" w:rsidRPr="008A2566" w:rsidRDefault="0036688B" w:rsidP="007A36B5">
            <w:pPr>
              <w:spacing w:before="120" w:after="120" w:line="280" w:lineRule="exact"/>
            </w:pPr>
            <w:r w:rsidRPr="000A1323">
              <w:rPr>
                <w:b/>
                <w:bCs/>
                <w:color w:val="C00000"/>
              </w:rPr>
              <w:t>Signature</w:t>
            </w:r>
          </w:p>
        </w:tc>
        <w:tc>
          <w:tcPr>
            <w:tcW w:w="296" w:type="dxa"/>
            <w:tcBorders>
              <w:top w:val="nil"/>
              <w:left w:val="nil"/>
              <w:bottom w:val="single" w:sz="4" w:space="0" w:color="A6A6A6"/>
              <w:right w:val="nil"/>
            </w:tcBorders>
          </w:tcPr>
          <w:p w:rsidR="0036688B" w:rsidRPr="000A1323" w:rsidRDefault="0036688B" w:rsidP="007A36B5">
            <w:pPr>
              <w:spacing w:before="120" w:after="120" w:line="280" w:lineRule="exact"/>
              <w:rPr>
                <w:b/>
                <w:bCs/>
                <w:color w:val="C00000"/>
              </w:rPr>
            </w:pPr>
          </w:p>
        </w:tc>
        <w:tc>
          <w:tcPr>
            <w:tcW w:w="4077" w:type="dxa"/>
            <w:tcBorders>
              <w:top w:val="nil"/>
              <w:left w:val="nil"/>
              <w:bottom w:val="single" w:sz="4" w:space="0" w:color="A6A6A6"/>
            </w:tcBorders>
            <w:vAlign w:val="center"/>
          </w:tcPr>
          <w:p w:rsidR="0036688B" w:rsidRPr="008A2566" w:rsidRDefault="0036688B" w:rsidP="007A36B5">
            <w:pPr>
              <w:spacing w:before="120" w:after="120" w:line="280" w:lineRule="exact"/>
            </w:pPr>
            <w:r w:rsidRPr="000A1323">
              <w:rPr>
                <w:b/>
                <w:bCs/>
                <w:color w:val="C00000"/>
              </w:rPr>
              <w:t>Date</w:t>
            </w:r>
          </w:p>
        </w:tc>
      </w:tr>
      <w:tr w:rsidR="0036688B" w:rsidRPr="008A2566" w:rsidTr="00EE3A90">
        <w:trPr>
          <w:trHeight w:val="577"/>
        </w:trPr>
        <w:tc>
          <w:tcPr>
            <w:tcW w:w="9689" w:type="dxa"/>
            <w:gridSpan w:val="3"/>
            <w:tcBorders>
              <w:top w:val="single" w:sz="4" w:space="0" w:color="A6A6A6"/>
            </w:tcBorders>
          </w:tcPr>
          <w:p w:rsidR="0036688B" w:rsidRPr="008A2566" w:rsidRDefault="0036688B" w:rsidP="00895C19">
            <w:pPr>
              <w:spacing w:after="960" w:line="280" w:lineRule="exact"/>
            </w:pPr>
            <w:r w:rsidRPr="000A1323">
              <w:rPr>
                <w:b/>
                <w:bCs/>
                <w:color w:val="365F91"/>
              </w:rPr>
              <w:t>[By state/territory Minister]</w:t>
            </w:r>
          </w:p>
        </w:tc>
      </w:tr>
      <w:tr w:rsidR="0036688B" w:rsidRPr="008A2566" w:rsidTr="00EE3A90">
        <w:trPr>
          <w:trHeight w:val="61"/>
        </w:trPr>
        <w:tc>
          <w:tcPr>
            <w:tcW w:w="5314" w:type="dxa"/>
            <w:tcBorders>
              <w:top w:val="nil"/>
              <w:bottom w:val="single" w:sz="4" w:space="0" w:color="A6A6A6"/>
              <w:right w:val="nil"/>
            </w:tcBorders>
            <w:vAlign w:val="center"/>
          </w:tcPr>
          <w:p w:rsidR="0036688B" w:rsidRPr="008A2566" w:rsidRDefault="0036688B" w:rsidP="007A36B5">
            <w:pPr>
              <w:spacing w:before="120" w:after="120" w:line="280" w:lineRule="exact"/>
            </w:pPr>
            <w:r w:rsidRPr="000A1323">
              <w:rPr>
                <w:b/>
                <w:bCs/>
                <w:color w:val="C00000"/>
              </w:rPr>
              <w:t>Signature</w:t>
            </w:r>
          </w:p>
        </w:tc>
        <w:tc>
          <w:tcPr>
            <w:tcW w:w="296" w:type="dxa"/>
            <w:tcBorders>
              <w:top w:val="nil"/>
              <w:left w:val="nil"/>
              <w:bottom w:val="single" w:sz="4" w:space="0" w:color="A6A6A6"/>
              <w:right w:val="nil"/>
            </w:tcBorders>
          </w:tcPr>
          <w:p w:rsidR="0036688B" w:rsidRPr="000A1323" w:rsidRDefault="0036688B" w:rsidP="007A36B5">
            <w:pPr>
              <w:spacing w:before="120" w:after="120" w:line="280" w:lineRule="exact"/>
              <w:rPr>
                <w:b/>
                <w:bCs/>
                <w:color w:val="C00000"/>
              </w:rPr>
            </w:pPr>
          </w:p>
        </w:tc>
        <w:tc>
          <w:tcPr>
            <w:tcW w:w="4077" w:type="dxa"/>
            <w:tcBorders>
              <w:top w:val="nil"/>
              <w:left w:val="nil"/>
              <w:bottom w:val="single" w:sz="4" w:space="0" w:color="A6A6A6"/>
            </w:tcBorders>
            <w:vAlign w:val="center"/>
          </w:tcPr>
          <w:p w:rsidR="0036688B" w:rsidRPr="008A2566" w:rsidRDefault="0036688B" w:rsidP="007A36B5">
            <w:pPr>
              <w:spacing w:before="120" w:after="120" w:line="280" w:lineRule="exact"/>
            </w:pPr>
            <w:r w:rsidRPr="000A1323">
              <w:rPr>
                <w:b/>
                <w:bCs/>
                <w:color w:val="C00000"/>
              </w:rPr>
              <w:t>Date</w:t>
            </w:r>
          </w:p>
        </w:tc>
      </w:tr>
      <w:tr w:rsidR="0036688B" w:rsidRPr="008A2566" w:rsidTr="00EE3A90">
        <w:trPr>
          <w:trHeight w:val="439"/>
        </w:trPr>
        <w:tc>
          <w:tcPr>
            <w:tcW w:w="9689" w:type="dxa"/>
            <w:gridSpan w:val="3"/>
          </w:tcPr>
          <w:p w:rsidR="0036688B" w:rsidRPr="00B06563" w:rsidRDefault="0036688B" w:rsidP="00895C19">
            <w:pPr>
              <w:spacing w:after="960" w:line="280" w:lineRule="exact"/>
              <w:rPr>
                <w:b/>
                <w:bCs/>
                <w:color w:val="365F91"/>
              </w:rPr>
            </w:pPr>
            <w:r w:rsidRPr="000A1323">
              <w:rPr>
                <w:b/>
                <w:bCs/>
                <w:color w:val="365F91"/>
              </w:rPr>
              <w:t>[By Commonwealth Minister]</w:t>
            </w:r>
          </w:p>
        </w:tc>
      </w:tr>
    </w:tbl>
    <w:p w:rsidR="0036688B" w:rsidRPr="008B32C2" w:rsidRDefault="0036688B" w:rsidP="00EE3A90">
      <w:pPr>
        <w:rPr>
          <w:sz w:val="16"/>
          <w:szCs w:val="16"/>
        </w:rPr>
      </w:pPr>
    </w:p>
    <w:sectPr w:rsidR="0036688B" w:rsidRPr="008B32C2" w:rsidSect="00520331">
      <w:headerReference w:type="even" r:id="rId14"/>
      <w:headerReference w:type="default" r:id="rId15"/>
      <w:footerReference w:type="even" r:id="rId16"/>
      <w:footerReference w:type="default" r:id="rId17"/>
      <w:headerReference w:type="first" r:id="rId18"/>
      <w:footerReference w:type="first" r:id="rId19"/>
      <w:pgSz w:w="11906" w:h="16838" w:code="9"/>
      <w:pgMar w:top="851" w:right="1440" w:bottom="1021" w:left="1440" w:header="624"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8FD" w:rsidRDefault="00B328FD" w:rsidP="00520331">
      <w:r>
        <w:separator/>
      </w:r>
    </w:p>
  </w:endnote>
  <w:endnote w:type="continuationSeparator" w:id="0">
    <w:p w:rsidR="00B328FD" w:rsidRDefault="00B328FD" w:rsidP="0052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ZapfDingbats">
    <w:altName w:val="Zapf Dingbats"/>
    <w:panose1 w:val="00000000000000000000"/>
    <w:charset w:val="02"/>
    <w:family w:val="decorative"/>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nsolas">
    <w:altName w:val="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47" w:rsidRDefault="00864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B4C" w:rsidRPr="00413980" w:rsidRDefault="00E37B4C">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9B1919">
      <w:rPr>
        <w:noProof/>
        <w:sz w:val="20"/>
        <w:szCs w:val="20"/>
      </w:rPr>
      <w:t>1</w:t>
    </w:r>
    <w:r>
      <w:rPr>
        <w:sz w:val="20"/>
        <w:szCs w:val="20"/>
      </w:rPr>
      <w:fldChar w:fldCharType="end"/>
    </w:r>
  </w:p>
  <w:p w:rsidR="00E37B4C" w:rsidRPr="00C15F0F" w:rsidRDefault="00E37B4C" w:rsidP="00C15F0F">
    <w:pPr>
      <w:pStyle w:val="Footer"/>
      <w:ind w:left="-993"/>
      <w:rPr>
        <w:sz w:val="20"/>
        <w:szCs w:val="20"/>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47" w:rsidRDefault="00864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8FD" w:rsidRDefault="00B328FD" w:rsidP="00520331">
      <w:r>
        <w:separator/>
      </w:r>
    </w:p>
  </w:footnote>
  <w:footnote w:type="continuationSeparator" w:id="0">
    <w:p w:rsidR="00B328FD" w:rsidRDefault="00B328FD" w:rsidP="00520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47" w:rsidRDefault="00864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47" w:rsidRDefault="00864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47" w:rsidRDefault="00864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7973"/>
    <w:multiLevelType w:val="multilevel"/>
    <w:tmpl w:val="85DCB1C2"/>
    <w:lvl w:ilvl="0">
      <w:start w:val="1"/>
      <w:numFmt w:val="lowerRoman"/>
      <w:lvlRestart w:val="0"/>
      <w:pStyle w:val="Romannumeral"/>
      <w:lvlText w:val="(%1)"/>
      <w:lvlJc w:val="left"/>
      <w:pPr>
        <w:tabs>
          <w:tab w:val="num" w:pos="567"/>
        </w:tabs>
        <w:ind w:left="567" w:hanging="567"/>
      </w:pPr>
      <w:rPr>
        <w:rFonts w:cs="Times New Roman" w:hint="default"/>
        <w:b w:val="0"/>
        <w:bCs w:val="0"/>
        <w:i w:val="0"/>
        <w:iCs w:val="0"/>
        <w:color w:val="000000"/>
      </w:rPr>
    </w:lvl>
    <w:lvl w:ilvl="1">
      <w:start w:val="1"/>
      <w:numFmt w:val="decimal"/>
      <w:lvlText w:val="(%2)"/>
      <w:lvlJc w:val="left"/>
      <w:pPr>
        <w:tabs>
          <w:tab w:val="num" w:pos="567"/>
        </w:tabs>
        <w:ind w:left="567" w:hanging="283"/>
      </w:pPr>
      <w:rPr>
        <w:rFonts w:cs="Times New Roman" w:hint="default"/>
        <w:b w:val="0"/>
        <w:bCs w:val="0"/>
        <w:i w:val="0"/>
        <w:iCs w:val="0"/>
        <w:color w:val="000000"/>
      </w:rPr>
    </w:lvl>
    <w:lvl w:ilvl="2">
      <w:start w:val="1"/>
      <w:numFmt w:val="decimal"/>
      <w:lvlText w:val="%3"/>
      <w:lvlJc w:val="left"/>
      <w:pPr>
        <w:tabs>
          <w:tab w:val="num" w:pos="1134"/>
        </w:tabs>
        <w:ind w:left="1134" w:hanging="567"/>
      </w:pPr>
      <w:rPr>
        <w:rFonts w:cs="Times New Roman" w:hint="default"/>
        <w:b w:val="0"/>
        <w:bCs w:val="0"/>
        <w:i w:val="0"/>
        <w:iCs w:val="0"/>
        <w:color w:val="000000"/>
      </w:rPr>
    </w:lvl>
    <w:lvl w:ilvl="3">
      <w:start w:val="1"/>
      <w:numFmt w:val="decimal"/>
      <w:lvlText w:val="%4"/>
      <w:lvlJc w:val="left"/>
      <w:pPr>
        <w:tabs>
          <w:tab w:val="num" w:pos="1701"/>
        </w:tabs>
        <w:ind w:left="1701" w:hanging="567"/>
      </w:pPr>
      <w:rPr>
        <w:rFonts w:cs="Times New Roman" w:hint="default"/>
        <w:b w:val="0"/>
        <w:bCs w:val="0"/>
        <w:i w:val="0"/>
        <w:iCs w:val="0"/>
        <w:color w:val="000000"/>
      </w:rPr>
    </w:lvl>
    <w:lvl w:ilvl="4">
      <w:start w:val="1"/>
      <w:numFmt w:val="decimal"/>
      <w:lvlText w:val="%5"/>
      <w:lvlJc w:val="left"/>
      <w:pPr>
        <w:tabs>
          <w:tab w:val="num" w:pos="2268"/>
        </w:tabs>
        <w:ind w:left="2268" w:hanging="567"/>
      </w:pPr>
      <w:rPr>
        <w:rFonts w:cs="Times New Roman" w:hint="default"/>
        <w:b w:val="0"/>
        <w:bCs w:val="0"/>
        <w:i w:val="0"/>
        <w:iCs w:val="0"/>
        <w:color w:val="000000"/>
      </w:rPr>
    </w:lvl>
    <w:lvl w:ilvl="5">
      <w:start w:val="1"/>
      <w:numFmt w:val="decimal"/>
      <w:lvlText w:val="%6"/>
      <w:lvlJc w:val="left"/>
      <w:pPr>
        <w:tabs>
          <w:tab w:val="num" w:pos="2835"/>
        </w:tabs>
        <w:ind w:left="2835" w:hanging="567"/>
      </w:pPr>
      <w:rPr>
        <w:rFonts w:cs="Times New Roman" w:hint="default"/>
        <w:b w:val="0"/>
        <w:bCs w:val="0"/>
        <w:i w:val="0"/>
        <w:iCs w:val="0"/>
        <w:color w:val="000000"/>
      </w:rPr>
    </w:lvl>
    <w:lvl w:ilvl="6">
      <w:start w:val="1"/>
      <w:numFmt w:val="decimal"/>
      <w:lvlText w:val="%7"/>
      <w:lvlJc w:val="left"/>
      <w:pPr>
        <w:tabs>
          <w:tab w:val="num" w:pos="3402"/>
        </w:tabs>
        <w:ind w:left="3402" w:hanging="567"/>
      </w:pPr>
      <w:rPr>
        <w:rFonts w:cs="Times New Roman" w:hint="default"/>
        <w:b w:val="0"/>
        <w:bCs w:val="0"/>
        <w:i w:val="0"/>
        <w:iCs w:val="0"/>
        <w:color w:val="000000"/>
      </w:rPr>
    </w:lvl>
    <w:lvl w:ilvl="7">
      <w:start w:val="1"/>
      <w:numFmt w:val="decimal"/>
      <w:lvlText w:val="%8"/>
      <w:lvlJc w:val="left"/>
      <w:pPr>
        <w:tabs>
          <w:tab w:val="num" w:pos="3969"/>
        </w:tabs>
        <w:ind w:left="3969" w:hanging="567"/>
      </w:pPr>
      <w:rPr>
        <w:rFonts w:cs="Times New Roman" w:hint="default"/>
        <w:b w:val="0"/>
        <w:bCs w:val="0"/>
        <w:i w:val="0"/>
        <w:iCs w:val="0"/>
        <w:color w:val="000000"/>
      </w:rPr>
    </w:lvl>
    <w:lvl w:ilvl="8">
      <w:start w:val="1"/>
      <w:numFmt w:val="decimal"/>
      <w:lvlText w:val="%9"/>
      <w:lvlJc w:val="left"/>
      <w:pPr>
        <w:tabs>
          <w:tab w:val="num" w:pos="4536"/>
        </w:tabs>
        <w:ind w:left="4536" w:hanging="567"/>
      </w:pPr>
      <w:rPr>
        <w:rFonts w:cs="Times New Roman" w:hint="default"/>
        <w:b w:val="0"/>
        <w:bCs w:val="0"/>
        <w:i w:val="0"/>
        <w:iCs w:val="0"/>
        <w:color w:val="000000"/>
      </w:rPr>
    </w:lvl>
  </w:abstractNum>
  <w:abstractNum w:abstractNumId="1" w15:restartNumberingAfterBreak="0">
    <w:nsid w:val="209532F5"/>
    <w:multiLevelType w:val="hybridMultilevel"/>
    <w:tmpl w:val="1C60EDB2"/>
    <w:lvl w:ilvl="0" w:tplc="B9629C94">
      <w:start w:val="1"/>
      <w:numFmt w:val="lowerLetter"/>
      <w:lvlText w:val="%1."/>
      <w:lvlJc w:val="left"/>
      <w:pPr>
        <w:ind w:left="1713"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244237C5"/>
    <w:multiLevelType w:val="multilevel"/>
    <w:tmpl w:val="58FC54CC"/>
    <w:name w:val="StandardNumberedList"/>
    <w:lvl w:ilvl="0">
      <w:start w:val="1"/>
      <w:numFmt w:val="decimal"/>
      <w:pStyle w:val="OutlineNumbered1"/>
      <w:lvlText w:val="%1."/>
      <w:lvlJc w:val="left"/>
      <w:pPr>
        <w:tabs>
          <w:tab w:val="num" w:pos="543"/>
        </w:tabs>
        <w:ind w:left="543" w:hanging="543"/>
      </w:pPr>
      <w:rPr>
        <w:rFonts w:cs="Times New Roman"/>
        <w:b w:val="0"/>
        <w:bCs w:val="0"/>
        <w:i w:val="0"/>
        <w:iCs w:val="0"/>
      </w:rPr>
    </w:lvl>
    <w:lvl w:ilvl="1">
      <w:start w:val="1"/>
      <w:numFmt w:val="decimal"/>
      <w:pStyle w:val="OutlineNumbered2"/>
      <w:lvlText w:val="%1.%2."/>
      <w:lvlJc w:val="left"/>
      <w:pPr>
        <w:tabs>
          <w:tab w:val="num" w:pos="1086"/>
        </w:tabs>
        <w:ind w:left="1086" w:hanging="543"/>
      </w:pPr>
      <w:rPr>
        <w:rFonts w:cs="Times New Roman"/>
        <w:b w:val="0"/>
        <w:bCs w:val="0"/>
        <w:i w:val="0"/>
        <w:iCs w:val="0"/>
      </w:rPr>
    </w:lvl>
    <w:lvl w:ilvl="2">
      <w:start w:val="1"/>
      <w:numFmt w:val="decimal"/>
      <w:pStyle w:val="OutlineNumbered3"/>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3" w15:restartNumberingAfterBreak="0">
    <w:nsid w:val="29734A4C"/>
    <w:multiLevelType w:val="hybridMultilevel"/>
    <w:tmpl w:val="1C60EDB2"/>
    <w:lvl w:ilvl="0" w:tplc="B9629C94">
      <w:start w:val="1"/>
      <w:numFmt w:val="lowerLetter"/>
      <w:lvlText w:val="%1."/>
      <w:lvlJc w:val="left"/>
      <w:pPr>
        <w:ind w:left="1713"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328B3D39"/>
    <w:multiLevelType w:val="hybridMultilevel"/>
    <w:tmpl w:val="652836B2"/>
    <w:lvl w:ilvl="0" w:tplc="102CA794">
      <w:start w:val="1"/>
      <w:numFmt w:val="bullet"/>
      <w:pStyle w:val="StatesList"/>
      <w:lvlText w:val=""/>
      <w:lvlJc w:val="left"/>
      <w:pPr>
        <w:tabs>
          <w:tab w:val="num" w:pos="1134"/>
        </w:tabs>
        <w:ind w:left="1134" w:hanging="567"/>
      </w:pPr>
      <w:rPr>
        <w:rFonts w:ascii="ZapfDingbats" w:hAnsi="ZapfDingbats" w:hint="default"/>
        <w:color w:val="000080"/>
        <w:sz w:val="20"/>
      </w:rPr>
    </w:lvl>
    <w:lvl w:ilvl="1" w:tplc="5510E282">
      <w:start w:val="1"/>
      <w:numFmt w:val="bullet"/>
      <w:lvlText w:val="o"/>
      <w:lvlJc w:val="left"/>
      <w:pPr>
        <w:tabs>
          <w:tab w:val="num" w:pos="2574"/>
        </w:tabs>
        <w:ind w:left="2574" w:hanging="360"/>
      </w:pPr>
      <w:rPr>
        <w:rFonts w:ascii="Courier New" w:hAnsi="Courier New" w:hint="default"/>
      </w:rPr>
    </w:lvl>
    <w:lvl w:ilvl="2" w:tplc="524EF248">
      <w:start w:val="1"/>
      <w:numFmt w:val="bullet"/>
      <w:lvlText w:val=""/>
      <w:lvlJc w:val="left"/>
      <w:pPr>
        <w:tabs>
          <w:tab w:val="num" w:pos="3294"/>
        </w:tabs>
        <w:ind w:left="3294" w:hanging="360"/>
      </w:pPr>
      <w:rPr>
        <w:rFonts w:ascii="Wingdings" w:hAnsi="Wingdings" w:hint="default"/>
      </w:rPr>
    </w:lvl>
    <w:lvl w:ilvl="3" w:tplc="52A84620">
      <w:start w:val="1"/>
      <w:numFmt w:val="bullet"/>
      <w:lvlText w:val=""/>
      <w:lvlJc w:val="left"/>
      <w:pPr>
        <w:tabs>
          <w:tab w:val="num" w:pos="4014"/>
        </w:tabs>
        <w:ind w:left="4014" w:hanging="360"/>
      </w:pPr>
      <w:rPr>
        <w:rFonts w:ascii="Symbol" w:hAnsi="Symbol" w:hint="default"/>
      </w:rPr>
    </w:lvl>
    <w:lvl w:ilvl="4" w:tplc="B89E094C">
      <w:start w:val="1"/>
      <w:numFmt w:val="bullet"/>
      <w:lvlText w:val="o"/>
      <w:lvlJc w:val="left"/>
      <w:pPr>
        <w:tabs>
          <w:tab w:val="num" w:pos="4734"/>
        </w:tabs>
        <w:ind w:left="4734" w:hanging="360"/>
      </w:pPr>
      <w:rPr>
        <w:rFonts w:ascii="Courier New" w:hAnsi="Courier New" w:hint="default"/>
      </w:rPr>
    </w:lvl>
    <w:lvl w:ilvl="5" w:tplc="0158F2D0">
      <w:start w:val="1"/>
      <w:numFmt w:val="bullet"/>
      <w:lvlText w:val=""/>
      <w:lvlJc w:val="left"/>
      <w:pPr>
        <w:tabs>
          <w:tab w:val="num" w:pos="5454"/>
        </w:tabs>
        <w:ind w:left="5454" w:hanging="360"/>
      </w:pPr>
      <w:rPr>
        <w:rFonts w:ascii="Wingdings" w:hAnsi="Wingdings" w:hint="default"/>
      </w:rPr>
    </w:lvl>
    <w:lvl w:ilvl="6" w:tplc="9E408F3A">
      <w:start w:val="1"/>
      <w:numFmt w:val="bullet"/>
      <w:lvlText w:val=""/>
      <w:lvlJc w:val="left"/>
      <w:pPr>
        <w:tabs>
          <w:tab w:val="num" w:pos="6174"/>
        </w:tabs>
        <w:ind w:left="6174" w:hanging="360"/>
      </w:pPr>
      <w:rPr>
        <w:rFonts w:ascii="Symbol" w:hAnsi="Symbol" w:hint="default"/>
      </w:rPr>
    </w:lvl>
    <w:lvl w:ilvl="7" w:tplc="11621F6E">
      <w:start w:val="1"/>
      <w:numFmt w:val="bullet"/>
      <w:lvlText w:val="o"/>
      <w:lvlJc w:val="left"/>
      <w:pPr>
        <w:tabs>
          <w:tab w:val="num" w:pos="6894"/>
        </w:tabs>
        <w:ind w:left="6894" w:hanging="360"/>
      </w:pPr>
      <w:rPr>
        <w:rFonts w:ascii="Courier New" w:hAnsi="Courier New" w:hint="default"/>
      </w:rPr>
    </w:lvl>
    <w:lvl w:ilvl="8" w:tplc="35B4AAF8">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34C07436"/>
    <w:multiLevelType w:val="hybridMultilevel"/>
    <w:tmpl w:val="EB4C46F8"/>
    <w:lvl w:ilvl="0" w:tplc="590C94CC">
      <w:start w:val="1"/>
      <w:numFmt w:val="bullet"/>
      <w:pStyle w:val="SubBullets"/>
      <w:lvlText w:val="–"/>
      <w:lvlJc w:val="left"/>
      <w:pPr>
        <w:tabs>
          <w:tab w:val="num" w:pos="927"/>
        </w:tabs>
        <w:ind w:left="927" w:hanging="567"/>
      </w:pPr>
      <w:rPr>
        <w:rFonts w:ascii="Arial" w:hAnsi="Arial" w:hint="default"/>
        <w:sz w:val="20"/>
      </w:rPr>
    </w:lvl>
    <w:lvl w:ilvl="1" w:tplc="039E2B68">
      <w:start w:val="1"/>
      <w:numFmt w:val="bullet"/>
      <w:pStyle w:val="SubBullets"/>
      <w:lvlText w:val=""/>
      <w:lvlJc w:val="left"/>
      <w:pPr>
        <w:tabs>
          <w:tab w:val="num" w:pos="1440"/>
        </w:tabs>
        <w:ind w:left="1440" w:hanging="360"/>
      </w:pPr>
      <w:rPr>
        <w:rFonts w:ascii="Times New Roman" w:hAnsi="Times New Roman"/>
        <w:b w:val="0"/>
        <w:i w:val="0"/>
        <w:caps w:val="0"/>
        <w:smallCaps w:val="0"/>
        <w:strike w:val="0"/>
        <w:dstrike w:val="0"/>
        <w:vanish w:val="0"/>
        <w:color w:val="000000"/>
        <w:spacing w:val="0"/>
        <w:kern w:val="0"/>
        <w:position w:val="0"/>
        <w:u w:val="none"/>
        <w:vertAlign w:val="baseline"/>
      </w:rPr>
    </w:lvl>
    <w:lvl w:ilvl="2" w:tplc="932C931E">
      <w:start w:val="1"/>
      <w:numFmt w:val="lowerRoman"/>
      <w:lvlText w:val="%3."/>
      <w:lvlJc w:val="right"/>
      <w:pPr>
        <w:tabs>
          <w:tab w:val="num" w:pos="2160"/>
        </w:tabs>
        <w:ind w:left="2160" w:hanging="180"/>
      </w:pPr>
      <w:rPr>
        <w:rFonts w:cs="Times New Roman"/>
      </w:rPr>
    </w:lvl>
    <w:lvl w:ilvl="3" w:tplc="8F6C836E">
      <w:start w:val="1"/>
      <w:numFmt w:val="decimal"/>
      <w:lvlText w:val="%4."/>
      <w:lvlJc w:val="left"/>
      <w:pPr>
        <w:tabs>
          <w:tab w:val="num" w:pos="2880"/>
        </w:tabs>
        <w:ind w:left="2880" w:hanging="360"/>
      </w:pPr>
      <w:rPr>
        <w:rFonts w:cs="Times New Roman"/>
      </w:rPr>
    </w:lvl>
    <w:lvl w:ilvl="4" w:tplc="7262739E">
      <w:start w:val="1"/>
      <w:numFmt w:val="lowerLetter"/>
      <w:lvlText w:val="%5."/>
      <w:lvlJc w:val="left"/>
      <w:pPr>
        <w:tabs>
          <w:tab w:val="num" w:pos="3600"/>
        </w:tabs>
        <w:ind w:left="3600" w:hanging="360"/>
      </w:pPr>
      <w:rPr>
        <w:rFonts w:cs="Times New Roman"/>
      </w:rPr>
    </w:lvl>
    <w:lvl w:ilvl="5" w:tplc="D20E083C">
      <w:start w:val="1"/>
      <w:numFmt w:val="lowerRoman"/>
      <w:lvlText w:val="%6."/>
      <w:lvlJc w:val="right"/>
      <w:pPr>
        <w:tabs>
          <w:tab w:val="num" w:pos="4320"/>
        </w:tabs>
        <w:ind w:left="4320" w:hanging="180"/>
      </w:pPr>
      <w:rPr>
        <w:rFonts w:cs="Times New Roman"/>
      </w:rPr>
    </w:lvl>
    <w:lvl w:ilvl="6" w:tplc="4DCC1322">
      <w:start w:val="1"/>
      <w:numFmt w:val="decimal"/>
      <w:lvlText w:val="%7."/>
      <w:lvlJc w:val="left"/>
      <w:pPr>
        <w:tabs>
          <w:tab w:val="num" w:pos="5040"/>
        </w:tabs>
        <w:ind w:left="5040" w:hanging="360"/>
      </w:pPr>
      <w:rPr>
        <w:rFonts w:cs="Times New Roman"/>
      </w:rPr>
    </w:lvl>
    <w:lvl w:ilvl="7" w:tplc="75BAE3C4">
      <w:start w:val="1"/>
      <w:numFmt w:val="lowerLetter"/>
      <w:lvlText w:val="%8."/>
      <w:lvlJc w:val="left"/>
      <w:pPr>
        <w:tabs>
          <w:tab w:val="num" w:pos="5760"/>
        </w:tabs>
        <w:ind w:left="5760" w:hanging="360"/>
      </w:pPr>
      <w:rPr>
        <w:rFonts w:cs="Times New Roman"/>
      </w:rPr>
    </w:lvl>
    <w:lvl w:ilvl="8" w:tplc="9B62665E">
      <w:start w:val="1"/>
      <w:numFmt w:val="lowerRoman"/>
      <w:lvlText w:val="%9."/>
      <w:lvlJc w:val="right"/>
      <w:pPr>
        <w:tabs>
          <w:tab w:val="num" w:pos="6480"/>
        </w:tabs>
        <w:ind w:left="6480" w:hanging="180"/>
      </w:pPr>
      <w:rPr>
        <w:rFonts w:cs="Times New Roman"/>
      </w:rPr>
    </w:lvl>
  </w:abstractNum>
  <w:abstractNum w:abstractNumId="6" w15:restartNumberingAfterBreak="0">
    <w:nsid w:val="37031B88"/>
    <w:multiLevelType w:val="hybridMultilevel"/>
    <w:tmpl w:val="BD22457A"/>
    <w:lvl w:ilvl="0" w:tplc="0C090019">
      <w:start w:val="1"/>
      <w:numFmt w:val="lowerLetter"/>
      <w:lvlText w:val="%1."/>
      <w:lvlJc w:val="left"/>
      <w:pPr>
        <w:ind w:left="1713" w:hanging="360"/>
      </w:pPr>
      <w:rPr>
        <w:rFonts w:cs="Times New Roman"/>
      </w:rPr>
    </w:lvl>
    <w:lvl w:ilvl="1" w:tplc="0C090019">
      <w:start w:val="1"/>
      <w:numFmt w:val="lowerLetter"/>
      <w:lvlText w:val="%2."/>
      <w:lvlJc w:val="left"/>
      <w:pPr>
        <w:ind w:left="2433" w:hanging="360"/>
      </w:pPr>
      <w:rPr>
        <w:rFonts w:cs="Times New Roman"/>
      </w:rPr>
    </w:lvl>
    <w:lvl w:ilvl="2" w:tplc="0C09001B" w:tentative="1">
      <w:start w:val="1"/>
      <w:numFmt w:val="lowerRoman"/>
      <w:lvlText w:val="%3."/>
      <w:lvlJc w:val="right"/>
      <w:pPr>
        <w:ind w:left="3153" w:hanging="180"/>
      </w:pPr>
      <w:rPr>
        <w:rFonts w:cs="Times New Roman"/>
      </w:rPr>
    </w:lvl>
    <w:lvl w:ilvl="3" w:tplc="0C09000F" w:tentative="1">
      <w:start w:val="1"/>
      <w:numFmt w:val="decimal"/>
      <w:lvlText w:val="%4."/>
      <w:lvlJc w:val="left"/>
      <w:pPr>
        <w:ind w:left="3873" w:hanging="360"/>
      </w:pPr>
      <w:rPr>
        <w:rFonts w:cs="Times New Roman"/>
      </w:rPr>
    </w:lvl>
    <w:lvl w:ilvl="4" w:tplc="0C090019" w:tentative="1">
      <w:start w:val="1"/>
      <w:numFmt w:val="lowerLetter"/>
      <w:lvlText w:val="%5."/>
      <w:lvlJc w:val="left"/>
      <w:pPr>
        <w:ind w:left="4593" w:hanging="360"/>
      </w:pPr>
      <w:rPr>
        <w:rFonts w:cs="Times New Roman"/>
      </w:rPr>
    </w:lvl>
    <w:lvl w:ilvl="5" w:tplc="0C09001B" w:tentative="1">
      <w:start w:val="1"/>
      <w:numFmt w:val="lowerRoman"/>
      <w:lvlText w:val="%6."/>
      <w:lvlJc w:val="right"/>
      <w:pPr>
        <w:ind w:left="5313" w:hanging="180"/>
      </w:pPr>
      <w:rPr>
        <w:rFonts w:cs="Times New Roman"/>
      </w:rPr>
    </w:lvl>
    <w:lvl w:ilvl="6" w:tplc="0C09000F" w:tentative="1">
      <w:start w:val="1"/>
      <w:numFmt w:val="decimal"/>
      <w:lvlText w:val="%7."/>
      <w:lvlJc w:val="left"/>
      <w:pPr>
        <w:ind w:left="6033" w:hanging="360"/>
      </w:pPr>
      <w:rPr>
        <w:rFonts w:cs="Times New Roman"/>
      </w:rPr>
    </w:lvl>
    <w:lvl w:ilvl="7" w:tplc="0C090019" w:tentative="1">
      <w:start w:val="1"/>
      <w:numFmt w:val="lowerLetter"/>
      <w:lvlText w:val="%8."/>
      <w:lvlJc w:val="left"/>
      <w:pPr>
        <w:ind w:left="6753" w:hanging="360"/>
      </w:pPr>
      <w:rPr>
        <w:rFonts w:cs="Times New Roman"/>
      </w:rPr>
    </w:lvl>
    <w:lvl w:ilvl="8" w:tplc="0C09001B" w:tentative="1">
      <w:start w:val="1"/>
      <w:numFmt w:val="lowerRoman"/>
      <w:lvlText w:val="%9."/>
      <w:lvlJc w:val="right"/>
      <w:pPr>
        <w:ind w:left="7473" w:hanging="180"/>
      </w:pPr>
      <w:rPr>
        <w:rFonts w:cs="Times New Roman"/>
      </w:rPr>
    </w:lvl>
  </w:abstractNum>
  <w:abstractNum w:abstractNumId="7" w15:restartNumberingAfterBreak="0">
    <w:nsid w:val="3C4D1A21"/>
    <w:multiLevelType w:val="hybridMultilevel"/>
    <w:tmpl w:val="17B4A8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9" w15:restartNumberingAfterBreak="0">
    <w:nsid w:val="49E515B4"/>
    <w:multiLevelType w:val="multilevel"/>
    <w:tmpl w:val="A49C9C3E"/>
    <w:lvl w:ilvl="0">
      <w:start w:val="1"/>
      <w:numFmt w:val="bullet"/>
      <w:pStyle w:val="Bullet"/>
      <w:lvlText w:val="•"/>
      <w:lvlJc w:val="left"/>
      <w:pPr>
        <w:tabs>
          <w:tab w:val="num" w:pos="1134"/>
        </w:tabs>
        <w:ind w:left="1134" w:hanging="567"/>
      </w:pPr>
      <w:rPr>
        <w:rFonts w:ascii="Times New Roman" w:hAnsi="Times New Roman"/>
      </w:rPr>
    </w:lvl>
    <w:lvl w:ilvl="1">
      <w:start w:val="1"/>
      <w:numFmt w:val="bullet"/>
      <w:pStyle w:val="Dash"/>
      <w:lvlText w:val="–"/>
      <w:lvlJc w:val="left"/>
      <w:pPr>
        <w:tabs>
          <w:tab w:val="num" w:pos="1701"/>
        </w:tabs>
        <w:ind w:left="1701" w:hanging="567"/>
      </w:pPr>
      <w:rPr>
        <w:rFonts w:ascii="Times New Roman" w:hAnsi="Times New Roman"/>
      </w:rPr>
    </w:lvl>
    <w:lvl w:ilvl="2">
      <w:start w:val="1"/>
      <w:numFmt w:val="bullet"/>
      <w:pStyle w:val="DoubleDot"/>
      <w:lvlText w:val=":"/>
      <w:lvlJc w:val="left"/>
      <w:pPr>
        <w:tabs>
          <w:tab w:val="num" w:pos="2268"/>
        </w:tabs>
        <w:ind w:left="2268" w:hanging="567"/>
      </w:pPr>
      <w:rPr>
        <w:rFonts w:ascii="Times New Roman" w:hAnsi="Times New Roman"/>
      </w:rPr>
    </w:lvl>
    <w:lvl w:ilvl="3">
      <w:start w:val="1"/>
      <w:numFmt w:val="decimal"/>
      <w:lvlText w:val="(%4)"/>
      <w:lvlJc w:val="left"/>
      <w:pPr>
        <w:tabs>
          <w:tab w:val="num" w:pos="2007"/>
        </w:tabs>
        <w:ind w:left="2007" w:hanging="360"/>
      </w:pPr>
      <w:rPr>
        <w:rFonts w:cs="Times New Roman"/>
      </w:rPr>
    </w:lvl>
    <w:lvl w:ilvl="4">
      <w:start w:val="1"/>
      <w:numFmt w:val="lowerLetter"/>
      <w:lvlText w:val="(%5)"/>
      <w:lvlJc w:val="left"/>
      <w:pPr>
        <w:tabs>
          <w:tab w:val="num" w:pos="2367"/>
        </w:tabs>
        <w:ind w:left="2367" w:hanging="360"/>
      </w:pPr>
      <w:rPr>
        <w:rFonts w:cs="Times New Roman"/>
      </w:rPr>
    </w:lvl>
    <w:lvl w:ilvl="5">
      <w:start w:val="1"/>
      <w:numFmt w:val="lowerRoman"/>
      <w:lvlText w:val="(%6)"/>
      <w:lvlJc w:val="left"/>
      <w:pPr>
        <w:tabs>
          <w:tab w:val="num" w:pos="2727"/>
        </w:tabs>
        <w:ind w:left="2727" w:hanging="360"/>
      </w:pPr>
      <w:rPr>
        <w:rFonts w:cs="Times New Roman"/>
      </w:rPr>
    </w:lvl>
    <w:lvl w:ilvl="6">
      <w:start w:val="1"/>
      <w:numFmt w:val="decimal"/>
      <w:lvlText w:val="%7."/>
      <w:lvlJc w:val="left"/>
      <w:pPr>
        <w:tabs>
          <w:tab w:val="num" w:pos="3087"/>
        </w:tabs>
        <w:ind w:left="3087" w:hanging="360"/>
      </w:pPr>
      <w:rPr>
        <w:rFonts w:cs="Times New Roman"/>
      </w:rPr>
    </w:lvl>
    <w:lvl w:ilvl="7">
      <w:start w:val="1"/>
      <w:numFmt w:val="lowerLetter"/>
      <w:lvlText w:val="%8."/>
      <w:lvlJc w:val="left"/>
      <w:pPr>
        <w:tabs>
          <w:tab w:val="num" w:pos="3447"/>
        </w:tabs>
        <w:ind w:left="3447" w:hanging="360"/>
      </w:pPr>
      <w:rPr>
        <w:rFonts w:cs="Times New Roman"/>
      </w:rPr>
    </w:lvl>
    <w:lvl w:ilvl="8">
      <w:start w:val="1"/>
      <w:numFmt w:val="lowerRoman"/>
      <w:lvlText w:val="%9."/>
      <w:lvlJc w:val="left"/>
      <w:pPr>
        <w:tabs>
          <w:tab w:val="num" w:pos="3807"/>
        </w:tabs>
        <w:ind w:left="3807" w:hanging="360"/>
      </w:pPr>
      <w:rPr>
        <w:rFonts w:cs="Times New Roman"/>
      </w:rPr>
    </w:lvl>
  </w:abstractNum>
  <w:abstractNum w:abstractNumId="10"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1" w15:restartNumberingAfterBreak="0">
    <w:nsid w:val="55CE0768"/>
    <w:multiLevelType w:val="hybridMultilevel"/>
    <w:tmpl w:val="9190AFEA"/>
    <w:lvl w:ilvl="0" w:tplc="F822E09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F662C77E">
      <w:start w:val="1"/>
      <w:numFmt w:val="bullet"/>
      <w:lvlText w:val="o"/>
      <w:lvlJc w:val="left"/>
      <w:pPr>
        <w:tabs>
          <w:tab w:val="num" w:pos="1440"/>
        </w:tabs>
        <w:ind w:left="1440" w:hanging="360"/>
      </w:pPr>
      <w:rPr>
        <w:rFonts w:ascii="Courier New" w:hAnsi="Courier New" w:hint="default"/>
      </w:rPr>
    </w:lvl>
    <w:lvl w:ilvl="2" w:tplc="A50EA4A2">
      <w:start w:val="1"/>
      <w:numFmt w:val="bullet"/>
      <w:lvlText w:val=""/>
      <w:lvlJc w:val="left"/>
      <w:pPr>
        <w:tabs>
          <w:tab w:val="num" w:pos="2160"/>
        </w:tabs>
        <w:ind w:left="2160" w:hanging="360"/>
      </w:pPr>
      <w:rPr>
        <w:rFonts w:ascii="Wingdings" w:hAnsi="Wingdings" w:hint="default"/>
      </w:rPr>
    </w:lvl>
    <w:lvl w:ilvl="3" w:tplc="59989DA6">
      <w:start w:val="1"/>
      <w:numFmt w:val="bullet"/>
      <w:lvlText w:val=""/>
      <w:lvlJc w:val="left"/>
      <w:pPr>
        <w:tabs>
          <w:tab w:val="num" w:pos="2880"/>
        </w:tabs>
        <w:ind w:left="2880" w:hanging="360"/>
      </w:pPr>
      <w:rPr>
        <w:rFonts w:ascii="Symbol" w:hAnsi="Symbol" w:hint="default"/>
      </w:rPr>
    </w:lvl>
    <w:lvl w:ilvl="4" w:tplc="61AC827C">
      <w:start w:val="1"/>
      <w:numFmt w:val="bullet"/>
      <w:lvlText w:val="o"/>
      <w:lvlJc w:val="left"/>
      <w:pPr>
        <w:tabs>
          <w:tab w:val="num" w:pos="3600"/>
        </w:tabs>
        <w:ind w:left="3600" w:hanging="360"/>
      </w:pPr>
      <w:rPr>
        <w:rFonts w:ascii="Courier New" w:hAnsi="Courier New" w:hint="default"/>
      </w:rPr>
    </w:lvl>
    <w:lvl w:ilvl="5" w:tplc="580C4FAA">
      <w:start w:val="1"/>
      <w:numFmt w:val="bullet"/>
      <w:lvlText w:val=""/>
      <w:lvlJc w:val="left"/>
      <w:pPr>
        <w:tabs>
          <w:tab w:val="num" w:pos="4320"/>
        </w:tabs>
        <w:ind w:left="4320" w:hanging="360"/>
      </w:pPr>
      <w:rPr>
        <w:rFonts w:ascii="Wingdings" w:hAnsi="Wingdings" w:hint="default"/>
      </w:rPr>
    </w:lvl>
    <w:lvl w:ilvl="6" w:tplc="A8A8A1D0">
      <w:start w:val="1"/>
      <w:numFmt w:val="bullet"/>
      <w:lvlText w:val=""/>
      <w:lvlJc w:val="left"/>
      <w:pPr>
        <w:tabs>
          <w:tab w:val="num" w:pos="5040"/>
        </w:tabs>
        <w:ind w:left="5040" w:hanging="360"/>
      </w:pPr>
      <w:rPr>
        <w:rFonts w:ascii="Symbol" w:hAnsi="Symbol" w:hint="default"/>
      </w:rPr>
    </w:lvl>
    <w:lvl w:ilvl="7" w:tplc="1F267B26">
      <w:start w:val="1"/>
      <w:numFmt w:val="bullet"/>
      <w:lvlText w:val="o"/>
      <w:lvlJc w:val="left"/>
      <w:pPr>
        <w:tabs>
          <w:tab w:val="num" w:pos="5760"/>
        </w:tabs>
        <w:ind w:left="5760" w:hanging="360"/>
      </w:pPr>
      <w:rPr>
        <w:rFonts w:ascii="Courier New" w:hAnsi="Courier New" w:hint="default"/>
      </w:rPr>
    </w:lvl>
    <w:lvl w:ilvl="8" w:tplc="CC0465EE">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13" w15:restartNumberingAfterBreak="0">
    <w:nsid w:val="59B70749"/>
    <w:multiLevelType w:val="multilevel"/>
    <w:tmpl w:val="2E0CEB00"/>
    <w:lvl w:ilvl="0">
      <w:start w:val="1"/>
      <w:numFmt w:val="lowerLetter"/>
      <w:lvlRestart w:val="0"/>
      <w:pStyle w:val="AlphaParagraph"/>
      <w:lvlText w:val="(%1)"/>
      <w:lvlJc w:val="left"/>
      <w:pPr>
        <w:tabs>
          <w:tab w:val="num" w:pos="1134"/>
        </w:tabs>
        <w:ind w:left="567"/>
      </w:pPr>
      <w:rPr>
        <w:rFonts w:cs="Times New Roman" w:hint="default"/>
        <w:b w:val="0"/>
        <w:bCs w:val="0"/>
        <w:i w:val="0"/>
        <w:iCs w:val="0"/>
        <w:color w:val="000000"/>
      </w:rPr>
    </w:lvl>
    <w:lvl w:ilvl="1">
      <w:start w:val="1"/>
      <w:numFmt w:val="decimal"/>
      <w:lvlText w:val="%2"/>
      <w:lvlJc w:val="left"/>
      <w:pPr>
        <w:tabs>
          <w:tab w:val="num" w:pos="1134"/>
        </w:tabs>
        <w:ind w:left="1134" w:hanging="567"/>
      </w:pPr>
      <w:rPr>
        <w:rFonts w:cs="Times New Roman" w:hint="default"/>
        <w:b w:val="0"/>
        <w:bCs w:val="0"/>
        <w:i w:val="0"/>
        <w:iCs w:val="0"/>
        <w:color w:val="000000"/>
      </w:rPr>
    </w:lvl>
    <w:lvl w:ilvl="2">
      <w:start w:val="1"/>
      <w:numFmt w:val="decimal"/>
      <w:lvlText w:val="%3"/>
      <w:lvlJc w:val="left"/>
      <w:pPr>
        <w:tabs>
          <w:tab w:val="num" w:pos="1701"/>
        </w:tabs>
        <w:ind w:left="1701" w:hanging="567"/>
      </w:pPr>
      <w:rPr>
        <w:rFonts w:cs="Times New Roman" w:hint="default"/>
        <w:b w:val="0"/>
        <w:bCs w:val="0"/>
        <w:i w:val="0"/>
        <w:iCs w:val="0"/>
        <w:color w:val="000000"/>
      </w:rPr>
    </w:lvl>
    <w:lvl w:ilvl="3">
      <w:start w:val="1"/>
      <w:numFmt w:val="decimal"/>
      <w:lvlText w:val="%4"/>
      <w:lvlJc w:val="left"/>
      <w:pPr>
        <w:tabs>
          <w:tab w:val="num" w:pos="2268"/>
        </w:tabs>
        <w:ind w:left="2268" w:hanging="567"/>
      </w:pPr>
      <w:rPr>
        <w:rFonts w:cs="Times New Roman" w:hint="default"/>
        <w:b w:val="0"/>
        <w:bCs w:val="0"/>
        <w:i w:val="0"/>
        <w:iCs w:val="0"/>
        <w:color w:val="000000"/>
      </w:rPr>
    </w:lvl>
    <w:lvl w:ilvl="4">
      <w:start w:val="1"/>
      <w:numFmt w:val="decimal"/>
      <w:lvlText w:val="%5"/>
      <w:lvlJc w:val="left"/>
      <w:pPr>
        <w:tabs>
          <w:tab w:val="num" w:pos="2835"/>
        </w:tabs>
        <w:ind w:left="2835" w:hanging="567"/>
      </w:pPr>
      <w:rPr>
        <w:rFonts w:cs="Times New Roman" w:hint="default"/>
        <w:b w:val="0"/>
        <w:bCs w:val="0"/>
        <w:i w:val="0"/>
        <w:iCs w:val="0"/>
        <w:color w:val="000000"/>
      </w:rPr>
    </w:lvl>
    <w:lvl w:ilvl="5">
      <w:start w:val="1"/>
      <w:numFmt w:val="decimal"/>
      <w:lvlText w:val="%6"/>
      <w:lvlJc w:val="left"/>
      <w:pPr>
        <w:tabs>
          <w:tab w:val="num" w:pos="3402"/>
        </w:tabs>
        <w:ind w:left="3402" w:hanging="567"/>
      </w:pPr>
      <w:rPr>
        <w:rFonts w:cs="Times New Roman" w:hint="default"/>
        <w:b w:val="0"/>
        <w:bCs w:val="0"/>
        <w:i w:val="0"/>
        <w:iCs w:val="0"/>
        <w:color w:val="000000"/>
      </w:rPr>
    </w:lvl>
    <w:lvl w:ilvl="6">
      <w:start w:val="1"/>
      <w:numFmt w:val="decimal"/>
      <w:lvlText w:val="%7"/>
      <w:lvlJc w:val="left"/>
      <w:pPr>
        <w:tabs>
          <w:tab w:val="num" w:pos="3969"/>
        </w:tabs>
        <w:ind w:left="3969" w:hanging="567"/>
      </w:pPr>
      <w:rPr>
        <w:rFonts w:cs="Times New Roman" w:hint="default"/>
        <w:b w:val="0"/>
        <w:bCs w:val="0"/>
        <w:i w:val="0"/>
        <w:iCs w:val="0"/>
        <w:color w:val="000000"/>
      </w:rPr>
    </w:lvl>
    <w:lvl w:ilvl="7">
      <w:start w:val="1"/>
      <w:numFmt w:val="decimal"/>
      <w:lvlText w:val="%8"/>
      <w:lvlJc w:val="left"/>
      <w:pPr>
        <w:tabs>
          <w:tab w:val="num" w:pos="4536"/>
        </w:tabs>
        <w:ind w:left="4536" w:hanging="567"/>
      </w:pPr>
      <w:rPr>
        <w:rFonts w:cs="Times New Roman" w:hint="default"/>
        <w:b w:val="0"/>
        <w:bCs w:val="0"/>
        <w:i w:val="0"/>
        <w:iCs w:val="0"/>
        <w:color w:val="000000"/>
      </w:rPr>
    </w:lvl>
    <w:lvl w:ilvl="8">
      <w:start w:val="1"/>
      <w:numFmt w:val="decimal"/>
      <w:lvlText w:val="%9"/>
      <w:lvlJc w:val="left"/>
      <w:pPr>
        <w:tabs>
          <w:tab w:val="num" w:pos="5103"/>
        </w:tabs>
        <w:ind w:left="5103" w:hanging="567"/>
      </w:pPr>
      <w:rPr>
        <w:rFonts w:cs="Times New Roman" w:hint="default"/>
        <w:b w:val="0"/>
        <w:bCs w:val="0"/>
        <w:i w:val="0"/>
        <w:iCs w:val="0"/>
        <w:color w:val="000000"/>
      </w:rPr>
    </w:lvl>
  </w:abstractNum>
  <w:abstractNum w:abstractNumId="14" w15:restartNumberingAfterBreak="0">
    <w:nsid w:val="5AF812B6"/>
    <w:multiLevelType w:val="hybridMultilevel"/>
    <w:tmpl w:val="205E30FA"/>
    <w:lvl w:ilvl="0" w:tplc="F000DD02">
      <w:start w:val="1"/>
      <w:numFmt w:val="decimal"/>
      <w:pStyle w:val="Bullet1"/>
      <w:lvlText w:val="%1."/>
      <w:lvlJc w:val="left"/>
      <w:pPr>
        <w:ind w:left="1287" w:hanging="360"/>
      </w:pPr>
      <w:rPr>
        <w:rFonts w:cs="Times New Roman"/>
      </w:rPr>
    </w:lvl>
    <w:lvl w:ilvl="1" w:tplc="1D8E2386">
      <w:start w:val="1"/>
      <w:numFmt w:val="lowerLetter"/>
      <w:lvlText w:val="%2."/>
      <w:lvlJc w:val="left"/>
      <w:pPr>
        <w:ind w:left="2007" w:hanging="360"/>
      </w:pPr>
      <w:rPr>
        <w:rFonts w:cs="Times New Roman"/>
      </w:rPr>
    </w:lvl>
    <w:lvl w:ilvl="2" w:tplc="54709E00">
      <w:start w:val="1"/>
      <w:numFmt w:val="lowerRoman"/>
      <w:lvlText w:val="%3."/>
      <w:lvlJc w:val="right"/>
      <w:pPr>
        <w:ind w:left="2727" w:hanging="180"/>
      </w:pPr>
      <w:rPr>
        <w:rFonts w:cs="Times New Roman"/>
      </w:rPr>
    </w:lvl>
    <w:lvl w:ilvl="3" w:tplc="DCF08D54">
      <w:start w:val="1"/>
      <w:numFmt w:val="decimal"/>
      <w:lvlText w:val="%4."/>
      <w:lvlJc w:val="left"/>
      <w:pPr>
        <w:ind w:left="3447" w:hanging="360"/>
      </w:pPr>
      <w:rPr>
        <w:rFonts w:cs="Times New Roman"/>
      </w:rPr>
    </w:lvl>
    <w:lvl w:ilvl="4" w:tplc="330E2D12">
      <w:start w:val="1"/>
      <w:numFmt w:val="lowerLetter"/>
      <w:lvlText w:val="%5."/>
      <w:lvlJc w:val="left"/>
      <w:pPr>
        <w:ind w:left="4167" w:hanging="360"/>
      </w:pPr>
      <w:rPr>
        <w:rFonts w:cs="Times New Roman"/>
      </w:rPr>
    </w:lvl>
    <w:lvl w:ilvl="5" w:tplc="6980C6C2">
      <w:start w:val="1"/>
      <w:numFmt w:val="lowerRoman"/>
      <w:lvlText w:val="%6."/>
      <w:lvlJc w:val="right"/>
      <w:pPr>
        <w:ind w:left="4887" w:hanging="180"/>
      </w:pPr>
      <w:rPr>
        <w:rFonts w:cs="Times New Roman"/>
      </w:rPr>
    </w:lvl>
    <w:lvl w:ilvl="6" w:tplc="9352383A">
      <w:start w:val="1"/>
      <w:numFmt w:val="decimal"/>
      <w:lvlText w:val="%7."/>
      <w:lvlJc w:val="left"/>
      <w:pPr>
        <w:ind w:left="5607" w:hanging="360"/>
      </w:pPr>
      <w:rPr>
        <w:rFonts w:cs="Times New Roman"/>
      </w:rPr>
    </w:lvl>
    <w:lvl w:ilvl="7" w:tplc="51CA46FA">
      <w:start w:val="1"/>
      <w:numFmt w:val="lowerLetter"/>
      <w:lvlText w:val="%8."/>
      <w:lvlJc w:val="left"/>
      <w:pPr>
        <w:ind w:left="6327" w:hanging="360"/>
      </w:pPr>
      <w:rPr>
        <w:rFonts w:cs="Times New Roman"/>
      </w:rPr>
    </w:lvl>
    <w:lvl w:ilvl="8" w:tplc="630EA262">
      <w:start w:val="1"/>
      <w:numFmt w:val="lowerRoman"/>
      <w:lvlText w:val="%9."/>
      <w:lvlJc w:val="right"/>
      <w:pPr>
        <w:ind w:left="7047" w:hanging="180"/>
      </w:pPr>
      <w:rPr>
        <w:rFonts w:cs="Times New Roman"/>
      </w:rPr>
    </w:lvl>
  </w:abstractNum>
  <w:abstractNum w:abstractNumId="15" w15:restartNumberingAfterBreak="0">
    <w:nsid w:val="6D7A39BC"/>
    <w:multiLevelType w:val="multilevel"/>
    <w:tmpl w:val="F64C5FBE"/>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rPr>
    </w:lvl>
  </w:abstractNum>
  <w:abstractNum w:abstractNumId="16" w15:restartNumberingAfterBreak="0">
    <w:nsid w:val="6DAD42C3"/>
    <w:multiLevelType w:val="multilevel"/>
    <w:tmpl w:val="9E129E6C"/>
    <w:lvl w:ilvl="0">
      <w:start w:val="1"/>
      <w:numFmt w:val="lowerLetter"/>
      <w:pStyle w:val="AlphaList"/>
      <w:lvlText w:val="%1)"/>
      <w:lvlJc w:val="left"/>
      <w:pPr>
        <w:tabs>
          <w:tab w:val="num" w:pos="567"/>
        </w:tabs>
        <w:ind w:left="567" w:hanging="567"/>
      </w:pPr>
      <w:rPr>
        <w:rFonts w:cs="Times New Roman" w:hint="default"/>
      </w:rPr>
    </w:lvl>
    <w:lvl w:ilvl="1">
      <w:start w:val="1"/>
      <w:numFmt w:val="lowerLetter"/>
      <w:pStyle w:val="AlphaList"/>
      <w:lvlText w:val="%2."/>
      <w:lvlJc w:val="left"/>
      <w:pPr>
        <w:ind w:left="1440" w:hanging="360"/>
      </w:pPr>
      <w:rPr>
        <w:rFonts w:cs="Times New Roman"/>
      </w:rPr>
    </w:lvl>
    <w:lvl w:ilvl="2">
      <w:start w:val="1"/>
      <w:numFmt w:val="lowerRoman"/>
      <w:pStyle w:val="AlphaList"/>
      <w:lvlText w:val="%3."/>
      <w:lvlJc w:val="right"/>
      <w:pPr>
        <w:ind w:left="2160" w:hanging="180"/>
      </w:pPr>
      <w:rPr>
        <w:rFonts w:cs="Times New Roman"/>
      </w:rPr>
    </w:lvl>
    <w:lvl w:ilvl="3">
      <w:start w:val="1"/>
      <w:numFmt w:val="decimal"/>
      <w:pStyle w:val="AlphaList"/>
      <w:lvlText w:val="%4."/>
      <w:lvlJc w:val="left"/>
      <w:pPr>
        <w:ind w:left="2880" w:hanging="360"/>
      </w:pPr>
      <w:rPr>
        <w:rFonts w:cs="Times New Roman"/>
      </w:rPr>
    </w:lvl>
    <w:lvl w:ilvl="4">
      <w:start w:val="1"/>
      <w:numFmt w:val="lowerLetter"/>
      <w:pStyle w:val="AlphaList"/>
      <w:lvlText w:val="%5."/>
      <w:lvlJc w:val="left"/>
      <w:pPr>
        <w:ind w:left="3600" w:hanging="360"/>
      </w:pPr>
      <w:rPr>
        <w:rFonts w:cs="Times New Roman"/>
      </w:rPr>
    </w:lvl>
    <w:lvl w:ilvl="5">
      <w:start w:val="1"/>
      <w:numFmt w:val="lowerRoman"/>
      <w:pStyle w:val="AlphaList"/>
      <w:lvlText w:val="%6."/>
      <w:lvlJc w:val="right"/>
      <w:pPr>
        <w:ind w:left="4320" w:hanging="180"/>
      </w:pPr>
      <w:rPr>
        <w:rFonts w:cs="Times New Roman"/>
      </w:rPr>
    </w:lvl>
    <w:lvl w:ilvl="6">
      <w:start w:val="1"/>
      <w:numFmt w:val="decimal"/>
      <w:pStyle w:val="AlphaList"/>
      <w:lvlText w:val="%7."/>
      <w:lvlJc w:val="left"/>
      <w:pPr>
        <w:ind w:left="5040" w:hanging="360"/>
      </w:pPr>
      <w:rPr>
        <w:rFonts w:cs="Times New Roman"/>
      </w:rPr>
    </w:lvl>
    <w:lvl w:ilvl="7">
      <w:start w:val="1"/>
      <w:numFmt w:val="lowerLetter"/>
      <w:pStyle w:val="AlphaList"/>
      <w:lvlText w:val="%8."/>
      <w:lvlJc w:val="left"/>
      <w:pPr>
        <w:ind w:left="5760" w:hanging="360"/>
      </w:pPr>
      <w:rPr>
        <w:rFonts w:cs="Times New Roman"/>
      </w:rPr>
    </w:lvl>
    <w:lvl w:ilvl="8">
      <w:start w:val="1"/>
      <w:numFmt w:val="lowerRoman"/>
      <w:pStyle w:val="AlphaList"/>
      <w:lvlText w:val="%9."/>
      <w:lvlJc w:val="right"/>
      <w:pPr>
        <w:ind w:left="6480" w:hanging="180"/>
      </w:pPr>
      <w:rPr>
        <w:rFonts w:cs="Times New Roman"/>
      </w:rPr>
    </w:lvl>
  </w:abstractNum>
  <w:abstractNum w:abstractNumId="17" w15:restartNumberingAfterBreak="0">
    <w:nsid w:val="75981C02"/>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8" w15:restartNumberingAfterBreak="0">
    <w:nsid w:val="78854AAC"/>
    <w:multiLevelType w:val="hybridMultilevel"/>
    <w:tmpl w:val="8D56B7C4"/>
    <w:lvl w:ilvl="0" w:tplc="A76EBCC0">
      <w:start w:val="1"/>
      <w:numFmt w:val="decimal"/>
      <w:pStyle w:val="Normalnumbered"/>
      <w:lvlText w:val="%1."/>
      <w:lvlJc w:val="left"/>
      <w:pPr>
        <w:tabs>
          <w:tab w:val="num" w:pos="567"/>
        </w:tabs>
        <w:ind w:left="567" w:hanging="567"/>
      </w:pPr>
      <w:rPr>
        <w:rFonts w:cs="Times New Roman" w:hint="default"/>
      </w:rPr>
    </w:lvl>
    <w:lvl w:ilvl="1" w:tplc="0C090017">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9" w15:restartNumberingAfterBreak="0">
    <w:nsid w:val="7D980194"/>
    <w:multiLevelType w:val="hybridMultilevel"/>
    <w:tmpl w:val="EEB0634A"/>
    <w:lvl w:ilvl="0" w:tplc="9B9883F0">
      <w:start w:val="1"/>
      <w:numFmt w:val="bullet"/>
      <w:pStyle w:val="BullettedList"/>
      <w:lvlText w:val=""/>
      <w:lvlJc w:val="left"/>
      <w:pPr>
        <w:tabs>
          <w:tab w:val="num" w:pos="360"/>
        </w:tabs>
        <w:ind w:left="360" w:hanging="360"/>
      </w:pPr>
      <w:rPr>
        <w:rFonts w:ascii="Symbol" w:hAnsi="Symbol" w:hint="default"/>
        <w:color w:val="auto"/>
      </w:rPr>
    </w:lvl>
    <w:lvl w:ilvl="1" w:tplc="14FEA248">
      <w:start w:val="1"/>
      <w:numFmt w:val="lowerLetter"/>
      <w:lvlText w:val="%2)"/>
      <w:lvlJc w:val="left"/>
      <w:pPr>
        <w:tabs>
          <w:tab w:val="num" w:pos="1440"/>
        </w:tabs>
        <w:ind w:left="1440" w:hanging="360"/>
      </w:pPr>
      <w:rPr>
        <w:rFonts w:cs="Times New Roman" w:hint="default"/>
        <w:color w:val="auto"/>
      </w:rPr>
    </w:lvl>
    <w:lvl w:ilvl="2" w:tplc="50A8C20C">
      <w:start w:val="1"/>
      <w:numFmt w:val="bullet"/>
      <w:lvlText w:val=""/>
      <w:lvlJc w:val="left"/>
      <w:pPr>
        <w:tabs>
          <w:tab w:val="num" w:pos="2160"/>
        </w:tabs>
        <w:ind w:left="2160" w:hanging="360"/>
      </w:pPr>
      <w:rPr>
        <w:rFonts w:ascii="Wingdings" w:hAnsi="Wingdings" w:hint="default"/>
      </w:rPr>
    </w:lvl>
    <w:lvl w:ilvl="3" w:tplc="D3089726">
      <w:start w:val="1"/>
      <w:numFmt w:val="bullet"/>
      <w:lvlText w:val=""/>
      <w:lvlJc w:val="left"/>
      <w:pPr>
        <w:tabs>
          <w:tab w:val="num" w:pos="2880"/>
        </w:tabs>
        <w:ind w:left="2880" w:hanging="360"/>
      </w:pPr>
      <w:rPr>
        <w:rFonts w:ascii="Symbol" w:hAnsi="Symbol" w:hint="default"/>
      </w:rPr>
    </w:lvl>
    <w:lvl w:ilvl="4" w:tplc="28127F9C">
      <w:start w:val="1"/>
      <w:numFmt w:val="bullet"/>
      <w:lvlText w:val="o"/>
      <w:lvlJc w:val="left"/>
      <w:pPr>
        <w:tabs>
          <w:tab w:val="num" w:pos="3600"/>
        </w:tabs>
        <w:ind w:left="3600" w:hanging="360"/>
      </w:pPr>
      <w:rPr>
        <w:rFonts w:ascii="Courier New" w:hAnsi="Courier New" w:hint="default"/>
      </w:rPr>
    </w:lvl>
    <w:lvl w:ilvl="5" w:tplc="E8C6973A">
      <w:start w:val="1"/>
      <w:numFmt w:val="bullet"/>
      <w:lvlText w:val=""/>
      <w:lvlJc w:val="left"/>
      <w:pPr>
        <w:tabs>
          <w:tab w:val="num" w:pos="4320"/>
        </w:tabs>
        <w:ind w:left="4320" w:hanging="360"/>
      </w:pPr>
      <w:rPr>
        <w:rFonts w:ascii="Wingdings" w:hAnsi="Wingdings" w:hint="default"/>
      </w:rPr>
    </w:lvl>
    <w:lvl w:ilvl="6" w:tplc="3A82D9F2">
      <w:start w:val="1"/>
      <w:numFmt w:val="bullet"/>
      <w:lvlText w:val=""/>
      <w:lvlJc w:val="left"/>
      <w:pPr>
        <w:tabs>
          <w:tab w:val="num" w:pos="5040"/>
        </w:tabs>
        <w:ind w:left="5040" w:hanging="360"/>
      </w:pPr>
      <w:rPr>
        <w:rFonts w:ascii="Symbol" w:hAnsi="Symbol" w:hint="default"/>
      </w:rPr>
    </w:lvl>
    <w:lvl w:ilvl="7" w:tplc="A342A468">
      <w:start w:val="1"/>
      <w:numFmt w:val="bullet"/>
      <w:lvlText w:val="o"/>
      <w:lvlJc w:val="left"/>
      <w:pPr>
        <w:tabs>
          <w:tab w:val="num" w:pos="5760"/>
        </w:tabs>
        <w:ind w:left="5760" w:hanging="360"/>
      </w:pPr>
      <w:rPr>
        <w:rFonts w:ascii="Courier New" w:hAnsi="Courier New" w:hint="default"/>
      </w:rPr>
    </w:lvl>
    <w:lvl w:ilvl="8" w:tplc="D92CFCB4">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1"/>
  </w:num>
  <w:num w:numId="4">
    <w:abstractNumId w:val="2"/>
  </w:num>
  <w:num w:numId="5">
    <w:abstractNumId w:val="12"/>
  </w:num>
  <w:num w:numId="6">
    <w:abstractNumId w:val="0"/>
  </w:num>
  <w:num w:numId="7">
    <w:abstractNumId w:val="13"/>
  </w:num>
  <w:num w:numId="8">
    <w:abstractNumId w:val="8"/>
  </w:num>
  <w:num w:numId="9">
    <w:abstractNumId w:val="18"/>
  </w:num>
  <w:num w:numId="10">
    <w:abstractNumId w:val="15"/>
  </w:num>
  <w:num w:numId="11">
    <w:abstractNumId w:val="16"/>
  </w:num>
  <w:num w:numId="12">
    <w:abstractNumId w:val="19"/>
  </w:num>
  <w:num w:numId="13">
    <w:abstractNumId w:val="14"/>
  </w:num>
  <w:num w:numId="14">
    <w:abstractNumId w:val="5"/>
  </w:num>
  <w:num w:numId="15">
    <w:abstractNumId w:val="10"/>
  </w:num>
  <w:num w:numId="16">
    <w:abstractNumId w:val="17"/>
  </w:num>
  <w:num w:numId="17">
    <w:abstractNumId w:val="6"/>
  </w:num>
  <w:num w:numId="18">
    <w:abstractNumId w:val="7"/>
  </w:num>
  <w:num w:numId="19">
    <w:abstractNumId w:val="1"/>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7E"/>
    <w:rsid w:val="000014B1"/>
    <w:rsid w:val="0000225C"/>
    <w:rsid w:val="00003A92"/>
    <w:rsid w:val="00003EAE"/>
    <w:rsid w:val="00011DA2"/>
    <w:rsid w:val="00012AAE"/>
    <w:rsid w:val="00013A91"/>
    <w:rsid w:val="00023C24"/>
    <w:rsid w:val="000240B5"/>
    <w:rsid w:val="00024B99"/>
    <w:rsid w:val="0002586A"/>
    <w:rsid w:val="00025F50"/>
    <w:rsid w:val="00030F67"/>
    <w:rsid w:val="00034877"/>
    <w:rsid w:val="000375F8"/>
    <w:rsid w:val="00041625"/>
    <w:rsid w:val="0004432A"/>
    <w:rsid w:val="00044E74"/>
    <w:rsid w:val="00045778"/>
    <w:rsid w:val="00045AD7"/>
    <w:rsid w:val="00047FE7"/>
    <w:rsid w:val="00054A8D"/>
    <w:rsid w:val="000550DD"/>
    <w:rsid w:val="0005527C"/>
    <w:rsid w:val="00056C4B"/>
    <w:rsid w:val="00062172"/>
    <w:rsid w:val="000758BF"/>
    <w:rsid w:val="00086B8C"/>
    <w:rsid w:val="000873E5"/>
    <w:rsid w:val="00091BA8"/>
    <w:rsid w:val="000925CD"/>
    <w:rsid w:val="00093235"/>
    <w:rsid w:val="000A1323"/>
    <w:rsid w:val="000A72D2"/>
    <w:rsid w:val="000B09BC"/>
    <w:rsid w:val="000C017B"/>
    <w:rsid w:val="000C1698"/>
    <w:rsid w:val="000D3392"/>
    <w:rsid w:val="000D4B5B"/>
    <w:rsid w:val="000D5B7F"/>
    <w:rsid w:val="000D5C4C"/>
    <w:rsid w:val="000D7C4C"/>
    <w:rsid w:val="000E0783"/>
    <w:rsid w:val="000E3092"/>
    <w:rsid w:val="000E78C0"/>
    <w:rsid w:val="000F354C"/>
    <w:rsid w:val="000F5EB9"/>
    <w:rsid w:val="0010047C"/>
    <w:rsid w:val="00102898"/>
    <w:rsid w:val="00102DDE"/>
    <w:rsid w:val="00105402"/>
    <w:rsid w:val="00105FB1"/>
    <w:rsid w:val="0011223F"/>
    <w:rsid w:val="00113524"/>
    <w:rsid w:val="0011673E"/>
    <w:rsid w:val="001168E4"/>
    <w:rsid w:val="00120218"/>
    <w:rsid w:val="0012049E"/>
    <w:rsid w:val="001273B5"/>
    <w:rsid w:val="001331EC"/>
    <w:rsid w:val="00146B46"/>
    <w:rsid w:val="00150526"/>
    <w:rsid w:val="00151977"/>
    <w:rsid w:val="001637AC"/>
    <w:rsid w:val="00164CEE"/>
    <w:rsid w:val="00166312"/>
    <w:rsid w:val="00170639"/>
    <w:rsid w:val="00170688"/>
    <w:rsid w:val="00170B1A"/>
    <w:rsid w:val="00171B14"/>
    <w:rsid w:val="00172229"/>
    <w:rsid w:val="00172B12"/>
    <w:rsid w:val="00174BD4"/>
    <w:rsid w:val="001755D1"/>
    <w:rsid w:val="00187A15"/>
    <w:rsid w:val="00191251"/>
    <w:rsid w:val="001918B1"/>
    <w:rsid w:val="00192CDE"/>
    <w:rsid w:val="001A652E"/>
    <w:rsid w:val="001B5415"/>
    <w:rsid w:val="001C1144"/>
    <w:rsid w:val="001C56EC"/>
    <w:rsid w:val="001C6B67"/>
    <w:rsid w:val="001D14B8"/>
    <w:rsid w:val="001D47EA"/>
    <w:rsid w:val="001D5134"/>
    <w:rsid w:val="001E4E1F"/>
    <w:rsid w:val="001E67A2"/>
    <w:rsid w:val="001E74D0"/>
    <w:rsid w:val="001F45C6"/>
    <w:rsid w:val="001F5305"/>
    <w:rsid w:val="001F68F6"/>
    <w:rsid w:val="001F7A0E"/>
    <w:rsid w:val="001F7CB8"/>
    <w:rsid w:val="002010E0"/>
    <w:rsid w:val="00206671"/>
    <w:rsid w:val="00213D40"/>
    <w:rsid w:val="00221363"/>
    <w:rsid w:val="00221F0A"/>
    <w:rsid w:val="002268B0"/>
    <w:rsid w:val="00227BC0"/>
    <w:rsid w:val="002311B1"/>
    <w:rsid w:val="002330D9"/>
    <w:rsid w:val="00241B51"/>
    <w:rsid w:val="00243E8B"/>
    <w:rsid w:val="00246FCF"/>
    <w:rsid w:val="002514DE"/>
    <w:rsid w:val="00254BF5"/>
    <w:rsid w:val="0025586C"/>
    <w:rsid w:val="00256AB0"/>
    <w:rsid w:val="00257088"/>
    <w:rsid w:val="00261564"/>
    <w:rsid w:val="002616A0"/>
    <w:rsid w:val="002648E8"/>
    <w:rsid w:val="0026503A"/>
    <w:rsid w:val="002678DE"/>
    <w:rsid w:val="00267B81"/>
    <w:rsid w:val="00270D9D"/>
    <w:rsid w:val="00281AE3"/>
    <w:rsid w:val="00282641"/>
    <w:rsid w:val="00285609"/>
    <w:rsid w:val="00286FA2"/>
    <w:rsid w:val="00292CB8"/>
    <w:rsid w:val="00292F4F"/>
    <w:rsid w:val="002A0ADA"/>
    <w:rsid w:val="002A0B94"/>
    <w:rsid w:val="002A1344"/>
    <w:rsid w:val="002A4DDC"/>
    <w:rsid w:val="002A53DD"/>
    <w:rsid w:val="002A7553"/>
    <w:rsid w:val="002B18D5"/>
    <w:rsid w:val="002B5BE3"/>
    <w:rsid w:val="002C39DE"/>
    <w:rsid w:val="002C5FEA"/>
    <w:rsid w:val="002D0CB9"/>
    <w:rsid w:val="002D3ACC"/>
    <w:rsid w:val="002D46C5"/>
    <w:rsid w:val="002D76C5"/>
    <w:rsid w:val="002E061E"/>
    <w:rsid w:val="002E328E"/>
    <w:rsid w:val="002E723E"/>
    <w:rsid w:val="002F5890"/>
    <w:rsid w:val="003020F6"/>
    <w:rsid w:val="00306502"/>
    <w:rsid w:val="00306791"/>
    <w:rsid w:val="00307C5E"/>
    <w:rsid w:val="0031129A"/>
    <w:rsid w:val="00312179"/>
    <w:rsid w:val="003123F7"/>
    <w:rsid w:val="00314D9E"/>
    <w:rsid w:val="003258BF"/>
    <w:rsid w:val="003259CC"/>
    <w:rsid w:val="00326AD1"/>
    <w:rsid w:val="00326B13"/>
    <w:rsid w:val="00334C02"/>
    <w:rsid w:val="00335A6B"/>
    <w:rsid w:val="00336199"/>
    <w:rsid w:val="003422D5"/>
    <w:rsid w:val="003478BB"/>
    <w:rsid w:val="00347F6D"/>
    <w:rsid w:val="00352194"/>
    <w:rsid w:val="00357F8E"/>
    <w:rsid w:val="0036301F"/>
    <w:rsid w:val="0036688B"/>
    <w:rsid w:val="00376922"/>
    <w:rsid w:val="00377F3C"/>
    <w:rsid w:val="003815E5"/>
    <w:rsid w:val="003820C9"/>
    <w:rsid w:val="00383ACA"/>
    <w:rsid w:val="00384D6E"/>
    <w:rsid w:val="00391D0E"/>
    <w:rsid w:val="00394698"/>
    <w:rsid w:val="003976F6"/>
    <w:rsid w:val="003A1A3E"/>
    <w:rsid w:val="003A2E07"/>
    <w:rsid w:val="003B1409"/>
    <w:rsid w:val="003B149C"/>
    <w:rsid w:val="003B21D1"/>
    <w:rsid w:val="003B6C45"/>
    <w:rsid w:val="003B7DE3"/>
    <w:rsid w:val="003C590D"/>
    <w:rsid w:val="003C6FEC"/>
    <w:rsid w:val="003C7037"/>
    <w:rsid w:val="003C730D"/>
    <w:rsid w:val="003D0FF5"/>
    <w:rsid w:val="003D3A2F"/>
    <w:rsid w:val="003E14C4"/>
    <w:rsid w:val="003E230C"/>
    <w:rsid w:val="003E2CD7"/>
    <w:rsid w:val="003E3308"/>
    <w:rsid w:val="003E59CF"/>
    <w:rsid w:val="003F5357"/>
    <w:rsid w:val="00403BD6"/>
    <w:rsid w:val="004058AB"/>
    <w:rsid w:val="00406094"/>
    <w:rsid w:val="00410DA4"/>
    <w:rsid w:val="00411AEC"/>
    <w:rsid w:val="00411F49"/>
    <w:rsid w:val="0041257A"/>
    <w:rsid w:val="00413980"/>
    <w:rsid w:val="00413EC6"/>
    <w:rsid w:val="00423987"/>
    <w:rsid w:val="00424699"/>
    <w:rsid w:val="00426754"/>
    <w:rsid w:val="004279D2"/>
    <w:rsid w:val="00432B5D"/>
    <w:rsid w:val="00435169"/>
    <w:rsid w:val="00450CC7"/>
    <w:rsid w:val="0045119E"/>
    <w:rsid w:val="00454D37"/>
    <w:rsid w:val="004554D1"/>
    <w:rsid w:val="00455FF8"/>
    <w:rsid w:val="0045685E"/>
    <w:rsid w:val="00456FE1"/>
    <w:rsid w:val="0045732B"/>
    <w:rsid w:val="00464B1D"/>
    <w:rsid w:val="00465565"/>
    <w:rsid w:val="00466411"/>
    <w:rsid w:val="00466976"/>
    <w:rsid w:val="0046735E"/>
    <w:rsid w:val="004705DC"/>
    <w:rsid w:val="00470E82"/>
    <w:rsid w:val="00473439"/>
    <w:rsid w:val="00481B0B"/>
    <w:rsid w:val="00494887"/>
    <w:rsid w:val="00497DC1"/>
    <w:rsid w:val="004A23CE"/>
    <w:rsid w:val="004A3502"/>
    <w:rsid w:val="004B1483"/>
    <w:rsid w:val="004B2FF6"/>
    <w:rsid w:val="004B4105"/>
    <w:rsid w:val="004B764C"/>
    <w:rsid w:val="004C6399"/>
    <w:rsid w:val="004D4FD7"/>
    <w:rsid w:val="004D78CB"/>
    <w:rsid w:val="004E0571"/>
    <w:rsid w:val="004E1366"/>
    <w:rsid w:val="004E4069"/>
    <w:rsid w:val="004E5C62"/>
    <w:rsid w:val="004F6F15"/>
    <w:rsid w:val="00500237"/>
    <w:rsid w:val="005052EB"/>
    <w:rsid w:val="0051547D"/>
    <w:rsid w:val="005160EA"/>
    <w:rsid w:val="00516681"/>
    <w:rsid w:val="00520331"/>
    <w:rsid w:val="005215AD"/>
    <w:rsid w:val="00522C00"/>
    <w:rsid w:val="0052492E"/>
    <w:rsid w:val="00524DF0"/>
    <w:rsid w:val="005252BB"/>
    <w:rsid w:val="00526D66"/>
    <w:rsid w:val="0052720F"/>
    <w:rsid w:val="005304E0"/>
    <w:rsid w:val="00532D46"/>
    <w:rsid w:val="00534699"/>
    <w:rsid w:val="0053594B"/>
    <w:rsid w:val="00536679"/>
    <w:rsid w:val="005371C5"/>
    <w:rsid w:val="0053794F"/>
    <w:rsid w:val="00543CF2"/>
    <w:rsid w:val="00557E9F"/>
    <w:rsid w:val="00564642"/>
    <w:rsid w:val="00571A57"/>
    <w:rsid w:val="00576D34"/>
    <w:rsid w:val="0058036E"/>
    <w:rsid w:val="00582B9D"/>
    <w:rsid w:val="005944CD"/>
    <w:rsid w:val="005971F4"/>
    <w:rsid w:val="005A0BC4"/>
    <w:rsid w:val="005A409C"/>
    <w:rsid w:val="005A5C86"/>
    <w:rsid w:val="005A785C"/>
    <w:rsid w:val="005B43AC"/>
    <w:rsid w:val="005B6897"/>
    <w:rsid w:val="005B7422"/>
    <w:rsid w:val="005C5BE0"/>
    <w:rsid w:val="005C5F3F"/>
    <w:rsid w:val="005C6E07"/>
    <w:rsid w:val="005D34CF"/>
    <w:rsid w:val="005D354B"/>
    <w:rsid w:val="005E0B1E"/>
    <w:rsid w:val="005E36CD"/>
    <w:rsid w:val="005E5731"/>
    <w:rsid w:val="005F7B07"/>
    <w:rsid w:val="006016C6"/>
    <w:rsid w:val="006051B7"/>
    <w:rsid w:val="006131E0"/>
    <w:rsid w:val="00614C99"/>
    <w:rsid w:val="00615F14"/>
    <w:rsid w:val="0061613E"/>
    <w:rsid w:val="00623A09"/>
    <w:rsid w:val="006260DA"/>
    <w:rsid w:val="0062623F"/>
    <w:rsid w:val="006266C5"/>
    <w:rsid w:val="00626E51"/>
    <w:rsid w:val="00634EA2"/>
    <w:rsid w:val="006353DA"/>
    <w:rsid w:val="00635EB2"/>
    <w:rsid w:val="00642796"/>
    <w:rsid w:val="00645CF3"/>
    <w:rsid w:val="00646513"/>
    <w:rsid w:val="00651117"/>
    <w:rsid w:val="006557F7"/>
    <w:rsid w:val="00657AC0"/>
    <w:rsid w:val="00660238"/>
    <w:rsid w:val="0066045D"/>
    <w:rsid w:val="00664B5C"/>
    <w:rsid w:val="00665A82"/>
    <w:rsid w:val="006663CA"/>
    <w:rsid w:val="00670C93"/>
    <w:rsid w:val="00672EF8"/>
    <w:rsid w:val="006744F3"/>
    <w:rsid w:val="00674BD1"/>
    <w:rsid w:val="006835A1"/>
    <w:rsid w:val="0069039D"/>
    <w:rsid w:val="006932B9"/>
    <w:rsid w:val="00693514"/>
    <w:rsid w:val="00695736"/>
    <w:rsid w:val="00695DE1"/>
    <w:rsid w:val="00697B63"/>
    <w:rsid w:val="00697EFC"/>
    <w:rsid w:val="006A2577"/>
    <w:rsid w:val="006A700D"/>
    <w:rsid w:val="006B1FEC"/>
    <w:rsid w:val="006B2276"/>
    <w:rsid w:val="006B38A5"/>
    <w:rsid w:val="006B73B2"/>
    <w:rsid w:val="006C5FD6"/>
    <w:rsid w:val="006C674D"/>
    <w:rsid w:val="006D2308"/>
    <w:rsid w:val="006D2E7E"/>
    <w:rsid w:val="006E26BF"/>
    <w:rsid w:val="006E3E61"/>
    <w:rsid w:val="006F39E8"/>
    <w:rsid w:val="00701076"/>
    <w:rsid w:val="00702027"/>
    <w:rsid w:val="007045EF"/>
    <w:rsid w:val="0070504A"/>
    <w:rsid w:val="007102AF"/>
    <w:rsid w:val="00710578"/>
    <w:rsid w:val="00710A58"/>
    <w:rsid w:val="00711D54"/>
    <w:rsid w:val="00712CD4"/>
    <w:rsid w:val="0071515C"/>
    <w:rsid w:val="007179FE"/>
    <w:rsid w:val="00724B5D"/>
    <w:rsid w:val="00725D61"/>
    <w:rsid w:val="00726ECC"/>
    <w:rsid w:val="00730ACE"/>
    <w:rsid w:val="007322F4"/>
    <w:rsid w:val="007374A0"/>
    <w:rsid w:val="00737A4C"/>
    <w:rsid w:val="00737BBB"/>
    <w:rsid w:val="00740B95"/>
    <w:rsid w:val="00740C7B"/>
    <w:rsid w:val="00741883"/>
    <w:rsid w:val="00741BC1"/>
    <w:rsid w:val="00742F33"/>
    <w:rsid w:val="00743A3B"/>
    <w:rsid w:val="007445C9"/>
    <w:rsid w:val="007538EC"/>
    <w:rsid w:val="00753B56"/>
    <w:rsid w:val="007555DF"/>
    <w:rsid w:val="00756F0C"/>
    <w:rsid w:val="00760C16"/>
    <w:rsid w:val="0076189D"/>
    <w:rsid w:val="00761ECE"/>
    <w:rsid w:val="00762C15"/>
    <w:rsid w:val="0076354F"/>
    <w:rsid w:val="007732AB"/>
    <w:rsid w:val="0077559C"/>
    <w:rsid w:val="00775FCE"/>
    <w:rsid w:val="0078054D"/>
    <w:rsid w:val="0078156F"/>
    <w:rsid w:val="00785C43"/>
    <w:rsid w:val="00792303"/>
    <w:rsid w:val="00793ABA"/>
    <w:rsid w:val="00794FAA"/>
    <w:rsid w:val="00795BE6"/>
    <w:rsid w:val="00795BF2"/>
    <w:rsid w:val="007A07AD"/>
    <w:rsid w:val="007A0B18"/>
    <w:rsid w:val="007A36B5"/>
    <w:rsid w:val="007B0CDF"/>
    <w:rsid w:val="007B1E44"/>
    <w:rsid w:val="007B69EC"/>
    <w:rsid w:val="007B7FDC"/>
    <w:rsid w:val="007C0559"/>
    <w:rsid w:val="007C664E"/>
    <w:rsid w:val="007D43A7"/>
    <w:rsid w:val="007D55E2"/>
    <w:rsid w:val="007D600E"/>
    <w:rsid w:val="007D60F6"/>
    <w:rsid w:val="007E37B4"/>
    <w:rsid w:val="007E7F84"/>
    <w:rsid w:val="007F0686"/>
    <w:rsid w:val="007F231E"/>
    <w:rsid w:val="008031E3"/>
    <w:rsid w:val="00805249"/>
    <w:rsid w:val="008106DA"/>
    <w:rsid w:val="00811C8E"/>
    <w:rsid w:val="0081390E"/>
    <w:rsid w:val="00813BA1"/>
    <w:rsid w:val="008201C5"/>
    <w:rsid w:val="00821A01"/>
    <w:rsid w:val="008461B7"/>
    <w:rsid w:val="00846C3D"/>
    <w:rsid w:val="008479DE"/>
    <w:rsid w:val="00851070"/>
    <w:rsid w:val="00853DC4"/>
    <w:rsid w:val="00856320"/>
    <w:rsid w:val="00862E8C"/>
    <w:rsid w:val="008630BC"/>
    <w:rsid w:val="00864547"/>
    <w:rsid w:val="00866C07"/>
    <w:rsid w:val="00874371"/>
    <w:rsid w:val="00880A5C"/>
    <w:rsid w:val="0088309A"/>
    <w:rsid w:val="00883B42"/>
    <w:rsid w:val="00884E25"/>
    <w:rsid w:val="008858EC"/>
    <w:rsid w:val="00892AB4"/>
    <w:rsid w:val="008949AC"/>
    <w:rsid w:val="00895155"/>
    <w:rsid w:val="00895C19"/>
    <w:rsid w:val="008A02DF"/>
    <w:rsid w:val="008A1747"/>
    <w:rsid w:val="008A1ADB"/>
    <w:rsid w:val="008A2566"/>
    <w:rsid w:val="008B2738"/>
    <w:rsid w:val="008B32C2"/>
    <w:rsid w:val="008C11FF"/>
    <w:rsid w:val="008C23FF"/>
    <w:rsid w:val="008C7CDD"/>
    <w:rsid w:val="008D12CD"/>
    <w:rsid w:val="008D2EFE"/>
    <w:rsid w:val="008D36C0"/>
    <w:rsid w:val="008E5657"/>
    <w:rsid w:val="008F1F0E"/>
    <w:rsid w:val="008F5323"/>
    <w:rsid w:val="00902C70"/>
    <w:rsid w:val="00903748"/>
    <w:rsid w:val="00903874"/>
    <w:rsid w:val="00904DE4"/>
    <w:rsid w:val="00912B42"/>
    <w:rsid w:val="00913044"/>
    <w:rsid w:val="0091451C"/>
    <w:rsid w:val="00916F5D"/>
    <w:rsid w:val="00920FC6"/>
    <w:rsid w:val="00934F9B"/>
    <w:rsid w:val="0093628D"/>
    <w:rsid w:val="00936FD4"/>
    <w:rsid w:val="00937DC6"/>
    <w:rsid w:val="0094198E"/>
    <w:rsid w:val="00943512"/>
    <w:rsid w:val="00950AF2"/>
    <w:rsid w:val="00950DCC"/>
    <w:rsid w:val="0095265D"/>
    <w:rsid w:val="00953742"/>
    <w:rsid w:val="009564F8"/>
    <w:rsid w:val="00956E74"/>
    <w:rsid w:val="00961C19"/>
    <w:rsid w:val="009629ED"/>
    <w:rsid w:val="009629F2"/>
    <w:rsid w:val="00967793"/>
    <w:rsid w:val="00971E73"/>
    <w:rsid w:val="00977256"/>
    <w:rsid w:val="00990792"/>
    <w:rsid w:val="00991B97"/>
    <w:rsid w:val="009956D5"/>
    <w:rsid w:val="00997CA0"/>
    <w:rsid w:val="009A489E"/>
    <w:rsid w:val="009A5FF9"/>
    <w:rsid w:val="009A67F3"/>
    <w:rsid w:val="009A6ADF"/>
    <w:rsid w:val="009B0F83"/>
    <w:rsid w:val="009B1919"/>
    <w:rsid w:val="009B2905"/>
    <w:rsid w:val="009B2DE1"/>
    <w:rsid w:val="009B538E"/>
    <w:rsid w:val="009B7028"/>
    <w:rsid w:val="009C48DE"/>
    <w:rsid w:val="009C68EB"/>
    <w:rsid w:val="009D49F8"/>
    <w:rsid w:val="009E17B0"/>
    <w:rsid w:val="009E2880"/>
    <w:rsid w:val="009E2929"/>
    <w:rsid w:val="009E4D9F"/>
    <w:rsid w:val="009E7480"/>
    <w:rsid w:val="009F4008"/>
    <w:rsid w:val="009F4238"/>
    <w:rsid w:val="009F536E"/>
    <w:rsid w:val="00A00980"/>
    <w:rsid w:val="00A113A9"/>
    <w:rsid w:val="00A11622"/>
    <w:rsid w:val="00A134DE"/>
    <w:rsid w:val="00A17D70"/>
    <w:rsid w:val="00A2009B"/>
    <w:rsid w:val="00A21407"/>
    <w:rsid w:val="00A21A05"/>
    <w:rsid w:val="00A22683"/>
    <w:rsid w:val="00A25E9F"/>
    <w:rsid w:val="00A26CF2"/>
    <w:rsid w:val="00A304B9"/>
    <w:rsid w:val="00A30520"/>
    <w:rsid w:val="00A342D3"/>
    <w:rsid w:val="00A36A37"/>
    <w:rsid w:val="00A40C62"/>
    <w:rsid w:val="00A4144A"/>
    <w:rsid w:val="00A43902"/>
    <w:rsid w:val="00A459E0"/>
    <w:rsid w:val="00A512C0"/>
    <w:rsid w:val="00A54DD4"/>
    <w:rsid w:val="00A567F0"/>
    <w:rsid w:val="00A6718F"/>
    <w:rsid w:val="00A74588"/>
    <w:rsid w:val="00A75DF2"/>
    <w:rsid w:val="00A7767B"/>
    <w:rsid w:val="00A86184"/>
    <w:rsid w:val="00A94024"/>
    <w:rsid w:val="00AA0E00"/>
    <w:rsid w:val="00AA2E42"/>
    <w:rsid w:val="00AA45EF"/>
    <w:rsid w:val="00AA64AF"/>
    <w:rsid w:val="00AB1B9F"/>
    <w:rsid w:val="00AC0B68"/>
    <w:rsid w:val="00AC5296"/>
    <w:rsid w:val="00AC530A"/>
    <w:rsid w:val="00AC6A39"/>
    <w:rsid w:val="00AD0639"/>
    <w:rsid w:val="00AD1B9D"/>
    <w:rsid w:val="00AD2E8B"/>
    <w:rsid w:val="00AD3518"/>
    <w:rsid w:val="00AD483C"/>
    <w:rsid w:val="00AE7B92"/>
    <w:rsid w:val="00AF2007"/>
    <w:rsid w:val="00AF2429"/>
    <w:rsid w:val="00AF6AFA"/>
    <w:rsid w:val="00B06563"/>
    <w:rsid w:val="00B07788"/>
    <w:rsid w:val="00B16941"/>
    <w:rsid w:val="00B172DA"/>
    <w:rsid w:val="00B21E7E"/>
    <w:rsid w:val="00B24B34"/>
    <w:rsid w:val="00B2724A"/>
    <w:rsid w:val="00B276EB"/>
    <w:rsid w:val="00B314DA"/>
    <w:rsid w:val="00B328FD"/>
    <w:rsid w:val="00B33F8E"/>
    <w:rsid w:val="00B36CBE"/>
    <w:rsid w:val="00B37AF0"/>
    <w:rsid w:val="00B37EA8"/>
    <w:rsid w:val="00B42587"/>
    <w:rsid w:val="00B44EEC"/>
    <w:rsid w:val="00B5572D"/>
    <w:rsid w:val="00B5581B"/>
    <w:rsid w:val="00B55C78"/>
    <w:rsid w:val="00B64B72"/>
    <w:rsid w:val="00B65FDC"/>
    <w:rsid w:val="00B6768A"/>
    <w:rsid w:val="00B704A8"/>
    <w:rsid w:val="00B71936"/>
    <w:rsid w:val="00B7652F"/>
    <w:rsid w:val="00B83A11"/>
    <w:rsid w:val="00B920EA"/>
    <w:rsid w:val="00B934F5"/>
    <w:rsid w:val="00B960B9"/>
    <w:rsid w:val="00BA2E35"/>
    <w:rsid w:val="00BA56A2"/>
    <w:rsid w:val="00BA67A7"/>
    <w:rsid w:val="00BB0F3B"/>
    <w:rsid w:val="00BB5A3F"/>
    <w:rsid w:val="00BB5AE1"/>
    <w:rsid w:val="00BC0F74"/>
    <w:rsid w:val="00BC3EE5"/>
    <w:rsid w:val="00BC5FA5"/>
    <w:rsid w:val="00BD1061"/>
    <w:rsid w:val="00BD10DF"/>
    <w:rsid w:val="00BD44D2"/>
    <w:rsid w:val="00BD6CB7"/>
    <w:rsid w:val="00BE1840"/>
    <w:rsid w:val="00BE19EA"/>
    <w:rsid w:val="00BE4B5C"/>
    <w:rsid w:val="00BE6FD1"/>
    <w:rsid w:val="00BE73AE"/>
    <w:rsid w:val="00BF0182"/>
    <w:rsid w:val="00BF5863"/>
    <w:rsid w:val="00BF7C9F"/>
    <w:rsid w:val="00BF7CA1"/>
    <w:rsid w:val="00C02A8D"/>
    <w:rsid w:val="00C0629B"/>
    <w:rsid w:val="00C151F8"/>
    <w:rsid w:val="00C15F0F"/>
    <w:rsid w:val="00C22701"/>
    <w:rsid w:val="00C26A29"/>
    <w:rsid w:val="00C27447"/>
    <w:rsid w:val="00C31746"/>
    <w:rsid w:val="00C44D75"/>
    <w:rsid w:val="00C450B4"/>
    <w:rsid w:val="00C50000"/>
    <w:rsid w:val="00C51281"/>
    <w:rsid w:val="00C5363A"/>
    <w:rsid w:val="00C60217"/>
    <w:rsid w:val="00C61EB5"/>
    <w:rsid w:val="00C65B2D"/>
    <w:rsid w:val="00C71C55"/>
    <w:rsid w:val="00C75F10"/>
    <w:rsid w:val="00C84398"/>
    <w:rsid w:val="00C85701"/>
    <w:rsid w:val="00C85D70"/>
    <w:rsid w:val="00C9144D"/>
    <w:rsid w:val="00C92A30"/>
    <w:rsid w:val="00CA34B2"/>
    <w:rsid w:val="00CA4D0B"/>
    <w:rsid w:val="00CA4F7A"/>
    <w:rsid w:val="00CB5B74"/>
    <w:rsid w:val="00CC2C29"/>
    <w:rsid w:val="00CC7566"/>
    <w:rsid w:val="00CD3DC7"/>
    <w:rsid w:val="00CD5739"/>
    <w:rsid w:val="00CE11F9"/>
    <w:rsid w:val="00CE34D7"/>
    <w:rsid w:val="00CE5578"/>
    <w:rsid w:val="00CF6596"/>
    <w:rsid w:val="00D027F7"/>
    <w:rsid w:val="00D02BA9"/>
    <w:rsid w:val="00D03F9B"/>
    <w:rsid w:val="00D12D35"/>
    <w:rsid w:val="00D136B3"/>
    <w:rsid w:val="00D179BE"/>
    <w:rsid w:val="00D23AF6"/>
    <w:rsid w:val="00D24267"/>
    <w:rsid w:val="00D25B98"/>
    <w:rsid w:val="00D2629A"/>
    <w:rsid w:val="00D3241C"/>
    <w:rsid w:val="00D42064"/>
    <w:rsid w:val="00D42934"/>
    <w:rsid w:val="00D430F7"/>
    <w:rsid w:val="00D43E61"/>
    <w:rsid w:val="00D45B7E"/>
    <w:rsid w:val="00D45D49"/>
    <w:rsid w:val="00D517E6"/>
    <w:rsid w:val="00D523AA"/>
    <w:rsid w:val="00D52EC8"/>
    <w:rsid w:val="00D5437C"/>
    <w:rsid w:val="00D579C1"/>
    <w:rsid w:val="00D57B16"/>
    <w:rsid w:val="00D60677"/>
    <w:rsid w:val="00D633A7"/>
    <w:rsid w:val="00D67F9A"/>
    <w:rsid w:val="00D70214"/>
    <w:rsid w:val="00D703F6"/>
    <w:rsid w:val="00D70F2B"/>
    <w:rsid w:val="00D77C3A"/>
    <w:rsid w:val="00D81D66"/>
    <w:rsid w:val="00D83DE1"/>
    <w:rsid w:val="00D92955"/>
    <w:rsid w:val="00D92C97"/>
    <w:rsid w:val="00DA058B"/>
    <w:rsid w:val="00DA3B2B"/>
    <w:rsid w:val="00DA5878"/>
    <w:rsid w:val="00DA68EA"/>
    <w:rsid w:val="00DA69C4"/>
    <w:rsid w:val="00DB3377"/>
    <w:rsid w:val="00DB59F5"/>
    <w:rsid w:val="00DB5DD6"/>
    <w:rsid w:val="00DB6AE7"/>
    <w:rsid w:val="00DB7FCA"/>
    <w:rsid w:val="00DC0703"/>
    <w:rsid w:val="00DC188E"/>
    <w:rsid w:val="00DD2E0A"/>
    <w:rsid w:val="00DD68A3"/>
    <w:rsid w:val="00DE0B15"/>
    <w:rsid w:val="00DE28F3"/>
    <w:rsid w:val="00DE34B4"/>
    <w:rsid w:val="00DE39E4"/>
    <w:rsid w:val="00DE4056"/>
    <w:rsid w:val="00DE692E"/>
    <w:rsid w:val="00DE6BDB"/>
    <w:rsid w:val="00DF0CC5"/>
    <w:rsid w:val="00DF2B7E"/>
    <w:rsid w:val="00DF33A8"/>
    <w:rsid w:val="00DF351A"/>
    <w:rsid w:val="00DF41AC"/>
    <w:rsid w:val="00E0008F"/>
    <w:rsid w:val="00E00D48"/>
    <w:rsid w:val="00E10974"/>
    <w:rsid w:val="00E12F01"/>
    <w:rsid w:val="00E13456"/>
    <w:rsid w:val="00E141A1"/>
    <w:rsid w:val="00E151E6"/>
    <w:rsid w:val="00E153AF"/>
    <w:rsid w:val="00E22229"/>
    <w:rsid w:val="00E27404"/>
    <w:rsid w:val="00E37B4C"/>
    <w:rsid w:val="00E4007F"/>
    <w:rsid w:val="00E41DFF"/>
    <w:rsid w:val="00E43636"/>
    <w:rsid w:val="00E43CEF"/>
    <w:rsid w:val="00E447D2"/>
    <w:rsid w:val="00E47C62"/>
    <w:rsid w:val="00E503CB"/>
    <w:rsid w:val="00E51046"/>
    <w:rsid w:val="00E520B3"/>
    <w:rsid w:val="00E60585"/>
    <w:rsid w:val="00E61E47"/>
    <w:rsid w:val="00E61FE1"/>
    <w:rsid w:val="00E65248"/>
    <w:rsid w:val="00E66A12"/>
    <w:rsid w:val="00E66FF0"/>
    <w:rsid w:val="00E67F72"/>
    <w:rsid w:val="00E73924"/>
    <w:rsid w:val="00E75BBD"/>
    <w:rsid w:val="00E766C0"/>
    <w:rsid w:val="00E76E07"/>
    <w:rsid w:val="00E77CDD"/>
    <w:rsid w:val="00E8160C"/>
    <w:rsid w:val="00E8431B"/>
    <w:rsid w:val="00E84CEE"/>
    <w:rsid w:val="00EA201E"/>
    <w:rsid w:val="00EA76D3"/>
    <w:rsid w:val="00EB0830"/>
    <w:rsid w:val="00EC468B"/>
    <w:rsid w:val="00EC7B84"/>
    <w:rsid w:val="00ED76DB"/>
    <w:rsid w:val="00EE3A90"/>
    <w:rsid w:val="00EE673A"/>
    <w:rsid w:val="00EF12E8"/>
    <w:rsid w:val="00F00003"/>
    <w:rsid w:val="00F00938"/>
    <w:rsid w:val="00F0314A"/>
    <w:rsid w:val="00F05A8B"/>
    <w:rsid w:val="00F06F33"/>
    <w:rsid w:val="00F073B0"/>
    <w:rsid w:val="00F10C35"/>
    <w:rsid w:val="00F12AA8"/>
    <w:rsid w:val="00F14AB9"/>
    <w:rsid w:val="00F16280"/>
    <w:rsid w:val="00F20501"/>
    <w:rsid w:val="00F2328A"/>
    <w:rsid w:val="00F2493A"/>
    <w:rsid w:val="00F2796D"/>
    <w:rsid w:val="00F30A59"/>
    <w:rsid w:val="00F368C9"/>
    <w:rsid w:val="00F437C8"/>
    <w:rsid w:val="00F43C6E"/>
    <w:rsid w:val="00F43E64"/>
    <w:rsid w:val="00F45540"/>
    <w:rsid w:val="00F461D5"/>
    <w:rsid w:val="00F52240"/>
    <w:rsid w:val="00F53028"/>
    <w:rsid w:val="00F627AB"/>
    <w:rsid w:val="00F6354B"/>
    <w:rsid w:val="00F64102"/>
    <w:rsid w:val="00F654E0"/>
    <w:rsid w:val="00F8223F"/>
    <w:rsid w:val="00F9039F"/>
    <w:rsid w:val="00F91C6A"/>
    <w:rsid w:val="00F939E2"/>
    <w:rsid w:val="00F961DF"/>
    <w:rsid w:val="00FA2DAE"/>
    <w:rsid w:val="00FA486F"/>
    <w:rsid w:val="00FB0F1F"/>
    <w:rsid w:val="00FC0A11"/>
    <w:rsid w:val="00FC0C06"/>
    <w:rsid w:val="00FC248E"/>
    <w:rsid w:val="00FC3672"/>
    <w:rsid w:val="00FC55E9"/>
    <w:rsid w:val="00FD4D69"/>
    <w:rsid w:val="00FD569D"/>
    <w:rsid w:val="00FD5D35"/>
    <w:rsid w:val="00FD652B"/>
    <w:rsid w:val="00FD78BF"/>
    <w:rsid w:val="00FE0271"/>
    <w:rsid w:val="00FE089D"/>
    <w:rsid w:val="00FE2DC7"/>
    <w:rsid w:val="00FE421E"/>
    <w:rsid w:val="00FE7F17"/>
    <w:rsid w:val="00FF1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5CEA01"/>
  <w14:defaultImageDpi w14:val="0"/>
  <w15:docId w15:val="{4FB73E81-21D8-497D-B2A7-B947A97F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locked="1" w:uiPriority="0"/>
    <w:lsdException w:name="caption" w:locked="1" w:semiHidden="1" w:uiPriority="0" w:unhideWhenUsed="1" w:qFormat="1"/>
    <w:lsdException w:name="page number" w:locked="1" w:uiPriority="0"/>
    <w:lsdException w:name="List Number" w:semiHidden="1" w:unhideWhenUsed="1"/>
    <w:lsdException w:name="List 4" w:semiHidden="1" w:unhideWhenUsed="1"/>
    <w:lsdException w:name="List 5" w:semiHidden="1" w:unhideWhenUsed="1"/>
    <w:lsdException w:name="Title" w:locked="1" w:qFormat="1"/>
    <w:lsdException w:name="Default Paragraph Font" w:semiHidden="1" w:uiPriority="1" w:unhideWhenUsed="1"/>
    <w:lsdException w:name="Subtitle" w:locked="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locked="1" w:uiPriority="0" w:qFormat="1"/>
    <w:lsdException w:name="Emphasis" w:locked="1" w:uiPriority="0" w:qFormat="1"/>
    <w:lsdException w:name="Normal (Web)" w:locked="1" w:uiPriority="0"/>
    <w:lsdException w:name="HTML Acronym"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A58"/>
    <w:rPr>
      <w:rFonts w:ascii="Corbel" w:hAnsi="Corbel"/>
      <w:color w:val="000000" w:themeColor="text1"/>
      <w:sz w:val="23"/>
      <w:szCs w:val="24"/>
    </w:rPr>
  </w:style>
  <w:style w:type="paragraph" w:styleId="Heading1">
    <w:name w:val="heading 1"/>
    <w:basedOn w:val="Normal"/>
    <w:next w:val="Normal"/>
    <w:link w:val="Heading1Char"/>
    <w:uiPriority w:val="9"/>
    <w:qFormat/>
    <w:rsid w:val="00A17D70"/>
    <w:pPr>
      <w:keepNext/>
      <w:keepLines/>
      <w:spacing w:before="480"/>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9"/>
    <w:qFormat/>
    <w:rsid w:val="00A17D70"/>
    <w:pPr>
      <w:keepNext/>
      <w:keepLines/>
      <w:spacing w:before="200"/>
      <w:outlineLvl w:val="1"/>
    </w:pPr>
    <w:rPr>
      <w:rFonts w:cs="Arial"/>
      <w:b/>
      <w:bCs/>
      <w:iCs/>
      <w:color w:val="3D4B67"/>
      <w:sz w:val="29"/>
      <w:szCs w:val="28"/>
    </w:rPr>
  </w:style>
  <w:style w:type="paragraph" w:styleId="Heading3">
    <w:name w:val="heading 3"/>
    <w:basedOn w:val="Normal"/>
    <w:next w:val="Normal"/>
    <w:link w:val="Heading3Char"/>
    <w:uiPriority w:val="99"/>
    <w:qFormat/>
    <w:rsid w:val="00A17D70"/>
    <w:pPr>
      <w:keepNext/>
      <w:spacing w:before="240" w:after="240"/>
      <w:outlineLvl w:val="2"/>
    </w:pPr>
    <w:rPr>
      <w:rFonts w:ascii="Consolas" w:hAnsi="Consolas"/>
      <w:b/>
      <w:color w:val="3D4B67"/>
      <w:szCs w:val="20"/>
    </w:rPr>
  </w:style>
  <w:style w:type="paragraph" w:styleId="Heading9">
    <w:name w:val="heading 9"/>
    <w:basedOn w:val="CoverTitleMain"/>
    <w:next w:val="Normal"/>
    <w:link w:val="Heading9Char"/>
    <w:uiPriority w:val="99"/>
    <w:qFormat/>
    <w:pPr>
      <w:numPr>
        <w:ilvl w:val="8"/>
        <w:numId w:val="10"/>
      </w:numPr>
      <w:spacing w:before="120" w:after="120"/>
      <w:jc w:val="right"/>
      <w:outlineLvl w:val="8"/>
    </w:pPr>
    <w:rPr>
      <w:rFonts w:ascii="Corbel" w:hAnsi="Corbel" w:cs="Corbel"/>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17D70"/>
    <w:rPr>
      <w:rFonts w:ascii="Consolas" w:hAnsi="Consolas" w:cs="Arial"/>
      <w:bCs/>
      <w:caps/>
      <w:color w:val="3D4B67"/>
      <w:kern w:val="32"/>
      <w:sz w:val="36"/>
      <w:szCs w:val="36"/>
    </w:rPr>
  </w:style>
  <w:style w:type="character" w:customStyle="1" w:styleId="Heading2Char">
    <w:name w:val="Heading 2 Char"/>
    <w:basedOn w:val="DefaultParagraphFont"/>
    <w:link w:val="Heading2"/>
    <w:uiPriority w:val="99"/>
    <w:locked/>
    <w:rsid w:val="00A17D70"/>
    <w:rPr>
      <w:rFonts w:ascii="Corbel" w:hAnsi="Corbel" w:cs="Arial"/>
      <w:b/>
      <w:bCs/>
      <w:iCs/>
      <w:color w:val="3D4B67"/>
      <w:sz w:val="28"/>
      <w:szCs w:val="28"/>
    </w:rPr>
  </w:style>
  <w:style w:type="character" w:customStyle="1" w:styleId="Heading3Char">
    <w:name w:val="Heading 3 Char"/>
    <w:basedOn w:val="DefaultParagraphFont"/>
    <w:link w:val="Heading3"/>
    <w:uiPriority w:val="99"/>
    <w:locked/>
    <w:rsid w:val="00A17D70"/>
    <w:rPr>
      <w:rFonts w:ascii="Consolas" w:hAnsi="Consolas" w:cs="Times New Roman"/>
      <w:b/>
      <w:color w:val="3D4B67"/>
      <w:sz w:val="23"/>
    </w:rPr>
  </w:style>
  <w:style w:type="character" w:customStyle="1" w:styleId="Heading9Char">
    <w:name w:val="Heading 9 Char"/>
    <w:basedOn w:val="DefaultParagraphFont"/>
    <w:link w:val="Heading9"/>
    <w:uiPriority w:val="99"/>
    <w:locked/>
    <w:rPr>
      <w:rFonts w:ascii="Corbel" w:hAnsi="Corbel" w:cs="Corbel"/>
      <w:color w:val="3D4B67"/>
      <w:sz w:val="36"/>
      <w:szCs w:val="36"/>
    </w:rPr>
  </w:style>
  <w:style w:type="paragraph" w:styleId="ListParagraph">
    <w:name w:val="List Paragraph"/>
    <w:basedOn w:val="Normal"/>
    <w:uiPriority w:val="34"/>
    <w:qFormat/>
    <w:rsid w:val="00B21E7E"/>
    <w:pPr>
      <w:ind w:left="720"/>
    </w:pPr>
  </w:style>
  <w:style w:type="character" w:styleId="CommentReference">
    <w:name w:val="annotation reference"/>
    <w:basedOn w:val="DefaultParagraphFont"/>
    <w:uiPriority w:val="99"/>
    <w:semiHidden/>
    <w:rsid w:val="00B21E7E"/>
    <w:rPr>
      <w:rFonts w:cs="Times New Roman"/>
      <w:sz w:val="16"/>
      <w:szCs w:val="16"/>
    </w:rPr>
  </w:style>
  <w:style w:type="paragraph" w:styleId="CommentText">
    <w:name w:val="annotation text"/>
    <w:basedOn w:val="Normal"/>
    <w:link w:val="CommentTextChar"/>
    <w:uiPriority w:val="99"/>
    <w:semiHidden/>
    <w:rsid w:val="00B21E7E"/>
    <w:rPr>
      <w:sz w:val="20"/>
      <w:szCs w:val="20"/>
    </w:rPr>
  </w:style>
  <w:style w:type="character" w:customStyle="1" w:styleId="CommentTextChar">
    <w:name w:val="Comment Text Char"/>
    <w:basedOn w:val="DefaultParagraphFont"/>
    <w:link w:val="CommentText"/>
    <w:uiPriority w:val="99"/>
    <w:locked/>
    <w:rsid w:val="00B21E7E"/>
    <w:rPr>
      <w:rFonts w:cs="Times New Roman"/>
    </w:rPr>
  </w:style>
  <w:style w:type="paragraph" w:styleId="BalloonText">
    <w:name w:val="Balloon Text"/>
    <w:basedOn w:val="Normal"/>
    <w:link w:val="BalloonTextChar"/>
    <w:uiPriority w:val="99"/>
    <w:semiHidden/>
    <w:rsid w:val="00B21E7E"/>
    <w:rPr>
      <w:rFonts w:ascii="Tahoma" w:hAnsi="Tahoma" w:cs="Tahoma"/>
      <w:sz w:val="16"/>
      <w:szCs w:val="16"/>
    </w:rPr>
  </w:style>
  <w:style w:type="character" w:customStyle="1" w:styleId="BalloonTextChar">
    <w:name w:val="Balloon Text Char"/>
    <w:basedOn w:val="DefaultParagraphFont"/>
    <w:link w:val="BalloonText"/>
    <w:uiPriority w:val="99"/>
    <w:locked/>
    <w:rsid w:val="00B21E7E"/>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NumberedParagraph">
    <w:name w:val="Numbered Paragraph"/>
    <w:basedOn w:val="Normal"/>
    <w:uiPriority w:val="99"/>
    <w:pPr>
      <w:spacing w:after="240"/>
    </w:pPr>
  </w:style>
  <w:style w:type="paragraph" w:customStyle="1" w:styleId="Bullet">
    <w:name w:val="Bullet"/>
    <w:basedOn w:val="Normal"/>
    <w:link w:val="BulletChar"/>
    <w:uiPriority w:val="99"/>
    <w:pPr>
      <w:numPr>
        <w:numId w:val="1"/>
      </w:numPr>
      <w:spacing w:after="240"/>
    </w:pPr>
  </w:style>
  <w:style w:type="paragraph" w:customStyle="1" w:styleId="Dash">
    <w:name w:val="Dash"/>
    <w:basedOn w:val="Normal"/>
    <w:uiPriority w:val="99"/>
    <w:pPr>
      <w:numPr>
        <w:ilvl w:val="1"/>
        <w:numId w:val="1"/>
      </w:numPr>
      <w:spacing w:after="240"/>
    </w:pPr>
  </w:style>
  <w:style w:type="paragraph" w:customStyle="1" w:styleId="DoubleDot">
    <w:name w:val="Double Dot"/>
    <w:basedOn w:val="Normal"/>
    <w:uiPriority w:val="99"/>
    <w:pPr>
      <w:numPr>
        <w:ilvl w:val="2"/>
        <w:numId w:val="1"/>
      </w:numPr>
      <w:spacing w:after="240"/>
    </w:pPr>
  </w:style>
  <w:style w:type="character" w:customStyle="1" w:styleId="BulletChar">
    <w:name w:val="Bullet Char"/>
    <w:basedOn w:val="DefaultParagraphFont"/>
    <w:link w:val="Bullet"/>
    <w:uiPriority w:val="99"/>
    <w:locked/>
    <w:rPr>
      <w:rFonts w:ascii="Corbel" w:hAnsi="Corbel" w:cs="Times New Roman"/>
      <w:color w:val="000000" w:themeColor="text1"/>
      <w:sz w:val="24"/>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pPr>
      <w:spacing w:before="100" w:beforeAutospacing="1" w:after="100" w:afterAutospacing="1"/>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locked/>
    <w:rPr>
      <w:rFonts w:cs="Times New Roman"/>
      <w:b/>
      <w:bCs/>
    </w:rPr>
  </w:style>
  <w:style w:type="paragraph" w:styleId="FootnoteText">
    <w:name w:val="footnote text"/>
    <w:basedOn w:val="Normal"/>
    <w:link w:val="FootnoteTextChar"/>
    <w:uiPriority w:val="99"/>
    <w:semiHidden/>
    <w:pPr>
      <w:spacing w:after="240"/>
    </w:pPr>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styleId="FootnoteReference">
    <w:name w:val="footnote reference"/>
    <w:basedOn w:val="DefaultParagraphFont"/>
    <w:uiPriority w:val="99"/>
    <w:semiHidden/>
    <w:rPr>
      <w:rFonts w:cs="Times New Roman"/>
      <w:vertAlign w:val="superscript"/>
    </w:rPr>
  </w:style>
  <w:style w:type="table" w:styleId="Table3Deffects3">
    <w:name w:val="Table 3D effects 3"/>
    <w:basedOn w:val="TableNormal"/>
    <w:uiPriority w:val="9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Pr>
      <w:sz w:val="24"/>
      <w:szCs w:val="24"/>
    </w:rPr>
  </w:style>
  <w:style w:type="character" w:styleId="HTMLAcronym">
    <w:name w:val="HTML Acronym"/>
    <w:basedOn w:val="DefaultParagraphFont"/>
    <w:uiPriority w:val="99"/>
    <w:rPr>
      <w:rFonts w:cs="Times New Roman"/>
    </w:rPr>
  </w:style>
  <w:style w:type="character" w:styleId="Strong">
    <w:name w:val="Strong"/>
    <w:basedOn w:val="DefaultParagraphFont"/>
    <w:uiPriority w:val="99"/>
    <w:qFormat/>
    <w:rPr>
      <w:rFonts w:cs="Times New Roman"/>
      <w:b/>
      <w:bCs/>
    </w:rPr>
  </w:style>
  <w:style w:type="paragraph" w:customStyle="1" w:styleId="Default">
    <w:name w:val="Default"/>
    <w:uiPriority w:val="99"/>
    <w:pPr>
      <w:autoSpaceDE w:val="0"/>
      <w:autoSpaceDN w:val="0"/>
      <w:adjustRightInd w:val="0"/>
    </w:pPr>
    <w:rPr>
      <w:rFonts w:ascii="Corbel" w:hAnsi="Corbel" w:cs="Corbel"/>
      <w:color w:val="000000"/>
      <w:sz w:val="24"/>
      <w:szCs w:val="24"/>
    </w:rPr>
  </w:style>
  <w:style w:type="paragraph" w:customStyle="1" w:styleId="SingleParagraph">
    <w:name w:val="Single Paragraph"/>
    <w:basedOn w:val="Normal"/>
    <w:uiPriority w:val="99"/>
  </w:style>
  <w:style w:type="paragraph" w:customStyle="1" w:styleId="CoverTitleMain">
    <w:name w:val="Cover Title Main"/>
    <w:basedOn w:val="Normal"/>
    <w:next w:val="Normal"/>
    <w:uiPriority w:val="99"/>
    <w:pPr>
      <w:keepNext/>
    </w:pPr>
    <w:rPr>
      <w:rFonts w:ascii="Consolas" w:hAnsi="Consolas" w:cs="Consolas"/>
      <w:caps/>
      <w:color w:val="3D4B67"/>
      <w:sz w:val="84"/>
      <w:szCs w:val="84"/>
    </w:rPr>
  </w:style>
  <w:style w:type="paragraph" w:customStyle="1" w:styleId="CoverTitleSub">
    <w:name w:val="Cover Title Sub"/>
    <w:basedOn w:val="Normal"/>
    <w:uiPriority w:val="99"/>
    <w:pPr>
      <w:keepNext/>
    </w:pPr>
    <w:rPr>
      <w:rFonts w:cs="Corbel"/>
      <w:color w:val="FFFFFF"/>
      <w:sz w:val="36"/>
      <w:szCs w:val="36"/>
    </w:rPr>
  </w:style>
  <w:style w:type="paragraph" w:customStyle="1" w:styleId="StatesList">
    <w:name w:val="StatesList"/>
    <w:basedOn w:val="AgreementParties"/>
    <w:uiPriority w:val="99"/>
    <w:pPr>
      <w:numPr>
        <w:numId w:val="2"/>
      </w:numPr>
    </w:pPr>
  </w:style>
  <w:style w:type="paragraph" w:customStyle="1" w:styleId="Abstract">
    <w:name w:val="Abstract"/>
    <w:basedOn w:val="Normal"/>
    <w:uiPriority w:val="99"/>
    <w:pPr>
      <w:spacing w:before="240"/>
    </w:pPr>
    <w:rPr>
      <w:rFonts w:ascii="Consolas" w:hAnsi="Consolas" w:cs="Consolas"/>
      <w:color w:val="3D4B67"/>
      <w:sz w:val="20"/>
      <w:szCs w:val="20"/>
    </w:rPr>
  </w:style>
  <w:style w:type="paragraph" w:customStyle="1" w:styleId="AgreementHeading">
    <w:name w:val="AgreementHeading"/>
    <w:basedOn w:val="StatesList"/>
    <w:next w:val="StatesList"/>
    <w:uiPriority w:val="99"/>
    <w:pPr>
      <w:numPr>
        <w:numId w:val="0"/>
      </w:numPr>
      <w:ind w:left="1560"/>
    </w:pPr>
  </w:style>
  <w:style w:type="paragraph" w:customStyle="1" w:styleId="AgreementParties">
    <w:name w:val="AgreementParties"/>
    <w:uiPriority w:val="99"/>
    <w:pPr>
      <w:numPr>
        <w:numId w:val="3"/>
      </w:numPr>
      <w:spacing w:before="120" w:after="120"/>
    </w:pPr>
    <w:rPr>
      <w:rFonts w:ascii="Consolas" w:hAnsi="Consolas" w:cs="Consolas"/>
      <w:color w:val="3D4B67"/>
      <w:sz w:val="30"/>
      <w:szCs w:val="30"/>
      <w:lang w:eastAsia="ja-JP"/>
    </w:rPr>
  </w:style>
  <w:style w:type="paragraph" w:customStyle="1" w:styleId="OutlineNumbered1">
    <w:name w:val="Outline Numbered 1"/>
    <w:basedOn w:val="Normal"/>
    <w:uiPriority w:val="99"/>
    <w:pPr>
      <w:numPr>
        <w:numId w:val="4"/>
      </w:numPr>
      <w:spacing w:after="240" w:line="260" w:lineRule="exact"/>
      <w:jc w:val="both"/>
    </w:pPr>
    <w:rPr>
      <w:rFonts w:cs="Corbel"/>
      <w:color w:val="000000"/>
      <w:szCs w:val="23"/>
    </w:rPr>
  </w:style>
  <w:style w:type="paragraph" w:customStyle="1" w:styleId="OutlineNumbered2">
    <w:name w:val="Outline Numbered 2"/>
    <w:basedOn w:val="Normal"/>
    <w:uiPriority w:val="99"/>
    <w:pPr>
      <w:numPr>
        <w:ilvl w:val="1"/>
        <w:numId w:val="4"/>
      </w:numPr>
      <w:spacing w:after="240" w:line="260" w:lineRule="exact"/>
      <w:jc w:val="both"/>
    </w:pPr>
    <w:rPr>
      <w:rFonts w:cs="Corbel"/>
      <w:color w:val="000000"/>
      <w:szCs w:val="23"/>
    </w:rPr>
  </w:style>
  <w:style w:type="paragraph" w:customStyle="1" w:styleId="OutlineNumbered3">
    <w:name w:val="Outline Numbered 3"/>
    <w:basedOn w:val="Normal"/>
    <w:uiPriority w:val="99"/>
    <w:pPr>
      <w:numPr>
        <w:ilvl w:val="2"/>
        <w:numId w:val="4"/>
      </w:numPr>
      <w:spacing w:after="240" w:line="260" w:lineRule="exact"/>
      <w:jc w:val="both"/>
    </w:pPr>
    <w:rPr>
      <w:rFonts w:cs="Corbel"/>
      <w:color w:val="000000"/>
      <w:szCs w:val="23"/>
    </w:rPr>
  </w:style>
  <w:style w:type="paragraph" w:customStyle="1" w:styleId="AlphaParagraph">
    <w:name w:val="Alpha Paragraph"/>
    <w:basedOn w:val="Normal"/>
    <w:link w:val="AlphaParagraphCharChar"/>
    <w:pPr>
      <w:numPr>
        <w:numId w:val="7"/>
      </w:numPr>
      <w:spacing w:after="240" w:line="260" w:lineRule="exact"/>
      <w:ind w:left="1134" w:hanging="567"/>
      <w:jc w:val="both"/>
    </w:pPr>
    <w:rPr>
      <w:rFonts w:cs="Corbel"/>
      <w:color w:val="000000"/>
      <w:szCs w:val="23"/>
    </w:rPr>
  </w:style>
  <w:style w:type="paragraph" w:customStyle="1" w:styleId="ChartorTableNote">
    <w:name w:val="Chart or Table Note"/>
    <w:next w:val="Normal"/>
    <w:uiPriority w:val="99"/>
    <w:pPr>
      <w:jc w:val="both"/>
    </w:pPr>
    <w:rPr>
      <w:rFonts w:ascii="Arial" w:hAnsi="Arial" w:cs="Arial"/>
      <w:color w:val="000000"/>
      <w:sz w:val="16"/>
      <w:szCs w:val="16"/>
    </w:rPr>
  </w:style>
  <w:style w:type="paragraph" w:customStyle="1" w:styleId="TableMainHeading">
    <w:name w:val="Table Main Heading"/>
    <w:basedOn w:val="Normal"/>
    <w:next w:val="Normal"/>
    <w:pPr>
      <w:keepNext/>
      <w:spacing w:after="20"/>
    </w:pPr>
    <w:rPr>
      <w:rFonts w:ascii="Consolas" w:hAnsi="Consolas" w:cs="Consolas"/>
      <w:b/>
      <w:bCs/>
      <w:color w:val="3D4B67"/>
    </w:rPr>
  </w:style>
  <w:style w:type="paragraph" w:customStyle="1" w:styleId="BoxBullet">
    <w:name w:val="Box Bullet"/>
    <w:basedOn w:val="Normal"/>
    <w:uiPriority w:val="99"/>
    <w:pPr>
      <w:numPr>
        <w:numId w:val="5"/>
      </w:numPr>
      <w:spacing w:after="240" w:line="260" w:lineRule="exact"/>
      <w:jc w:val="both"/>
    </w:pPr>
    <w:rPr>
      <w:rFonts w:cs="Corbel"/>
      <w:color w:val="000000"/>
      <w:szCs w:val="23"/>
    </w:rPr>
  </w:style>
  <w:style w:type="paragraph" w:customStyle="1" w:styleId="BoxDash">
    <w:name w:val="Box Dash"/>
    <w:basedOn w:val="Normal"/>
    <w:uiPriority w:val="99"/>
    <w:pPr>
      <w:numPr>
        <w:ilvl w:val="1"/>
        <w:numId w:val="5"/>
      </w:numPr>
      <w:spacing w:after="240" w:line="260" w:lineRule="exact"/>
      <w:jc w:val="both"/>
    </w:pPr>
    <w:rPr>
      <w:rFonts w:cs="Corbel"/>
      <w:color w:val="000000"/>
      <w:szCs w:val="23"/>
    </w:rPr>
  </w:style>
  <w:style w:type="paragraph" w:customStyle="1" w:styleId="BoxDoubleDot">
    <w:name w:val="Box Double Dot"/>
    <w:basedOn w:val="Normal"/>
    <w:uiPriority w:val="99"/>
    <w:pPr>
      <w:numPr>
        <w:ilvl w:val="2"/>
        <w:numId w:val="5"/>
      </w:numPr>
      <w:spacing w:after="240" w:line="260" w:lineRule="exact"/>
      <w:jc w:val="both"/>
    </w:pPr>
    <w:rPr>
      <w:rFonts w:cs="Corbel"/>
      <w:color w:val="000000"/>
      <w:szCs w:val="23"/>
    </w:rPr>
  </w:style>
  <w:style w:type="paragraph" w:customStyle="1" w:styleId="Romannumeral">
    <w:name w:val="Roman numeral"/>
    <w:basedOn w:val="Normal"/>
    <w:uiPriority w:val="99"/>
    <w:pPr>
      <w:numPr>
        <w:numId w:val="6"/>
      </w:numPr>
      <w:spacing w:after="240" w:line="260" w:lineRule="exact"/>
      <w:jc w:val="both"/>
    </w:pPr>
    <w:rPr>
      <w:rFonts w:cs="Corbel"/>
      <w:color w:val="000000"/>
      <w:szCs w:val="23"/>
    </w:rPr>
  </w:style>
  <w:style w:type="paragraph" w:customStyle="1" w:styleId="ScheduleStartNnumber">
    <w:name w:val="ScheduleStartNnumber"/>
    <w:uiPriority w:val="99"/>
    <w:pPr>
      <w:numPr>
        <w:numId w:val="8"/>
      </w:numPr>
    </w:pPr>
    <w:rPr>
      <w:rFonts w:ascii="Consolas" w:hAnsi="Consolas" w:cs="Consolas"/>
      <w:vanish/>
      <w:color w:val="000000"/>
      <w:kern w:val="32"/>
      <w:sz w:val="12"/>
      <w:szCs w:val="12"/>
    </w:rPr>
  </w:style>
  <w:style w:type="paragraph" w:styleId="Subtitle">
    <w:name w:val="Subtitle"/>
    <w:basedOn w:val="Normal"/>
    <w:link w:val="SubtitleChar"/>
    <w:uiPriority w:val="99"/>
    <w:qFormat/>
    <w:rsid w:val="00A17D70"/>
    <w:pPr>
      <w:spacing w:after="600"/>
    </w:pPr>
    <w:rPr>
      <w:rFonts w:ascii="Consolas" w:hAnsi="Consolas" w:cs="Consolas"/>
      <w:b/>
      <w:bCs/>
      <w:caps/>
      <w:color w:val="C7823E"/>
      <w:spacing w:val="50"/>
      <w:lang w:eastAsia="ja-JP"/>
    </w:rPr>
  </w:style>
  <w:style w:type="character" w:customStyle="1" w:styleId="SubtitleChar">
    <w:name w:val="Subtitle Char"/>
    <w:basedOn w:val="DefaultParagraphFont"/>
    <w:link w:val="Subtitle"/>
    <w:uiPriority w:val="99"/>
    <w:locked/>
    <w:rsid w:val="00A17D70"/>
    <w:rPr>
      <w:rFonts w:ascii="Consolas" w:hAnsi="Consolas" w:cs="Consolas"/>
      <w:b/>
      <w:bCs/>
      <w:caps/>
      <w:color w:val="C7823E"/>
      <w:spacing w:val="50"/>
      <w:sz w:val="24"/>
      <w:szCs w:val="24"/>
      <w:lang w:val="x-none" w:eastAsia="ja-JP"/>
    </w:rPr>
  </w:style>
  <w:style w:type="paragraph" w:styleId="Title">
    <w:name w:val="Title"/>
    <w:basedOn w:val="Normal"/>
    <w:next w:val="Subtitle"/>
    <w:link w:val="TitleChar"/>
    <w:uiPriority w:val="99"/>
    <w:qFormat/>
    <w:rsid w:val="00A17D70"/>
    <w:rPr>
      <w:rFonts w:cs="Corbel"/>
      <w:color w:val="3D4B67"/>
      <w:sz w:val="72"/>
      <w:szCs w:val="72"/>
      <w:lang w:eastAsia="ja-JP"/>
    </w:rPr>
  </w:style>
  <w:style w:type="character" w:customStyle="1" w:styleId="TitleChar">
    <w:name w:val="Title Char"/>
    <w:basedOn w:val="DefaultParagraphFont"/>
    <w:link w:val="Title"/>
    <w:uiPriority w:val="99"/>
    <w:locked/>
    <w:rsid w:val="00A17D70"/>
    <w:rPr>
      <w:rFonts w:ascii="Corbel" w:hAnsi="Corbel" w:cs="Corbel"/>
      <w:color w:val="3D4B67"/>
      <w:sz w:val="72"/>
      <w:szCs w:val="72"/>
      <w:lang w:val="x-none" w:eastAsia="ja-JP"/>
    </w:rPr>
  </w:style>
  <w:style w:type="character" w:customStyle="1" w:styleId="AlphaParagraphCharChar">
    <w:name w:val="Alpha Paragraph Char Char"/>
    <w:basedOn w:val="DefaultParagraphFont"/>
    <w:link w:val="AlphaParagraph"/>
    <w:locked/>
    <w:rPr>
      <w:rFonts w:ascii="Corbel" w:hAnsi="Corbel" w:cs="Corbel"/>
      <w:color w:val="000000"/>
      <w:sz w:val="23"/>
      <w:szCs w:val="23"/>
    </w:rPr>
  </w:style>
  <w:style w:type="paragraph" w:customStyle="1" w:styleId="ScheduleNumberedPara">
    <w:name w:val="ScheduleNumberedPara"/>
    <w:basedOn w:val="Normal"/>
    <w:link w:val="ScheduleNumberedParaCharChar"/>
    <w:pPr>
      <w:numPr>
        <w:ilvl w:val="1"/>
        <w:numId w:val="8"/>
      </w:numPr>
      <w:spacing w:after="240" w:line="260" w:lineRule="exact"/>
      <w:jc w:val="both"/>
    </w:pPr>
    <w:rPr>
      <w:rFonts w:cs="Corbel"/>
      <w:color w:val="000000"/>
      <w:szCs w:val="23"/>
    </w:rPr>
  </w:style>
  <w:style w:type="paragraph" w:customStyle="1" w:styleId="FooterEven">
    <w:name w:val="Footer Even"/>
    <w:basedOn w:val="Footer"/>
    <w:uiPriority w:val="99"/>
    <w:pPr>
      <w:tabs>
        <w:tab w:val="clear" w:pos="4513"/>
        <w:tab w:val="clear" w:pos="9026"/>
      </w:tabs>
    </w:pPr>
    <w:rPr>
      <w:rFonts w:cs="Corbel"/>
      <w:color w:val="3D4B67"/>
      <w:sz w:val="18"/>
      <w:szCs w:val="18"/>
    </w:rPr>
  </w:style>
  <w:style w:type="paragraph" w:customStyle="1" w:styleId="FooterOdd">
    <w:name w:val="Footer Odd"/>
    <w:basedOn w:val="Footer"/>
    <w:uiPriority w:val="99"/>
    <w:pPr>
      <w:tabs>
        <w:tab w:val="clear" w:pos="4513"/>
        <w:tab w:val="clear" w:pos="9026"/>
      </w:tabs>
      <w:jc w:val="right"/>
    </w:pPr>
    <w:rPr>
      <w:rFonts w:cs="Corbel"/>
      <w:color w:val="3D4B67"/>
      <w:sz w:val="18"/>
      <w:szCs w:val="18"/>
    </w:rPr>
  </w:style>
  <w:style w:type="paragraph" w:customStyle="1" w:styleId="HeaderEven">
    <w:name w:val="Header Even"/>
    <w:basedOn w:val="Header"/>
    <w:uiPriority w:val="99"/>
    <w:pPr>
      <w:tabs>
        <w:tab w:val="clear" w:pos="4513"/>
        <w:tab w:val="clear" w:pos="9026"/>
      </w:tabs>
    </w:pPr>
    <w:rPr>
      <w:rFonts w:cs="Corbel"/>
      <w:color w:val="3D4B67"/>
      <w:sz w:val="18"/>
      <w:szCs w:val="18"/>
    </w:rPr>
  </w:style>
  <w:style w:type="paragraph" w:customStyle="1" w:styleId="HeaderOdd">
    <w:name w:val="Header Odd"/>
    <w:basedOn w:val="Header"/>
    <w:uiPriority w:val="99"/>
    <w:pPr>
      <w:keepNext/>
      <w:tabs>
        <w:tab w:val="clear" w:pos="4513"/>
        <w:tab w:val="clear" w:pos="9026"/>
      </w:tabs>
      <w:jc w:val="right"/>
    </w:pPr>
    <w:rPr>
      <w:rFonts w:cs="Corbel"/>
      <w:color w:val="3D4B67"/>
      <w:sz w:val="18"/>
      <w:szCs w:val="18"/>
    </w:rPr>
  </w:style>
  <w:style w:type="paragraph" w:customStyle="1" w:styleId="Normalnumbered">
    <w:name w:val="Normal numbered"/>
    <w:basedOn w:val="Normal"/>
    <w:link w:val="NormalnumberedChar"/>
    <w:pPr>
      <w:numPr>
        <w:numId w:val="9"/>
      </w:numPr>
    </w:pPr>
  </w:style>
  <w:style w:type="paragraph" w:customStyle="1" w:styleId="Signed">
    <w:name w:val="Signed"/>
    <w:basedOn w:val="Normal"/>
    <w:uiPriority w:val="99"/>
    <w:pPr>
      <w:spacing w:after="120"/>
    </w:pPr>
    <w:rPr>
      <w:rFonts w:ascii="Book Antiqua" w:hAnsi="Book Antiqua" w:cs="Book Antiqua"/>
      <w:i/>
      <w:iCs/>
      <w:sz w:val="22"/>
      <w:szCs w:val="22"/>
    </w:rPr>
  </w:style>
  <w:style w:type="character" w:styleId="PageNumber">
    <w:name w:val="page number"/>
    <w:basedOn w:val="DefaultParagraphFont"/>
    <w:uiPriority w:val="99"/>
    <w:rPr>
      <w:rFonts w:cs="Times New Roman"/>
    </w:rPr>
  </w:style>
  <w:style w:type="paragraph" w:customStyle="1" w:styleId="Position">
    <w:name w:val="Position"/>
    <w:basedOn w:val="Normal"/>
    <w:uiPriority w:val="99"/>
    <w:pPr>
      <w:spacing w:after="120"/>
    </w:pPr>
    <w:rPr>
      <w:sz w:val="20"/>
      <w:szCs w:val="20"/>
    </w:rPr>
  </w:style>
  <w:style w:type="character" w:customStyle="1" w:styleId="SignedBold">
    <w:name w:val="SignedBold"/>
    <w:basedOn w:val="DefaultParagraphFont"/>
    <w:uiPriority w:val="99"/>
    <w:rPr>
      <w:rFonts w:cs="Times New Roman"/>
      <w:b/>
      <w:bCs/>
      <w:i/>
      <w:iCs/>
    </w:rPr>
  </w:style>
  <w:style w:type="paragraph" w:customStyle="1" w:styleId="LineForSignature">
    <w:name w:val="LineForSignature"/>
    <w:basedOn w:val="Normal"/>
    <w:uiPriority w:val="99"/>
    <w:pPr>
      <w:tabs>
        <w:tab w:val="left" w:leader="underscore" w:pos="3686"/>
      </w:tabs>
      <w:spacing w:before="360" w:after="60"/>
    </w:pPr>
    <w:rPr>
      <w:rFonts w:ascii="Book Antiqua" w:hAnsi="Book Antiqua" w:cs="Book Antiqua"/>
      <w:color w:val="C0C0C0"/>
      <w:lang w:val="en-GB"/>
    </w:rPr>
  </w:style>
  <w:style w:type="paragraph" w:customStyle="1" w:styleId="AlphaList">
    <w:name w:val="Alpha List"/>
    <w:basedOn w:val="Normal"/>
    <w:uiPriority w:val="99"/>
    <w:pPr>
      <w:numPr>
        <w:numId w:val="11"/>
      </w:numPr>
      <w:spacing w:after="120"/>
    </w:pPr>
    <w:rPr>
      <w:rFonts w:ascii="Arial" w:hAnsi="Arial" w:cs="Arial"/>
      <w:spacing w:val="4"/>
      <w:sz w:val="20"/>
      <w:szCs w:val="20"/>
      <w:lang w:eastAsia="en-US"/>
    </w:rPr>
  </w:style>
  <w:style w:type="paragraph" w:customStyle="1" w:styleId="BullettedList">
    <w:name w:val="Bulletted List"/>
    <w:basedOn w:val="Normal"/>
    <w:uiPriority w:val="99"/>
    <w:pPr>
      <w:numPr>
        <w:numId w:val="12"/>
      </w:numPr>
      <w:spacing w:after="120"/>
      <w:ind w:left="357" w:hanging="357"/>
    </w:pPr>
    <w:rPr>
      <w:rFonts w:ascii="Arial" w:hAnsi="Arial" w:cs="Arial"/>
      <w:spacing w:val="4"/>
      <w:sz w:val="20"/>
      <w:szCs w:val="20"/>
      <w:lang w:eastAsia="en-US"/>
    </w:rPr>
  </w:style>
  <w:style w:type="paragraph" w:styleId="BodyText">
    <w:name w:val="Body Text"/>
    <w:basedOn w:val="Normal"/>
    <w:link w:val="BodyTextChar"/>
    <w:uiPriority w:val="99"/>
    <w:pPr>
      <w:spacing w:before="240" w:after="240" w:line="240" w:lineRule="atLeast"/>
    </w:pPr>
    <w:rPr>
      <w:rFonts w:ascii="Arial" w:hAnsi="Arial" w:cs="Arial"/>
      <w:spacing w:val="4"/>
      <w:sz w:val="20"/>
      <w:szCs w:val="20"/>
      <w:lang w:val="en-US" w:eastAsia="en-US"/>
    </w:rPr>
  </w:style>
  <w:style w:type="character" w:customStyle="1" w:styleId="BodyTextChar">
    <w:name w:val="Body Text Char"/>
    <w:basedOn w:val="DefaultParagraphFont"/>
    <w:link w:val="BodyText"/>
    <w:uiPriority w:val="99"/>
    <w:locked/>
    <w:rPr>
      <w:rFonts w:ascii="Arial" w:hAnsi="Arial" w:cs="Arial"/>
      <w:spacing w:val="4"/>
      <w:lang w:val="en-US" w:eastAsia="en-US"/>
    </w:rPr>
  </w:style>
  <w:style w:type="paragraph" w:customStyle="1" w:styleId="TableHeading">
    <w:name w:val="Table Heading"/>
    <w:basedOn w:val="Normal"/>
    <w:uiPriority w:val="99"/>
    <w:pPr>
      <w:spacing w:before="60" w:after="60"/>
    </w:pPr>
    <w:rPr>
      <w:rFonts w:ascii="Arial" w:hAnsi="Arial" w:cs="Arial"/>
      <w:b/>
      <w:bCs/>
      <w:spacing w:val="4"/>
      <w:sz w:val="18"/>
      <w:szCs w:val="18"/>
      <w:lang w:val="en-US" w:eastAsia="en-US"/>
    </w:rPr>
  </w:style>
  <w:style w:type="paragraph" w:customStyle="1" w:styleId="FigureTitle">
    <w:name w:val="Figure Title"/>
    <w:basedOn w:val="Normal"/>
    <w:uiPriority w:val="99"/>
    <w:pPr>
      <w:spacing w:before="240" w:after="60"/>
    </w:pPr>
    <w:rPr>
      <w:rFonts w:ascii="Arial" w:hAnsi="Arial" w:cs="Arial"/>
      <w:b/>
      <w:bCs/>
      <w:spacing w:val="4"/>
      <w:sz w:val="18"/>
      <w:szCs w:val="18"/>
      <w:lang w:eastAsia="en-US"/>
    </w:rPr>
  </w:style>
  <w:style w:type="paragraph" w:customStyle="1" w:styleId="Bullet1">
    <w:name w:val="Bullet 1"/>
    <w:basedOn w:val="Bullet"/>
    <w:uiPriority w:val="99"/>
    <w:pPr>
      <w:numPr>
        <w:numId w:val="13"/>
      </w:numPr>
    </w:pPr>
    <w:rPr>
      <w:rFonts w:ascii="Arial" w:hAnsi="Arial" w:cs="Arial"/>
      <w:sz w:val="22"/>
      <w:szCs w:val="22"/>
    </w:rPr>
  </w:style>
  <w:style w:type="character" w:styleId="Emphasis">
    <w:name w:val="Emphasis"/>
    <w:basedOn w:val="DefaultParagraphFont"/>
    <w:uiPriority w:val="99"/>
    <w:qFormat/>
    <w:rPr>
      <w:rFonts w:cs="Times New Roman"/>
      <w:i/>
      <w:iCs/>
    </w:rPr>
  </w:style>
  <w:style w:type="paragraph" w:customStyle="1" w:styleId="SubBullets">
    <w:name w:val="Sub Bullets"/>
    <w:basedOn w:val="Normal"/>
    <w:uiPriority w:val="99"/>
    <w:pPr>
      <w:numPr>
        <w:ilvl w:val="1"/>
        <w:numId w:val="14"/>
      </w:numPr>
      <w:tabs>
        <w:tab w:val="num" w:pos="720"/>
      </w:tabs>
      <w:spacing w:after="120"/>
      <w:ind w:left="714" w:hanging="357"/>
    </w:pPr>
    <w:rPr>
      <w:rFonts w:ascii="Arial" w:hAnsi="Arial" w:cs="Arial"/>
      <w:spacing w:val="4"/>
      <w:sz w:val="20"/>
      <w:szCs w:val="20"/>
      <w:lang w:eastAsia="en-US"/>
    </w:rPr>
  </w:style>
  <w:style w:type="paragraph" w:customStyle="1" w:styleId="TableText">
    <w:name w:val="Table Text"/>
    <w:basedOn w:val="Normal"/>
    <w:uiPriority w:val="99"/>
    <w:pPr>
      <w:spacing w:before="60" w:after="60"/>
    </w:pPr>
    <w:rPr>
      <w:rFonts w:ascii="Arial" w:hAnsi="Arial" w:cs="Arial"/>
      <w:spacing w:val="4"/>
      <w:sz w:val="18"/>
      <w:szCs w:val="18"/>
      <w:lang w:eastAsia="en-US"/>
    </w:rPr>
  </w:style>
  <w:style w:type="paragraph" w:customStyle="1" w:styleId="ChartandTableFootnoteAlpha">
    <w:name w:val="Chart and Table Footnote Alpha"/>
    <w:rsid w:val="00FD4D69"/>
    <w:pPr>
      <w:numPr>
        <w:numId w:val="15"/>
      </w:numPr>
      <w:jc w:val="both"/>
    </w:pPr>
    <w:rPr>
      <w:rFonts w:ascii="Arial" w:hAnsi="Arial"/>
      <w:color w:val="000000"/>
      <w:sz w:val="16"/>
      <w:szCs w:val="16"/>
    </w:rPr>
  </w:style>
  <w:style w:type="paragraph" w:customStyle="1" w:styleId="TableGraphic">
    <w:name w:val="Table Graphic"/>
    <w:basedOn w:val="Normal"/>
    <w:next w:val="Normal"/>
    <w:rsid w:val="00FD4D69"/>
    <w:pPr>
      <w:keepNext/>
    </w:pPr>
    <w:rPr>
      <w:color w:val="3D4B67"/>
      <w:sz w:val="20"/>
      <w:szCs w:val="20"/>
    </w:rPr>
  </w:style>
  <w:style w:type="character" w:customStyle="1" w:styleId="NormalnumberedChar">
    <w:name w:val="Normal numbered Char"/>
    <w:basedOn w:val="DefaultParagraphFont"/>
    <w:link w:val="Normalnumbered"/>
    <w:locked/>
    <w:rsid w:val="00FD4D69"/>
    <w:rPr>
      <w:rFonts w:ascii="Corbel" w:hAnsi="Corbel" w:cs="Times New Roman"/>
      <w:color w:val="000000" w:themeColor="text1"/>
      <w:sz w:val="24"/>
      <w:szCs w:val="24"/>
    </w:rPr>
  </w:style>
  <w:style w:type="character" w:customStyle="1" w:styleId="AlphaParagraphChar">
    <w:name w:val="Alpha Paragraph Char"/>
    <w:basedOn w:val="DefaultParagraphFont"/>
    <w:locked/>
    <w:rsid w:val="00CD3DC7"/>
    <w:rPr>
      <w:rFonts w:ascii="Calibri" w:hAnsi="Calibri" w:cs="Times New Roman"/>
    </w:rPr>
  </w:style>
  <w:style w:type="character" w:customStyle="1" w:styleId="ScheduleNumberedParaCharChar">
    <w:name w:val="ScheduleNumberedPara Char Char"/>
    <w:basedOn w:val="DefaultParagraphFont"/>
    <w:link w:val="ScheduleNumberedPara"/>
    <w:locked/>
    <w:rsid w:val="00CD3DC7"/>
    <w:rPr>
      <w:rFonts w:ascii="Corbel" w:hAnsi="Corbel" w:cs="Corbel"/>
      <w:color w:val="000000"/>
      <w:sz w:val="23"/>
      <w:szCs w:val="23"/>
    </w:rPr>
  </w:style>
  <w:style w:type="character" w:styleId="FollowedHyperlink">
    <w:name w:val="FollowedHyperlink"/>
    <w:basedOn w:val="DefaultParagraphFont"/>
    <w:uiPriority w:val="99"/>
    <w:semiHidden/>
    <w:unhideWhenUsed/>
    <w:rsid w:val="00227BC0"/>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767935">
      <w:marLeft w:val="0"/>
      <w:marRight w:val="0"/>
      <w:marTop w:val="0"/>
      <w:marBottom w:val="0"/>
      <w:divBdr>
        <w:top w:val="none" w:sz="0" w:space="0" w:color="auto"/>
        <w:left w:val="none" w:sz="0" w:space="0" w:color="auto"/>
        <w:bottom w:val="none" w:sz="0" w:space="0" w:color="auto"/>
        <w:right w:val="none" w:sz="0" w:space="0" w:color="auto"/>
      </w:divBdr>
    </w:div>
    <w:div w:id="17337679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3959" ma:contentTypeDescription=" " ma:contentTypeScope="" ma:versionID="a3116dee368bdcfdd905dbca7a89b76a">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2020FG-64-88142</_dlc_DocId>
    <_dlc_DocIdUrl xmlns="0f563589-9cf9-4143-b1eb-fb0534803d38">
      <Url>http://tweb/sites/fg/csrd/_layouts/15/DocIdRedir.aspx?ID=2020FG-64-88142</Url>
      <Description>2020FG-64-88142</Description>
    </_dlc_DocIdUrl>
  </documentManagement>
</p:properti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75156-FEA6-4E84-AA9F-22D63F8F3F6F}">
  <ds:schemaRefs>
    <ds:schemaRef ds:uri="http://schemas.microsoft.com/sharepoint/v3/contenttype/forms"/>
  </ds:schemaRefs>
</ds:datastoreItem>
</file>

<file path=customXml/itemProps2.xml><?xml version="1.0" encoding="utf-8"?>
<ds:datastoreItem xmlns:ds="http://schemas.openxmlformats.org/officeDocument/2006/customXml" ds:itemID="{49C93C45-6C57-4264-9C95-8F3FF9817945}"/>
</file>

<file path=customXml/itemProps3.xml><?xml version="1.0" encoding="utf-8"?>
<ds:datastoreItem xmlns:ds="http://schemas.openxmlformats.org/officeDocument/2006/customXml" ds:itemID="{C7547108-866B-4AF3-B004-909684EDD138}">
  <ds:schemaRefs>
    <ds:schemaRef ds:uri="Microsoft.SharePoint.Taxonomy.ContentTypeSync"/>
  </ds:schemaRefs>
</ds:datastoreItem>
</file>

<file path=customXml/itemProps4.xml><?xml version="1.0" encoding="utf-8"?>
<ds:datastoreItem xmlns:ds="http://schemas.openxmlformats.org/officeDocument/2006/customXml" ds:itemID="{CBDA30BA-E343-447C-A9F7-17F3EF8AD872}">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73ABAAC-BEBF-4CF6-9B9F-80DF0F674F3B}"/>
</file>

<file path=customXml/itemProps6.xml><?xml version="1.0" encoding="utf-8"?>
<ds:datastoreItem xmlns:ds="http://schemas.openxmlformats.org/officeDocument/2006/customXml" ds:itemID="{879DD862-8328-4B33-8B5D-984A0C1682CF}">
  <ds:schemaRefs>
    <ds:schemaRef ds:uri="http://schemas.microsoft.com/sharepoint/events"/>
  </ds:schemaRefs>
</ds:datastoreItem>
</file>

<file path=customXml/itemProps7.xml><?xml version="1.0" encoding="utf-8"?>
<ds:datastoreItem xmlns:ds="http://schemas.openxmlformats.org/officeDocument/2006/customXml" ds:itemID="{06365B23-8033-4AE4-AA66-A56305F7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1438</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Disaster Risk Reduction - VIC Implementation Plan</vt:lpstr>
    </vt:vector>
  </TitlesOfParts>
  <Company>Australian Government - The Treasury</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Risk Reduction - VIC Implementation Plan</dc:title>
  <dc:subject>Environment National Partnerships</dc:subject>
  <dc:creator>Council on Federal Financial Relations</dc:creator>
  <cp:keywords>[SEC=OFFICIAL]</cp:keywords>
  <dc:description/>
  <cp:lastModifiedBy>Nieuwenhuize, Holly</cp:lastModifiedBy>
  <cp:revision>4</cp:revision>
  <cp:lastPrinted>2019-07-25T01:10:00Z</cp:lastPrinted>
  <dcterms:created xsi:type="dcterms:W3CDTF">2020-07-08T02:10:00Z</dcterms:created>
  <dcterms:modified xsi:type="dcterms:W3CDTF">2020-07-08T07:08:00Z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0EEA9603F3B445E89DEB9217B67D0B4A</vt:lpwstr>
  </property>
  <property fmtid="{D5CDD505-2E9C-101B-9397-08002B2CF9AE}" pid="9" name="PM_ProtectiveMarkingValue_Footer">
    <vt:lpwstr>OFFICIAL</vt:lpwstr>
  </property>
  <property fmtid="{D5CDD505-2E9C-101B-9397-08002B2CF9AE}" pid="10" name="PM_Originator_Hash_SHA1">
    <vt:lpwstr>38133F7C5BF999D570FB0D312BE67AEC121E5FF8</vt:lpwstr>
  </property>
  <property fmtid="{D5CDD505-2E9C-101B-9397-08002B2CF9AE}" pid="11" name="PM_OriginationTimeStamp">
    <vt:lpwstr>2020-07-08T02:10:16Z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123F4E7F51EE29D6E3EE92FC8A32BB30</vt:lpwstr>
  </property>
  <property fmtid="{D5CDD505-2E9C-101B-9397-08002B2CF9AE}" pid="20" name="PM_Hash_Salt">
    <vt:lpwstr>DE47071942B8D50330697F5AF68CEE7F</vt:lpwstr>
  </property>
  <property fmtid="{D5CDD505-2E9C-101B-9397-08002B2CF9AE}" pid="21" name="PM_Hash_SHA1">
    <vt:lpwstr>B51C1F22B5481994A6173E44C61683EF1FC78D68</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0x010100348D01E61E107C4DA4B97E380EA20D47005CDF45B49E80F24CAD80DFC012154DA9</vt:lpwstr>
  </property>
  <property fmtid="{D5CDD505-2E9C-101B-9397-08002B2CF9AE}" pid="25" name="TSYRecordClass">
    <vt:lpwstr>2;#TSY RA-8748 - Retain as national archives|243f2231-dbfc-4282-b24a-c9b768286bd0</vt:lpwstr>
  </property>
  <property fmtid="{D5CDD505-2E9C-101B-9397-08002B2CF9AE}" pid="26" name="_dlc_DocIdItemGuid">
    <vt:lpwstr>e920440c-1f0d-459c-b6d8-d3cacf153943</vt:lpwstr>
  </property>
  <property fmtid="{D5CDD505-2E9C-101B-9397-08002B2CF9AE}" pid="27" name="RecordPoint_WorkflowType">
    <vt:lpwstr>ActiveSubmitStub</vt:lpwstr>
  </property>
  <property fmtid="{D5CDD505-2E9C-101B-9397-08002B2CF9AE}" pid="28" name="RecordPoint_ActiveItemWebId">
    <vt:lpwstr>{a4589788-615f-4b8b-8296-7f9f6dfbab44}</vt:lpwstr>
  </property>
  <property fmtid="{D5CDD505-2E9C-101B-9397-08002B2CF9AE}" pid="29" name="RecordPoint_ActiveItemSiteId">
    <vt:lpwstr>{a3a280d1-e8f1-4ce7-94f0-aaa2322da0dd}</vt:lpwstr>
  </property>
  <property fmtid="{D5CDD505-2E9C-101B-9397-08002B2CF9AE}" pid="30" name="RecordPoint_ActiveItemListId">
    <vt:lpwstr>{4435c73b-6585-4bc2-a76a-5d21b1a02e06}</vt:lpwstr>
  </property>
  <property fmtid="{D5CDD505-2E9C-101B-9397-08002B2CF9AE}" pid="31" name="RecordPoint_ActiveItemUniqueId">
    <vt:lpwstr>{e920440c-1f0d-459c-b6d8-d3cacf153943}</vt:lpwstr>
  </property>
</Properties>
</file>