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390CCC66" w14:textId="77777777">
        <w:tc>
          <w:tcPr>
            <w:tcW w:w="5000" w:type="pct"/>
            <w:gridSpan w:val="2"/>
          </w:tcPr>
          <w:p w14:paraId="0E2B9556" w14:textId="77777777" w:rsidR="00814667" w:rsidRDefault="00BA4284" w:rsidP="00AF4FD9">
            <w:pPr>
              <w:pStyle w:val="CoverTitleMain"/>
            </w:pPr>
            <w:bookmarkStart w:id="0" w:name="_GoBack"/>
            <w:bookmarkEnd w:id="0"/>
            <w:r>
              <w:t>Project AGreement</w:t>
            </w:r>
            <w:r w:rsidR="00292587">
              <w:t xml:space="preserve"> FOR </w:t>
            </w:r>
            <w:r w:rsidR="00375087">
              <w:t xml:space="preserve">LINDENOW VALLEY WATER SECURITY </w:t>
            </w:r>
            <w:r w:rsidR="00AF4FD9">
              <w:t>SCHEME</w:t>
            </w:r>
          </w:p>
        </w:tc>
      </w:tr>
      <w:tr w:rsidR="00814667" w14:paraId="7DE30A27" w14:textId="77777777">
        <w:tc>
          <w:tcPr>
            <w:tcW w:w="767" w:type="pct"/>
          </w:tcPr>
          <w:p w14:paraId="3B0A3BD3" w14:textId="77777777" w:rsidR="00814667" w:rsidRDefault="00814667">
            <w:pPr>
              <w:pStyle w:val="SingleParagraph"/>
              <w:tabs>
                <w:tab w:val="num" w:pos="1134"/>
              </w:tabs>
              <w:spacing w:after="240"/>
              <w:ind w:left="1134" w:hanging="567"/>
            </w:pPr>
          </w:p>
        </w:tc>
        <w:tc>
          <w:tcPr>
            <w:tcW w:w="4233" w:type="pct"/>
          </w:tcPr>
          <w:p w14:paraId="12A5CE2B" w14:textId="77777777" w:rsidR="00814667" w:rsidRDefault="00814667">
            <w:pPr>
              <w:pStyle w:val="SingleParagraph"/>
              <w:tabs>
                <w:tab w:val="num" w:pos="1134"/>
              </w:tabs>
              <w:spacing w:after="240"/>
              <w:ind w:left="1134" w:hanging="567"/>
            </w:pPr>
          </w:p>
        </w:tc>
      </w:tr>
      <w:tr w:rsidR="00814667" w14:paraId="585083B7" w14:textId="77777777">
        <w:tc>
          <w:tcPr>
            <w:tcW w:w="767" w:type="pct"/>
          </w:tcPr>
          <w:p w14:paraId="0A0985C3" w14:textId="77777777" w:rsidR="00814667" w:rsidRDefault="00814667">
            <w:pPr>
              <w:pStyle w:val="SingleParagraph"/>
              <w:tabs>
                <w:tab w:val="num" w:pos="1134"/>
              </w:tabs>
              <w:spacing w:after="240"/>
              <w:ind w:left="1134" w:hanging="567"/>
            </w:pPr>
          </w:p>
        </w:tc>
        <w:tc>
          <w:tcPr>
            <w:tcW w:w="4233" w:type="pct"/>
          </w:tcPr>
          <w:p w14:paraId="2A5D4C9A" w14:textId="77777777" w:rsidR="00814667" w:rsidRPr="001E74D0" w:rsidRDefault="00814667">
            <w:pPr>
              <w:pStyle w:val="SingleParagraph"/>
              <w:tabs>
                <w:tab w:val="num" w:pos="1134"/>
              </w:tabs>
              <w:spacing w:after="240"/>
              <w:ind w:left="1134" w:hanging="567"/>
            </w:pPr>
          </w:p>
        </w:tc>
      </w:tr>
      <w:tr w:rsidR="00814667" w14:paraId="78799F8B" w14:textId="77777777">
        <w:tc>
          <w:tcPr>
            <w:tcW w:w="5000" w:type="pct"/>
            <w:gridSpan w:val="2"/>
          </w:tcPr>
          <w:p w14:paraId="23D9E02B" w14:textId="77777777" w:rsidR="00814667" w:rsidRDefault="00814667">
            <w:pPr>
              <w:pStyle w:val="AgreementHeading"/>
              <w:tabs>
                <w:tab w:val="clear" w:pos="1134"/>
              </w:tabs>
            </w:pPr>
            <w:r>
              <w:t>An agreement between</w:t>
            </w:r>
            <w:r w:rsidR="00697494">
              <w:t>:</w:t>
            </w:r>
          </w:p>
        </w:tc>
      </w:tr>
      <w:tr w:rsidR="00814667" w14:paraId="79C94A32" w14:textId="77777777">
        <w:tc>
          <w:tcPr>
            <w:tcW w:w="767" w:type="pct"/>
          </w:tcPr>
          <w:p w14:paraId="6CEA9419" w14:textId="77777777" w:rsidR="00814667" w:rsidRPr="001E74D0" w:rsidRDefault="00814667">
            <w:pPr>
              <w:pStyle w:val="AgreementHeading"/>
              <w:tabs>
                <w:tab w:val="clear" w:pos="1134"/>
              </w:tabs>
              <w:ind w:left="522"/>
            </w:pPr>
          </w:p>
        </w:tc>
        <w:tc>
          <w:tcPr>
            <w:tcW w:w="4233" w:type="pct"/>
          </w:tcPr>
          <w:p w14:paraId="7E4085FA"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0C60D49D" w14:textId="77777777" w:rsidR="00814667" w:rsidRPr="001E74D0" w:rsidRDefault="00814667" w:rsidP="00375087">
            <w:pPr>
              <w:pStyle w:val="AgreementParties"/>
            </w:pPr>
            <w:r>
              <w:t xml:space="preserve">the </w:t>
            </w:r>
            <w:r w:rsidR="00375087">
              <w:rPr>
                <w:rStyle w:val="Bold"/>
              </w:rPr>
              <w:t>State</w:t>
            </w:r>
            <w:r>
              <w:rPr>
                <w:rStyle w:val="Bold"/>
              </w:rPr>
              <w:t xml:space="preserve"> </w:t>
            </w:r>
            <w:r w:rsidR="00697494" w:rsidRPr="00DE36EB">
              <w:rPr>
                <w:rStyle w:val="Bold"/>
              </w:rPr>
              <w:t>of</w:t>
            </w:r>
            <w:r w:rsidR="00375087">
              <w:rPr>
                <w:rStyle w:val="Bold"/>
              </w:rPr>
              <w:t xml:space="preserve"> Victoria</w:t>
            </w:r>
          </w:p>
        </w:tc>
      </w:tr>
      <w:tr w:rsidR="00814667" w14:paraId="1C716B89" w14:textId="77777777">
        <w:tc>
          <w:tcPr>
            <w:tcW w:w="767" w:type="pct"/>
          </w:tcPr>
          <w:p w14:paraId="3A306516" w14:textId="77777777" w:rsidR="00814667" w:rsidRDefault="00814667">
            <w:pPr>
              <w:pStyle w:val="SingleParagraph"/>
              <w:tabs>
                <w:tab w:val="num" w:pos="1134"/>
              </w:tabs>
              <w:spacing w:after="240"/>
              <w:ind w:left="1134" w:hanging="567"/>
            </w:pPr>
          </w:p>
        </w:tc>
        <w:tc>
          <w:tcPr>
            <w:tcW w:w="4233" w:type="pct"/>
            <w:tcBorders>
              <w:left w:val="nil"/>
            </w:tcBorders>
          </w:tcPr>
          <w:p w14:paraId="6DA2DFD2" w14:textId="77777777" w:rsidR="00EB7EDA" w:rsidRPr="00EB7EDA" w:rsidRDefault="00EB7EDA" w:rsidP="00375087">
            <w:pPr>
              <w:pStyle w:val="StatesList"/>
              <w:numPr>
                <w:ilvl w:val="0"/>
                <w:numId w:val="0"/>
              </w:numPr>
              <w:rPr>
                <w:i/>
              </w:rPr>
            </w:pPr>
          </w:p>
        </w:tc>
      </w:tr>
      <w:tr w:rsidR="00814667" w14:paraId="4B8C2DD5" w14:textId="77777777">
        <w:tc>
          <w:tcPr>
            <w:tcW w:w="5000" w:type="pct"/>
            <w:gridSpan w:val="2"/>
          </w:tcPr>
          <w:p w14:paraId="46371E24" w14:textId="77777777" w:rsidR="00814667" w:rsidRDefault="00814667">
            <w:pPr>
              <w:pStyle w:val="SingleParagraph"/>
              <w:tabs>
                <w:tab w:val="num" w:pos="1134"/>
              </w:tabs>
              <w:spacing w:after="240"/>
              <w:ind w:left="1134" w:hanging="567"/>
            </w:pPr>
          </w:p>
        </w:tc>
      </w:tr>
      <w:tr w:rsidR="00814667" w14:paraId="032F4161" w14:textId="77777777">
        <w:tc>
          <w:tcPr>
            <w:tcW w:w="5000" w:type="pct"/>
            <w:gridSpan w:val="2"/>
          </w:tcPr>
          <w:p w14:paraId="5BC72DA7" w14:textId="6079FFDF" w:rsidR="00AE0D51" w:rsidRDefault="00771FFF" w:rsidP="005A0E7A">
            <w:pPr>
              <w:pStyle w:val="Abstract"/>
            </w:pPr>
            <w:r>
              <w:t>The output of this project will be</w:t>
            </w:r>
            <w:r w:rsidR="00845BCC">
              <w:t xml:space="preserve"> </w:t>
            </w:r>
            <w:r w:rsidR="00AE0D51">
              <w:t xml:space="preserve">to </w:t>
            </w:r>
            <w:r w:rsidR="00375087" w:rsidRPr="0019221E">
              <w:rPr>
                <w:szCs w:val="24"/>
              </w:rPr>
              <w:t xml:space="preserve">provide </w:t>
            </w:r>
            <w:r w:rsidR="00A10727">
              <w:rPr>
                <w:szCs w:val="24"/>
              </w:rPr>
              <w:t>grants</w:t>
            </w:r>
            <w:r w:rsidR="00375087" w:rsidRPr="0019221E">
              <w:rPr>
                <w:szCs w:val="24"/>
              </w:rPr>
              <w:t xml:space="preserve"> to </w:t>
            </w:r>
            <w:r w:rsidR="00375087">
              <w:rPr>
                <w:szCs w:val="24"/>
              </w:rPr>
              <w:t>eligible Irrigators within the Lindenow Valley of East Gippsland Victoria,</w:t>
            </w:r>
            <w:r w:rsidR="00375087" w:rsidRPr="0019221E">
              <w:rPr>
                <w:szCs w:val="24"/>
              </w:rPr>
              <w:t xml:space="preserve"> for the construction of on-farm </w:t>
            </w:r>
            <w:r w:rsidR="00375087">
              <w:rPr>
                <w:szCs w:val="24"/>
              </w:rPr>
              <w:t xml:space="preserve">water </w:t>
            </w:r>
            <w:r w:rsidR="00375087" w:rsidRPr="0019221E">
              <w:rPr>
                <w:szCs w:val="24"/>
              </w:rPr>
              <w:t>storage</w:t>
            </w:r>
            <w:r w:rsidR="00375087">
              <w:rPr>
                <w:szCs w:val="24"/>
              </w:rPr>
              <w:t xml:space="preserve"> facilities</w:t>
            </w:r>
            <w:r w:rsidR="00526A72">
              <w:rPr>
                <w:szCs w:val="24"/>
              </w:rPr>
              <w:t xml:space="preserve"> or</w:t>
            </w:r>
            <w:r w:rsidR="00375087">
              <w:rPr>
                <w:szCs w:val="24"/>
              </w:rPr>
              <w:t xml:space="preserve"> bores and pumping facilities</w:t>
            </w:r>
            <w:r w:rsidR="00375087" w:rsidRPr="0019221E">
              <w:rPr>
                <w:szCs w:val="24"/>
              </w:rPr>
              <w:t>, to increase water s</w:t>
            </w:r>
            <w:r w:rsidR="00375087">
              <w:rPr>
                <w:szCs w:val="24"/>
              </w:rPr>
              <w:t>ecurity and improve resilience to drought</w:t>
            </w:r>
            <w:r w:rsidR="00AE0D51">
              <w:t>.</w:t>
            </w:r>
          </w:p>
        </w:tc>
      </w:tr>
    </w:tbl>
    <w:p w14:paraId="46EBD452"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A10727">
        <w:t xml:space="preserve">Lindenow Valley Water Security </w:t>
      </w:r>
      <w:r w:rsidR="00AF4FD9">
        <w:t>Scheme</w:t>
      </w:r>
    </w:p>
    <w:p w14:paraId="603D1C77"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379E76F" w14:textId="77777777" w:rsidR="00C960AA" w:rsidRPr="0096732C" w:rsidRDefault="00C960AA" w:rsidP="00C00CD9">
      <w:pPr>
        <w:pStyle w:val="Normalnumbered"/>
        <w:numPr>
          <w:ilvl w:val="0"/>
          <w:numId w:val="27"/>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16B05DE0"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070E17F8" w14:textId="04C32CC8" w:rsidR="0096732C" w:rsidRDefault="00852ED8" w:rsidP="00C00CD9">
      <w:pPr>
        <w:pStyle w:val="Normalnumbered"/>
        <w:numPr>
          <w:ilvl w:val="0"/>
          <w:numId w:val="27"/>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t xml:space="preserve">This Agreement will </w:t>
      </w:r>
      <w:r w:rsidR="006146F2">
        <w:t xml:space="preserve">support the delivery </w:t>
      </w:r>
      <w:r w:rsidR="00A10727">
        <w:rPr>
          <w:szCs w:val="24"/>
        </w:rPr>
        <w:t>of</w:t>
      </w:r>
      <w:r w:rsidR="00A10727" w:rsidRPr="0019221E">
        <w:rPr>
          <w:szCs w:val="24"/>
        </w:rPr>
        <w:t xml:space="preserve"> </w:t>
      </w:r>
      <w:r w:rsidR="00A10727">
        <w:rPr>
          <w:szCs w:val="24"/>
        </w:rPr>
        <w:t>grants</w:t>
      </w:r>
      <w:r w:rsidR="00A10727" w:rsidRPr="0019221E">
        <w:rPr>
          <w:szCs w:val="24"/>
        </w:rPr>
        <w:t xml:space="preserve"> to </w:t>
      </w:r>
      <w:r w:rsidR="00A10727">
        <w:rPr>
          <w:szCs w:val="24"/>
        </w:rPr>
        <w:t>eligible Irrigators within the Lindenow Valley of East Gippsland Victoria,</w:t>
      </w:r>
      <w:r w:rsidR="00A10727" w:rsidRPr="0019221E">
        <w:rPr>
          <w:szCs w:val="24"/>
        </w:rPr>
        <w:t xml:space="preserve"> for the construction of on-farm </w:t>
      </w:r>
      <w:r w:rsidR="00A10727">
        <w:rPr>
          <w:szCs w:val="24"/>
        </w:rPr>
        <w:t xml:space="preserve">water </w:t>
      </w:r>
      <w:r w:rsidR="00A10727" w:rsidRPr="0019221E">
        <w:rPr>
          <w:szCs w:val="24"/>
        </w:rPr>
        <w:t>storage</w:t>
      </w:r>
      <w:r w:rsidR="00A10727">
        <w:rPr>
          <w:szCs w:val="24"/>
        </w:rPr>
        <w:t xml:space="preserve"> facilities, </w:t>
      </w:r>
      <w:r w:rsidR="005F52E8">
        <w:rPr>
          <w:szCs w:val="24"/>
        </w:rPr>
        <w:t xml:space="preserve">or </w:t>
      </w:r>
      <w:r w:rsidR="00A10727">
        <w:rPr>
          <w:szCs w:val="24"/>
        </w:rPr>
        <w:t>bores and pumping facilities</w:t>
      </w:r>
      <w:r w:rsidR="00A10727" w:rsidRPr="0019221E">
        <w:rPr>
          <w:szCs w:val="24"/>
        </w:rPr>
        <w:t>, to increase water s</w:t>
      </w:r>
      <w:r w:rsidR="00A10727">
        <w:rPr>
          <w:szCs w:val="24"/>
        </w:rPr>
        <w:t>ecurity and improve resilience to drought</w:t>
      </w:r>
      <w:r w:rsidR="006F79D3">
        <w:t>.</w:t>
      </w:r>
    </w:p>
    <w:p w14:paraId="42BA4469" w14:textId="77777777" w:rsidR="0096732C" w:rsidRDefault="0096732C"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jc w:val="left"/>
      </w:pPr>
      <w:r w:rsidRPr="0096732C">
        <w:rPr>
          <w:rFonts w:cs="Arial"/>
          <w:b/>
          <w:bCs/>
          <w:iCs/>
          <w:color w:val="3D4B67"/>
          <w:sz w:val="29"/>
          <w:szCs w:val="28"/>
        </w:rPr>
        <w:t>Reporting Arrangements</w:t>
      </w:r>
      <w:r>
        <w:t xml:space="preserve"> </w:t>
      </w:r>
    </w:p>
    <w:p w14:paraId="7EDF3646" w14:textId="77777777" w:rsidR="0096732C" w:rsidRDefault="00A10727" w:rsidP="00C00CD9">
      <w:pPr>
        <w:pStyle w:val="Normalnumbered"/>
        <w:numPr>
          <w:ilvl w:val="0"/>
          <w:numId w:val="27"/>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State of Victoria</w:t>
      </w:r>
      <w:r w:rsidR="00BA3DD1">
        <w:t xml:space="preserve"> will report </w:t>
      </w:r>
      <w:r w:rsidR="0096732C">
        <w:t xml:space="preserve">against the agreed milestones during the operation of this Agreement, as set out in </w:t>
      </w:r>
      <w:r w:rsidR="009A5C18">
        <w:t xml:space="preserve">this Agreement at </w:t>
      </w:r>
      <w:r w:rsidR="0096732C">
        <w:t xml:space="preserve">Part 4 – Project Milestones, Reporting and Payments. </w:t>
      </w:r>
    </w:p>
    <w:p w14:paraId="54321C3B" w14:textId="77777777" w:rsidR="0096732C" w:rsidRPr="0096732C" w:rsidRDefault="0096732C"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jc w:val="left"/>
        <w:rPr>
          <w:rFonts w:cs="Arial"/>
          <w:b/>
          <w:bCs/>
          <w:iCs/>
          <w:color w:val="3D4B67"/>
          <w:sz w:val="29"/>
          <w:szCs w:val="28"/>
        </w:rPr>
      </w:pPr>
      <w:r w:rsidRPr="0096732C">
        <w:rPr>
          <w:rFonts w:cs="Arial"/>
          <w:b/>
          <w:bCs/>
          <w:iCs/>
          <w:color w:val="3D4B67"/>
          <w:sz w:val="29"/>
          <w:szCs w:val="28"/>
        </w:rPr>
        <w:t xml:space="preserve">Financial Arrangements </w:t>
      </w:r>
    </w:p>
    <w:p w14:paraId="2171E691" w14:textId="7E8FABAD" w:rsidR="0096732C" w:rsidRPr="0096732C" w:rsidRDefault="0096732C" w:rsidP="00C00CD9">
      <w:pPr>
        <w:pStyle w:val="Normalnumbered"/>
        <w:numPr>
          <w:ilvl w:val="0"/>
          <w:numId w:val="27"/>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fina</w:t>
      </w:r>
      <w:r w:rsidR="00A10727">
        <w:t>ncial contribution to the State of Victoria</w:t>
      </w:r>
      <w:r w:rsidRPr="007179FE">
        <w:t xml:space="preserve"> </w:t>
      </w:r>
      <w:r>
        <w:t xml:space="preserve">of </w:t>
      </w:r>
      <w:r w:rsidR="00BA3DD1">
        <w:t xml:space="preserve">up to </w:t>
      </w:r>
      <w:r>
        <w:t>$</w:t>
      </w:r>
      <w:r w:rsidR="00A10727">
        <w:t>10</w:t>
      </w:r>
      <w:r w:rsidR="00BA3DD1">
        <w:t xml:space="preserve"> million,</w:t>
      </w:r>
      <w:r w:rsidR="00F234AB">
        <w:t xml:space="preserve">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29A70811" w14:textId="77777777" w:rsidR="0096732C" w:rsidRPr="004B1F38" w:rsidRDefault="00A25265" w:rsidP="00804105">
      <w:pPr>
        <w:pStyle w:val="Normalnumbered"/>
        <w:pBdr>
          <w:top w:val="single" w:sz="4" w:space="1" w:color="auto"/>
          <w:left w:val="single" w:sz="4" w:space="4" w:color="auto"/>
          <w:bottom w:val="single" w:sz="4" w:space="1" w:color="auto"/>
          <w:right w:val="single" w:sz="4" w:space="4" w:color="auto"/>
        </w:pBdr>
        <w:shd w:val="clear" w:color="auto" w:fill="DAEEF3" w:themeFill="accent5" w:themeFillTint="33"/>
        <w:tabs>
          <w:tab w:val="clear" w:pos="360"/>
        </w:tabs>
        <w:ind w:left="0" w:firstLine="0"/>
      </w:pPr>
      <w:r w:rsidDel="00A25265">
        <w:t xml:space="preserve"> </w:t>
      </w:r>
    </w:p>
    <w:p w14:paraId="07ED4148" w14:textId="77777777" w:rsidR="00A25265" w:rsidRPr="00A25265" w:rsidRDefault="00814667" w:rsidP="00BA3DD1">
      <w:pPr>
        <w:pStyle w:val="Heading1"/>
      </w:pPr>
      <w:r>
        <w:t>Part 1 — Formalities</w:t>
      </w:r>
    </w:p>
    <w:p w14:paraId="33EE171D" w14:textId="77777777" w:rsidR="00804105" w:rsidRDefault="00804105" w:rsidP="00C00CD9">
      <w:pPr>
        <w:pStyle w:val="Normalnumbered"/>
        <w:numPr>
          <w:ilvl w:val="0"/>
          <w:numId w:val="27"/>
        </w:numPr>
      </w:pPr>
      <w:r>
        <w:t xml:space="preserve">This </w:t>
      </w:r>
      <w:r w:rsidR="00605169">
        <w:t>a</w:t>
      </w:r>
      <w:r>
        <w:t>greement</w:t>
      </w:r>
      <w:r w:rsidR="00D41B17">
        <w:t>, together with S</w:t>
      </w:r>
      <w:r w:rsidR="00605169">
        <w:t>chedule</w:t>
      </w:r>
      <w:r w:rsidR="00B14015">
        <w:t xml:space="preserve"> A</w:t>
      </w:r>
      <w:r w:rsidR="00605169">
        <w:t>,</w:t>
      </w:r>
      <w:r>
        <w:t xml:space="preserve"> constitutes the entire agreement for this project.</w:t>
      </w:r>
    </w:p>
    <w:p w14:paraId="4FF9709A" w14:textId="77777777" w:rsidR="00814667" w:rsidRDefault="00814667">
      <w:pPr>
        <w:pStyle w:val="Heading2"/>
      </w:pPr>
      <w:r>
        <w:t>Parties to this Agreement</w:t>
      </w:r>
    </w:p>
    <w:p w14:paraId="2F619F36" w14:textId="77777777" w:rsidR="007B4B03" w:rsidRPr="007B4B03" w:rsidRDefault="00E7195E" w:rsidP="00C00CD9">
      <w:pPr>
        <w:pStyle w:val="Normalnumbered"/>
        <w:numPr>
          <w:ilvl w:val="0"/>
          <w:numId w:val="27"/>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A10727">
        <w:t>he State of</w:t>
      </w:r>
      <w:r w:rsidR="001209CB" w:rsidRPr="001209CB">
        <w:t xml:space="preserve"> </w:t>
      </w:r>
      <w:r w:rsidR="00A10727">
        <w:t>Victoria (</w:t>
      </w:r>
      <w:r w:rsidR="00B72FF8">
        <w:t>Victoria</w:t>
      </w:r>
      <w:r w:rsidR="001209CB" w:rsidRPr="001209CB">
        <w:t>).</w:t>
      </w:r>
    </w:p>
    <w:p w14:paraId="4F25973C" w14:textId="77777777" w:rsidR="00814667" w:rsidRDefault="00814667">
      <w:pPr>
        <w:pStyle w:val="Heading2"/>
      </w:pPr>
      <w:r>
        <w:t>Term of the Agreement</w:t>
      </w:r>
    </w:p>
    <w:p w14:paraId="7027B09C" w14:textId="1487D702" w:rsidR="00814667" w:rsidRPr="00DE36EB" w:rsidRDefault="00814667" w:rsidP="00C00CD9">
      <w:pPr>
        <w:pStyle w:val="Normalnumbered"/>
        <w:numPr>
          <w:ilvl w:val="0"/>
          <w:numId w:val="27"/>
        </w:numPr>
      </w:pPr>
      <w:r w:rsidRPr="00DE36EB">
        <w:t xml:space="preserve">This Agreement will commence as soon as the Commonwealth and </w:t>
      </w:r>
      <w:r w:rsidR="00B72FF8">
        <w:t>Victoria</w:t>
      </w:r>
      <w:r w:rsidR="00726DB5" w:rsidRPr="00DE36EB">
        <w:t xml:space="preserve"> sign </w:t>
      </w:r>
      <w:r w:rsidR="0096732C">
        <w:t xml:space="preserve">it </w:t>
      </w:r>
      <w:r w:rsidRPr="00DE36EB">
        <w:t>and will expire on</w:t>
      </w:r>
      <w:r w:rsidR="00C7093C" w:rsidRPr="00DE36EB">
        <w:t xml:space="preserve"> </w:t>
      </w:r>
      <w:r w:rsidR="00BA3DD1">
        <w:t>30 June </w:t>
      </w:r>
      <w:r w:rsidR="00936D15">
        <w:t>2023</w:t>
      </w:r>
      <w:r w:rsidR="00DD6638">
        <w:t xml:space="preserve"> </w:t>
      </w:r>
      <w:r w:rsidR="00284884" w:rsidRPr="00DE36EB">
        <w:t>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3DAF4C61"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Pr="00784439">
        <w:rPr>
          <w:i/>
        </w:rPr>
        <w:t xml:space="preserve"> </w:t>
      </w:r>
    </w:p>
    <w:p w14:paraId="0911FAE3" w14:textId="77777777" w:rsidR="00814667" w:rsidRDefault="00814667">
      <w:pPr>
        <w:pStyle w:val="Heading2"/>
      </w:pPr>
      <w:r>
        <w:t>Output</w:t>
      </w:r>
    </w:p>
    <w:p w14:paraId="11D27B2F" w14:textId="58E5A687" w:rsidR="001209CB" w:rsidRDefault="001209CB" w:rsidP="00C00CD9">
      <w:pPr>
        <w:pStyle w:val="Normalnumbered"/>
        <w:numPr>
          <w:ilvl w:val="0"/>
          <w:numId w:val="27"/>
        </w:numPr>
        <w:jc w:val="left"/>
      </w:pPr>
      <w:r>
        <w:t>To provide f</w:t>
      </w:r>
      <w:r w:rsidR="00A10727">
        <w:t xml:space="preserve">unding </w:t>
      </w:r>
      <w:r w:rsidR="00A10727" w:rsidRPr="0019221E">
        <w:rPr>
          <w:szCs w:val="24"/>
        </w:rPr>
        <w:t xml:space="preserve">to </w:t>
      </w:r>
      <w:r w:rsidR="00A10727">
        <w:rPr>
          <w:szCs w:val="24"/>
        </w:rPr>
        <w:t>eligible Irrigators within the Lindenow Valley of East Gippsland Victoria,</w:t>
      </w:r>
      <w:r w:rsidR="00B14015">
        <w:rPr>
          <w:szCs w:val="24"/>
        </w:rPr>
        <w:t xml:space="preserve"> </w:t>
      </w:r>
      <w:r w:rsidR="00A10727" w:rsidRPr="0019221E">
        <w:rPr>
          <w:szCs w:val="24"/>
        </w:rPr>
        <w:t xml:space="preserve">for the construction of on-farm </w:t>
      </w:r>
      <w:r w:rsidR="00A10727">
        <w:rPr>
          <w:szCs w:val="24"/>
        </w:rPr>
        <w:t xml:space="preserve">water </w:t>
      </w:r>
      <w:r w:rsidR="00A10727" w:rsidRPr="0019221E">
        <w:rPr>
          <w:szCs w:val="24"/>
        </w:rPr>
        <w:t>storage</w:t>
      </w:r>
      <w:r w:rsidR="00A10727">
        <w:rPr>
          <w:szCs w:val="24"/>
        </w:rPr>
        <w:t xml:space="preserve"> facilities, </w:t>
      </w:r>
      <w:r w:rsidR="006C05FF">
        <w:rPr>
          <w:szCs w:val="24"/>
        </w:rPr>
        <w:t xml:space="preserve">or </w:t>
      </w:r>
      <w:r w:rsidR="00A10727">
        <w:rPr>
          <w:szCs w:val="24"/>
        </w:rPr>
        <w:t>bores and pumping facilities</w:t>
      </w:r>
      <w:r w:rsidR="00A10727" w:rsidRPr="0019221E">
        <w:rPr>
          <w:szCs w:val="24"/>
        </w:rPr>
        <w:t>, to increase water s</w:t>
      </w:r>
      <w:r w:rsidR="00A10727">
        <w:rPr>
          <w:szCs w:val="24"/>
        </w:rPr>
        <w:t>ecurity and improve resilience to drought</w:t>
      </w:r>
      <w:r w:rsidR="00B21D69">
        <w:t>. Guidance on eligible pro</w:t>
      </w:r>
      <w:r w:rsidR="00D41B17">
        <w:t>ject activities is at Schedule </w:t>
      </w:r>
      <w:r w:rsidR="0006366B">
        <w:t>A.</w:t>
      </w:r>
    </w:p>
    <w:p w14:paraId="52CC6DB3" w14:textId="77777777" w:rsidR="008F44F1" w:rsidRDefault="008F44F1">
      <w:pPr>
        <w:pStyle w:val="Heading1"/>
      </w:pPr>
      <w:r>
        <w:t>Part 3 — roles and responsibilities of each party</w:t>
      </w:r>
    </w:p>
    <w:p w14:paraId="07994BA4" w14:textId="77777777" w:rsidR="008F44F1" w:rsidRDefault="008F44F1" w:rsidP="008F44F1">
      <w:pPr>
        <w:pStyle w:val="Heading2"/>
      </w:pPr>
      <w:r w:rsidRPr="00814590">
        <w:t>Role of the Commonwealth</w:t>
      </w:r>
    </w:p>
    <w:p w14:paraId="1EF77D5D" w14:textId="77777777" w:rsidR="008F44F1" w:rsidRDefault="008F44F1" w:rsidP="00C00CD9">
      <w:pPr>
        <w:pStyle w:val="Normalnumbered"/>
        <w:numPr>
          <w:ilvl w:val="0"/>
          <w:numId w:val="27"/>
        </w:numPr>
        <w:jc w:val="left"/>
      </w:pPr>
      <w:r>
        <w:t>The Commonwealth will be responsible for:</w:t>
      </w:r>
    </w:p>
    <w:p w14:paraId="179127C3" w14:textId="77777777" w:rsidR="008F44F1" w:rsidRPr="000614F9" w:rsidRDefault="008F44F1" w:rsidP="00C00CD9">
      <w:pPr>
        <w:pStyle w:val="AlphaParagraph"/>
        <w:numPr>
          <w:ilvl w:val="0"/>
          <w:numId w:val="36"/>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r w:rsidR="00A10727">
        <w:t xml:space="preserve">Lindenow Valley Water Security </w:t>
      </w:r>
      <w:r w:rsidR="00AF4FD9">
        <w:t>Scheme</w:t>
      </w:r>
      <w:r w:rsidRPr="000614F9">
        <w:t xml:space="preserve"> </w:t>
      </w:r>
      <w:r w:rsidRPr="000614F9">
        <w:rPr>
          <w:color w:val="auto"/>
        </w:rPr>
        <w:t>under</w:t>
      </w:r>
      <w:r w:rsidRPr="004B6083">
        <w:t xml:space="preserve"> this Agreement to ensure that outputs are delivered within the agreed timeframe; </w:t>
      </w:r>
      <w:r w:rsidR="00A52E03">
        <w:t>and</w:t>
      </w:r>
    </w:p>
    <w:p w14:paraId="6FFC2FDC" w14:textId="341CE5AF" w:rsidR="00C8213B" w:rsidRPr="000614F9" w:rsidRDefault="008F44F1" w:rsidP="000D4EA1">
      <w:pPr>
        <w:pStyle w:val="AlphaParagraph"/>
        <w:numPr>
          <w:ilvl w:val="0"/>
          <w:numId w:val="36"/>
        </w:numPr>
        <w:tabs>
          <w:tab w:val="clear" w:pos="567"/>
          <w:tab w:val="clear" w:pos="1418"/>
          <w:tab w:val="clear" w:pos="1701"/>
        </w:tabs>
        <w:ind w:left="1134" w:hanging="567"/>
        <w:rPr>
          <w:color w:val="auto"/>
        </w:rPr>
      </w:pPr>
      <w:r w:rsidRPr="004B6083">
        <w:rPr>
          <w:color w:val="auto"/>
        </w:rPr>
        <w:t>providing a fina</w:t>
      </w:r>
      <w:r w:rsidR="00A10727">
        <w:rPr>
          <w:color w:val="auto"/>
        </w:rPr>
        <w:t xml:space="preserve">ncial contribution to </w:t>
      </w:r>
      <w:r w:rsidR="00B72FF8">
        <w:rPr>
          <w:color w:val="auto"/>
        </w:rPr>
        <w:t>Victoria</w:t>
      </w:r>
      <w:r w:rsidRPr="004B6083">
        <w:rPr>
          <w:color w:val="auto"/>
        </w:rPr>
        <w:t xml:space="preserve"> to support the </w:t>
      </w:r>
      <w:r w:rsidRPr="000D4EA1">
        <w:rPr>
          <w:color w:val="auto"/>
        </w:rPr>
        <w:t>implementation</w:t>
      </w:r>
      <w:r w:rsidRPr="004B6083">
        <w:rPr>
          <w:color w:val="auto"/>
        </w:rPr>
        <w:t xml:space="preserve"> of this Agreement</w:t>
      </w:r>
      <w:r w:rsidR="00A52E03">
        <w:rPr>
          <w:color w:val="auto"/>
        </w:rPr>
        <w:t>.</w:t>
      </w:r>
    </w:p>
    <w:p w14:paraId="78B37259" w14:textId="77777777" w:rsidR="008F44F1" w:rsidRPr="00751725" w:rsidRDefault="008F44F1" w:rsidP="008F44F1">
      <w:pPr>
        <w:pStyle w:val="Heading2"/>
      </w:pPr>
      <w:r w:rsidRPr="00751725">
        <w:t xml:space="preserve">Role of </w:t>
      </w:r>
      <w:r w:rsidR="00B72FF8">
        <w:t>Victoria</w:t>
      </w:r>
    </w:p>
    <w:p w14:paraId="1736CB54" w14:textId="0040D7DD" w:rsidR="008F44F1" w:rsidRPr="00480A6D" w:rsidRDefault="00A10727" w:rsidP="00C00CD9">
      <w:pPr>
        <w:pStyle w:val="Normalnumbered"/>
        <w:numPr>
          <w:ilvl w:val="0"/>
          <w:numId w:val="27"/>
        </w:numPr>
        <w:jc w:val="left"/>
      </w:pPr>
      <w:r>
        <w:t>The State</w:t>
      </w:r>
      <w:r w:rsidR="00545DF7">
        <w:t xml:space="preserve"> </w:t>
      </w:r>
      <w:r w:rsidR="008F44F1">
        <w:t>will be responsible for</w:t>
      </w:r>
      <w:r w:rsidR="00A52E03">
        <w:t xml:space="preserve"> </w:t>
      </w:r>
      <w:r w:rsidR="008F44F1">
        <w:t xml:space="preserve">all aspects of delivering on the project outputs set out in this </w:t>
      </w:r>
      <w:r w:rsidR="008F44F1" w:rsidRPr="00480A6D">
        <w:t>Agreement</w:t>
      </w:r>
      <w:r w:rsidR="0001673F" w:rsidRPr="00480A6D">
        <w:t>.</w:t>
      </w:r>
    </w:p>
    <w:p w14:paraId="52A5E677" w14:textId="13DBE861" w:rsidR="002E7C36" w:rsidRPr="00480A6D" w:rsidRDefault="002E7C36" w:rsidP="00C00CD9">
      <w:pPr>
        <w:pStyle w:val="Normalnumbered"/>
        <w:numPr>
          <w:ilvl w:val="0"/>
          <w:numId w:val="27"/>
        </w:numPr>
        <w:jc w:val="left"/>
      </w:pPr>
      <w:r w:rsidRPr="00480A6D">
        <w:t xml:space="preserve">The State will be responsible for reviewing and approving applications in line with the </w:t>
      </w:r>
      <w:r w:rsidR="000D4EA1" w:rsidRPr="00480A6D">
        <w:t>scheme</w:t>
      </w:r>
      <w:r w:rsidRPr="00480A6D">
        <w:t xml:space="preserve"> eligibility and guidelines</w:t>
      </w:r>
    </w:p>
    <w:p w14:paraId="2C2306E5" w14:textId="77777777" w:rsidR="008F44F1" w:rsidRDefault="008F44F1" w:rsidP="004F5DCD">
      <w:pPr>
        <w:pStyle w:val="Heading2"/>
      </w:pPr>
      <w:r w:rsidRPr="00480A6D">
        <w:t>Shared roles</w:t>
      </w:r>
    </w:p>
    <w:p w14:paraId="56CC4D91" w14:textId="77777777" w:rsidR="008F44F1" w:rsidRDefault="008F44F1" w:rsidP="00C00CD9">
      <w:pPr>
        <w:pStyle w:val="Normalnumbered"/>
        <w:numPr>
          <w:ilvl w:val="0"/>
          <w:numId w:val="27"/>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76C88D5D" w14:textId="77777777" w:rsidR="007C4F31" w:rsidRPr="00F301F2" w:rsidRDefault="00814667" w:rsidP="00F301F2">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1CF00845" w14:textId="2A758B61" w:rsidR="003769B0" w:rsidRDefault="001209CB" w:rsidP="00C00CD9">
      <w:pPr>
        <w:pStyle w:val="Normalnumbered"/>
        <w:numPr>
          <w:ilvl w:val="0"/>
          <w:numId w:val="27"/>
        </w:numPr>
        <w:jc w:val="left"/>
      </w:pPr>
      <w:r>
        <w:t xml:space="preserve">Achievement of the outputs of this Agreement will be assessed against the milestones </w:t>
      </w:r>
      <w:r w:rsidR="00B24736">
        <w:t>outlined in Table 2</w:t>
      </w:r>
      <w:r>
        <w:t xml:space="preserve">. </w:t>
      </w:r>
      <w:r w:rsidRPr="001209CB">
        <w:t xml:space="preserve">The Commonwealth will make payments subject to </w:t>
      </w:r>
      <w:r w:rsidR="00605169">
        <w:t>a</w:t>
      </w:r>
      <w:r w:rsidR="00C655A0">
        <w:t xml:space="preserve"> </w:t>
      </w:r>
      <w:r w:rsidRPr="001209CB">
        <w:t>performance report demonstrating the relevant milestone has been met.</w:t>
      </w:r>
    </w:p>
    <w:p w14:paraId="76B549BB" w14:textId="42E42C67" w:rsidR="001209CB" w:rsidRDefault="001209CB" w:rsidP="00C00CD9">
      <w:pPr>
        <w:pStyle w:val="Normalnumbered"/>
        <w:numPr>
          <w:ilvl w:val="0"/>
          <w:numId w:val="27"/>
        </w:numPr>
      </w:pPr>
      <w:r>
        <w:t>If</w:t>
      </w:r>
      <w:r w:rsidRPr="00804105">
        <w:t xml:space="preserve"> a milestone is met in advance of the due date, </w:t>
      </w:r>
      <w:r>
        <w:t xml:space="preserve">where </w:t>
      </w:r>
      <w:r w:rsidRPr="00804105">
        <w:t>the relevant performance report demonstrat</w:t>
      </w:r>
      <w:r>
        <w:t>es</w:t>
      </w:r>
      <w:r w:rsidRPr="00804105">
        <w:t xml:space="preserve"> </w:t>
      </w:r>
      <w:r>
        <w:t xml:space="preserve">that </w:t>
      </w:r>
      <w:r w:rsidRPr="00804105">
        <w:t>the milestone has been met, the Commonwealth may make the associated payment earlier than scheduled provided it falls within the same financial year as the original milestone date.</w:t>
      </w:r>
      <w:r>
        <w:t xml:space="preserve"> </w:t>
      </w:r>
    </w:p>
    <w:p w14:paraId="23DA7EC6" w14:textId="34969209" w:rsidR="00B24736" w:rsidRDefault="00B24736" w:rsidP="00C00CD9">
      <w:pPr>
        <w:pStyle w:val="Normalnumbered"/>
        <w:numPr>
          <w:ilvl w:val="0"/>
          <w:numId w:val="27"/>
        </w:numPr>
      </w:pPr>
      <w:r w:rsidRPr="00EA3664">
        <w:t>Table 2</w:t>
      </w:r>
      <w:r>
        <w:t xml:space="preserve"> summarises the milestones for the project, their relationship to the outputs, expected completion dates, relevant reporting dates and expected payments to be made.  The Commonwealth will make payments </w:t>
      </w:r>
      <w:r w:rsidR="000D4EA1" w:rsidRPr="00B27B7C">
        <w:t>as frequently as on a monthly basis</w:t>
      </w:r>
      <w:r w:rsidR="000D4EA1">
        <w:t xml:space="preserve"> </w:t>
      </w:r>
      <w:r>
        <w:t>subject to Victoria demonstrating that the relevant milestone has been met</w:t>
      </w:r>
      <w:r w:rsidR="00794BFB">
        <w:t>.</w:t>
      </w:r>
    </w:p>
    <w:p w14:paraId="53F4D519" w14:textId="4369E8EA" w:rsidR="003769B0" w:rsidRDefault="003769B0" w:rsidP="00C00CD9">
      <w:pPr>
        <w:pStyle w:val="Normalnumbered"/>
        <w:numPr>
          <w:ilvl w:val="0"/>
          <w:numId w:val="27"/>
        </w:numPr>
      </w:pPr>
      <w:r>
        <w:t xml:space="preserve">The Commonwealth will notify Victoria </w:t>
      </w:r>
      <w:r w:rsidRPr="000D4EA1">
        <w:t>within 7 days</w:t>
      </w:r>
      <w:r>
        <w:t xml:space="preserve"> of the report being submitted by Victoria that the milestone has been met and payment is intended to be made.</w:t>
      </w:r>
    </w:p>
    <w:p w14:paraId="3FE52223" w14:textId="77777777" w:rsidR="00B24736" w:rsidRPr="008A7FE4" w:rsidRDefault="00B24736" w:rsidP="0006366B">
      <w:pPr>
        <w:pStyle w:val="Normalnumbered"/>
        <w:tabs>
          <w:tab w:val="clear" w:pos="360"/>
        </w:tabs>
        <w:ind w:left="0" w:firstLine="0"/>
        <w:rPr>
          <w:b/>
        </w:rPr>
      </w:pPr>
      <w:r w:rsidRPr="009E656A">
        <w:rPr>
          <w:b/>
        </w:rPr>
        <w:t>Table 2: Milestones, reporting and payment summary</w:t>
      </w:r>
    </w:p>
    <w:tbl>
      <w:tblPr>
        <w:tblW w:w="5000" w:type="pct"/>
        <w:tblLook w:val="04A0" w:firstRow="1" w:lastRow="0" w:firstColumn="1" w:lastColumn="0" w:noHBand="0" w:noVBand="1"/>
      </w:tblPr>
      <w:tblGrid>
        <w:gridCol w:w="1514"/>
        <w:gridCol w:w="4153"/>
        <w:gridCol w:w="1348"/>
        <w:gridCol w:w="2613"/>
      </w:tblGrid>
      <w:tr w:rsidR="00B70929" w:rsidRPr="002B4216" w14:paraId="7D5C7045" w14:textId="77777777" w:rsidTr="002B4216">
        <w:trPr>
          <w:trHeight w:val="404"/>
        </w:trPr>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B6D9C" w14:textId="5025C4F3" w:rsidR="00B24736" w:rsidRPr="002B4216" w:rsidRDefault="00B24736" w:rsidP="002B4216">
            <w:pPr>
              <w:rPr>
                <w:b/>
              </w:rPr>
            </w:pPr>
            <w:r w:rsidRPr="002B4216">
              <w:rPr>
                <w:b/>
              </w:rPr>
              <w:t>Output</w:t>
            </w:r>
          </w:p>
        </w:tc>
        <w:tc>
          <w:tcPr>
            <w:tcW w:w="2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8CBCB" w14:textId="77777777" w:rsidR="00B24736" w:rsidRPr="002B4216" w:rsidRDefault="00B24736" w:rsidP="008A7FE4">
            <w:pPr>
              <w:rPr>
                <w:b/>
              </w:rPr>
            </w:pPr>
            <w:r w:rsidRPr="002B4216">
              <w:rPr>
                <w:b/>
              </w:rPr>
              <w:t xml:space="preserve">Performance milestone </w:t>
            </w: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F0795" w14:textId="77777777" w:rsidR="00B24736" w:rsidRPr="002B4216" w:rsidRDefault="00B24736" w:rsidP="008A7FE4">
            <w:pPr>
              <w:rPr>
                <w:b/>
              </w:rPr>
            </w:pPr>
            <w:r w:rsidRPr="002B4216">
              <w:rPr>
                <w:b/>
              </w:rPr>
              <w:t xml:space="preserve">Report due </w:t>
            </w:r>
          </w:p>
        </w:tc>
        <w:tc>
          <w:tcPr>
            <w:tcW w:w="1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2BAFE" w14:textId="77777777" w:rsidR="00B24736" w:rsidRPr="002B4216" w:rsidRDefault="00B24736" w:rsidP="008A7FE4">
            <w:pPr>
              <w:rPr>
                <w:b/>
              </w:rPr>
            </w:pPr>
            <w:r w:rsidRPr="002B4216">
              <w:rPr>
                <w:b/>
              </w:rPr>
              <w:t>Payment</w:t>
            </w:r>
          </w:p>
        </w:tc>
      </w:tr>
      <w:tr w:rsidR="0001440C" w:rsidRPr="003A222B" w14:paraId="2EF51EAD" w14:textId="77777777" w:rsidTr="002B42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4"/>
        </w:trPr>
        <w:tc>
          <w:tcPr>
            <w:tcW w:w="830" w:type="pct"/>
            <w:vMerge w:val="restart"/>
            <w:tcBorders>
              <w:top w:val="single" w:sz="4" w:space="0" w:color="auto"/>
              <w:left w:val="single" w:sz="4" w:space="0" w:color="auto"/>
              <w:right w:val="single" w:sz="4" w:space="0" w:color="auto"/>
            </w:tcBorders>
            <w:shd w:val="clear" w:color="auto" w:fill="DAEEF3" w:themeFill="accent5" w:themeFillTint="33"/>
            <w:vAlign w:val="center"/>
          </w:tcPr>
          <w:p w14:paraId="5E4C0AA4" w14:textId="77777777" w:rsidR="0001440C" w:rsidRPr="003A222B" w:rsidRDefault="0001440C" w:rsidP="00E0119D">
            <w:pPr>
              <w:jc w:val="left"/>
            </w:pPr>
            <w:r>
              <w:t xml:space="preserve">Lindenow Valley Irrigators design and construct new water security </w:t>
            </w:r>
            <w:r w:rsidRPr="003A222B">
              <w:t>infrastructure</w:t>
            </w:r>
            <w:r>
              <w:t xml:space="preserve"> to</w:t>
            </w:r>
            <w:r w:rsidRPr="003A222B">
              <w:t xml:space="preserve"> </w:t>
            </w:r>
            <w:r>
              <w:t xml:space="preserve">further enhance ability to withstand the impact of drought </w:t>
            </w:r>
          </w:p>
        </w:tc>
        <w:tc>
          <w:tcPr>
            <w:tcW w:w="2242" w:type="pct"/>
            <w:tcBorders>
              <w:top w:val="single" w:sz="4" w:space="0" w:color="auto"/>
              <w:left w:val="single" w:sz="4" w:space="0" w:color="auto"/>
            </w:tcBorders>
            <w:shd w:val="clear" w:color="auto" w:fill="DAEEF3" w:themeFill="accent5" w:themeFillTint="33"/>
          </w:tcPr>
          <w:p w14:paraId="26410DEC" w14:textId="77777777" w:rsidR="0001440C" w:rsidRDefault="0001440C" w:rsidP="008A7FE4">
            <w:pPr>
              <w:jc w:val="left"/>
              <w:rPr>
                <w:i/>
              </w:rPr>
            </w:pPr>
            <w:r w:rsidRPr="002112D3">
              <w:rPr>
                <w:i/>
              </w:rPr>
              <w:t>Milestone 1</w:t>
            </w:r>
          </w:p>
          <w:p w14:paraId="28BFD022" w14:textId="2524AEA5" w:rsidR="0001440C" w:rsidRPr="003A222B" w:rsidRDefault="0001440C" w:rsidP="00AF4FD9">
            <w:pPr>
              <w:jc w:val="left"/>
            </w:pPr>
            <w:r>
              <w:t>Commencement of the Lindenow Valley Water Security Scheme in accordance with this Project Agreement</w:t>
            </w:r>
          </w:p>
        </w:tc>
        <w:tc>
          <w:tcPr>
            <w:tcW w:w="507" w:type="pct"/>
            <w:tcBorders>
              <w:top w:val="single" w:sz="4" w:space="0" w:color="auto"/>
            </w:tcBorders>
            <w:shd w:val="clear" w:color="auto" w:fill="DAEEF3" w:themeFill="accent5" w:themeFillTint="33"/>
          </w:tcPr>
          <w:p w14:paraId="61A06112" w14:textId="0A15807C" w:rsidR="0001440C" w:rsidRDefault="00480A6D" w:rsidP="008A7FE4">
            <w:r w:rsidRPr="00B27B7C">
              <w:t>1</w:t>
            </w:r>
            <w:r w:rsidR="007706FD" w:rsidRPr="00B27B7C">
              <w:t>5</w:t>
            </w:r>
            <w:r w:rsidR="0001440C" w:rsidRPr="00B27B7C">
              <w:t xml:space="preserve"> </w:t>
            </w:r>
            <w:r w:rsidRPr="00B27B7C">
              <w:t>January</w:t>
            </w:r>
            <w:r w:rsidR="0001440C" w:rsidRPr="00B27B7C">
              <w:t xml:space="preserve"> 20</w:t>
            </w:r>
            <w:r w:rsidRPr="00B27B7C">
              <w:t>20</w:t>
            </w:r>
          </w:p>
        </w:tc>
        <w:tc>
          <w:tcPr>
            <w:tcW w:w="1421" w:type="pct"/>
            <w:tcBorders>
              <w:top w:val="single" w:sz="4" w:space="0" w:color="auto"/>
            </w:tcBorders>
            <w:shd w:val="clear" w:color="auto" w:fill="DAEEF3" w:themeFill="accent5" w:themeFillTint="33"/>
          </w:tcPr>
          <w:p w14:paraId="60B8DCA2" w14:textId="009E2377" w:rsidR="0001440C" w:rsidRPr="003A222B" w:rsidRDefault="0001440C" w:rsidP="008A7FE4">
            <w:r>
              <w:t>$1 million</w:t>
            </w:r>
            <w:r w:rsidRPr="003A222B">
              <w:t xml:space="preserve"> </w:t>
            </w:r>
          </w:p>
        </w:tc>
      </w:tr>
      <w:tr w:rsidR="0001440C" w:rsidRPr="00A964CC" w14:paraId="6326F478" w14:textId="77777777" w:rsidTr="00F50F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4"/>
        </w:trPr>
        <w:tc>
          <w:tcPr>
            <w:tcW w:w="830" w:type="pct"/>
            <w:vMerge/>
            <w:tcBorders>
              <w:left w:val="single" w:sz="4" w:space="0" w:color="auto"/>
              <w:right w:val="single" w:sz="4" w:space="0" w:color="auto"/>
            </w:tcBorders>
            <w:shd w:val="clear" w:color="auto" w:fill="DAEEF3" w:themeFill="accent5" w:themeFillTint="33"/>
          </w:tcPr>
          <w:p w14:paraId="0CA694F0" w14:textId="77777777" w:rsidR="0001440C" w:rsidRPr="003A222B" w:rsidRDefault="0001440C" w:rsidP="008A7FE4"/>
        </w:tc>
        <w:tc>
          <w:tcPr>
            <w:tcW w:w="2242" w:type="pct"/>
            <w:tcBorders>
              <w:left w:val="single" w:sz="4" w:space="0" w:color="auto"/>
            </w:tcBorders>
            <w:shd w:val="clear" w:color="auto" w:fill="DAEEF3" w:themeFill="accent5" w:themeFillTint="33"/>
          </w:tcPr>
          <w:p w14:paraId="6DAC769A" w14:textId="77777777" w:rsidR="0001440C" w:rsidRPr="002112D3" w:rsidRDefault="0001440C" w:rsidP="008A7FE4">
            <w:pPr>
              <w:rPr>
                <w:i/>
              </w:rPr>
            </w:pPr>
            <w:r w:rsidRPr="002112D3">
              <w:rPr>
                <w:i/>
              </w:rPr>
              <w:t>Milestone 2</w:t>
            </w:r>
          </w:p>
          <w:p w14:paraId="4BE8CAC3" w14:textId="2AA0A722" w:rsidR="0001440C" w:rsidRPr="003A222B" w:rsidRDefault="0001440C" w:rsidP="006708D7">
            <w:r>
              <w:t xml:space="preserve">Report on the progress of the delivery of the Lindenow Valley Water Security Scheme in accordance with this Project </w:t>
            </w:r>
            <w:r w:rsidRPr="00DA35BA">
              <w:t>Agreement</w:t>
            </w:r>
            <w:r w:rsidR="000D4EA1" w:rsidRPr="00DA35BA">
              <w:t xml:space="preserve"> based on the t</w:t>
            </w:r>
            <w:r w:rsidR="006708D7" w:rsidRPr="00DA35BA">
              <w:t>otal of grants approved</w:t>
            </w:r>
            <w:r w:rsidRPr="00DA35BA">
              <w:t xml:space="preserve"> to eligible applicants from the commencement of the Lindenow</w:t>
            </w:r>
            <w:r w:rsidRPr="00AF7296">
              <w:t xml:space="preserve"> Valley Water Security Scheme</w:t>
            </w:r>
            <w:r>
              <w:t>.</w:t>
            </w:r>
          </w:p>
        </w:tc>
        <w:tc>
          <w:tcPr>
            <w:tcW w:w="507" w:type="pct"/>
            <w:shd w:val="clear" w:color="auto" w:fill="DAEEF3" w:themeFill="accent5" w:themeFillTint="33"/>
          </w:tcPr>
          <w:p w14:paraId="1236901F" w14:textId="77777777" w:rsidR="0001440C" w:rsidRDefault="0001440C" w:rsidP="008A7FE4">
            <w:r>
              <w:t>1 May 2020</w:t>
            </w:r>
            <w:r w:rsidR="006708D7">
              <w:t xml:space="preserve"> or earlier</w:t>
            </w:r>
            <w:r w:rsidR="00C8213B">
              <w:t>.</w:t>
            </w:r>
          </w:p>
          <w:p w14:paraId="3CB76A6A" w14:textId="6E3FB868" w:rsidR="00C8213B" w:rsidRDefault="00C8213B" w:rsidP="008A7FE4">
            <w:r>
              <w:t>Subsequent reports provided as required (e.g. monthly)</w:t>
            </w:r>
          </w:p>
        </w:tc>
        <w:tc>
          <w:tcPr>
            <w:tcW w:w="1421" w:type="pct"/>
            <w:shd w:val="clear" w:color="auto" w:fill="DAEEF3" w:themeFill="accent5" w:themeFillTint="33"/>
          </w:tcPr>
          <w:p w14:paraId="637A3A99" w14:textId="0E0186A6" w:rsidR="0001440C" w:rsidRPr="00A964CC" w:rsidRDefault="0001440C" w:rsidP="008B61D2">
            <w:r>
              <w:t xml:space="preserve">The value of administrative costs and grants </w:t>
            </w:r>
            <w:r w:rsidR="00C8213B">
              <w:t xml:space="preserve">approved </w:t>
            </w:r>
            <w:r>
              <w:t xml:space="preserve">to </w:t>
            </w:r>
            <w:r w:rsidR="00C8213B">
              <w:t>date</w:t>
            </w:r>
            <w:r w:rsidRPr="00071D97">
              <w:t xml:space="preserve"> </w:t>
            </w:r>
            <w:r>
              <w:t xml:space="preserve"> up to $10.0 million less  all previous payments</w:t>
            </w:r>
          </w:p>
        </w:tc>
      </w:tr>
    </w:tbl>
    <w:p w14:paraId="687D8738" w14:textId="77777777" w:rsidR="00B24736" w:rsidRPr="00DD6638" w:rsidRDefault="00B24736" w:rsidP="00DD6638">
      <w:pPr>
        <w:pStyle w:val="Normalnumbered"/>
        <w:tabs>
          <w:tab w:val="clear" w:pos="360"/>
        </w:tabs>
        <w:ind w:left="0" w:firstLine="0"/>
      </w:pPr>
    </w:p>
    <w:p w14:paraId="32B95134" w14:textId="77777777" w:rsidR="00F3245D" w:rsidRDefault="00F3245D" w:rsidP="00F3245D">
      <w:pPr>
        <w:pStyle w:val="Heading2"/>
      </w:pPr>
      <w:r>
        <w:t>Reporting arrangements</w:t>
      </w:r>
    </w:p>
    <w:p w14:paraId="0A6CF3E9" w14:textId="77777777" w:rsidR="00E0119D" w:rsidRDefault="00E0119D" w:rsidP="00B24736">
      <w:pPr>
        <w:pStyle w:val="Normalnumbered"/>
        <w:numPr>
          <w:ilvl w:val="0"/>
          <w:numId w:val="27"/>
        </w:numPr>
        <w:tabs>
          <w:tab w:val="clear" w:pos="567"/>
          <w:tab w:val="num" w:pos="284"/>
        </w:tabs>
        <w:ind w:left="284" w:hanging="426"/>
        <w:jc w:val="left"/>
      </w:pPr>
      <w:r>
        <w:t xml:space="preserve">Victoria will provide </w:t>
      </w:r>
      <w:r w:rsidR="0021552F">
        <w:t>the scheme g</w:t>
      </w:r>
      <w:r>
        <w:t xml:space="preserve">uidelines as </w:t>
      </w:r>
      <w:r w:rsidR="00295127">
        <w:t>evidence that the s</w:t>
      </w:r>
      <w:r>
        <w:t>cheme has commenced in accordance with Table 2 during the operation of the Agreement.</w:t>
      </w:r>
    </w:p>
    <w:p w14:paraId="10D5F815" w14:textId="77777777" w:rsidR="00B24736" w:rsidRDefault="00B24736" w:rsidP="00B24736">
      <w:pPr>
        <w:pStyle w:val="Normalnumbered"/>
        <w:numPr>
          <w:ilvl w:val="0"/>
          <w:numId w:val="27"/>
        </w:numPr>
        <w:tabs>
          <w:tab w:val="clear" w:pos="567"/>
          <w:tab w:val="num" w:pos="284"/>
        </w:tabs>
        <w:ind w:left="284" w:hanging="426"/>
        <w:jc w:val="left"/>
      </w:pPr>
      <w:r>
        <w:t>Victoria will provide performance reports in accordance with Table 2 during the operation of the Agreement. Each performance report is to contain a description of:</w:t>
      </w:r>
    </w:p>
    <w:p w14:paraId="7B9AE736" w14:textId="77777777" w:rsidR="00B24736" w:rsidRDefault="00B24736" w:rsidP="00B24736">
      <w:pPr>
        <w:pStyle w:val="Normalnumbered"/>
        <w:numPr>
          <w:ilvl w:val="1"/>
          <w:numId w:val="27"/>
        </w:numPr>
        <w:jc w:val="left"/>
      </w:pPr>
      <w:r>
        <w:t>total applications received</w:t>
      </w:r>
    </w:p>
    <w:p w14:paraId="00A4FB8E" w14:textId="1C05ADDC" w:rsidR="00B24736" w:rsidRDefault="00B24736" w:rsidP="00B24736">
      <w:pPr>
        <w:pStyle w:val="Normalnumbered"/>
        <w:numPr>
          <w:ilvl w:val="1"/>
          <w:numId w:val="27"/>
        </w:numPr>
        <w:jc w:val="left"/>
      </w:pPr>
      <w:r>
        <w:t xml:space="preserve">applications </w:t>
      </w:r>
      <w:r w:rsidR="006708D7">
        <w:t>approved</w:t>
      </w:r>
    </w:p>
    <w:p w14:paraId="545330A8" w14:textId="77777777" w:rsidR="00B24736" w:rsidRDefault="00B24736" w:rsidP="00B24736">
      <w:pPr>
        <w:pStyle w:val="Normalnumbered"/>
        <w:numPr>
          <w:ilvl w:val="1"/>
          <w:numId w:val="27"/>
        </w:numPr>
        <w:jc w:val="left"/>
      </w:pPr>
      <w:r>
        <w:t>total funding disbursed</w:t>
      </w:r>
    </w:p>
    <w:p w14:paraId="167E6E1C" w14:textId="77777777" w:rsidR="00B24736" w:rsidRDefault="00B24736" w:rsidP="00B24736">
      <w:pPr>
        <w:pStyle w:val="Normalnumbered"/>
        <w:numPr>
          <w:ilvl w:val="1"/>
          <w:numId w:val="27"/>
        </w:numPr>
        <w:jc w:val="left"/>
      </w:pPr>
      <w:r>
        <w:t>activities funded</w:t>
      </w:r>
    </w:p>
    <w:p w14:paraId="0B52D548" w14:textId="77777777" w:rsidR="00B24736" w:rsidRDefault="00B24736" w:rsidP="00B24736">
      <w:pPr>
        <w:pStyle w:val="Normalnumbered"/>
        <w:numPr>
          <w:ilvl w:val="1"/>
          <w:numId w:val="27"/>
        </w:numPr>
        <w:jc w:val="left"/>
      </w:pPr>
      <w:r>
        <w:t>location of activities</w:t>
      </w:r>
    </w:p>
    <w:p w14:paraId="2DA8361B" w14:textId="766CA036" w:rsidR="00653544" w:rsidRDefault="00653544" w:rsidP="00B24736">
      <w:pPr>
        <w:pStyle w:val="Normalnumbered"/>
        <w:numPr>
          <w:ilvl w:val="1"/>
          <w:numId w:val="27"/>
        </w:numPr>
        <w:jc w:val="left"/>
      </w:pPr>
      <w:r>
        <w:t>total funds remaining</w:t>
      </w:r>
    </w:p>
    <w:p w14:paraId="03E0949C" w14:textId="77777777" w:rsidR="00751E2D" w:rsidRDefault="00751E2D" w:rsidP="00B14015">
      <w:pPr>
        <w:pStyle w:val="Normalnumbered"/>
        <w:numPr>
          <w:ilvl w:val="0"/>
          <w:numId w:val="27"/>
        </w:numPr>
      </w:pPr>
      <w:r w:rsidRPr="00B14015">
        <w:t xml:space="preserve">Each performance report is to </w:t>
      </w:r>
      <w:r w:rsidR="00605169" w:rsidRPr="00B14015">
        <w:t xml:space="preserve">include information on any issues </w:t>
      </w:r>
      <w:r w:rsidR="00B72FF8">
        <w:t>that</w:t>
      </w:r>
      <w:r w:rsidR="00B72FF8" w:rsidRPr="00B14015">
        <w:t xml:space="preserve"> </w:t>
      </w:r>
      <w:r w:rsidR="00605169" w:rsidRPr="00B14015">
        <w:t xml:space="preserve">could adversely </w:t>
      </w:r>
      <w:r w:rsidR="00FB2594" w:rsidRPr="00B14015">
        <w:t xml:space="preserve">impact the delivery of the scheme and </w:t>
      </w:r>
      <w:r w:rsidR="00B72FF8">
        <w:t>Victoria’s</w:t>
      </w:r>
      <w:r w:rsidR="00FB2594" w:rsidRPr="00B14015">
        <w:t xml:space="preserve"> proposal for managing or resolving outstanding matters</w:t>
      </w:r>
      <w:r w:rsidRPr="00B14015">
        <w:t>.</w:t>
      </w:r>
    </w:p>
    <w:p w14:paraId="20BB8E54" w14:textId="41784F1F" w:rsidR="008E7527" w:rsidRDefault="008E7527" w:rsidP="009E093C">
      <w:pPr>
        <w:pStyle w:val="Heading1"/>
      </w:pPr>
      <w:r>
        <w:t>Part 5</w:t>
      </w:r>
      <w:r w:rsidRPr="00751725">
        <w:t xml:space="preserve"> — financial arrangements</w:t>
      </w:r>
    </w:p>
    <w:p w14:paraId="5650018F" w14:textId="01211314" w:rsidR="008E7527" w:rsidRDefault="008E7527" w:rsidP="00000891">
      <w:pPr>
        <w:pStyle w:val="Normalnumbered"/>
        <w:numPr>
          <w:ilvl w:val="0"/>
          <w:numId w:val="27"/>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w:t>
      </w:r>
      <w:r w:rsidR="001209CB" w:rsidRPr="001209CB">
        <w:t xml:space="preserve">to </w:t>
      </w:r>
      <w:r w:rsidR="00B72FF8">
        <w:t>Victoria</w:t>
      </w:r>
      <w:r w:rsidR="00CA3E24">
        <w:t xml:space="preserve"> for the </w:t>
      </w:r>
      <w:r w:rsidR="001209CB" w:rsidRPr="001209CB">
        <w:t xml:space="preserve">project of up to </w:t>
      </w:r>
      <w:r w:rsidRPr="00CD526B">
        <w:t>$</w:t>
      </w:r>
      <w:r w:rsidR="00A10727">
        <w:t>10 million</w:t>
      </w:r>
      <w:r>
        <w:t xml:space="preserve"> in respect of this Agreement.</w:t>
      </w:r>
      <w:r w:rsidR="009A5C18">
        <w:t xml:space="preserve"> </w:t>
      </w:r>
      <w:r w:rsidR="002816AF">
        <w:t xml:space="preserve">The project will be finalised </w:t>
      </w:r>
      <w:r w:rsidR="00A91006">
        <w:t>upon submission of a completion report and</w:t>
      </w:r>
      <w:r w:rsidR="00B007A1">
        <w:t xml:space="preserve"> return of any unspent funds</w:t>
      </w:r>
      <w:r w:rsidR="009A5C18">
        <w:t>.</w:t>
      </w:r>
      <w:r>
        <w:t xml:space="preserve"> </w:t>
      </w:r>
      <w:r w:rsidRPr="000E48C3">
        <w:t xml:space="preserve"> </w:t>
      </w:r>
      <w:r>
        <w:t>All payments are GST exclusive.</w:t>
      </w:r>
    </w:p>
    <w:p w14:paraId="5658AB02" w14:textId="5E78C457" w:rsidR="008E7527" w:rsidRDefault="005A5E7A" w:rsidP="00000891">
      <w:pPr>
        <w:pStyle w:val="Normalnumbered"/>
        <w:numPr>
          <w:ilvl w:val="0"/>
          <w:numId w:val="27"/>
        </w:numPr>
      </w:pPr>
      <w:r>
        <w:t>T</w:t>
      </w:r>
      <w:r w:rsidR="008E7527" w:rsidRPr="002B7E1B">
        <w:t xml:space="preserve">he Commonwealth’s funding contribution will not be reduced where </w:t>
      </w:r>
      <w:r w:rsidR="00B72FF8">
        <w:t>Victoria</w:t>
      </w:r>
      <w:r w:rsidR="008E7527" w:rsidRPr="002B7E1B">
        <w:t xml:space="preserve"> secure funding from other activity partners</w:t>
      </w:r>
      <w:r w:rsidR="002E144A">
        <w:t>.</w:t>
      </w:r>
    </w:p>
    <w:p w14:paraId="22A54053" w14:textId="59B25838" w:rsidR="008E7527" w:rsidRDefault="008E7527" w:rsidP="00000891">
      <w:pPr>
        <w:pStyle w:val="Normalnumbered"/>
        <w:keepNext/>
        <w:keepLines/>
        <w:numPr>
          <w:ilvl w:val="0"/>
          <w:numId w:val="27"/>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w:t>
      </w:r>
      <w:r w:rsidR="00B72FF8">
        <w:t>Victoria</w:t>
      </w:r>
      <w:r>
        <w:t xml:space="preserve"> paid in accordance with </w:t>
      </w:r>
      <w:r w:rsidRPr="002B7E1B">
        <w:rPr>
          <w:i/>
        </w:rPr>
        <w:t>Schedule</w:t>
      </w:r>
      <w:r>
        <w:rPr>
          <w:i/>
        </w:rPr>
        <w:t> </w:t>
      </w:r>
      <w:r w:rsidRPr="002B7E1B">
        <w:rPr>
          <w:i/>
        </w:rPr>
        <w:t>D — Payment Arrangements</w:t>
      </w:r>
      <w:r>
        <w:t xml:space="preserve"> of the </w:t>
      </w:r>
      <w:r w:rsidR="00C41265">
        <w:t>IGA FFR</w:t>
      </w:r>
      <w:r w:rsidR="00C2605C">
        <w:t xml:space="preserve">, are shown in Table </w:t>
      </w:r>
      <w:r w:rsidR="000F6B1D">
        <w:t>1</w:t>
      </w:r>
      <w:r w:rsidRPr="00751725">
        <w:t>.</w:t>
      </w:r>
    </w:p>
    <w:p w14:paraId="38A16667" w14:textId="77777777" w:rsidR="008E7527" w:rsidRPr="00A05C1E" w:rsidRDefault="00E204BB" w:rsidP="00E204BB">
      <w:pPr>
        <w:pStyle w:val="Normalnumbered"/>
        <w:tabs>
          <w:tab w:val="clear" w:pos="360"/>
        </w:tabs>
        <w:ind w:left="0" w:firstLine="0"/>
        <w:rPr>
          <w:b/>
          <w:i/>
        </w:rPr>
      </w:pPr>
      <w:r>
        <w:rPr>
          <w:b/>
        </w:rPr>
        <w:t xml:space="preserve">Table </w:t>
      </w:r>
      <w:r w:rsidR="001209CB">
        <w:rPr>
          <w:b/>
        </w:rPr>
        <w:t>1</w:t>
      </w:r>
      <w:r w:rsidR="008E7527" w:rsidRPr="00E204BB">
        <w:rPr>
          <w:b/>
        </w:rPr>
        <w:t xml:space="preserve">: Estimated financial contributions </w:t>
      </w:r>
    </w:p>
    <w:tbl>
      <w:tblPr>
        <w:tblW w:w="6804" w:type="dxa"/>
        <w:tblLook w:val="01E0" w:firstRow="1" w:lastRow="1" w:firstColumn="1" w:lastColumn="1" w:noHBand="0" w:noVBand="0"/>
      </w:tblPr>
      <w:tblGrid>
        <w:gridCol w:w="4814"/>
        <w:gridCol w:w="1033"/>
        <w:gridCol w:w="957"/>
      </w:tblGrid>
      <w:tr w:rsidR="00887FFA" w14:paraId="1D0B8CCB" w14:textId="77777777" w:rsidTr="002B4216">
        <w:trPr>
          <w:trHeight w:val="375"/>
        </w:trPr>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24461" w14:textId="77777777" w:rsidR="00887FFA" w:rsidRPr="00C2711B" w:rsidRDefault="00887FFA" w:rsidP="00B24736">
            <w:pPr>
              <w:keepNext/>
              <w:keepLines/>
              <w:spacing w:before="40" w:after="40"/>
              <w:jc w:val="left"/>
              <w:rPr>
                <w:b/>
              </w:rPr>
            </w:pPr>
            <w:r w:rsidRPr="00C2711B">
              <w:rPr>
                <w:b/>
              </w:rPr>
              <w:t>($ million)</w:t>
            </w:r>
          </w:p>
        </w:tc>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5F13D" w14:textId="77777777" w:rsidR="00887FFA" w:rsidRDefault="00887FFA" w:rsidP="00B24736">
            <w:pPr>
              <w:keepNext/>
              <w:keepLines/>
              <w:spacing w:before="40" w:after="40"/>
              <w:jc w:val="right"/>
            </w:pPr>
            <w:r>
              <w:t>2019-20</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48D40" w14:textId="77777777" w:rsidR="00887FFA" w:rsidRDefault="00887FFA" w:rsidP="00B24736">
            <w:pPr>
              <w:keepNext/>
              <w:keepLines/>
              <w:spacing w:before="40" w:after="40"/>
              <w:jc w:val="right"/>
            </w:pPr>
            <w:r>
              <w:t>Total</w:t>
            </w:r>
          </w:p>
        </w:tc>
      </w:tr>
      <w:tr w:rsidR="00887FFA" w:rsidRPr="00355529" w14:paraId="5F007B32" w14:textId="77777777" w:rsidTr="002B4216">
        <w:trPr>
          <w:trHeight w:val="240"/>
        </w:trPr>
        <w:tc>
          <w:tcPr>
            <w:tcW w:w="4814" w:type="dxa"/>
            <w:tcBorders>
              <w:top w:val="single" w:sz="4" w:space="0" w:color="auto"/>
              <w:left w:val="single" w:sz="4" w:space="0" w:color="auto"/>
              <w:bottom w:val="single" w:sz="4" w:space="0" w:color="auto"/>
              <w:right w:val="single" w:sz="4" w:space="0" w:color="auto"/>
            </w:tcBorders>
          </w:tcPr>
          <w:p w14:paraId="5F251898" w14:textId="77777777" w:rsidR="00887FFA" w:rsidRPr="00355529" w:rsidRDefault="00887FFA" w:rsidP="00AB71A5">
            <w:pPr>
              <w:keepNext/>
              <w:keepLines/>
              <w:spacing w:before="60" w:after="60"/>
              <w:rPr>
                <w:b/>
              </w:rPr>
            </w:pPr>
            <w:r w:rsidRPr="00355529">
              <w:rPr>
                <w:b/>
              </w:rPr>
              <w:t>Estimated total budget</w:t>
            </w:r>
          </w:p>
        </w:tc>
        <w:tc>
          <w:tcPr>
            <w:tcW w:w="1033" w:type="dxa"/>
            <w:tcBorders>
              <w:top w:val="single" w:sz="4" w:space="0" w:color="auto"/>
              <w:left w:val="single" w:sz="4" w:space="0" w:color="auto"/>
              <w:bottom w:val="single" w:sz="4" w:space="0" w:color="auto"/>
              <w:right w:val="single" w:sz="4" w:space="0" w:color="auto"/>
            </w:tcBorders>
          </w:tcPr>
          <w:p w14:paraId="2D2D58AF" w14:textId="77777777" w:rsidR="00887FFA" w:rsidRPr="00355529" w:rsidRDefault="00887FFA" w:rsidP="00AB71A5">
            <w:pPr>
              <w:keepNext/>
              <w:keepLines/>
              <w:spacing w:before="40" w:after="40"/>
              <w:jc w:val="right"/>
              <w:rPr>
                <w:b/>
              </w:rPr>
            </w:pPr>
            <w:r w:rsidRPr="00355529">
              <w:rPr>
                <w:b/>
              </w:rPr>
              <w:t>10.0</w:t>
            </w:r>
          </w:p>
        </w:tc>
        <w:tc>
          <w:tcPr>
            <w:tcW w:w="957" w:type="dxa"/>
            <w:tcBorders>
              <w:top w:val="single" w:sz="4" w:space="0" w:color="auto"/>
              <w:left w:val="single" w:sz="4" w:space="0" w:color="auto"/>
              <w:bottom w:val="single" w:sz="4" w:space="0" w:color="auto"/>
              <w:right w:val="single" w:sz="4" w:space="0" w:color="auto"/>
            </w:tcBorders>
          </w:tcPr>
          <w:p w14:paraId="3FB006C5" w14:textId="77777777" w:rsidR="00887FFA" w:rsidRPr="00355529" w:rsidRDefault="00887FFA" w:rsidP="00AB71A5">
            <w:pPr>
              <w:keepNext/>
              <w:keepLines/>
              <w:spacing w:before="40" w:after="40"/>
              <w:jc w:val="right"/>
              <w:rPr>
                <w:b/>
              </w:rPr>
            </w:pPr>
            <w:r w:rsidRPr="00355529">
              <w:rPr>
                <w:b/>
              </w:rPr>
              <w:t>10.0</w:t>
            </w:r>
          </w:p>
        </w:tc>
      </w:tr>
    </w:tbl>
    <w:p w14:paraId="0455BC06" w14:textId="77777777" w:rsidR="00814667" w:rsidRDefault="003A2157">
      <w:pPr>
        <w:pStyle w:val="Heading1"/>
      </w:pPr>
      <w:bookmarkStart w:id="1" w:name="top"/>
      <w:bookmarkEnd w:id="1"/>
      <w:r>
        <w:t xml:space="preserve">Part </w:t>
      </w:r>
      <w:r w:rsidR="000B4080">
        <w:t>6</w:t>
      </w:r>
      <w:r w:rsidR="00814667">
        <w:t xml:space="preserve"> — governance arrangements</w:t>
      </w:r>
    </w:p>
    <w:p w14:paraId="681AF1DE" w14:textId="77777777" w:rsidR="00BC4728" w:rsidRDefault="00BC4728" w:rsidP="00BC4728">
      <w:pPr>
        <w:pStyle w:val="Heading2"/>
      </w:pPr>
      <w:r w:rsidRPr="006F096A">
        <w:t>Enforceability of the Agreement</w:t>
      </w:r>
    </w:p>
    <w:p w14:paraId="6CBDBA9F" w14:textId="77777777" w:rsidR="00BC4728" w:rsidRPr="00C40EBC" w:rsidRDefault="00BC4728" w:rsidP="00000891">
      <w:pPr>
        <w:pStyle w:val="Normalnumbered"/>
        <w:numPr>
          <w:ilvl w:val="0"/>
          <w:numId w:val="27"/>
        </w:numPr>
        <w:spacing w:line="240" w:lineRule="auto"/>
      </w:pPr>
      <w:r>
        <w:rPr>
          <w:szCs w:val="23"/>
        </w:rPr>
        <w:t>The Parties do not intend any of the provisions of this Agreement to be legally enforceable. However, that does not lessen the Parties’ commitment to this Agreement.</w:t>
      </w:r>
    </w:p>
    <w:p w14:paraId="45AD51F5" w14:textId="77777777" w:rsidR="00814667" w:rsidRDefault="00814667">
      <w:pPr>
        <w:pStyle w:val="Heading2"/>
      </w:pPr>
      <w:r>
        <w:t>Variation of the Agreement</w:t>
      </w:r>
    </w:p>
    <w:p w14:paraId="252E08EF" w14:textId="77777777" w:rsidR="00814667" w:rsidRPr="00DE36EB" w:rsidRDefault="00607B03" w:rsidP="00000891">
      <w:pPr>
        <w:pStyle w:val="Normalnumbered"/>
        <w:numPr>
          <w:ilvl w:val="0"/>
          <w:numId w:val="27"/>
        </w:numPr>
      </w:pPr>
      <w:r>
        <w:t>The A</w:t>
      </w:r>
      <w:r w:rsidR="00814667">
        <w:t xml:space="preserve">greement may be amended at any time by agreement in writing by </w:t>
      </w:r>
      <w:r w:rsidR="00751E2D">
        <w:t>all</w:t>
      </w:r>
      <w:r w:rsidR="002B1C50" w:rsidRPr="00DE36EB">
        <w:t xml:space="preserve"> </w:t>
      </w:r>
      <w:r w:rsidR="00814667" w:rsidRPr="00DE36EB">
        <w:t>the Parties.</w:t>
      </w:r>
    </w:p>
    <w:p w14:paraId="721985FF" w14:textId="77777777" w:rsidR="00292587" w:rsidRDefault="00C2605C" w:rsidP="00000891">
      <w:pPr>
        <w:pStyle w:val="Normalnumbered"/>
        <w:numPr>
          <w:ilvl w:val="0"/>
          <w:numId w:val="27"/>
        </w:numPr>
      </w:pPr>
      <w:r w:rsidRPr="00DE36EB">
        <w:t xml:space="preserve">A </w:t>
      </w:r>
      <w:r w:rsidR="00814667" w:rsidRPr="00DE36EB">
        <w:t>Party to the Agreement may terminate their part</w:t>
      </w:r>
      <w:r w:rsidR="00814667">
        <w:t xml:space="preserve">icipation in the Agreement at any time by notifying all </w:t>
      </w:r>
      <w:r>
        <w:t>Parties</w:t>
      </w:r>
      <w:r>
        <w:rPr>
          <w:i/>
        </w:rPr>
        <w:t xml:space="preserve"> </w:t>
      </w:r>
      <w:r w:rsidR="00814667">
        <w:t>in writing.</w:t>
      </w:r>
    </w:p>
    <w:p w14:paraId="58368B49" w14:textId="77777777" w:rsidR="009526E4" w:rsidRDefault="009526E4" w:rsidP="0036119D">
      <w:pPr>
        <w:pStyle w:val="Heading2"/>
      </w:pPr>
      <w:r>
        <w:t>Delegations</w:t>
      </w:r>
    </w:p>
    <w:p w14:paraId="3F8A4EE7" w14:textId="77777777" w:rsidR="009526E4" w:rsidRDefault="009526E4" w:rsidP="00000891">
      <w:pPr>
        <w:pStyle w:val="Normalnumbered"/>
        <w:numPr>
          <w:ilvl w:val="0"/>
          <w:numId w:val="27"/>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801D686" w14:textId="77777777" w:rsidR="0036119D" w:rsidRDefault="0036119D" w:rsidP="0036119D">
      <w:pPr>
        <w:pStyle w:val="Heading2"/>
      </w:pPr>
      <w:r>
        <w:t>Dispute resolution</w:t>
      </w:r>
    </w:p>
    <w:p w14:paraId="398FAE05" w14:textId="77777777" w:rsidR="0036119D" w:rsidRPr="00DE36EB" w:rsidRDefault="00751E2D" w:rsidP="00000891">
      <w:pPr>
        <w:pStyle w:val="Normalnumbered"/>
        <w:numPr>
          <w:ilvl w:val="0"/>
          <w:numId w:val="27"/>
        </w:numPr>
      </w:pPr>
      <w:r w:rsidRPr="00DE36EB">
        <w:t xml:space="preserve"> </w:t>
      </w:r>
      <w:r w:rsidR="0036119D" w:rsidRPr="00DE36EB">
        <w:t>Any Party may give notice to other Parties of a dispute under this Agreement.</w:t>
      </w:r>
    </w:p>
    <w:p w14:paraId="5813B967" w14:textId="77777777" w:rsidR="0036119D" w:rsidRPr="00DE36EB" w:rsidRDefault="0036119D" w:rsidP="00000891">
      <w:pPr>
        <w:pStyle w:val="Normalnumbered"/>
        <w:numPr>
          <w:ilvl w:val="0"/>
          <w:numId w:val="27"/>
        </w:numPr>
      </w:pPr>
      <w:r w:rsidRPr="00DE36EB">
        <w:t>Officials of relevant Parties will attempt to resolve any dispute in the first instance.</w:t>
      </w:r>
    </w:p>
    <w:p w14:paraId="07BC781E" w14:textId="77777777" w:rsidR="0036119D" w:rsidRPr="00DE36EB" w:rsidRDefault="0036119D" w:rsidP="00000891">
      <w:pPr>
        <w:pStyle w:val="Normalnumbered"/>
        <w:numPr>
          <w:ilvl w:val="0"/>
          <w:numId w:val="27"/>
        </w:numPr>
      </w:pPr>
      <w:r w:rsidRPr="00DE36EB">
        <w:t>If a dispute cannot be resolved by officials, it may be escalated to the relevant Ministers.</w:t>
      </w:r>
    </w:p>
    <w:p w14:paraId="6458C640" w14:textId="77777777" w:rsidR="0036119D" w:rsidRPr="00DE36EB" w:rsidRDefault="0036119D" w:rsidP="0036119D">
      <w:pPr>
        <w:pStyle w:val="Heading2"/>
        <w:rPr>
          <w:b w:val="0"/>
          <w:i/>
          <w:sz w:val="23"/>
          <w:szCs w:val="23"/>
        </w:rPr>
      </w:pPr>
      <w:r>
        <w:t xml:space="preserve">Interpretation </w:t>
      </w:r>
    </w:p>
    <w:p w14:paraId="3CBA7DA9" w14:textId="77777777" w:rsidR="0036119D" w:rsidRPr="00B27B7C" w:rsidRDefault="0036119D" w:rsidP="00000891">
      <w:pPr>
        <w:pStyle w:val="Normalnumbered"/>
        <w:numPr>
          <w:ilvl w:val="0"/>
          <w:numId w:val="27"/>
        </w:numPr>
        <w:jc w:val="left"/>
      </w:pPr>
      <w:r>
        <w:t xml:space="preserve">For the purposes of this </w:t>
      </w:r>
      <w:r w:rsidRPr="00B27B7C">
        <w:t>Agreement:</w:t>
      </w:r>
    </w:p>
    <w:p w14:paraId="59739243" w14:textId="45010DD6" w:rsidR="00A7622A" w:rsidRPr="00B27B7C" w:rsidRDefault="00A7622A" w:rsidP="00000891">
      <w:pPr>
        <w:pStyle w:val="AlphaParagraph"/>
        <w:numPr>
          <w:ilvl w:val="0"/>
          <w:numId w:val="37"/>
        </w:numPr>
        <w:tabs>
          <w:tab w:val="clear" w:pos="283"/>
          <w:tab w:val="clear" w:pos="567"/>
          <w:tab w:val="clear" w:pos="1134"/>
          <w:tab w:val="clear" w:pos="1418"/>
        </w:tabs>
        <w:ind w:hanging="567"/>
      </w:pPr>
      <w:r w:rsidRPr="00B27B7C">
        <w:t xml:space="preserve">Eligible </w:t>
      </w:r>
      <w:r w:rsidR="00A10727" w:rsidRPr="00B27B7C">
        <w:t>irrigators within the Lindenow Valley of East Gippsland, Victoria</w:t>
      </w:r>
      <w:r w:rsidRPr="00B27B7C">
        <w:t xml:space="preserve"> are applicants who operate as a farm </w:t>
      </w:r>
      <w:r w:rsidR="00A10727" w:rsidRPr="00B27B7C">
        <w:t>enterprise</w:t>
      </w:r>
      <w:r w:rsidRPr="00B27B7C">
        <w:t xml:space="preserve"> and </w:t>
      </w:r>
      <w:r w:rsidR="002E730F" w:rsidRPr="00B27B7C">
        <w:t>will undertake infrastructure projects for access to Mitchell River flows</w:t>
      </w:r>
      <w:r w:rsidR="00026248" w:rsidRPr="00B27B7C">
        <w:t xml:space="preserve"> or to utilise groundwater</w:t>
      </w:r>
      <w:r w:rsidR="002E730F" w:rsidRPr="00B27B7C">
        <w:t xml:space="preserve"> </w:t>
      </w:r>
      <w:r w:rsidR="00DE4BA9" w:rsidRPr="00B27B7C">
        <w:t>under a licence</w:t>
      </w:r>
      <w:r w:rsidR="0020396E">
        <w:t xml:space="preserve"> to take and use water under section 51 of the </w:t>
      </w:r>
      <w:r w:rsidR="0020396E" w:rsidRPr="00897369">
        <w:rPr>
          <w:i/>
        </w:rPr>
        <w:t>Water Act 1989 (Vic)</w:t>
      </w:r>
      <w:r w:rsidR="002E730F" w:rsidRPr="00B27B7C">
        <w:t xml:space="preserve">. </w:t>
      </w:r>
      <w:r w:rsidR="00A6540E" w:rsidRPr="00B27B7C">
        <w:t xml:space="preserve">Further guidance </w:t>
      </w:r>
      <w:r w:rsidR="009A5C18" w:rsidRPr="00B27B7C">
        <w:t>is at Schedule A</w:t>
      </w:r>
      <w:r w:rsidR="00A6540E" w:rsidRPr="00B27B7C">
        <w:t>.</w:t>
      </w:r>
    </w:p>
    <w:p w14:paraId="41BEF453" w14:textId="1D9253E9" w:rsidR="0036119D" w:rsidRPr="00B27B7C" w:rsidRDefault="00A10727" w:rsidP="00000891">
      <w:pPr>
        <w:pStyle w:val="AlphaParagraph"/>
        <w:numPr>
          <w:ilvl w:val="0"/>
          <w:numId w:val="37"/>
        </w:numPr>
        <w:tabs>
          <w:tab w:val="clear" w:pos="283"/>
          <w:tab w:val="clear" w:pos="567"/>
          <w:tab w:val="clear" w:pos="1134"/>
          <w:tab w:val="clear" w:pos="1418"/>
        </w:tabs>
        <w:ind w:hanging="567"/>
      </w:pPr>
      <w:r w:rsidRPr="00B27B7C">
        <w:t>Grants</w:t>
      </w:r>
      <w:r w:rsidR="00A7622A" w:rsidRPr="00B27B7C">
        <w:t xml:space="preserve"> will be </w:t>
      </w:r>
      <w:r w:rsidRPr="00B27B7C">
        <w:t>50</w:t>
      </w:r>
      <w:r w:rsidR="00A7622A" w:rsidRPr="00B27B7C">
        <w:t xml:space="preserve"> per cent of the costs incurred by </w:t>
      </w:r>
      <w:r w:rsidRPr="00B27B7C">
        <w:t>irrigators</w:t>
      </w:r>
      <w:r w:rsidR="00A7622A" w:rsidRPr="00B27B7C">
        <w:t xml:space="preserve">, up to a maximum total </w:t>
      </w:r>
      <w:r w:rsidRPr="00B27B7C">
        <w:t>grant</w:t>
      </w:r>
      <w:r w:rsidR="00A7622A" w:rsidRPr="00B27B7C">
        <w:t xml:space="preserve"> of $</w:t>
      </w:r>
      <w:r w:rsidRPr="00B27B7C">
        <w:t>2 million per farming enterprise</w:t>
      </w:r>
      <w:r w:rsidR="00A7622A" w:rsidRPr="00B27B7C">
        <w:t xml:space="preserve">, for eligible activities undertaken </w:t>
      </w:r>
      <w:r w:rsidR="003F0659" w:rsidRPr="00B27B7C">
        <w:t>after the announcement on 10 April 2019</w:t>
      </w:r>
      <w:r w:rsidR="00A7622A" w:rsidRPr="00B27B7C">
        <w:t>.</w:t>
      </w:r>
    </w:p>
    <w:p w14:paraId="11A9DB4D" w14:textId="73FCD365" w:rsidR="00C8213B" w:rsidRPr="00480A6D" w:rsidRDefault="00C8213B" w:rsidP="00000891">
      <w:pPr>
        <w:pStyle w:val="AlphaParagraph"/>
        <w:numPr>
          <w:ilvl w:val="0"/>
          <w:numId w:val="37"/>
        </w:numPr>
        <w:tabs>
          <w:tab w:val="clear" w:pos="283"/>
          <w:tab w:val="clear" w:pos="567"/>
          <w:tab w:val="clear" w:pos="1134"/>
          <w:tab w:val="clear" w:pos="1418"/>
        </w:tabs>
        <w:ind w:hanging="567"/>
      </w:pPr>
      <w:r w:rsidRPr="00480A6D">
        <w:t xml:space="preserve">Additional costs above the approved application value shall be recognised and </w:t>
      </w:r>
      <w:r w:rsidR="001027DF" w:rsidRPr="00480A6D">
        <w:t>co-funded</w:t>
      </w:r>
      <w:r w:rsidRPr="00480A6D">
        <w:t xml:space="preserve"> by the Commonwealth up to the maximum grant of $2 million</w:t>
      </w:r>
      <w:r w:rsidR="001027DF" w:rsidRPr="00480A6D">
        <w:t>,</w:t>
      </w:r>
      <w:r w:rsidRPr="00480A6D">
        <w:t xml:space="preserve"> provided the costs are eligible activities in accordance with the scheme guidelines</w:t>
      </w:r>
      <w:r w:rsidR="00F34DD3" w:rsidRPr="00480A6D">
        <w:t>, and funds are available up to the maximum funds available</w:t>
      </w:r>
      <w:r w:rsidRPr="00480A6D">
        <w:t>.</w:t>
      </w:r>
    </w:p>
    <w:p w14:paraId="753A1513" w14:textId="77777777" w:rsidR="00C522D9" w:rsidRDefault="00C522D9">
      <w:pPr>
        <w:spacing w:after="0" w:line="240" w:lineRule="auto"/>
        <w:jc w:val="left"/>
        <w:rPr>
          <w:lang w:val="en-GB"/>
        </w:rPr>
      </w:pPr>
      <w:r>
        <w:rPr>
          <w:lang w:val="en-GB"/>
        </w:rPr>
        <w:br w:type="page"/>
      </w:r>
    </w:p>
    <w:p w14:paraId="4F578320" w14:textId="4A713CE6"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9307" w:type="dxa"/>
        <w:jc w:val="center"/>
        <w:tblLayout w:type="fixed"/>
        <w:tblLook w:val="01E0" w:firstRow="1" w:lastRow="1" w:firstColumn="1" w:lastColumn="1" w:noHBand="0" w:noVBand="0"/>
      </w:tblPr>
      <w:tblGrid>
        <w:gridCol w:w="282"/>
        <w:gridCol w:w="4180"/>
        <w:gridCol w:w="49"/>
        <w:gridCol w:w="235"/>
        <w:gridCol w:w="49"/>
        <w:gridCol w:w="4463"/>
        <w:gridCol w:w="49"/>
      </w:tblGrid>
      <w:tr w:rsidR="00814667" w:rsidRPr="00A50751" w14:paraId="6BD25603" w14:textId="77777777" w:rsidTr="00356ECB">
        <w:trPr>
          <w:gridAfter w:val="1"/>
          <w:wAfter w:w="49" w:type="dxa"/>
          <w:cantSplit/>
          <w:jc w:val="center"/>
        </w:trPr>
        <w:tc>
          <w:tcPr>
            <w:tcW w:w="4487" w:type="dxa"/>
            <w:gridSpan w:val="2"/>
          </w:tcPr>
          <w:p w14:paraId="6B4E4082" w14:textId="77777777" w:rsidR="00814667" w:rsidRPr="004A0AE7" w:rsidRDefault="00814667">
            <w:pPr>
              <w:pStyle w:val="Signed"/>
            </w:pPr>
            <w:r>
              <w:rPr>
                <w:rStyle w:val="SignedBold"/>
              </w:rPr>
              <w:t>Signed</w:t>
            </w:r>
            <w:r w:rsidRPr="004A0AE7">
              <w:t xml:space="preserve"> for and on behalf of the</w:t>
            </w:r>
            <w:r>
              <w:t xml:space="preserve"> </w:t>
            </w:r>
            <w:r w:rsidRPr="004A0AE7">
              <w:t>Commonwealth of Australia by</w:t>
            </w:r>
          </w:p>
          <w:p w14:paraId="340DABEB" w14:textId="77777777" w:rsidR="00814667" w:rsidRPr="00A50751" w:rsidRDefault="00814667">
            <w:pPr>
              <w:pStyle w:val="LineForSignature"/>
            </w:pPr>
            <w:r>
              <w:tab/>
            </w:r>
          </w:p>
          <w:p w14:paraId="0B893768" w14:textId="77777777" w:rsidR="00814667" w:rsidRDefault="00814667">
            <w:pPr>
              <w:pStyle w:val="SingleParagraph"/>
              <w:rPr>
                <w:rStyle w:val="Bold"/>
              </w:rPr>
            </w:pPr>
            <w:r>
              <w:rPr>
                <w:rStyle w:val="Bold"/>
              </w:rPr>
              <w:t xml:space="preserve">The Honourable </w:t>
            </w:r>
            <w:r w:rsidR="00F62D68">
              <w:rPr>
                <w:rStyle w:val="Bold"/>
              </w:rPr>
              <w:t>Michael McCormack</w:t>
            </w:r>
            <w:r w:rsidR="0099742A">
              <w:rPr>
                <w:rStyle w:val="Bold"/>
              </w:rPr>
              <w:t xml:space="preserve"> </w:t>
            </w:r>
            <w:r>
              <w:rPr>
                <w:rStyle w:val="Bold"/>
              </w:rPr>
              <w:t>MP</w:t>
            </w:r>
          </w:p>
          <w:p w14:paraId="2A1F4CE0" w14:textId="77777777" w:rsidR="00814667" w:rsidRDefault="00F62D68">
            <w:pPr>
              <w:pStyle w:val="Position"/>
              <w:rPr>
                <w:lang w:val="en-GB"/>
              </w:rPr>
            </w:pPr>
            <w:r>
              <w:rPr>
                <w:lang w:val="en-GB"/>
              </w:rPr>
              <w:t xml:space="preserve">Deputy Prime Minister and </w:t>
            </w:r>
            <w:r w:rsidR="0099742A">
              <w:rPr>
                <w:lang w:val="en-GB"/>
              </w:rPr>
              <w:t xml:space="preserve">Minister for </w:t>
            </w:r>
            <w:r>
              <w:rPr>
                <w:lang w:val="en-GB"/>
              </w:rPr>
              <w:t>Infrastructure, Transport</w:t>
            </w:r>
            <w:r w:rsidR="00C655A0">
              <w:rPr>
                <w:lang w:val="en-GB"/>
              </w:rPr>
              <w:t xml:space="preserve"> and </w:t>
            </w:r>
            <w:r>
              <w:rPr>
                <w:lang w:val="en-GB"/>
              </w:rPr>
              <w:t>Regional Development</w:t>
            </w:r>
            <w:r w:rsidR="0099742A">
              <w:rPr>
                <w:lang w:val="en-GB"/>
              </w:rPr>
              <w:t xml:space="preserve"> </w:t>
            </w:r>
          </w:p>
          <w:p w14:paraId="0DD4FAC8" w14:textId="77777777" w:rsidR="00814667" w:rsidRDefault="006679C0">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84" w:type="dxa"/>
            <w:gridSpan w:val="2"/>
            <w:tcMar>
              <w:left w:w="0" w:type="dxa"/>
              <w:right w:w="0" w:type="dxa"/>
            </w:tcMar>
          </w:tcPr>
          <w:p w14:paraId="3EA5701F" w14:textId="77777777" w:rsidR="00814667" w:rsidRPr="00A50751" w:rsidRDefault="00814667">
            <w:pPr>
              <w:rPr>
                <w:rFonts w:ascii="Book Antiqua" w:hAnsi="Book Antiqua"/>
                <w:lang w:val="en-GB"/>
              </w:rPr>
            </w:pPr>
          </w:p>
        </w:tc>
        <w:tc>
          <w:tcPr>
            <w:tcW w:w="4536" w:type="dxa"/>
            <w:gridSpan w:val="2"/>
          </w:tcPr>
          <w:p w14:paraId="6BCB2834" w14:textId="77777777" w:rsidR="00814667" w:rsidRPr="00A50751" w:rsidRDefault="00814667">
            <w:pPr>
              <w:rPr>
                <w:rFonts w:ascii="Book Antiqua" w:hAnsi="Book Antiqua"/>
                <w:lang w:val="en-GB"/>
              </w:rPr>
            </w:pPr>
          </w:p>
        </w:tc>
      </w:tr>
      <w:tr w:rsidR="00F62D68" w:rsidRPr="00A50751" w14:paraId="6CDB86D9" w14:textId="77777777" w:rsidTr="00356ECB">
        <w:trPr>
          <w:gridAfter w:val="1"/>
          <w:wAfter w:w="49" w:type="dxa"/>
          <w:cantSplit/>
          <w:jc w:val="center"/>
        </w:trPr>
        <w:tc>
          <w:tcPr>
            <w:tcW w:w="4487" w:type="dxa"/>
            <w:gridSpan w:val="2"/>
          </w:tcPr>
          <w:p w14:paraId="7F3AAC7E" w14:textId="77777777" w:rsidR="00F62D68" w:rsidRDefault="00F62D68">
            <w:pPr>
              <w:pStyle w:val="Signed"/>
              <w:rPr>
                <w:rStyle w:val="SignedBold"/>
              </w:rPr>
            </w:pPr>
          </w:p>
        </w:tc>
        <w:tc>
          <w:tcPr>
            <w:tcW w:w="284" w:type="dxa"/>
            <w:gridSpan w:val="2"/>
            <w:tcMar>
              <w:left w:w="0" w:type="dxa"/>
              <w:right w:w="0" w:type="dxa"/>
            </w:tcMar>
          </w:tcPr>
          <w:p w14:paraId="08F86446" w14:textId="77777777" w:rsidR="00F62D68" w:rsidRPr="00A50751" w:rsidRDefault="00F62D68">
            <w:pPr>
              <w:rPr>
                <w:rFonts w:ascii="Book Antiqua" w:hAnsi="Book Antiqua"/>
                <w:lang w:val="en-GB"/>
              </w:rPr>
            </w:pPr>
          </w:p>
        </w:tc>
        <w:tc>
          <w:tcPr>
            <w:tcW w:w="4536" w:type="dxa"/>
            <w:gridSpan w:val="2"/>
          </w:tcPr>
          <w:p w14:paraId="3C2B86B4" w14:textId="77777777" w:rsidR="00F62D68" w:rsidRPr="00A50751" w:rsidRDefault="00F62D68">
            <w:pPr>
              <w:rPr>
                <w:rFonts w:ascii="Book Antiqua" w:hAnsi="Book Antiqua"/>
                <w:lang w:val="en-GB"/>
              </w:rPr>
            </w:pPr>
          </w:p>
        </w:tc>
      </w:tr>
      <w:tr w:rsidR="00356ECB" w:rsidRPr="00A50751" w14:paraId="267CB94E" w14:textId="77777777" w:rsidTr="0019644D">
        <w:tblPrEx>
          <w:jc w:val="left"/>
        </w:tblPrEx>
        <w:trPr>
          <w:gridAfter w:val="1"/>
          <w:wAfter w:w="49" w:type="dxa"/>
        </w:trPr>
        <w:tc>
          <w:tcPr>
            <w:tcW w:w="4487" w:type="dxa"/>
            <w:gridSpan w:val="2"/>
          </w:tcPr>
          <w:p w14:paraId="3CD11C68" w14:textId="77777777" w:rsidR="00356ECB" w:rsidRPr="004A0AE7" w:rsidRDefault="00356ECB" w:rsidP="00356ECB">
            <w:pPr>
              <w:pStyle w:val="Signed"/>
            </w:pPr>
            <w:r>
              <w:rPr>
                <w:rStyle w:val="SignedBold"/>
              </w:rPr>
              <w:t>Signed</w:t>
            </w:r>
            <w:r w:rsidRPr="004A0AE7">
              <w:t xml:space="preserve"> for and on behalf of the</w:t>
            </w:r>
            <w:r w:rsidRPr="004A0AE7">
              <w:br/>
              <w:t>State of Victoria by</w:t>
            </w:r>
          </w:p>
          <w:p w14:paraId="3D3B9913" w14:textId="77777777" w:rsidR="00356ECB" w:rsidRPr="00A50751" w:rsidRDefault="00356ECB" w:rsidP="00356ECB">
            <w:pPr>
              <w:pStyle w:val="LineForSignature"/>
            </w:pPr>
            <w:r w:rsidRPr="00A50751">
              <w:tab/>
            </w:r>
          </w:p>
          <w:p w14:paraId="326C38D5" w14:textId="77777777" w:rsidR="00356ECB" w:rsidRDefault="00356ECB" w:rsidP="00356ECB">
            <w:pPr>
              <w:pStyle w:val="SingleParagraph"/>
              <w:rPr>
                <w:rStyle w:val="Bold"/>
              </w:rPr>
            </w:pPr>
            <w:r>
              <w:rPr>
                <w:rStyle w:val="Bold"/>
              </w:rPr>
              <w:t>The Honourable Lisa Neville MP</w:t>
            </w:r>
          </w:p>
          <w:p w14:paraId="7CCD0F6E" w14:textId="77777777" w:rsidR="00356ECB" w:rsidRDefault="00356ECB" w:rsidP="00356ECB">
            <w:pPr>
              <w:pStyle w:val="Position"/>
              <w:rPr>
                <w:lang w:val="en-GB"/>
              </w:rPr>
            </w:pPr>
            <w:r>
              <w:rPr>
                <w:lang w:val="en-GB"/>
              </w:rPr>
              <w:t>Minister for Water</w:t>
            </w:r>
          </w:p>
          <w:p w14:paraId="61D5D6CF" w14:textId="77777777" w:rsidR="00356ECB" w:rsidRDefault="00356ECB" w:rsidP="00356ECB">
            <w:pPr>
              <w:pStyle w:val="Signed"/>
              <w:rPr>
                <w:rStyle w:val="SignedBold"/>
              </w:rPr>
            </w:pPr>
            <w:r w:rsidRPr="00B00778" w:rsidDel="00542A8C">
              <w:rPr>
                <w:bCs w:val="0"/>
                <w:lang w:val="en-GB"/>
              </w:rPr>
              <w:t xml:space="preserve"> </w:t>
            </w:r>
            <w:r>
              <w:rPr>
                <w:lang w:val="en-GB"/>
              </w:rPr>
              <w:t>[Day]  [Month]  [Year]</w:t>
            </w:r>
          </w:p>
        </w:tc>
        <w:tc>
          <w:tcPr>
            <w:tcW w:w="284" w:type="dxa"/>
            <w:gridSpan w:val="2"/>
          </w:tcPr>
          <w:p w14:paraId="639EBA1C" w14:textId="77777777" w:rsidR="00356ECB" w:rsidRPr="00A50751" w:rsidRDefault="00356ECB">
            <w:pPr>
              <w:rPr>
                <w:rFonts w:ascii="Book Antiqua" w:hAnsi="Book Antiqua"/>
                <w:lang w:val="en-GB"/>
              </w:rPr>
            </w:pPr>
          </w:p>
        </w:tc>
        <w:tc>
          <w:tcPr>
            <w:tcW w:w="4536" w:type="dxa"/>
            <w:gridSpan w:val="2"/>
          </w:tcPr>
          <w:p w14:paraId="5B56A820" w14:textId="77777777" w:rsidR="00356ECB" w:rsidRPr="00A50751" w:rsidRDefault="00356ECB">
            <w:pPr>
              <w:rPr>
                <w:rFonts w:ascii="Book Antiqua" w:hAnsi="Book Antiqua"/>
                <w:lang w:val="en-GB"/>
              </w:rPr>
            </w:pPr>
          </w:p>
        </w:tc>
      </w:tr>
      <w:tr w:rsidR="00356ECB" w:rsidRPr="00A50751" w14:paraId="5F8DBA26" w14:textId="77777777" w:rsidTr="0019644D">
        <w:tblPrEx>
          <w:jc w:val="left"/>
        </w:tblPrEx>
        <w:trPr>
          <w:gridAfter w:val="1"/>
          <w:wAfter w:w="49" w:type="dxa"/>
        </w:trPr>
        <w:tc>
          <w:tcPr>
            <w:tcW w:w="4487" w:type="dxa"/>
            <w:gridSpan w:val="2"/>
          </w:tcPr>
          <w:p w14:paraId="19DDAB79" w14:textId="77777777" w:rsidR="00356ECB" w:rsidRDefault="00356ECB">
            <w:pPr>
              <w:pStyle w:val="Signed"/>
              <w:rPr>
                <w:rStyle w:val="SignedBold"/>
              </w:rPr>
            </w:pPr>
          </w:p>
        </w:tc>
        <w:tc>
          <w:tcPr>
            <w:tcW w:w="284" w:type="dxa"/>
            <w:gridSpan w:val="2"/>
          </w:tcPr>
          <w:p w14:paraId="6807F508" w14:textId="77777777" w:rsidR="00356ECB" w:rsidRPr="00A50751" w:rsidRDefault="00356ECB">
            <w:pPr>
              <w:rPr>
                <w:rFonts w:ascii="Book Antiqua" w:hAnsi="Book Antiqua"/>
                <w:lang w:val="en-GB"/>
              </w:rPr>
            </w:pPr>
          </w:p>
        </w:tc>
        <w:tc>
          <w:tcPr>
            <w:tcW w:w="4536" w:type="dxa"/>
            <w:gridSpan w:val="2"/>
          </w:tcPr>
          <w:p w14:paraId="145016F7" w14:textId="77777777" w:rsidR="00356ECB" w:rsidRPr="00A50751" w:rsidRDefault="00356ECB">
            <w:pPr>
              <w:rPr>
                <w:rFonts w:ascii="Book Antiqua" w:hAnsi="Book Antiqua"/>
                <w:lang w:val="en-GB"/>
              </w:rPr>
            </w:pPr>
          </w:p>
        </w:tc>
      </w:tr>
      <w:tr w:rsidR="00F62D68" w:rsidRPr="00A50751" w14:paraId="15851853" w14:textId="77777777" w:rsidTr="00356ECB">
        <w:trPr>
          <w:cantSplit/>
          <w:jc w:val="center"/>
        </w:trPr>
        <w:tc>
          <w:tcPr>
            <w:tcW w:w="4536" w:type="dxa"/>
            <w:gridSpan w:val="3"/>
          </w:tcPr>
          <w:p w14:paraId="5B2B3B64" w14:textId="77777777" w:rsidR="00F62D68" w:rsidRDefault="00F62D68">
            <w:pPr>
              <w:pStyle w:val="Signed"/>
              <w:rPr>
                <w:rStyle w:val="SignedBold"/>
              </w:rPr>
            </w:pPr>
          </w:p>
        </w:tc>
        <w:tc>
          <w:tcPr>
            <w:tcW w:w="284" w:type="dxa"/>
            <w:gridSpan w:val="2"/>
            <w:tcMar>
              <w:left w:w="0" w:type="dxa"/>
              <w:right w:w="0" w:type="dxa"/>
            </w:tcMar>
          </w:tcPr>
          <w:p w14:paraId="24924146" w14:textId="77777777" w:rsidR="00F62D68" w:rsidRPr="00A50751" w:rsidRDefault="00F62D68">
            <w:pPr>
              <w:rPr>
                <w:rFonts w:ascii="Book Antiqua" w:hAnsi="Book Antiqua"/>
                <w:lang w:val="en-GB"/>
              </w:rPr>
            </w:pPr>
          </w:p>
        </w:tc>
        <w:tc>
          <w:tcPr>
            <w:tcW w:w="4536" w:type="dxa"/>
            <w:gridSpan w:val="2"/>
          </w:tcPr>
          <w:p w14:paraId="19DEDB05" w14:textId="77777777" w:rsidR="00F62D68" w:rsidRPr="00A50751" w:rsidRDefault="00F62D68">
            <w:pPr>
              <w:rPr>
                <w:rFonts w:ascii="Book Antiqua" w:hAnsi="Book Antiqua"/>
                <w:lang w:val="en-GB"/>
              </w:rPr>
            </w:pPr>
          </w:p>
        </w:tc>
      </w:tr>
      <w:tr w:rsidR="00F62D68" w:rsidRPr="00A50751" w14:paraId="5D05FAAD" w14:textId="77777777" w:rsidTr="00356ECB">
        <w:trPr>
          <w:gridAfter w:val="2"/>
          <w:wAfter w:w="4536" w:type="dxa"/>
          <w:cantSplit/>
          <w:jc w:val="center"/>
        </w:trPr>
        <w:tc>
          <w:tcPr>
            <w:tcW w:w="284" w:type="dxa"/>
            <w:tcMar>
              <w:left w:w="0" w:type="dxa"/>
              <w:right w:w="0" w:type="dxa"/>
            </w:tcMar>
          </w:tcPr>
          <w:p w14:paraId="2E02E2E6" w14:textId="77777777" w:rsidR="00F62D68" w:rsidRPr="00A50751" w:rsidRDefault="00F62D68">
            <w:pPr>
              <w:pStyle w:val="SingleParagraph"/>
              <w:rPr>
                <w:rFonts w:ascii="Book Antiqua" w:hAnsi="Book Antiqua"/>
                <w:lang w:val="en-GB"/>
              </w:rPr>
            </w:pPr>
          </w:p>
        </w:tc>
        <w:tc>
          <w:tcPr>
            <w:tcW w:w="4536" w:type="dxa"/>
            <w:gridSpan w:val="4"/>
          </w:tcPr>
          <w:p w14:paraId="3FC7549E" w14:textId="77777777" w:rsidR="00F62D68" w:rsidRPr="00A50751" w:rsidRDefault="00F62D68">
            <w:pPr>
              <w:pStyle w:val="SingleParagraph"/>
              <w:rPr>
                <w:rFonts w:ascii="Book Antiqua" w:hAnsi="Book Antiqua"/>
                <w:lang w:val="en-GB"/>
              </w:rPr>
            </w:pPr>
          </w:p>
        </w:tc>
      </w:tr>
      <w:tr w:rsidR="00F62D68" w:rsidRPr="00A50751" w14:paraId="2678DEFB" w14:textId="77777777" w:rsidTr="00356ECB">
        <w:trPr>
          <w:gridAfter w:val="2"/>
          <w:wAfter w:w="4536" w:type="dxa"/>
          <w:cantSplit/>
          <w:jc w:val="center"/>
        </w:trPr>
        <w:tc>
          <w:tcPr>
            <w:tcW w:w="284" w:type="dxa"/>
            <w:tcMar>
              <w:left w:w="0" w:type="dxa"/>
              <w:right w:w="0" w:type="dxa"/>
            </w:tcMar>
          </w:tcPr>
          <w:p w14:paraId="496EB16A" w14:textId="77777777" w:rsidR="00F62D68" w:rsidRPr="00A50751" w:rsidRDefault="00F62D68">
            <w:pPr>
              <w:rPr>
                <w:rFonts w:ascii="Book Antiqua" w:hAnsi="Book Antiqua"/>
                <w:lang w:val="en-GB"/>
              </w:rPr>
            </w:pPr>
          </w:p>
        </w:tc>
        <w:tc>
          <w:tcPr>
            <w:tcW w:w="4536" w:type="dxa"/>
            <w:gridSpan w:val="4"/>
          </w:tcPr>
          <w:p w14:paraId="3698FEEF" w14:textId="77777777" w:rsidR="00F62D68" w:rsidRPr="00A50751" w:rsidRDefault="00F62D68">
            <w:pPr>
              <w:pStyle w:val="SingleParagraph"/>
              <w:tabs>
                <w:tab w:val="num" w:pos="1134"/>
              </w:tabs>
              <w:spacing w:after="240"/>
              <w:ind w:left="1134" w:hanging="567"/>
              <w:rPr>
                <w:lang w:val="en-GB"/>
              </w:rPr>
            </w:pPr>
          </w:p>
        </w:tc>
      </w:tr>
      <w:tr w:rsidR="00814667" w:rsidRPr="00A50751" w14:paraId="6FDEA467" w14:textId="77777777" w:rsidTr="00356ECB">
        <w:trPr>
          <w:cantSplit/>
          <w:jc w:val="center"/>
        </w:trPr>
        <w:tc>
          <w:tcPr>
            <w:tcW w:w="4536" w:type="dxa"/>
            <w:gridSpan w:val="3"/>
          </w:tcPr>
          <w:p w14:paraId="060F19F4" w14:textId="77777777" w:rsidR="00814667" w:rsidRPr="00A50751" w:rsidRDefault="00814667">
            <w:pPr>
              <w:pStyle w:val="SingleParagraph"/>
              <w:rPr>
                <w:rFonts w:ascii="Book Antiqua" w:hAnsi="Book Antiqua"/>
                <w:lang w:val="en-GB"/>
              </w:rPr>
            </w:pPr>
          </w:p>
        </w:tc>
        <w:tc>
          <w:tcPr>
            <w:tcW w:w="284" w:type="dxa"/>
            <w:gridSpan w:val="2"/>
            <w:tcMar>
              <w:left w:w="0" w:type="dxa"/>
              <w:right w:w="0" w:type="dxa"/>
            </w:tcMar>
          </w:tcPr>
          <w:p w14:paraId="0C636628" w14:textId="77777777" w:rsidR="00814667" w:rsidRPr="00A50751" w:rsidRDefault="00814667">
            <w:pPr>
              <w:pStyle w:val="SingleParagraph"/>
              <w:rPr>
                <w:rFonts w:ascii="Book Antiqua" w:hAnsi="Book Antiqua"/>
                <w:lang w:val="en-GB"/>
              </w:rPr>
            </w:pPr>
          </w:p>
        </w:tc>
        <w:tc>
          <w:tcPr>
            <w:tcW w:w="4536" w:type="dxa"/>
            <w:gridSpan w:val="2"/>
          </w:tcPr>
          <w:p w14:paraId="5C52CF11" w14:textId="77777777" w:rsidR="00814667" w:rsidRPr="00A50751" w:rsidRDefault="00814667">
            <w:pPr>
              <w:pStyle w:val="SingleParagraph"/>
              <w:rPr>
                <w:rFonts w:ascii="Book Antiqua" w:hAnsi="Book Antiqua"/>
                <w:lang w:val="en-GB"/>
              </w:rPr>
            </w:pPr>
          </w:p>
        </w:tc>
      </w:tr>
    </w:tbl>
    <w:p w14:paraId="4B55EC78" w14:textId="77777777" w:rsidR="000F6B1D" w:rsidRDefault="000F6B1D" w:rsidP="0020144E"/>
    <w:p w14:paraId="3A5D848C" w14:textId="77777777" w:rsidR="00F62D68" w:rsidRDefault="00F62D68">
      <w:pPr>
        <w:spacing w:after="0" w:line="240" w:lineRule="auto"/>
        <w:jc w:val="left"/>
      </w:pPr>
      <w:r>
        <w:br w:type="page"/>
      </w:r>
    </w:p>
    <w:p w14:paraId="30B2B73E" w14:textId="77777777" w:rsidR="000F6B1D" w:rsidRDefault="000F6B1D" w:rsidP="000F6B1D"/>
    <w:p w14:paraId="532C8AD5" w14:textId="77777777" w:rsidR="000F6B1D" w:rsidRPr="000F6B1D" w:rsidRDefault="000F6B1D" w:rsidP="000F6B1D">
      <w:pPr>
        <w:spacing w:after="0" w:line="240" w:lineRule="auto"/>
        <w:jc w:val="right"/>
        <w:rPr>
          <w:color w:val="3D4B67"/>
          <w:sz w:val="72"/>
          <w:szCs w:val="48"/>
          <w:lang w:eastAsia="ja-JP"/>
        </w:rPr>
      </w:pPr>
      <w:r w:rsidRPr="000F6B1D">
        <w:rPr>
          <w:rFonts w:cs="Corbel"/>
          <w:color w:val="800000"/>
          <w:sz w:val="36"/>
          <w:szCs w:val="36"/>
          <w:lang w:eastAsia="ja-JP"/>
        </w:rPr>
        <w:t>Schedule A</w:t>
      </w:r>
    </w:p>
    <w:p w14:paraId="6ED6E7E4" w14:textId="77777777" w:rsidR="0006366B" w:rsidRPr="000F6B1D" w:rsidRDefault="0006366B" w:rsidP="0006366B">
      <w:pPr>
        <w:spacing w:after="0" w:line="240" w:lineRule="auto"/>
        <w:jc w:val="left"/>
        <w:rPr>
          <w:color w:val="3D4B67"/>
          <w:sz w:val="72"/>
          <w:szCs w:val="48"/>
          <w:lang w:eastAsia="ja-JP"/>
        </w:rPr>
      </w:pPr>
      <w:r w:rsidRPr="000F6B1D">
        <w:rPr>
          <w:color w:val="3D4B67"/>
          <w:sz w:val="72"/>
          <w:szCs w:val="48"/>
          <w:lang w:eastAsia="ja-JP"/>
        </w:rPr>
        <w:t xml:space="preserve">Project Eligibility </w:t>
      </w:r>
    </w:p>
    <w:p w14:paraId="458AFFDA" w14:textId="77777777" w:rsidR="00272FE2" w:rsidRPr="000F6B1D" w:rsidRDefault="00272FE2" w:rsidP="00272FE2">
      <w:pPr>
        <w:spacing w:before="100" w:beforeAutospacing="1" w:after="600" w:line="240" w:lineRule="auto"/>
        <w:jc w:val="left"/>
        <w:rPr>
          <w:rFonts w:ascii="Consolas" w:hAnsi="Consolas"/>
          <w:b/>
          <w:caps/>
          <w:color w:val="C7823E"/>
          <w:spacing w:val="50"/>
          <w:sz w:val="24"/>
          <w:szCs w:val="22"/>
          <w:lang w:eastAsia="ja-JP"/>
        </w:rPr>
      </w:pPr>
      <w:r w:rsidRPr="000F6B1D">
        <w:rPr>
          <w:rFonts w:ascii="Consolas" w:hAnsi="Consolas"/>
          <w:b/>
          <w:caps/>
          <w:color w:val="C7823E"/>
          <w:spacing w:val="50"/>
          <w:sz w:val="24"/>
          <w:szCs w:val="22"/>
          <w:lang w:eastAsia="ja-JP"/>
        </w:rPr>
        <w:t xml:space="preserve">Project Agreement for </w:t>
      </w:r>
      <w:r>
        <w:rPr>
          <w:rFonts w:ascii="Consolas" w:hAnsi="Consolas"/>
          <w:b/>
          <w:caps/>
          <w:color w:val="C7823E"/>
          <w:spacing w:val="50"/>
          <w:sz w:val="24"/>
          <w:szCs w:val="22"/>
          <w:lang w:eastAsia="ja-JP"/>
        </w:rPr>
        <w:t xml:space="preserve">THE LINDENOW VALLEY WATER SECURITY </w:t>
      </w:r>
      <w:r w:rsidR="00AF4FD9">
        <w:rPr>
          <w:rFonts w:ascii="Consolas" w:hAnsi="Consolas"/>
          <w:b/>
          <w:caps/>
          <w:color w:val="C7823E"/>
          <w:spacing w:val="50"/>
          <w:sz w:val="24"/>
          <w:szCs w:val="22"/>
          <w:lang w:eastAsia="ja-JP"/>
        </w:rPr>
        <w:t>SCHEME</w:t>
      </w:r>
    </w:p>
    <w:p w14:paraId="008628F0" w14:textId="77777777" w:rsidR="00272FE2" w:rsidRPr="00BC74A5" w:rsidRDefault="00272FE2" w:rsidP="00272FE2">
      <w:pPr>
        <w:pStyle w:val="Heading1"/>
        <w:rPr>
          <w:b/>
          <w:caps w:val="0"/>
        </w:rPr>
      </w:pPr>
      <w:r w:rsidRPr="00216E26">
        <w:t>PART 1: PRELIMINARIES</w:t>
      </w:r>
    </w:p>
    <w:p w14:paraId="35DD3164" w14:textId="77777777" w:rsidR="00272FE2" w:rsidRPr="00B82557" w:rsidRDefault="00272FE2" w:rsidP="00C00CD9">
      <w:pPr>
        <w:pStyle w:val="Normalnumbered"/>
        <w:numPr>
          <w:ilvl w:val="0"/>
          <w:numId w:val="27"/>
        </w:numPr>
        <w:tabs>
          <w:tab w:val="clear" w:pos="567"/>
          <w:tab w:val="num" w:pos="284"/>
        </w:tabs>
        <w:ind w:left="284" w:hanging="426"/>
        <w:jc w:val="left"/>
      </w:pPr>
      <w:bookmarkStart w:id="2" w:name="_Ref423616631"/>
      <w:r w:rsidRPr="00B82557">
        <w:t xml:space="preserve">This </w:t>
      </w:r>
      <w:r w:rsidR="008223DE">
        <w:t>S</w:t>
      </w:r>
      <w:r w:rsidRPr="00B82557">
        <w:t xml:space="preserve">chedule to the </w:t>
      </w:r>
      <w:r w:rsidRPr="00657EFD">
        <w:t xml:space="preserve">Project Agreement for </w:t>
      </w:r>
      <w:r>
        <w:t xml:space="preserve">Lindenow Valley Water Security </w:t>
      </w:r>
      <w:r w:rsidR="00AF4FD9">
        <w:t xml:space="preserve">Scheme </w:t>
      </w:r>
      <w:r w:rsidRPr="00B82557">
        <w:t xml:space="preserve">should be read in conjunction with that Agreement. The </w:t>
      </w:r>
      <w:r>
        <w:t>S</w:t>
      </w:r>
      <w:r w:rsidRPr="00B82557">
        <w:t xml:space="preserve">chedule has been developed </w:t>
      </w:r>
      <w:r>
        <w:t>in accordance with</w:t>
      </w:r>
      <w:r w:rsidRPr="00B82557">
        <w:t xml:space="preserve"> </w:t>
      </w:r>
      <w:r>
        <w:t>clause</w:t>
      </w:r>
      <w:r w:rsidRPr="00B82557">
        <w:t xml:space="preserve"> 1</w:t>
      </w:r>
      <w:r>
        <w:t>1</w:t>
      </w:r>
      <w:r w:rsidRPr="00B82557">
        <w:t xml:space="preserve"> of the Agreement</w:t>
      </w:r>
      <w:r>
        <w:t>.</w:t>
      </w:r>
      <w:bookmarkEnd w:id="2"/>
    </w:p>
    <w:p w14:paraId="01BC97A2" w14:textId="77777777" w:rsidR="00272FE2" w:rsidRDefault="00272FE2" w:rsidP="00272FE2">
      <w:pPr>
        <w:pStyle w:val="Heading1"/>
        <w:rPr>
          <w:b/>
          <w:caps w:val="0"/>
        </w:rPr>
      </w:pPr>
      <w:r w:rsidRPr="00216E26">
        <w:t>PART 2: FORMALITIES</w:t>
      </w:r>
    </w:p>
    <w:p w14:paraId="3B11D9AC" w14:textId="323A8351" w:rsidR="00272FE2" w:rsidRDefault="00272FE2" w:rsidP="00C00CD9">
      <w:pPr>
        <w:pStyle w:val="Normalnumbered"/>
        <w:numPr>
          <w:ilvl w:val="0"/>
          <w:numId w:val="27"/>
        </w:numPr>
        <w:tabs>
          <w:tab w:val="clear" w:pos="567"/>
          <w:tab w:val="num" w:pos="284"/>
        </w:tabs>
        <w:ind w:left="284" w:hanging="426"/>
        <w:jc w:val="left"/>
      </w:pPr>
      <w:r w:rsidRPr="00EA3664">
        <w:t xml:space="preserve">This Schedule will commence as soon as it is agreed between the Commonwealth and </w:t>
      </w:r>
      <w:r>
        <w:t xml:space="preserve">Victoria and expire on 30 June </w:t>
      </w:r>
      <w:r w:rsidR="00E80D86">
        <w:t>2023</w:t>
      </w:r>
      <w:r w:rsidRPr="00B572B0">
        <w:t xml:space="preserve"> or on completion of the project, including final performance reporting and processing of final payments against milestones</w:t>
      </w:r>
      <w:r w:rsidRPr="00EA3664">
        <w:t>.</w:t>
      </w:r>
    </w:p>
    <w:p w14:paraId="36D881B1" w14:textId="77777777" w:rsidR="00272FE2" w:rsidRPr="00B27B7C" w:rsidRDefault="00272FE2" w:rsidP="00272FE2">
      <w:pPr>
        <w:pStyle w:val="Heading1"/>
        <w:rPr>
          <w:b/>
          <w:caps w:val="0"/>
        </w:rPr>
      </w:pPr>
      <w:r w:rsidRPr="00216E26">
        <w:t xml:space="preserve">PART </w:t>
      </w:r>
      <w:r>
        <w:t>3</w:t>
      </w:r>
      <w:r w:rsidRPr="00216E26">
        <w:t xml:space="preserve">: </w:t>
      </w:r>
      <w:r w:rsidRPr="00B27B7C">
        <w:t xml:space="preserve">Delivery of the </w:t>
      </w:r>
      <w:r w:rsidR="00304327" w:rsidRPr="00B27B7C">
        <w:t xml:space="preserve">LINDENOW VALLEY WATER SECURITY </w:t>
      </w:r>
      <w:r w:rsidR="00AF4FD9" w:rsidRPr="00B27B7C">
        <w:t>SCHEME</w:t>
      </w:r>
      <w:r w:rsidR="00304327" w:rsidRPr="00B27B7C">
        <w:t xml:space="preserve"> </w:t>
      </w:r>
      <w:r w:rsidRPr="00B27B7C">
        <w:t>in Victoria</w:t>
      </w:r>
    </w:p>
    <w:p w14:paraId="2AF4247D" w14:textId="77777777" w:rsidR="00272FE2" w:rsidRPr="00B27B7C" w:rsidRDefault="00272FE2" w:rsidP="00C00CD9">
      <w:pPr>
        <w:pStyle w:val="Normalnumbered"/>
        <w:numPr>
          <w:ilvl w:val="0"/>
          <w:numId w:val="27"/>
        </w:numPr>
        <w:tabs>
          <w:tab w:val="clear" w:pos="567"/>
          <w:tab w:val="num" w:pos="284"/>
        </w:tabs>
        <w:ind w:left="284" w:hanging="426"/>
        <w:jc w:val="left"/>
      </w:pPr>
      <w:r w:rsidRPr="00B27B7C">
        <w:t xml:space="preserve">Under this Schedule, Victoria agrees to deliver </w:t>
      </w:r>
      <w:r w:rsidR="00304327" w:rsidRPr="00B27B7C">
        <w:t xml:space="preserve">the Lindenow Valley Water Security </w:t>
      </w:r>
      <w:r w:rsidR="00AF4FD9" w:rsidRPr="00B27B7C">
        <w:t xml:space="preserve">Scheme </w:t>
      </w:r>
      <w:r w:rsidRPr="00B27B7C">
        <w:t xml:space="preserve">to </w:t>
      </w:r>
      <w:r w:rsidR="00304327" w:rsidRPr="00B27B7C">
        <w:t>irrigators within the Lindenow Valley of East Gippsland, Victoria that have commenced their farming operation in the Lindenow Valley prior to 10 April 2019</w:t>
      </w:r>
      <w:r w:rsidRPr="00B27B7C">
        <w:t xml:space="preserve">. The Commonwealth </w:t>
      </w:r>
      <w:r w:rsidR="00304327" w:rsidRPr="00B27B7C">
        <w:t>will provide funding of up to $10</w:t>
      </w:r>
      <w:r w:rsidRPr="00B27B7C">
        <w:t> million over the life of the agreement.</w:t>
      </w:r>
    </w:p>
    <w:p w14:paraId="7328AA4C" w14:textId="083AEE0B" w:rsidR="00272FE2" w:rsidRPr="00B27B7C" w:rsidRDefault="00272FE2" w:rsidP="00C00CD9">
      <w:pPr>
        <w:pStyle w:val="Normalnumbered"/>
        <w:numPr>
          <w:ilvl w:val="0"/>
          <w:numId w:val="27"/>
        </w:numPr>
        <w:tabs>
          <w:tab w:val="clear" w:pos="567"/>
          <w:tab w:val="num" w:pos="284"/>
        </w:tabs>
        <w:ind w:left="284" w:hanging="426"/>
        <w:jc w:val="left"/>
      </w:pPr>
      <w:r w:rsidRPr="00B27B7C">
        <w:t xml:space="preserve">In providing </w:t>
      </w:r>
      <w:r w:rsidR="00304327" w:rsidRPr="00B27B7C">
        <w:t>grants</w:t>
      </w:r>
      <w:r w:rsidRPr="00B27B7C">
        <w:t xml:space="preserve"> </w:t>
      </w:r>
      <w:r w:rsidR="00304327" w:rsidRPr="00B27B7C">
        <w:t>to irrigators within the Lindenow Valley of East Gippsland,</w:t>
      </w:r>
      <w:r w:rsidRPr="00B27B7C">
        <w:t xml:space="preserve"> Victoria must be satisfied that the </w:t>
      </w:r>
      <w:r w:rsidR="00304327" w:rsidRPr="00B27B7C">
        <w:t>grant</w:t>
      </w:r>
      <w:r w:rsidRPr="00B27B7C">
        <w:t xml:space="preserve"> recipient has demonstrated that they </w:t>
      </w:r>
      <w:r w:rsidR="00304327" w:rsidRPr="00B27B7C">
        <w:t>are undertaking water infrastructure projects for access to Mitchell River flows</w:t>
      </w:r>
      <w:r w:rsidR="00026248" w:rsidRPr="00B27B7C">
        <w:t xml:space="preserve"> or to utilise groundwater</w:t>
      </w:r>
      <w:r w:rsidR="00304327" w:rsidRPr="00B27B7C">
        <w:t xml:space="preserve"> </w:t>
      </w:r>
      <w:r w:rsidR="0020396E" w:rsidRPr="00B27B7C">
        <w:t>under a licence</w:t>
      </w:r>
      <w:r w:rsidR="0020396E">
        <w:t xml:space="preserve"> to take and use water under section 51 of the </w:t>
      </w:r>
      <w:r w:rsidR="0020396E" w:rsidRPr="00897369">
        <w:rPr>
          <w:i/>
        </w:rPr>
        <w:t>Water Act 1989 (Vic).</w:t>
      </w:r>
      <w:r w:rsidRPr="00B27B7C">
        <w:t xml:space="preserve"> </w:t>
      </w:r>
    </w:p>
    <w:p w14:paraId="7A1A0C1C" w14:textId="77777777" w:rsidR="008843EE" w:rsidRPr="00B27B7C" w:rsidRDefault="0006366B" w:rsidP="0006366B">
      <w:pPr>
        <w:spacing w:before="240"/>
        <w:rPr>
          <w:rFonts w:ascii="Consolas" w:hAnsi="Consolas" w:cs="Arial"/>
          <w:bCs/>
          <w:caps/>
          <w:color w:val="3D4B67"/>
          <w:kern w:val="32"/>
          <w:sz w:val="32"/>
          <w:szCs w:val="36"/>
        </w:rPr>
      </w:pPr>
      <w:r w:rsidRPr="00B27B7C">
        <w:rPr>
          <w:rFonts w:ascii="Consolas" w:hAnsi="Consolas" w:cs="Arial"/>
          <w:bCs/>
          <w:caps/>
          <w:color w:val="3D4B67"/>
          <w:kern w:val="32"/>
          <w:sz w:val="32"/>
          <w:szCs w:val="36"/>
        </w:rPr>
        <w:t xml:space="preserve">PART 4: </w:t>
      </w:r>
      <w:bookmarkStart w:id="3" w:name="_Hlt130373736"/>
      <w:bookmarkStart w:id="4" w:name="_Hlt188680878"/>
      <w:bookmarkStart w:id="5" w:name="_Hlt185760550"/>
      <w:bookmarkStart w:id="6" w:name="_Hlt185760621"/>
      <w:bookmarkStart w:id="7" w:name="_Hlt185761375"/>
      <w:bookmarkStart w:id="8" w:name="_Hlt188677773"/>
      <w:bookmarkStart w:id="9" w:name="_Hlt190071014"/>
      <w:bookmarkStart w:id="10" w:name="_Hlt190071846"/>
      <w:bookmarkStart w:id="11" w:name="_Hlt190071854"/>
      <w:bookmarkEnd w:id="3"/>
      <w:bookmarkEnd w:id="4"/>
      <w:bookmarkEnd w:id="5"/>
      <w:bookmarkEnd w:id="6"/>
      <w:bookmarkEnd w:id="7"/>
      <w:bookmarkEnd w:id="8"/>
      <w:bookmarkEnd w:id="9"/>
      <w:bookmarkEnd w:id="10"/>
      <w:bookmarkEnd w:id="11"/>
      <w:r w:rsidR="000F6B1D" w:rsidRPr="00B27B7C">
        <w:rPr>
          <w:rFonts w:ascii="Consolas" w:hAnsi="Consolas" w:cs="Arial"/>
          <w:bCs/>
          <w:caps/>
          <w:color w:val="3D4B67"/>
          <w:kern w:val="32"/>
          <w:sz w:val="32"/>
          <w:szCs w:val="36"/>
        </w:rPr>
        <w:t>PROJECT ELIGIBILITY CRITERIA</w:t>
      </w:r>
    </w:p>
    <w:p w14:paraId="544F7A98" w14:textId="77777777" w:rsidR="000F6B1D" w:rsidRPr="00B27B7C" w:rsidRDefault="0045008C" w:rsidP="000C00ED">
      <w:pPr>
        <w:pStyle w:val="ScheduleNumberedPara"/>
        <w:numPr>
          <w:ilvl w:val="0"/>
          <w:numId w:val="0"/>
        </w:numPr>
        <w:tabs>
          <w:tab w:val="clear" w:pos="567"/>
          <w:tab w:val="clear" w:pos="1086"/>
          <w:tab w:val="clear" w:pos="1134"/>
          <w:tab w:val="clear" w:pos="1440"/>
          <w:tab w:val="clear" w:pos="1701"/>
          <w:tab w:val="clear" w:pos="2268"/>
          <w:tab w:val="clear" w:pos="2574"/>
        </w:tabs>
      </w:pPr>
      <w:r w:rsidRPr="00B27B7C">
        <w:t xml:space="preserve">Guidance to </w:t>
      </w:r>
      <w:r w:rsidR="00E6685C" w:rsidRPr="00B27B7C">
        <w:t>Victoria</w:t>
      </w:r>
      <w:r w:rsidR="000F6B1D" w:rsidRPr="00B27B7C">
        <w:t xml:space="preserve"> </w:t>
      </w:r>
      <w:r w:rsidR="00297862" w:rsidRPr="00B27B7C">
        <w:t xml:space="preserve">on </w:t>
      </w:r>
      <w:r w:rsidR="00847916" w:rsidRPr="00B27B7C">
        <w:t>eligib</w:t>
      </w:r>
      <w:r w:rsidR="0043469F" w:rsidRPr="00B27B7C">
        <w:t>ility</w:t>
      </w:r>
      <w:r w:rsidR="000F6B1D" w:rsidRPr="00B27B7C">
        <w:t xml:space="preserve"> for </w:t>
      </w:r>
      <w:r w:rsidR="00605169" w:rsidRPr="00B27B7C">
        <w:t xml:space="preserve">Commonwealth </w:t>
      </w:r>
      <w:r w:rsidR="000F6B1D" w:rsidRPr="00B27B7C">
        <w:t xml:space="preserve">funding under the </w:t>
      </w:r>
      <w:r w:rsidR="00F9275F" w:rsidRPr="00B27B7C">
        <w:t xml:space="preserve">Lindenow Valley Water Security </w:t>
      </w:r>
      <w:r w:rsidR="00AF4FD9" w:rsidRPr="00B27B7C">
        <w:t>Scheme</w:t>
      </w:r>
      <w:r w:rsidR="000F6B1D" w:rsidRPr="00B27B7C">
        <w:t>:</w:t>
      </w:r>
    </w:p>
    <w:p w14:paraId="081EECC4" w14:textId="253FCB91" w:rsidR="00042CF5" w:rsidRPr="00B27B7C" w:rsidRDefault="00E6685C" w:rsidP="00000891">
      <w:pPr>
        <w:pStyle w:val="ScheduleNumberedPara"/>
        <w:numPr>
          <w:ilvl w:val="2"/>
          <w:numId w:val="31"/>
        </w:numPr>
        <w:tabs>
          <w:tab w:val="clear" w:pos="567"/>
          <w:tab w:val="clear" w:pos="1086"/>
          <w:tab w:val="clear" w:pos="1440"/>
          <w:tab w:val="clear" w:pos="1593"/>
          <w:tab w:val="clear" w:pos="1701"/>
          <w:tab w:val="clear" w:pos="2268"/>
          <w:tab w:val="left" w:pos="1134"/>
          <w:tab w:val="num" w:pos="1843"/>
          <w:tab w:val="num" w:pos="2160"/>
        </w:tabs>
        <w:ind w:left="1134" w:hanging="567"/>
      </w:pPr>
      <w:r w:rsidRPr="00B27B7C">
        <w:t>Victoria</w:t>
      </w:r>
      <w:r w:rsidR="00042CF5" w:rsidRPr="00B27B7C">
        <w:t xml:space="preserve"> may deliver these grants through a Victorian Government Statutory Authority. The Authority can deduct up to 10 per cent of the </w:t>
      </w:r>
      <w:r w:rsidR="00272FE2" w:rsidRPr="00B27B7C">
        <w:t xml:space="preserve">total financial contribution </w:t>
      </w:r>
      <w:r w:rsidR="00042CF5" w:rsidRPr="00B27B7C">
        <w:t>for administrative costs</w:t>
      </w:r>
      <w:r w:rsidR="003F21C4" w:rsidRPr="00B27B7C">
        <w:t xml:space="preserve"> but a minimum administration cost of $</w:t>
      </w:r>
      <w:r w:rsidR="00480A6D" w:rsidRPr="00B27B7C">
        <w:t>6</w:t>
      </w:r>
      <w:r w:rsidR="003F21C4" w:rsidRPr="00B27B7C">
        <w:t>00,000</w:t>
      </w:r>
      <w:r w:rsidR="00272FE2" w:rsidRPr="00B27B7C">
        <w:t>. The Authority should put adequate governance arrangements in place for oversight of these grants</w:t>
      </w:r>
      <w:r w:rsidR="00520583" w:rsidRPr="00B27B7C">
        <w:t xml:space="preserve"> including</w:t>
      </w:r>
      <w:r w:rsidR="00272FE2" w:rsidRPr="00B27B7C">
        <w:t>.</w:t>
      </w:r>
    </w:p>
    <w:p w14:paraId="256DE2FD" w14:textId="77777777" w:rsidR="00520583" w:rsidRPr="00B27B7C" w:rsidRDefault="00520583" w:rsidP="00520583">
      <w:pPr>
        <w:pStyle w:val="ScheduleNumberedPara"/>
        <w:numPr>
          <w:ilvl w:val="3"/>
          <w:numId w:val="31"/>
        </w:numPr>
        <w:tabs>
          <w:tab w:val="clear" w:pos="567"/>
          <w:tab w:val="clear" w:pos="1086"/>
          <w:tab w:val="clear" w:pos="1134"/>
          <w:tab w:val="clear" w:pos="1440"/>
          <w:tab w:val="clear" w:pos="2268"/>
          <w:tab w:val="clear" w:pos="2313"/>
          <w:tab w:val="num" w:pos="2880"/>
        </w:tabs>
        <w:ind w:left="1701" w:hanging="567"/>
      </w:pPr>
      <w:r w:rsidRPr="00B27B7C">
        <w:t>application and assessment processes, such as:</w:t>
      </w:r>
    </w:p>
    <w:p w14:paraId="03A9B7D7" w14:textId="77777777" w:rsidR="00520583" w:rsidRDefault="00520583"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rsidRPr="00B27B7C">
        <w:t>developing criteria and application templates prior</w:t>
      </w:r>
      <w:r>
        <w:t xml:space="preserve"> to commencement;</w:t>
      </w:r>
    </w:p>
    <w:p w14:paraId="20FE61DD" w14:textId="77777777" w:rsidR="00520583" w:rsidRDefault="00520583"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seeking expressions of interest from applicants that describe their projects;</w:t>
      </w:r>
    </w:p>
    <w:p w14:paraId="59FD1BF2" w14:textId="77777777" w:rsidR="00520583" w:rsidRDefault="00520583"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completing initial assessments against the scheme criteria</w:t>
      </w:r>
      <w:r w:rsidR="00222C9D">
        <w:t>, including confirmation that the required water is available</w:t>
      </w:r>
      <w:r>
        <w:t xml:space="preserve"> </w:t>
      </w:r>
      <w:r w:rsidR="00222C9D">
        <w:t xml:space="preserve">within current caps and limits </w:t>
      </w:r>
      <w:r>
        <w:t>and advising applicants of next steps;</w:t>
      </w:r>
    </w:p>
    <w:p w14:paraId="5E2609C0" w14:textId="77777777" w:rsidR="00520583" w:rsidRDefault="00520583"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(if approved following initial assessment) requesting applicants provide a whole farm plan describing projects, benefits, costs and timeframes;</w:t>
      </w:r>
    </w:p>
    <w:p w14:paraId="7450E7BC" w14:textId="77777777" w:rsidR="00520583" w:rsidRPr="00B27B7C" w:rsidRDefault="00520583"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 xml:space="preserve">assessing applications against eligibility criteria including regional economic </w:t>
      </w:r>
      <w:r w:rsidRPr="00B27B7C">
        <w:t>and employment benefits generated by projects;</w:t>
      </w:r>
    </w:p>
    <w:p w14:paraId="5ED70118" w14:textId="77777777" w:rsidR="00520583" w:rsidRPr="00B27B7C" w:rsidRDefault="00520583"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rsidRPr="00B27B7C">
        <w:t>entering into contracts with applicants for funds to be delivered progressively over the course of construction; and</w:t>
      </w:r>
    </w:p>
    <w:p w14:paraId="7951E1D6" w14:textId="77777777" w:rsidR="00520583" w:rsidRPr="00B27B7C" w:rsidRDefault="00520583"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rsidRPr="00B27B7C">
        <w:t>requesting milestone, completion and audit reports from applicants as required.</w:t>
      </w:r>
    </w:p>
    <w:p w14:paraId="5551D311" w14:textId="77777777" w:rsidR="00DF48E3" w:rsidRPr="00B27B7C" w:rsidRDefault="00DF48E3" w:rsidP="00000891">
      <w:pPr>
        <w:pStyle w:val="ScheduleNumberedPara"/>
        <w:numPr>
          <w:ilvl w:val="2"/>
          <w:numId w:val="31"/>
        </w:numPr>
        <w:tabs>
          <w:tab w:val="clear" w:pos="567"/>
          <w:tab w:val="clear" w:pos="1086"/>
          <w:tab w:val="clear" w:pos="1440"/>
          <w:tab w:val="clear" w:pos="1593"/>
          <w:tab w:val="clear" w:pos="1701"/>
          <w:tab w:val="clear" w:pos="2268"/>
          <w:tab w:val="num" w:pos="2160"/>
        </w:tabs>
        <w:ind w:left="1134" w:hanging="567"/>
      </w:pPr>
      <w:r w:rsidRPr="00B27B7C">
        <w:t xml:space="preserve">Eligible </w:t>
      </w:r>
      <w:r w:rsidR="00A6540E" w:rsidRPr="00B27B7C">
        <w:t>applicants</w:t>
      </w:r>
      <w:r w:rsidR="00605169" w:rsidRPr="00B27B7C">
        <w:t xml:space="preserve"> must</w:t>
      </w:r>
      <w:r w:rsidRPr="00B27B7C">
        <w:t>:</w:t>
      </w:r>
    </w:p>
    <w:p w14:paraId="3F1B04A0" w14:textId="77777777" w:rsidR="00297862" w:rsidRPr="00B27B7C" w:rsidRDefault="00CB4C53" w:rsidP="00000891">
      <w:pPr>
        <w:pStyle w:val="ScheduleNumberedPara"/>
        <w:numPr>
          <w:ilvl w:val="3"/>
          <w:numId w:val="31"/>
        </w:numPr>
        <w:tabs>
          <w:tab w:val="clear" w:pos="1086"/>
          <w:tab w:val="clear" w:pos="1134"/>
          <w:tab w:val="clear" w:pos="1440"/>
          <w:tab w:val="num" w:pos="2880"/>
        </w:tabs>
        <w:ind w:left="1701" w:hanging="567"/>
      </w:pPr>
      <w:r w:rsidRPr="00B27B7C">
        <w:t xml:space="preserve">be </w:t>
      </w:r>
      <w:r w:rsidR="002A7CAC" w:rsidRPr="00B27B7C">
        <w:t>i</w:t>
      </w:r>
      <w:r w:rsidR="00482908" w:rsidRPr="00B27B7C">
        <w:t>rrigators within the Lindenow Val</w:t>
      </w:r>
      <w:r w:rsidR="002A7CAC" w:rsidRPr="00B27B7C">
        <w:t>ley of East Gippsland, Victoria</w:t>
      </w:r>
      <w:r w:rsidRPr="00B27B7C">
        <w:t>; and</w:t>
      </w:r>
    </w:p>
    <w:p w14:paraId="0A8D329D" w14:textId="77777777" w:rsidR="00F9275F" w:rsidRPr="00B27B7C" w:rsidRDefault="00CB4C53" w:rsidP="00000891">
      <w:pPr>
        <w:pStyle w:val="ScheduleNumberedPara"/>
        <w:numPr>
          <w:ilvl w:val="3"/>
          <w:numId w:val="31"/>
        </w:numPr>
        <w:tabs>
          <w:tab w:val="clear" w:pos="1086"/>
          <w:tab w:val="clear" w:pos="1134"/>
          <w:tab w:val="clear" w:pos="1440"/>
          <w:tab w:val="num" w:pos="2880"/>
        </w:tabs>
        <w:ind w:left="1701" w:hanging="567"/>
      </w:pPr>
      <w:r w:rsidRPr="00B27B7C">
        <w:t xml:space="preserve">have </w:t>
      </w:r>
      <w:r w:rsidR="00F75AFD" w:rsidRPr="00B27B7C">
        <w:t>commenced their farming operation in the Lindenow Valley prior to 10 April 2019.</w:t>
      </w:r>
    </w:p>
    <w:p w14:paraId="65DB6542" w14:textId="0EBADE78" w:rsidR="00297862" w:rsidRPr="00B27B7C" w:rsidRDefault="00297862" w:rsidP="00000891">
      <w:pPr>
        <w:pStyle w:val="ScheduleNumberedPara"/>
        <w:numPr>
          <w:ilvl w:val="2"/>
          <w:numId w:val="31"/>
        </w:numPr>
        <w:tabs>
          <w:tab w:val="clear" w:pos="567"/>
          <w:tab w:val="clear" w:pos="1086"/>
          <w:tab w:val="clear" w:pos="1440"/>
          <w:tab w:val="clear" w:pos="1593"/>
          <w:tab w:val="clear" w:pos="1701"/>
          <w:tab w:val="clear" w:pos="2268"/>
          <w:tab w:val="num" w:pos="2160"/>
        </w:tabs>
        <w:ind w:left="1134" w:hanging="567"/>
      </w:pPr>
      <w:r w:rsidRPr="00B27B7C">
        <w:t>Water infr</w:t>
      </w:r>
      <w:r w:rsidR="0043469F" w:rsidRPr="00B27B7C">
        <w:t>as</w:t>
      </w:r>
      <w:r w:rsidRPr="00B27B7C">
        <w:t xml:space="preserve">tructure </w:t>
      </w:r>
      <w:r w:rsidR="00F9275F" w:rsidRPr="00B27B7C">
        <w:t xml:space="preserve">projects must be constructed for access to Mitchell River flows </w:t>
      </w:r>
      <w:r w:rsidR="00480A6D" w:rsidRPr="00B27B7C">
        <w:t xml:space="preserve">or to utilise groundwater </w:t>
      </w:r>
      <w:r w:rsidR="0020396E" w:rsidRPr="00B27B7C">
        <w:t>under a licence</w:t>
      </w:r>
      <w:r w:rsidR="0020396E">
        <w:t xml:space="preserve"> to take and use water under section 51 of the </w:t>
      </w:r>
      <w:r w:rsidR="0020396E" w:rsidRPr="00897369">
        <w:rPr>
          <w:i/>
        </w:rPr>
        <w:t>Water Act 1989 (Vic).</w:t>
      </w:r>
      <w:r w:rsidR="00F9275F" w:rsidRPr="00B27B7C">
        <w:t xml:space="preserve"> </w:t>
      </w:r>
    </w:p>
    <w:p w14:paraId="2CC885F8" w14:textId="77777777" w:rsidR="0021552F" w:rsidRPr="00B27B7C" w:rsidRDefault="0021552F" w:rsidP="00000891">
      <w:pPr>
        <w:pStyle w:val="ScheduleNumberedPara"/>
        <w:numPr>
          <w:ilvl w:val="2"/>
          <w:numId w:val="31"/>
        </w:numPr>
        <w:tabs>
          <w:tab w:val="clear" w:pos="567"/>
          <w:tab w:val="clear" w:pos="1086"/>
          <w:tab w:val="clear" w:pos="1440"/>
          <w:tab w:val="clear" w:pos="1593"/>
          <w:tab w:val="clear" w:pos="1701"/>
          <w:tab w:val="clear" w:pos="2268"/>
          <w:tab w:val="num" w:pos="2160"/>
        </w:tabs>
        <w:ind w:left="1134" w:hanging="567"/>
      </w:pPr>
      <w:r w:rsidRPr="00B27B7C">
        <w:t>Water infrastructure projects must not have received funding under other government assistance and grant programs including the On Farm Emergency Water Infrastructure Rebate.</w:t>
      </w:r>
    </w:p>
    <w:p w14:paraId="23C851A3" w14:textId="77777777" w:rsidR="00297862" w:rsidRPr="00482908" w:rsidRDefault="0043469F" w:rsidP="00000891">
      <w:pPr>
        <w:pStyle w:val="ScheduleNumberedPara"/>
        <w:numPr>
          <w:ilvl w:val="2"/>
          <w:numId w:val="31"/>
        </w:numPr>
        <w:tabs>
          <w:tab w:val="clear" w:pos="567"/>
          <w:tab w:val="clear" w:pos="1086"/>
          <w:tab w:val="clear" w:pos="1440"/>
          <w:tab w:val="clear" w:pos="1593"/>
          <w:tab w:val="clear" w:pos="1701"/>
          <w:tab w:val="clear" w:pos="2268"/>
          <w:tab w:val="num" w:pos="2160"/>
        </w:tabs>
        <w:ind w:left="1134" w:hanging="567"/>
      </w:pPr>
      <w:r w:rsidRPr="00482908">
        <w:t>Water</w:t>
      </w:r>
      <w:r w:rsidR="00F9275F" w:rsidRPr="00482908">
        <w:t xml:space="preserve"> storage</w:t>
      </w:r>
      <w:r w:rsidRPr="00482908">
        <w:t xml:space="preserve"> infrastructure </w:t>
      </w:r>
      <w:r w:rsidR="00F9275F" w:rsidRPr="00482908">
        <w:t xml:space="preserve">works </w:t>
      </w:r>
      <w:r w:rsidR="00482908" w:rsidRPr="00482908">
        <w:t>must be</w:t>
      </w:r>
      <w:r w:rsidR="0006366B">
        <w:t xml:space="preserve"> commenced and</w:t>
      </w:r>
      <w:r w:rsidR="00482908" w:rsidRPr="00482908">
        <w:t xml:space="preserve"> </w:t>
      </w:r>
      <w:r w:rsidR="00F9275F" w:rsidRPr="00482908">
        <w:t xml:space="preserve">completed after the </w:t>
      </w:r>
      <w:r w:rsidR="00295127">
        <w:t>s</w:t>
      </w:r>
      <w:r w:rsidR="00AF4FD9" w:rsidRPr="00AF4FD9">
        <w:t>cheme</w:t>
      </w:r>
      <w:r w:rsidR="00F9275F" w:rsidRPr="00482908">
        <w:t xml:space="preserve"> announcement date of 10 April 2019</w:t>
      </w:r>
      <w:r w:rsidR="00E6685C">
        <w:t>.</w:t>
      </w:r>
    </w:p>
    <w:p w14:paraId="56F0AC2F" w14:textId="77777777" w:rsidR="00297862" w:rsidRDefault="00A6540E" w:rsidP="00000891">
      <w:pPr>
        <w:pStyle w:val="ScheduleNumberedPara"/>
        <w:numPr>
          <w:ilvl w:val="2"/>
          <w:numId w:val="31"/>
        </w:numPr>
        <w:tabs>
          <w:tab w:val="clear" w:pos="567"/>
          <w:tab w:val="clear" w:pos="1086"/>
          <w:tab w:val="clear" w:pos="1440"/>
          <w:tab w:val="clear" w:pos="1593"/>
          <w:tab w:val="clear" w:pos="1701"/>
          <w:tab w:val="clear" w:pos="2268"/>
          <w:tab w:val="num" w:pos="2160"/>
        </w:tabs>
        <w:ind w:left="1134" w:hanging="567"/>
      </w:pPr>
      <w:r>
        <w:t>Eligibility for the</w:t>
      </w:r>
      <w:r w:rsidR="0043469F">
        <w:t xml:space="preserve"> </w:t>
      </w:r>
      <w:r w:rsidR="00482908">
        <w:t>grant</w:t>
      </w:r>
      <w:r w:rsidR="0026413D">
        <w:t xml:space="preserve"> applies to</w:t>
      </w:r>
      <w:r w:rsidR="00297862">
        <w:t>;</w:t>
      </w:r>
    </w:p>
    <w:p w14:paraId="6A0A7C56" w14:textId="77777777" w:rsidR="0026413D" w:rsidRPr="0026413D" w:rsidRDefault="0026413D" w:rsidP="00000891">
      <w:pPr>
        <w:pStyle w:val="ScheduleNumberedPara"/>
        <w:numPr>
          <w:ilvl w:val="3"/>
          <w:numId w:val="31"/>
        </w:numPr>
        <w:tabs>
          <w:tab w:val="clear" w:pos="1086"/>
          <w:tab w:val="clear" w:pos="1134"/>
          <w:tab w:val="clear" w:pos="1440"/>
          <w:tab w:val="num" w:pos="2880"/>
        </w:tabs>
        <w:ind w:left="1701" w:hanging="567"/>
      </w:pPr>
      <w:r w:rsidRPr="0026413D">
        <w:t xml:space="preserve">the </w:t>
      </w:r>
      <w:r w:rsidR="00482908">
        <w:t>costs associated with the planning, design and construction of; directly for water transfer to storage facilities and mains back to farm distribution point</w:t>
      </w:r>
      <w:r w:rsidRPr="0026413D">
        <w:t>:</w:t>
      </w:r>
    </w:p>
    <w:p w14:paraId="2F50D359" w14:textId="77777777" w:rsidR="0026413D" w:rsidRPr="0026413D" w:rsidRDefault="00482908" w:rsidP="00000891">
      <w:pPr>
        <w:pStyle w:val="ScheduleNumberedPara"/>
        <w:numPr>
          <w:ilvl w:val="4"/>
          <w:numId w:val="31"/>
        </w:numPr>
        <w:tabs>
          <w:tab w:val="clear" w:pos="1086"/>
          <w:tab w:val="clear" w:pos="1134"/>
          <w:tab w:val="clear" w:pos="3033"/>
          <w:tab w:val="num" w:pos="3600"/>
        </w:tabs>
        <w:ind w:left="2268" w:hanging="567"/>
      </w:pPr>
      <w:r>
        <w:t>on-farm water storage</w:t>
      </w:r>
      <w:r w:rsidR="00CB4C53">
        <w:t>;</w:t>
      </w:r>
    </w:p>
    <w:p w14:paraId="4AC8CA95" w14:textId="77777777" w:rsidR="0026413D" w:rsidRPr="0026413D" w:rsidRDefault="00482908" w:rsidP="00000891">
      <w:pPr>
        <w:pStyle w:val="ScheduleNumberedPara"/>
        <w:numPr>
          <w:ilvl w:val="4"/>
          <w:numId w:val="31"/>
        </w:numPr>
        <w:tabs>
          <w:tab w:val="clear" w:pos="1086"/>
          <w:tab w:val="clear" w:pos="1134"/>
          <w:tab w:val="clear" w:pos="3033"/>
          <w:tab w:val="num" w:pos="3600"/>
        </w:tabs>
        <w:ind w:left="2268" w:hanging="567"/>
      </w:pPr>
      <w:r>
        <w:t>bore construction</w:t>
      </w:r>
      <w:r w:rsidR="00CB4C53">
        <w:t>; and</w:t>
      </w:r>
    </w:p>
    <w:p w14:paraId="14109A63" w14:textId="77777777" w:rsidR="0026413D" w:rsidRDefault="0026413D" w:rsidP="00000891">
      <w:pPr>
        <w:pStyle w:val="ScheduleNumberedPara"/>
        <w:numPr>
          <w:ilvl w:val="4"/>
          <w:numId w:val="31"/>
        </w:numPr>
        <w:tabs>
          <w:tab w:val="clear" w:pos="1086"/>
          <w:tab w:val="clear" w:pos="1134"/>
          <w:tab w:val="clear" w:pos="3033"/>
          <w:tab w:val="num" w:pos="3600"/>
        </w:tabs>
        <w:ind w:left="2268" w:hanging="567"/>
      </w:pPr>
      <w:r w:rsidRPr="0026413D">
        <w:t xml:space="preserve">water </w:t>
      </w:r>
      <w:r w:rsidR="00482908">
        <w:t>supply pipelines and pumping infrastructure.</w:t>
      </w:r>
    </w:p>
    <w:p w14:paraId="5BFF7CCA" w14:textId="77777777" w:rsidR="0006366B" w:rsidRDefault="0006366B" w:rsidP="0006366B">
      <w:pPr>
        <w:pStyle w:val="ScheduleNumberedPara"/>
        <w:numPr>
          <w:ilvl w:val="3"/>
          <w:numId w:val="31"/>
        </w:numPr>
        <w:tabs>
          <w:tab w:val="clear" w:pos="567"/>
          <w:tab w:val="clear" w:pos="1086"/>
          <w:tab w:val="clear" w:pos="1134"/>
          <w:tab w:val="clear" w:pos="1440"/>
          <w:tab w:val="clear" w:pos="2268"/>
          <w:tab w:val="clear" w:pos="2313"/>
          <w:tab w:val="num" w:pos="1560"/>
          <w:tab w:val="num" w:pos="2880"/>
        </w:tabs>
        <w:ind w:left="1701" w:hanging="567"/>
      </w:pPr>
      <w:r>
        <w:t>the applicant:</w:t>
      </w:r>
    </w:p>
    <w:p w14:paraId="73632D64" w14:textId="77777777" w:rsidR="0006366B" w:rsidRDefault="0006366B" w:rsidP="0006366B">
      <w:pPr>
        <w:pStyle w:val="ScheduleNumberedPara"/>
        <w:numPr>
          <w:ilvl w:val="4"/>
          <w:numId w:val="31"/>
        </w:numPr>
        <w:tabs>
          <w:tab w:val="clear" w:pos="567"/>
          <w:tab w:val="clear" w:pos="1086"/>
          <w:tab w:val="clear" w:pos="1134"/>
          <w:tab w:val="clear" w:pos="1440"/>
          <w:tab w:val="clear" w:pos="1701"/>
          <w:tab w:val="num" w:pos="2880"/>
        </w:tabs>
        <w:ind w:left="2268" w:hanging="567"/>
      </w:pPr>
      <w:r>
        <w:t>submitting a farm management plan that describes the proposal and benefits in the context of the farm business;</w:t>
      </w:r>
    </w:p>
    <w:p w14:paraId="3ED157A1" w14:textId="77777777" w:rsidR="0006366B" w:rsidRDefault="0006366B" w:rsidP="0006366B">
      <w:pPr>
        <w:pStyle w:val="ScheduleNumberedPara"/>
        <w:numPr>
          <w:ilvl w:val="4"/>
          <w:numId w:val="31"/>
        </w:numPr>
        <w:tabs>
          <w:tab w:val="clear" w:pos="567"/>
          <w:tab w:val="clear" w:pos="1086"/>
          <w:tab w:val="clear" w:pos="1134"/>
          <w:tab w:val="clear" w:pos="1440"/>
          <w:tab w:val="clear" w:pos="1701"/>
          <w:tab w:val="num" w:pos="2880"/>
        </w:tabs>
        <w:ind w:left="2268" w:hanging="567"/>
      </w:pPr>
      <w:r>
        <w:t>being a property owner undertaking, or proposing to undertake irrigation on agricultural land;</w:t>
      </w:r>
    </w:p>
    <w:p w14:paraId="001B9089" w14:textId="77777777" w:rsidR="0006366B" w:rsidRDefault="0006366B" w:rsidP="0006366B">
      <w:pPr>
        <w:pStyle w:val="ScheduleNumberedPara"/>
        <w:numPr>
          <w:ilvl w:val="4"/>
          <w:numId w:val="31"/>
        </w:numPr>
        <w:tabs>
          <w:tab w:val="clear" w:pos="567"/>
          <w:tab w:val="clear" w:pos="1086"/>
          <w:tab w:val="clear" w:pos="1134"/>
          <w:tab w:val="clear" w:pos="1440"/>
          <w:tab w:val="clear" w:pos="1701"/>
          <w:tab w:val="num" w:pos="2880"/>
        </w:tabs>
        <w:ind w:left="2268" w:hanging="567"/>
      </w:pPr>
      <w:r>
        <w:t>having a property located in the Lindenow Valley and immediate surrounds;</w:t>
      </w:r>
    </w:p>
    <w:p w14:paraId="3C849177" w14:textId="63CAEC70" w:rsidR="0006366B" w:rsidRDefault="0006366B" w:rsidP="0006366B">
      <w:pPr>
        <w:pStyle w:val="ScheduleNumberedPara"/>
        <w:numPr>
          <w:ilvl w:val="4"/>
          <w:numId w:val="31"/>
        </w:numPr>
        <w:tabs>
          <w:tab w:val="clear" w:pos="567"/>
          <w:tab w:val="clear" w:pos="1086"/>
          <w:tab w:val="clear" w:pos="1134"/>
          <w:tab w:val="clear" w:pos="1440"/>
          <w:tab w:val="clear" w:pos="1701"/>
          <w:tab w:val="num" w:pos="2880"/>
        </w:tabs>
        <w:ind w:left="2268" w:hanging="567"/>
      </w:pPr>
      <w:r>
        <w:t xml:space="preserve">holding a </w:t>
      </w:r>
      <w:r w:rsidR="0020396E" w:rsidRPr="00B27B7C">
        <w:t>licence</w:t>
      </w:r>
      <w:r w:rsidR="0020396E">
        <w:t xml:space="preserve"> to take and use water under section 51 of the </w:t>
      </w:r>
      <w:r w:rsidR="0020396E" w:rsidRPr="00897369">
        <w:rPr>
          <w:i/>
        </w:rPr>
        <w:t xml:space="preserve">Water Act 1989 (Vic) </w:t>
      </w:r>
      <w:r>
        <w:t xml:space="preserve">for the Mitchell River Catchment or </w:t>
      </w:r>
      <w:r w:rsidR="00C17309">
        <w:t>provides evidence of</w:t>
      </w:r>
      <w:r>
        <w:t xml:space="preserve"> a </w:t>
      </w:r>
      <w:r w:rsidR="0020396E" w:rsidRPr="00B27B7C">
        <w:t>licence</w:t>
      </w:r>
      <w:r w:rsidR="0020396E">
        <w:t xml:space="preserve"> to take and use water under section 51 of the </w:t>
      </w:r>
      <w:r w:rsidR="0020396E" w:rsidRPr="00897369">
        <w:rPr>
          <w:i/>
        </w:rPr>
        <w:t>Water Act 1989 (Vic)</w:t>
      </w:r>
      <w:r w:rsidR="0020396E">
        <w:t xml:space="preserve"> </w:t>
      </w:r>
      <w:r>
        <w:t>prior to constructing any infrastructure;</w:t>
      </w:r>
    </w:p>
    <w:p w14:paraId="44CD56D3" w14:textId="1170DA2C" w:rsidR="005A20E2" w:rsidRDefault="005A20E2" w:rsidP="005A20E2">
      <w:pPr>
        <w:pStyle w:val="ScheduleNumberedPara"/>
        <w:numPr>
          <w:ilvl w:val="4"/>
          <w:numId w:val="31"/>
        </w:numPr>
        <w:tabs>
          <w:tab w:val="clear" w:pos="567"/>
          <w:tab w:val="clear" w:pos="1086"/>
          <w:tab w:val="clear" w:pos="1134"/>
          <w:tab w:val="clear" w:pos="1440"/>
          <w:tab w:val="clear" w:pos="1701"/>
          <w:tab w:val="num" w:pos="2880"/>
        </w:tabs>
        <w:ind w:left="2268" w:hanging="567"/>
      </w:pPr>
      <w:r>
        <w:t xml:space="preserve">holding a ground water </w:t>
      </w:r>
      <w:r w:rsidR="007A41A1">
        <w:t xml:space="preserve">licence </w:t>
      </w:r>
      <w:r>
        <w:t>in the Lindenow Valley</w:t>
      </w:r>
      <w:r w:rsidR="00DF147A">
        <w:t xml:space="preserve"> or </w:t>
      </w:r>
      <w:r w:rsidR="00905930">
        <w:t>provides evidence of a</w:t>
      </w:r>
      <w:r>
        <w:t xml:space="preserve"> </w:t>
      </w:r>
      <w:r w:rsidR="00DF147A">
        <w:t xml:space="preserve">ground water </w:t>
      </w:r>
      <w:r w:rsidR="007A41A1">
        <w:t xml:space="preserve">licence </w:t>
      </w:r>
      <w:r>
        <w:t>prior to constructing any infrastructure;</w:t>
      </w:r>
    </w:p>
    <w:p w14:paraId="1488C7A7" w14:textId="77777777" w:rsidR="0006366B" w:rsidRDefault="0006366B" w:rsidP="0006366B">
      <w:pPr>
        <w:pStyle w:val="ScheduleNumberedPara"/>
        <w:numPr>
          <w:ilvl w:val="4"/>
          <w:numId w:val="31"/>
        </w:numPr>
        <w:tabs>
          <w:tab w:val="clear" w:pos="567"/>
          <w:tab w:val="clear" w:pos="1086"/>
          <w:tab w:val="clear" w:pos="1134"/>
          <w:tab w:val="clear" w:pos="1440"/>
          <w:tab w:val="clear" w:pos="1701"/>
          <w:tab w:val="num" w:pos="2880"/>
        </w:tabs>
        <w:ind w:left="2268" w:hanging="567"/>
      </w:pPr>
      <w:r>
        <w:t>being a primary producer and registered as such with the Australian Taxation Office; and</w:t>
      </w:r>
    </w:p>
    <w:p w14:paraId="5E6013D4" w14:textId="4498B902" w:rsidR="0006366B" w:rsidRDefault="0006366B" w:rsidP="0006366B">
      <w:pPr>
        <w:pStyle w:val="ScheduleNumberedPara"/>
        <w:numPr>
          <w:ilvl w:val="4"/>
          <w:numId w:val="31"/>
        </w:numPr>
        <w:tabs>
          <w:tab w:val="clear" w:pos="567"/>
          <w:tab w:val="clear" w:pos="1086"/>
          <w:tab w:val="clear" w:pos="1134"/>
          <w:tab w:val="clear" w:pos="1440"/>
          <w:tab w:val="clear" w:pos="1701"/>
          <w:tab w:val="num" w:pos="2880"/>
        </w:tabs>
        <w:ind w:left="2268" w:hanging="567"/>
      </w:pPr>
      <w:r>
        <w:t xml:space="preserve">having all planning and </w:t>
      </w:r>
      <w:r w:rsidR="007A41A1">
        <w:t xml:space="preserve">licence </w:t>
      </w:r>
      <w:r>
        <w:t>approvals sufficient for the full utilisation of the infrastructure proposed</w:t>
      </w:r>
      <w:r w:rsidR="00DF147A">
        <w:t>, prior to submitting an application</w:t>
      </w:r>
      <w:r>
        <w:t>.</w:t>
      </w:r>
    </w:p>
    <w:p w14:paraId="26E594C4" w14:textId="77777777" w:rsidR="00482908" w:rsidRDefault="00520583" w:rsidP="00520583">
      <w:pPr>
        <w:pStyle w:val="ScheduleNumberedPara"/>
        <w:numPr>
          <w:ilvl w:val="3"/>
          <w:numId w:val="31"/>
        </w:numPr>
        <w:tabs>
          <w:tab w:val="clear" w:pos="567"/>
          <w:tab w:val="clear" w:pos="1086"/>
          <w:tab w:val="clear" w:pos="1134"/>
          <w:tab w:val="clear" w:pos="1440"/>
          <w:tab w:val="clear" w:pos="2268"/>
          <w:tab w:val="clear" w:pos="2313"/>
          <w:tab w:val="num" w:pos="1560"/>
          <w:tab w:val="num" w:pos="2880"/>
        </w:tabs>
        <w:ind w:left="1701" w:hanging="567"/>
      </w:pPr>
      <w:r>
        <w:t>e</w:t>
      </w:r>
      <w:r w:rsidR="00482908">
        <w:t>ligible works and water infrastructure include;</w:t>
      </w:r>
    </w:p>
    <w:p w14:paraId="5088FA7E" w14:textId="5DED5109" w:rsidR="000F6B1D"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w</w:t>
      </w:r>
      <w:r w:rsidR="00C37F5B">
        <w:t>ater storage – dam</w:t>
      </w:r>
      <w:r w:rsidR="00CB4C53">
        <w:t>;</w:t>
      </w:r>
    </w:p>
    <w:p w14:paraId="110F493B" w14:textId="77777777" w:rsidR="00C37F5B"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d</w:t>
      </w:r>
      <w:r w:rsidR="00C37F5B">
        <w:t>esign and planning permits as required</w:t>
      </w:r>
      <w:r w:rsidR="00CB4C53">
        <w:t>;</w:t>
      </w:r>
    </w:p>
    <w:p w14:paraId="12791DED" w14:textId="77777777" w:rsidR="00C37F5B"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d</w:t>
      </w:r>
      <w:r w:rsidR="00C37F5B">
        <w:t>rilling of new bores able to produce a sustainable yield for irrigation purposes and associated power supply</w:t>
      </w:r>
      <w:r w:rsidR="00CB4C53">
        <w:t>;</w:t>
      </w:r>
    </w:p>
    <w:p w14:paraId="4B7DB722" w14:textId="50FDDF92" w:rsidR="00C37F5B"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w</w:t>
      </w:r>
      <w:r w:rsidR="00C37F5B">
        <w:t xml:space="preserve">ater supply pipelines for transfer of water to the storage facility and back to the </w:t>
      </w:r>
      <w:r w:rsidR="00711BCD">
        <w:t xml:space="preserve">farm </w:t>
      </w:r>
      <w:r w:rsidR="00C37F5B">
        <w:t>mains distribution point</w:t>
      </w:r>
      <w:r w:rsidR="00CB4C53">
        <w:t>; and</w:t>
      </w:r>
    </w:p>
    <w:p w14:paraId="30E7695F" w14:textId="77777777" w:rsidR="00C37F5B"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w</w:t>
      </w:r>
      <w:r w:rsidR="00C37F5B">
        <w:t>ater pumps for the transfer of water to, and from, the storage facility.</w:t>
      </w:r>
    </w:p>
    <w:p w14:paraId="38C22912" w14:textId="77777777" w:rsidR="00C37F5B" w:rsidRDefault="00520583" w:rsidP="00520583">
      <w:pPr>
        <w:pStyle w:val="ScheduleNumberedPara"/>
        <w:numPr>
          <w:ilvl w:val="3"/>
          <w:numId w:val="31"/>
        </w:numPr>
        <w:tabs>
          <w:tab w:val="clear" w:pos="567"/>
          <w:tab w:val="clear" w:pos="1086"/>
          <w:tab w:val="clear" w:pos="1134"/>
          <w:tab w:val="clear" w:pos="1440"/>
          <w:tab w:val="clear" w:pos="2268"/>
          <w:tab w:val="clear" w:pos="2313"/>
          <w:tab w:val="num" w:pos="1560"/>
          <w:tab w:val="num" w:pos="2880"/>
        </w:tabs>
        <w:ind w:left="1701" w:hanging="567"/>
      </w:pPr>
      <w:r>
        <w:t>i</w:t>
      </w:r>
      <w:r w:rsidR="00C37F5B">
        <w:t>neligible works and water infrastructure include;</w:t>
      </w:r>
    </w:p>
    <w:p w14:paraId="0BAE5CED" w14:textId="77777777" w:rsidR="00C37F5B"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d</w:t>
      </w:r>
      <w:r w:rsidR="00C37F5B">
        <w:t>esilting works of existing water storage facilities</w:t>
      </w:r>
      <w:r w:rsidR="00CB4C53">
        <w:t>;</w:t>
      </w:r>
    </w:p>
    <w:p w14:paraId="3B2FAB37" w14:textId="7F46F293" w:rsidR="00C37F5B"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s</w:t>
      </w:r>
      <w:r w:rsidR="00C37F5B">
        <w:t>mall scale water storage</w:t>
      </w:r>
      <w:r w:rsidR="00CB4C53">
        <w:t>;</w:t>
      </w:r>
    </w:p>
    <w:p w14:paraId="2EC842E2" w14:textId="77777777" w:rsidR="00C37F5B"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i</w:t>
      </w:r>
      <w:r w:rsidR="00C37F5B">
        <w:t>rrigation delivery infrastructure such as sprinklers, centre pivots etc</w:t>
      </w:r>
      <w:r w:rsidR="00CB4C53">
        <w:t>;</w:t>
      </w:r>
    </w:p>
    <w:p w14:paraId="53BAB323" w14:textId="77777777" w:rsidR="00C37F5B"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p</w:t>
      </w:r>
      <w:r w:rsidR="00C37F5B">
        <w:t>urchase of water</w:t>
      </w:r>
      <w:r w:rsidR="00CB4C53">
        <w:t>;</w:t>
      </w:r>
    </w:p>
    <w:p w14:paraId="3C773A27" w14:textId="62C95039" w:rsidR="00D51404" w:rsidRDefault="00D51404"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 xml:space="preserve">interest payments </w:t>
      </w:r>
      <w:r w:rsidR="00262BA4">
        <w:t xml:space="preserve">or fees </w:t>
      </w:r>
      <w:r>
        <w:t>associated with loans or debt relating to the project;</w:t>
      </w:r>
    </w:p>
    <w:p w14:paraId="44FECE59" w14:textId="77777777" w:rsidR="00C37F5B"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o</w:t>
      </w:r>
      <w:r w:rsidR="00C37F5B">
        <w:t>ngoing costs associated with irrigation infrastructure and licences</w:t>
      </w:r>
      <w:r w:rsidR="00CB4C53">
        <w:t>; and</w:t>
      </w:r>
    </w:p>
    <w:p w14:paraId="7E3F008C" w14:textId="77777777" w:rsidR="00C37F5B" w:rsidRDefault="00272FE2" w:rsidP="00520583">
      <w:pPr>
        <w:pStyle w:val="ScheduleNumberedPara"/>
        <w:numPr>
          <w:ilvl w:val="4"/>
          <w:numId w:val="31"/>
        </w:numPr>
        <w:tabs>
          <w:tab w:val="clear" w:pos="567"/>
          <w:tab w:val="clear" w:pos="1086"/>
          <w:tab w:val="clear" w:pos="1134"/>
          <w:tab w:val="clear" w:pos="1440"/>
          <w:tab w:val="clear" w:pos="1701"/>
          <w:tab w:val="num" w:pos="2880"/>
        </w:tabs>
        <w:ind w:left="2268" w:hanging="567"/>
      </w:pPr>
      <w:r>
        <w:t>i</w:t>
      </w:r>
      <w:r w:rsidR="00C37F5B">
        <w:t>nfrastructure installed prior to 10 April 2019.</w:t>
      </w:r>
    </w:p>
    <w:p w14:paraId="5205015B" w14:textId="77777777" w:rsidR="00042CF5" w:rsidRDefault="00042CF5" w:rsidP="00CE7466">
      <w:pPr>
        <w:pStyle w:val="ScheduleNumberedPara"/>
        <w:numPr>
          <w:ilvl w:val="0"/>
          <w:numId w:val="0"/>
        </w:numPr>
        <w:tabs>
          <w:tab w:val="clear" w:pos="567"/>
          <w:tab w:val="clear" w:pos="1086"/>
          <w:tab w:val="clear" w:pos="1134"/>
          <w:tab w:val="clear" w:pos="1440"/>
          <w:tab w:val="clear" w:pos="1701"/>
          <w:tab w:val="clear" w:pos="2268"/>
          <w:tab w:val="num" w:pos="2880"/>
        </w:tabs>
        <w:ind w:left="360" w:hanging="360"/>
      </w:pPr>
    </w:p>
    <w:sectPr w:rsidR="00042CF5" w:rsidSect="00794C8E">
      <w:headerReference w:type="first" r:id="rId14"/>
      <w:type w:val="oddPage"/>
      <w:pgSz w:w="11906" w:h="16838" w:code="9"/>
      <w:pgMar w:top="1418" w:right="1134" w:bottom="1134" w:left="1134" w:header="709" w:footer="709" w:gutter="0"/>
      <w:pgNumType w:chapStyle="9"/>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9E940" w16cid:durableId="2194B438"/>
  <w16cid:commentId w16cid:paraId="5F06F661" w16cid:durableId="216D35D3"/>
  <w16cid:commentId w16cid:paraId="10312029" w16cid:durableId="2173C8A3"/>
  <w16cid:commentId w16cid:paraId="1CC11AB1" w16cid:durableId="217406DE"/>
  <w16cid:commentId w16cid:paraId="2782E431" w16cid:durableId="2193B2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C972" w14:textId="77777777" w:rsidR="00836776" w:rsidRDefault="00836776">
      <w:r>
        <w:separator/>
      </w:r>
    </w:p>
  </w:endnote>
  <w:endnote w:type="continuationSeparator" w:id="0">
    <w:p w14:paraId="2945B6CC" w14:textId="77777777" w:rsidR="00836776" w:rsidRDefault="00836776">
      <w:r>
        <w:continuationSeparator/>
      </w:r>
    </w:p>
  </w:endnote>
  <w:endnote w:type="continuationNotice" w:id="1">
    <w:p w14:paraId="1301B753" w14:textId="77777777" w:rsidR="00836776" w:rsidRDefault="00836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12129" w14:textId="77777777" w:rsidR="00836776" w:rsidRDefault="00836776">
      <w:r>
        <w:separator/>
      </w:r>
    </w:p>
  </w:footnote>
  <w:footnote w:type="continuationSeparator" w:id="0">
    <w:p w14:paraId="6D65C038" w14:textId="77777777" w:rsidR="00836776" w:rsidRDefault="00836776">
      <w:r>
        <w:continuationSeparator/>
      </w:r>
    </w:p>
  </w:footnote>
  <w:footnote w:type="continuationNotice" w:id="1">
    <w:p w14:paraId="615A6C81" w14:textId="77777777" w:rsidR="00836776" w:rsidRDefault="008367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7A96" w14:textId="77777777" w:rsidR="00F301F2" w:rsidRPr="00814590" w:rsidRDefault="00F301F2" w:rsidP="0036474E">
    <w:pPr>
      <w:pStyle w:val="HeaderOdd"/>
      <w:tabs>
        <w:tab w:val="num" w:pos="1134"/>
      </w:tabs>
      <w:rPr>
        <w:color w:val="800000"/>
      </w:rPr>
    </w:pPr>
    <w:r w:rsidRPr="00B83BD4">
      <w:rPr>
        <w:color w:val="A6A6A6" w:themeColor="background1" w:themeShade="A6"/>
      </w:rPr>
      <w:t>Project Agreemen</w:t>
    </w:r>
    <w:r w:rsidR="00F62D68" w:rsidRPr="00B83BD4">
      <w:rPr>
        <w:color w:val="A6A6A6" w:themeColor="background1" w:themeShade="A6"/>
      </w:rPr>
      <w:t xml:space="preserve">t for Lindenow Valley Water Security </w:t>
    </w:r>
    <w:r w:rsidR="00AF4FD9" w:rsidRPr="00B83BD4">
      <w:rPr>
        <w:color w:val="A6A6A6" w:themeColor="background1" w:themeShade="A6"/>
      </w:rPr>
      <w:t>Scheme</w:t>
    </w:r>
  </w:p>
  <w:p w14:paraId="18448A9C" w14:textId="77777777" w:rsidR="00F301F2" w:rsidRPr="00751725" w:rsidRDefault="00F301F2"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ScheduleNumberedPara"/>
      <w:lvlText w:val=""/>
      <w:lvlJc w:val="left"/>
      <w:pPr>
        <w:tabs>
          <w:tab w:val="num" w:pos="360"/>
        </w:tabs>
        <w:ind w:left="360" w:hanging="360"/>
      </w:pPr>
      <w:rPr>
        <w:rFonts w:ascii="Symbol" w:hAnsi="Symbol" w:hint="default"/>
      </w:rPr>
    </w:lvl>
  </w:abstractNum>
  <w:abstractNum w:abstractNumId="1" w15:restartNumberingAfterBreak="0">
    <w:nsid w:val="0050283A"/>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3C934FA"/>
    <w:multiLevelType w:val="hybridMultilevel"/>
    <w:tmpl w:val="30D24E00"/>
    <w:lvl w:ilvl="0" w:tplc="0C090001">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6D31848"/>
    <w:multiLevelType w:val="hybridMultilevel"/>
    <w:tmpl w:val="095670C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15:restartNumberingAfterBreak="0">
    <w:nsid w:val="467958A1"/>
    <w:multiLevelType w:val="multilevel"/>
    <w:tmpl w:val="4796CDC2"/>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CB16DF6"/>
    <w:multiLevelType w:val="hybridMultilevel"/>
    <w:tmpl w:val="A0B26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4"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9"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0" w15:restartNumberingAfterBreak="0">
    <w:nsid w:val="78854AAC"/>
    <w:multiLevelType w:val="hybridMultilevel"/>
    <w:tmpl w:val="E4D8E3E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13"/>
  </w:num>
  <w:num w:numId="22">
    <w:abstractNumId w:val="15"/>
  </w:num>
  <w:num w:numId="23">
    <w:abstractNumId w:val="4"/>
  </w:num>
  <w:num w:numId="24">
    <w:abstractNumId w:val="17"/>
  </w:num>
  <w:num w:numId="25">
    <w:abstractNumId w:val="5"/>
  </w:num>
  <w:num w:numId="26">
    <w:abstractNumId w:val="9"/>
  </w:num>
  <w:num w:numId="27">
    <w:abstractNumId w:val="20"/>
  </w:num>
  <w:num w:numId="28">
    <w:abstractNumId w:val="2"/>
  </w:num>
  <w:num w:numId="29">
    <w:abstractNumId w:val="14"/>
  </w:num>
  <w:num w:numId="30">
    <w:abstractNumId w:val="18"/>
  </w:num>
  <w:num w:numId="31">
    <w:abstractNumId w:val="11"/>
  </w:num>
  <w:num w:numId="32">
    <w:abstractNumId w:val="16"/>
  </w:num>
  <w:num w:numId="33">
    <w:abstractNumId w:val="19"/>
  </w:num>
  <w:num w:numId="34">
    <w:abstractNumId w:val="6"/>
  </w:num>
  <w:num w:numId="35">
    <w:abstractNumId w:val="1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0"/>
  </w:num>
  <w:num w:numId="40">
    <w:abstractNumId w:val="8"/>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3"/>
  </w:num>
  <w:num w:numId="4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0891"/>
    <w:rsid w:val="00001637"/>
    <w:rsid w:val="00003853"/>
    <w:rsid w:val="00004B4E"/>
    <w:rsid w:val="00005A5D"/>
    <w:rsid w:val="000076D9"/>
    <w:rsid w:val="00013C5F"/>
    <w:rsid w:val="0001440C"/>
    <w:rsid w:val="000154AB"/>
    <w:rsid w:val="0001673F"/>
    <w:rsid w:val="00021708"/>
    <w:rsid w:val="00023C79"/>
    <w:rsid w:val="00026248"/>
    <w:rsid w:val="00030CB2"/>
    <w:rsid w:val="000343F1"/>
    <w:rsid w:val="0003515D"/>
    <w:rsid w:val="00035E5E"/>
    <w:rsid w:val="000410DD"/>
    <w:rsid w:val="00041A4F"/>
    <w:rsid w:val="00042CF5"/>
    <w:rsid w:val="00044700"/>
    <w:rsid w:val="000461CF"/>
    <w:rsid w:val="00050F15"/>
    <w:rsid w:val="0006051B"/>
    <w:rsid w:val="000614F9"/>
    <w:rsid w:val="0006366B"/>
    <w:rsid w:val="0006451A"/>
    <w:rsid w:val="0006551D"/>
    <w:rsid w:val="00065679"/>
    <w:rsid w:val="0007004C"/>
    <w:rsid w:val="00071D97"/>
    <w:rsid w:val="000724F6"/>
    <w:rsid w:val="00074611"/>
    <w:rsid w:val="00074A62"/>
    <w:rsid w:val="00074F50"/>
    <w:rsid w:val="00086712"/>
    <w:rsid w:val="00091DF8"/>
    <w:rsid w:val="00093CB6"/>
    <w:rsid w:val="00093DD8"/>
    <w:rsid w:val="00096307"/>
    <w:rsid w:val="00096C8B"/>
    <w:rsid w:val="00097794"/>
    <w:rsid w:val="000A0C9E"/>
    <w:rsid w:val="000A27A5"/>
    <w:rsid w:val="000A5191"/>
    <w:rsid w:val="000A6701"/>
    <w:rsid w:val="000B4080"/>
    <w:rsid w:val="000B461B"/>
    <w:rsid w:val="000B6282"/>
    <w:rsid w:val="000B7685"/>
    <w:rsid w:val="000B76B5"/>
    <w:rsid w:val="000C00ED"/>
    <w:rsid w:val="000C257B"/>
    <w:rsid w:val="000C714F"/>
    <w:rsid w:val="000D19D8"/>
    <w:rsid w:val="000D1C37"/>
    <w:rsid w:val="000D4377"/>
    <w:rsid w:val="000D4EA1"/>
    <w:rsid w:val="000E02A4"/>
    <w:rsid w:val="000E075D"/>
    <w:rsid w:val="000E2AF6"/>
    <w:rsid w:val="000E36B7"/>
    <w:rsid w:val="000E3C70"/>
    <w:rsid w:val="000E48C3"/>
    <w:rsid w:val="000F0880"/>
    <w:rsid w:val="000F25D5"/>
    <w:rsid w:val="000F6B1D"/>
    <w:rsid w:val="000F6CF6"/>
    <w:rsid w:val="001027DF"/>
    <w:rsid w:val="001029D9"/>
    <w:rsid w:val="00103FD6"/>
    <w:rsid w:val="001040D7"/>
    <w:rsid w:val="001065EE"/>
    <w:rsid w:val="00110F5D"/>
    <w:rsid w:val="001134AC"/>
    <w:rsid w:val="00115166"/>
    <w:rsid w:val="00115A97"/>
    <w:rsid w:val="001209CB"/>
    <w:rsid w:val="00122DBA"/>
    <w:rsid w:val="001262B5"/>
    <w:rsid w:val="00132587"/>
    <w:rsid w:val="001404A9"/>
    <w:rsid w:val="00140F43"/>
    <w:rsid w:val="00142F0E"/>
    <w:rsid w:val="00145481"/>
    <w:rsid w:val="00145D5C"/>
    <w:rsid w:val="00151133"/>
    <w:rsid w:val="00154669"/>
    <w:rsid w:val="001557C1"/>
    <w:rsid w:val="00160506"/>
    <w:rsid w:val="0016131F"/>
    <w:rsid w:val="001629FA"/>
    <w:rsid w:val="00165CAB"/>
    <w:rsid w:val="00166312"/>
    <w:rsid w:val="00167BB8"/>
    <w:rsid w:val="00172360"/>
    <w:rsid w:val="00172E3A"/>
    <w:rsid w:val="00173F81"/>
    <w:rsid w:val="00174C2A"/>
    <w:rsid w:val="00175FB9"/>
    <w:rsid w:val="00177A0A"/>
    <w:rsid w:val="00180AAB"/>
    <w:rsid w:val="00180F76"/>
    <w:rsid w:val="00183EAB"/>
    <w:rsid w:val="00185CC1"/>
    <w:rsid w:val="00187BEB"/>
    <w:rsid w:val="001905CA"/>
    <w:rsid w:val="00190E3F"/>
    <w:rsid w:val="0019221E"/>
    <w:rsid w:val="001931E8"/>
    <w:rsid w:val="00194232"/>
    <w:rsid w:val="00194587"/>
    <w:rsid w:val="00195EA1"/>
    <w:rsid w:val="0019644D"/>
    <w:rsid w:val="001978D9"/>
    <w:rsid w:val="001A1422"/>
    <w:rsid w:val="001A14C1"/>
    <w:rsid w:val="001A3A9A"/>
    <w:rsid w:val="001A3F52"/>
    <w:rsid w:val="001A4093"/>
    <w:rsid w:val="001A5D6F"/>
    <w:rsid w:val="001A79C1"/>
    <w:rsid w:val="001A7A15"/>
    <w:rsid w:val="001B19A0"/>
    <w:rsid w:val="001B1CA3"/>
    <w:rsid w:val="001B447F"/>
    <w:rsid w:val="001B580E"/>
    <w:rsid w:val="001B7313"/>
    <w:rsid w:val="001B7933"/>
    <w:rsid w:val="001C346E"/>
    <w:rsid w:val="001C3717"/>
    <w:rsid w:val="001C5CC5"/>
    <w:rsid w:val="001D2C27"/>
    <w:rsid w:val="001D3CAD"/>
    <w:rsid w:val="001D6E9A"/>
    <w:rsid w:val="001E20EC"/>
    <w:rsid w:val="001E4479"/>
    <w:rsid w:val="001E7173"/>
    <w:rsid w:val="001E74D0"/>
    <w:rsid w:val="001E7803"/>
    <w:rsid w:val="001F1D48"/>
    <w:rsid w:val="001F23EB"/>
    <w:rsid w:val="001F6F39"/>
    <w:rsid w:val="001F6FE8"/>
    <w:rsid w:val="0020144E"/>
    <w:rsid w:val="0020396E"/>
    <w:rsid w:val="00205E18"/>
    <w:rsid w:val="00206773"/>
    <w:rsid w:val="002069F9"/>
    <w:rsid w:val="002112D3"/>
    <w:rsid w:val="00212869"/>
    <w:rsid w:val="0021552F"/>
    <w:rsid w:val="00216E26"/>
    <w:rsid w:val="00221308"/>
    <w:rsid w:val="00222C97"/>
    <w:rsid w:val="00222C9D"/>
    <w:rsid w:val="00225761"/>
    <w:rsid w:val="00230EC8"/>
    <w:rsid w:val="00233835"/>
    <w:rsid w:val="00233C53"/>
    <w:rsid w:val="0023410E"/>
    <w:rsid w:val="00236A42"/>
    <w:rsid w:val="00237F93"/>
    <w:rsid w:val="00241EE9"/>
    <w:rsid w:val="00244500"/>
    <w:rsid w:val="00247D45"/>
    <w:rsid w:val="0025088B"/>
    <w:rsid w:val="00252551"/>
    <w:rsid w:val="00257A4E"/>
    <w:rsid w:val="00260F4B"/>
    <w:rsid w:val="00261ABA"/>
    <w:rsid w:val="00262BA4"/>
    <w:rsid w:val="00262E18"/>
    <w:rsid w:val="0026413D"/>
    <w:rsid w:val="00265157"/>
    <w:rsid w:val="0026571E"/>
    <w:rsid w:val="00272FE2"/>
    <w:rsid w:val="002816AF"/>
    <w:rsid w:val="00281874"/>
    <w:rsid w:val="00281E7E"/>
    <w:rsid w:val="00282C25"/>
    <w:rsid w:val="00284884"/>
    <w:rsid w:val="00285003"/>
    <w:rsid w:val="002869F5"/>
    <w:rsid w:val="00287DCC"/>
    <w:rsid w:val="00291CF1"/>
    <w:rsid w:val="00292587"/>
    <w:rsid w:val="002930D3"/>
    <w:rsid w:val="00295127"/>
    <w:rsid w:val="00296F40"/>
    <w:rsid w:val="00297862"/>
    <w:rsid w:val="002A06DB"/>
    <w:rsid w:val="002A143D"/>
    <w:rsid w:val="002A3DE9"/>
    <w:rsid w:val="002A493A"/>
    <w:rsid w:val="002A530A"/>
    <w:rsid w:val="002A5884"/>
    <w:rsid w:val="002A6981"/>
    <w:rsid w:val="002A7CAC"/>
    <w:rsid w:val="002B1C50"/>
    <w:rsid w:val="002B207C"/>
    <w:rsid w:val="002B4216"/>
    <w:rsid w:val="002B7922"/>
    <w:rsid w:val="002B7E1B"/>
    <w:rsid w:val="002C2529"/>
    <w:rsid w:val="002C2A03"/>
    <w:rsid w:val="002C62B3"/>
    <w:rsid w:val="002C6CD0"/>
    <w:rsid w:val="002C7620"/>
    <w:rsid w:val="002D122C"/>
    <w:rsid w:val="002D4861"/>
    <w:rsid w:val="002D7CF9"/>
    <w:rsid w:val="002E0197"/>
    <w:rsid w:val="002E144A"/>
    <w:rsid w:val="002E2DE2"/>
    <w:rsid w:val="002E4B66"/>
    <w:rsid w:val="002E730F"/>
    <w:rsid w:val="002E7C36"/>
    <w:rsid w:val="002F47E8"/>
    <w:rsid w:val="002F576E"/>
    <w:rsid w:val="002F5B29"/>
    <w:rsid w:val="002F5B54"/>
    <w:rsid w:val="002F5C6C"/>
    <w:rsid w:val="002F6B14"/>
    <w:rsid w:val="002F7E40"/>
    <w:rsid w:val="003012DA"/>
    <w:rsid w:val="00304327"/>
    <w:rsid w:val="00307C5C"/>
    <w:rsid w:val="00312CFE"/>
    <w:rsid w:val="00313480"/>
    <w:rsid w:val="00313C98"/>
    <w:rsid w:val="00313FD9"/>
    <w:rsid w:val="003155BD"/>
    <w:rsid w:val="003177B9"/>
    <w:rsid w:val="00321E0A"/>
    <w:rsid w:val="00331032"/>
    <w:rsid w:val="00333506"/>
    <w:rsid w:val="00336056"/>
    <w:rsid w:val="00340702"/>
    <w:rsid w:val="00340987"/>
    <w:rsid w:val="003410AA"/>
    <w:rsid w:val="0034465F"/>
    <w:rsid w:val="00352A6B"/>
    <w:rsid w:val="00352C49"/>
    <w:rsid w:val="00352EC1"/>
    <w:rsid w:val="00353FEE"/>
    <w:rsid w:val="00355529"/>
    <w:rsid w:val="00356ECB"/>
    <w:rsid w:val="00361054"/>
    <w:rsid w:val="0036119D"/>
    <w:rsid w:val="003637A0"/>
    <w:rsid w:val="0036474E"/>
    <w:rsid w:val="00364CF3"/>
    <w:rsid w:val="00365CAA"/>
    <w:rsid w:val="00367EAB"/>
    <w:rsid w:val="003724E9"/>
    <w:rsid w:val="00372573"/>
    <w:rsid w:val="00375087"/>
    <w:rsid w:val="003754CE"/>
    <w:rsid w:val="003769B0"/>
    <w:rsid w:val="00377AB2"/>
    <w:rsid w:val="003877C3"/>
    <w:rsid w:val="0039283B"/>
    <w:rsid w:val="00396EA4"/>
    <w:rsid w:val="003A2157"/>
    <w:rsid w:val="003A222B"/>
    <w:rsid w:val="003A3363"/>
    <w:rsid w:val="003A3905"/>
    <w:rsid w:val="003A3CC1"/>
    <w:rsid w:val="003A55ED"/>
    <w:rsid w:val="003A6635"/>
    <w:rsid w:val="003A6B0E"/>
    <w:rsid w:val="003A78C6"/>
    <w:rsid w:val="003B0F99"/>
    <w:rsid w:val="003B32B4"/>
    <w:rsid w:val="003B5562"/>
    <w:rsid w:val="003B6363"/>
    <w:rsid w:val="003B737F"/>
    <w:rsid w:val="003C0CF7"/>
    <w:rsid w:val="003C2E5D"/>
    <w:rsid w:val="003C3E80"/>
    <w:rsid w:val="003C59E0"/>
    <w:rsid w:val="003C6F2A"/>
    <w:rsid w:val="003C746E"/>
    <w:rsid w:val="003D44A5"/>
    <w:rsid w:val="003D5B5F"/>
    <w:rsid w:val="003D743C"/>
    <w:rsid w:val="003E33BA"/>
    <w:rsid w:val="003E6530"/>
    <w:rsid w:val="003E6BA0"/>
    <w:rsid w:val="003E73DB"/>
    <w:rsid w:val="003F0659"/>
    <w:rsid w:val="003F0ADC"/>
    <w:rsid w:val="003F21C4"/>
    <w:rsid w:val="003F59E6"/>
    <w:rsid w:val="003F5BE6"/>
    <w:rsid w:val="003F6C00"/>
    <w:rsid w:val="004032A0"/>
    <w:rsid w:val="004120B1"/>
    <w:rsid w:val="00412590"/>
    <w:rsid w:val="004126A1"/>
    <w:rsid w:val="00413E74"/>
    <w:rsid w:val="0041421D"/>
    <w:rsid w:val="0041490D"/>
    <w:rsid w:val="00414A5C"/>
    <w:rsid w:val="004156B4"/>
    <w:rsid w:val="00415B80"/>
    <w:rsid w:val="0041697F"/>
    <w:rsid w:val="00420235"/>
    <w:rsid w:val="004223AA"/>
    <w:rsid w:val="00423104"/>
    <w:rsid w:val="004267D3"/>
    <w:rsid w:val="00426B11"/>
    <w:rsid w:val="00427E2A"/>
    <w:rsid w:val="00431A7F"/>
    <w:rsid w:val="00433E65"/>
    <w:rsid w:val="0043469F"/>
    <w:rsid w:val="004357ED"/>
    <w:rsid w:val="0043661F"/>
    <w:rsid w:val="004369AB"/>
    <w:rsid w:val="004374B2"/>
    <w:rsid w:val="00437D73"/>
    <w:rsid w:val="00442AB8"/>
    <w:rsid w:val="004436EA"/>
    <w:rsid w:val="0044456C"/>
    <w:rsid w:val="0045008C"/>
    <w:rsid w:val="00450B39"/>
    <w:rsid w:val="00450EDA"/>
    <w:rsid w:val="0045231F"/>
    <w:rsid w:val="00453BC6"/>
    <w:rsid w:val="00454498"/>
    <w:rsid w:val="00456C59"/>
    <w:rsid w:val="00457F44"/>
    <w:rsid w:val="00477931"/>
    <w:rsid w:val="00480A6D"/>
    <w:rsid w:val="00482908"/>
    <w:rsid w:val="00490198"/>
    <w:rsid w:val="00490E28"/>
    <w:rsid w:val="0049117F"/>
    <w:rsid w:val="0049241C"/>
    <w:rsid w:val="0049663F"/>
    <w:rsid w:val="00497362"/>
    <w:rsid w:val="00497C77"/>
    <w:rsid w:val="004A0886"/>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0140"/>
    <w:rsid w:val="004C3CC4"/>
    <w:rsid w:val="004C4D5E"/>
    <w:rsid w:val="004C60DF"/>
    <w:rsid w:val="004D11ED"/>
    <w:rsid w:val="004D310E"/>
    <w:rsid w:val="004D37D8"/>
    <w:rsid w:val="004D4B81"/>
    <w:rsid w:val="004D72B2"/>
    <w:rsid w:val="004F5DCD"/>
    <w:rsid w:val="004F6B2B"/>
    <w:rsid w:val="004F7B44"/>
    <w:rsid w:val="005005DF"/>
    <w:rsid w:val="0050233A"/>
    <w:rsid w:val="00505045"/>
    <w:rsid w:val="00505602"/>
    <w:rsid w:val="00510B96"/>
    <w:rsid w:val="00511501"/>
    <w:rsid w:val="00511B5B"/>
    <w:rsid w:val="00515AF2"/>
    <w:rsid w:val="0051640E"/>
    <w:rsid w:val="00516741"/>
    <w:rsid w:val="0051684E"/>
    <w:rsid w:val="00520583"/>
    <w:rsid w:val="005259A2"/>
    <w:rsid w:val="00526A72"/>
    <w:rsid w:val="00527ABC"/>
    <w:rsid w:val="00533831"/>
    <w:rsid w:val="00540651"/>
    <w:rsid w:val="0054193D"/>
    <w:rsid w:val="00541D7A"/>
    <w:rsid w:val="00542A8C"/>
    <w:rsid w:val="00542D59"/>
    <w:rsid w:val="00543637"/>
    <w:rsid w:val="00545478"/>
    <w:rsid w:val="00545DF7"/>
    <w:rsid w:val="00546CA2"/>
    <w:rsid w:val="00553929"/>
    <w:rsid w:val="005539F5"/>
    <w:rsid w:val="0055415C"/>
    <w:rsid w:val="00554AAC"/>
    <w:rsid w:val="0055503F"/>
    <w:rsid w:val="00556857"/>
    <w:rsid w:val="005572D7"/>
    <w:rsid w:val="00563797"/>
    <w:rsid w:val="00564544"/>
    <w:rsid w:val="005651B5"/>
    <w:rsid w:val="00566234"/>
    <w:rsid w:val="0057262B"/>
    <w:rsid w:val="005730BE"/>
    <w:rsid w:val="005815B3"/>
    <w:rsid w:val="005821D2"/>
    <w:rsid w:val="0058281A"/>
    <w:rsid w:val="00582A03"/>
    <w:rsid w:val="005852C0"/>
    <w:rsid w:val="00587E37"/>
    <w:rsid w:val="00590FEC"/>
    <w:rsid w:val="00593821"/>
    <w:rsid w:val="00596E88"/>
    <w:rsid w:val="00597CBD"/>
    <w:rsid w:val="00597EA1"/>
    <w:rsid w:val="005A0969"/>
    <w:rsid w:val="005A0E7A"/>
    <w:rsid w:val="005A20E2"/>
    <w:rsid w:val="005A5E7A"/>
    <w:rsid w:val="005B0DEF"/>
    <w:rsid w:val="005B2A03"/>
    <w:rsid w:val="005B4C1B"/>
    <w:rsid w:val="005C2684"/>
    <w:rsid w:val="005C2DDC"/>
    <w:rsid w:val="005C5620"/>
    <w:rsid w:val="005C578C"/>
    <w:rsid w:val="005C61D2"/>
    <w:rsid w:val="005D1F0F"/>
    <w:rsid w:val="005D29DB"/>
    <w:rsid w:val="005D41F9"/>
    <w:rsid w:val="005E132C"/>
    <w:rsid w:val="005E32C4"/>
    <w:rsid w:val="005E4143"/>
    <w:rsid w:val="005E724B"/>
    <w:rsid w:val="005E7C66"/>
    <w:rsid w:val="005F35BF"/>
    <w:rsid w:val="005F52E8"/>
    <w:rsid w:val="00600D9A"/>
    <w:rsid w:val="00601F7C"/>
    <w:rsid w:val="00602A48"/>
    <w:rsid w:val="00602EF7"/>
    <w:rsid w:val="00605169"/>
    <w:rsid w:val="00606F11"/>
    <w:rsid w:val="00607B03"/>
    <w:rsid w:val="0061050F"/>
    <w:rsid w:val="0061059D"/>
    <w:rsid w:val="0061326F"/>
    <w:rsid w:val="00614393"/>
    <w:rsid w:val="006146F2"/>
    <w:rsid w:val="00614C00"/>
    <w:rsid w:val="00620998"/>
    <w:rsid w:val="00623567"/>
    <w:rsid w:val="0062610F"/>
    <w:rsid w:val="006412B5"/>
    <w:rsid w:val="00641932"/>
    <w:rsid w:val="00642AB6"/>
    <w:rsid w:val="00644083"/>
    <w:rsid w:val="0064429B"/>
    <w:rsid w:val="0064477C"/>
    <w:rsid w:val="00650903"/>
    <w:rsid w:val="00653544"/>
    <w:rsid w:val="00657EFD"/>
    <w:rsid w:val="00662E43"/>
    <w:rsid w:val="006650A8"/>
    <w:rsid w:val="006679C0"/>
    <w:rsid w:val="006708D7"/>
    <w:rsid w:val="00680ED5"/>
    <w:rsid w:val="00681956"/>
    <w:rsid w:val="00682FBA"/>
    <w:rsid w:val="00683370"/>
    <w:rsid w:val="006848FE"/>
    <w:rsid w:val="00684EC1"/>
    <w:rsid w:val="00685BB6"/>
    <w:rsid w:val="006903F9"/>
    <w:rsid w:val="006923C8"/>
    <w:rsid w:val="0069402A"/>
    <w:rsid w:val="00696AB4"/>
    <w:rsid w:val="00697494"/>
    <w:rsid w:val="006976BF"/>
    <w:rsid w:val="006A05D7"/>
    <w:rsid w:val="006A4628"/>
    <w:rsid w:val="006B3F39"/>
    <w:rsid w:val="006B4213"/>
    <w:rsid w:val="006B43AF"/>
    <w:rsid w:val="006B4DF0"/>
    <w:rsid w:val="006C05FF"/>
    <w:rsid w:val="006C0AE8"/>
    <w:rsid w:val="006C1013"/>
    <w:rsid w:val="006C1259"/>
    <w:rsid w:val="006C163A"/>
    <w:rsid w:val="006C228B"/>
    <w:rsid w:val="006C2931"/>
    <w:rsid w:val="006D466E"/>
    <w:rsid w:val="006D4B70"/>
    <w:rsid w:val="006D4C35"/>
    <w:rsid w:val="006D6BB6"/>
    <w:rsid w:val="006D7A92"/>
    <w:rsid w:val="006E0981"/>
    <w:rsid w:val="006E0A17"/>
    <w:rsid w:val="006E194E"/>
    <w:rsid w:val="006E3B48"/>
    <w:rsid w:val="006E5633"/>
    <w:rsid w:val="006E5FDB"/>
    <w:rsid w:val="006E6184"/>
    <w:rsid w:val="006E631B"/>
    <w:rsid w:val="006F096A"/>
    <w:rsid w:val="006F22E3"/>
    <w:rsid w:val="006F3095"/>
    <w:rsid w:val="006F3340"/>
    <w:rsid w:val="006F5455"/>
    <w:rsid w:val="006F5CB6"/>
    <w:rsid w:val="006F79D3"/>
    <w:rsid w:val="00703194"/>
    <w:rsid w:val="00704A92"/>
    <w:rsid w:val="00706E50"/>
    <w:rsid w:val="0070737C"/>
    <w:rsid w:val="007107DE"/>
    <w:rsid w:val="00710BC7"/>
    <w:rsid w:val="00711229"/>
    <w:rsid w:val="00711BCD"/>
    <w:rsid w:val="00715018"/>
    <w:rsid w:val="007179FE"/>
    <w:rsid w:val="00717F25"/>
    <w:rsid w:val="007201B1"/>
    <w:rsid w:val="007201D7"/>
    <w:rsid w:val="00724E14"/>
    <w:rsid w:val="00725AD5"/>
    <w:rsid w:val="00726D67"/>
    <w:rsid w:val="00726DB5"/>
    <w:rsid w:val="00726EB4"/>
    <w:rsid w:val="00731945"/>
    <w:rsid w:val="00733CC3"/>
    <w:rsid w:val="007363DE"/>
    <w:rsid w:val="0073698D"/>
    <w:rsid w:val="00736C0B"/>
    <w:rsid w:val="00744D93"/>
    <w:rsid w:val="00746531"/>
    <w:rsid w:val="00746712"/>
    <w:rsid w:val="0074724D"/>
    <w:rsid w:val="00750F59"/>
    <w:rsid w:val="00751725"/>
    <w:rsid w:val="00751E2D"/>
    <w:rsid w:val="00752028"/>
    <w:rsid w:val="0075450A"/>
    <w:rsid w:val="0075476D"/>
    <w:rsid w:val="0075717D"/>
    <w:rsid w:val="0076017E"/>
    <w:rsid w:val="00760DB6"/>
    <w:rsid w:val="00761D8F"/>
    <w:rsid w:val="0076361C"/>
    <w:rsid w:val="0076477F"/>
    <w:rsid w:val="007661AE"/>
    <w:rsid w:val="00766A51"/>
    <w:rsid w:val="007706FD"/>
    <w:rsid w:val="00771FFF"/>
    <w:rsid w:val="00772818"/>
    <w:rsid w:val="00773FFA"/>
    <w:rsid w:val="0077685D"/>
    <w:rsid w:val="0077788E"/>
    <w:rsid w:val="00784439"/>
    <w:rsid w:val="00787E75"/>
    <w:rsid w:val="00792108"/>
    <w:rsid w:val="00794BFB"/>
    <w:rsid w:val="00794C8E"/>
    <w:rsid w:val="00795F25"/>
    <w:rsid w:val="00797257"/>
    <w:rsid w:val="00797DE4"/>
    <w:rsid w:val="007A3157"/>
    <w:rsid w:val="007A41A1"/>
    <w:rsid w:val="007A5356"/>
    <w:rsid w:val="007A6E20"/>
    <w:rsid w:val="007B10ED"/>
    <w:rsid w:val="007B2B2E"/>
    <w:rsid w:val="007B3BFC"/>
    <w:rsid w:val="007B4B03"/>
    <w:rsid w:val="007C4F31"/>
    <w:rsid w:val="007C7CD7"/>
    <w:rsid w:val="007D3033"/>
    <w:rsid w:val="007E5257"/>
    <w:rsid w:val="007E5391"/>
    <w:rsid w:val="007F2AA1"/>
    <w:rsid w:val="007F4EF5"/>
    <w:rsid w:val="007F59E0"/>
    <w:rsid w:val="00801A72"/>
    <w:rsid w:val="00804105"/>
    <w:rsid w:val="00806D94"/>
    <w:rsid w:val="00807AD8"/>
    <w:rsid w:val="00811800"/>
    <w:rsid w:val="00812E1C"/>
    <w:rsid w:val="00813CFF"/>
    <w:rsid w:val="008140C5"/>
    <w:rsid w:val="00814590"/>
    <w:rsid w:val="00814667"/>
    <w:rsid w:val="008148E2"/>
    <w:rsid w:val="008149E4"/>
    <w:rsid w:val="008156B7"/>
    <w:rsid w:val="0081756E"/>
    <w:rsid w:val="00817D90"/>
    <w:rsid w:val="00822355"/>
    <w:rsid w:val="008223DE"/>
    <w:rsid w:val="0082332D"/>
    <w:rsid w:val="0082402C"/>
    <w:rsid w:val="0082435B"/>
    <w:rsid w:val="00825FF5"/>
    <w:rsid w:val="008262F1"/>
    <w:rsid w:val="008311FA"/>
    <w:rsid w:val="0083129C"/>
    <w:rsid w:val="008317EF"/>
    <w:rsid w:val="00834FF4"/>
    <w:rsid w:val="00836776"/>
    <w:rsid w:val="0083791E"/>
    <w:rsid w:val="00840081"/>
    <w:rsid w:val="008407B0"/>
    <w:rsid w:val="00845735"/>
    <w:rsid w:val="00845BCC"/>
    <w:rsid w:val="00847916"/>
    <w:rsid w:val="00851465"/>
    <w:rsid w:val="008514B8"/>
    <w:rsid w:val="008526CC"/>
    <w:rsid w:val="00852ED8"/>
    <w:rsid w:val="0085330A"/>
    <w:rsid w:val="008550CA"/>
    <w:rsid w:val="0085533A"/>
    <w:rsid w:val="00855543"/>
    <w:rsid w:val="00855D92"/>
    <w:rsid w:val="0085738D"/>
    <w:rsid w:val="00862395"/>
    <w:rsid w:val="0086261D"/>
    <w:rsid w:val="00864DD3"/>
    <w:rsid w:val="008651D9"/>
    <w:rsid w:val="00866724"/>
    <w:rsid w:val="008708D6"/>
    <w:rsid w:val="00874608"/>
    <w:rsid w:val="008760D0"/>
    <w:rsid w:val="00881317"/>
    <w:rsid w:val="00882681"/>
    <w:rsid w:val="008843EE"/>
    <w:rsid w:val="00884A54"/>
    <w:rsid w:val="00885422"/>
    <w:rsid w:val="00887FFA"/>
    <w:rsid w:val="00890154"/>
    <w:rsid w:val="0089249B"/>
    <w:rsid w:val="00892CA4"/>
    <w:rsid w:val="00896477"/>
    <w:rsid w:val="00896BD6"/>
    <w:rsid w:val="00896F5A"/>
    <w:rsid w:val="00897369"/>
    <w:rsid w:val="008A20FE"/>
    <w:rsid w:val="008A3C37"/>
    <w:rsid w:val="008A7FE4"/>
    <w:rsid w:val="008B1840"/>
    <w:rsid w:val="008B4790"/>
    <w:rsid w:val="008B4DA4"/>
    <w:rsid w:val="008B61D2"/>
    <w:rsid w:val="008B70D3"/>
    <w:rsid w:val="008B73A2"/>
    <w:rsid w:val="008B7FE2"/>
    <w:rsid w:val="008C0BBA"/>
    <w:rsid w:val="008C2450"/>
    <w:rsid w:val="008C709A"/>
    <w:rsid w:val="008C7817"/>
    <w:rsid w:val="008C7F5B"/>
    <w:rsid w:val="008D079A"/>
    <w:rsid w:val="008D2F40"/>
    <w:rsid w:val="008D5B52"/>
    <w:rsid w:val="008E0AD6"/>
    <w:rsid w:val="008E4209"/>
    <w:rsid w:val="008E48FC"/>
    <w:rsid w:val="008E55BD"/>
    <w:rsid w:val="008E7527"/>
    <w:rsid w:val="008F1539"/>
    <w:rsid w:val="008F1CEC"/>
    <w:rsid w:val="008F2AD6"/>
    <w:rsid w:val="008F322D"/>
    <w:rsid w:val="008F44F1"/>
    <w:rsid w:val="008F4BA8"/>
    <w:rsid w:val="008F5C07"/>
    <w:rsid w:val="008F696D"/>
    <w:rsid w:val="008F7777"/>
    <w:rsid w:val="00901CF5"/>
    <w:rsid w:val="00901F53"/>
    <w:rsid w:val="00905930"/>
    <w:rsid w:val="00906431"/>
    <w:rsid w:val="009115AF"/>
    <w:rsid w:val="00913276"/>
    <w:rsid w:val="009177D7"/>
    <w:rsid w:val="009221DF"/>
    <w:rsid w:val="009224FD"/>
    <w:rsid w:val="0093296C"/>
    <w:rsid w:val="00935CC7"/>
    <w:rsid w:val="00936D15"/>
    <w:rsid w:val="0094002F"/>
    <w:rsid w:val="0094129D"/>
    <w:rsid w:val="00941BB7"/>
    <w:rsid w:val="00944760"/>
    <w:rsid w:val="00946A91"/>
    <w:rsid w:val="00946AE5"/>
    <w:rsid w:val="00950865"/>
    <w:rsid w:val="00951BAD"/>
    <w:rsid w:val="0095223D"/>
    <w:rsid w:val="009526E4"/>
    <w:rsid w:val="00953AA1"/>
    <w:rsid w:val="00954B44"/>
    <w:rsid w:val="009644B8"/>
    <w:rsid w:val="0096618D"/>
    <w:rsid w:val="0096732C"/>
    <w:rsid w:val="009703B6"/>
    <w:rsid w:val="00971A4C"/>
    <w:rsid w:val="00971C60"/>
    <w:rsid w:val="00975EB5"/>
    <w:rsid w:val="00983979"/>
    <w:rsid w:val="00983DC2"/>
    <w:rsid w:val="00983DF0"/>
    <w:rsid w:val="0099244E"/>
    <w:rsid w:val="0099742A"/>
    <w:rsid w:val="009A0446"/>
    <w:rsid w:val="009A062C"/>
    <w:rsid w:val="009A48AF"/>
    <w:rsid w:val="009A522D"/>
    <w:rsid w:val="009A5C18"/>
    <w:rsid w:val="009B0C68"/>
    <w:rsid w:val="009B2B1B"/>
    <w:rsid w:val="009B3F77"/>
    <w:rsid w:val="009B5132"/>
    <w:rsid w:val="009B5865"/>
    <w:rsid w:val="009B724A"/>
    <w:rsid w:val="009C166A"/>
    <w:rsid w:val="009C1897"/>
    <w:rsid w:val="009C2059"/>
    <w:rsid w:val="009C6FFB"/>
    <w:rsid w:val="009C7EF5"/>
    <w:rsid w:val="009D0C93"/>
    <w:rsid w:val="009D2FAC"/>
    <w:rsid w:val="009D6CBE"/>
    <w:rsid w:val="009D7A6E"/>
    <w:rsid w:val="009E093C"/>
    <w:rsid w:val="009E1311"/>
    <w:rsid w:val="009E151E"/>
    <w:rsid w:val="009E3ACF"/>
    <w:rsid w:val="009E5529"/>
    <w:rsid w:val="009E5DB6"/>
    <w:rsid w:val="009E656A"/>
    <w:rsid w:val="009F777E"/>
    <w:rsid w:val="009F7F52"/>
    <w:rsid w:val="00A0202C"/>
    <w:rsid w:val="00A0227E"/>
    <w:rsid w:val="00A05C1E"/>
    <w:rsid w:val="00A0603F"/>
    <w:rsid w:val="00A10727"/>
    <w:rsid w:val="00A112E6"/>
    <w:rsid w:val="00A14966"/>
    <w:rsid w:val="00A157BC"/>
    <w:rsid w:val="00A15CAB"/>
    <w:rsid w:val="00A16E8F"/>
    <w:rsid w:val="00A17CCB"/>
    <w:rsid w:val="00A201DE"/>
    <w:rsid w:val="00A211A9"/>
    <w:rsid w:val="00A2422A"/>
    <w:rsid w:val="00A25265"/>
    <w:rsid w:val="00A254D6"/>
    <w:rsid w:val="00A26FC8"/>
    <w:rsid w:val="00A303A1"/>
    <w:rsid w:val="00A33679"/>
    <w:rsid w:val="00A34DDE"/>
    <w:rsid w:val="00A42386"/>
    <w:rsid w:val="00A46EBE"/>
    <w:rsid w:val="00A473C1"/>
    <w:rsid w:val="00A50751"/>
    <w:rsid w:val="00A50E72"/>
    <w:rsid w:val="00A52E03"/>
    <w:rsid w:val="00A5366B"/>
    <w:rsid w:val="00A54B81"/>
    <w:rsid w:val="00A54BE7"/>
    <w:rsid w:val="00A564EB"/>
    <w:rsid w:val="00A6500A"/>
    <w:rsid w:val="00A65333"/>
    <w:rsid w:val="00A6540E"/>
    <w:rsid w:val="00A6719E"/>
    <w:rsid w:val="00A739F1"/>
    <w:rsid w:val="00A758DE"/>
    <w:rsid w:val="00A7622A"/>
    <w:rsid w:val="00A76CBE"/>
    <w:rsid w:val="00A8082E"/>
    <w:rsid w:val="00A8189A"/>
    <w:rsid w:val="00A81C2E"/>
    <w:rsid w:val="00A81EC4"/>
    <w:rsid w:val="00A81FE5"/>
    <w:rsid w:val="00A83B8E"/>
    <w:rsid w:val="00A8478F"/>
    <w:rsid w:val="00A858C4"/>
    <w:rsid w:val="00A91006"/>
    <w:rsid w:val="00A9141E"/>
    <w:rsid w:val="00A9341B"/>
    <w:rsid w:val="00A964CC"/>
    <w:rsid w:val="00A974CA"/>
    <w:rsid w:val="00A97E12"/>
    <w:rsid w:val="00AA2CD5"/>
    <w:rsid w:val="00AA4F6C"/>
    <w:rsid w:val="00AB16AE"/>
    <w:rsid w:val="00AB392A"/>
    <w:rsid w:val="00AB4CE3"/>
    <w:rsid w:val="00AB5801"/>
    <w:rsid w:val="00AB5A64"/>
    <w:rsid w:val="00AB71A5"/>
    <w:rsid w:val="00AB76C6"/>
    <w:rsid w:val="00AB79E9"/>
    <w:rsid w:val="00AC34CF"/>
    <w:rsid w:val="00AC5567"/>
    <w:rsid w:val="00AD04F4"/>
    <w:rsid w:val="00AD576C"/>
    <w:rsid w:val="00AD670F"/>
    <w:rsid w:val="00AD6C71"/>
    <w:rsid w:val="00AD7AF9"/>
    <w:rsid w:val="00AE0D51"/>
    <w:rsid w:val="00AE0ECE"/>
    <w:rsid w:val="00AE1E4B"/>
    <w:rsid w:val="00AE1E54"/>
    <w:rsid w:val="00AE2388"/>
    <w:rsid w:val="00AE2AFD"/>
    <w:rsid w:val="00AE4372"/>
    <w:rsid w:val="00AE478A"/>
    <w:rsid w:val="00AF0C8D"/>
    <w:rsid w:val="00AF3CD4"/>
    <w:rsid w:val="00AF4FD9"/>
    <w:rsid w:val="00AF7296"/>
    <w:rsid w:val="00B00778"/>
    <w:rsid w:val="00B007A1"/>
    <w:rsid w:val="00B04E8C"/>
    <w:rsid w:val="00B050C0"/>
    <w:rsid w:val="00B05642"/>
    <w:rsid w:val="00B06097"/>
    <w:rsid w:val="00B10045"/>
    <w:rsid w:val="00B100DF"/>
    <w:rsid w:val="00B10CAE"/>
    <w:rsid w:val="00B12190"/>
    <w:rsid w:val="00B1294B"/>
    <w:rsid w:val="00B137C3"/>
    <w:rsid w:val="00B14015"/>
    <w:rsid w:val="00B171BB"/>
    <w:rsid w:val="00B21D69"/>
    <w:rsid w:val="00B2247A"/>
    <w:rsid w:val="00B23961"/>
    <w:rsid w:val="00B24736"/>
    <w:rsid w:val="00B251B2"/>
    <w:rsid w:val="00B27B7C"/>
    <w:rsid w:val="00B314CD"/>
    <w:rsid w:val="00B3583C"/>
    <w:rsid w:val="00B36551"/>
    <w:rsid w:val="00B36E9E"/>
    <w:rsid w:val="00B40E38"/>
    <w:rsid w:val="00B4197E"/>
    <w:rsid w:val="00B45C9E"/>
    <w:rsid w:val="00B47D94"/>
    <w:rsid w:val="00B50683"/>
    <w:rsid w:val="00B51ACE"/>
    <w:rsid w:val="00B55E6C"/>
    <w:rsid w:val="00B572B0"/>
    <w:rsid w:val="00B6168F"/>
    <w:rsid w:val="00B619AA"/>
    <w:rsid w:val="00B623D7"/>
    <w:rsid w:val="00B66E7A"/>
    <w:rsid w:val="00B70929"/>
    <w:rsid w:val="00B72FF8"/>
    <w:rsid w:val="00B8096A"/>
    <w:rsid w:val="00B82557"/>
    <w:rsid w:val="00B83BD4"/>
    <w:rsid w:val="00B91564"/>
    <w:rsid w:val="00B9206A"/>
    <w:rsid w:val="00B9279E"/>
    <w:rsid w:val="00B95A9F"/>
    <w:rsid w:val="00B966E1"/>
    <w:rsid w:val="00BA1CFA"/>
    <w:rsid w:val="00BA33D5"/>
    <w:rsid w:val="00BA3DD1"/>
    <w:rsid w:val="00BA4284"/>
    <w:rsid w:val="00BA7431"/>
    <w:rsid w:val="00BC1029"/>
    <w:rsid w:val="00BC2720"/>
    <w:rsid w:val="00BC4728"/>
    <w:rsid w:val="00BC4BF4"/>
    <w:rsid w:val="00BC60B3"/>
    <w:rsid w:val="00BC74A5"/>
    <w:rsid w:val="00BD2253"/>
    <w:rsid w:val="00BD7496"/>
    <w:rsid w:val="00BE042D"/>
    <w:rsid w:val="00BE27C1"/>
    <w:rsid w:val="00BE27C7"/>
    <w:rsid w:val="00BE4802"/>
    <w:rsid w:val="00BE7212"/>
    <w:rsid w:val="00BF038C"/>
    <w:rsid w:val="00BF0D7C"/>
    <w:rsid w:val="00BF222F"/>
    <w:rsid w:val="00BF331F"/>
    <w:rsid w:val="00C00CD9"/>
    <w:rsid w:val="00C053A4"/>
    <w:rsid w:val="00C05CC6"/>
    <w:rsid w:val="00C068C7"/>
    <w:rsid w:val="00C073C2"/>
    <w:rsid w:val="00C106F9"/>
    <w:rsid w:val="00C13C12"/>
    <w:rsid w:val="00C1414A"/>
    <w:rsid w:val="00C14E6F"/>
    <w:rsid w:val="00C160F4"/>
    <w:rsid w:val="00C17309"/>
    <w:rsid w:val="00C20F99"/>
    <w:rsid w:val="00C2120D"/>
    <w:rsid w:val="00C215E7"/>
    <w:rsid w:val="00C21626"/>
    <w:rsid w:val="00C22688"/>
    <w:rsid w:val="00C233E9"/>
    <w:rsid w:val="00C2363E"/>
    <w:rsid w:val="00C2605C"/>
    <w:rsid w:val="00C26C5B"/>
    <w:rsid w:val="00C2711B"/>
    <w:rsid w:val="00C303B4"/>
    <w:rsid w:val="00C35C2F"/>
    <w:rsid w:val="00C37F5B"/>
    <w:rsid w:val="00C40EBC"/>
    <w:rsid w:val="00C41265"/>
    <w:rsid w:val="00C4202E"/>
    <w:rsid w:val="00C42ACA"/>
    <w:rsid w:val="00C51308"/>
    <w:rsid w:val="00C51F78"/>
    <w:rsid w:val="00C522D9"/>
    <w:rsid w:val="00C539F8"/>
    <w:rsid w:val="00C53A47"/>
    <w:rsid w:val="00C57BB9"/>
    <w:rsid w:val="00C606F6"/>
    <w:rsid w:val="00C6082E"/>
    <w:rsid w:val="00C611F2"/>
    <w:rsid w:val="00C61699"/>
    <w:rsid w:val="00C62B02"/>
    <w:rsid w:val="00C64908"/>
    <w:rsid w:val="00C655A0"/>
    <w:rsid w:val="00C658EC"/>
    <w:rsid w:val="00C66C5A"/>
    <w:rsid w:val="00C705B5"/>
    <w:rsid w:val="00C7093C"/>
    <w:rsid w:val="00C738BD"/>
    <w:rsid w:val="00C75D40"/>
    <w:rsid w:val="00C8213B"/>
    <w:rsid w:val="00C82E55"/>
    <w:rsid w:val="00C83627"/>
    <w:rsid w:val="00C85E41"/>
    <w:rsid w:val="00C85E44"/>
    <w:rsid w:val="00C8728D"/>
    <w:rsid w:val="00C928AD"/>
    <w:rsid w:val="00C92F94"/>
    <w:rsid w:val="00C94201"/>
    <w:rsid w:val="00C95D81"/>
    <w:rsid w:val="00C960AA"/>
    <w:rsid w:val="00CA121E"/>
    <w:rsid w:val="00CA3215"/>
    <w:rsid w:val="00CA3492"/>
    <w:rsid w:val="00CA3E24"/>
    <w:rsid w:val="00CA501D"/>
    <w:rsid w:val="00CA55C4"/>
    <w:rsid w:val="00CB1789"/>
    <w:rsid w:val="00CB1CB2"/>
    <w:rsid w:val="00CB2290"/>
    <w:rsid w:val="00CB2557"/>
    <w:rsid w:val="00CB44C4"/>
    <w:rsid w:val="00CB47FE"/>
    <w:rsid w:val="00CB4C53"/>
    <w:rsid w:val="00CB4D35"/>
    <w:rsid w:val="00CB6703"/>
    <w:rsid w:val="00CC1526"/>
    <w:rsid w:val="00CC39B1"/>
    <w:rsid w:val="00CC3D90"/>
    <w:rsid w:val="00CC6A08"/>
    <w:rsid w:val="00CD526B"/>
    <w:rsid w:val="00CD5B93"/>
    <w:rsid w:val="00CD7039"/>
    <w:rsid w:val="00CE3B32"/>
    <w:rsid w:val="00CE4A24"/>
    <w:rsid w:val="00CE613B"/>
    <w:rsid w:val="00CE737B"/>
    <w:rsid w:val="00CE7403"/>
    <w:rsid w:val="00CE7466"/>
    <w:rsid w:val="00CF0826"/>
    <w:rsid w:val="00CF0D8A"/>
    <w:rsid w:val="00CF267F"/>
    <w:rsid w:val="00CF6F9D"/>
    <w:rsid w:val="00CF7DA0"/>
    <w:rsid w:val="00D0312C"/>
    <w:rsid w:val="00D04614"/>
    <w:rsid w:val="00D07D9E"/>
    <w:rsid w:val="00D16937"/>
    <w:rsid w:val="00D1723F"/>
    <w:rsid w:val="00D26B64"/>
    <w:rsid w:val="00D30AA4"/>
    <w:rsid w:val="00D30CE5"/>
    <w:rsid w:val="00D31ABD"/>
    <w:rsid w:val="00D32FC0"/>
    <w:rsid w:val="00D34C05"/>
    <w:rsid w:val="00D3674A"/>
    <w:rsid w:val="00D40383"/>
    <w:rsid w:val="00D405EF"/>
    <w:rsid w:val="00D4085D"/>
    <w:rsid w:val="00D41B17"/>
    <w:rsid w:val="00D428F4"/>
    <w:rsid w:val="00D434F3"/>
    <w:rsid w:val="00D46E83"/>
    <w:rsid w:val="00D51386"/>
    <w:rsid w:val="00D51404"/>
    <w:rsid w:val="00D51D6A"/>
    <w:rsid w:val="00D52914"/>
    <w:rsid w:val="00D536F9"/>
    <w:rsid w:val="00D53726"/>
    <w:rsid w:val="00D53742"/>
    <w:rsid w:val="00D5485B"/>
    <w:rsid w:val="00D565A1"/>
    <w:rsid w:val="00D56832"/>
    <w:rsid w:val="00D57346"/>
    <w:rsid w:val="00D57936"/>
    <w:rsid w:val="00D61911"/>
    <w:rsid w:val="00D62258"/>
    <w:rsid w:val="00D625A7"/>
    <w:rsid w:val="00D675E8"/>
    <w:rsid w:val="00D677F9"/>
    <w:rsid w:val="00D679B2"/>
    <w:rsid w:val="00D702F1"/>
    <w:rsid w:val="00D70DBB"/>
    <w:rsid w:val="00D729FA"/>
    <w:rsid w:val="00D7336A"/>
    <w:rsid w:val="00D73591"/>
    <w:rsid w:val="00D74D41"/>
    <w:rsid w:val="00D7584A"/>
    <w:rsid w:val="00D802FC"/>
    <w:rsid w:val="00D8532B"/>
    <w:rsid w:val="00D85463"/>
    <w:rsid w:val="00D973A5"/>
    <w:rsid w:val="00DA205D"/>
    <w:rsid w:val="00DA2CBF"/>
    <w:rsid w:val="00DA2FB0"/>
    <w:rsid w:val="00DA35BA"/>
    <w:rsid w:val="00DA7233"/>
    <w:rsid w:val="00DB0641"/>
    <w:rsid w:val="00DB0DB4"/>
    <w:rsid w:val="00DB2FC0"/>
    <w:rsid w:val="00DB3F0F"/>
    <w:rsid w:val="00DC484D"/>
    <w:rsid w:val="00DC4D62"/>
    <w:rsid w:val="00DC50E5"/>
    <w:rsid w:val="00DC76C7"/>
    <w:rsid w:val="00DD6638"/>
    <w:rsid w:val="00DE311A"/>
    <w:rsid w:val="00DE36EB"/>
    <w:rsid w:val="00DE4A6C"/>
    <w:rsid w:val="00DE4BA9"/>
    <w:rsid w:val="00DE64C1"/>
    <w:rsid w:val="00DE7A48"/>
    <w:rsid w:val="00DF0812"/>
    <w:rsid w:val="00DF147A"/>
    <w:rsid w:val="00DF48E3"/>
    <w:rsid w:val="00DF5BAB"/>
    <w:rsid w:val="00DF72AF"/>
    <w:rsid w:val="00E0119D"/>
    <w:rsid w:val="00E028D1"/>
    <w:rsid w:val="00E02CDE"/>
    <w:rsid w:val="00E10555"/>
    <w:rsid w:val="00E11087"/>
    <w:rsid w:val="00E16E0A"/>
    <w:rsid w:val="00E204BB"/>
    <w:rsid w:val="00E220BC"/>
    <w:rsid w:val="00E31096"/>
    <w:rsid w:val="00E33764"/>
    <w:rsid w:val="00E33938"/>
    <w:rsid w:val="00E339DB"/>
    <w:rsid w:val="00E33F03"/>
    <w:rsid w:val="00E34ECD"/>
    <w:rsid w:val="00E354D8"/>
    <w:rsid w:val="00E3658A"/>
    <w:rsid w:val="00E3706A"/>
    <w:rsid w:val="00E3738B"/>
    <w:rsid w:val="00E37446"/>
    <w:rsid w:val="00E37730"/>
    <w:rsid w:val="00E4099E"/>
    <w:rsid w:val="00E456AA"/>
    <w:rsid w:val="00E5201F"/>
    <w:rsid w:val="00E579FF"/>
    <w:rsid w:val="00E6685C"/>
    <w:rsid w:val="00E6698B"/>
    <w:rsid w:val="00E7195E"/>
    <w:rsid w:val="00E72F4A"/>
    <w:rsid w:val="00E7467D"/>
    <w:rsid w:val="00E80D86"/>
    <w:rsid w:val="00E82115"/>
    <w:rsid w:val="00E832FF"/>
    <w:rsid w:val="00E833DB"/>
    <w:rsid w:val="00E83448"/>
    <w:rsid w:val="00E838D3"/>
    <w:rsid w:val="00E90BF8"/>
    <w:rsid w:val="00E92A05"/>
    <w:rsid w:val="00E92C8A"/>
    <w:rsid w:val="00E9346D"/>
    <w:rsid w:val="00EA21BF"/>
    <w:rsid w:val="00EA3664"/>
    <w:rsid w:val="00EA594C"/>
    <w:rsid w:val="00EA5EC0"/>
    <w:rsid w:val="00EA7329"/>
    <w:rsid w:val="00EA7A1C"/>
    <w:rsid w:val="00EB5170"/>
    <w:rsid w:val="00EB6FA2"/>
    <w:rsid w:val="00EB7EDA"/>
    <w:rsid w:val="00EC247B"/>
    <w:rsid w:val="00EC3E78"/>
    <w:rsid w:val="00EC5206"/>
    <w:rsid w:val="00EC5D22"/>
    <w:rsid w:val="00ED0175"/>
    <w:rsid w:val="00ED0AC8"/>
    <w:rsid w:val="00ED2AC4"/>
    <w:rsid w:val="00ED4036"/>
    <w:rsid w:val="00ED582A"/>
    <w:rsid w:val="00ED6F40"/>
    <w:rsid w:val="00EE041B"/>
    <w:rsid w:val="00EE57AC"/>
    <w:rsid w:val="00EE61F1"/>
    <w:rsid w:val="00EE6C27"/>
    <w:rsid w:val="00EE74C4"/>
    <w:rsid w:val="00EE7D29"/>
    <w:rsid w:val="00EF33DE"/>
    <w:rsid w:val="00EF6486"/>
    <w:rsid w:val="00EF72D4"/>
    <w:rsid w:val="00F02DBC"/>
    <w:rsid w:val="00F06551"/>
    <w:rsid w:val="00F10A7F"/>
    <w:rsid w:val="00F11A23"/>
    <w:rsid w:val="00F11DDE"/>
    <w:rsid w:val="00F120E6"/>
    <w:rsid w:val="00F12ACD"/>
    <w:rsid w:val="00F16589"/>
    <w:rsid w:val="00F1747E"/>
    <w:rsid w:val="00F2068C"/>
    <w:rsid w:val="00F234AB"/>
    <w:rsid w:val="00F24478"/>
    <w:rsid w:val="00F301F2"/>
    <w:rsid w:val="00F31DE0"/>
    <w:rsid w:val="00F3245D"/>
    <w:rsid w:val="00F34DD3"/>
    <w:rsid w:val="00F34E70"/>
    <w:rsid w:val="00F4377A"/>
    <w:rsid w:val="00F46237"/>
    <w:rsid w:val="00F47765"/>
    <w:rsid w:val="00F501C6"/>
    <w:rsid w:val="00F50FE9"/>
    <w:rsid w:val="00F60C76"/>
    <w:rsid w:val="00F62D68"/>
    <w:rsid w:val="00F630DB"/>
    <w:rsid w:val="00F630EF"/>
    <w:rsid w:val="00F6403E"/>
    <w:rsid w:val="00F71346"/>
    <w:rsid w:val="00F715F2"/>
    <w:rsid w:val="00F730C7"/>
    <w:rsid w:val="00F75AFD"/>
    <w:rsid w:val="00F76230"/>
    <w:rsid w:val="00F76C87"/>
    <w:rsid w:val="00F76E88"/>
    <w:rsid w:val="00F8383A"/>
    <w:rsid w:val="00F8671B"/>
    <w:rsid w:val="00F8684A"/>
    <w:rsid w:val="00F9275F"/>
    <w:rsid w:val="00F94C3D"/>
    <w:rsid w:val="00F95D26"/>
    <w:rsid w:val="00F979C5"/>
    <w:rsid w:val="00FA0CBF"/>
    <w:rsid w:val="00FA0E45"/>
    <w:rsid w:val="00FA2EC0"/>
    <w:rsid w:val="00FA4E87"/>
    <w:rsid w:val="00FA64FD"/>
    <w:rsid w:val="00FB2594"/>
    <w:rsid w:val="00FB2D5B"/>
    <w:rsid w:val="00FB4200"/>
    <w:rsid w:val="00FB5750"/>
    <w:rsid w:val="00FB6A2E"/>
    <w:rsid w:val="00FB6FBA"/>
    <w:rsid w:val="00FC055C"/>
    <w:rsid w:val="00FC0C10"/>
    <w:rsid w:val="00FC23C0"/>
    <w:rsid w:val="00FC3CEE"/>
    <w:rsid w:val="00FD316B"/>
    <w:rsid w:val="00FD4437"/>
    <w:rsid w:val="00FD6165"/>
    <w:rsid w:val="00FE26A5"/>
    <w:rsid w:val="00FE347C"/>
    <w:rsid w:val="00FE4A16"/>
    <w:rsid w:val="00FF1237"/>
    <w:rsid w:val="00FF36FC"/>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934A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30"/>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23"/>
      </w:numPr>
      <w:tabs>
        <w:tab w:val="num" w:pos="567"/>
        <w:tab w:val="num" w:pos="850"/>
      </w:tabs>
      <w:ind w:left="850" w:hanging="284"/>
    </w:pPr>
  </w:style>
  <w:style w:type="paragraph" w:customStyle="1" w:styleId="DoubleDot">
    <w:name w:val="Double Dot"/>
    <w:basedOn w:val="Normal"/>
    <w:rsid w:val="00D51386"/>
    <w:pPr>
      <w:numPr>
        <w:ilvl w:val="2"/>
        <w:numId w:val="23"/>
      </w:numPr>
      <w:tabs>
        <w:tab w:val="num" w:pos="850"/>
        <w:tab w:val="num" w:pos="1133"/>
      </w:tabs>
      <w:ind w:left="1133" w:hanging="283"/>
    </w:pPr>
  </w:style>
  <w:style w:type="paragraph" w:customStyle="1" w:styleId="OutlineNumbered1">
    <w:name w:val="Outline Numbered 1"/>
    <w:basedOn w:val="Normal"/>
    <w:rsid w:val="00D51386"/>
    <w:pPr>
      <w:numPr>
        <w:numId w:val="20"/>
      </w:numPr>
    </w:pPr>
  </w:style>
  <w:style w:type="paragraph" w:customStyle="1" w:styleId="OutlineNumbered2">
    <w:name w:val="Outline Numbered 2"/>
    <w:basedOn w:val="Normal"/>
    <w:rsid w:val="00D51386"/>
    <w:pPr>
      <w:numPr>
        <w:ilvl w:val="1"/>
        <w:numId w:val="20"/>
      </w:numPr>
    </w:pPr>
  </w:style>
  <w:style w:type="paragraph" w:customStyle="1" w:styleId="OutlineNumbered3">
    <w:name w:val="Outline Numbered 3"/>
    <w:basedOn w:val="Normal"/>
    <w:rsid w:val="00D51386"/>
    <w:pPr>
      <w:numPr>
        <w:ilvl w:val="2"/>
        <w:numId w:val="20"/>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21"/>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23"/>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22"/>
      </w:numPr>
    </w:pPr>
  </w:style>
  <w:style w:type="paragraph" w:customStyle="1" w:styleId="BoxDash">
    <w:name w:val="Box Dash"/>
    <w:basedOn w:val="Normal"/>
    <w:uiPriority w:val="99"/>
    <w:rsid w:val="00D51386"/>
    <w:pPr>
      <w:numPr>
        <w:ilvl w:val="1"/>
        <w:numId w:val="22"/>
      </w:numPr>
    </w:pPr>
  </w:style>
  <w:style w:type="paragraph" w:customStyle="1" w:styleId="BoxDoubleDot">
    <w:name w:val="Box Double Dot"/>
    <w:basedOn w:val="BoxTextBase"/>
    <w:uiPriority w:val="99"/>
    <w:rsid w:val="00D51386"/>
    <w:pPr>
      <w:numPr>
        <w:ilvl w:val="2"/>
        <w:numId w:val="22"/>
      </w:numPr>
    </w:pPr>
  </w:style>
  <w:style w:type="paragraph" w:customStyle="1" w:styleId="RecommendationBullet">
    <w:name w:val="Recommendation Bullet"/>
    <w:basedOn w:val="RecommendationTextBase"/>
    <w:rsid w:val="00D51386"/>
    <w:pPr>
      <w:numPr>
        <w:numId w:val="24"/>
      </w:numPr>
    </w:pPr>
  </w:style>
  <w:style w:type="paragraph" w:customStyle="1" w:styleId="RecommendationDash">
    <w:name w:val="Recommendation Dash"/>
    <w:basedOn w:val="RecommendationTextBase"/>
    <w:rsid w:val="00D51386"/>
    <w:pPr>
      <w:numPr>
        <w:ilvl w:val="1"/>
        <w:numId w:val="24"/>
      </w:numPr>
    </w:pPr>
  </w:style>
  <w:style w:type="paragraph" w:customStyle="1" w:styleId="RecommendationDoubleDot">
    <w:name w:val="Recommendation Double Dot"/>
    <w:basedOn w:val="RecommendationTextBase"/>
    <w:rsid w:val="00D51386"/>
    <w:pPr>
      <w:numPr>
        <w:ilvl w:val="2"/>
        <w:numId w:val="24"/>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360"/>
      </w:tabs>
      <w:ind w:left="360" w:hanging="360"/>
    </w:pPr>
  </w:style>
  <w:style w:type="paragraph" w:customStyle="1" w:styleId="Romannumeral">
    <w:name w:val="Roman numeral"/>
    <w:basedOn w:val="Normal"/>
    <w:rsid w:val="00D51386"/>
    <w:pPr>
      <w:numPr>
        <w:numId w:val="28"/>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25"/>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uiPriority w:val="99"/>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3"/>
      </w:numPr>
      <w:tabs>
        <w:tab w:val="num" w:pos="567"/>
        <w:tab w:val="num" w:pos="1086"/>
        <w:tab w:val="num" w:pos="1134"/>
        <w:tab w:val="num" w:pos="1440"/>
        <w:tab w:val="num" w:pos="1701"/>
        <w:tab w:val="num" w:pos="2268"/>
        <w:tab w:val="num" w:pos="2574"/>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26"/>
      </w:numPr>
    </w:pPr>
  </w:style>
  <w:style w:type="paragraph" w:customStyle="1" w:styleId="AgreementParties">
    <w:name w:val="AgreementParties"/>
    <w:rsid w:val="00D51386"/>
    <w:pPr>
      <w:numPr>
        <w:numId w:val="29"/>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33"/>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34"/>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35"/>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35"/>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35"/>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35"/>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35"/>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35"/>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35"/>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35"/>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35"/>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A52E03"/>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47166">
      <w:marLeft w:val="0"/>
      <w:marRight w:val="0"/>
      <w:marTop w:val="0"/>
      <w:marBottom w:val="0"/>
      <w:divBdr>
        <w:top w:val="none" w:sz="0" w:space="0" w:color="auto"/>
        <w:left w:val="none" w:sz="0" w:space="0" w:color="auto"/>
        <w:bottom w:val="none" w:sz="0" w:space="0" w:color="auto"/>
        <w:right w:val="none" w:sz="0" w:space="0" w:color="auto"/>
      </w:divBdr>
    </w:div>
    <w:div w:id="1357347167">
      <w:marLeft w:val="0"/>
      <w:marRight w:val="0"/>
      <w:marTop w:val="0"/>
      <w:marBottom w:val="0"/>
      <w:divBdr>
        <w:top w:val="none" w:sz="0" w:space="0" w:color="auto"/>
        <w:left w:val="none" w:sz="0" w:space="0" w:color="auto"/>
        <w:bottom w:val="none" w:sz="0" w:space="0" w:color="auto"/>
        <w:right w:val="none" w:sz="0" w:space="0" w:color="auto"/>
      </w:divBdr>
    </w:div>
    <w:div w:id="1357347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2020FG-64-88925</_dlc_DocId>
    <_dlc_DocIdUrl xmlns="0f563589-9cf9-4143-b1eb-fb0534803d38">
      <Url>http://tweb/sites/fg/csrd/_layouts/15/DocIdRedir.aspx?ID=2020FG-64-88925</Url>
      <Description>2020FG-64-88925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D904-E48A-478A-94D6-682E099887F5}">
  <ds:schemaRefs>
    <ds:schemaRef ds:uri="office.server.policy"/>
  </ds:schemaRefs>
</ds:datastoreItem>
</file>

<file path=customXml/itemProps2.xml><?xml version="1.0" encoding="utf-8"?>
<ds:datastoreItem xmlns:ds="http://schemas.openxmlformats.org/officeDocument/2006/customXml" ds:itemID="{B86AD256-7014-4314-B84A-E0AF49543E5C}">
  <ds:schemaRefs>
    <ds:schemaRef ds:uri="http://schemas.microsoft.com/sharepoint/events"/>
  </ds:schemaRefs>
</ds:datastoreItem>
</file>

<file path=customXml/itemProps3.xml><?xml version="1.0" encoding="utf-8"?>
<ds:datastoreItem xmlns:ds="http://schemas.openxmlformats.org/officeDocument/2006/customXml" ds:itemID="{310F524D-F448-44F7-B0A7-FCD2691F1BEE}">
  <ds:schemaRefs>
    <ds:schemaRef ds:uri="Microsoft.SharePoint.Taxonomy.ContentTypeSync"/>
  </ds:schemaRefs>
</ds:datastoreItem>
</file>

<file path=customXml/itemProps4.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5.xml><?xml version="1.0" encoding="utf-8"?>
<ds:datastoreItem xmlns:ds="http://schemas.openxmlformats.org/officeDocument/2006/customXml" ds:itemID="{49C740D6-EEA0-489C-9263-17040910DA91}">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0488DAAB-FFD2-49A6-ADDB-09CC23BB7430}"/>
</file>

<file path=customXml/itemProps7.xml><?xml version="1.0" encoding="utf-8"?>
<ds:datastoreItem xmlns:ds="http://schemas.openxmlformats.org/officeDocument/2006/customXml" ds:itemID="{0DD64763-543A-4CAA-B117-984948CA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0</TotalTime>
  <Pages>10</Pages>
  <Words>2283</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Lindenow VIC - PA Consolidated Comments</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Lindenow VIC - PA Consolidated Comments</dc:title>
  <dc:subject/>
  <dc:creator/>
  <cp:keywords/>
  <dc:description/>
  <cp:lastModifiedBy/>
  <cp:revision>1</cp:revision>
  <dcterms:created xsi:type="dcterms:W3CDTF">2020-11-25T18:53:00Z</dcterms:created>
  <dcterms:modified xsi:type="dcterms:W3CDTF">2020-11-25T18:53:00Z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Section">
    <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ranch">
    <vt:lpwstr>6;#Rural Water Corporations|b7ff8f08-35d9-4b09-bb56-4e6c81660483</vt:lpwstr>
  </property>
  <property fmtid="{D5CDD505-2E9C-101B-9397-08002B2CF9AE}" pid="7" name="Reference Type">
    <vt:lpwstr/>
  </property>
  <property fmtid="{D5CDD505-2E9C-101B-9397-08002B2CF9AE}" pid="8" name="RWPER Stakeholder">
    <vt:lpwstr/>
  </property>
  <property fmtid="{D5CDD505-2E9C-101B-9397-08002B2CF9AE}" pid="9" name="Division">
    <vt:lpwstr>50;#Statewide Infrastructure and Rural Strategy|fd43e37d-8976-499e-af6e-f6791ede5197</vt:lpwstr>
  </property>
  <property fmtid="{D5CDD505-2E9C-101B-9397-08002B2CF9AE}" pid="10" name="Dissemination Limiting Marker">
    <vt:lpwstr>2;#FOUO|955eb6fc-b35a-4808-8aa5-31e514fa3f26</vt:lpwstr>
  </property>
  <property fmtid="{D5CDD505-2E9C-101B-9397-08002B2CF9AE}" pid="11" name="Group1">
    <vt:lpwstr>4;#Water and Catchments|04babe5f-fe90-4982-9f33-c4fc8f4bb63f</vt:lpwstr>
  </property>
  <property fmtid="{D5CDD505-2E9C-101B-9397-08002B2CF9AE}" pid="12" name="Security Classification">
    <vt:lpwstr>3;#Unclassified|7fa379f4-4aba-4692-ab80-7d39d3a23cf4</vt:lpwstr>
  </property>
  <property fmtid="{D5CDD505-2E9C-101B-9397-08002B2CF9AE}" pid="13" name="_dlc_DocIdItemGuid">
    <vt:lpwstr>9091072b-9953-47fd-b326-f24dc0d09dbd</vt:lpwstr>
  </property>
  <property fmtid="{D5CDD505-2E9C-101B-9397-08002B2CF9AE}" pid="14" name="TSYRecordClass">
    <vt:lpwstr>2;#TSY RA-8748 - Retain as national archives|243f2231-dbfc-4282-b24a-c9b768286bd0</vt:lpwstr>
  </property>
  <property fmtid="{D5CDD505-2E9C-101B-9397-08002B2CF9AE}" pid="15" name="RecordPoint_WorkflowType">
    <vt:lpwstr>ActiveSubmitStub</vt:lpwstr>
  </property>
  <property fmtid="{D5CDD505-2E9C-101B-9397-08002B2CF9AE}" pid="16" name="RecordPoint_ActiveItemUniqueId">
    <vt:lpwstr>{2a1410ca-4754-463e-9e0e-f2eb799d86b7}</vt:lpwstr>
  </property>
  <property fmtid="{D5CDD505-2E9C-101B-9397-08002B2CF9AE}" pid="17" name="RecordPoint_ActiveItemWebId">
    <vt:lpwstr>{a4589788-615f-4b8b-8296-7f9f6dfbab44}</vt:lpwstr>
  </property>
  <property fmtid="{D5CDD505-2E9C-101B-9397-08002B2CF9AE}" pid="18" name="RecordPoint_ActiveItemSiteId">
    <vt:lpwstr>{a3a280d1-e8f1-4ce7-94f0-aaa2322da0dd}</vt:lpwstr>
  </property>
  <property fmtid="{D5CDD505-2E9C-101B-9397-08002B2CF9AE}" pid="19" name="RecordPoint_ActiveItemListId">
    <vt:lpwstr>{4435c73b-6585-4bc2-a76a-5d21b1a02e06}</vt:lpwstr>
  </property>
</Properties>
</file>