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B95F9F" w14:paraId="44BC5723" w14:textId="77777777" w:rsidTr="00326709">
        <w:tc>
          <w:tcPr>
            <w:tcW w:w="5000" w:type="pct"/>
            <w:gridSpan w:val="2"/>
          </w:tcPr>
          <w:p w14:paraId="5BB4DE2D" w14:textId="77777777" w:rsidR="00B95F9F" w:rsidRDefault="00B95F9F" w:rsidP="00326709">
            <w:pPr>
              <w:pStyle w:val="CoverTitleMain"/>
            </w:pPr>
            <w:bookmarkStart w:id="0" w:name="_GoBack"/>
            <w:bookmarkEnd w:id="0"/>
            <w:r>
              <w:t>National partnership on Recycling Infrastructure</w:t>
            </w:r>
          </w:p>
        </w:tc>
      </w:tr>
      <w:tr w:rsidR="00B95F9F" w14:paraId="0A444610" w14:textId="77777777" w:rsidTr="00326709">
        <w:tc>
          <w:tcPr>
            <w:tcW w:w="767" w:type="pct"/>
          </w:tcPr>
          <w:p w14:paraId="0867BE0C" w14:textId="77777777" w:rsidR="00B95F9F" w:rsidRDefault="00B95F9F" w:rsidP="00326709">
            <w:pPr>
              <w:pStyle w:val="SingleParagraph"/>
              <w:tabs>
                <w:tab w:val="num" w:pos="1134"/>
              </w:tabs>
              <w:spacing w:after="240"/>
              <w:ind w:left="1134" w:hanging="567"/>
            </w:pPr>
          </w:p>
        </w:tc>
        <w:tc>
          <w:tcPr>
            <w:tcW w:w="4233" w:type="pct"/>
          </w:tcPr>
          <w:p w14:paraId="0EF28E28" w14:textId="77777777" w:rsidR="00B95F9F" w:rsidRDefault="00B95F9F" w:rsidP="00326709">
            <w:pPr>
              <w:pStyle w:val="SingleParagraph"/>
              <w:tabs>
                <w:tab w:val="num" w:pos="1134"/>
              </w:tabs>
              <w:spacing w:after="240"/>
              <w:ind w:left="1134" w:hanging="567"/>
            </w:pPr>
          </w:p>
        </w:tc>
      </w:tr>
      <w:tr w:rsidR="00B95F9F" w14:paraId="7DAA0E70" w14:textId="77777777" w:rsidTr="00326709">
        <w:tc>
          <w:tcPr>
            <w:tcW w:w="767" w:type="pct"/>
          </w:tcPr>
          <w:p w14:paraId="784089C2" w14:textId="77777777" w:rsidR="00B95F9F" w:rsidRDefault="00B95F9F" w:rsidP="00326709">
            <w:pPr>
              <w:pStyle w:val="SingleParagraph"/>
              <w:tabs>
                <w:tab w:val="num" w:pos="1134"/>
              </w:tabs>
              <w:spacing w:after="240"/>
              <w:ind w:left="1134" w:hanging="567"/>
            </w:pPr>
          </w:p>
        </w:tc>
        <w:tc>
          <w:tcPr>
            <w:tcW w:w="4233" w:type="pct"/>
          </w:tcPr>
          <w:p w14:paraId="5EF1CF49" w14:textId="77777777" w:rsidR="00B95F9F" w:rsidRPr="001E74D0" w:rsidRDefault="00B95F9F" w:rsidP="00326709">
            <w:pPr>
              <w:pStyle w:val="SingleParagraph"/>
              <w:tabs>
                <w:tab w:val="num" w:pos="1134"/>
              </w:tabs>
              <w:spacing w:after="240"/>
              <w:ind w:left="1134" w:hanging="567"/>
            </w:pPr>
          </w:p>
        </w:tc>
      </w:tr>
      <w:tr w:rsidR="00B95F9F" w14:paraId="0AB3B555" w14:textId="77777777" w:rsidTr="00326709">
        <w:tc>
          <w:tcPr>
            <w:tcW w:w="5000" w:type="pct"/>
            <w:gridSpan w:val="2"/>
          </w:tcPr>
          <w:p w14:paraId="7FF8E69B" w14:textId="77777777" w:rsidR="00B95F9F" w:rsidRDefault="00B95F9F" w:rsidP="00326709">
            <w:pPr>
              <w:pStyle w:val="AgreementHeading"/>
              <w:tabs>
                <w:tab w:val="clear" w:pos="1134"/>
              </w:tabs>
            </w:pPr>
            <w:r>
              <w:t>An agreement between</w:t>
            </w:r>
          </w:p>
        </w:tc>
      </w:tr>
      <w:tr w:rsidR="00B95F9F" w14:paraId="2F1CA863" w14:textId="77777777" w:rsidTr="00326709">
        <w:tc>
          <w:tcPr>
            <w:tcW w:w="767" w:type="pct"/>
          </w:tcPr>
          <w:p w14:paraId="2B403C72" w14:textId="77777777" w:rsidR="00B95F9F" w:rsidRPr="001E74D0" w:rsidRDefault="00B95F9F" w:rsidP="00326709">
            <w:pPr>
              <w:pStyle w:val="AgreementHeading"/>
              <w:tabs>
                <w:tab w:val="clear" w:pos="1134"/>
              </w:tabs>
              <w:ind w:left="522"/>
            </w:pPr>
          </w:p>
        </w:tc>
        <w:tc>
          <w:tcPr>
            <w:tcW w:w="4233" w:type="pct"/>
          </w:tcPr>
          <w:p w14:paraId="5A5BAE97" w14:textId="77777777" w:rsidR="00B95F9F" w:rsidRDefault="00B95F9F" w:rsidP="00326709">
            <w:pPr>
              <w:pStyle w:val="AgreementParties"/>
            </w:pPr>
            <w:r>
              <w:t xml:space="preserve">the </w:t>
            </w:r>
            <w:r>
              <w:rPr>
                <w:rStyle w:val="Bold"/>
              </w:rPr>
              <w:t xml:space="preserve">Commonwealth of </w:t>
            </w:r>
            <w:smartTag w:uri="urn:schemas-microsoft-com:office:smarttags" w:element="place">
              <w:smartTag w:uri="urn:schemas-microsoft-com:office:smarttags" w:element="country-region">
                <w:r>
                  <w:rPr>
                    <w:rStyle w:val="Bold"/>
                  </w:rPr>
                  <w:t>Australia</w:t>
                </w:r>
              </w:smartTag>
            </w:smartTag>
            <w:r>
              <w:t xml:space="preserve"> and</w:t>
            </w:r>
          </w:p>
          <w:p w14:paraId="0A45B425" w14:textId="77777777" w:rsidR="00B95F9F" w:rsidRPr="001E74D0" w:rsidRDefault="00B95F9F" w:rsidP="00326709">
            <w:pPr>
              <w:pStyle w:val="AgreementParties"/>
            </w:pPr>
            <w:r>
              <w:t xml:space="preserve">the </w:t>
            </w:r>
            <w:r>
              <w:rPr>
                <w:rStyle w:val="Bold"/>
              </w:rPr>
              <w:t>States and Territories</w:t>
            </w:r>
            <w:r>
              <w:t>, being:</w:t>
            </w:r>
          </w:p>
        </w:tc>
      </w:tr>
      <w:tr w:rsidR="00B95F9F" w14:paraId="493A06B0" w14:textId="77777777" w:rsidTr="00326709">
        <w:tc>
          <w:tcPr>
            <w:tcW w:w="767" w:type="pct"/>
          </w:tcPr>
          <w:p w14:paraId="7974B999" w14:textId="77777777" w:rsidR="00B95F9F" w:rsidRDefault="00B95F9F" w:rsidP="00326709">
            <w:pPr>
              <w:pStyle w:val="SingleParagraph"/>
              <w:tabs>
                <w:tab w:val="num" w:pos="1134"/>
              </w:tabs>
              <w:spacing w:after="240"/>
              <w:ind w:left="1134" w:hanging="567"/>
            </w:pPr>
          </w:p>
        </w:tc>
        <w:tc>
          <w:tcPr>
            <w:tcW w:w="4233" w:type="pct"/>
            <w:tcBorders>
              <w:left w:val="nil"/>
            </w:tcBorders>
          </w:tcPr>
          <w:p w14:paraId="0E012868" w14:textId="77777777" w:rsidR="00B95F9F" w:rsidRDefault="00B95F9F" w:rsidP="00326709">
            <w:pPr>
              <w:pStyle w:val="StatesList"/>
              <w:numPr>
                <w:ilvl w:val="0"/>
                <w:numId w:val="7"/>
              </w:numPr>
            </w:pPr>
            <w:r>
              <w:t>New South Wales</w:t>
            </w:r>
          </w:p>
          <w:p w14:paraId="5D77E124" w14:textId="77777777" w:rsidR="00B95F9F" w:rsidRDefault="00B95F9F" w:rsidP="00326709">
            <w:pPr>
              <w:pStyle w:val="StatesList"/>
              <w:numPr>
                <w:ilvl w:val="0"/>
                <w:numId w:val="7"/>
              </w:numPr>
            </w:pPr>
            <w:r>
              <w:t>Victoria</w:t>
            </w:r>
          </w:p>
          <w:p w14:paraId="5B05073B" w14:textId="77777777" w:rsidR="00B95F9F" w:rsidRDefault="00B95F9F" w:rsidP="00326709">
            <w:pPr>
              <w:pStyle w:val="StatesList"/>
              <w:numPr>
                <w:ilvl w:val="0"/>
                <w:numId w:val="7"/>
              </w:numPr>
            </w:pPr>
            <w:r>
              <w:t>Queensland</w:t>
            </w:r>
          </w:p>
          <w:p w14:paraId="6AF34483" w14:textId="77777777" w:rsidR="00B95F9F" w:rsidRDefault="00B95F9F" w:rsidP="00326709">
            <w:pPr>
              <w:pStyle w:val="StatesList"/>
              <w:numPr>
                <w:ilvl w:val="0"/>
                <w:numId w:val="7"/>
              </w:numPr>
            </w:pPr>
            <w:r>
              <w:t>Western Australia</w:t>
            </w:r>
          </w:p>
          <w:p w14:paraId="11984CE1" w14:textId="77777777" w:rsidR="00B95F9F" w:rsidRDefault="00B95F9F" w:rsidP="00326709">
            <w:pPr>
              <w:pStyle w:val="StatesList"/>
              <w:numPr>
                <w:ilvl w:val="0"/>
                <w:numId w:val="7"/>
              </w:numPr>
            </w:pPr>
            <w:r>
              <w:t>South Australia</w:t>
            </w:r>
          </w:p>
          <w:p w14:paraId="1ACA0DCF" w14:textId="77777777" w:rsidR="00B95F9F" w:rsidRDefault="00B95F9F" w:rsidP="00326709">
            <w:pPr>
              <w:pStyle w:val="StatesList"/>
              <w:numPr>
                <w:ilvl w:val="0"/>
                <w:numId w:val="7"/>
              </w:numPr>
            </w:pPr>
            <w:r>
              <w:t>Tasmania</w:t>
            </w:r>
          </w:p>
          <w:p w14:paraId="54808F45" w14:textId="77777777" w:rsidR="00B95F9F" w:rsidRDefault="00B95F9F" w:rsidP="00326709">
            <w:pPr>
              <w:pStyle w:val="StatesList"/>
              <w:numPr>
                <w:ilvl w:val="0"/>
                <w:numId w:val="7"/>
              </w:numPr>
            </w:pPr>
            <w:r>
              <w:t>the Australian Capital Territory</w:t>
            </w:r>
          </w:p>
          <w:p w14:paraId="6305386F" w14:textId="77777777" w:rsidR="00B95F9F" w:rsidRDefault="00B95F9F" w:rsidP="00326709">
            <w:pPr>
              <w:pStyle w:val="StatesList"/>
              <w:numPr>
                <w:ilvl w:val="0"/>
                <w:numId w:val="7"/>
              </w:numPr>
            </w:pPr>
            <w:r>
              <w:t>the Northern Territory</w:t>
            </w:r>
          </w:p>
          <w:p w14:paraId="5A52E984" w14:textId="77777777" w:rsidR="00B95F9F" w:rsidRDefault="00B95F9F" w:rsidP="00326709"/>
          <w:p w14:paraId="39D55C13" w14:textId="77777777" w:rsidR="00B95F9F" w:rsidRPr="00EB7EDA" w:rsidRDefault="00B95F9F" w:rsidP="00326709">
            <w:pPr>
              <w:rPr>
                <w:i/>
              </w:rPr>
            </w:pPr>
          </w:p>
        </w:tc>
      </w:tr>
      <w:tr w:rsidR="00B95F9F" w14:paraId="1CA02F27" w14:textId="77777777" w:rsidTr="00326709">
        <w:tc>
          <w:tcPr>
            <w:tcW w:w="5000" w:type="pct"/>
            <w:gridSpan w:val="2"/>
          </w:tcPr>
          <w:p w14:paraId="521F7A35" w14:textId="77777777" w:rsidR="00B95F9F" w:rsidRDefault="00B95F9F" w:rsidP="00326709">
            <w:pPr>
              <w:pStyle w:val="SingleParagraph"/>
              <w:tabs>
                <w:tab w:val="num" w:pos="1134"/>
              </w:tabs>
              <w:spacing w:after="240"/>
              <w:ind w:left="1134" w:hanging="567"/>
            </w:pPr>
          </w:p>
        </w:tc>
      </w:tr>
      <w:tr w:rsidR="00B95F9F" w14:paraId="2E8CBD1D" w14:textId="77777777" w:rsidTr="00326709">
        <w:tc>
          <w:tcPr>
            <w:tcW w:w="5000" w:type="pct"/>
            <w:gridSpan w:val="2"/>
          </w:tcPr>
          <w:p w14:paraId="483DB439" w14:textId="77777777" w:rsidR="00B95F9F" w:rsidRDefault="00B95F9F" w:rsidP="00326709">
            <w:pPr>
              <w:pStyle w:val="Abstract"/>
            </w:pPr>
          </w:p>
          <w:p w14:paraId="0237CC5F" w14:textId="77777777" w:rsidR="003226F2" w:rsidRPr="003226F2" w:rsidRDefault="00B95F9F" w:rsidP="003226F2">
            <w:pPr>
              <w:pStyle w:val="Abstract"/>
            </w:pPr>
            <w:r>
              <w:t xml:space="preserve">This Agreement will contribute to improved recycling outcomes </w:t>
            </w:r>
            <w:r w:rsidR="00D84A5B" w:rsidRPr="00D84A5B">
              <w:t>by addressing critical infrastructure gaps in Australia</w:t>
            </w:r>
            <w:r w:rsidR="00327231">
              <w:t>’</w:t>
            </w:r>
            <w:r w:rsidR="00D84A5B" w:rsidRPr="00D84A5B">
              <w:t>s waste management and resource recovery system</w:t>
            </w:r>
            <w:r>
              <w:t xml:space="preserve">. </w:t>
            </w:r>
          </w:p>
          <w:p w14:paraId="31A80DF0" w14:textId="77777777" w:rsidR="003226F2" w:rsidRPr="003226F2" w:rsidRDefault="003226F2" w:rsidP="003226F2"/>
          <w:p w14:paraId="172B773A" w14:textId="77777777" w:rsidR="003226F2" w:rsidRPr="003226F2" w:rsidRDefault="003226F2" w:rsidP="003226F2"/>
          <w:p w14:paraId="798997AD" w14:textId="77777777" w:rsidR="003226F2" w:rsidRPr="003226F2" w:rsidRDefault="003226F2" w:rsidP="003226F2">
            <w:pPr>
              <w:tabs>
                <w:tab w:val="left" w:pos="8660"/>
              </w:tabs>
            </w:pPr>
            <w:r>
              <w:tab/>
            </w:r>
          </w:p>
        </w:tc>
      </w:tr>
    </w:tbl>
    <w:p w14:paraId="683FBF59" w14:textId="77777777" w:rsidR="00B95F9F" w:rsidRDefault="00B95F9F" w:rsidP="00B95F9F">
      <w:pPr>
        <w:pStyle w:val="Title"/>
        <w:pageBreakBefore/>
      </w:pPr>
      <w:r>
        <w:lastRenderedPageBreak/>
        <w:t>National Partnership</w:t>
      </w:r>
      <w:r>
        <w:br/>
        <w:t xml:space="preserve">on </w:t>
      </w:r>
      <w:r w:rsidRPr="004919B6">
        <w:t>Recycling Infrastructure</w:t>
      </w:r>
    </w:p>
    <w:p w14:paraId="709CB3E9" w14:textId="77777777" w:rsidR="00B95F9F" w:rsidRPr="003D26BA" w:rsidRDefault="00B95F9F" w:rsidP="00B95F9F">
      <w:pPr>
        <w:pStyle w:val="Heading1"/>
        <w:pBdr>
          <w:top w:val="single" w:sz="4" w:space="1" w:color="auto"/>
          <w:left w:val="single" w:sz="4" w:space="4" w:color="auto"/>
          <w:bottom w:val="single" w:sz="4" w:space="1" w:color="auto"/>
          <w:right w:val="single" w:sz="4" w:space="4" w:color="auto"/>
        </w:pBdr>
        <w:shd w:val="clear" w:color="auto" w:fill="DBE5F1" w:themeFill="accent1" w:themeFillTint="33"/>
      </w:pPr>
      <w:r>
        <w:t>overview</w:t>
      </w:r>
    </w:p>
    <w:p w14:paraId="46AEF824" w14:textId="77777777" w:rsidR="00B95F9F" w:rsidRDefault="00B95F9F" w:rsidP="00B95F9F">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color w:val="auto"/>
        </w:rPr>
      </w:pPr>
      <w:r w:rsidRPr="00336F12">
        <w:rPr>
          <w:color w:val="auto"/>
        </w:rPr>
        <w:t xml:space="preserve">This National Partnership (the Agreement) is created subject to the provisions of the Intergovernmental Agreement on Federal Financial Relations </w:t>
      </w:r>
      <w:r>
        <w:rPr>
          <w:color w:val="auto"/>
        </w:rPr>
        <w:t xml:space="preserve">(IGA FFR) </w:t>
      </w:r>
      <w:r w:rsidRPr="00336F12">
        <w:rPr>
          <w:color w:val="auto"/>
        </w:rPr>
        <w:t>and should be read in conjunction with that Agreement and its Schedules, which provide information in relation to performance reporting and payment arrangements under the IGA</w:t>
      </w:r>
      <w:r>
        <w:rPr>
          <w:color w:val="auto"/>
        </w:rPr>
        <w:t xml:space="preserve"> FFR</w:t>
      </w:r>
      <w:r w:rsidRPr="00336F12">
        <w:rPr>
          <w:color w:val="auto"/>
        </w:rPr>
        <w:t>.</w:t>
      </w:r>
    </w:p>
    <w:p w14:paraId="417258B7" w14:textId="77777777" w:rsidR="00B95F9F" w:rsidRDefault="00B95F9F" w:rsidP="00B95F9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color w:val="auto"/>
        </w:rPr>
      </w:pPr>
      <w:r w:rsidRPr="00FE4A16">
        <w:rPr>
          <w:rFonts w:cs="Arial"/>
          <w:b/>
          <w:bCs/>
          <w:iCs/>
          <w:color w:val="3D4B67"/>
          <w:sz w:val="29"/>
          <w:szCs w:val="28"/>
        </w:rPr>
        <w:t>Purpose</w:t>
      </w:r>
    </w:p>
    <w:p w14:paraId="5AC243F0" w14:textId="77777777" w:rsidR="00B95F9F" w:rsidRPr="00336F12" w:rsidRDefault="00B95F9F" w:rsidP="00B95F9F">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color w:val="auto"/>
        </w:rPr>
      </w:pPr>
      <w:r w:rsidRPr="00336F12">
        <w:rPr>
          <w:color w:val="auto"/>
        </w:rPr>
        <w:t xml:space="preserve">In entering this Agreement, the Commonwealth and the States and Territories (the States) recognise that they have a mutual interest in improving outcomes in </w:t>
      </w:r>
      <w:r>
        <w:rPr>
          <w:color w:val="auto"/>
        </w:rPr>
        <w:t>Australia’s waste and recycling sector</w:t>
      </w:r>
      <w:r w:rsidRPr="00336F12">
        <w:rPr>
          <w:color w:val="auto"/>
        </w:rPr>
        <w:t xml:space="preserve"> and need to work together to achieve those outcomes.</w:t>
      </w:r>
      <w:r>
        <w:rPr>
          <w:color w:val="auto"/>
        </w:rPr>
        <w:t xml:space="preserve"> </w:t>
      </w:r>
    </w:p>
    <w:p w14:paraId="69B537C2" w14:textId="77777777" w:rsidR="00B95F9F" w:rsidRDefault="00B95F9F" w:rsidP="00B95F9F">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color w:val="auto"/>
        </w:rPr>
      </w:pPr>
      <w:r w:rsidRPr="00336F12">
        <w:rPr>
          <w:color w:val="auto"/>
        </w:rPr>
        <w:t xml:space="preserve">This Agreement will contribute to </w:t>
      </w:r>
      <w:r w:rsidRPr="00BC5E96">
        <w:rPr>
          <w:color w:val="auto"/>
        </w:rPr>
        <w:t>improved recycling outcomes by addressing critical gaps in Australia’s recycling infrastructure</w:t>
      </w:r>
      <w:r>
        <w:rPr>
          <w:color w:val="auto"/>
        </w:rPr>
        <w:t xml:space="preserve"> needed to support successful implementation of the Council of Australian Governments</w:t>
      </w:r>
      <w:r w:rsidR="00542E5C">
        <w:rPr>
          <w:color w:val="auto"/>
        </w:rPr>
        <w:t xml:space="preserve"> (COAG)</w:t>
      </w:r>
      <w:r>
        <w:rPr>
          <w:color w:val="auto"/>
        </w:rPr>
        <w:t xml:space="preserve"> March 2020 decision to phase out the exports of waste plastic, paper, glass and tyres (COAG waste export ban). </w:t>
      </w:r>
    </w:p>
    <w:p w14:paraId="68290B0E" w14:textId="77777777" w:rsidR="00B95F9F" w:rsidRDefault="00B95F9F" w:rsidP="00B95F9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FE4A16">
        <w:rPr>
          <w:rFonts w:cs="Arial"/>
          <w:b/>
          <w:bCs/>
          <w:iCs/>
          <w:color w:val="3D4B67"/>
          <w:sz w:val="29"/>
          <w:szCs w:val="28"/>
        </w:rPr>
        <w:t>Reporting Arrangements</w:t>
      </w:r>
    </w:p>
    <w:p w14:paraId="099A026A" w14:textId="2F92878D" w:rsidR="00854B0D" w:rsidRPr="00FE4A16" w:rsidRDefault="00B95F9F" w:rsidP="00854B0D">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r>
        <w:t xml:space="preserve">The States will </w:t>
      </w:r>
      <w:r w:rsidR="00854B0D">
        <w:t xml:space="preserve">provide annual reports outlining the minimum required against the agreed reporting arrangements </w:t>
      </w:r>
      <w:r>
        <w:t>as set out in Part 4 – Performance Monitoring and Reporting.</w:t>
      </w:r>
      <w:r w:rsidR="00854B0D">
        <w:t xml:space="preserve"> These annual reports are in addition to milestone reporting as set out in bilateral schedules to this agreement.</w:t>
      </w:r>
    </w:p>
    <w:p w14:paraId="745B4651" w14:textId="77777777" w:rsidR="00B95F9F" w:rsidRDefault="00B95F9F" w:rsidP="00B95F9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r>
        <w:rPr>
          <w:rFonts w:cs="Arial"/>
          <w:b/>
          <w:bCs/>
          <w:iCs/>
          <w:color w:val="3D4B67"/>
          <w:sz w:val="29"/>
          <w:szCs w:val="28"/>
        </w:rPr>
        <w:t xml:space="preserve">Financial Arrangements </w:t>
      </w:r>
    </w:p>
    <w:p w14:paraId="6CA578E6" w14:textId="2366F894" w:rsidR="00B95F9F" w:rsidRPr="00793A2E" w:rsidRDefault="00B95F9F" w:rsidP="00B95F9F">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after="0"/>
        <w:jc w:val="left"/>
        <w:rPr>
          <w:rFonts w:cs="Arial"/>
          <w:b/>
          <w:bCs/>
          <w:iCs/>
          <w:color w:val="3D4B67"/>
          <w:sz w:val="29"/>
          <w:szCs w:val="28"/>
        </w:rPr>
      </w:pPr>
      <w:r w:rsidRPr="007179FE">
        <w:t xml:space="preserve">The Commonwealth will provide </w:t>
      </w:r>
      <w:r>
        <w:t xml:space="preserve">an estimated total </w:t>
      </w:r>
      <w:r w:rsidRPr="007179FE">
        <w:t xml:space="preserve">financial contribution to the States </w:t>
      </w:r>
      <w:r>
        <w:t>of $</w:t>
      </w:r>
      <w:r w:rsidR="00854B0D">
        <w:t>190</w:t>
      </w:r>
      <w:r w:rsidR="005C352A">
        <w:t xml:space="preserve"> million</w:t>
      </w:r>
      <w:r>
        <w:t xml:space="preserve"> (GST exclusive) in respect of this Agreement, as set out </w:t>
      </w:r>
      <w:r w:rsidRPr="007179FE">
        <w:t xml:space="preserve">in </w:t>
      </w:r>
      <w:r>
        <w:t>Part 5 – Financial Arrangements</w:t>
      </w:r>
      <w:r w:rsidRPr="007179FE">
        <w:t>.</w:t>
      </w:r>
      <w:r w:rsidR="00854B0D">
        <w:t xml:space="preserve"> </w:t>
      </w:r>
      <w:r w:rsidR="00854B0D" w:rsidRPr="008A7986">
        <w:rPr>
          <w:rFonts w:ascii="Calibri"/>
        </w:rPr>
        <w:t xml:space="preserve">The actual contributions to </w:t>
      </w:r>
      <w:r w:rsidR="00854B0D">
        <w:rPr>
          <w:rFonts w:ascii="Calibri"/>
        </w:rPr>
        <w:t>each State</w:t>
      </w:r>
      <w:r w:rsidR="00854B0D" w:rsidRPr="008A7986">
        <w:rPr>
          <w:rFonts w:ascii="Calibri"/>
        </w:rPr>
        <w:t xml:space="preserve"> will be set out in the Schedules to this Agreement</w:t>
      </w:r>
      <w:r w:rsidR="00854B0D">
        <w:rPr>
          <w:rFonts w:ascii="Calibri"/>
        </w:rPr>
        <w:t>.</w:t>
      </w:r>
    </w:p>
    <w:p w14:paraId="231C09EA" w14:textId="77777777" w:rsidR="00B95F9F" w:rsidRPr="00FE4A16" w:rsidRDefault="00B95F9F" w:rsidP="00B95F9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p>
    <w:p w14:paraId="05B52151" w14:textId="77777777" w:rsidR="00B95F9F" w:rsidRDefault="00B95F9F" w:rsidP="00B95F9F">
      <w:pPr>
        <w:pStyle w:val="Heading1"/>
      </w:pPr>
      <w:r>
        <w:t>Part 1 — Formalities</w:t>
      </w:r>
    </w:p>
    <w:p w14:paraId="10CBC299" w14:textId="77777777" w:rsidR="00B95F9F" w:rsidRDefault="00B95F9F" w:rsidP="00B95F9F">
      <w:pPr>
        <w:pStyle w:val="Heading2"/>
      </w:pPr>
      <w:r>
        <w:t>Parties to this Agreement</w:t>
      </w:r>
    </w:p>
    <w:p w14:paraId="73F51476" w14:textId="77777777" w:rsidR="00B95F9F" w:rsidRPr="007B4B03" w:rsidRDefault="00B95F9F" w:rsidP="00B95F9F">
      <w:pPr>
        <w:pStyle w:val="Normalnumbered"/>
        <w:numPr>
          <w:ilvl w:val="0"/>
          <w:numId w:val="10"/>
        </w:numPr>
        <w:tabs>
          <w:tab w:val="clear" w:pos="1418"/>
        </w:tabs>
        <w:jc w:val="left"/>
      </w:pPr>
      <w:r w:rsidRPr="003012DA">
        <w:t xml:space="preserve">This Agreement is between the Commonwealth of Australia (the Commonwealth) and the States and Territories (the States). </w:t>
      </w:r>
    </w:p>
    <w:p w14:paraId="1C1EEB81" w14:textId="77777777" w:rsidR="00B95F9F" w:rsidRDefault="00B95F9F" w:rsidP="00B95F9F">
      <w:pPr>
        <w:pStyle w:val="Heading2"/>
      </w:pPr>
      <w:r>
        <w:t>Term of the Agreement</w:t>
      </w:r>
    </w:p>
    <w:p w14:paraId="693D786C" w14:textId="77777777" w:rsidR="00B95F9F" w:rsidRDefault="00B95F9F" w:rsidP="00B95F9F">
      <w:pPr>
        <w:pStyle w:val="Normalnumbered"/>
        <w:numPr>
          <w:ilvl w:val="0"/>
          <w:numId w:val="10"/>
        </w:numPr>
        <w:tabs>
          <w:tab w:val="clear" w:pos="1418"/>
        </w:tabs>
      </w:pPr>
      <w:r w:rsidRPr="003012DA">
        <w:t xml:space="preserve">This </w:t>
      </w:r>
      <w:r>
        <w:t>Agreement will commence as soon as the Commonwealth and one other Party sign it and will expire on 30 June 2024 or on completion of final performance reporting and processing of final payments against performance benchmarks or project milestones, whichever is later. The Agreement may be terminated earlier or extended as agreed in writing by the Parties.</w:t>
      </w:r>
      <w:r w:rsidRPr="00FE4A16">
        <w:t xml:space="preserve"> </w:t>
      </w:r>
    </w:p>
    <w:p w14:paraId="7641A8CA" w14:textId="77777777" w:rsidR="00B95F9F" w:rsidRDefault="00B95F9F" w:rsidP="00B95F9F">
      <w:pPr>
        <w:pStyle w:val="Heading1"/>
        <w:spacing w:before="100"/>
      </w:pPr>
      <w:r>
        <w:lastRenderedPageBreak/>
        <w:t>Part 2 — Objectives, outcomes and outputs</w:t>
      </w:r>
    </w:p>
    <w:p w14:paraId="4FF53A41" w14:textId="77777777" w:rsidR="00B95F9F" w:rsidRPr="001A7A15" w:rsidRDefault="00B95F9F" w:rsidP="00B95F9F">
      <w:pPr>
        <w:pStyle w:val="Heading2"/>
      </w:pPr>
      <w:r>
        <w:t>Objective</w:t>
      </w:r>
    </w:p>
    <w:p w14:paraId="0DC8A69C" w14:textId="77777777" w:rsidR="00D84A5B" w:rsidRDefault="00B95F9F" w:rsidP="00B95F9F">
      <w:pPr>
        <w:pStyle w:val="Normalnumbered"/>
        <w:numPr>
          <w:ilvl w:val="0"/>
          <w:numId w:val="10"/>
        </w:numPr>
        <w:tabs>
          <w:tab w:val="clear" w:pos="1418"/>
        </w:tabs>
      </w:pPr>
      <w:r>
        <w:t xml:space="preserve">The objective of this Agreement is to </w:t>
      </w:r>
      <w:r w:rsidRPr="00D478E1">
        <w:t xml:space="preserve">improve recycling outcomes by addressing critical </w:t>
      </w:r>
      <w:r w:rsidR="00D84A5B">
        <w:t xml:space="preserve">infrastructure </w:t>
      </w:r>
      <w:r w:rsidRPr="00D478E1">
        <w:t xml:space="preserve">gaps in Australia’s </w:t>
      </w:r>
      <w:r w:rsidR="00D84A5B" w:rsidRPr="00D84A5B">
        <w:t>waste management and resource recovery s</w:t>
      </w:r>
      <w:r w:rsidR="00D84A5B">
        <w:t>ystem.</w:t>
      </w:r>
    </w:p>
    <w:p w14:paraId="65AC5DBA" w14:textId="77777777" w:rsidR="00B95F9F" w:rsidRDefault="00B95F9F" w:rsidP="00B95F9F">
      <w:pPr>
        <w:pStyle w:val="Heading2"/>
      </w:pPr>
      <w:r>
        <w:t>Outcomes</w:t>
      </w:r>
    </w:p>
    <w:p w14:paraId="2094851C" w14:textId="77777777" w:rsidR="00FE28C5" w:rsidRDefault="00B95F9F" w:rsidP="00FE28C5">
      <w:pPr>
        <w:pStyle w:val="Normalnumbered"/>
        <w:numPr>
          <w:ilvl w:val="0"/>
          <w:numId w:val="10"/>
        </w:numPr>
        <w:tabs>
          <w:tab w:val="clear" w:pos="1418"/>
        </w:tabs>
      </w:pPr>
      <w:r w:rsidRPr="001A7A15">
        <w:t>Th</w:t>
      </w:r>
      <w:r>
        <w:t>is</w:t>
      </w:r>
      <w:r w:rsidRPr="001A7A15">
        <w:t xml:space="preserve"> Agreement will </w:t>
      </w:r>
      <w:r>
        <w:t>facilitate</w:t>
      </w:r>
      <w:r w:rsidR="00FE28C5">
        <w:t xml:space="preserve"> </w:t>
      </w:r>
      <w:r>
        <w:t>greater resource recovery by</w:t>
      </w:r>
      <w:r w:rsidR="00FE28C5">
        <w:t>:</w:t>
      </w:r>
    </w:p>
    <w:p w14:paraId="7CC34328" w14:textId="77777777" w:rsidR="00B95F9F" w:rsidRDefault="00B95F9F" w:rsidP="00726A66">
      <w:pPr>
        <w:pStyle w:val="AlphaParagraph"/>
        <w:numPr>
          <w:ilvl w:val="0"/>
          <w:numId w:val="21"/>
        </w:numPr>
        <w:tabs>
          <w:tab w:val="clear" w:pos="567"/>
        </w:tabs>
        <w:ind w:left="1134"/>
      </w:pPr>
      <w:r>
        <w:t xml:space="preserve">increasing the </w:t>
      </w:r>
      <w:r w:rsidR="00FE28C5">
        <w:t>supply</w:t>
      </w:r>
      <w:r w:rsidR="003F0A91">
        <w:t xml:space="preserve"> of quality recycled materials</w:t>
      </w:r>
      <w:r w:rsidR="00FE28C5">
        <w:t xml:space="preserve"> available for use</w:t>
      </w:r>
      <w:r>
        <w:t>;</w:t>
      </w:r>
      <w:r w:rsidR="003F0A91">
        <w:t xml:space="preserve"> </w:t>
      </w:r>
      <w:r w:rsidR="00FE28C5">
        <w:t>and</w:t>
      </w:r>
      <w:r w:rsidR="003F0A91">
        <w:t xml:space="preserve"> </w:t>
      </w:r>
    </w:p>
    <w:p w14:paraId="69F45A60" w14:textId="77777777" w:rsidR="00B95F9F" w:rsidRPr="00B2044A" w:rsidRDefault="00B95F9F" w:rsidP="00726A66">
      <w:pPr>
        <w:pStyle w:val="AlphaParagraph"/>
        <w:numPr>
          <w:ilvl w:val="0"/>
          <w:numId w:val="21"/>
        </w:numPr>
        <w:tabs>
          <w:tab w:val="clear" w:pos="567"/>
        </w:tabs>
        <w:ind w:left="1134"/>
      </w:pPr>
      <w:r>
        <w:t>increa</w:t>
      </w:r>
      <w:r w:rsidR="00FE28C5">
        <w:t>sing the</w:t>
      </w:r>
      <w:r>
        <w:t xml:space="preserve"> capacity for domestic </w:t>
      </w:r>
      <w:r w:rsidR="00A55B31">
        <w:t xml:space="preserve">sorting, </w:t>
      </w:r>
      <w:r>
        <w:t>processing</w:t>
      </w:r>
      <w:r w:rsidR="00FE28C5">
        <w:t xml:space="preserve"> and manufacturing</w:t>
      </w:r>
      <w:r>
        <w:t xml:space="preserve"> of materials affected by the COAG waste export ban</w:t>
      </w:r>
      <w:r w:rsidR="00FE28C5">
        <w:t>.</w:t>
      </w:r>
    </w:p>
    <w:p w14:paraId="5E3C1706" w14:textId="77777777" w:rsidR="00B95F9F" w:rsidRDefault="00B95F9F" w:rsidP="00B95F9F">
      <w:pPr>
        <w:pStyle w:val="Heading2"/>
      </w:pPr>
      <w:r>
        <w:t>Outputs</w:t>
      </w:r>
    </w:p>
    <w:p w14:paraId="424C2E93" w14:textId="77777777" w:rsidR="00B95F9F" w:rsidRDefault="00B95F9F" w:rsidP="00B95F9F">
      <w:pPr>
        <w:pStyle w:val="Normalnumbered"/>
        <w:numPr>
          <w:ilvl w:val="0"/>
          <w:numId w:val="10"/>
        </w:numPr>
        <w:tabs>
          <w:tab w:val="clear" w:pos="1418"/>
        </w:tabs>
        <w:jc w:val="left"/>
      </w:pPr>
      <w:r w:rsidRPr="0085738D">
        <w:t>The objectives and outcomes of this Agreement will be achieved by</w:t>
      </w:r>
      <w:r>
        <w:t xml:space="preserve"> investments in projects as agreed in bilateral Schedules to this Agreement. Guidance on eligible project activities is at Appendix A.</w:t>
      </w:r>
    </w:p>
    <w:p w14:paraId="7FA39EBB" w14:textId="77777777" w:rsidR="00B95F9F" w:rsidRDefault="00B95F9F" w:rsidP="00B95F9F">
      <w:pPr>
        <w:pStyle w:val="Heading1"/>
      </w:pPr>
      <w:r>
        <w:t>Part 3 — Roles and responsibilities of each party</w:t>
      </w:r>
    </w:p>
    <w:p w14:paraId="430D6A43" w14:textId="77777777" w:rsidR="00B95F9F" w:rsidRDefault="00B95F9F" w:rsidP="00B95F9F">
      <w:pPr>
        <w:pStyle w:val="Heading2"/>
      </w:pPr>
      <w:r w:rsidRPr="00814590">
        <w:t>Role of the Commonwealth</w:t>
      </w:r>
    </w:p>
    <w:p w14:paraId="74B26FC4" w14:textId="77777777" w:rsidR="00B95F9F" w:rsidRPr="00336F12" w:rsidRDefault="00B95F9F" w:rsidP="00B95F9F">
      <w:pPr>
        <w:pStyle w:val="Normalnumbered"/>
        <w:numPr>
          <w:ilvl w:val="0"/>
          <w:numId w:val="10"/>
        </w:numPr>
        <w:tabs>
          <w:tab w:val="clear" w:pos="1418"/>
        </w:tabs>
        <w:jc w:val="left"/>
        <w:rPr>
          <w:color w:val="auto"/>
        </w:rPr>
      </w:pPr>
      <w:r w:rsidRPr="00336F12">
        <w:rPr>
          <w:color w:val="auto"/>
        </w:rPr>
        <w:t xml:space="preserve">The Commonwealth agrees to be </w:t>
      </w:r>
      <w:r>
        <w:rPr>
          <w:color w:val="auto"/>
        </w:rPr>
        <w:softHyphen/>
        <w:t>responsible</w:t>
      </w:r>
      <w:r w:rsidRPr="00336F12">
        <w:rPr>
          <w:color w:val="auto"/>
        </w:rPr>
        <w:t xml:space="preserve"> for:</w:t>
      </w:r>
    </w:p>
    <w:p w14:paraId="7C76B3D3" w14:textId="77777777" w:rsidR="00B95F9F" w:rsidRPr="00E72F4A" w:rsidRDefault="00B95F9F" w:rsidP="00726A66">
      <w:pPr>
        <w:pStyle w:val="AlphaParagraph"/>
        <w:numPr>
          <w:ilvl w:val="0"/>
          <w:numId w:val="24"/>
        </w:numPr>
        <w:tabs>
          <w:tab w:val="clear" w:pos="567"/>
        </w:tabs>
        <w:ind w:left="1134"/>
        <w:rPr>
          <w:i/>
        </w:rPr>
      </w:pPr>
      <w:r w:rsidRPr="00C05CC6">
        <w:t xml:space="preserve">providing a financial contribution to the States to support the implementation of this Agreement; </w:t>
      </w:r>
    </w:p>
    <w:p w14:paraId="70DDAF25" w14:textId="77777777" w:rsidR="00B95F9F" w:rsidRPr="0055408E" w:rsidRDefault="00B95F9F" w:rsidP="00726A66">
      <w:pPr>
        <w:pStyle w:val="AlphaParagraph"/>
        <w:numPr>
          <w:ilvl w:val="0"/>
          <w:numId w:val="24"/>
        </w:numPr>
        <w:tabs>
          <w:tab w:val="clear" w:pos="567"/>
        </w:tabs>
        <w:ind w:left="1134"/>
        <w:rPr>
          <w:i/>
        </w:rPr>
      </w:pPr>
      <w:r w:rsidRPr="006B4DF0">
        <w:t>monitoring and assessing the performance in the delivery of</w:t>
      </w:r>
      <w:r w:rsidRPr="00C05CC6">
        <w:rPr>
          <w:i/>
        </w:rPr>
        <w:t xml:space="preserve"> </w:t>
      </w:r>
      <w:r w:rsidRPr="000064E1">
        <w:t>projects</w:t>
      </w:r>
      <w:r w:rsidRPr="00C05CC6">
        <w:rPr>
          <w:i/>
        </w:rPr>
        <w:t xml:space="preserve"> </w:t>
      </w:r>
      <w:r w:rsidRPr="00896477">
        <w:t>under this Agreement</w:t>
      </w:r>
      <w:r>
        <w:t xml:space="preserve"> to ensure that outputs are delivered and outcomes are achieved within the agreed timeframe</w:t>
      </w:r>
      <w:r w:rsidRPr="00896477">
        <w:t>;</w:t>
      </w:r>
    </w:p>
    <w:p w14:paraId="03950446" w14:textId="3B47B162" w:rsidR="00850FA7" w:rsidRDefault="00850FA7" w:rsidP="00726A66">
      <w:pPr>
        <w:pStyle w:val="AlphaParagraph"/>
        <w:numPr>
          <w:ilvl w:val="0"/>
          <w:numId w:val="24"/>
        </w:numPr>
        <w:tabs>
          <w:tab w:val="clear" w:pos="567"/>
        </w:tabs>
        <w:ind w:left="1134"/>
        <w:rPr>
          <w:i/>
        </w:rPr>
      </w:pPr>
      <w:r>
        <w:t xml:space="preserve">establishing a national waste data tracking system </w:t>
      </w:r>
      <w:r w:rsidR="00897FC9">
        <w:t>i</w:t>
      </w:r>
      <w:r w:rsidR="00897FC9" w:rsidRPr="00FB3AEE">
        <w:t>n</w:t>
      </w:r>
      <w:r w:rsidR="00897FC9">
        <w:t xml:space="preserve"> </w:t>
      </w:r>
      <w:r w:rsidR="00E16388">
        <w:t>consultation</w:t>
      </w:r>
      <w:r w:rsidR="00897FC9">
        <w:t xml:space="preserve"> with States </w:t>
      </w:r>
      <w:r>
        <w:t>to support measurement of performance under this Agreement;</w:t>
      </w:r>
    </w:p>
    <w:p w14:paraId="06D19F37" w14:textId="5F6B99C1" w:rsidR="00B95F9F" w:rsidRPr="00750F59" w:rsidRDefault="009F38FF" w:rsidP="00726A66">
      <w:pPr>
        <w:pStyle w:val="AlphaParagraph"/>
        <w:numPr>
          <w:ilvl w:val="0"/>
          <w:numId w:val="24"/>
        </w:numPr>
        <w:tabs>
          <w:tab w:val="clear" w:pos="567"/>
        </w:tabs>
        <w:ind w:left="1134"/>
        <w:rPr>
          <w:i/>
          <w:color w:val="auto"/>
        </w:rPr>
      </w:pPr>
      <w:r>
        <w:rPr>
          <w:color w:val="auto"/>
          <w:szCs w:val="23"/>
        </w:rPr>
        <w:t xml:space="preserve">where applicable, </w:t>
      </w:r>
      <w:r w:rsidR="00B95F9F" w:rsidRPr="00750F59">
        <w:rPr>
          <w:color w:val="auto"/>
          <w:szCs w:val="23"/>
        </w:rPr>
        <w:t xml:space="preserve">in accordance with the </w:t>
      </w:r>
      <w:r w:rsidR="00B95F9F">
        <w:rPr>
          <w:i/>
          <w:color w:val="auto"/>
          <w:szCs w:val="23"/>
        </w:rPr>
        <w:t>Building and Construction Industry (Improving Productivity) Act 2016</w:t>
      </w:r>
      <w:r w:rsidR="00B95F9F" w:rsidRPr="00750F59">
        <w:rPr>
          <w:color w:val="auto"/>
        </w:rPr>
        <w:t xml:space="preserve">, </w:t>
      </w:r>
      <w:r w:rsidR="00B95F9F" w:rsidRPr="00750F59">
        <w:rPr>
          <w:color w:val="auto"/>
          <w:szCs w:val="23"/>
        </w:rPr>
        <w:t xml:space="preserve">ensuring that </w:t>
      </w:r>
      <w:r w:rsidR="00B95F9F" w:rsidRPr="00750F59">
        <w:rPr>
          <w:color w:val="auto"/>
        </w:rPr>
        <w:t>financial contributions to a building project or projects are only made where a builder or builders accredited under the Australian Government Building and Construction WHS Accreditation Scheme is contracted; and</w:t>
      </w:r>
    </w:p>
    <w:p w14:paraId="32D5B3C8" w14:textId="3DF66405" w:rsidR="00B95F9F" w:rsidRPr="00751725" w:rsidRDefault="009F38FF" w:rsidP="00726A66">
      <w:pPr>
        <w:pStyle w:val="AlphaParagraph"/>
        <w:numPr>
          <w:ilvl w:val="0"/>
          <w:numId w:val="24"/>
        </w:numPr>
        <w:tabs>
          <w:tab w:val="clear" w:pos="567"/>
        </w:tabs>
        <w:ind w:left="1134"/>
      </w:pPr>
      <w:r>
        <w:rPr>
          <w:color w:val="auto"/>
        </w:rPr>
        <w:t xml:space="preserve">where applicable, </w:t>
      </w:r>
      <w:r w:rsidR="00B95F9F" w:rsidRPr="00D5659F">
        <w:rPr>
          <w:color w:val="auto"/>
        </w:rPr>
        <w:t>ensuring that compliance with the Code for the Tendering and Performance of Building Work 2016 (Building Code 2016) is a condition of Australian Government funding.</w:t>
      </w:r>
    </w:p>
    <w:p w14:paraId="4B5EDF57" w14:textId="77777777" w:rsidR="00B95F9F" w:rsidRPr="00751725" w:rsidRDefault="00B95F9F" w:rsidP="00B95F9F">
      <w:pPr>
        <w:pStyle w:val="Heading2"/>
      </w:pPr>
      <w:r w:rsidRPr="00751725">
        <w:t xml:space="preserve">Role of the States </w:t>
      </w:r>
      <w:r>
        <w:t>and Territories</w:t>
      </w:r>
    </w:p>
    <w:p w14:paraId="11AAE4B9" w14:textId="77777777" w:rsidR="00B95F9F" w:rsidRPr="00751725" w:rsidRDefault="00B95F9F" w:rsidP="00B95F9F">
      <w:pPr>
        <w:pStyle w:val="Normalnumbered"/>
        <w:numPr>
          <w:ilvl w:val="0"/>
          <w:numId w:val="10"/>
        </w:numPr>
        <w:tabs>
          <w:tab w:val="clear" w:pos="1418"/>
        </w:tabs>
        <w:jc w:val="left"/>
      </w:pPr>
      <w:r w:rsidRPr="00751725">
        <w:t xml:space="preserve">The States agree to be </w:t>
      </w:r>
      <w:r>
        <w:t>responsible</w:t>
      </w:r>
      <w:r w:rsidRPr="00751725">
        <w:t xml:space="preserve"> for:</w:t>
      </w:r>
    </w:p>
    <w:p w14:paraId="6415580F" w14:textId="77777777" w:rsidR="00B95F9F" w:rsidRDefault="00B95F9F" w:rsidP="00726A66">
      <w:pPr>
        <w:pStyle w:val="AlphaParagraph"/>
        <w:numPr>
          <w:ilvl w:val="0"/>
          <w:numId w:val="18"/>
        </w:numPr>
        <w:tabs>
          <w:tab w:val="left" w:pos="1134"/>
        </w:tabs>
        <w:ind w:left="1134"/>
      </w:pPr>
      <w:r w:rsidRPr="00751725">
        <w:t>providing a</w:t>
      </w:r>
      <w:r>
        <w:t xml:space="preserve"> financial </w:t>
      </w:r>
      <w:r w:rsidRPr="00751725">
        <w:t>contribution to support the implementation of this Agreemen</w:t>
      </w:r>
      <w:r>
        <w:t xml:space="preserve">t in accordance with clause </w:t>
      </w:r>
      <w:r>
        <w:fldChar w:fldCharType="begin"/>
      </w:r>
      <w:r>
        <w:instrText xml:space="preserve"> REF _Ref35527560 \r \h </w:instrText>
      </w:r>
      <w:r>
        <w:fldChar w:fldCharType="separate"/>
      </w:r>
      <w:r>
        <w:t>19</w:t>
      </w:r>
      <w:r>
        <w:fldChar w:fldCharType="end"/>
      </w:r>
      <w:r w:rsidRPr="00751725">
        <w:t>;</w:t>
      </w:r>
    </w:p>
    <w:p w14:paraId="21E022E6" w14:textId="77777777" w:rsidR="00B95F9F" w:rsidRDefault="00B95F9F" w:rsidP="00726A66">
      <w:pPr>
        <w:pStyle w:val="AlphaParagraph"/>
        <w:numPr>
          <w:ilvl w:val="0"/>
          <w:numId w:val="18"/>
        </w:numPr>
        <w:tabs>
          <w:tab w:val="clear" w:pos="567"/>
        </w:tabs>
        <w:ind w:left="1134"/>
      </w:pPr>
      <w:r w:rsidRPr="006B4DF0">
        <w:t xml:space="preserve">delivering on outcomes and outputs </w:t>
      </w:r>
      <w:r>
        <w:t>of this Agreement;</w:t>
      </w:r>
    </w:p>
    <w:p w14:paraId="2EA7972A" w14:textId="77777777" w:rsidR="00B95F9F" w:rsidRPr="00EE2088" w:rsidRDefault="00B95F9F" w:rsidP="00726A66">
      <w:pPr>
        <w:pStyle w:val="AlphaParagraph"/>
        <w:numPr>
          <w:ilvl w:val="0"/>
          <w:numId w:val="18"/>
        </w:numPr>
        <w:tabs>
          <w:tab w:val="left" w:pos="567"/>
        </w:tabs>
        <w:spacing w:after="246"/>
        <w:ind w:left="1134"/>
      </w:pPr>
      <w:bookmarkStart w:id="1" w:name="OLE_LINK1"/>
      <w:bookmarkStart w:id="2" w:name="OLE_LINK2"/>
      <w:r w:rsidRPr="006B4DF0">
        <w:t xml:space="preserve">reporting on the delivery of </w:t>
      </w:r>
      <w:r>
        <w:t>outcomes and outputs</w:t>
      </w:r>
      <w:r w:rsidRPr="006B4DF0">
        <w:t xml:space="preserve"> as set out in Part 4 – Performance </w:t>
      </w:r>
      <w:r>
        <w:t>Monitoring</w:t>
      </w:r>
      <w:r w:rsidRPr="006B4DF0">
        <w:t xml:space="preserve"> and Reporting; </w:t>
      </w:r>
      <w:bookmarkEnd w:id="1"/>
      <w:bookmarkEnd w:id="2"/>
    </w:p>
    <w:p w14:paraId="6E5EF647" w14:textId="486FBC1D" w:rsidR="00EE2088" w:rsidRDefault="00EE2E44" w:rsidP="00726A66">
      <w:pPr>
        <w:pStyle w:val="AlphaParagraph"/>
        <w:numPr>
          <w:ilvl w:val="0"/>
          <w:numId w:val="18"/>
        </w:numPr>
        <w:tabs>
          <w:tab w:val="left" w:pos="567"/>
        </w:tabs>
        <w:spacing w:after="246"/>
        <w:ind w:left="1134"/>
      </w:pPr>
      <w:r>
        <w:t xml:space="preserve">working with the Commonwealth to develop </w:t>
      </w:r>
      <w:r w:rsidR="00850FA7">
        <w:t>the national waste data tracking</w:t>
      </w:r>
      <w:r w:rsidR="00537574">
        <w:t xml:space="preserve"> system</w:t>
      </w:r>
      <w:r>
        <w:t>,</w:t>
      </w:r>
      <w:r w:rsidR="00850FA7">
        <w:t xml:space="preserve"> </w:t>
      </w:r>
      <w:r w:rsidR="00EE2088">
        <w:t>including</w:t>
      </w:r>
      <w:r>
        <w:t xml:space="preserve"> by: </w:t>
      </w:r>
      <w:r w:rsidR="00EE2088">
        <w:t xml:space="preserve">resourcing improvements to data collection and quality;  providing data on the sources and fates of waste and </w:t>
      </w:r>
      <w:r w:rsidR="00863F32">
        <w:t xml:space="preserve">recycled </w:t>
      </w:r>
      <w:r w:rsidR="00EE2088">
        <w:t>materials, including quantities, locations and movements; and improving the frequency of data provision;</w:t>
      </w:r>
      <w:r w:rsidR="00EE2088" w:rsidRPr="00EE2088">
        <w:t xml:space="preserve"> </w:t>
      </w:r>
    </w:p>
    <w:p w14:paraId="4C1B01B2" w14:textId="77777777" w:rsidR="00AE1171" w:rsidRPr="00AE1171" w:rsidRDefault="00AE1171" w:rsidP="00AE1171">
      <w:pPr>
        <w:pStyle w:val="AlphaParagraph"/>
        <w:numPr>
          <w:ilvl w:val="0"/>
          <w:numId w:val="18"/>
        </w:numPr>
        <w:tabs>
          <w:tab w:val="left" w:pos="567"/>
        </w:tabs>
        <w:spacing w:after="246"/>
        <w:ind w:left="1134"/>
      </w:pPr>
      <w:r>
        <w:t>wherever possible, incorporat</w:t>
      </w:r>
      <w:r w:rsidR="001948E9">
        <w:t>ing</w:t>
      </w:r>
      <w:r>
        <w:t xml:space="preserve"> use of </w:t>
      </w:r>
      <w:r w:rsidRPr="00AE1171">
        <w:t>recycled materials in projects, and track where it has been used for reporting purposes.</w:t>
      </w:r>
      <w:r>
        <w:t xml:space="preserve"> </w:t>
      </w:r>
    </w:p>
    <w:p w14:paraId="431CE5E7" w14:textId="5CB323A7" w:rsidR="00B95F9F" w:rsidRPr="00A53189" w:rsidRDefault="009F38FF" w:rsidP="00726A66">
      <w:pPr>
        <w:pStyle w:val="AlphaParagraph"/>
        <w:numPr>
          <w:ilvl w:val="0"/>
          <w:numId w:val="18"/>
        </w:numPr>
        <w:tabs>
          <w:tab w:val="clear" w:pos="567"/>
        </w:tabs>
        <w:ind w:left="1134"/>
        <w:rPr>
          <w:color w:val="auto"/>
        </w:rPr>
      </w:pPr>
      <w:r>
        <w:rPr>
          <w:color w:val="auto"/>
        </w:rPr>
        <w:t xml:space="preserve">where applicable, </w:t>
      </w:r>
      <w:r w:rsidR="00B95F9F" w:rsidRPr="00A53189">
        <w:rPr>
          <w:color w:val="auto"/>
        </w:rPr>
        <w:t xml:space="preserve">ensuring that only a builder or builders accredited under the Australian Government Building and Construction </w:t>
      </w:r>
      <w:r w:rsidR="00B95F9F">
        <w:rPr>
          <w:color w:val="auto"/>
        </w:rPr>
        <w:t>WHS</w:t>
      </w:r>
      <w:r w:rsidR="00B95F9F" w:rsidRPr="00A53189">
        <w:rPr>
          <w:color w:val="auto"/>
        </w:rPr>
        <w:t xml:space="preserve"> Accreditation Scheme is contracted, and providing the necessary assurances to the Commonwealth;</w:t>
      </w:r>
      <w:r w:rsidR="00B95F9F">
        <w:rPr>
          <w:color w:val="auto"/>
        </w:rPr>
        <w:t xml:space="preserve"> and</w:t>
      </w:r>
    </w:p>
    <w:p w14:paraId="46AC9966" w14:textId="135BF281" w:rsidR="00B95F9F" w:rsidRPr="00D5659F" w:rsidRDefault="009F38FF" w:rsidP="00726A66">
      <w:pPr>
        <w:pStyle w:val="AlphaParagraph"/>
        <w:numPr>
          <w:ilvl w:val="0"/>
          <w:numId w:val="18"/>
        </w:numPr>
        <w:tabs>
          <w:tab w:val="clear" w:pos="567"/>
        </w:tabs>
        <w:ind w:left="1134"/>
        <w:rPr>
          <w:i/>
        </w:rPr>
      </w:pPr>
      <w:r>
        <w:rPr>
          <w:color w:val="auto"/>
        </w:rPr>
        <w:t xml:space="preserve">where applicable, </w:t>
      </w:r>
      <w:r w:rsidR="00B95F9F" w:rsidRPr="00D5659F">
        <w:rPr>
          <w:color w:val="auto"/>
        </w:rPr>
        <w:t>ensuring that compliance with the Building Code 2016 is made a condition of tender for all contractors and subcontractors who tender for the work, and providing the necessary assurances to the Commonwealth</w:t>
      </w:r>
      <w:r w:rsidR="00B95F9F" w:rsidRPr="00703194">
        <w:t>.</w:t>
      </w:r>
    </w:p>
    <w:p w14:paraId="6685A6A8" w14:textId="77777777" w:rsidR="00B95F9F" w:rsidRDefault="00B95F9F" w:rsidP="00B95F9F">
      <w:pPr>
        <w:pStyle w:val="Heading2"/>
      </w:pPr>
      <w:r w:rsidRPr="00DB4DA8">
        <w:t>Shared roles and responsibilities</w:t>
      </w:r>
    </w:p>
    <w:p w14:paraId="30577B9C" w14:textId="77777777" w:rsidR="00B95F9F" w:rsidRDefault="00B95F9F" w:rsidP="00B95F9F">
      <w:pPr>
        <w:pStyle w:val="Normalnumbered"/>
        <w:keepNext/>
        <w:numPr>
          <w:ilvl w:val="0"/>
          <w:numId w:val="10"/>
        </w:numPr>
        <w:tabs>
          <w:tab w:val="clear" w:pos="1418"/>
        </w:tabs>
      </w:pPr>
      <w:r w:rsidRPr="0093296C">
        <w:t xml:space="preserve">The Commonwealth and the States </w:t>
      </w:r>
      <w:r>
        <w:t xml:space="preserve">agree to be jointly responsible for: </w:t>
      </w:r>
    </w:p>
    <w:p w14:paraId="272DDDD3" w14:textId="77777777" w:rsidR="00B95F9F" w:rsidRPr="0093296C" w:rsidRDefault="00B95F9F" w:rsidP="00726A66">
      <w:pPr>
        <w:pStyle w:val="AlphaParagraph"/>
        <w:numPr>
          <w:ilvl w:val="0"/>
          <w:numId w:val="26"/>
        </w:numPr>
        <w:tabs>
          <w:tab w:val="clear" w:pos="567"/>
        </w:tabs>
        <w:ind w:left="1134"/>
      </w:pPr>
      <w:r w:rsidRPr="0093296C">
        <w:t>participating in consultations as appropriate regarding the implementation of this Agreement;</w:t>
      </w:r>
      <w:r>
        <w:t xml:space="preserve"> and</w:t>
      </w:r>
    </w:p>
    <w:p w14:paraId="25A3AC70" w14:textId="77777777" w:rsidR="00B95F9F" w:rsidRDefault="00B95F9F" w:rsidP="00726A66">
      <w:pPr>
        <w:pStyle w:val="AlphaParagraph"/>
        <w:numPr>
          <w:ilvl w:val="0"/>
          <w:numId w:val="26"/>
        </w:numPr>
        <w:tabs>
          <w:tab w:val="clear" w:pos="567"/>
        </w:tabs>
        <w:ind w:left="1134"/>
      </w:pPr>
      <w:r>
        <w:t>negotiating new or revised Schedules to this Agreement.</w:t>
      </w:r>
    </w:p>
    <w:p w14:paraId="131B14CA" w14:textId="77777777" w:rsidR="00B95F9F" w:rsidRPr="00E426B0" w:rsidRDefault="00B95F9F" w:rsidP="00B95F9F">
      <w:pPr>
        <w:pStyle w:val="Normalnumbered"/>
        <w:numPr>
          <w:ilvl w:val="0"/>
          <w:numId w:val="10"/>
        </w:numPr>
        <w:tabs>
          <w:tab w:val="clear" w:pos="1418"/>
        </w:tabs>
        <w:rPr>
          <w:color w:val="auto"/>
        </w:rPr>
      </w:pPr>
      <w:r w:rsidRPr="00336F12">
        <w:rPr>
          <w:color w:val="auto"/>
        </w:rPr>
        <w:t>The Parties will meet the requirements of Schedule E, Clause 26 of the I</w:t>
      </w:r>
      <w:r>
        <w:rPr>
          <w:color w:val="auto"/>
        </w:rPr>
        <w:t>GA FFR</w:t>
      </w:r>
      <w:r w:rsidRPr="00336F12">
        <w:rPr>
          <w:color w:val="auto"/>
        </w:rPr>
        <w:t xml:space="preserve">, by ensuring that prior agreement is reached on the nature and content of any events, announcements, promotional material or publicity relating to </w:t>
      </w:r>
      <w:r w:rsidRPr="00E426B0">
        <w:rPr>
          <w:color w:val="auto"/>
        </w:rPr>
        <w:t>activities in respect of an agreed project, and that the roles of both Parties will be acknowledged and recognised appropriately.</w:t>
      </w:r>
    </w:p>
    <w:p w14:paraId="10F94388" w14:textId="77777777" w:rsidR="00B95F9F" w:rsidRPr="00E426B0" w:rsidRDefault="00B95F9F" w:rsidP="00B95F9F">
      <w:pPr>
        <w:pStyle w:val="Heading1"/>
      </w:pPr>
      <w:r w:rsidRPr="00E426B0">
        <w:t>Part 4 — Performance monitoring and reporting</w:t>
      </w:r>
    </w:p>
    <w:p w14:paraId="45A06A15" w14:textId="77777777" w:rsidR="00B95F9F" w:rsidRPr="00E426B0" w:rsidRDefault="00B95F9F" w:rsidP="00B95F9F">
      <w:pPr>
        <w:pStyle w:val="Heading2"/>
      </w:pPr>
      <w:r w:rsidRPr="00E426B0">
        <w:t>Performance milestones</w:t>
      </w:r>
    </w:p>
    <w:p w14:paraId="361291E1" w14:textId="77777777" w:rsidR="00B95F9F" w:rsidRDefault="00B95F9F" w:rsidP="00B95F9F">
      <w:pPr>
        <w:pStyle w:val="Normalnumbered"/>
        <w:numPr>
          <w:ilvl w:val="0"/>
          <w:numId w:val="10"/>
        </w:numPr>
        <w:spacing w:before="120"/>
      </w:pPr>
      <w:r w:rsidRPr="00E426B0">
        <w:rPr>
          <w:szCs w:val="23"/>
        </w:rPr>
        <w:t>The milestones of each project</w:t>
      </w:r>
      <w:r w:rsidR="00843C69">
        <w:rPr>
          <w:szCs w:val="23"/>
        </w:rPr>
        <w:t xml:space="preserve"> or grants program</w:t>
      </w:r>
      <w:r w:rsidRPr="00E426B0">
        <w:rPr>
          <w:szCs w:val="23"/>
        </w:rPr>
        <w:t>, expected completion dates, relevant</w:t>
      </w:r>
      <w:r w:rsidRPr="000C5DEA">
        <w:rPr>
          <w:szCs w:val="23"/>
        </w:rPr>
        <w:t xml:space="preserve"> reporting dates and expected payments, are set out in bilateral Schedules to this Agreement. The Commonwealth will make payments subject to performance reports demonstrating that the relevant milestone has been met.</w:t>
      </w:r>
    </w:p>
    <w:p w14:paraId="01732DF3" w14:textId="77777777" w:rsidR="00B95F9F" w:rsidRDefault="00B95F9F" w:rsidP="00B95F9F">
      <w:pPr>
        <w:pStyle w:val="Heading2"/>
      </w:pPr>
      <w:r>
        <w:t>Reporting arrangements</w:t>
      </w:r>
    </w:p>
    <w:p w14:paraId="3AB66226" w14:textId="405AFCC3" w:rsidR="00726A66" w:rsidRDefault="00B95F9F" w:rsidP="00B95F9F">
      <w:pPr>
        <w:pStyle w:val="Normalnumbered"/>
        <w:numPr>
          <w:ilvl w:val="0"/>
          <w:numId w:val="10"/>
        </w:numPr>
        <w:tabs>
          <w:tab w:val="clear" w:pos="1418"/>
        </w:tabs>
        <w:spacing w:before="120"/>
        <w:rPr>
          <w:szCs w:val="23"/>
        </w:rPr>
      </w:pPr>
      <w:r w:rsidRPr="00924D43">
        <w:rPr>
          <w:szCs w:val="23"/>
        </w:rPr>
        <w:t xml:space="preserve">The States will </w:t>
      </w:r>
      <w:r w:rsidR="00756F54">
        <w:rPr>
          <w:szCs w:val="23"/>
        </w:rPr>
        <w:t xml:space="preserve">also </w:t>
      </w:r>
      <w:r w:rsidRPr="00924D43">
        <w:rPr>
          <w:szCs w:val="23"/>
        </w:rPr>
        <w:t xml:space="preserve">report </w:t>
      </w:r>
      <w:r w:rsidR="00E40205">
        <w:rPr>
          <w:szCs w:val="23"/>
        </w:rPr>
        <w:t>annually</w:t>
      </w:r>
      <w:r w:rsidRPr="00924D43">
        <w:rPr>
          <w:szCs w:val="23"/>
        </w:rPr>
        <w:t xml:space="preserve"> to demonstrate </w:t>
      </w:r>
      <w:r w:rsidR="00756F54">
        <w:rPr>
          <w:szCs w:val="23"/>
        </w:rPr>
        <w:t xml:space="preserve">performance against the indicators </w:t>
      </w:r>
      <w:r w:rsidR="00885222">
        <w:rPr>
          <w:szCs w:val="23"/>
        </w:rPr>
        <w:t xml:space="preserve">at 16a-c </w:t>
      </w:r>
      <w:r w:rsidR="00756F54">
        <w:rPr>
          <w:szCs w:val="23"/>
        </w:rPr>
        <w:t xml:space="preserve">below </w:t>
      </w:r>
      <w:r w:rsidR="00885222">
        <w:rPr>
          <w:szCs w:val="23"/>
        </w:rPr>
        <w:t xml:space="preserve">and </w:t>
      </w:r>
      <w:r w:rsidRPr="00924D43">
        <w:rPr>
          <w:szCs w:val="23"/>
        </w:rPr>
        <w:t>that Commonwealth funding has been matched</w:t>
      </w:r>
      <w:r>
        <w:rPr>
          <w:szCs w:val="23"/>
        </w:rPr>
        <w:t xml:space="preserve"> where applicable</w:t>
      </w:r>
      <w:r w:rsidR="00885222">
        <w:rPr>
          <w:szCs w:val="23"/>
        </w:rPr>
        <w:t>.</w:t>
      </w:r>
      <w:r w:rsidRPr="00924D43">
        <w:rPr>
          <w:szCs w:val="23"/>
        </w:rPr>
        <w:t>. These reports will include</w:t>
      </w:r>
      <w:r w:rsidR="00726A66">
        <w:rPr>
          <w:szCs w:val="23"/>
        </w:rPr>
        <w:t>:</w:t>
      </w:r>
    </w:p>
    <w:p w14:paraId="01E01F5B" w14:textId="77777777" w:rsidR="00726A66" w:rsidRDefault="00B95F9F" w:rsidP="00726A66">
      <w:pPr>
        <w:pStyle w:val="AlphaParagraph"/>
        <w:numPr>
          <w:ilvl w:val="0"/>
          <w:numId w:val="27"/>
        </w:numPr>
        <w:tabs>
          <w:tab w:val="clear" w:pos="567"/>
        </w:tabs>
        <w:ind w:left="1134"/>
      </w:pPr>
      <w:r w:rsidRPr="00726A66">
        <w:t>a statement of contributions from third parties including local governments and other non</w:t>
      </w:r>
      <w:r w:rsidRPr="00726A66">
        <w:noBreakHyphen/>
        <w:t>government organisations</w:t>
      </w:r>
      <w:r w:rsidR="00756F54">
        <w:t xml:space="preserve"> where applicable</w:t>
      </w:r>
      <w:r w:rsidR="00726A66">
        <w:t>;</w:t>
      </w:r>
    </w:p>
    <w:p w14:paraId="0E1F92F2" w14:textId="77777777" w:rsidR="00726A66" w:rsidRDefault="00D00171" w:rsidP="00726A66">
      <w:pPr>
        <w:pStyle w:val="AlphaParagraph"/>
        <w:numPr>
          <w:ilvl w:val="0"/>
          <w:numId w:val="27"/>
        </w:numPr>
        <w:tabs>
          <w:tab w:val="clear" w:pos="567"/>
        </w:tabs>
        <w:ind w:left="1134"/>
      </w:pPr>
      <w:r w:rsidRPr="00726A66">
        <w:t>details of</w:t>
      </w:r>
      <w:r w:rsidR="00980941">
        <w:t xml:space="preserve"> the</w:t>
      </w:r>
      <w:r w:rsidRPr="00726A66">
        <w:t xml:space="preserve"> number of jobs created as a result of investment in projects in the bilateral </w:t>
      </w:r>
      <w:r w:rsidR="00726A66" w:rsidRPr="00726A66">
        <w:t>schedules</w:t>
      </w:r>
      <w:r w:rsidRPr="00726A66">
        <w:t xml:space="preserve"> to this Agreemen</w:t>
      </w:r>
      <w:r w:rsidR="00726A66">
        <w:t>t; and</w:t>
      </w:r>
    </w:p>
    <w:p w14:paraId="6C54F9D2" w14:textId="77777777" w:rsidR="00B95F9F" w:rsidRPr="00726A66" w:rsidRDefault="00726A66" w:rsidP="00726A66">
      <w:pPr>
        <w:pStyle w:val="AlphaParagraph"/>
        <w:numPr>
          <w:ilvl w:val="0"/>
          <w:numId w:val="27"/>
        </w:numPr>
        <w:tabs>
          <w:tab w:val="clear" w:pos="567"/>
        </w:tabs>
        <w:ind w:left="1134"/>
      </w:pPr>
      <w:r>
        <w:t xml:space="preserve">details of projects funded, environmental benefits, economic benefits and contribution to the goals of this Agreement. </w:t>
      </w:r>
    </w:p>
    <w:p w14:paraId="1300EF11" w14:textId="132946BC" w:rsidR="00B95F9F" w:rsidRPr="004847D0" w:rsidRDefault="00B95F9F" w:rsidP="00B95F9F">
      <w:pPr>
        <w:pStyle w:val="Normalnumbered"/>
        <w:numPr>
          <w:ilvl w:val="0"/>
          <w:numId w:val="10"/>
        </w:numPr>
        <w:tabs>
          <w:tab w:val="clear" w:pos="1418"/>
        </w:tabs>
        <w:spacing w:before="120"/>
        <w:rPr>
          <w:szCs w:val="23"/>
        </w:rPr>
      </w:pPr>
      <w:r w:rsidRPr="004847D0">
        <w:rPr>
          <w:szCs w:val="23"/>
        </w:rPr>
        <w:t>The States will also prepare a final Report</w:t>
      </w:r>
      <w:r w:rsidR="00603A1F">
        <w:rPr>
          <w:szCs w:val="23"/>
        </w:rPr>
        <w:t>, based on States annual reporting in clause 16,</w:t>
      </w:r>
      <w:r w:rsidRPr="004847D0">
        <w:rPr>
          <w:szCs w:val="23"/>
        </w:rPr>
        <w:t xml:space="preserve"> within 90 days of the completion of all the projects agreed under this Agreement. The Report will be a stand</w:t>
      </w:r>
      <w:r w:rsidRPr="004847D0">
        <w:rPr>
          <w:szCs w:val="23"/>
        </w:rPr>
        <w:noBreakHyphen/>
        <w:t>alone document that can be used for public information dissemination purposes. The final Report will:</w:t>
      </w:r>
    </w:p>
    <w:p w14:paraId="25E029BB" w14:textId="0C7DD115" w:rsidR="00B95F9F" w:rsidRPr="004847D0" w:rsidRDefault="00B95F9F" w:rsidP="0074711D">
      <w:pPr>
        <w:pStyle w:val="AlphaParagraph"/>
        <w:numPr>
          <w:ilvl w:val="0"/>
          <w:numId w:val="28"/>
        </w:numPr>
        <w:tabs>
          <w:tab w:val="clear" w:pos="567"/>
        </w:tabs>
        <w:ind w:left="1134"/>
        <w:rPr>
          <w:szCs w:val="23"/>
        </w:rPr>
      </w:pPr>
      <w:r w:rsidRPr="004847D0">
        <w:t xml:space="preserve">evaluate </w:t>
      </w:r>
      <w:r w:rsidR="00603A1F">
        <w:t>the Agreement</w:t>
      </w:r>
      <w:r w:rsidRPr="004847D0">
        <w:t xml:space="preserve">, including assessing the extent to which the objective and outcomes have been achieved against the key performance </w:t>
      </w:r>
      <w:r>
        <w:t>milestones</w:t>
      </w:r>
      <w:r w:rsidRPr="004847D0">
        <w:t xml:space="preserve"> contained in the </w:t>
      </w:r>
      <w:r>
        <w:t>Agreement</w:t>
      </w:r>
      <w:r w:rsidRPr="004847D0">
        <w:t xml:space="preserve"> and/or Schedules, and explaining why any aspect was not achieved;</w:t>
      </w:r>
      <w:r w:rsidR="00463AFF">
        <w:t xml:space="preserve"> and</w:t>
      </w:r>
    </w:p>
    <w:p w14:paraId="23ADBA82" w14:textId="51CADC48" w:rsidR="00B95F9F" w:rsidRPr="00924D43" w:rsidRDefault="00B95F9F" w:rsidP="0074711D">
      <w:pPr>
        <w:pStyle w:val="AlphaParagraph"/>
        <w:numPr>
          <w:ilvl w:val="0"/>
          <w:numId w:val="28"/>
        </w:numPr>
        <w:tabs>
          <w:tab w:val="clear" w:pos="567"/>
        </w:tabs>
        <w:ind w:left="1134"/>
        <w:rPr>
          <w:szCs w:val="23"/>
        </w:rPr>
      </w:pPr>
      <w:r w:rsidRPr="004847D0">
        <w:rPr>
          <w:szCs w:val="23"/>
        </w:rPr>
        <w:t>include a statement of final State funding contributions to the project and contributions from third parties including</w:t>
      </w:r>
      <w:r w:rsidRPr="00924D43">
        <w:rPr>
          <w:szCs w:val="23"/>
        </w:rPr>
        <w:t xml:space="preserve"> local governments and other non-government organisations</w:t>
      </w:r>
      <w:r w:rsidR="00463AFF">
        <w:rPr>
          <w:szCs w:val="23"/>
        </w:rPr>
        <w:t>.</w:t>
      </w:r>
    </w:p>
    <w:p w14:paraId="4D958F50" w14:textId="77777777" w:rsidR="00B95F9F" w:rsidRDefault="00B95F9F" w:rsidP="00B95F9F">
      <w:pPr>
        <w:pStyle w:val="Heading1"/>
      </w:pPr>
      <w:r w:rsidRPr="00751725">
        <w:t xml:space="preserve">Part 5 — </w:t>
      </w:r>
      <w:r>
        <w:t>F</w:t>
      </w:r>
      <w:r w:rsidRPr="00751725">
        <w:t>inancial arrangements</w:t>
      </w:r>
    </w:p>
    <w:p w14:paraId="7DA7D7AF" w14:textId="77777777" w:rsidR="00B95F9F" w:rsidRPr="005350F1" w:rsidRDefault="00B95F9F" w:rsidP="00B95F9F">
      <w:pPr>
        <w:pStyle w:val="Heading2"/>
      </w:pPr>
      <w:r w:rsidRPr="005350F1">
        <w:t>Financial contributions</w:t>
      </w:r>
    </w:p>
    <w:p w14:paraId="2B0A5CCC" w14:textId="5D2C58B7" w:rsidR="00B95F9F" w:rsidRDefault="00B95F9F" w:rsidP="00B95F9F">
      <w:pPr>
        <w:pStyle w:val="Normalnumbered"/>
        <w:numPr>
          <w:ilvl w:val="0"/>
          <w:numId w:val="10"/>
        </w:numPr>
        <w:tabs>
          <w:tab w:val="clear" w:pos="1418"/>
        </w:tabs>
      </w:pPr>
      <w:r w:rsidRPr="000E48C3">
        <w:t xml:space="preserve">The Commonwealth will </w:t>
      </w:r>
      <w:r>
        <w:t>provide</w:t>
      </w:r>
      <w:r w:rsidRPr="000E48C3">
        <w:t xml:space="preserve"> a</w:t>
      </w:r>
      <w:r>
        <w:t>n estimated total</w:t>
      </w:r>
      <w:r w:rsidRPr="000E48C3">
        <w:t xml:space="preserve"> financial contribution to </w:t>
      </w:r>
      <w:r>
        <w:t xml:space="preserve">the States of </w:t>
      </w:r>
      <w:r w:rsidR="00863F32">
        <w:t xml:space="preserve"> </w:t>
      </w:r>
      <w:r w:rsidR="00863F32">
        <w:br/>
        <w:t xml:space="preserve">$190 </w:t>
      </w:r>
      <w:r w:rsidR="005C352A">
        <w:t>million</w:t>
      </w:r>
      <w:r w:rsidR="000A6832">
        <w:t xml:space="preserve"> </w:t>
      </w:r>
      <w:r>
        <w:t>in respect of this Agreement.</w:t>
      </w:r>
      <w:r w:rsidRPr="000E48C3">
        <w:t xml:space="preserve"> </w:t>
      </w:r>
      <w:r>
        <w:t>All payments are exclusive of GST.</w:t>
      </w:r>
    </w:p>
    <w:p w14:paraId="4796BA47" w14:textId="77777777" w:rsidR="00B95F9F" w:rsidRDefault="00B95F9F" w:rsidP="00B95F9F">
      <w:pPr>
        <w:pStyle w:val="Normalnumbered"/>
        <w:numPr>
          <w:ilvl w:val="0"/>
          <w:numId w:val="10"/>
        </w:numPr>
      </w:pPr>
      <w:bookmarkStart w:id="3" w:name="_Ref35527560"/>
      <w:r>
        <w:t>Unless otherwise specified in a bilateral Schedule to the Agreement:</w:t>
      </w:r>
      <w:bookmarkEnd w:id="3"/>
    </w:p>
    <w:p w14:paraId="7C750A29" w14:textId="77777777" w:rsidR="00B95F9F" w:rsidRDefault="00B95F9F" w:rsidP="00726A66">
      <w:pPr>
        <w:pStyle w:val="AlphaParagraph"/>
        <w:numPr>
          <w:ilvl w:val="0"/>
          <w:numId w:val="20"/>
        </w:numPr>
        <w:ind w:left="1134"/>
      </w:pPr>
      <w:bookmarkStart w:id="4" w:name="_Ref36559918"/>
      <w:r>
        <w:t>the Commonwealth will contribute up to one-third of the cost of each project and States will at least match</w:t>
      </w:r>
      <w:r w:rsidR="00301D73">
        <w:t xml:space="preserve">, </w:t>
      </w:r>
      <w:r w:rsidR="003F6374">
        <w:t>with newly announced funding</w:t>
      </w:r>
      <w:r w:rsidR="00301D73">
        <w:t>,</w:t>
      </w:r>
      <w:r w:rsidR="003F6374">
        <w:t xml:space="preserve"> </w:t>
      </w:r>
      <w:r>
        <w:t>the Commonwealth’s contribution for each project</w:t>
      </w:r>
      <w:r w:rsidR="00301D73">
        <w:t xml:space="preserve">; </w:t>
      </w:r>
      <w:r>
        <w:t>and</w:t>
      </w:r>
      <w:bookmarkEnd w:id="4"/>
    </w:p>
    <w:p w14:paraId="3113B4F7" w14:textId="77777777" w:rsidR="00B95F9F" w:rsidRDefault="00B95F9F" w:rsidP="00726A66">
      <w:pPr>
        <w:pStyle w:val="AlphaParagraph"/>
        <w:numPr>
          <w:ilvl w:val="0"/>
          <w:numId w:val="20"/>
        </w:numPr>
        <w:ind w:left="1134"/>
      </w:pPr>
      <w:bookmarkStart w:id="5" w:name="_Ref35527543"/>
      <w:r>
        <w:t>States will ensure third parties, including local governments and other non-government organisations, provide remaining funding for each project.</w:t>
      </w:r>
      <w:bookmarkEnd w:id="5"/>
    </w:p>
    <w:p w14:paraId="5C123B20" w14:textId="77777777" w:rsidR="00B95F9F" w:rsidRPr="004E6001" w:rsidRDefault="006B5B22" w:rsidP="00B95F9F">
      <w:pPr>
        <w:pStyle w:val="Normalnumbered"/>
        <w:numPr>
          <w:ilvl w:val="0"/>
          <w:numId w:val="10"/>
        </w:numPr>
      </w:pPr>
      <w:r>
        <w:t xml:space="preserve">Unless otherwise specified in a bilateral Schedule to the Agreement, if </w:t>
      </w:r>
      <w:r w:rsidR="00B95F9F">
        <w:t>States do not at least match the Commonwealth’s full financial contribution to a project funded under this Agreement, the Commonwealth may reduce its funding for that project to match the States’ contribution or withhold payments until matching requirements are met.</w:t>
      </w:r>
    </w:p>
    <w:p w14:paraId="42731AD5" w14:textId="77777777" w:rsidR="00B95F9F" w:rsidRPr="00491A9F" w:rsidRDefault="00B95F9F" w:rsidP="00B95F9F">
      <w:pPr>
        <w:pStyle w:val="Normalnumbered"/>
        <w:numPr>
          <w:ilvl w:val="0"/>
          <w:numId w:val="10"/>
        </w:numPr>
        <w:tabs>
          <w:tab w:val="clear" w:pos="1418"/>
        </w:tabs>
        <w:rPr>
          <w:color w:val="auto"/>
        </w:rPr>
      </w:pPr>
      <w:r>
        <w:t>Where a performance report demonstrates that</w:t>
      </w:r>
      <w:r w:rsidRPr="00491A9F">
        <w:t xml:space="preserve"> a milestone is met in advance of the due date, the Commonwealth may make the associated payment earlier than scheduled provided it falls within the same financial year as the original milestone date.</w:t>
      </w:r>
    </w:p>
    <w:p w14:paraId="54D93FE9" w14:textId="77777777" w:rsidR="00D97BB0" w:rsidRDefault="00B95F9F" w:rsidP="00D97BB0">
      <w:pPr>
        <w:pStyle w:val="Normalnumbered"/>
        <w:keepNext/>
        <w:keepLines/>
        <w:numPr>
          <w:ilvl w:val="0"/>
          <w:numId w:val="10"/>
        </w:numPr>
        <w:tabs>
          <w:tab w:val="clear" w:pos="1418"/>
        </w:tabs>
        <w:rPr>
          <w:color w:val="auto"/>
        </w:rPr>
      </w:pPr>
      <w:r w:rsidRPr="00336F12">
        <w:rPr>
          <w:color w:val="auto"/>
        </w:rPr>
        <w:t>The Commonwealth’s and the States’ estimated financial contribution</w:t>
      </w:r>
      <w:r>
        <w:rPr>
          <w:color w:val="auto"/>
        </w:rPr>
        <w:t>s</w:t>
      </w:r>
      <w:r w:rsidRPr="00336F12">
        <w:rPr>
          <w:color w:val="auto"/>
        </w:rPr>
        <w:t xml:space="preserve"> to the operation of this Agreement, including through National Partnership payments to the States paid in accordance with </w:t>
      </w:r>
      <w:r w:rsidRPr="00336F12">
        <w:rPr>
          <w:i/>
          <w:color w:val="auto"/>
        </w:rPr>
        <w:t>Schedule D — Payment Arrangements</w:t>
      </w:r>
      <w:r w:rsidRPr="00336F12">
        <w:rPr>
          <w:color w:val="auto"/>
        </w:rPr>
        <w:t xml:space="preserve"> of the I</w:t>
      </w:r>
      <w:r>
        <w:rPr>
          <w:color w:val="auto"/>
        </w:rPr>
        <w:t>GA FFR</w:t>
      </w:r>
      <w:r w:rsidRPr="00336F12">
        <w:rPr>
          <w:color w:val="auto"/>
        </w:rPr>
        <w:t>, are shown in Table 1.</w:t>
      </w:r>
      <w:r w:rsidR="00D97BB0" w:rsidRPr="00D97BB0">
        <w:rPr>
          <w:color w:val="auto"/>
        </w:rPr>
        <w:t xml:space="preserve"> </w:t>
      </w:r>
      <w:bookmarkStart w:id="6" w:name="_Hlk46914563"/>
      <w:r w:rsidR="00D97BB0">
        <w:t xml:space="preserve">States have the flexibility to move </w:t>
      </w:r>
      <w:r w:rsidR="00885222">
        <w:t xml:space="preserve">State </w:t>
      </w:r>
      <w:r w:rsidR="00D97BB0">
        <w:t>financial contribution</w:t>
      </w:r>
      <w:r w:rsidR="00885222">
        <w:t>s</w:t>
      </w:r>
      <w:r w:rsidR="00D97BB0">
        <w:t xml:space="preserve"> between financial years to meet project demands until the expiry of the agreement. Any variation to the estimated total contributions will be noted in the required performance reports.</w:t>
      </w:r>
      <w:bookmarkEnd w:id="6"/>
    </w:p>
    <w:p w14:paraId="2D75A204" w14:textId="77777777" w:rsidR="00B95F9F" w:rsidRDefault="00B95F9F" w:rsidP="00B95F9F">
      <w:pPr>
        <w:pStyle w:val="TableMainHeading"/>
        <w:keepLines/>
        <w:jc w:val="both"/>
      </w:pPr>
      <w:bookmarkStart w:id="7" w:name="_Hlk46915226"/>
      <w:r>
        <w:t xml:space="preserve">Table 1: </w:t>
      </w:r>
      <w:r w:rsidRPr="00E426E0">
        <w:t>Estimated</w:t>
      </w:r>
      <w:r>
        <w:t xml:space="preserve"> financial contributions</w:t>
      </w:r>
    </w:p>
    <w:p w14:paraId="14D53B2A" w14:textId="77777777" w:rsidR="00B95F9F" w:rsidRDefault="00B95F9F" w:rsidP="00B95F9F">
      <w:pPr>
        <w:pStyle w:val="TableGraphic"/>
        <w:jc w:val="both"/>
      </w:pPr>
    </w:p>
    <w:tbl>
      <w:tblPr>
        <w:tblW w:w="0" w:type="auto"/>
        <w:tblLook w:val="01E0" w:firstRow="1" w:lastRow="1" w:firstColumn="1" w:lastColumn="1" w:noHBand="0" w:noVBand="0"/>
      </w:tblPr>
      <w:tblGrid>
        <w:gridCol w:w="4637"/>
        <w:gridCol w:w="1011"/>
        <w:gridCol w:w="1011"/>
        <w:gridCol w:w="1011"/>
        <w:gridCol w:w="1011"/>
        <w:gridCol w:w="957"/>
      </w:tblGrid>
      <w:tr w:rsidR="00B95F9F" w14:paraId="043E9C10" w14:textId="77777777" w:rsidTr="00197F5D">
        <w:trPr>
          <w:cantSplit/>
        </w:trPr>
        <w:tc>
          <w:tcPr>
            <w:tcW w:w="4786" w:type="dxa"/>
            <w:tcBorders>
              <w:top w:val="single" w:sz="4" w:space="0" w:color="000080"/>
            </w:tcBorders>
          </w:tcPr>
          <w:p w14:paraId="534B6737" w14:textId="77777777" w:rsidR="00B95F9F" w:rsidRPr="002106A6" w:rsidRDefault="00B95F9F" w:rsidP="00326709">
            <w:pPr>
              <w:keepNext/>
              <w:keepLines/>
              <w:spacing w:before="40" w:after="40"/>
              <w:rPr>
                <w:b/>
              </w:rPr>
            </w:pPr>
            <w:r w:rsidRPr="002106A6">
              <w:rPr>
                <w:b/>
              </w:rPr>
              <w:t>($ million)</w:t>
            </w:r>
          </w:p>
        </w:tc>
        <w:tc>
          <w:tcPr>
            <w:tcW w:w="1024" w:type="dxa"/>
            <w:tcBorders>
              <w:top w:val="single" w:sz="4" w:space="0" w:color="000080"/>
              <w:bottom w:val="single" w:sz="4" w:space="0" w:color="000080"/>
            </w:tcBorders>
          </w:tcPr>
          <w:p w14:paraId="0EC38239" w14:textId="77777777" w:rsidR="00B95F9F" w:rsidRDefault="00B95F9F" w:rsidP="00326709">
            <w:pPr>
              <w:keepNext/>
              <w:keepLines/>
              <w:spacing w:before="40" w:after="40"/>
              <w:jc w:val="center"/>
            </w:pPr>
            <w:r>
              <w:t>2020-21</w:t>
            </w:r>
          </w:p>
        </w:tc>
        <w:tc>
          <w:tcPr>
            <w:tcW w:w="1025" w:type="dxa"/>
            <w:tcBorders>
              <w:top w:val="single" w:sz="4" w:space="0" w:color="000080"/>
              <w:bottom w:val="single" w:sz="4" w:space="0" w:color="000080"/>
            </w:tcBorders>
          </w:tcPr>
          <w:p w14:paraId="7D6784FE" w14:textId="77777777" w:rsidR="00B95F9F" w:rsidRDefault="00B95F9F" w:rsidP="00326709">
            <w:pPr>
              <w:keepNext/>
              <w:keepLines/>
              <w:spacing w:before="40" w:after="40"/>
              <w:jc w:val="center"/>
            </w:pPr>
            <w:r>
              <w:t>2021-22</w:t>
            </w:r>
          </w:p>
        </w:tc>
        <w:tc>
          <w:tcPr>
            <w:tcW w:w="1024" w:type="dxa"/>
            <w:tcBorders>
              <w:top w:val="single" w:sz="4" w:space="0" w:color="000080"/>
              <w:bottom w:val="single" w:sz="4" w:space="0" w:color="000080"/>
            </w:tcBorders>
          </w:tcPr>
          <w:p w14:paraId="0765FEA3" w14:textId="77777777" w:rsidR="00B95F9F" w:rsidRDefault="00B95F9F" w:rsidP="00326709">
            <w:pPr>
              <w:keepNext/>
              <w:keepLines/>
              <w:spacing w:before="40" w:after="40"/>
              <w:jc w:val="center"/>
            </w:pPr>
            <w:r>
              <w:t>2022-23</w:t>
            </w:r>
          </w:p>
        </w:tc>
        <w:tc>
          <w:tcPr>
            <w:tcW w:w="1025" w:type="dxa"/>
            <w:tcBorders>
              <w:top w:val="single" w:sz="4" w:space="0" w:color="000080"/>
              <w:bottom w:val="single" w:sz="4" w:space="0" w:color="000080"/>
            </w:tcBorders>
          </w:tcPr>
          <w:p w14:paraId="6EE65827" w14:textId="77777777" w:rsidR="00B95F9F" w:rsidRDefault="00B95F9F" w:rsidP="00326709">
            <w:pPr>
              <w:keepNext/>
              <w:keepLines/>
              <w:spacing w:before="40" w:after="40"/>
              <w:jc w:val="center"/>
            </w:pPr>
            <w:r>
              <w:t>2023-24</w:t>
            </w:r>
          </w:p>
        </w:tc>
        <w:tc>
          <w:tcPr>
            <w:tcW w:w="970" w:type="dxa"/>
            <w:tcBorders>
              <w:top w:val="single" w:sz="4" w:space="0" w:color="000080"/>
              <w:bottom w:val="single" w:sz="4" w:space="0" w:color="000080"/>
            </w:tcBorders>
          </w:tcPr>
          <w:p w14:paraId="15D0BF11" w14:textId="77777777" w:rsidR="00B95F9F" w:rsidRDefault="00B95F9F" w:rsidP="00326709">
            <w:pPr>
              <w:keepNext/>
              <w:keepLines/>
              <w:spacing w:before="40" w:after="40"/>
              <w:jc w:val="center"/>
            </w:pPr>
            <w:r>
              <w:t>Total</w:t>
            </w:r>
          </w:p>
        </w:tc>
      </w:tr>
      <w:tr w:rsidR="00B95F9F" w14:paraId="5302743D" w14:textId="77777777" w:rsidTr="00197F5D">
        <w:trPr>
          <w:cantSplit/>
        </w:trPr>
        <w:tc>
          <w:tcPr>
            <w:tcW w:w="4786" w:type="dxa"/>
          </w:tcPr>
          <w:p w14:paraId="70F5BDB8" w14:textId="77777777" w:rsidR="00B95F9F" w:rsidRDefault="00B95F9F" w:rsidP="00326709">
            <w:pPr>
              <w:keepNext/>
              <w:keepLines/>
              <w:spacing w:before="60" w:after="60"/>
            </w:pPr>
            <w:r w:rsidRPr="00E426E0">
              <w:rPr>
                <w:b/>
                <w:i/>
              </w:rPr>
              <w:t>Estimated</w:t>
            </w:r>
            <w:r>
              <w:t xml:space="preserve"> total budget</w:t>
            </w:r>
          </w:p>
        </w:tc>
        <w:tc>
          <w:tcPr>
            <w:tcW w:w="1024" w:type="dxa"/>
            <w:tcBorders>
              <w:top w:val="single" w:sz="4" w:space="0" w:color="000080"/>
              <w:bottom w:val="single" w:sz="4" w:space="0" w:color="000080"/>
            </w:tcBorders>
          </w:tcPr>
          <w:p w14:paraId="1E7C269E" w14:textId="02AA8064" w:rsidR="00B95F9F" w:rsidRDefault="00885222" w:rsidP="00326709">
            <w:pPr>
              <w:keepNext/>
              <w:keepLines/>
              <w:spacing w:before="40" w:after="40"/>
              <w:jc w:val="right"/>
            </w:pPr>
            <w:r>
              <w:t>120</w:t>
            </w:r>
          </w:p>
        </w:tc>
        <w:tc>
          <w:tcPr>
            <w:tcW w:w="1025" w:type="dxa"/>
            <w:tcBorders>
              <w:top w:val="single" w:sz="4" w:space="0" w:color="000080"/>
              <w:bottom w:val="single" w:sz="4" w:space="0" w:color="000080"/>
            </w:tcBorders>
          </w:tcPr>
          <w:p w14:paraId="1BE24F19" w14:textId="620C23BD" w:rsidR="00B95F9F" w:rsidRDefault="00885222" w:rsidP="00326709">
            <w:pPr>
              <w:keepNext/>
              <w:keepLines/>
              <w:spacing w:before="40" w:after="40"/>
              <w:jc w:val="right"/>
            </w:pPr>
            <w:r>
              <w:t>120</w:t>
            </w:r>
          </w:p>
        </w:tc>
        <w:tc>
          <w:tcPr>
            <w:tcW w:w="1024" w:type="dxa"/>
            <w:tcBorders>
              <w:top w:val="single" w:sz="4" w:space="0" w:color="000080"/>
              <w:bottom w:val="single" w:sz="4" w:space="0" w:color="000080"/>
            </w:tcBorders>
          </w:tcPr>
          <w:p w14:paraId="54012170" w14:textId="06C3F856" w:rsidR="00B95F9F" w:rsidRDefault="00885222" w:rsidP="00326709">
            <w:pPr>
              <w:keepNext/>
              <w:keepLines/>
              <w:spacing w:before="40" w:after="40"/>
              <w:jc w:val="right"/>
            </w:pPr>
            <w:r>
              <w:t>100</w:t>
            </w:r>
          </w:p>
        </w:tc>
        <w:tc>
          <w:tcPr>
            <w:tcW w:w="1025" w:type="dxa"/>
            <w:tcBorders>
              <w:top w:val="single" w:sz="4" w:space="0" w:color="000080"/>
              <w:bottom w:val="single" w:sz="4" w:space="0" w:color="000080"/>
            </w:tcBorders>
          </w:tcPr>
          <w:p w14:paraId="4A6C97BC" w14:textId="271AAA39" w:rsidR="00B95F9F" w:rsidRDefault="00885222" w:rsidP="00326709">
            <w:pPr>
              <w:keepNext/>
              <w:keepLines/>
              <w:spacing w:before="40" w:after="40"/>
              <w:jc w:val="right"/>
            </w:pPr>
            <w:r>
              <w:t>40</w:t>
            </w:r>
          </w:p>
        </w:tc>
        <w:tc>
          <w:tcPr>
            <w:tcW w:w="970" w:type="dxa"/>
            <w:tcBorders>
              <w:top w:val="single" w:sz="4" w:space="0" w:color="000080"/>
              <w:bottom w:val="single" w:sz="4" w:space="0" w:color="000080"/>
            </w:tcBorders>
          </w:tcPr>
          <w:p w14:paraId="4305DD2A" w14:textId="45012246" w:rsidR="00B95F9F" w:rsidRDefault="00885222" w:rsidP="00326709">
            <w:pPr>
              <w:keepNext/>
              <w:keepLines/>
              <w:spacing w:before="40" w:after="40"/>
              <w:jc w:val="right"/>
            </w:pPr>
            <w:r>
              <w:t>380</w:t>
            </w:r>
          </w:p>
        </w:tc>
      </w:tr>
      <w:tr w:rsidR="00B95F9F" w14:paraId="01A25028" w14:textId="77777777" w:rsidTr="00197F5D">
        <w:trPr>
          <w:cantSplit/>
        </w:trPr>
        <w:tc>
          <w:tcPr>
            <w:tcW w:w="4786" w:type="dxa"/>
          </w:tcPr>
          <w:p w14:paraId="20323C27" w14:textId="77777777" w:rsidR="00B95F9F" w:rsidRPr="00DD0D43" w:rsidRDefault="00B95F9F" w:rsidP="00326709">
            <w:pPr>
              <w:keepNext/>
              <w:keepLines/>
              <w:spacing w:before="60" w:after="60"/>
            </w:pPr>
            <w:r w:rsidRPr="0069372F">
              <w:rPr>
                <w:b/>
                <w:i/>
              </w:rPr>
              <w:t>E</w:t>
            </w:r>
            <w:r w:rsidRPr="00E426E0">
              <w:rPr>
                <w:b/>
                <w:i/>
              </w:rPr>
              <w:t>stimated</w:t>
            </w:r>
            <w:r>
              <w:t xml:space="preserve"> </w:t>
            </w:r>
            <w:r w:rsidRPr="00E426E0">
              <w:t>National Partnership payment</w:t>
            </w:r>
            <w:r>
              <w:t>s</w:t>
            </w:r>
            <w:r w:rsidRPr="00102BEA">
              <w:rPr>
                <w:vertAlign w:val="superscript"/>
              </w:rPr>
              <w:t>(a)</w:t>
            </w:r>
          </w:p>
        </w:tc>
        <w:tc>
          <w:tcPr>
            <w:tcW w:w="1024" w:type="dxa"/>
            <w:tcBorders>
              <w:top w:val="single" w:sz="4" w:space="0" w:color="000080"/>
            </w:tcBorders>
          </w:tcPr>
          <w:p w14:paraId="423A5E8A" w14:textId="578CC1E7" w:rsidR="00B95F9F" w:rsidRPr="002106A6" w:rsidRDefault="00885222" w:rsidP="00326709">
            <w:pPr>
              <w:keepNext/>
              <w:keepLines/>
              <w:spacing w:before="40" w:after="40"/>
              <w:jc w:val="right"/>
              <w:rPr>
                <w:b/>
              </w:rPr>
            </w:pPr>
            <w:r>
              <w:t>60</w:t>
            </w:r>
          </w:p>
        </w:tc>
        <w:tc>
          <w:tcPr>
            <w:tcW w:w="1025" w:type="dxa"/>
            <w:tcBorders>
              <w:top w:val="single" w:sz="4" w:space="0" w:color="000080"/>
            </w:tcBorders>
          </w:tcPr>
          <w:p w14:paraId="54499AB7" w14:textId="4DF79907" w:rsidR="00B95F9F" w:rsidRPr="002106A6" w:rsidRDefault="00885222" w:rsidP="00326709">
            <w:pPr>
              <w:keepNext/>
              <w:keepLines/>
              <w:spacing w:before="40" w:after="40"/>
              <w:jc w:val="right"/>
              <w:rPr>
                <w:b/>
              </w:rPr>
            </w:pPr>
            <w:r>
              <w:t>60</w:t>
            </w:r>
          </w:p>
        </w:tc>
        <w:tc>
          <w:tcPr>
            <w:tcW w:w="1024" w:type="dxa"/>
            <w:tcBorders>
              <w:top w:val="single" w:sz="4" w:space="0" w:color="000080"/>
            </w:tcBorders>
          </w:tcPr>
          <w:p w14:paraId="26C13C5E" w14:textId="2EB680C7" w:rsidR="00B95F9F" w:rsidRPr="002106A6" w:rsidRDefault="00885222" w:rsidP="00326709">
            <w:pPr>
              <w:keepNext/>
              <w:keepLines/>
              <w:spacing w:before="40" w:after="40"/>
              <w:jc w:val="right"/>
              <w:rPr>
                <w:b/>
              </w:rPr>
            </w:pPr>
            <w:r>
              <w:t>50</w:t>
            </w:r>
          </w:p>
        </w:tc>
        <w:tc>
          <w:tcPr>
            <w:tcW w:w="1025" w:type="dxa"/>
            <w:tcBorders>
              <w:top w:val="single" w:sz="4" w:space="0" w:color="000080"/>
            </w:tcBorders>
          </w:tcPr>
          <w:p w14:paraId="5E35AC7A" w14:textId="2A7726F7" w:rsidR="00B95F9F" w:rsidRPr="002106A6" w:rsidRDefault="00885222" w:rsidP="00326709">
            <w:pPr>
              <w:keepNext/>
              <w:keepLines/>
              <w:spacing w:before="40" w:after="40"/>
              <w:jc w:val="right"/>
              <w:rPr>
                <w:b/>
              </w:rPr>
            </w:pPr>
            <w:r>
              <w:t>20</w:t>
            </w:r>
          </w:p>
        </w:tc>
        <w:tc>
          <w:tcPr>
            <w:tcW w:w="970" w:type="dxa"/>
            <w:tcBorders>
              <w:top w:val="single" w:sz="4" w:space="0" w:color="000080"/>
            </w:tcBorders>
          </w:tcPr>
          <w:p w14:paraId="4C26A55A" w14:textId="381E8EF3" w:rsidR="00B95F9F" w:rsidRPr="002106A6" w:rsidRDefault="00197F5D" w:rsidP="00326709">
            <w:pPr>
              <w:keepNext/>
              <w:keepLines/>
              <w:spacing w:before="40" w:after="40"/>
              <w:jc w:val="right"/>
              <w:rPr>
                <w:b/>
              </w:rPr>
            </w:pPr>
            <w:r>
              <w:t>190</w:t>
            </w:r>
          </w:p>
        </w:tc>
      </w:tr>
      <w:tr w:rsidR="00B95F9F" w14:paraId="24A5D381" w14:textId="77777777" w:rsidTr="00197F5D">
        <w:trPr>
          <w:cantSplit/>
        </w:trPr>
        <w:tc>
          <w:tcPr>
            <w:tcW w:w="4786" w:type="dxa"/>
            <w:tcBorders>
              <w:bottom w:val="single" w:sz="4" w:space="0" w:color="000080"/>
            </w:tcBorders>
          </w:tcPr>
          <w:p w14:paraId="4AE9B592" w14:textId="77777777" w:rsidR="00B95F9F" w:rsidRDefault="00B95F9F" w:rsidP="00326709">
            <w:pPr>
              <w:keepNext/>
              <w:keepLines/>
              <w:spacing w:before="40" w:after="40"/>
            </w:pPr>
            <w:r>
              <w:t>Balance of non-Commonwealth contributions</w:t>
            </w:r>
            <w:r w:rsidRPr="00102BEA">
              <w:rPr>
                <w:vertAlign w:val="superscript"/>
              </w:rPr>
              <w:t>(b)</w:t>
            </w:r>
            <w:r>
              <w:t xml:space="preserve"> </w:t>
            </w:r>
          </w:p>
        </w:tc>
        <w:tc>
          <w:tcPr>
            <w:tcW w:w="1024" w:type="dxa"/>
            <w:tcBorders>
              <w:top w:val="single" w:sz="4" w:space="0" w:color="000080"/>
              <w:bottom w:val="single" w:sz="4" w:space="0" w:color="000080"/>
            </w:tcBorders>
          </w:tcPr>
          <w:p w14:paraId="02E76DDF" w14:textId="075EC31E" w:rsidR="00B95F9F" w:rsidRDefault="00885222" w:rsidP="00326709">
            <w:pPr>
              <w:keepNext/>
              <w:keepLines/>
              <w:spacing w:before="40" w:after="40"/>
              <w:jc w:val="right"/>
            </w:pPr>
            <w:r>
              <w:t>60</w:t>
            </w:r>
          </w:p>
        </w:tc>
        <w:tc>
          <w:tcPr>
            <w:tcW w:w="1025" w:type="dxa"/>
            <w:tcBorders>
              <w:top w:val="single" w:sz="4" w:space="0" w:color="000080"/>
              <w:bottom w:val="single" w:sz="4" w:space="0" w:color="000080"/>
            </w:tcBorders>
          </w:tcPr>
          <w:p w14:paraId="036EBC10" w14:textId="59700A46" w:rsidR="00B95F9F" w:rsidRDefault="00885222" w:rsidP="00326709">
            <w:pPr>
              <w:keepNext/>
              <w:keepLines/>
              <w:spacing w:before="40" w:after="40"/>
              <w:jc w:val="right"/>
            </w:pPr>
            <w:r>
              <w:t>60</w:t>
            </w:r>
          </w:p>
        </w:tc>
        <w:tc>
          <w:tcPr>
            <w:tcW w:w="1024" w:type="dxa"/>
            <w:tcBorders>
              <w:top w:val="single" w:sz="4" w:space="0" w:color="000080"/>
              <w:bottom w:val="single" w:sz="4" w:space="0" w:color="000080"/>
            </w:tcBorders>
          </w:tcPr>
          <w:p w14:paraId="4A316032" w14:textId="3A46F7FF" w:rsidR="00B95F9F" w:rsidRDefault="00885222" w:rsidP="00326709">
            <w:pPr>
              <w:keepNext/>
              <w:keepLines/>
              <w:spacing w:before="40" w:after="40"/>
              <w:jc w:val="right"/>
            </w:pPr>
            <w:r>
              <w:t>50</w:t>
            </w:r>
          </w:p>
        </w:tc>
        <w:tc>
          <w:tcPr>
            <w:tcW w:w="1025" w:type="dxa"/>
            <w:tcBorders>
              <w:top w:val="single" w:sz="4" w:space="0" w:color="000080"/>
              <w:bottom w:val="single" w:sz="4" w:space="0" w:color="000080"/>
            </w:tcBorders>
          </w:tcPr>
          <w:p w14:paraId="63443957" w14:textId="4FA4BFF0" w:rsidR="00B95F9F" w:rsidRDefault="00885222" w:rsidP="00326709">
            <w:pPr>
              <w:keepNext/>
              <w:keepLines/>
              <w:spacing w:before="40" w:after="40"/>
              <w:jc w:val="right"/>
            </w:pPr>
            <w:r>
              <w:t>20</w:t>
            </w:r>
          </w:p>
        </w:tc>
        <w:tc>
          <w:tcPr>
            <w:tcW w:w="970" w:type="dxa"/>
            <w:tcBorders>
              <w:top w:val="single" w:sz="4" w:space="0" w:color="000080"/>
              <w:bottom w:val="single" w:sz="4" w:space="0" w:color="000080"/>
            </w:tcBorders>
          </w:tcPr>
          <w:p w14:paraId="4B58B1B2" w14:textId="7E642CE8" w:rsidR="00B95F9F" w:rsidRDefault="00885222" w:rsidP="00326709">
            <w:pPr>
              <w:keepNext/>
              <w:keepLines/>
              <w:spacing w:before="40" w:after="40"/>
              <w:jc w:val="right"/>
            </w:pPr>
            <w:r>
              <w:t>190</w:t>
            </w:r>
          </w:p>
        </w:tc>
      </w:tr>
    </w:tbl>
    <w:p w14:paraId="08AFCD8A" w14:textId="77777777" w:rsidR="00B95F9F" w:rsidRDefault="00B95F9F" w:rsidP="00B95F9F">
      <w:pPr>
        <w:pStyle w:val="ChartandTableFootnoteAlpha"/>
      </w:pPr>
      <w:r w:rsidRPr="00102BEA">
        <w:t>Estimated National Partnership payments to each State will be set out in Schedules to this Agreement</w:t>
      </w:r>
      <w:r>
        <w:t>.</w:t>
      </w:r>
    </w:p>
    <w:p w14:paraId="5B6CDA28" w14:textId="77777777" w:rsidR="00B95F9F" w:rsidRDefault="00B95F9F" w:rsidP="00B95F9F">
      <w:pPr>
        <w:pStyle w:val="ChartandTableFootnoteAlpha"/>
      </w:pPr>
      <w:r>
        <w:t xml:space="preserve">Estimated non-Commonwealth contributions in this table comprise </w:t>
      </w:r>
      <w:r w:rsidR="00885222">
        <w:t xml:space="preserve">estimated </w:t>
      </w:r>
      <w:r>
        <w:t xml:space="preserve">State funding contributions only. </w:t>
      </w:r>
      <w:r w:rsidR="00885222">
        <w:t xml:space="preserve">Actual State funding contributions will be set out in schedules to this Agreement. </w:t>
      </w:r>
      <w:r>
        <w:t xml:space="preserve">As outlined at clause </w:t>
      </w:r>
      <w:r>
        <w:fldChar w:fldCharType="begin"/>
      </w:r>
      <w:r>
        <w:instrText xml:space="preserve"> REF _Ref35527560 \r \h </w:instrText>
      </w:r>
      <w:r>
        <w:fldChar w:fldCharType="separate"/>
      </w:r>
      <w:r>
        <w:t>19</w:t>
      </w:r>
      <w:r>
        <w:fldChar w:fldCharType="end"/>
      </w:r>
      <w:r>
        <w:t>, Commonwealth funding will generally be subject to third parties making financial contributions to each project.</w:t>
      </w:r>
      <w:r w:rsidR="00885222">
        <w:t xml:space="preserve"> </w:t>
      </w:r>
    </w:p>
    <w:bookmarkEnd w:id="7"/>
    <w:p w14:paraId="79FA251E" w14:textId="77777777" w:rsidR="00B95F9F" w:rsidRDefault="00B95F9F" w:rsidP="00B95F9F">
      <w:pPr>
        <w:pStyle w:val="Heading1"/>
        <w:spacing w:before="180"/>
        <w:jc w:val="both"/>
      </w:pPr>
      <w:r>
        <w:t>Part 6 — Governance arrangements</w:t>
      </w:r>
    </w:p>
    <w:p w14:paraId="0C6EE205" w14:textId="77777777" w:rsidR="00B95F9F" w:rsidRDefault="00B95F9F" w:rsidP="00B95F9F">
      <w:pPr>
        <w:pStyle w:val="Heading2"/>
        <w:jc w:val="both"/>
      </w:pPr>
      <w:r w:rsidRPr="006F096A">
        <w:t>Enforceability of the Agreement</w:t>
      </w:r>
    </w:p>
    <w:p w14:paraId="14E17F82" w14:textId="77777777" w:rsidR="00B95F9F" w:rsidRPr="00C40EBC" w:rsidRDefault="00B95F9F" w:rsidP="00B95F9F">
      <w:pPr>
        <w:pStyle w:val="Normalnumbered"/>
        <w:numPr>
          <w:ilvl w:val="0"/>
          <w:numId w:val="10"/>
        </w:numPr>
        <w:tabs>
          <w:tab w:val="clear" w:pos="1418"/>
        </w:tabs>
      </w:pPr>
      <w:r>
        <w:rPr>
          <w:szCs w:val="23"/>
        </w:rPr>
        <w:t>The Parties do not intend any of the provisions of this Agreement to be legally enforceable. However, this does not lessen the Parties’ commitment to this Agreement.</w:t>
      </w:r>
    </w:p>
    <w:p w14:paraId="29E55FB7" w14:textId="77777777" w:rsidR="00B95F9F" w:rsidRDefault="00B95F9F" w:rsidP="00B95F9F">
      <w:pPr>
        <w:pStyle w:val="Heading2"/>
        <w:jc w:val="both"/>
        <w:rPr>
          <w:i/>
        </w:rPr>
      </w:pPr>
      <w:r>
        <w:t>Review of the Agreement</w:t>
      </w:r>
    </w:p>
    <w:p w14:paraId="5F95BFE0" w14:textId="77777777" w:rsidR="00B95F9F" w:rsidRDefault="00B95F9F" w:rsidP="00B95F9F">
      <w:pPr>
        <w:pStyle w:val="Normalnumbered"/>
        <w:numPr>
          <w:ilvl w:val="0"/>
          <w:numId w:val="10"/>
        </w:numPr>
        <w:tabs>
          <w:tab w:val="clear" w:pos="1418"/>
        </w:tabs>
        <w:rPr>
          <w:color w:val="auto"/>
        </w:rPr>
      </w:pPr>
      <w:r>
        <w:rPr>
          <w:color w:val="auto"/>
        </w:rPr>
        <w:t xml:space="preserve">In accordance with clause E23 of the IGA FFR, this Agreement is time limited. </w:t>
      </w:r>
      <w:r>
        <w:t xml:space="preserve">To assess the degree to </w:t>
      </w:r>
      <w:r w:rsidRPr="00D36590">
        <w:rPr>
          <w:szCs w:val="23"/>
        </w:rPr>
        <w:t>which</w:t>
      </w:r>
      <w:r>
        <w:t xml:space="preserve"> the agreed objective, outcomes and outputs have been achieved, and inform decisions regarding the appropriate treatment following its expiry, an independent review of the Agreement will be scheduled to be completed approximately six months prior to its expiry.</w:t>
      </w:r>
    </w:p>
    <w:p w14:paraId="0EEEF0C2" w14:textId="77777777" w:rsidR="00B95F9F" w:rsidRPr="00B84B5A" w:rsidRDefault="00B95F9F" w:rsidP="00B95F9F">
      <w:pPr>
        <w:pStyle w:val="Normalnumbered"/>
        <w:numPr>
          <w:ilvl w:val="0"/>
          <w:numId w:val="10"/>
        </w:numPr>
        <w:tabs>
          <w:tab w:val="clear" w:pos="1418"/>
        </w:tabs>
        <w:rPr>
          <w:color w:val="auto"/>
        </w:rPr>
      </w:pPr>
      <w:r w:rsidRPr="00B84B5A">
        <w:rPr>
          <w:color w:val="auto"/>
        </w:rPr>
        <w:t>This Agreement is intended to provide Commonwealth funding on a one-off basis to contribute to improved recycling outcomes by addressing critical gaps in Australia’s recycling infrastructure</w:t>
      </w:r>
      <w:r w:rsidR="00F83909">
        <w:rPr>
          <w:color w:val="auto"/>
        </w:rPr>
        <w:t xml:space="preserve"> and resource recovery</w:t>
      </w:r>
      <w:r w:rsidRPr="00B84B5A">
        <w:rPr>
          <w:color w:val="auto"/>
        </w:rPr>
        <w:t xml:space="preserve">. It is not anticipated that the Commonwealth will provide any further funding for these </w:t>
      </w:r>
      <w:r w:rsidRPr="00B84B5A">
        <w:rPr>
          <w:szCs w:val="23"/>
        </w:rPr>
        <w:t>activities</w:t>
      </w:r>
      <w:r w:rsidRPr="00B84B5A">
        <w:rPr>
          <w:color w:val="auto"/>
        </w:rPr>
        <w:t xml:space="preserve"> beyond the expiry of the Agreement.</w:t>
      </w:r>
      <w:r>
        <w:rPr>
          <w:color w:val="auto"/>
        </w:rPr>
        <w:t xml:space="preserve"> </w:t>
      </w:r>
      <w:r w:rsidRPr="00B84B5A">
        <w:rPr>
          <w:color w:val="auto"/>
        </w:rPr>
        <w:t>Whether any further funding is provided by the States is a matter for them to consider</w:t>
      </w:r>
      <w:r w:rsidRPr="00D36590">
        <w:t xml:space="preserve"> </w:t>
      </w:r>
      <w:r>
        <w:t xml:space="preserve">as </w:t>
      </w:r>
      <w:r w:rsidR="00A46948">
        <w:t xml:space="preserve">the </w:t>
      </w:r>
      <w:r>
        <w:t>States are primarily responsible for waste and recycling activities.</w:t>
      </w:r>
    </w:p>
    <w:p w14:paraId="7F970A08" w14:textId="77777777" w:rsidR="00B95F9F" w:rsidRDefault="00B95F9F" w:rsidP="00B95F9F">
      <w:pPr>
        <w:pStyle w:val="Heading2"/>
        <w:jc w:val="both"/>
      </w:pPr>
      <w:r>
        <w:t>Variation of the Agreement</w:t>
      </w:r>
    </w:p>
    <w:p w14:paraId="6068C0A7" w14:textId="77777777" w:rsidR="00B95F9F" w:rsidRDefault="00B95F9F" w:rsidP="00B95F9F">
      <w:pPr>
        <w:pStyle w:val="Normalnumbered"/>
        <w:numPr>
          <w:ilvl w:val="0"/>
          <w:numId w:val="10"/>
        </w:numPr>
        <w:tabs>
          <w:tab w:val="clear" w:pos="1418"/>
        </w:tabs>
      </w:pPr>
      <w:r>
        <w:t>The Agreement may be amended at any time by agreement in writing by all the Parties.</w:t>
      </w:r>
    </w:p>
    <w:p w14:paraId="2DB3A84D" w14:textId="77777777" w:rsidR="00B95F9F" w:rsidRDefault="00B95F9F" w:rsidP="00B95F9F">
      <w:pPr>
        <w:pStyle w:val="Normalnumbered"/>
        <w:numPr>
          <w:ilvl w:val="0"/>
          <w:numId w:val="10"/>
        </w:numPr>
        <w:tabs>
          <w:tab w:val="clear" w:pos="1418"/>
        </w:tabs>
      </w:pPr>
      <w:r>
        <w:t>A Party to the Agreement may terminate their participation in the Agreement at any time by notifying all the other Parties in writing.</w:t>
      </w:r>
    </w:p>
    <w:p w14:paraId="604C5F72" w14:textId="77777777" w:rsidR="00B95F9F" w:rsidRDefault="00B95F9F" w:rsidP="00B95F9F">
      <w:pPr>
        <w:pStyle w:val="Heading2"/>
        <w:jc w:val="both"/>
      </w:pPr>
      <w:r>
        <w:t>Delegations</w:t>
      </w:r>
    </w:p>
    <w:p w14:paraId="6CF69192" w14:textId="77777777" w:rsidR="00B95F9F" w:rsidRDefault="00B95F9F" w:rsidP="00B95F9F">
      <w:pPr>
        <w:pStyle w:val="Normalnumbered"/>
        <w:numPr>
          <w:ilvl w:val="0"/>
          <w:numId w:val="10"/>
        </w:numPr>
        <w:tabs>
          <w:tab w:val="clear" w:pos="1418"/>
        </w:tabs>
      </w:pPr>
      <w:r>
        <w:t xml:space="preserve">The relevant Commonwealth Minister with portfolio responsibility for the environment is authorised to </w:t>
      </w:r>
      <w:r w:rsidR="002F403E">
        <w:t xml:space="preserve">agree and </w:t>
      </w:r>
      <w:r>
        <w:t xml:space="preserve">amend the eligibility criteria at Appendix A to this Agreement, to agree and amend Schedules to this Agreement, and to </w:t>
      </w:r>
      <w:r w:rsidRPr="00901CF5">
        <w:t xml:space="preserve">certify that </w:t>
      </w:r>
      <w:r>
        <w:t xml:space="preserve">performance benchmarks or milestones specified under this Agreement have been achieved, so that payments may be made. </w:t>
      </w:r>
    </w:p>
    <w:p w14:paraId="4A3B833A" w14:textId="77777777" w:rsidR="00B95F9F" w:rsidRDefault="00B95F9F" w:rsidP="00B95F9F">
      <w:pPr>
        <w:pStyle w:val="Normalnumbered"/>
        <w:numPr>
          <w:ilvl w:val="0"/>
          <w:numId w:val="10"/>
        </w:numPr>
        <w:tabs>
          <w:tab w:val="clear" w:pos="1418"/>
        </w:tabs>
      </w:pPr>
      <w:r>
        <w:t xml:space="preserve">Respective State and Territory Ministers with portfolio responsibility for waste and recycling </w:t>
      </w:r>
      <w:r w:rsidRPr="00816464">
        <w:t xml:space="preserve">are authorised </w:t>
      </w:r>
      <w:r>
        <w:t xml:space="preserve">to </w:t>
      </w:r>
      <w:r w:rsidR="002F403E">
        <w:t>agree and</w:t>
      </w:r>
      <w:r>
        <w:t xml:space="preserve"> amend the eligibility criteria at Appendix A to this Agreement</w:t>
      </w:r>
      <w:r w:rsidR="001D28AD">
        <w:t xml:space="preserve"> </w:t>
      </w:r>
      <w:r w:rsidR="00EB7EC9">
        <w:t>(</w:t>
      </w:r>
      <w:r w:rsidR="00D470DD">
        <w:t xml:space="preserve">to be </w:t>
      </w:r>
      <w:r w:rsidR="0067481E">
        <w:t xml:space="preserve">agreed by </w:t>
      </w:r>
      <w:r w:rsidR="00EB7EC9">
        <w:t xml:space="preserve">all </w:t>
      </w:r>
      <w:r w:rsidR="001D28AD">
        <w:t>Parties</w:t>
      </w:r>
      <w:r w:rsidR="003F6374">
        <w:t xml:space="preserve"> in writing</w:t>
      </w:r>
      <w:r w:rsidR="00EB7EC9">
        <w:t>)</w:t>
      </w:r>
      <w:r w:rsidR="001D28AD">
        <w:t>,</w:t>
      </w:r>
      <w:r w:rsidRPr="00816464">
        <w:t xml:space="preserve"> </w:t>
      </w:r>
      <w:r>
        <w:t xml:space="preserve">and </w:t>
      </w:r>
      <w:r w:rsidRPr="00816464">
        <w:t xml:space="preserve">to agree </w:t>
      </w:r>
      <w:r>
        <w:t xml:space="preserve">and amend </w:t>
      </w:r>
      <w:r w:rsidRPr="000E19C0">
        <w:t>Schedules to this Agreement</w:t>
      </w:r>
      <w:r w:rsidR="001D28AD">
        <w:t xml:space="preserve"> for their State or Territory</w:t>
      </w:r>
      <w:r w:rsidR="00EB7EC9">
        <w:t xml:space="preserve"> (</w:t>
      </w:r>
      <w:r w:rsidR="00D470DD">
        <w:t xml:space="preserve">to be </w:t>
      </w:r>
      <w:r w:rsidR="0067481E">
        <w:t xml:space="preserve">agreed </w:t>
      </w:r>
      <w:r w:rsidR="00EB7EC9">
        <w:t>with the Commonwealth in writing)</w:t>
      </w:r>
      <w:r w:rsidRPr="00816464">
        <w:t>.</w:t>
      </w:r>
      <w:r w:rsidRPr="00901CF5">
        <w:t xml:space="preserve"> </w:t>
      </w:r>
    </w:p>
    <w:p w14:paraId="68262534" w14:textId="77777777" w:rsidR="00B95F9F" w:rsidRDefault="00B95F9F" w:rsidP="00B95F9F">
      <w:pPr>
        <w:pStyle w:val="Normalnumbered"/>
        <w:numPr>
          <w:ilvl w:val="0"/>
          <w:numId w:val="10"/>
        </w:numPr>
        <w:tabs>
          <w:tab w:val="clear" w:pos="1418"/>
        </w:tabs>
      </w:pPr>
      <w:r>
        <w:t xml:space="preserve">The Commonwealth Minister may delegate the assessment of project-based performance benchmarks or milestones and the authorisation of related project payments to senior Commonwealth officials, having regard to the financial and policy risks associated with those payments. </w:t>
      </w:r>
    </w:p>
    <w:p w14:paraId="1A6E33A1" w14:textId="77777777" w:rsidR="00B95F9F" w:rsidRDefault="00B95F9F" w:rsidP="00B95F9F">
      <w:pPr>
        <w:pStyle w:val="Heading2"/>
      </w:pPr>
      <w:r>
        <w:t>Dispute resolution</w:t>
      </w:r>
    </w:p>
    <w:p w14:paraId="10BF6502" w14:textId="77777777" w:rsidR="00B95F9F" w:rsidRDefault="00B95F9F" w:rsidP="00B95F9F">
      <w:pPr>
        <w:pStyle w:val="Normalnumbered"/>
        <w:numPr>
          <w:ilvl w:val="0"/>
          <w:numId w:val="10"/>
        </w:numPr>
        <w:tabs>
          <w:tab w:val="clear" w:pos="1418"/>
        </w:tabs>
      </w:pPr>
      <w:r>
        <w:t>Any Party may give notice to other Parties of a dispute under this Agreement.</w:t>
      </w:r>
    </w:p>
    <w:p w14:paraId="1992B613" w14:textId="77777777" w:rsidR="00B95F9F" w:rsidRDefault="00B95F9F" w:rsidP="00B95F9F">
      <w:pPr>
        <w:pStyle w:val="Normalnumbered"/>
        <w:numPr>
          <w:ilvl w:val="0"/>
          <w:numId w:val="10"/>
        </w:numPr>
        <w:tabs>
          <w:tab w:val="clear" w:pos="1418"/>
        </w:tabs>
      </w:pPr>
      <w:r>
        <w:t>Officials of relevant Parties will attempt to resolve any dispute in the first instance.</w:t>
      </w:r>
    </w:p>
    <w:p w14:paraId="2C5FC128" w14:textId="77777777" w:rsidR="00B95F9F" w:rsidRDefault="00B95F9F" w:rsidP="00B95F9F">
      <w:pPr>
        <w:pStyle w:val="Normalnumbered"/>
        <w:numPr>
          <w:ilvl w:val="0"/>
          <w:numId w:val="10"/>
        </w:numPr>
        <w:tabs>
          <w:tab w:val="clear" w:pos="1418"/>
        </w:tabs>
      </w:pPr>
      <w:r>
        <w:t>If a dispute cannot be resolved by officials, it may be escalated to the relevant Ministers.</w:t>
      </w:r>
    </w:p>
    <w:p w14:paraId="7081F598" w14:textId="77777777" w:rsidR="00B95F9F" w:rsidRDefault="00B95F9F" w:rsidP="00B95F9F">
      <w:pPr>
        <w:pStyle w:val="Heading2"/>
      </w:pPr>
      <w:r>
        <w:t>Interpretation</w:t>
      </w:r>
    </w:p>
    <w:p w14:paraId="44B7AECC" w14:textId="77777777" w:rsidR="00B95F9F" w:rsidRDefault="00B95F9F" w:rsidP="00B95F9F">
      <w:pPr>
        <w:pStyle w:val="Normalnumbered"/>
        <w:numPr>
          <w:ilvl w:val="0"/>
          <w:numId w:val="10"/>
        </w:numPr>
        <w:tabs>
          <w:tab w:val="clear" w:pos="1418"/>
        </w:tabs>
        <w:jc w:val="left"/>
      </w:pPr>
      <w:r>
        <w:t>For the purposes of this Agreement:</w:t>
      </w:r>
    </w:p>
    <w:p w14:paraId="55B99536" w14:textId="77777777" w:rsidR="00B95F9F" w:rsidRDefault="00B95F9F" w:rsidP="00726A66">
      <w:pPr>
        <w:pStyle w:val="AlphaParagraph"/>
        <w:numPr>
          <w:ilvl w:val="0"/>
          <w:numId w:val="19"/>
        </w:numPr>
        <w:ind w:left="1134"/>
      </w:pPr>
      <w:r w:rsidRPr="003E3451">
        <w:rPr>
          <w:b/>
        </w:rPr>
        <w:t>COAG waste export ban</w:t>
      </w:r>
      <w:r>
        <w:t xml:space="preserve"> means the decision taken on 13</w:t>
      </w:r>
      <w:r w:rsidRPr="00BC5E96">
        <w:t xml:space="preserve"> March 2020 </w:t>
      </w:r>
      <w:r>
        <w:t xml:space="preserve">by the </w:t>
      </w:r>
      <w:r w:rsidRPr="00BC5E96">
        <w:t>Council of Australian Governments</w:t>
      </w:r>
      <w:r>
        <w:t xml:space="preserve"> </w:t>
      </w:r>
      <w:r w:rsidRPr="00BC5E96">
        <w:t>to phase out the exports of waste plastic, paper, glass and tyres</w:t>
      </w:r>
      <w:r>
        <w:t>. COAG’s March 2020 decision followed an initial announcement of intent on 9 August 2019. Definitions of these waste materials are provided in Appendix A.</w:t>
      </w:r>
    </w:p>
    <w:p w14:paraId="4B9E0EEF" w14:textId="77777777" w:rsidR="00B95F9F" w:rsidRDefault="00B95F9F" w:rsidP="00726A66">
      <w:pPr>
        <w:pStyle w:val="AlphaParagraph"/>
        <w:numPr>
          <w:ilvl w:val="0"/>
          <w:numId w:val="19"/>
        </w:numPr>
        <w:ind w:left="1134"/>
      </w:pPr>
      <w:r w:rsidRPr="00753934">
        <w:rPr>
          <w:b/>
        </w:rPr>
        <w:t>Recycling</w:t>
      </w:r>
      <w:r>
        <w:t xml:space="preserve"> means activities in which solid wastes are collected, sorted, processed, and converted into raw materials to be used in the production of new products.</w:t>
      </w:r>
    </w:p>
    <w:p w14:paraId="09AFCA42" w14:textId="77777777" w:rsidR="005D50B3" w:rsidRDefault="005D50B3" w:rsidP="00726A66">
      <w:pPr>
        <w:pStyle w:val="AlphaParagraph"/>
        <w:numPr>
          <w:ilvl w:val="0"/>
          <w:numId w:val="19"/>
        </w:numPr>
        <w:ind w:left="1134"/>
      </w:pPr>
      <w:r w:rsidRPr="005D50B3">
        <w:rPr>
          <w:b/>
        </w:rPr>
        <w:t>Resource recovery</w:t>
      </w:r>
      <w:r>
        <w:t xml:space="preserve"> is, for data collation purposes, the sum of materials sent to recycling and energy recovery net of contaminants and residual wastes sent to disposal.</w:t>
      </w:r>
    </w:p>
    <w:p w14:paraId="37EEFAE0" w14:textId="77777777" w:rsidR="00B95F9F" w:rsidRDefault="00B95F9F" w:rsidP="00B95F9F">
      <w:pPr>
        <w:pStyle w:val="AlphaParagraph"/>
        <w:tabs>
          <w:tab w:val="clear" w:pos="0"/>
        </w:tabs>
        <w:ind w:left="0" w:firstLine="0"/>
      </w:pPr>
      <w:r>
        <w:br w:type="page"/>
      </w:r>
    </w:p>
    <w:p w14:paraId="661B465A" w14:textId="77777777" w:rsidR="00B95F9F" w:rsidRPr="002665E5" w:rsidRDefault="00B95F9F" w:rsidP="00B95F9F">
      <w:pPr>
        <w:pStyle w:val="AlphaParagraph"/>
        <w:tabs>
          <w:tab w:val="clear" w:pos="0"/>
        </w:tabs>
        <w:ind w:left="0" w:firstLine="0"/>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B95F9F" w:rsidRPr="00A50751" w14:paraId="2E3A0F39" w14:textId="77777777" w:rsidTr="00326709">
        <w:trPr>
          <w:cantSplit/>
          <w:jc w:val="center"/>
        </w:trPr>
        <w:tc>
          <w:tcPr>
            <w:tcW w:w="4536" w:type="dxa"/>
          </w:tcPr>
          <w:p w14:paraId="3F66E8E0" w14:textId="77777777" w:rsidR="00B95F9F" w:rsidRPr="004A0AE7" w:rsidRDefault="00B95F9F" w:rsidP="00326709">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6A00AEB7" w14:textId="77777777" w:rsidR="00B95F9F" w:rsidRPr="00A50751" w:rsidRDefault="00B95F9F" w:rsidP="00326709">
            <w:pPr>
              <w:pStyle w:val="LineForSignature"/>
              <w:spacing w:before="480"/>
            </w:pPr>
            <w:r>
              <w:tab/>
            </w:r>
          </w:p>
          <w:p w14:paraId="373B9E6A" w14:textId="77777777" w:rsidR="00B95F9F" w:rsidRDefault="00B95F9F" w:rsidP="00326709">
            <w:pPr>
              <w:pStyle w:val="SingleParagraph"/>
              <w:rPr>
                <w:rStyle w:val="Bold"/>
              </w:rPr>
            </w:pPr>
            <w:r>
              <w:rPr>
                <w:rStyle w:val="Bold"/>
              </w:rPr>
              <w:t xml:space="preserve">The Honourable </w:t>
            </w:r>
            <w:r w:rsidR="00F26F05">
              <w:rPr>
                <w:rStyle w:val="Bold"/>
              </w:rPr>
              <w:t>Josh Frydenberg</w:t>
            </w:r>
            <w:r>
              <w:rPr>
                <w:rStyle w:val="Bold"/>
              </w:rPr>
              <w:t xml:space="preserve"> MP</w:t>
            </w:r>
          </w:p>
          <w:p w14:paraId="05390C9F" w14:textId="77777777" w:rsidR="00B95F9F" w:rsidRDefault="00F26F05" w:rsidP="00326709">
            <w:pPr>
              <w:pStyle w:val="Position"/>
              <w:rPr>
                <w:lang w:val="en-GB"/>
              </w:rPr>
            </w:pPr>
            <w:r>
              <w:rPr>
                <w:lang w:val="en-GB"/>
              </w:rPr>
              <w:t>Treasurer</w:t>
            </w:r>
            <w:r w:rsidR="00B95F9F" w:rsidRPr="001F6FE8">
              <w:rPr>
                <w:lang w:val="en-GB"/>
              </w:rPr>
              <w:t xml:space="preserve"> of the Commonwealth of Australia</w:t>
            </w:r>
          </w:p>
          <w:p w14:paraId="78A5E781" w14:textId="77777777" w:rsidR="00B95F9F" w:rsidRDefault="00B95F9F" w:rsidP="00326709">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0FAF4577" w14:textId="77777777" w:rsidR="00B95F9F" w:rsidRPr="00A50751" w:rsidRDefault="00B95F9F" w:rsidP="00326709">
            <w:pPr>
              <w:rPr>
                <w:rFonts w:ascii="Book Antiqua" w:hAnsi="Book Antiqua"/>
                <w:lang w:val="en-GB"/>
              </w:rPr>
            </w:pPr>
          </w:p>
        </w:tc>
        <w:tc>
          <w:tcPr>
            <w:tcW w:w="4536" w:type="dxa"/>
          </w:tcPr>
          <w:p w14:paraId="5208949C" w14:textId="77777777" w:rsidR="00B95F9F" w:rsidRPr="00A50751" w:rsidRDefault="00B95F9F" w:rsidP="00326709">
            <w:pPr>
              <w:rPr>
                <w:rFonts w:ascii="Book Antiqua" w:hAnsi="Book Antiqua"/>
                <w:lang w:val="en-GB"/>
              </w:rPr>
            </w:pPr>
          </w:p>
        </w:tc>
      </w:tr>
      <w:tr w:rsidR="00B95F9F" w:rsidRPr="00A50751" w14:paraId="530F6802" w14:textId="77777777" w:rsidTr="00326709">
        <w:trPr>
          <w:cantSplit/>
          <w:jc w:val="center"/>
        </w:trPr>
        <w:tc>
          <w:tcPr>
            <w:tcW w:w="4536" w:type="dxa"/>
          </w:tcPr>
          <w:p w14:paraId="0466BC6D" w14:textId="77777777" w:rsidR="00B95F9F" w:rsidRPr="00A50751" w:rsidRDefault="00B95F9F" w:rsidP="00326709">
            <w:pPr>
              <w:pStyle w:val="SingleParagraph"/>
              <w:rPr>
                <w:rFonts w:ascii="Book Antiqua" w:hAnsi="Book Antiqua"/>
                <w:lang w:val="en-GB"/>
              </w:rPr>
            </w:pPr>
          </w:p>
        </w:tc>
        <w:tc>
          <w:tcPr>
            <w:tcW w:w="284" w:type="dxa"/>
            <w:tcMar>
              <w:left w:w="0" w:type="dxa"/>
              <w:right w:w="0" w:type="dxa"/>
            </w:tcMar>
          </w:tcPr>
          <w:p w14:paraId="74575658" w14:textId="77777777" w:rsidR="00B95F9F" w:rsidRPr="00A50751" w:rsidRDefault="00B95F9F" w:rsidP="00326709">
            <w:pPr>
              <w:pStyle w:val="SingleParagraph"/>
              <w:rPr>
                <w:rFonts w:ascii="Book Antiqua" w:hAnsi="Book Antiqua"/>
                <w:lang w:val="en-GB"/>
              </w:rPr>
            </w:pPr>
          </w:p>
        </w:tc>
        <w:tc>
          <w:tcPr>
            <w:tcW w:w="4536" w:type="dxa"/>
          </w:tcPr>
          <w:p w14:paraId="55986960" w14:textId="77777777" w:rsidR="00B95F9F" w:rsidRPr="00A50751" w:rsidRDefault="00B95F9F" w:rsidP="00326709">
            <w:pPr>
              <w:pStyle w:val="SingleParagraph"/>
              <w:rPr>
                <w:rFonts w:ascii="Book Antiqua" w:hAnsi="Book Antiqua"/>
                <w:lang w:val="en-GB"/>
              </w:rPr>
            </w:pPr>
          </w:p>
        </w:tc>
      </w:tr>
      <w:tr w:rsidR="00B95F9F" w:rsidRPr="00A50751" w14:paraId="382C0F9B" w14:textId="77777777" w:rsidTr="00326709">
        <w:trPr>
          <w:cantSplit/>
          <w:jc w:val="center"/>
        </w:trPr>
        <w:tc>
          <w:tcPr>
            <w:tcW w:w="4536" w:type="dxa"/>
          </w:tcPr>
          <w:p w14:paraId="1115F04B" w14:textId="77777777" w:rsidR="00B95F9F" w:rsidRPr="004A0AE7" w:rsidRDefault="00B95F9F" w:rsidP="00326709">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place">
              <w:smartTag w:uri="urn:schemas-microsoft-com:office:smarttags" w:element="State">
                <w:r w:rsidRPr="004A0AE7">
                  <w:t>New South Wales</w:t>
                </w:r>
              </w:smartTag>
            </w:smartTag>
            <w:r w:rsidRPr="004A0AE7">
              <w:t xml:space="preserve"> by</w:t>
            </w:r>
          </w:p>
          <w:p w14:paraId="11B01F60" w14:textId="77777777" w:rsidR="00B95F9F" w:rsidRPr="00A50751" w:rsidRDefault="00B95F9F" w:rsidP="00326709">
            <w:pPr>
              <w:pStyle w:val="LineForSignature"/>
              <w:spacing w:before="480"/>
            </w:pPr>
            <w:r w:rsidRPr="00A50751">
              <w:tab/>
            </w:r>
          </w:p>
          <w:p w14:paraId="2CB06D35" w14:textId="77777777" w:rsidR="00B95F9F" w:rsidRDefault="00B95F9F" w:rsidP="00326709">
            <w:pPr>
              <w:pStyle w:val="SingleParagraph"/>
              <w:rPr>
                <w:rStyle w:val="Bold"/>
              </w:rPr>
            </w:pPr>
            <w:r>
              <w:rPr>
                <w:rStyle w:val="Bold"/>
              </w:rPr>
              <w:t xml:space="preserve">The Honourable </w:t>
            </w:r>
            <w:r w:rsidR="007B08BA" w:rsidRPr="00476A5D">
              <w:rPr>
                <w:rStyle w:val="Bold"/>
              </w:rPr>
              <w:t>Dominic Perrottet MP</w:t>
            </w:r>
          </w:p>
          <w:p w14:paraId="075A6119" w14:textId="77777777" w:rsidR="00B95F9F" w:rsidRPr="00A50751" w:rsidRDefault="007B08BA" w:rsidP="00326709">
            <w:pPr>
              <w:pStyle w:val="Position"/>
              <w:rPr>
                <w:rFonts w:ascii="Book Antiqua" w:hAnsi="Book Antiqua"/>
                <w:bCs w:val="0"/>
                <w:lang w:val="en-GB"/>
              </w:rPr>
            </w:pPr>
            <w:r>
              <w:rPr>
                <w:bCs w:val="0"/>
                <w:lang w:val="en-GB"/>
              </w:rPr>
              <w:t>Treasurer</w:t>
            </w:r>
            <w:r w:rsidRPr="001F6FE8">
              <w:rPr>
                <w:bCs w:val="0"/>
                <w:lang w:val="en-GB"/>
              </w:rPr>
              <w:t xml:space="preserve"> </w:t>
            </w:r>
            <w:r w:rsidR="00B95F9F" w:rsidRPr="001F6FE8">
              <w:rPr>
                <w:bCs w:val="0"/>
                <w:lang w:val="en-GB"/>
              </w:rPr>
              <w:t xml:space="preserve">of the State of New </w:t>
            </w:r>
            <w:r w:rsidR="00B95F9F">
              <w:rPr>
                <w:lang w:val="en-GB"/>
              </w:rPr>
              <w:t>South</w:t>
            </w:r>
            <w:r w:rsidR="00B95F9F" w:rsidRPr="001F6FE8">
              <w:rPr>
                <w:bCs w:val="0"/>
                <w:lang w:val="en-GB"/>
              </w:rPr>
              <w:t xml:space="preserve"> Wales</w:t>
            </w:r>
          </w:p>
          <w:p w14:paraId="314BC391" w14:textId="77777777" w:rsidR="00B95F9F" w:rsidRPr="00A50751" w:rsidRDefault="00B95F9F" w:rsidP="00326709">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429A5017" w14:textId="77777777" w:rsidR="00B95F9F" w:rsidRPr="00A50751" w:rsidRDefault="00B95F9F" w:rsidP="00326709">
            <w:pPr>
              <w:rPr>
                <w:rFonts w:ascii="Book Antiqua" w:hAnsi="Book Antiqua"/>
                <w:lang w:val="en-GB"/>
              </w:rPr>
            </w:pPr>
          </w:p>
        </w:tc>
        <w:tc>
          <w:tcPr>
            <w:tcW w:w="4536" w:type="dxa"/>
          </w:tcPr>
          <w:p w14:paraId="34FF67F6" w14:textId="77777777" w:rsidR="00B95F9F" w:rsidRPr="004A0AE7" w:rsidRDefault="00B95F9F" w:rsidP="00326709">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Victoria</w:t>
                </w:r>
              </w:smartTag>
            </w:smartTag>
            <w:r w:rsidRPr="004A0AE7">
              <w:t xml:space="preserve"> by</w:t>
            </w:r>
          </w:p>
          <w:p w14:paraId="45440788" w14:textId="77777777" w:rsidR="00B95F9F" w:rsidRPr="00A50751" w:rsidRDefault="00B95F9F" w:rsidP="00326709">
            <w:pPr>
              <w:pStyle w:val="LineForSignature"/>
              <w:spacing w:before="480"/>
            </w:pPr>
            <w:r w:rsidRPr="00A50751">
              <w:tab/>
            </w:r>
          </w:p>
          <w:p w14:paraId="5DE1CAF7" w14:textId="77777777" w:rsidR="00B95F9F" w:rsidRDefault="00B95F9F" w:rsidP="00326709">
            <w:pPr>
              <w:pStyle w:val="SingleParagraph"/>
              <w:rPr>
                <w:rStyle w:val="Bold"/>
              </w:rPr>
            </w:pPr>
            <w:r>
              <w:rPr>
                <w:rStyle w:val="Bold"/>
              </w:rPr>
              <w:t xml:space="preserve">The Honourable </w:t>
            </w:r>
            <w:r w:rsidR="007B08BA" w:rsidRPr="00476A5D">
              <w:rPr>
                <w:rStyle w:val="Bold"/>
              </w:rPr>
              <w:t xml:space="preserve">Tim Pallas </w:t>
            </w:r>
            <w:r>
              <w:rPr>
                <w:rStyle w:val="Bold"/>
              </w:rPr>
              <w:t xml:space="preserve"> MP</w:t>
            </w:r>
          </w:p>
          <w:p w14:paraId="3A344869" w14:textId="77777777" w:rsidR="00B95F9F" w:rsidRPr="00A50751" w:rsidRDefault="007B08BA" w:rsidP="00326709">
            <w:pPr>
              <w:pStyle w:val="Position"/>
              <w:rPr>
                <w:rFonts w:ascii="Book Antiqua" w:hAnsi="Book Antiqua"/>
                <w:bCs w:val="0"/>
                <w:lang w:val="en-GB"/>
              </w:rPr>
            </w:pPr>
            <w:r>
              <w:rPr>
                <w:bCs w:val="0"/>
                <w:lang w:val="en-GB"/>
              </w:rPr>
              <w:t>Treasurer</w:t>
            </w:r>
            <w:r w:rsidRPr="00B00778">
              <w:rPr>
                <w:bCs w:val="0"/>
                <w:lang w:val="en-GB"/>
              </w:rPr>
              <w:t xml:space="preserve"> </w:t>
            </w:r>
            <w:r w:rsidR="00B95F9F" w:rsidRPr="00B00778">
              <w:rPr>
                <w:bCs w:val="0"/>
                <w:lang w:val="en-GB"/>
              </w:rPr>
              <w:t>of the State of Victoria</w:t>
            </w:r>
          </w:p>
          <w:p w14:paraId="02CAC674" w14:textId="77777777" w:rsidR="00B95F9F" w:rsidRPr="00A50751" w:rsidRDefault="00B95F9F" w:rsidP="00326709">
            <w:pPr>
              <w:pStyle w:val="SingleParagraph"/>
              <w:tabs>
                <w:tab w:val="num" w:pos="1134"/>
              </w:tabs>
              <w:spacing w:after="240"/>
              <w:ind w:left="1134" w:hanging="567"/>
              <w:rPr>
                <w:lang w:val="en-GB"/>
              </w:rPr>
            </w:pPr>
            <w:r>
              <w:rPr>
                <w:lang w:val="en-GB"/>
              </w:rPr>
              <w:t>[Day] [Month] [Year]</w:t>
            </w:r>
          </w:p>
        </w:tc>
      </w:tr>
      <w:tr w:rsidR="00B95F9F" w:rsidRPr="00A50751" w14:paraId="276F6C2A" w14:textId="77777777" w:rsidTr="00326709">
        <w:trPr>
          <w:cantSplit/>
          <w:jc w:val="center"/>
        </w:trPr>
        <w:tc>
          <w:tcPr>
            <w:tcW w:w="4536" w:type="dxa"/>
          </w:tcPr>
          <w:p w14:paraId="0D5F8162" w14:textId="77777777" w:rsidR="00B95F9F" w:rsidRPr="00A50751" w:rsidRDefault="00B95F9F" w:rsidP="00326709">
            <w:pPr>
              <w:pStyle w:val="SingleParagraph"/>
              <w:rPr>
                <w:rFonts w:ascii="Book Antiqua" w:hAnsi="Book Antiqua"/>
                <w:lang w:val="en-GB"/>
              </w:rPr>
            </w:pPr>
          </w:p>
        </w:tc>
        <w:tc>
          <w:tcPr>
            <w:tcW w:w="284" w:type="dxa"/>
            <w:tcMar>
              <w:left w:w="0" w:type="dxa"/>
              <w:right w:w="0" w:type="dxa"/>
            </w:tcMar>
          </w:tcPr>
          <w:p w14:paraId="23F34F71" w14:textId="77777777" w:rsidR="00B95F9F" w:rsidRPr="00A50751" w:rsidRDefault="00B95F9F" w:rsidP="00326709">
            <w:pPr>
              <w:pStyle w:val="SingleParagraph"/>
              <w:rPr>
                <w:rFonts w:ascii="Book Antiqua" w:hAnsi="Book Antiqua"/>
                <w:lang w:val="en-GB"/>
              </w:rPr>
            </w:pPr>
          </w:p>
        </w:tc>
        <w:tc>
          <w:tcPr>
            <w:tcW w:w="4536" w:type="dxa"/>
          </w:tcPr>
          <w:p w14:paraId="483B566D" w14:textId="77777777" w:rsidR="00B95F9F" w:rsidRPr="00A50751" w:rsidRDefault="00B95F9F" w:rsidP="00326709">
            <w:pPr>
              <w:pStyle w:val="SingleParagraph"/>
              <w:rPr>
                <w:rFonts w:ascii="Book Antiqua" w:hAnsi="Book Antiqua"/>
                <w:lang w:val="en-GB"/>
              </w:rPr>
            </w:pPr>
          </w:p>
        </w:tc>
      </w:tr>
      <w:tr w:rsidR="00B95F9F" w:rsidRPr="00A50751" w14:paraId="4FF17358" w14:textId="77777777" w:rsidTr="00326709">
        <w:trPr>
          <w:cantSplit/>
          <w:jc w:val="center"/>
        </w:trPr>
        <w:tc>
          <w:tcPr>
            <w:tcW w:w="4536" w:type="dxa"/>
          </w:tcPr>
          <w:p w14:paraId="7895558E" w14:textId="77777777" w:rsidR="00B95F9F" w:rsidRPr="004A0AE7" w:rsidRDefault="00B95F9F" w:rsidP="00326709">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140021AC" w14:textId="77777777" w:rsidR="00B95F9F" w:rsidRPr="00A50751" w:rsidRDefault="00B95F9F" w:rsidP="00326709">
            <w:pPr>
              <w:pStyle w:val="LineForSignature"/>
              <w:spacing w:before="480"/>
            </w:pPr>
            <w:r w:rsidRPr="00A50751">
              <w:tab/>
            </w:r>
          </w:p>
          <w:p w14:paraId="64188B57" w14:textId="77777777" w:rsidR="00B95F9F" w:rsidRDefault="00B95F9F" w:rsidP="00326709">
            <w:pPr>
              <w:pStyle w:val="SingleParagraph"/>
              <w:rPr>
                <w:b/>
              </w:rPr>
            </w:pPr>
            <w:r>
              <w:rPr>
                <w:b/>
              </w:rPr>
              <w:t xml:space="preserve">The Honourable </w:t>
            </w:r>
            <w:r w:rsidR="007B08BA" w:rsidRPr="00476A5D">
              <w:rPr>
                <w:b/>
              </w:rPr>
              <w:t xml:space="preserve">Cameron Dick </w:t>
            </w:r>
            <w:r w:rsidR="007B08BA">
              <w:rPr>
                <w:b/>
              </w:rPr>
              <w:t xml:space="preserve"> </w:t>
            </w:r>
            <w:r>
              <w:rPr>
                <w:b/>
              </w:rPr>
              <w:t>MP</w:t>
            </w:r>
          </w:p>
          <w:p w14:paraId="1CA669DD" w14:textId="77777777" w:rsidR="00B95F9F" w:rsidRPr="00A50751" w:rsidRDefault="007B08BA" w:rsidP="00326709">
            <w:pPr>
              <w:pStyle w:val="Position"/>
              <w:rPr>
                <w:rFonts w:ascii="Book Antiqua" w:hAnsi="Book Antiqua"/>
                <w:bCs w:val="0"/>
                <w:lang w:val="en-GB"/>
              </w:rPr>
            </w:pPr>
            <w:r>
              <w:rPr>
                <w:bCs w:val="0"/>
                <w:lang w:val="en-GB"/>
              </w:rPr>
              <w:t>Treasurer</w:t>
            </w:r>
            <w:r w:rsidRPr="00B00778">
              <w:rPr>
                <w:bCs w:val="0"/>
                <w:lang w:val="en-GB"/>
              </w:rPr>
              <w:t xml:space="preserve"> </w:t>
            </w:r>
            <w:r w:rsidR="00B95F9F" w:rsidRPr="00B00778">
              <w:rPr>
                <w:bCs w:val="0"/>
                <w:lang w:val="en-GB"/>
              </w:rPr>
              <w:t xml:space="preserve">of the State of </w:t>
            </w:r>
            <w:r w:rsidR="00B95F9F">
              <w:rPr>
                <w:lang w:val="en-GB"/>
              </w:rPr>
              <w:t>Queensland</w:t>
            </w:r>
          </w:p>
          <w:p w14:paraId="37381449" w14:textId="77777777" w:rsidR="00B95F9F" w:rsidRPr="00A50751" w:rsidRDefault="00B95F9F" w:rsidP="00326709">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7D6EF58E" w14:textId="77777777" w:rsidR="00B95F9F" w:rsidRPr="00A50751" w:rsidRDefault="00B95F9F" w:rsidP="00326709">
            <w:pPr>
              <w:rPr>
                <w:rFonts w:ascii="Book Antiqua" w:hAnsi="Book Antiqua"/>
                <w:lang w:val="en-GB"/>
              </w:rPr>
            </w:pPr>
          </w:p>
        </w:tc>
        <w:tc>
          <w:tcPr>
            <w:tcW w:w="4536" w:type="dxa"/>
          </w:tcPr>
          <w:p w14:paraId="24CF3BE7" w14:textId="77777777" w:rsidR="00B95F9F" w:rsidRPr="004A0AE7" w:rsidRDefault="00B95F9F" w:rsidP="00326709">
            <w:pPr>
              <w:pStyle w:val="Signed"/>
            </w:pPr>
            <w:r>
              <w:rPr>
                <w:rStyle w:val="SignedBold"/>
              </w:rPr>
              <w:t>Signed</w:t>
            </w:r>
            <w:r w:rsidRPr="004A0AE7">
              <w:t xml:space="preserve"> for and on behalf of the</w:t>
            </w:r>
            <w:r w:rsidRPr="004A0AE7">
              <w:br/>
              <w:t>State of Western Australia by</w:t>
            </w:r>
          </w:p>
          <w:p w14:paraId="3D39D560" w14:textId="77777777" w:rsidR="00B95F9F" w:rsidRPr="00A50751" w:rsidRDefault="00B95F9F" w:rsidP="00326709">
            <w:pPr>
              <w:pStyle w:val="LineForSignature"/>
              <w:spacing w:before="480"/>
            </w:pPr>
            <w:r w:rsidRPr="00A50751">
              <w:tab/>
            </w:r>
          </w:p>
          <w:p w14:paraId="6EBB9026" w14:textId="77777777" w:rsidR="00B95F9F" w:rsidRDefault="00B95F9F" w:rsidP="00326709">
            <w:pPr>
              <w:pStyle w:val="SingleParagraph"/>
              <w:rPr>
                <w:rStyle w:val="Bold"/>
              </w:rPr>
            </w:pPr>
            <w:r>
              <w:rPr>
                <w:rStyle w:val="Bold"/>
              </w:rPr>
              <w:t xml:space="preserve">The Honourable </w:t>
            </w:r>
            <w:r w:rsidR="00456CF7" w:rsidRPr="00476A5D">
              <w:rPr>
                <w:rStyle w:val="Bold"/>
              </w:rPr>
              <w:t xml:space="preserve">Ben Wyatt </w:t>
            </w:r>
            <w:r>
              <w:rPr>
                <w:rStyle w:val="Bold"/>
              </w:rPr>
              <w:t>MLA</w:t>
            </w:r>
          </w:p>
          <w:p w14:paraId="2C95FE90" w14:textId="77777777" w:rsidR="00B95F9F" w:rsidRPr="00A50751" w:rsidRDefault="00456CF7" w:rsidP="00326709">
            <w:pPr>
              <w:pStyle w:val="Position"/>
              <w:rPr>
                <w:rFonts w:ascii="Book Antiqua" w:hAnsi="Book Antiqua"/>
                <w:bCs w:val="0"/>
                <w:lang w:val="en-GB"/>
              </w:rPr>
            </w:pPr>
            <w:r>
              <w:rPr>
                <w:lang w:val="en-GB"/>
              </w:rPr>
              <w:t>Treasurer</w:t>
            </w:r>
            <w:r w:rsidRPr="007452AE">
              <w:rPr>
                <w:bCs w:val="0"/>
                <w:lang w:val="en-GB"/>
              </w:rPr>
              <w:t xml:space="preserve"> </w:t>
            </w:r>
            <w:r w:rsidR="00B95F9F" w:rsidRPr="007452AE">
              <w:rPr>
                <w:bCs w:val="0"/>
                <w:lang w:val="en-GB"/>
              </w:rPr>
              <w:t xml:space="preserve">of the State of </w:t>
            </w:r>
            <w:r w:rsidR="00B95F9F" w:rsidRPr="007452AE">
              <w:rPr>
                <w:bCs w:val="0"/>
                <w:spacing w:val="-4"/>
                <w:lang w:val="en-GB"/>
              </w:rPr>
              <w:t>Western Australia</w:t>
            </w:r>
          </w:p>
          <w:p w14:paraId="11539E6D" w14:textId="77777777" w:rsidR="00B95F9F" w:rsidRPr="00A50751" w:rsidRDefault="00B95F9F" w:rsidP="00326709">
            <w:pPr>
              <w:pStyle w:val="SingleParagraph"/>
              <w:tabs>
                <w:tab w:val="num" w:pos="1134"/>
              </w:tabs>
              <w:spacing w:after="240"/>
              <w:ind w:left="1134" w:hanging="567"/>
              <w:rPr>
                <w:lang w:val="en-GB"/>
              </w:rPr>
            </w:pPr>
            <w:r>
              <w:rPr>
                <w:lang w:val="en-GB"/>
              </w:rPr>
              <w:t>[Day] [Month] [Year]</w:t>
            </w:r>
          </w:p>
        </w:tc>
      </w:tr>
      <w:tr w:rsidR="00B95F9F" w:rsidRPr="00A50751" w14:paraId="35D655FC" w14:textId="77777777" w:rsidTr="00326709">
        <w:trPr>
          <w:cantSplit/>
          <w:jc w:val="center"/>
        </w:trPr>
        <w:tc>
          <w:tcPr>
            <w:tcW w:w="4536" w:type="dxa"/>
          </w:tcPr>
          <w:p w14:paraId="7CE2D633" w14:textId="77777777" w:rsidR="00B95F9F" w:rsidRPr="00A50751" w:rsidRDefault="00B95F9F" w:rsidP="00326709">
            <w:pPr>
              <w:pStyle w:val="SingleParagraph"/>
              <w:rPr>
                <w:rFonts w:ascii="Book Antiqua" w:hAnsi="Book Antiqua"/>
                <w:lang w:val="en-GB"/>
              </w:rPr>
            </w:pPr>
          </w:p>
        </w:tc>
        <w:tc>
          <w:tcPr>
            <w:tcW w:w="284" w:type="dxa"/>
            <w:tcMar>
              <w:left w:w="0" w:type="dxa"/>
              <w:right w:w="0" w:type="dxa"/>
            </w:tcMar>
          </w:tcPr>
          <w:p w14:paraId="25405D90" w14:textId="77777777" w:rsidR="00B95F9F" w:rsidRPr="00A50751" w:rsidRDefault="00B95F9F" w:rsidP="00326709">
            <w:pPr>
              <w:pStyle w:val="SingleParagraph"/>
              <w:rPr>
                <w:rFonts w:ascii="Book Antiqua" w:hAnsi="Book Antiqua"/>
                <w:lang w:val="en-GB"/>
              </w:rPr>
            </w:pPr>
          </w:p>
        </w:tc>
        <w:tc>
          <w:tcPr>
            <w:tcW w:w="4536" w:type="dxa"/>
          </w:tcPr>
          <w:p w14:paraId="31521AAE" w14:textId="77777777" w:rsidR="00B95F9F" w:rsidRPr="00A50751" w:rsidRDefault="00B95F9F" w:rsidP="00326709">
            <w:pPr>
              <w:pStyle w:val="SingleParagraph"/>
              <w:rPr>
                <w:rFonts w:ascii="Book Antiqua" w:hAnsi="Book Antiqua"/>
                <w:lang w:val="en-GB"/>
              </w:rPr>
            </w:pPr>
          </w:p>
        </w:tc>
      </w:tr>
      <w:tr w:rsidR="00B95F9F" w:rsidRPr="00A50751" w14:paraId="216A855E" w14:textId="77777777" w:rsidTr="00326709">
        <w:trPr>
          <w:cantSplit/>
          <w:trHeight w:val="143"/>
          <w:jc w:val="center"/>
        </w:trPr>
        <w:tc>
          <w:tcPr>
            <w:tcW w:w="4536" w:type="dxa"/>
          </w:tcPr>
          <w:p w14:paraId="7AAD770A" w14:textId="77777777" w:rsidR="00B95F9F" w:rsidRPr="004A0AE7" w:rsidRDefault="00B95F9F" w:rsidP="00326709">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14:paraId="6BBCBA4F" w14:textId="77777777" w:rsidR="00B95F9F" w:rsidRPr="00A50751" w:rsidRDefault="00B95F9F" w:rsidP="00326709">
            <w:pPr>
              <w:pStyle w:val="LineForSignature"/>
              <w:spacing w:before="480"/>
            </w:pPr>
            <w:r w:rsidRPr="00A50751">
              <w:tab/>
            </w:r>
          </w:p>
          <w:p w14:paraId="42445652" w14:textId="77777777" w:rsidR="00B95F9F" w:rsidRDefault="00B95F9F" w:rsidP="00326709">
            <w:pPr>
              <w:pStyle w:val="SingleParagraph"/>
              <w:rPr>
                <w:rStyle w:val="Bold"/>
              </w:rPr>
            </w:pPr>
            <w:r>
              <w:rPr>
                <w:rStyle w:val="Bold"/>
              </w:rPr>
              <w:t xml:space="preserve">The Honourable </w:t>
            </w:r>
            <w:r w:rsidR="00456CF7" w:rsidRPr="00476A5D">
              <w:rPr>
                <w:rStyle w:val="Bold"/>
              </w:rPr>
              <w:t>Rob Lucas MLC</w:t>
            </w:r>
          </w:p>
          <w:p w14:paraId="52B057BD" w14:textId="77777777" w:rsidR="00B95F9F" w:rsidRPr="00A50751" w:rsidRDefault="00456CF7" w:rsidP="00326709">
            <w:pPr>
              <w:pStyle w:val="Position"/>
              <w:rPr>
                <w:rFonts w:ascii="Book Antiqua" w:hAnsi="Book Antiqua"/>
                <w:bCs w:val="0"/>
                <w:lang w:val="en-GB"/>
              </w:rPr>
            </w:pPr>
            <w:r>
              <w:rPr>
                <w:bCs w:val="0"/>
                <w:lang w:val="en-GB"/>
              </w:rPr>
              <w:t>Treasurer</w:t>
            </w:r>
            <w:r w:rsidRPr="00B00778">
              <w:rPr>
                <w:bCs w:val="0"/>
                <w:lang w:val="en-GB"/>
              </w:rPr>
              <w:t xml:space="preserve"> </w:t>
            </w:r>
            <w:r w:rsidR="00B95F9F" w:rsidRPr="00B00778">
              <w:rPr>
                <w:bCs w:val="0"/>
                <w:lang w:val="en-GB"/>
              </w:rPr>
              <w:t xml:space="preserve">of the State of </w:t>
            </w:r>
            <w:r w:rsidR="00B95F9F">
              <w:rPr>
                <w:lang w:val="en-GB"/>
              </w:rPr>
              <w:t>South</w:t>
            </w:r>
            <w:r w:rsidR="00B95F9F" w:rsidRPr="00B00778">
              <w:rPr>
                <w:bCs w:val="0"/>
                <w:lang w:val="en-GB"/>
              </w:rPr>
              <w:t xml:space="preserve"> Australia</w:t>
            </w:r>
          </w:p>
          <w:p w14:paraId="5222C03B" w14:textId="77777777" w:rsidR="00B95F9F" w:rsidRPr="00A50751" w:rsidRDefault="00B95F9F" w:rsidP="00326709">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1A3577B8" w14:textId="77777777" w:rsidR="00B95F9F" w:rsidRPr="00A50751" w:rsidRDefault="00B95F9F" w:rsidP="00326709">
            <w:pPr>
              <w:rPr>
                <w:rFonts w:ascii="Book Antiqua" w:hAnsi="Book Antiqua"/>
                <w:lang w:val="en-GB"/>
              </w:rPr>
            </w:pPr>
          </w:p>
        </w:tc>
        <w:tc>
          <w:tcPr>
            <w:tcW w:w="4536" w:type="dxa"/>
          </w:tcPr>
          <w:p w14:paraId="103E90FC" w14:textId="77777777" w:rsidR="00B95F9F" w:rsidRPr="004A0AE7" w:rsidRDefault="00B95F9F" w:rsidP="00326709">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4B4CBD6E" w14:textId="77777777" w:rsidR="00B95F9F" w:rsidRPr="00A50751" w:rsidRDefault="00B95F9F" w:rsidP="00326709">
            <w:pPr>
              <w:pStyle w:val="LineForSignature"/>
              <w:spacing w:before="480"/>
            </w:pPr>
            <w:r w:rsidRPr="00A50751">
              <w:tab/>
            </w:r>
          </w:p>
          <w:p w14:paraId="5A0C1367" w14:textId="77777777" w:rsidR="00B95F9F" w:rsidRDefault="00B95F9F" w:rsidP="00326709">
            <w:pPr>
              <w:pStyle w:val="SingleParagraph"/>
              <w:rPr>
                <w:rStyle w:val="Bold"/>
              </w:rPr>
            </w:pPr>
            <w:r>
              <w:rPr>
                <w:rStyle w:val="Bold"/>
              </w:rPr>
              <w:t xml:space="preserve">The Honourable </w:t>
            </w:r>
            <w:r w:rsidRPr="00792935">
              <w:rPr>
                <w:rStyle w:val="Bold"/>
              </w:rPr>
              <w:t xml:space="preserve">Peter Gutwein </w:t>
            </w:r>
            <w:r>
              <w:rPr>
                <w:rStyle w:val="Bold"/>
              </w:rPr>
              <w:t>MP</w:t>
            </w:r>
          </w:p>
          <w:p w14:paraId="1C514C95" w14:textId="77777777" w:rsidR="00B95F9F" w:rsidRPr="00A50751" w:rsidRDefault="00B95F9F" w:rsidP="00326709">
            <w:pPr>
              <w:pStyle w:val="Position"/>
              <w:rPr>
                <w:rFonts w:ascii="Book Antiqua" w:hAnsi="Book Antiqua"/>
                <w:bCs w:val="0"/>
                <w:lang w:val="en-GB"/>
              </w:rPr>
            </w:pPr>
            <w:r w:rsidRPr="00B12190">
              <w:rPr>
                <w:bCs w:val="0"/>
                <w:lang w:val="en-GB"/>
              </w:rPr>
              <w:t xml:space="preserve">Premier of the State of </w:t>
            </w:r>
            <w:smartTag w:uri="urn:schemas-microsoft-com:office:smarttags" w:element="place">
              <w:smartTag w:uri="urn:schemas-microsoft-com:office:smarttags" w:element="State">
                <w:r w:rsidRPr="00B12190">
                  <w:rPr>
                    <w:bCs w:val="0"/>
                    <w:lang w:val="en-GB"/>
                  </w:rPr>
                  <w:t>Tasmania</w:t>
                </w:r>
              </w:smartTag>
            </w:smartTag>
          </w:p>
          <w:p w14:paraId="75F3B4C3" w14:textId="77777777" w:rsidR="00B95F9F" w:rsidRPr="00A50751" w:rsidRDefault="00B95F9F" w:rsidP="00326709">
            <w:pPr>
              <w:pStyle w:val="SingleParagraph"/>
              <w:tabs>
                <w:tab w:val="num" w:pos="1134"/>
              </w:tabs>
              <w:spacing w:after="240"/>
              <w:ind w:left="1134" w:hanging="567"/>
              <w:rPr>
                <w:lang w:val="en-GB"/>
              </w:rPr>
            </w:pPr>
            <w:r>
              <w:rPr>
                <w:lang w:val="en-GB"/>
              </w:rPr>
              <w:t>[Day] [Month] [Year]</w:t>
            </w:r>
          </w:p>
        </w:tc>
      </w:tr>
      <w:tr w:rsidR="00B95F9F" w:rsidRPr="00A50751" w14:paraId="51306947" w14:textId="77777777" w:rsidTr="00326709">
        <w:trPr>
          <w:cantSplit/>
          <w:jc w:val="center"/>
        </w:trPr>
        <w:tc>
          <w:tcPr>
            <w:tcW w:w="4536" w:type="dxa"/>
          </w:tcPr>
          <w:p w14:paraId="0E8B299D" w14:textId="77777777" w:rsidR="00B95F9F" w:rsidRPr="00A50751" w:rsidRDefault="00B95F9F" w:rsidP="00326709">
            <w:pPr>
              <w:pStyle w:val="SingleParagraph"/>
              <w:rPr>
                <w:rFonts w:ascii="Book Antiqua" w:hAnsi="Book Antiqua"/>
                <w:lang w:val="en-GB"/>
              </w:rPr>
            </w:pPr>
          </w:p>
        </w:tc>
        <w:tc>
          <w:tcPr>
            <w:tcW w:w="284" w:type="dxa"/>
            <w:tcMar>
              <w:left w:w="0" w:type="dxa"/>
              <w:right w:w="0" w:type="dxa"/>
            </w:tcMar>
          </w:tcPr>
          <w:p w14:paraId="0BC823EF" w14:textId="77777777" w:rsidR="00B95F9F" w:rsidRPr="00A50751" w:rsidRDefault="00B95F9F" w:rsidP="00326709">
            <w:pPr>
              <w:pStyle w:val="SingleParagraph"/>
              <w:rPr>
                <w:rFonts w:ascii="Book Antiqua" w:hAnsi="Book Antiqua"/>
                <w:lang w:val="en-GB"/>
              </w:rPr>
            </w:pPr>
          </w:p>
        </w:tc>
        <w:tc>
          <w:tcPr>
            <w:tcW w:w="4536" w:type="dxa"/>
          </w:tcPr>
          <w:p w14:paraId="18174EA2" w14:textId="77777777" w:rsidR="00B95F9F" w:rsidRPr="00A50751" w:rsidRDefault="00B95F9F" w:rsidP="00326709">
            <w:pPr>
              <w:pStyle w:val="SingleParagraph"/>
              <w:rPr>
                <w:rFonts w:ascii="Book Antiqua" w:hAnsi="Book Antiqua"/>
                <w:lang w:val="en-GB"/>
              </w:rPr>
            </w:pPr>
          </w:p>
        </w:tc>
      </w:tr>
      <w:tr w:rsidR="00B95F9F" w:rsidRPr="00A50751" w14:paraId="4AF8B32F" w14:textId="77777777" w:rsidTr="00326709">
        <w:trPr>
          <w:cantSplit/>
          <w:jc w:val="center"/>
        </w:trPr>
        <w:tc>
          <w:tcPr>
            <w:tcW w:w="4536" w:type="dxa"/>
          </w:tcPr>
          <w:p w14:paraId="4943AD1F" w14:textId="77777777" w:rsidR="00B95F9F" w:rsidRPr="00A50751" w:rsidRDefault="00B95F9F" w:rsidP="00326709">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Australian Capital Territory</w:t>
                </w:r>
              </w:smartTag>
            </w:smartTag>
            <w:r w:rsidRPr="004A0AE7">
              <w:t xml:space="preserve"> by</w:t>
            </w:r>
          </w:p>
          <w:p w14:paraId="4455606B" w14:textId="77777777" w:rsidR="00B95F9F" w:rsidRPr="00A50751" w:rsidRDefault="00B95F9F" w:rsidP="00326709">
            <w:pPr>
              <w:pStyle w:val="LineForSignature"/>
              <w:spacing w:before="480"/>
            </w:pPr>
            <w:r w:rsidRPr="00A50751">
              <w:tab/>
            </w:r>
          </w:p>
          <w:p w14:paraId="1A60C0C4" w14:textId="77777777" w:rsidR="00B95F9F" w:rsidRDefault="00B95F9F" w:rsidP="00326709">
            <w:pPr>
              <w:pStyle w:val="SingleParagraph"/>
              <w:rPr>
                <w:rStyle w:val="Bold"/>
              </w:rPr>
            </w:pPr>
            <w:r>
              <w:rPr>
                <w:rStyle w:val="Bold"/>
              </w:rPr>
              <w:t>Andrew Barr MLA</w:t>
            </w:r>
          </w:p>
          <w:p w14:paraId="0CCFD528" w14:textId="77777777" w:rsidR="00B95F9F" w:rsidRPr="00A50751" w:rsidRDefault="00B95F9F" w:rsidP="00326709">
            <w:pPr>
              <w:pStyle w:val="Position"/>
              <w:rPr>
                <w:rFonts w:ascii="Book Antiqua" w:hAnsi="Book Antiqua"/>
                <w:bCs w:val="0"/>
                <w:lang w:val="en-GB"/>
              </w:rPr>
            </w:pPr>
            <w:r w:rsidRPr="00B12190">
              <w:rPr>
                <w:lang w:val="en-GB"/>
              </w:rPr>
              <w:t xml:space="preserve">Chief Minister of the </w:t>
            </w:r>
            <w:smartTag w:uri="urn:schemas-microsoft-com:office:smarttags" w:element="place">
              <w:smartTag w:uri="urn:schemas-microsoft-com:office:smarttags" w:element="State">
                <w:r w:rsidRPr="00B12190">
                  <w:rPr>
                    <w:lang w:val="en-GB"/>
                  </w:rPr>
                  <w:t>Australian Capital Territory</w:t>
                </w:r>
              </w:smartTag>
            </w:smartTag>
          </w:p>
          <w:p w14:paraId="1C310A9E" w14:textId="77777777" w:rsidR="00B95F9F" w:rsidRPr="00A50751" w:rsidRDefault="00B95F9F" w:rsidP="00326709">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207113E3" w14:textId="77777777" w:rsidR="00B95F9F" w:rsidRPr="00A50751" w:rsidRDefault="00B95F9F" w:rsidP="00326709">
            <w:pPr>
              <w:rPr>
                <w:rFonts w:ascii="Book Antiqua" w:hAnsi="Book Antiqua"/>
                <w:lang w:val="en-GB"/>
              </w:rPr>
            </w:pPr>
          </w:p>
        </w:tc>
        <w:tc>
          <w:tcPr>
            <w:tcW w:w="4536" w:type="dxa"/>
          </w:tcPr>
          <w:p w14:paraId="2D149FB1" w14:textId="77777777" w:rsidR="00B95F9F" w:rsidRPr="00A50751" w:rsidRDefault="00B95F9F" w:rsidP="00326709">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Northern Territory</w:t>
                </w:r>
              </w:smartTag>
            </w:smartTag>
            <w:r w:rsidRPr="004A0AE7">
              <w:t xml:space="preserve"> by</w:t>
            </w:r>
          </w:p>
          <w:p w14:paraId="0B3F13EF" w14:textId="77777777" w:rsidR="00B95F9F" w:rsidRPr="00A50751" w:rsidRDefault="00B95F9F" w:rsidP="00326709">
            <w:pPr>
              <w:pStyle w:val="LineForSignature"/>
              <w:spacing w:before="480"/>
            </w:pPr>
            <w:r w:rsidRPr="00A50751">
              <w:tab/>
            </w:r>
          </w:p>
          <w:p w14:paraId="0DEC6802" w14:textId="77777777" w:rsidR="00B95F9F" w:rsidRDefault="00B95F9F" w:rsidP="00326709">
            <w:pPr>
              <w:pStyle w:val="SingleParagraph"/>
              <w:rPr>
                <w:rStyle w:val="Bold"/>
              </w:rPr>
            </w:pPr>
            <w:r>
              <w:rPr>
                <w:rStyle w:val="Bold"/>
              </w:rPr>
              <w:t xml:space="preserve">The Honourable </w:t>
            </w:r>
            <w:r w:rsidR="00456CF7" w:rsidRPr="00476A5D">
              <w:rPr>
                <w:rStyle w:val="Bold"/>
              </w:rPr>
              <w:t xml:space="preserve">Nicole Manison </w:t>
            </w:r>
            <w:r>
              <w:rPr>
                <w:rStyle w:val="Bold"/>
              </w:rPr>
              <w:t>MLA</w:t>
            </w:r>
          </w:p>
          <w:p w14:paraId="415EC056" w14:textId="77777777" w:rsidR="00B95F9F" w:rsidRPr="00A50751" w:rsidRDefault="00456CF7" w:rsidP="00326709">
            <w:pPr>
              <w:pStyle w:val="Position"/>
              <w:rPr>
                <w:rFonts w:ascii="Book Antiqua" w:hAnsi="Book Antiqua"/>
                <w:bCs w:val="0"/>
                <w:lang w:val="en-GB"/>
              </w:rPr>
            </w:pPr>
            <w:r>
              <w:rPr>
                <w:bCs w:val="0"/>
                <w:lang w:val="en-GB"/>
              </w:rPr>
              <w:t>Treasurer</w:t>
            </w:r>
            <w:r w:rsidR="00B95F9F" w:rsidRPr="00B12190">
              <w:rPr>
                <w:bCs w:val="0"/>
                <w:lang w:val="en-GB"/>
              </w:rPr>
              <w:t xml:space="preserve"> of the </w:t>
            </w:r>
            <w:smartTag w:uri="urn:schemas-microsoft-com:office:smarttags" w:element="State">
              <w:r w:rsidR="00B95F9F" w:rsidRPr="00B12190">
                <w:rPr>
                  <w:bCs w:val="0"/>
                  <w:lang w:val="en-GB"/>
                </w:rPr>
                <w:t>Northern Territory</w:t>
              </w:r>
            </w:smartTag>
            <w:r w:rsidR="00B95F9F" w:rsidRPr="00B12190">
              <w:rPr>
                <w:bCs w:val="0"/>
                <w:lang w:val="en-GB"/>
              </w:rPr>
              <w:t xml:space="preserve"> of Australia</w:t>
            </w:r>
          </w:p>
          <w:p w14:paraId="6B057224" w14:textId="77777777" w:rsidR="00B95F9F" w:rsidRPr="00A50751" w:rsidRDefault="00B95F9F" w:rsidP="00326709">
            <w:pPr>
              <w:pStyle w:val="SingleParagraph"/>
              <w:tabs>
                <w:tab w:val="num" w:pos="1134"/>
              </w:tabs>
              <w:spacing w:after="240"/>
              <w:ind w:left="1134" w:hanging="567"/>
              <w:rPr>
                <w:lang w:val="en-GB"/>
              </w:rPr>
            </w:pPr>
            <w:r>
              <w:rPr>
                <w:lang w:val="en-GB"/>
              </w:rPr>
              <w:t>[Day] [Month] [Year]</w:t>
            </w:r>
          </w:p>
        </w:tc>
      </w:tr>
    </w:tbl>
    <w:p w14:paraId="41FEDF53" w14:textId="77777777" w:rsidR="00B95F9F" w:rsidRPr="002665E5" w:rsidRDefault="00B95F9F" w:rsidP="00B95F9F">
      <w:pPr>
        <w:pStyle w:val="Normalnumbered"/>
        <w:numPr>
          <w:ilvl w:val="0"/>
          <w:numId w:val="0"/>
        </w:numPr>
        <w:tabs>
          <w:tab w:val="clear" w:pos="1418"/>
        </w:tabs>
        <w:jc w:val="left"/>
        <w:rPr>
          <w:i/>
        </w:rPr>
        <w:sectPr w:rsidR="00B95F9F" w:rsidRPr="002665E5" w:rsidSect="00751725">
          <w:headerReference w:type="even" r:id="rId14"/>
          <w:headerReference w:type="default" r:id="rId15"/>
          <w:footerReference w:type="even" r:id="rId16"/>
          <w:footerReference w:type="default" r:id="rId17"/>
          <w:footerReference w:type="first" r:id="rId18"/>
          <w:pgSz w:w="11906" w:h="16838" w:code="9"/>
          <w:pgMar w:top="1134" w:right="1134" w:bottom="1134" w:left="1134" w:header="709" w:footer="709" w:gutter="0"/>
          <w:cols w:space="708"/>
          <w:titlePg/>
          <w:docGrid w:linePitch="360"/>
        </w:sectPr>
      </w:pPr>
    </w:p>
    <w:p w14:paraId="69CA5767" w14:textId="77777777" w:rsidR="00B95F9F" w:rsidRDefault="00B95F9F" w:rsidP="00B95F9F">
      <w:pPr>
        <w:pStyle w:val="Heading1"/>
        <w:tabs>
          <w:tab w:val="left" w:pos="525"/>
        </w:tabs>
        <w:jc w:val="right"/>
      </w:pPr>
      <w:r>
        <w:t>Appendix A</w:t>
      </w:r>
    </w:p>
    <w:p w14:paraId="12880BF9" w14:textId="77777777" w:rsidR="00B95F9F" w:rsidRDefault="00B95F9F" w:rsidP="00B95F9F">
      <w:pPr>
        <w:pStyle w:val="Heading2"/>
        <w:rPr>
          <w:rFonts w:ascii="Consolas" w:hAnsi="Consolas"/>
          <w:b w:val="0"/>
          <w:iCs w:val="0"/>
          <w:caps/>
          <w:kern w:val="32"/>
          <w:sz w:val="32"/>
          <w:szCs w:val="36"/>
        </w:rPr>
      </w:pPr>
      <w:r>
        <w:rPr>
          <w:rFonts w:ascii="Consolas" w:hAnsi="Consolas"/>
          <w:b w:val="0"/>
          <w:iCs w:val="0"/>
          <w:caps/>
          <w:kern w:val="32"/>
          <w:sz w:val="32"/>
          <w:szCs w:val="36"/>
        </w:rPr>
        <w:t>P</w:t>
      </w:r>
      <w:r w:rsidRPr="00EE2E92">
        <w:rPr>
          <w:rFonts w:ascii="Consolas" w:hAnsi="Consolas"/>
          <w:b w:val="0"/>
          <w:iCs w:val="0"/>
          <w:caps/>
          <w:kern w:val="32"/>
          <w:sz w:val="32"/>
          <w:szCs w:val="36"/>
        </w:rPr>
        <w:t xml:space="preserve">roject </w:t>
      </w:r>
      <w:r>
        <w:rPr>
          <w:rFonts w:ascii="Consolas" w:hAnsi="Consolas"/>
          <w:b w:val="0"/>
          <w:iCs w:val="0"/>
          <w:caps/>
          <w:kern w:val="32"/>
          <w:sz w:val="32"/>
          <w:szCs w:val="36"/>
        </w:rPr>
        <w:t>e</w:t>
      </w:r>
      <w:r w:rsidRPr="00EE2E92">
        <w:rPr>
          <w:rFonts w:ascii="Consolas" w:hAnsi="Consolas"/>
          <w:b w:val="0"/>
          <w:iCs w:val="0"/>
          <w:caps/>
          <w:kern w:val="32"/>
          <w:sz w:val="32"/>
          <w:szCs w:val="36"/>
        </w:rPr>
        <w:t xml:space="preserve">ligibility </w:t>
      </w:r>
      <w:r>
        <w:rPr>
          <w:rFonts w:ascii="Consolas" w:hAnsi="Consolas"/>
          <w:b w:val="0"/>
          <w:iCs w:val="0"/>
          <w:caps/>
          <w:kern w:val="32"/>
          <w:sz w:val="32"/>
          <w:szCs w:val="36"/>
        </w:rPr>
        <w:t>c</w:t>
      </w:r>
      <w:r w:rsidRPr="00EE2E92">
        <w:rPr>
          <w:rFonts w:ascii="Consolas" w:hAnsi="Consolas"/>
          <w:b w:val="0"/>
          <w:iCs w:val="0"/>
          <w:caps/>
          <w:kern w:val="32"/>
          <w:sz w:val="32"/>
          <w:szCs w:val="36"/>
        </w:rPr>
        <w:t>riteria</w:t>
      </w:r>
    </w:p>
    <w:p w14:paraId="0840051C" w14:textId="77777777" w:rsidR="00B95F9F" w:rsidRDefault="00B95F9F" w:rsidP="00726A66">
      <w:pPr>
        <w:pStyle w:val="Normalnumbered"/>
        <w:numPr>
          <w:ilvl w:val="0"/>
          <w:numId w:val="22"/>
        </w:numPr>
        <w:tabs>
          <w:tab w:val="clear" w:pos="1418"/>
        </w:tabs>
      </w:pPr>
      <w:r>
        <w:t>This Appendix provides g</w:t>
      </w:r>
      <w:r w:rsidRPr="003E63A7">
        <w:t xml:space="preserve">uidance to States on </w:t>
      </w:r>
      <w:r>
        <w:t xml:space="preserve">projects that are eligible to be funded </w:t>
      </w:r>
      <w:r w:rsidRPr="003E63A7">
        <w:t>under this Agreement</w:t>
      </w:r>
      <w:r>
        <w:t>.</w:t>
      </w:r>
    </w:p>
    <w:p w14:paraId="1B10B8C0" w14:textId="77777777" w:rsidR="00B95F9F" w:rsidRDefault="00B95F9F" w:rsidP="00726A66">
      <w:pPr>
        <w:pStyle w:val="Normalnumbered"/>
        <w:numPr>
          <w:ilvl w:val="0"/>
          <w:numId w:val="22"/>
        </w:numPr>
        <w:tabs>
          <w:tab w:val="clear" w:pos="1418"/>
        </w:tabs>
      </w:pPr>
      <w:bookmarkStart w:id="8" w:name="_Ref35441026"/>
      <w:r>
        <w:t>Projects</w:t>
      </w:r>
      <w:r w:rsidRPr="003E63A7">
        <w:t xml:space="preserve"> must</w:t>
      </w:r>
      <w:r>
        <w:t xml:space="preserve"> support an increase in processing capacity and/or use of one or more of the following materials subject to the COAG waste export ban:</w:t>
      </w:r>
      <w:bookmarkEnd w:id="8"/>
    </w:p>
    <w:p w14:paraId="6B8C4C5A" w14:textId="77777777" w:rsidR="00B95F9F" w:rsidRDefault="00B95F9F" w:rsidP="00726A66">
      <w:pPr>
        <w:pStyle w:val="AlphaParagraph"/>
        <w:numPr>
          <w:ilvl w:val="0"/>
          <w:numId w:val="23"/>
        </w:numPr>
        <w:tabs>
          <w:tab w:val="clear" w:pos="567"/>
        </w:tabs>
        <w:ind w:left="1134"/>
      </w:pPr>
      <w:r>
        <w:t>mixed plastics that are not of a single resin/polymer type and/or further sorting, cleaning and processing is required before use in re-manufacturing;</w:t>
      </w:r>
    </w:p>
    <w:p w14:paraId="005A1827" w14:textId="77777777" w:rsidR="00B95F9F" w:rsidRDefault="00B95F9F" w:rsidP="00726A66">
      <w:pPr>
        <w:pStyle w:val="AlphaParagraph"/>
        <w:numPr>
          <w:ilvl w:val="0"/>
          <w:numId w:val="23"/>
        </w:numPr>
        <w:tabs>
          <w:tab w:val="clear" w:pos="567"/>
        </w:tabs>
        <w:ind w:left="1134"/>
      </w:pPr>
      <w:r>
        <w:t>single resin/polymer plastics that have not been re</w:t>
      </w:r>
      <w:r w:rsidR="008E0C24">
        <w:t>-</w:t>
      </w:r>
      <w:r>
        <w:t>processed (e.g. cleaned and baled PET bottles);</w:t>
      </w:r>
    </w:p>
    <w:p w14:paraId="1B5D4299" w14:textId="77777777" w:rsidR="00B95F9F" w:rsidRDefault="00B95F9F" w:rsidP="00726A66">
      <w:pPr>
        <w:pStyle w:val="AlphaParagraph"/>
        <w:numPr>
          <w:ilvl w:val="0"/>
          <w:numId w:val="23"/>
        </w:numPr>
        <w:tabs>
          <w:tab w:val="clear" w:pos="567"/>
        </w:tabs>
        <w:ind w:left="1134"/>
      </w:pPr>
      <w:r>
        <w:t>mixed and unsorted paper and cardboard;</w:t>
      </w:r>
    </w:p>
    <w:p w14:paraId="63D0A46C" w14:textId="77777777" w:rsidR="00B95F9F" w:rsidRDefault="00B95F9F" w:rsidP="00726A66">
      <w:pPr>
        <w:pStyle w:val="AlphaParagraph"/>
        <w:numPr>
          <w:ilvl w:val="0"/>
          <w:numId w:val="23"/>
        </w:numPr>
        <w:tabs>
          <w:tab w:val="clear" w:pos="567"/>
        </w:tabs>
        <w:ind w:left="1134"/>
      </w:pPr>
      <w:r>
        <w:t xml:space="preserve">unprocessed glass, in a whole or broken state (both formed packaging and flat sheet glass); and </w:t>
      </w:r>
    </w:p>
    <w:p w14:paraId="5640BE57" w14:textId="6372559F" w:rsidR="00B95F9F" w:rsidRDefault="00B95F9F" w:rsidP="00726A66">
      <w:pPr>
        <w:pStyle w:val="AlphaParagraph"/>
        <w:numPr>
          <w:ilvl w:val="0"/>
          <w:numId w:val="23"/>
        </w:numPr>
        <w:tabs>
          <w:tab w:val="clear" w:pos="567"/>
        </w:tabs>
        <w:ind w:left="1134"/>
      </w:pPr>
      <w:r>
        <w:t>all whole used tyres, including baled tyres</w:t>
      </w:r>
      <w:r w:rsidR="00C32A1C">
        <w:t>.</w:t>
      </w:r>
    </w:p>
    <w:p w14:paraId="0CD2FA28" w14:textId="77777777" w:rsidR="00B95F9F" w:rsidRDefault="00B95F9F" w:rsidP="00726A66">
      <w:pPr>
        <w:pStyle w:val="Normalnumbered"/>
        <w:numPr>
          <w:ilvl w:val="0"/>
          <w:numId w:val="22"/>
        </w:numPr>
        <w:tabs>
          <w:tab w:val="clear" w:pos="1418"/>
        </w:tabs>
      </w:pPr>
      <w:r>
        <w:t>Eligible projects could include:</w:t>
      </w:r>
    </w:p>
    <w:p w14:paraId="14D38F40" w14:textId="77777777" w:rsidR="00B95F9F" w:rsidRDefault="00B95F9F" w:rsidP="00726A66">
      <w:pPr>
        <w:pStyle w:val="AlphaParagraph"/>
        <w:numPr>
          <w:ilvl w:val="0"/>
          <w:numId w:val="25"/>
        </w:numPr>
        <w:tabs>
          <w:tab w:val="clear" w:pos="567"/>
        </w:tabs>
        <w:ind w:left="1134"/>
      </w:pPr>
      <w:r>
        <w:t>new or upgraded materials recovery facilities;</w:t>
      </w:r>
    </w:p>
    <w:p w14:paraId="132B3F01" w14:textId="77777777" w:rsidR="00B95F9F" w:rsidRDefault="00B95F9F" w:rsidP="00726A66">
      <w:pPr>
        <w:pStyle w:val="AlphaParagraph"/>
        <w:numPr>
          <w:ilvl w:val="0"/>
          <w:numId w:val="25"/>
        </w:numPr>
        <w:tabs>
          <w:tab w:val="clear" w:pos="567"/>
        </w:tabs>
        <w:ind w:left="1134"/>
      </w:pPr>
      <w:r>
        <w:t>new equipment or facilities to increase domestic processing capacity of recyclable materials;</w:t>
      </w:r>
      <w:r w:rsidR="00787BED">
        <w:t xml:space="preserve"> and</w:t>
      </w:r>
    </w:p>
    <w:p w14:paraId="7D1CB80A" w14:textId="77777777" w:rsidR="00B95F9F" w:rsidRDefault="00B95F9F" w:rsidP="00726A66">
      <w:pPr>
        <w:pStyle w:val="AlphaParagraph"/>
        <w:numPr>
          <w:ilvl w:val="0"/>
          <w:numId w:val="25"/>
        </w:numPr>
        <w:tabs>
          <w:tab w:val="clear" w:pos="567"/>
        </w:tabs>
        <w:ind w:left="1134"/>
      </w:pPr>
      <w:r>
        <w:t>projects</w:t>
      </w:r>
      <w:r w:rsidR="00C32A1C">
        <w:t xml:space="preserve"> including trial projects</w:t>
      </w:r>
      <w:r>
        <w:t xml:space="preserve"> to increase use of recyclable </w:t>
      </w:r>
      <w:r w:rsidR="00861E76">
        <w:t xml:space="preserve">or recycled </w:t>
      </w:r>
      <w:r>
        <w:t>materials in manufacturing</w:t>
      </w:r>
      <w:r w:rsidR="00861E76">
        <w:t xml:space="preserve"> and/or infrastructure</w:t>
      </w:r>
      <w:r w:rsidR="00787BED">
        <w:t>.</w:t>
      </w:r>
    </w:p>
    <w:p w14:paraId="2DA9B840" w14:textId="642644F5" w:rsidR="009C024B" w:rsidRDefault="009C024B" w:rsidP="00726A66">
      <w:pPr>
        <w:pStyle w:val="Normalnumbered"/>
        <w:numPr>
          <w:ilvl w:val="0"/>
          <w:numId w:val="22"/>
        </w:numPr>
        <w:tabs>
          <w:tab w:val="clear" w:pos="1418"/>
        </w:tabs>
      </w:pPr>
      <w:r>
        <w:t xml:space="preserve">For clarity, energy-from-waste projects are not eligible projects under this Agreement. </w:t>
      </w:r>
    </w:p>
    <w:p w14:paraId="51CD5E0E" w14:textId="2593AEE8" w:rsidR="00B95F9F" w:rsidRPr="00A20A8B" w:rsidRDefault="00B95F9F" w:rsidP="00726A66">
      <w:pPr>
        <w:pStyle w:val="Normalnumbered"/>
        <w:numPr>
          <w:ilvl w:val="0"/>
          <w:numId w:val="22"/>
        </w:numPr>
        <w:tabs>
          <w:tab w:val="clear" w:pos="1418"/>
        </w:tabs>
      </w:pPr>
      <w:r w:rsidRPr="00A20A8B">
        <w:t>Projects should maximise public value and private sector co-investment. Funding is to be directed to projects that are unlikely to proceed without government financial assistance or will only proceed at a much later date or with limited scope.</w:t>
      </w:r>
    </w:p>
    <w:p w14:paraId="4E9E13D4" w14:textId="344BB231" w:rsidR="00B95F9F" w:rsidRPr="00A20A8B" w:rsidRDefault="00B36FB8" w:rsidP="00726A66">
      <w:pPr>
        <w:pStyle w:val="Normalnumbered"/>
        <w:numPr>
          <w:ilvl w:val="0"/>
          <w:numId w:val="22"/>
        </w:numPr>
        <w:tabs>
          <w:tab w:val="clear" w:pos="1418"/>
        </w:tabs>
      </w:pPr>
      <w:r>
        <w:t>As far as reasonably practicable, p</w:t>
      </w:r>
      <w:r w:rsidR="00B95F9F" w:rsidRPr="00A20A8B">
        <w:t xml:space="preserve">rojects should be operational in time to reduce </w:t>
      </w:r>
      <w:r w:rsidR="00B95F9F">
        <w:t xml:space="preserve">anticipated </w:t>
      </w:r>
      <w:r w:rsidR="00B95F9F" w:rsidRPr="00A20A8B">
        <w:t xml:space="preserve">pressures associated with the commencement of the </w:t>
      </w:r>
      <w:r w:rsidR="00B95F9F">
        <w:t>elements</w:t>
      </w:r>
      <w:r w:rsidR="00B95F9F" w:rsidRPr="00A20A8B">
        <w:t xml:space="preserve"> of the COAG waste export ban relevant to the project.</w:t>
      </w:r>
      <w:r w:rsidR="00B95F9F" w:rsidRPr="00A20A8B">
        <w:rPr>
          <w:rStyle w:val="FootnoteReference"/>
        </w:rPr>
        <w:footnoteReference w:id="2"/>
      </w:r>
    </w:p>
    <w:p w14:paraId="216B9691" w14:textId="77777777" w:rsidR="00B95F9F" w:rsidRDefault="00B95F9F" w:rsidP="00726A66">
      <w:pPr>
        <w:pStyle w:val="Normalnumbered"/>
        <w:numPr>
          <w:ilvl w:val="0"/>
          <w:numId w:val="22"/>
        </w:numPr>
        <w:tabs>
          <w:tab w:val="clear" w:pos="1418"/>
        </w:tabs>
      </w:pPr>
      <w:r>
        <w:t>Projects must be expected to be economically viable over their operational life.</w:t>
      </w:r>
    </w:p>
    <w:p w14:paraId="377BF764" w14:textId="77777777" w:rsidR="00B95F9F" w:rsidRDefault="00B95F9F" w:rsidP="00726A66">
      <w:pPr>
        <w:pStyle w:val="Normalnumbered"/>
        <w:numPr>
          <w:ilvl w:val="0"/>
          <w:numId w:val="22"/>
        </w:numPr>
        <w:tabs>
          <w:tab w:val="clear" w:pos="1418"/>
        </w:tabs>
      </w:pPr>
      <w:r>
        <w:t xml:space="preserve">Projects should wherever possible address </w:t>
      </w:r>
      <w:r w:rsidR="00A46948">
        <w:t xml:space="preserve">Australia’s </w:t>
      </w:r>
      <w:r>
        <w:t>regional and remote waste challenges.</w:t>
      </w:r>
      <w:r w:rsidRPr="00EE2E92">
        <w:t xml:space="preserve"> </w:t>
      </w:r>
    </w:p>
    <w:p w14:paraId="29CE9271" w14:textId="77777777" w:rsidR="00B95F9F" w:rsidRPr="00EE2E92" w:rsidRDefault="00B95F9F" w:rsidP="00B95F9F">
      <w:pPr>
        <w:jc w:val="right"/>
      </w:pPr>
    </w:p>
    <w:p w14:paraId="74D4CE17" w14:textId="77777777" w:rsidR="00837090" w:rsidRPr="00B95F9F" w:rsidRDefault="00837090" w:rsidP="00B95F9F"/>
    <w:sectPr w:rsidR="00837090" w:rsidRPr="00B95F9F" w:rsidSect="00EE2E92">
      <w:footerReference w:type="even" r:id="rId19"/>
      <w:footerReference w:type="default" r:id="rId20"/>
      <w:type w:val="oddPage"/>
      <w:pgSz w:w="11906" w:h="16838" w:code="9"/>
      <w:pgMar w:top="1134" w:right="1134" w:bottom="1134" w:left="1134" w:header="709" w:footer="709" w:gutter="0"/>
      <w:pgNumType w:start="1" w:chapStyle="9"/>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FDEF" w16cex:dateUtc="2020-07-29T0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C61AC" w14:textId="77777777" w:rsidR="000A4987" w:rsidRDefault="000A4987">
      <w:r>
        <w:separator/>
      </w:r>
    </w:p>
  </w:endnote>
  <w:endnote w:type="continuationSeparator" w:id="0">
    <w:p w14:paraId="5CD59211" w14:textId="77777777" w:rsidR="000A4987" w:rsidRDefault="000A4987">
      <w:r>
        <w:continuationSeparator/>
      </w:r>
    </w:p>
  </w:endnote>
  <w:endnote w:type="continuationNotice" w:id="1">
    <w:p w14:paraId="3748DADE" w14:textId="77777777" w:rsidR="000A4987" w:rsidRDefault="000A49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ZapfDingbats">
    <w:altName w:val="Wingding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79AA" w14:textId="77777777" w:rsidR="00326709" w:rsidRDefault="00326709">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10B92E38" w14:textId="77777777" w:rsidR="00326709" w:rsidRDefault="00326709">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F7E5" w14:textId="50142A67" w:rsidR="00326709" w:rsidRDefault="00326709">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0E578D">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A43A" w14:textId="4CC381DB" w:rsidR="00326709" w:rsidRDefault="00326709">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578D">
      <w:rPr>
        <w:rStyle w:val="PageNumber"/>
        <w:noProof/>
      </w:rPr>
      <w:t>1</w:t>
    </w:r>
    <w:r>
      <w:rPr>
        <w:rStyle w:val="PageNumber"/>
      </w:rPr>
      <w:fldChar w:fldCharType="end"/>
    </w:r>
  </w:p>
  <w:p w14:paraId="28D1FB05" w14:textId="7505E6B3" w:rsidR="00326709" w:rsidRDefault="00326709">
    <w:pPr>
      <w:pStyle w:val="FooterOdd"/>
      <w:keepNext/>
      <w:tabs>
        <w:tab w:val="num" w:pos="567"/>
      </w:tabs>
    </w:pPr>
    <w:r>
      <w:t xml:space="preserve">Version of template: </w:t>
    </w:r>
    <w:r>
      <w:fldChar w:fldCharType="begin"/>
    </w:r>
    <w:r>
      <w:instrText xml:space="preserve"> DATE \@ "d/MM/yyyy" </w:instrText>
    </w:r>
    <w:r>
      <w:fldChar w:fldCharType="separate"/>
    </w:r>
    <w:r w:rsidR="000E578D">
      <w:rPr>
        <w:noProof/>
      </w:rPr>
      <w:t>27/10/2020</w:t>
    </w:r>
    <w:r>
      <w:fldChar w:fldCharType="end"/>
    </w:r>
  </w:p>
  <w:p w14:paraId="1A97C044" w14:textId="77777777" w:rsidR="003226F2" w:rsidRDefault="003226F2">
    <w:pPr>
      <w:pStyle w:val="FooterOdd"/>
      <w:keepNext/>
      <w:tabs>
        <w:tab w:val="num" w:pos="567"/>
      </w:tabs>
    </w:pPr>
    <w:r>
      <w:t>Working draft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CD08" w14:textId="77777777" w:rsidR="00326709" w:rsidRDefault="00326709">
    <w:pPr>
      <w:pStyle w:val="FooterEven"/>
    </w:pPr>
    <w:r>
      <w:t>Page D-2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7E87" w14:textId="1EA69B5B" w:rsidR="00326709" w:rsidRDefault="00326709" w:rsidP="00EE2E92">
    <w:pPr>
      <w:pStyle w:val="Footer"/>
      <w:jc w:val="right"/>
    </w:pPr>
    <w:r>
      <w:t>Page A-</w:t>
    </w:r>
    <w:sdt>
      <w:sdtPr>
        <w:id w:val="16952615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578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1FD09" w14:textId="77777777" w:rsidR="000A4987" w:rsidRDefault="000A4987">
      <w:r>
        <w:separator/>
      </w:r>
    </w:p>
  </w:footnote>
  <w:footnote w:type="continuationSeparator" w:id="0">
    <w:p w14:paraId="05C53328" w14:textId="77777777" w:rsidR="000A4987" w:rsidRDefault="000A4987">
      <w:r>
        <w:continuationSeparator/>
      </w:r>
    </w:p>
  </w:footnote>
  <w:footnote w:type="continuationNotice" w:id="1">
    <w:p w14:paraId="65075925" w14:textId="77777777" w:rsidR="000A4987" w:rsidRDefault="000A4987">
      <w:pPr>
        <w:spacing w:after="0" w:line="240" w:lineRule="auto"/>
      </w:pPr>
    </w:p>
  </w:footnote>
  <w:footnote w:id="2">
    <w:p w14:paraId="4473D3CD" w14:textId="77777777" w:rsidR="00326709" w:rsidRDefault="00326709" w:rsidP="00B95F9F">
      <w:pPr>
        <w:pStyle w:val="FootnoteText"/>
      </w:pPr>
      <w:r>
        <w:rPr>
          <w:rStyle w:val="FootnoteReference"/>
        </w:rPr>
        <w:footnoteRef/>
      </w:r>
      <w:r>
        <w:t xml:space="preserve"> </w:t>
      </w:r>
      <w:r>
        <w:tab/>
        <w:t>COAG agreed to a phased implementation of the waste export ban as follows: unprocessed glass (from 1 J</w:t>
      </w:r>
      <w:r w:rsidR="00690740">
        <w:t>anuary</w:t>
      </w:r>
      <w:r>
        <w:t xml:space="preserve"> 202</w:t>
      </w:r>
      <w:r w:rsidR="00690740">
        <w:t>1</w:t>
      </w:r>
      <w:r>
        <w:t>); mixed plastics (1 July 2021); whole used tyres (1 December 2021); singer resin/polymer plastics (1 July 2022); and mixed and unsorted paper and cardboard (1 July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2C16" w14:textId="77777777" w:rsidR="00326709" w:rsidRPr="00814590" w:rsidRDefault="00326709">
    <w:pPr>
      <w:rPr>
        <w:color w:val="800000"/>
        <w:sz w:val="18"/>
        <w:szCs w:val="18"/>
      </w:rPr>
    </w:pPr>
    <w:r w:rsidRPr="00814590">
      <w:rPr>
        <w:color w:val="800000"/>
        <w:sz w:val="18"/>
        <w:szCs w:val="18"/>
      </w:rPr>
      <w:t>Intergovernmental Agreement on Federal Financial Relations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2A06" w14:textId="77777777" w:rsidR="00326709" w:rsidRDefault="00326709" w:rsidP="004919B6">
    <w:pPr>
      <w:pStyle w:val="Header"/>
      <w:jc w:val="right"/>
      <w:rPr>
        <w:color w:val="800000"/>
      </w:rPr>
    </w:pPr>
    <w:r w:rsidRPr="004919B6">
      <w:rPr>
        <w:color w:val="800000"/>
      </w:rPr>
      <w:t xml:space="preserve">National Partnership </w:t>
    </w:r>
    <w:r>
      <w:rPr>
        <w:color w:val="800000"/>
      </w:rPr>
      <w:t>o</w:t>
    </w:r>
    <w:r w:rsidRPr="004919B6">
      <w:rPr>
        <w:color w:val="800000"/>
      </w:rPr>
      <w:t>n</w:t>
    </w:r>
    <w:r>
      <w:rPr>
        <w:color w:val="800000"/>
      </w:rPr>
      <w:t xml:space="preserve"> </w:t>
    </w:r>
    <w:r w:rsidRPr="004919B6">
      <w:rPr>
        <w:color w:val="800000"/>
      </w:rPr>
      <w:t>Recycling Infrastructure</w:t>
    </w:r>
  </w:p>
  <w:p w14:paraId="00C0F519" w14:textId="77777777" w:rsidR="003226F2" w:rsidRPr="004919B6" w:rsidRDefault="003226F2" w:rsidP="004919B6">
    <w:pPr>
      <w:pStyle w:val="Header"/>
      <w:jc w:val="right"/>
    </w:pPr>
    <w:r>
      <w:rPr>
        <w:color w:val="800000"/>
      </w:rPr>
      <w:t>Working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AB56893"/>
    <w:multiLevelType w:val="multilevel"/>
    <w:tmpl w:val="19623268"/>
    <w:lvl w:ilvl="0">
      <w:start w:val="1"/>
      <w:numFmt w:val="decimal"/>
      <w:lvlText w:val="A.%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 w15:restartNumberingAfterBreak="0">
    <w:nsid w:val="101A573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 w15:restartNumberingAfterBreak="0">
    <w:nsid w:val="13E56AC4"/>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9"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0"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1"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2"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3" w15:restartNumberingAfterBreak="0">
    <w:nsid w:val="295E2CC8"/>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4"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5"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17" w15:restartNumberingAfterBreak="0">
    <w:nsid w:val="3AFF0181"/>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8"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9"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0" w15:restartNumberingAfterBreak="0">
    <w:nsid w:val="50ED4D1F"/>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1"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15:restartNumberingAfterBreak="0">
    <w:nsid w:val="585E68B3"/>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4"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5"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6" w15:restartNumberingAfterBreak="0">
    <w:nsid w:val="6CA307EF"/>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7"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8" w15:restartNumberingAfterBreak="0">
    <w:nsid w:val="71EA7151"/>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9"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0" w15:restartNumberingAfterBreak="0">
    <w:nsid w:val="78854AAC"/>
    <w:multiLevelType w:val="hybridMultilevel"/>
    <w:tmpl w:val="03262C14"/>
    <w:lvl w:ilvl="0" w:tplc="C6C89530">
      <w:start w:val="1"/>
      <w:numFmt w:val="decimal"/>
      <w:lvlText w:val="%1."/>
      <w:lvlJc w:val="left"/>
      <w:pPr>
        <w:tabs>
          <w:tab w:val="num" w:pos="567"/>
        </w:tabs>
        <w:ind w:left="567" w:hanging="567"/>
      </w:pPr>
      <w:rPr>
        <w:rFonts w:cs="Times New Roman" w:hint="default"/>
        <w:b w:val="0"/>
        <w:sz w:val="23"/>
        <w:szCs w:val="23"/>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9437ED"/>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num w:numId="1">
    <w:abstractNumId w:val="10"/>
  </w:num>
  <w:num w:numId="2">
    <w:abstractNumId w:val="19"/>
  </w:num>
  <w:num w:numId="3">
    <w:abstractNumId w:val="22"/>
  </w:num>
  <w:num w:numId="4">
    <w:abstractNumId w:val="6"/>
  </w:num>
  <w:num w:numId="5">
    <w:abstractNumId w:val="25"/>
  </w:num>
  <w:num w:numId="6">
    <w:abstractNumId w:val="11"/>
  </w:num>
  <w:num w:numId="7">
    <w:abstractNumId w:val="15"/>
  </w:num>
  <w:num w:numId="8">
    <w:abstractNumId w:val="7"/>
  </w:num>
  <w:num w:numId="9">
    <w:abstractNumId w:val="12"/>
  </w:num>
  <w:num w:numId="10">
    <w:abstractNumId w:val="30"/>
  </w:num>
  <w:num w:numId="11">
    <w:abstractNumId w:val="2"/>
  </w:num>
  <w:num w:numId="12">
    <w:abstractNumId w:val="21"/>
  </w:num>
  <w:num w:numId="13">
    <w:abstractNumId w:val="27"/>
  </w:num>
  <w:num w:numId="14">
    <w:abstractNumId w:val="18"/>
  </w:num>
  <w:num w:numId="15">
    <w:abstractNumId w:val="29"/>
  </w:num>
  <w:num w:numId="16">
    <w:abstractNumId w:val="9"/>
  </w:num>
  <w:num w:numId="17">
    <w:abstractNumId w:val="1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8"/>
  </w:num>
  <w:num w:numId="21">
    <w:abstractNumId w:val="26"/>
  </w:num>
  <w:num w:numId="22">
    <w:abstractNumId w:val="1"/>
  </w:num>
  <w:num w:numId="23">
    <w:abstractNumId w:val="31"/>
  </w:num>
  <w:num w:numId="24">
    <w:abstractNumId w:val="20"/>
  </w:num>
  <w:num w:numId="25">
    <w:abstractNumId w:val="4"/>
  </w:num>
  <w:num w:numId="26">
    <w:abstractNumId w:val="5"/>
  </w:num>
  <w:num w:numId="27">
    <w:abstractNumId w:val="17"/>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64E1"/>
    <w:rsid w:val="000076D9"/>
    <w:rsid w:val="00010E6D"/>
    <w:rsid w:val="00012EF4"/>
    <w:rsid w:val="00013D4E"/>
    <w:rsid w:val="00014EBE"/>
    <w:rsid w:val="00017E7B"/>
    <w:rsid w:val="00021708"/>
    <w:rsid w:val="00025539"/>
    <w:rsid w:val="000262C9"/>
    <w:rsid w:val="0003074A"/>
    <w:rsid w:val="00032106"/>
    <w:rsid w:val="000373D8"/>
    <w:rsid w:val="0004419C"/>
    <w:rsid w:val="000447B9"/>
    <w:rsid w:val="00047F6E"/>
    <w:rsid w:val="00051895"/>
    <w:rsid w:val="0006140E"/>
    <w:rsid w:val="0006451A"/>
    <w:rsid w:val="00065EE6"/>
    <w:rsid w:val="0007004C"/>
    <w:rsid w:val="0007028A"/>
    <w:rsid w:val="000724F6"/>
    <w:rsid w:val="00073A8D"/>
    <w:rsid w:val="00073D3C"/>
    <w:rsid w:val="00074611"/>
    <w:rsid w:val="000768EA"/>
    <w:rsid w:val="00077F4D"/>
    <w:rsid w:val="00080983"/>
    <w:rsid w:val="00085966"/>
    <w:rsid w:val="000869CA"/>
    <w:rsid w:val="00091DF8"/>
    <w:rsid w:val="00093DD8"/>
    <w:rsid w:val="00095C06"/>
    <w:rsid w:val="00095CC5"/>
    <w:rsid w:val="000A05AC"/>
    <w:rsid w:val="000A0C9E"/>
    <w:rsid w:val="000A2C32"/>
    <w:rsid w:val="000A3C86"/>
    <w:rsid w:val="000A4987"/>
    <w:rsid w:val="000A5191"/>
    <w:rsid w:val="000A5250"/>
    <w:rsid w:val="000A6832"/>
    <w:rsid w:val="000A72D2"/>
    <w:rsid w:val="000A7553"/>
    <w:rsid w:val="000B5D6E"/>
    <w:rsid w:val="000C5DEA"/>
    <w:rsid w:val="000C714F"/>
    <w:rsid w:val="000C7F8B"/>
    <w:rsid w:val="000D19D8"/>
    <w:rsid w:val="000D1C37"/>
    <w:rsid w:val="000D2321"/>
    <w:rsid w:val="000D3852"/>
    <w:rsid w:val="000D3CD9"/>
    <w:rsid w:val="000D4377"/>
    <w:rsid w:val="000D64CC"/>
    <w:rsid w:val="000E0898"/>
    <w:rsid w:val="000E089A"/>
    <w:rsid w:val="000E19C0"/>
    <w:rsid w:val="000E3C70"/>
    <w:rsid w:val="000E48C3"/>
    <w:rsid w:val="000E578D"/>
    <w:rsid w:val="000F041A"/>
    <w:rsid w:val="000F0880"/>
    <w:rsid w:val="000F3508"/>
    <w:rsid w:val="000F6CF6"/>
    <w:rsid w:val="00102BEA"/>
    <w:rsid w:val="00103FD6"/>
    <w:rsid w:val="001049DA"/>
    <w:rsid w:val="0010573C"/>
    <w:rsid w:val="001065EE"/>
    <w:rsid w:val="00110B42"/>
    <w:rsid w:val="00110C24"/>
    <w:rsid w:val="00110F5D"/>
    <w:rsid w:val="00112617"/>
    <w:rsid w:val="00112657"/>
    <w:rsid w:val="00113ADB"/>
    <w:rsid w:val="00114AA5"/>
    <w:rsid w:val="001165C0"/>
    <w:rsid w:val="00116D32"/>
    <w:rsid w:val="00122DBA"/>
    <w:rsid w:val="00122F5E"/>
    <w:rsid w:val="0013156A"/>
    <w:rsid w:val="00132587"/>
    <w:rsid w:val="001337AA"/>
    <w:rsid w:val="0013487E"/>
    <w:rsid w:val="001354D9"/>
    <w:rsid w:val="0013646D"/>
    <w:rsid w:val="0013749D"/>
    <w:rsid w:val="001404A9"/>
    <w:rsid w:val="00140F43"/>
    <w:rsid w:val="0014134C"/>
    <w:rsid w:val="00141912"/>
    <w:rsid w:val="00143DCA"/>
    <w:rsid w:val="00145D5C"/>
    <w:rsid w:val="0015073F"/>
    <w:rsid w:val="00150CEF"/>
    <w:rsid w:val="00153DE8"/>
    <w:rsid w:val="00160506"/>
    <w:rsid w:val="00162093"/>
    <w:rsid w:val="00162E9B"/>
    <w:rsid w:val="00163C3F"/>
    <w:rsid w:val="00163F51"/>
    <w:rsid w:val="00166312"/>
    <w:rsid w:val="00166581"/>
    <w:rsid w:val="00166BAE"/>
    <w:rsid w:val="00166FAA"/>
    <w:rsid w:val="00167962"/>
    <w:rsid w:val="00167BB8"/>
    <w:rsid w:val="00173F81"/>
    <w:rsid w:val="00174C2A"/>
    <w:rsid w:val="00175FB9"/>
    <w:rsid w:val="001775DC"/>
    <w:rsid w:val="001804EC"/>
    <w:rsid w:val="00181240"/>
    <w:rsid w:val="00183EAB"/>
    <w:rsid w:val="001843CF"/>
    <w:rsid w:val="00185CC1"/>
    <w:rsid w:val="00187B0E"/>
    <w:rsid w:val="00187BEB"/>
    <w:rsid w:val="00191CFE"/>
    <w:rsid w:val="001931E8"/>
    <w:rsid w:val="00194232"/>
    <w:rsid w:val="001948E9"/>
    <w:rsid w:val="0019788A"/>
    <w:rsid w:val="00197F5D"/>
    <w:rsid w:val="001A0FD0"/>
    <w:rsid w:val="001A1422"/>
    <w:rsid w:val="001A3527"/>
    <w:rsid w:val="001A37E6"/>
    <w:rsid w:val="001A3A9A"/>
    <w:rsid w:val="001A4093"/>
    <w:rsid w:val="001A668D"/>
    <w:rsid w:val="001A7A15"/>
    <w:rsid w:val="001B19A0"/>
    <w:rsid w:val="001B1CA3"/>
    <w:rsid w:val="001B51F6"/>
    <w:rsid w:val="001B7933"/>
    <w:rsid w:val="001C294C"/>
    <w:rsid w:val="001C346E"/>
    <w:rsid w:val="001C3717"/>
    <w:rsid w:val="001C5CC5"/>
    <w:rsid w:val="001D230F"/>
    <w:rsid w:val="001D28AD"/>
    <w:rsid w:val="001D3663"/>
    <w:rsid w:val="001D4852"/>
    <w:rsid w:val="001D6C45"/>
    <w:rsid w:val="001E20EC"/>
    <w:rsid w:val="001E2591"/>
    <w:rsid w:val="001E4055"/>
    <w:rsid w:val="001E7173"/>
    <w:rsid w:val="001E74D0"/>
    <w:rsid w:val="001F2C42"/>
    <w:rsid w:val="001F4549"/>
    <w:rsid w:val="001F4847"/>
    <w:rsid w:val="001F6F39"/>
    <w:rsid w:val="001F6FE8"/>
    <w:rsid w:val="00203681"/>
    <w:rsid w:val="00203BD2"/>
    <w:rsid w:val="00205E18"/>
    <w:rsid w:val="002077C7"/>
    <w:rsid w:val="002106A6"/>
    <w:rsid w:val="002204CF"/>
    <w:rsid w:val="00221308"/>
    <w:rsid w:val="0022141E"/>
    <w:rsid w:val="00222C97"/>
    <w:rsid w:val="00226D19"/>
    <w:rsid w:val="0023212B"/>
    <w:rsid w:val="00240716"/>
    <w:rsid w:val="00247D45"/>
    <w:rsid w:val="002521CD"/>
    <w:rsid w:val="00254106"/>
    <w:rsid w:val="00254AF8"/>
    <w:rsid w:val="002561CF"/>
    <w:rsid w:val="00262E18"/>
    <w:rsid w:val="0026455E"/>
    <w:rsid w:val="0026573E"/>
    <w:rsid w:val="002665E5"/>
    <w:rsid w:val="0027078E"/>
    <w:rsid w:val="00271123"/>
    <w:rsid w:val="00272C83"/>
    <w:rsid w:val="00277646"/>
    <w:rsid w:val="00281387"/>
    <w:rsid w:val="00282C25"/>
    <w:rsid w:val="00283C73"/>
    <w:rsid w:val="002847F2"/>
    <w:rsid w:val="00285003"/>
    <w:rsid w:val="00285D2A"/>
    <w:rsid w:val="002876C2"/>
    <w:rsid w:val="00287DCC"/>
    <w:rsid w:val="002906C9"/>
    <w:rsid w:val="002916AF"/>
    <w:rsid w:val="00291CF1"/>
    <w:rsid w:val="002A143D"/>
    <w:rsid w:val="002A2B09"/>
    <w:rsid w:val="002A493A"/>
    <w:rsid w:val="002A49B0"/>
    <w:rsid w:val="002A530A"/>
    <w:rsid w:val="002A69B0"/>
    <w:rsid w:val="002B1A8F"/>
    <w:rsid w:val="002B2B3F"/>
    <w:rsid w:val="002B7922"/>
    <w:rsid w:val="002B7E1B"/>
    <w:rsid w:val="002C04DA"/>
    <w:rsid w:val="002C2529"/>
    <w:rsid w:val="002C4242"/>
    <w:rsid w:val="002C62B3"/>
    <w:rsid w:val="002C7620"/>
    <w:rsid w:val="002D0EF4"/>
    <w:rsid w:val="002D10A4"/>
    <w:rsid w:val="002D1A33"/>
    <w:rsid w:val="002D1A59"/>
    <w:rsid w:val="002D1D66"/>
    <w:rsid w:val="002D7115"/>
    <w:rsid w:val="002D7CF9"/>
    <w:rsid w:val="002E2593"/>
    <w:rsid w:val="002E2B50"/>
    <w:rsid w:val="002E4B66"/>
    <w:rsid w:val="002F403E"/>
    <w:rsid w:val="002F576E"/>
    <w:rsid w:val="002F5C6C"/>
    <w:rsid w:val="002F7CCE"/>
    <w:rsid w:val="002F7E40"/>
    <w:rsid w:val="003012DA"/>
    <w:rsid w:val="00301A73"/>
    <w:rsid w:val="00301D73"/>
    <w:rsid w:val="003056FE"/>
    <w:rsid w:val="00307C5C"/>
    <w:rsid w:val="00310542"/>
    <w:rsid w:val="003105F2"/>
    <w:rsid w:val="00313480"/>
    <w:rsid w:val="003155BD"/>
    <w:rsid w:val="00315E33"/>
    <w:rsid w:val="0032082B"/>
    <w:rsid w:val="00321E0A"/>
    <w:rsid w:val="003226F2"/>
    <w:rsid w:val="003256DC"/>
    <w:rsid w:val="00325F86"/>
    <w:rsid w:val="00326709"/>
    <w:rsid w:val="00326883"/>
    <w:rsid w:val="00327231"/>
    <w:rsid w:val="00327E9A"/>
    <w:rsid w:val="00331553"/>
    <w:rsid w:val="00332E5D"/>
    <w:rsid w:val="00333506"/>
    <w:rsid w:val="00333EE4"/>
    <w:rsid w:val="00335E2C"/>
    <w:rsid w:val="003361CA"/>
    <w:rsid w:val="00336371"/>
    <w:rsid w:val="00336A1D"/>
    <w:rsid w:val="00336F12"/>
    <w:rsid w:val="00337C78"/>
    <w:rsid w:val="003410AA"/>
    <w:rsid w:val="0034186E"/>
    <w:rsid w:val="003517EC"/>
    <w:rsid w:val="00352A6B"/>
    <w:rsid w:val="00352EC1"/>
    <w:rsid w:val="00364CF3"/>
    <w:rsid w:val="00365A66"/>
    <w:rsid w:val="00365C57"/>
    <w:rsid w:val="00365D2B"/>
    <w:rsid w:val="00367EAB"/>
    <w:rsid w:val="00372573"/>
    <w:rsid w:val="00377AB2"/>
    <w:rsid w:val="003814B3"/>
    <w:rsid w:val="00391D29"/>
    <w:rsid w:val="0039201F"/>
    <w:rsid w:val="0039283B"/>
    <w:rsid w:val="003929D5"/>
    <w:rsid w:val="00396EA4"/>
    <w:rsid w:val="003A22B3"/>
    <w:rsid w:val="003A3363"/>
    <w:rsid w:val="003A3905"/>
    <w:rsid w:val="003A3CC1"/>
    <w:rsid w:val="003A4E22"/>
    <w:rsid w:val="003A6635"/>
    <w:rsid w:val="003A6B0E"/>
    <w:rsid w:val="003B073D"/>
    <w:rsid w:val="003B29AA"/>
    <w:rsid w:val="003B5562"/>
    <w:rsid w:val="003B737F"/>
    <w:rsid w:val="003C044E"/>
    <w:rsid w:val="003C179F"/>
    <w:rsid w:val="003C2450"/>
    <w:rsid w:val="003C2EE9"/>
    <w:rsid w:val="003D1BEF"/>
    <w:rsid w:val="003D26BA"/>
    <w:rsid w:val="003D448E"/>
    <w:rsid w:val="003D5C0C"/>
    <w:rsid w:val="003E3451"/>
    <w:rsid w:val="003E4C17"/>
    <w:rsid w:val="003E5D96"/>
    <w:rsid w:val="003E63A7"/>
    <w:rsid w:val="003E6BA0"/>
    <w:rsid w:val="003E73DB"/>
    <w:rsid w:val="003E7F07"/>
    <w:rsid w:val="003F0A91"/>
    <w:rsid w:val="003F2095"/>
    <w:rsid w:val="003F3582"/>
    <w:rsid w:val="003F59E6"/>
    <w:rsid w:val="003F6374"/>
    <w:rsid w:val="004005BB"/>
    <w:rsid w:val="004017C7"/>
    <w:rsid w:val="004031DC"/>
    <w:rsid w:val="004040EB"/>
    <w:rsid w:val="0040426D"/>
    <w:rsid w:val="004043B6"/>
    <w:rsid w:val="00404A4A"/>
    <w:rsid w:val="004120B1"/>
    <w:rsid w:val="004124D3"/>
    <w:rsid w:val="00413F35"/>
    <w:rsid w:val="0041421D"/>
    <w:rsid w:val="00414A5C"/>
    <w:rsid w:val="004156B4"/>
    <w:rsid w:val="0041697F"/>
    <w:rsid w:val="00421F66"/>
    <w:rsid w:val="004223AA"/>
    <w:rsid w:val="00423104"/>
    <w:rsid w:val="004267D3"/>
    <w:rsid w:val="00430EC3"/>
    <w:rsid w:val="00433656"/>
    <w:rsid w:val="00433C6B"/>
    <w:rsid w:val="00433E65"/>
    <w:rsid w:val="004374B2"/>
    <w:rsid w:val="00440A90"/>
    <w:rsid w:val="00442AB8"/>
    <w:rsid w:val="004436EA"/>
    <w:rsid w:val="00450B39"/>
    <w:rsid w:val="00454498"/>
    <w:rsid w:val="00456C59"/>
    <w:rsid w:val="00456CF7"/>
    <w:rsid w:val="0046371B"/>
    <w:rsid w:val="00463AFF"/>
    <w:rsid w:val="00466FC6"/>
    <w:rsid w:val="00470774"/>
    <w:rsid w:val="00470CC9"/>
    <w:rsid w:val="00472C5A"/>
    <w:rsid w:val="004762B8"/>
    <w:rsid w:val="004829C1"/>
    <w:rsid w:val="004847D0"/>
    <w:rsid w:val="0048535D"/>
    <w:rsid w:val="00487FE4"/>
    <w:rsid w:val="00490198"/>
    <w:rsid w:val="00490352"/>
    <w:rsid w:val="00490E28"/>
    <w:rsid w:val="004919B6"/>
    <w:rsid w:val="00491A9F"/>
    <w:rsid w:val="00494435"/>
    <w:rsid w:val="0049645A"/>
    <w:rsid w:val="00496930"/>
    <w:rsid w:val="00497362"/>
    <w:rsid w:val="00497E2A"/>
    <w:rsid w:val="004A0AE7"/>
    <w:rsid w:val="004A5DF7"/>
    <w:rsid w:val="004A6062"/>
    <w:rsid w:val="004A770F"/>
    <w:rsid w:val="004B0DA5"/>
    <w:rsid w:val="004B1F38"/>
    <w:rsid w:val="004B27C1"/>
    <w:rsid w:val="004B52A2"/>
    <w:rsid w:val="004C1697"/>
    <w:rsid w:val="004C1A03"/>
    <w:rsid w:val="004C1B5D"/>
    <w:rsid w:val="004C55EF"/>
    <w:rsid w:val="004C5EFB"/>
    <w:rsid w:val="004C665A"/>
    <w:rsid w:val="004D310E"/>
    <w:rsid w:val="004D34C8"/>
    <w:rsid w:val="004D37D8"/>
    <w:rsid w:val="004D4B81"/>
    <w:rsid w:val="004E2BF1"/>
    <w:rsid w:val="004E6001"/>
    <w:rsid w:val="004E6528"/>
    <w:rsid w:val="004E6ABC"/>
    <w:rsid w:val="004F0471"/>
    <w:rsid w:val="004F1A05"/>
    <w:rsid w:val="004F242C"/>
    <w:rsid w:val="004F2729"/>
    <w:rsid w:val="004F6683"/>
    <w:rsid w:val="004F6B2B"/>
    <w:rsid w:val="005005DF"/>
    <w:rsid w:val="00500B17"/>
    <w:rsid w:val="0050384F"/>
    <w:rsid w:val="00505045"/>
    <w:rsid w:val="00506DAC"/>
    <w:rsid w:val="00511501"/>
    <w:rsid w:val="005116C7"/>
    <w:rsid w:val="00514505"/>
    <w:rsid w:val="005145B3"/>
    <w:rsid w:val="0051602E"/>
    <w:rsid w:val="0051640E"/>
    <w:rsid w:val="00516741"/>
    <w:rsid w:val="0051697E"/>
    <w:rsid w:val="005175A3"/>
    <w:rsid w:val="00525719"/>
    <w:rsid w:val="00526868"/>
    <w:rsid w:val="00527ABC"/>
    <w:rsid w:val="00527E18"/>
    <w:rsid w:val="0053094D"/>
    <w:rsid w:val="00530C38"/>
    <w:rsid w:val="00533BCC"/>
    <w:rsid w:val="005350F1"/>
    <w:rsid w:val="00535427"/>
    <w:rsid w:val="00537574"/>
    <w:rsid w:val="0054193D"/>
    <w:rsid w:val="005427B7"/>
    <w:rsid w:val="00542D59"/>
    <w:rsid w:val="00542E5C"/>
    <w:rsid w:val="005462A5"/>
    <w:rsid w:val="00550EBF"/>
    <w:rsid w:val="00552455"/>
    <w:rsid w:val="0055408E"/>
    <w:rsid w:val="0055503F"/>
    <w:rsid w:val="005575B7"/>
    <w:rsid w:val="00560D16"/>
    <w:rsid w:val="00561768"/>
    <w:rsid w:val="005619D6"/>
    <w:rsid w:val="005624A6"/>
    <w:rsid w:val="00566234"/>
    <w:rsid w:val="00567371"/>
    <w:rsid w:val="00567475"/>
    <w:rsid w:val="0057262B"/>
    <w:rsid w:val="00577721"/>
    <w:rsid w:val="00581A66"/>
    <w:rsid w:val="0058297B"/>
    <w:rsid w:val="00582A03"/>
    <w:rsid w:val="00583BD6"/>
    <w:rsid w:val="00590D7E"/>
    <w:rsid w:val="00596E88"/>
    <w:rsid w:val="005A0969"/>
    <w:rsid w:val="005A09B1"/>
    <w:rsid w:val="005A4B86"/>
    <w:rsid w:val="005A5107"/>
    <w:rsid w:val="005A53F6"/>
    <w:rsid w:val="005A632B"/>
    <w:rsid w:val="005B30C5"/>
    <w:rsid w:val="005B344F"/>
    <w:rsid w:val="005B7AAE"/>
    <w:rsid w:val="005C038B"/>
    <w:rsid w:val="005C0619"/>
    <w:rsid w:val="005C09FD"/>
    <w:rsid w:val="005C2111"/>
    <w:rsid w:val="005C2684"/>
    <w:rsid w:val="005C2DDC"/>
    <w:rsid w:val="005C352A"/>
    <w:rsid w:val="005C3E7C"/>
    <w:rsid w:val="005C5620"/>
    <w:rsid w:val="005C5979"/>
    <w:rsid w:val="005C7AFF"/>
    <w:rsid w:val="005D22F7"/>
    <w:rsid w:val="005D41F9"/>
    <w:rsid w:val="005D4A4E"/>
    <w:rsid w:val="005D50B3"/>
    <w:rsid w:val="005E1297"/>
    <w:rsid w:val="005E224F"/>
    <w:rsid w:val="005E724B"/>
    <w:rsid w:val="005F63CB"/>
    <w:rsid w:val="005F7CC6"/>
    <w:rsid w:val="00600353"/>
    <w:rsid w:val="006005FE"/>
    <w:rsid w:val="00602EF7"/>
    <w:rsid w:val="00603A1F"/>
    <w:rsid w:val="00607B03"/>
    <w:rsid w:val="0061059D"/>
    <w:rsid w:val="00610D93"/>
    <w:rsid w:val="00614393"/>
    <w:rsid w:val="00614A4D"/>
    <w:rsid w:val="0062217C"/>
    <w:rsid w:val="00622557"/>
    <w:rsid w:val="00623567"/>
    <w:rsid w:val="006249C9"/>
    <w:rsid w:val="00625F2E"/>
    <w:rsid w:val="00626AE5"/>
    <w:rsid w:val="00630133"/>
    <w:rsid w:val="006412B5"/>
    <w:rsid w:val="00641932"/>
    <w:rsid w:val="0064477C"/>
    <w:rsid w:val="00646E6C"/>
    <w:rsid w:val="00650903"/>
    <w:rsid w:val="00651441"/>
    <w:rsid w:val="00652FC2"/>
    <w:rsid w:val="00654BA9"/>
    <w:rsid w:val="00656743"/>
    <w:rsid w:val="00662B8D"/>
    <w:rsid w:val="00664688"/>
    <w:rsid w:val="006679C0"/>
    <w:rsid w:val="00673AB2"/>
    <w:rsid w:val="0067481E"/>
    <w:rsid w:val="006804DF"/>
    <w:rsid w:val="006807D3"/>
    <w:rsid w:val="00680ED5"/>
    <w:rsid w:val="0068149E"/>
    <w:rsid w:val="00681608"/>
    <w:rsid w:val="00681956"/>
    <w:rsid w:val="00682893"/>
    <w:rsid w:val="00682E56"/>
    <w:rsid w:val="00682FBA"/>
    <w:rsid w:val="00683370"/>
    <w:rsid w:val="00684E54"/>
    <w:rsid w:val="0069050B"/>
    <w:rsid w:val="00690740"/>
    <w:rsid w:val="006911BE"/>
    <w:rsid w:val="0069148C"/>
    <w:rsid w:val="00691C2E"/>
    <w:rsid w:val="006923C8"/>
    <w:rsid w:val="0069372F"/>
    <w:rsid w:val="00695E70"/>
    <w:rsid w:val="00696AB4"/>
    <w:rsid w:val="006976BF"/>
    <w:rsid w:val="006A05D7"/>
    <w:rsid w:val="006A4628"/>
    <w:rsid w:val="006A55F2"/>
    <w:rsid w:val="006B0849"/>
    <w:rsid w:val="006B2D1B"/>
    <w:rsid w:val="006B3544"/>
    <w:rsid w:val="006B4213"/>
    <w:rsid w:val="006B4DF0"/>
    <w:rsid w:val="006B573F"/>
    <w:rsid w:val="006B5A90"/>
    <w:rsid w:val="006B5B22"/>
    <w:rsid w:val="006B7444"/>
    <w:rsid w:val="006B7D6A"/>
    <w:rsid w:val="006C1013"/>
    <w:rsid w:val="006C228B"/>
    <w:rsid w:val="006C2931"/>
    <w:rsid w:val="006C4142"/>
    <w:rsid w:val="006C7FA2"/>
    <w:rsid w:val="006D25F6"/>
    <w:rsid w:val="006D2D33"/>
    <w:rsid w:val="006D466E"/>
    <w:rsid w:val="006D4B70"/>
    <w:rsid w:val="006D5BAC"/>
    <w:rsid w:val="006D6848"/>
    <w:rsid w:val="006E3B48"/>
    <w:rsid w:val="006E3E81"/>
    <w:rsid w:val="006E3FBE"/>
    <w:rsid w:val="006E53C0"/>
    <w:rsid w:val="006E6184"/>
    <w:rsid w:val="006E64B4"/>
    <w:rsid w:val="006F03AA"/>
    <w:rsid w:val="006F096A"/>
    <w:rsid w:val="006F3095"/>
    <w:rsid w:val="006F31C1"/>
    <w:rsid w:val="006F5455"/>
    <w:rsid w:val="006F5CB6"/>
    <w:rsid w:val="0070242A"/>
    <w:rsid w:val="00703194"/>
    <w:rsid w:val="0070472E"/>
    <w:rsid w:val="00706D54"/>
    <w:rsid w:val="0070737C"/>
    <w:rsid w:val="00707E0A"/>
    <w:rsid w:val="00711229"/>
    <w:rsid w:val="00711604"/>
    <w:rsid w:val="0071175D"/>
    <w:rsid w:val="00715018"/>
    <w:rsid w:val="007150FD"/>
    <w:rsid w:val="00715D38"/>
    <w:rsid w:val="007179FE"/>
    <w:rsid w:val="00717F25"/>
    <w:rsid w:val="007201B1"/>
    <w:rsid w:val="007201FF"/>
    <w:rsid w:val="007219B9"/>
    <w:rsid w:val="00721B2C"/>
    <w:rsid w:val="00724E14"/>
    <w:rsid w:val="0072500B"/>
    <w:rsid w:val="00725AD5"/>
    <w:rsid w:val="00726271"/>
    <w:rsid w:val="00726A66"/>
    <w:rsid w:val="00726EB4"/>
    <w:rsid w:val="00726FF5"/>
    <w:rsid w:val="00731945"/>
    <w:rsid w:val="0073698D"/>
    <w:rsid w:val="00736C0B"/>
    <w:rsid w:val="00740C2E"/>
    <w:rsid w:val="00742CCB"/>
    <w:rsid w:val="00744FA2"/>
    <w:rsid w:val="007452AE"/>
    <w:rsid w:val="00746531"/>
    <w:rsid w:val="0074711D"/>
    <w:rsid w:val="007503CD"/>
    <w:rsid w:val="00751725"/>
    <w:rsid w:val="0075316F"/>
    <w:rsid w:val="00753663"/>
    <w:rsid w:val="00753934"/>
    <w:rsid w:val="0075450A"/>
    <w:rsid w:val="00755B01"/>
    <w:rsid w:val="00756F54"/>
    <w:rsid w:val="00757E7E"/>
    <w:rsid w:val="0076017E"/>
    <w:rsid w:val="00760DB6"/>
    <w:rsid w:val="00762558"/>
    <w:rsid w:val="007661AE"/>
    <w:rsid w:val="00766A51"/>
    <w:rsid w:val="00772F1C"/>
    <w:rsid w:val="00774288"/>
    <w:rsid w:val="00775C1A"/>
    <w:rsid w:val="00777610"/>
    <w:rsid w:val="0077788E"/>
    <w:rsid w:val="007778F4"/>
    <w:rsid w:val="0078407C"/>
    <w:rsid w:val="00786F28"/>
    <w:rsid w:val="00787BED"/>
    <w:rsid w:val="00787E75"/>
    <w:rsid w:val="00792935"/>
    <w:rsid w:val="00793420"/>
    <w:rsid w:val="00793A2E"/>
    <w:rsid w:val="00795D48"/>
    <w:rsid w:val="007A250A"/>
    <w:rsid w:val="007A3157"/>
    <w:rsid w:val="007A6E20"/>
    <w:rsid w:val="007B080D"/>
    <w:rsid w:val="007B08BA"/>
    <w:rsid w:val="007B0AB2"/>
    <w:rsid w:val="007B10ED"/>
    <w:rsid w:val="007B3BFC"/>
    <w:rsid w:val="007B4B03"/>
    <w:rsid w:val="007B4FC0"/>
    <w:rsid w:val="007B5197"/>
    <w:rsid w:val="007C0C10"/>
    <w:rsid w:val="007C1433"/>
    <w:rsid w:val="007C15F4"/>
    <w:rsid w:val="007C5BCD"/>
    <w:rsid w:val="007D20FF"/>
    <w:rsid w:val="007D615D"/>
    <w:rsid w:val="007E02F1"/>
    <w:rsid w:val="007E5117"/>
    <w:rsid w:val="007E7F5B"/>
    <w:rsid w:val="007F136F"/>
    <w:rsid w:val="007F2F8F"/>
    <w:rsid w:val="007F4538"/>
    <w:rsid w:val="007F5245"/>
    <w:rsid w:val="00800FEB"/>
    <w:rsid w:val="00804357"/>
    <w:rsid w:val="00807AD8"/>
    <w:rsid w:val="0081090B"/>
    <w:rsid w:val="00813CFF"/>
    <w:rsid w:val="00813FC2"/>
    <w:rsid w:val="00814590"/>
    <w:rsid w:val="00814667"/>
    <w:rsid w:val="00814EAD"/>
    <w:rsid w:val="008156B7"/>
    <w:rsid w:val="00816464"/>
    <w:rsid w:val="00817D90"/>
    <w:rsid w:val="0082066E"/>
    <w:rsid w:val="0082088C"/>
    <w:rsid w:val="0082402C"/>
    <w:rsid w:val="008262F1"/>
    <w:rsid w:val="00826C57"/>
    <w:rsid w:val="008311FA"/>
    <w:rsid w:val="008317EF"/>
    <w:rsid w:val="008325D4"/>
    <w:rsid w:val="0083302A"/>
    <w:rsid w:val="00837090"/>
    <w:rsid w:val="00837A93"/>
    <w:rsid w:val="00843C69"/>
    <w:rsid w:val="00844F11"/>
    <w:rsid w:val="00845BCC"/>
    <w:rsid w:val="00850FA7"/>
    <w:rsid w:val="00851465"/>
    <w:rsid w:val="00852ED8"/>
    <w:rsid w:val="00854B0D"/>
    <w:rsid w:val="0085533A"/>
    <w:rsid w:val="00855543"/>
    <w:rsid w:val="00856F5F"/>
    <w:rsid w:val="0085738D"/>
    <w:rsid w:val="008605A8"/>
    <w:rsid w:val="00861E76"/>
    <w:rsid w:val="00862395"/>
    <w:rsid w:val="00862FAB"/>
    <w:rsid w:val="00863F32"/>
    <w:rsid w:val="0086782C"/>
    <w:rsid w:val="00867CD5"/>
    <w:rsid w:val="008708D6"/>
    <w:rsid w:val="00872093"/>
    <w:rsid w:val="0087255F"/>
    <w:rsid w:val="008760D0"/>
    <w:rsid w:val="00876D3A"/>
    <w:rsid w:val="00880573"/>
    <w:rsid w:val="00881317"/>
    <w:rsid w:val="0088279C"/>
    <w:rsid w:val="008827E0"/>
    <w:rsid w:val="008843EE"/>
    <w:rsid w:val="00885222"/>
    <w:rsid w:val="0089255A"/>
    <w:rsid w:val="008957F9"/>
    <w:rsid w:val="00895D13"/>
    <w:rsid w:val="00896477"/>
    <w:rsid w:val="00896F5A"/>
    <w:rsid w:val="00897FC9"/>
    <w:rsid w:val="008A3C37"/>
    <w:rsid w:val="008A47F8"/>
    <w:rsid w:val="008A5B8A"/>
    <w:rsid w:val="008A6E23"/>
    <w:rsid w:val="008A715A"/>
    <w:rsid w:val="008B1840"/>
    <w:rsid w:val="008B1C10"/>
    <w:rsid w:val="008B44F6"/>
    <w:rsid w:val="008B73A2"/>
    <w:rsid w:val="008C0356"/>
    <w:rsid w:val="008C41F1"/>
    <w:rsid w:val="008C6A7B"/>
    <w:rsid w:val="008C7F5B"/>
    <w:rsid w:val="008D079A"/>
    <w:rsid w:val="008D5B52"/>
    <w:rsid w:val="008E0C24"/>
    <w:rsid w:val="008E1C97"/>
    <w:rsid w:val="008E48FC"/>
    <w:rsid w:val="008F2350"/>
    <w:rsid w:val="008F2AD6"/>
    <w:rsid w:val="008F4BA8"/>
    <w:rsid w:val="008F5C07"/>
    <w:rsid w:val="008F696D"/>
    <w:rsid w:val="00901CF5"/>
    <w:rsid w:val="00902097"/>
    <w:rsid w:val="0090306C"/>
    <w:rsid w:val="009065E7"/>
    <w:rsid w:val="00910103"/>
    <w:rsid w:val="00910EA9"/>
    <w:rsid w:val="00913276"/>
    <w:rsid w:val="00913611"/>
    <w:rsid w:val="00915797"/>
    <w:rsid w:val="009221DF"/>
    <w:rsid w:val="009224FD"/>
    <w:rsid w:val="00924D43"/>
    <w:rsid w:val="00926CA7"/>
    <w:rsid w:val="00930026"/>
    <w:rsid w:val="0093296C"/>
    <w:rsid w:val="00935450"/>
    <w:rsid w:val="00935CC7"/>
    <w:rsid w:val="0094002F"/>
    <w:rsid w:val="0094014A"/>
    <w:rsid w:val="0094129D"/>
    <w:rsid w:val="009419E8"/>
    <w:rsid w:val="00941D34"/>
    <w:rsid w:val="0094444B"/>
    <w:rsid w:val="00946A91"/>
    <w:rsid w:val="00951BAD"/>
    <w:rsid w:val="00952FA6"/>
    <w:rsid w:val="00955B16"/>
    <w:rsid w:val="00956C81"/>
    <w:rsid w:val="00960EBA"/>
    <w:rsid w:val="00963FC8"/>
    <w:rsid w:val="00967E4D"/>
    <w:rsid w:val="009704A5"/>
    <w:rsid w:val="0097198A"/>
    <w:rsid w:val="00977DA4"/>
    <w:rsid w:val="00980941"/>
    <w:rsid w:val="00980D3F"/>
    <w:rsid w:val="00983DC2"/>
    <w:rsid w:val="00983DF0"/>
    <w:rsid w:val="0099260D"/>
    <w:rsid w:val="0099279C"/>
    <w:rsid w:val="00994C10"/>
    <w:rsid w:val="0099735B"/>
    <w:rsid w:val="009A0446"/>
    <w:rsid w:val="009A062C"/>
    <w:rsid w:val="009A48AF"/>
    <w:rsid w:val="009A522D"/>
    <w:rsid w:val="009A7DD6"/>
    <w:rsid w:val="009B3BCE"/>
    <w:rsid w:val="009B3F77"/>
    <w:rsid w:val="009B5132"/>
    <w:rsid w:val="009B76E5"/>
    <w:rsid w:val="009C024B"/>
    <w:rsid w:val="009C166A"/>
    <w:rsid w:val="009C6FFB"/>
    <w:rsid w:val="009C7EF5"/>
    <w:rsid w:val="009D1E67"/>
    <w:rsid w:val="009D2CF4"/>
    <w:rsid w:val="009D2FAC"/>
    <w:rsid w:val="009D62CF"/>
    <w:rsid w:val="009E1311"/>
    <w:rsid w:val="009E151E"/>
    <w:rsid w:val="009E44EC"/>
    <w:rsid w:val="009E5DB6"/>
    <w:rsid w:val="009E662D"/>
    <w:rsid w:val="009E733B"/>
    <w:rsid w:val="009E7462"/>
    <w:rsid w:val="009F38FF"/>
    <w:rsid w:val="009F3D27"/>
    <w:rsid w:val="009F7F52"/>
    <w:rsid w:val="00A00BA5"/>
    <w:rsid w:val="00A0202C"/>
    <w:rsid w:val="00A0227E"/>
    <w:rsid w:val="00A028F4"/>
    <w:rsid w:val="00A04C30"/>
    <w:rsid w:val="00A10974"/>
    <w:rsid w:val="00A1291A"/>
    <w:rsid w:val="00A143E7"/>
    <w:rsid w:val="00A14966"/>
    <w:rsid w:val="00A14A73"/>
    <w:rsid w:val="00A17CCB"/>
    <w:rsid w:val="00A207A2"/>
    <w:rsid w:val="00A20A8B"/>
    <w:rsid w:val="00A21758"/>
    <w:rsid w:val="00A2219B"/>
    <w:rsid w:val="00A2422A"/>
    <w:rsid w:val="00A24361"/>
    <w:rsid w:val="00A2485E"/>
    <w:rsid w:val="00A303A1"/>
    <w:rsid w:val="00A3209E"/>
    <w:rsid w:val="00A3212A"/>
    <w:rsid w:val="00A322FB"/>
    <w:rsid w:val="00A33A58"/>
    <w:rsid w:val="00A3668E"/>
    <w:rsid w:val="00A4030E"/>
    <w:rsid w:val="00A4077B"/>
    <w:rsid w:val="00A41A72"/>
    <w:rsid w:val="00A42386"/>
    <w:rsid w:val="00A42D76"/>
    <w:rsid w:val="00A42DA9"/>
    <w:rsid w:val="00A43656"/>
    <w:rsid w:val="00A44699"/>
    <w:rsid w:val="00A453B3"/>
    <w:rsid w:val="00A46948"/>
    <w:rsid w:val="00A469B9"/>
    <w:rsid w:val="00A50751"/>
    <w:rsid w:val="00A50E72"/>
    <w:rsid w:val="00A53189"/>
    <w:rsid w:val="00A54051"/>
    <w:rsid w:val="00A548DE"/>
    <w:rsid w:val="00A54BE7"/>
    <w:rsid w:val="00A55B31"/>
    <w:rsid w:val="00A55B5A"/>
    <w:rsid w:val="00A564EB"/>
    <w:rsid w:val="00A620C4"/>
    <w:rsid w:val="00A631F9"/>
    <w:rsid w:val="00A63BE5"/>
    <w:rsid w:val="00A64E39"/>
    <w:rsid w:val="00A6500A"/>
    <w:rsid w:val="00A671D3"/>
    <w:rsid w:val="00A705E3"/>
    <w:rsid w:val="00A71016"/>
    <w:rsid w:val="00A739F1"/>
    <w:rsid w:val="00A76BF0"/>
    <w:rsid w:val="00A81EC4"/>
    <w:rsid w:val="00A8295A"/>
    <w:rsid w:val="00A838FA"/>
    <w:rsid w:val="00A8478F"/>
    <w:rsid w:val="00A858C4"/>
    <w:rsid w:val="00A8676C"/>
    <w:rsid w:val="00A87D82"/>
    <w:rsid w:val="00A91ED5"/>
    <w:rsid w:val="00A91FE4"/>
    <w:rsid w:val="00A92F0B"/>
    <w:rsid w:val="00A974CA"/>
    <w:rsid w:val="00A97C02"/>
    <w:rsid w:val="00AA0CA6"/>
    <w:rsid w:val="00AA2A0D"/>
    <w:rsid w:val="00AA2CD5"/>
    <w:rsid w:val="00AA4F6C"/>
    <w:rsid w:val="00AB16AE"/>
    <w:rsid w:val="00AB2011"/>
    <w:rsid w:val="00AB4440"/>
    <w:rsid w:val="00AB5A64"/>
    <w:rsid w:val="00AB79E9"/>
    <w:rsid w:val="00AC276B"/>
    <w:rsid w:val="00AC458B"/>
    <w:rsid w:val="00AC6B83"/>
    <w:rsid w:val="00AC6FC7"/>
    <w:rsid w:val="00AD04F4"/>
    <w:rsid w:val="00AD0CE6"/>
    <w:rsid w:val="00AD2634"/>
    <w:rsid w:val="00AD42CE"/>
    <w:rsid w:val="00AD670F"/>
    <w:rsid w:val="00AE1171"/>
    <w:rsid w:val="00AE1E54"/>
    <w:rsid w:val="00AE478A"/>
    <w:rsid w:val="00AF0D99"/>
    <w:rsid w:val="00AF19AA"/>
    <w:rsid w:val="00AF3346"/>
    <w:rsid w:val="00AF3412"/>
    <w:rsid w:val="00B00778"/>
    <w:rsid w:val="00B009FE"/>
    <w:rsid w:val="00B012ED"/>
    <w:rsid w:val="00B050C0"/>
    <w:rsid w:val="00B05642"/>
    <w:rsid w:val="00B06097"/>
    <w:rsid w:val="00B10514"/>
    <w:rsid w:val="00B10CAE"/>
    <w:rsid w:val="00B12190"/>
    <w:rsid w:val="00B1241F"/>
    <w:rsid w:val="00B14635"/>
    <w:rsid w:val="00B171BB"/>
    <w:rsid w:val="00B2044A"/>
    <w:rsid w:val="00B204CB"/>
    <w:rsid w:val="00B2247A"/>
    <w:rsid w:val="00B25A41"/>
    <w:rsid w:val="00B36551"/>
    <w:rsid w:val="00B3669E"/>
    <w:rsid w:val="00B36FB8"/>
    <w:rsid w:val="00B37EEF"/>
    <w:rsid w:val="00B40E38"/>
    <w:rsid w:val="00B44371"/>
    <w:rsid w:val="00B51ACE"/>
    <w:rsid w:val="00B55061"/>
    <w:rsid w:val="00B56FAE"/>
    <w:rsid w:val="00B623D7"/>
    <w:rsid w:val="00B66623"/>
    <w:rsid w:val="00B66E7A"/>
    <w:rsid w:val="00B70780"/>
    <w:rsid w:val="00B72927"/>
    <w:rsid w:val="00B734C6"/>
    <w:rsid w:val="00B80BD7"/>
    <w:rsid w:val="00B82706"/>
    <w:rsid w:val="00B84275"/>
    <w:rsid w:val="00B847F1"/>
    <w:rsid w:val="00B84B5A"/>
    <w:rsid w:val="00B9206A"/>
    <w:rsid w:val="00B95F9F"/>
    <w:rsid w:val="00B96C09"/>
    <w:rsid w:val="00BA1CFA"/>
    <w:rsid w:val="00BA1D21"/>
    <w:rsid w:val="00BA7603"/>
    <w:rsid w:val="00BB1D7B"/>
    <w:rsid w:val="00BB6CE4"/>
    <w:rsid w:val="00BB721B"/>
    <w:rsid w:val="00BC2E80"/>
    <w:rsid w:val="00BC3725"/>
    <w:rsid w:val="00BC4BF4"/>
    <w:rsid w:val="00BC5E96"/>
    <w:rsid w:val="00BC6340"/>
    <w:rsid w:val="00BC7ECB"/>
    <w:rsid w:val="00BE042D"/>
    <w:rsid w:val="00BE2048"/>
    <w:rsid w:val="00BE4802"/>
    <w:rsid w:val="00BE63AF"/>
    <w:rsid w:val="00BE6FA0"/>
    <w:rsid w:val="00BE7212"/>
    <w:rsid w:val="00BF0671"/>
    <w:rsid w:val="00BF331F"/>
    <w:rsid w:val="00BF4829"/>
    <w:rsid w:val="00BF5036"/>
    <w:rsid w:val="00BF6BCF"/>
    <w:rsid w:val="00BF73F4"/>
    <w:rsid w:val="00C011BF"/>
    <w:rsid w:val="00C024B8"/>
    <w:rsid w:val="00C046A4"/>
    <w:rsid w:val="00C05CC6"/>
    <w:rsid w:val="00C064C1"/>
    <w:rsid w:val="00C068C7"/>
    <w:rsid w:val="00C073C2"/>
    <w:rsid w:val="00C160F4"/>
    <w:rsid w:val="00C200BA"/>
    <w:rsid w:val="00C2120D"/>
    <w:rsid w:val="00C233E9"/>
    <w:rsid w:val="00C25018"/>
    <w:rsid w:val="00C255D1"/>
    <w:rsid w:val="00C26A3D"/>
    <w:rsid w:val="00C3022B"/>
    <w:rsid w:val="00C303B4"/>
    <w:rsid w:val="00C32A1C"/>
    <w:rsid w:val="00C40EBC"/>
    <w:rsid w:val="00C41FE1"/>
    <w:rsid w:val="00C4202E"/>
    <w:rsid w:val="00C42ACA"/>
    <w:rsid w:val="00C42BA5"/>
    <w:rsid w:val="00C4349A"/>
    <w:rsid w:val="00C47261"/>
    <w:rsid w:val="00C51308"/>
    <w:rsid w:val="00C52865"/>
    <w:rsid w:val="00C539F8"/>
    <w:rsid w:val="00C53A47"/>
    <w:rsid w:val="00C57BB9"/>
    <w:rsid w:val="00C61699"/>
    <w:rsid w:val="00C62B02"/>
    <w:rsid w:val="00C64908"/>
    <w:rsid w:val="00C65B20"/>
    <w:rsid w:val="00C67500"/>
    <w:rsid w:val="00C705B5"/>
    <w:rsid w:val="00C7093C"/>
    <w:rsid w:val="00C73658"/>
    <w:rsid w:val="00C738BD"/>
    <w:rsid w:val="00C75D40"/>
    <w:rsid w:val="00C80204"/>
    <w:rsid w:val="00C83627"/>
    <w:rsid w:val="00C8634F"/>
    <w:rsid w:val="00C876D9"/>
    <w:rsid w:val="00C929DB"/>
    <w:rsid w:val="00C92AFE"/>
    <w:rsid w:val="00C9405D"/>
    <w:rsid w:val="00C95D81"/>
    <w:rsid w:val="00C960AA"/>
    <w:rsid w:val="00CA121E"/>
    <w:rsid w:val="00CA501D"/>
    <w:rsid w:val="00CA529A"/>
    <w:rsid w:val="00CA55C4"/>
    <w:rsid w:val="00CB1789"/>
    <w:rsid w:val="00CB1CB2"/>
    <w:rsid w:val="00CB2557"/>
    <w:rsid w:val="00CB477A"/>
    <w:rsid w:val="00CB76EE"/>
    <w:rsid w:val="00CC2874"/>
    <w:rsid w:val="00CC39B1"/>
    <w:rsid w:val="00CD2F45"/>
    <w:rsid w:val="00CD3693"/>
    <w:rsid w:val="00CD526B"/>
    <w:rsid w:val="00CD5B93"/>
    <w:rsid w:val="00CD769B"/>
    <w:rsid w:val="00CE32BF"/>
    <w:rsid w:val="00CE51F6"/>
    <w:rsid w:val="00CF0826"/>
    <w:rsid w:val="00CF0D8A"/>
    <w:rsid w:val="00CF1839"/>
    <w:rsid w:val="00CF1D04"/>
    <w:rsid w:val="00CF267F"/>
    <w:rsid w:val="00CF2D02"/>
    <w:rsid w:val="00CF776B"/>
    <w:rsid w:val="00CF7DA0"/>
    <w:rsid w:val="00D00171"/>
    <w:rsid w:val="00D04614"/>
    <w:rsid w:val="00D13F30"/>
    <w:rsid w:val="00D14A2B"/>
    <w:rsid w:val="00D17144"/>
    <w:rsid w:val="00D171EC"/>
    <w:rsid w:val="00D1723F"/>
    <w:rsid w:val="00D25F16"/>
    <w:rsid w:val="00D26B64"/>
    <w:rsid w:val="00D27E00"/>
    <w:rsid w:val="00D30AA4"/>
    <w:rsid w:val="00D35894"/>
    <w:rsid w:val="00D36590"/>
    <w:rsid w:val="00D3674A"/>
    <w:rsid w:val="00D4085D"/>
    <w:rsid w:val="00D4437A"/>
    <w:rsid w:val="00D4479E"/>
    <w:rsid w:val="00D44887"/>
    <w:rsid w:val="00D470DD"/>
    <w:rsid w:val="00D478E1"/>
    <w:rsid w:val="00D51210"/>
    <w:rsid w:val="00D522D3"/>
    <w:rsid w:val="00D52914"/>
    <w:rsid w:val="00D53560"/>
    <w:rsid w:val="00D537FB"/>
    <w:rsid w:val="00D55F5C"/>
    <w:rsid w:val="00D5659F"/>
    <w:rsid w:val="00D5692F"/>
    <w:rsid w:val="00D57190"/>
    <w:rsid w:val="00D57346"/>
    <w:rsid w:val="00D61911"/>
    <w:rsid w:val="00D63E84"/>
    <w:rsid w:val="00D6667B"/>
    <w:rsid w:val="00D677F9"/>
    <w:rsid w:val="00D7319F"/>
    <w:rsid w:val="00D73591"/>
    <w:rsid w:val="00D802FC"/>
    <w:rsid w:val="00D84409"/>
    <w:rsid w:val="00D84A5B"/>
    <w:rsid w:val="00D84D4C"/>
    <w:rsid w:val="00D8532B"/>
    <w:rsid w:val="00D9402A"/>
    <w:rsid w:val="00D94BF1"/>
    <w:rsid w:val="00D973A5"/>
    <w:rsid w:val="00D97BB0"/>
    <w:rsid w:val="00DA126A"/>
    <w:rsid w:val="00DA1D33"/>
    <w:rsid w:val="00DA3AA7"/>
    <w:rsid w:val="00DA552B"/>
    <w:rsid w:val="00DA66B8"/>
    <w:rsid w:val="00DB1640"/>
    <w:rsid w:val="00DB4DA8"/>
    <w:rsid w:val="00DC50E5"/>
    <w:rsid w:val="00DC5109"/>
    <w:rsid w:val="00DC62A9"/>
    <w:rsid w:val="00DD093B"/>
    <w:rsid w:val="00DD0D43"/>
    <w:rsid w:val="00DD1898"/>
    <w:rsid w:val="00DD41FA"/>
    <w:rsid w:val="00DD57CD"/>
    <w:rsid w:val="00DE4A6C"/>
    <w:rsid w:val="00DE5673"/>
    <w:rsid w:val="00DE5A0C"/>
    <w:rsid w:val="00DE64C1"/>
    <w:rsid w:val="00DF2704"/>
    <w:rsid w:val="00DF68AC"/>
    <w:rsid w:val="00DF6A07"/>
    <w:rsid w:val="00E0263C"/>
    <w:rsid w:val="00E11ACC"/>
    <w:rsid w:val="00E13217"/>
    <w:rsid w:val="00E16388"/>
    <w:rsid w:val="00E20DE3"/>
    <w:rsid w:val="00E2118C"/>
    <w:rsid w:val="00E21E55"/>
    <w:rsid w:val="00E220BC"/>
    <w:rsid w:val="00E23352"/>
    <w:rsid w:val="00E24621"/>
    <w:rsid w:val="00E31BCF"/>
    <w:rsid w:val="00E32E94"/>
    <w:rsid w:val="00E33938"/>
    <w:rsid w:val="00E33F03"/>
    <w:rsid w:val="00E34AFB"/>
    <w:rsid w:val="00E34CCA"/>
    <w:rsid w:val="00E354D8"/>
    <w:rsid w:val="00E35B2F"/>
    <w:rsid w:val="00E35E39"/>
    <w:rsid w:val="00E3658A"/>
    <w:rsid w:val="00E3706A"/>
    <w:rsid w:val="00E3710E"/>
    <w:rsid w:val="00E3738B"/>
    <w:rsid w:val="00E37446"/>
    <w:rsid w:val="00E40205"/>
    <w:rsid w:val="00E4099E"/>
    <w:rsid w:val="00E42085"/>
    <w:rsid w:val="00E426B0"/>
    <w:rsid w:val="00E426E0"/>
    <w:rsid w:val="00E456AA"/>
    <w:rsid w:val="00E506BB"/>
    <w:rsid w:val="00E50963"/>
    <w:rsid w:val="00E51D1B"/>
    <w:rsid w:val="00E55D2D"/>
    <w:rsid w:val="00E56C3D"/>
    <w:rsid w:val="00E579FF"/>
    <w:rsid w:val="00E60780"/>
    <w:rsid w:val="00E63FC4"/>
    <w:rsid w:val="00E7195E"/>
    <w:rsid w:val="00E72F4A"/>
    <w:rsid w:val="00E73341"/>
    <w:rsid w:val="00E73FDA"/>
    <w:rsid w:val="00E752FD"/>
    <w:rsid w:val="00E82115"/>
    <w:rsid w:val="00E83448"/>
    <w:rsid w:val="00E836E7"/>
    <w:rsid w:val="00E92C8A"/>
    <w:rsid w:val="00E9334B"/>
    <w:rsid w:val="00E9346D"/>
    <w:rsid w:val="00E968F6"/>
    <w:rsid w:val="00EA12FC"/>
    <w:rsid w:val="00EA5409"/>
    <w:rsid w:val="00EA594C"/>
    <w:rsid w:val="00EB7EC9"/>
    <w:rsid w:val="00EB7EDA"/>
    <w:rsid w:val="00EC1046"/>
    <w:rsid w:val="00EC10EB"/>
    <w:rsid w:val="00EC5206"/>
    <w:rsid w:val="00EC5449"/>
    <w:rsid w:val="00EC56AD"/>
    <w:rsid w:val="00EC7F68"/>
    <w:rsid w:val="00ED0175"/>
    <w:rsid w:val="00ED036E"/>
    <w:rsid w:val="00ED0AC8"/>
    <w:rsid w:val="00ED1452"/>
    <w:rsid w:val="00ED249A"/>
    <w:rsid w:val="00ED4036"/>
    <w:rsid w:val="00ED4548"/>
    <w:rsid w:val="00ED6043"/>
    <w:rsid w:val="00ED665C"/>
    <w:rsid w:val="00EE2088"/>
    <w:rsid w:val="00EE2D31"/>
    <w:rsid w:val="00EE2E44"/>
    <w:rsid w:val="00EE2E92"/>
    <w:rsid w:val="00EE4B91"/>
    <w:rsid w:val="00EE554B"/>
    <w:rsid w:val="00EE57AC"/>
    <w:rsid w:val="00EE7F74"/>
    <w:rsid w:val="00EF04E8"/>
    <w:rsid w:val="00EF1B41"/>
    <w:rsid w:val="00EF2400"/>
    <w:rsid w:val="00EF56A7"/>
    <w:rsid w:val="00EF5F43"/>
    <w:rsid w:val="00EF72D4"/>
    <w:rsid w:val="00F04837"/>
    <w:rsid w:val="00F11A23"/>
    <w:rsid w:val="00F12ACD"/>
    <w:rsid w:val="00F1611B"/>
    <w:rsid w:val="00F16589"/>
    <w:rsid w:val="00F173BE"/>
    <w:rsid w:val="00F2068C"/>
    <w:rsid w:val="00F206C8"/>
    <w:rsid w:val="00F21B9D"/>
    <w:rsid w:val="00F26644"/>
    <w:rsid w:val="00F26F05"/>
    <w:rsid w:val="00F3245D"/>
    <w:rsid w:val="00F35317"/>
    <w:rsid w:val="00F35C0D"/>
    <w:rsid w:val="00F4377A"/>
    <w:rsid w:val="00F46237"/>
    <w:rsid w:val="00F47765"/>
    <w:rsid w:val="00F538AE"/>
    <w:rsid w:val="00F5512D"/>
    <w:rsid w:val="00F56568"/>
    <w:rsid w:val="00F6403E"/>
    <w:rsid w:val="00F65E00"/>
    <w:rsid w:val="00F73DEB"/>
    <w:rsid w:val="00F74B41"/>
    <w:rsid w:val="00F76C87"/>
    <w:rsid w:val="00F775CF"/>
    <w:rsid w:val="00F82D80"/>
    <w:rsid w:val="00F82F36"/>
    <w:rsid w:val="00F83909"/>
    <w:rsid w:val="00F83D17"/>
    <w:rsid w:val="00F86316"/>
    <w:rsid w:val="00F87F60"/>
    <w:rsid w:val="00F9063F"/>
    <w:rsid w:val="00F90838"/>
    <w:rsid w:val="00F953D3"/>
    <w:rsid w:val="00F95D26"/>
    <w:rsid w:val="00F979C5"/>
    <w:rsid w:val="00FA0CBF"/>
    <w:rsid w:val="00FA0E45"/>
    <w:rsid w:val="00FA1227"/>
    <w:rsid w:val="00FA480F"/>
    <w:rsid w:val="00FA529E"/>
    <w:rsid w:val="00FA64FD"/>
    <w:rsid w:val="00FB2DD9"/>
    <w:rsid w:val="00FB4200"/>
    <w:rsid w:val="00FB5750"/>
    <w:rsid w:val="00FB6A2E"/>
    <w:rsid w:val="00FD16D1"/>
    <w:rsid w:val="00FD4437"/>
    <w:rsid w:val="00FD550A"/>
    <w:rsid w:val="00FE28C5"/>
    <w:rsid w:val="00FE3088"/>
    <w:rsid w:val="00FE3214"/>
    <w:rsid w:val="00FE477B"/>
    <w:rsid w:val="00FE4A16"/>
    <w:rsid w:val="00FF2C8B"/>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A51F0D"/>
  <w14:defaultImageDpi w14:val="96"/>
  <w15:docId w15:val="{72C04DCF-904D-46AF-8677-C9D4F9A3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uiPriority="99"/>
    <w:lsdException w:name="toa heading" w:semiHidden="1" w:uiPriority="99"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tabs>
        <w:tab w:val="num" w:pos="1418"/>
      </w:tabs>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4"/>
      </w:numPr>
      <w:tabs>
        <w:tab w:val="clear" w:pos="2574"/>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 w:id="1036930922">
      <w:bodyDiv w:val="1"/>
      <w:marLeft w:val="0"/>
      <w:marRight w:val="0"/>
      <w:marTop w:val="0"/>
      <w:marBottom w:val="0"/>
      <w:divBdr>
        <w:top w:val="none" w:sz="0" w:space="0" w:color="auto"/>
        <w:left w:val="none" w:sz="0" w:space="0" w:color="auto"/>
        <w:bottom w:val="none" w:sz="0" w:space="0" w:color="auto"/>
        <w:right w:val="none" w:sz="0" w:space="0" w:color="auto"/>
      </w:divBdr>
    </w:div>
    <w:div w:id="1129662571">
      <w:bodyDiv w:val="1"/>
      <w:marLeft w:val="0"/>
      <w:marRight w:val="0"/>
      <w:marTop w:val="0"/>
      <w:marBottom w:val="0"/>
      <w:divBdr>
        <w:top w:val="none" w:sz="0" w:space="0" w:color="auto"/>
        <w:left w:val="none" w:sz="0" w:space="0" w:color="auto"/>
        <w:bottom w:val="none" w:sz="0" w:space="0" w:color="auto"/>
        <w:right w:val="none" w:sz="0" w:space="0" w:color="auto"/>
      </w:divBdr>
    </w:div>
    <w:div w:id="1287349657">
      <w:bodyDiv w:val="1"/>
      <w:marLeft w:val="0"/>
      <w:marRight w:val="0"/>
      <w:marTop w:val="0"/>
      <w:marBottom w:val="0"/>
      <w:divBdr>
        <w:top w:val="none" w:sz="0" w:space="0" w:color="auto"/>
        <w:left w:val="none" w:sz="0" w:space="0" w:color="auto"/>
        <w:bottom w:val="none" w:sz="0" w:space="0" w:color="auto"/>
        <w:right w:val="none" w:sz="0" w:space="0" w:color="auto"/>
      </w:divBdr>
    </w:div>
    <w:div w:id="19363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2020FG-64-88148</_dlc_DocId>
    <_dlc_DocIdUrl xmlns="0f563589-9cf9-4143-b1eb-fb0534803d38">
      <Url>http://tweb/sites/fg/csrd/_layouts/15/DocIdRedir.aspx?ID=2020FG-64-88148</Url>
      <Description>2020FG-64-88148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49B3-5AD8-44C9-8C35-97846A849E6A}">
  <ds:schemaRefs>
    <ds:schemaRef ds:uri="Microsoft.SharePoint.Taxonomy.ContentTypeSync"/>
  </ds:schemaRefs>
</ds:datastoreItem>
</file>

<file path=customXml/itemProps2.xml><?xml version="1.0" encoding="utf-8"?>
<ds:datastoreItem xmlns:ds="http://schemas.openxmlformats.org/officeDocument/2006/customXml" ds:itemID="{1F49BBBF-7777-4CDE-ACC6-BD5EB0B03E48}">
  <ds:schemaRefs>
    <ds:schemaRef ds:uri="http://schemas.microsoft.com/sharepoint/events"/>
  </ds:schemaRefs>
</ds:datastoreItem>
</file>

<file path=customXml/itemProps3.xml><?xml version="1.0" encoding="utf-8"?>
<ds:datastoreItem xmlns:ds="http://schemas.openxmlformats.org/officeDocument/2006/customXml" ds:itemID="{654A87FD-9605-419C-ADF6-851E627BEBE5}">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5.xml><?xml version="1.0" encoding="utf-8"?>
<ds:datastoreItem xmlns:ds="http://schemas.openxmlformats.org/officeDocument/2006/customXml" ds:itemID="{9A2BE3C2-C455-470C-9F23-4DB21280A953}">
  <ds:schemaRefs>
    <ds:schemaRef ds:uri="office.server.policy"/>
  </ds:schemaRefs>
</ds:datastoreItem>
</file>

<file path=customXml/itemProps6.xml><?xml version="1.0" encoding="utf-8"?>
<ds:datastoreItem xmlns:ds="http://schemas.openxmlformats.org/officeDocument/2006/customXml" ds:itemID="{1C5D6B5E-CCED-499F-92D6-A3AB517DBBEE}"/>
</file>

<file path=customXml/itemProps7.xml><?xml version="1.0" encoding="utf-8"?>
<ds:datastoreItem xmlns:ds="http://schemas.openxmlformats.org/officeDocument/2006/customXml" ds:itemID="{AE8F3034-0E7C-4855-A52B-90CEAEFB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0</TotalTime>
  <Pages>9</Pages>
  <Words>2611</Words>
  <Characters>14433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NP_Recycling Infrastructure final</vt:lpstr>
    </vt:vector>
  </TitlesOfParts>
  <Company>Australian Government - The Treasury</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NP_Recycling Infrastructure final</dc:title>
  <dc:creator>Council of Australian Governments</dc:creator>
  <cp:lastModifiedBy>Nieuwenhuize, Holly</cp:lastModifiedBy>
  <cp:revision>2</cp:revision>
  <cp:lastPrinted>2015-07-22T01:18:00Z</cp:lastPrinted>
  <dcterms:created xsi:type="dcterms:W3CDTF">2020-10-27T02:21:00Z</dcterms:created>
  <dcterms:modified xsi:type="dcterms:W3CDTF">2020-10-27T02:21:00Z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WorkflowType">
    <vt:lpwstr>ActiveSubmitStub</vt:lpwstr>
  </property>
  <property fmtid="{D5CDD505-2E9C-101B-9397-08002B2CF9AE}" pid="4" name="RecordPoint_ActiveItemSiteId">
    <vt:lpwstr>{a3a280d1-e8f1-4ce7-94f0-aaa2322da0dd}</vt:lpwstr>
  </property>
  <property fmtid="{D5CDD505-2E9C-101B-9397-08002B2CF9AE}" pid="5" name="RecordPoint_ActiveItemListId">
    <vt:lpwstr>{4435c73b-6585-4bc2-a76a-5d21b1a02e06}</vt:lpwstr>
  </property>
  <property fmtid="{D5CDD505-2E9C-101B-9397-08002B2CF9AE}" pid="6" name="RecordPoint_ActiveItemUniqueId">
    <vt:lpwstr>{02884641-1f9f-4ad5-966b-963813c4ef63}</vt:lpwstr>
  </property>
  <property fmtid="{D5CDD505-2E9C-101B-9397-08002B2CF9AE}" pid="7" name="RecordPoint_ActiveItemWebId">
    <vt:lpwstr>{a4589788-615f-4b8b-8296-7f9f6dfbab44}</vt:lpwstr>
  </property>
  <property fmtid="{D5CDD505-2E9C-101B-9397-08002B2CF9AE}" pid="8" name="_dlc_DocIdItemGuid">
    <vt:lpwstr>02884641-1f9f-4ad5-966b-963813c4ef63</vt:lpwstr>
  </property>
  <property fmtid="{D5CDD505-2E9C-101B-9397-08002B2CF9AE}" pid="9" name="TSYRecordClass">
    <vt:lpwstr>2;#TSY RA-8748 - Retain as national archives|243f2231-dbfc-4282-b24a-c9b768286bd0</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ies>
</file>