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AB67" w14:textId="49861DE5" w:rsidR="00014C52" w:rsidRDefault="005A0F61" w:rsidP="00014C52">
      <w:pPr>
        <w:pStyle w:val="Title"/>
        <w:ind w:left="-142"/>
        <w:jc w:val="right"/>
      </w:pPr>
      <w:bookmarkStart w:id="0" w:name="_GoBack"/>
      <w:bookmarkEnd w:id="0"/>
      <w:r w:rsidRPr="00E60023">
        <w:rPr>
          <w:rFonts w:cs="Corbel"/>
          <w:color w:val="800000"/>
          <w:sz w:val="36"/>
          <w:szCs w:val="36"/>
        </w:rPr>
        <w:t xml:space="preserve">Schedule </w:t>
      </w:r>
      <w:r w:rsidR="002F7600" w:rsidRPr="00E60023">
        <w:rPr>
          <w:rFonts w:cs="Corbel"/>
          <w:color w:val="800000"/>
          <w:sz w:val="36"/>
          <w:szCs w:val="36"/>
        </w:rPr>
        <w:t>A</w:t>
      </w:r>
    </w:p>
    <w:p w14:paraId="24526C61" w14:textId="7197917C" w:rsidR="00014C52" w:rsidRPr="00E60023" w:rsidRDefault="005A0F61" w:rsidP="00014C52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 w:rsidRPr="00E60023">
        <w:rPr>
          <w:rFonts w:ascii="Consolas" w:hAnsi="Consolas" w:cs="Consolas"/>
          <w:sz w:val="56"/>
          <w:szCs w:val="56"/>
        </w:rPr>
        <w:t>Queensland Northern Basin Toolkit Measures Proposal</w:t>
      </w:r>
      <w:r w:rsidR="00BD12A1" w:rsidRPr="00E60023">
        <w:rPr>
          <w:rFonts w:ascii="Consolas" w:hAnsi="Consolas" w:cs="Consolas"/>
          <w:sz w:val="56"/>
          <w:szCs w:val="56"/>
        </w:rPr>
        <w:t xml:space="preserve"> </w:t>
      </w:r>
      <w:r w:rsidR="00812764" w:rsidRPr="00E60023">
        <w:rPr>
          <w:rFonts w:ascii="Consolas" w:hAnsi="Consolas" w:cs="Consolas"/>
          <w:sz w:val="56"/>
          <w:szCs w:val="56"/>
        </w:rPr>
        <w:t>—</w:t>
      </w:r>
      <w:r w:rsidR="00BD12A1" w:rsidRPr="00E60023">
        <w:rPr>
          <w:rFonts w:ascii="Consolas" w:hAnsi="Consolas" w:cs="Consolas"/>
          <w:sz w:val="56"/>
          <w:szCs w:val="56"/>
        </w:rPr>
        <w:t xml:space="preserve"> </w:t>
      </w:r>
      <w:r w:rsidR="00B36C6A" w:rsidRPr="00E60023">
        <w:rPr>
          <w:rFonts w:ascii="Consolas" w:hAnsi="Consolas" w:cs="Consolas"/>
          <w:sz w:val="56"/>
          <w:szCs w:val="56"/>
        </w:rPr>
        <w:t xml:space="preserve">Feasibility </w:t>
      </w:r>
      <w:r w:rsidR="00A44F19" w:rsidRPr="00E60023">
        <w:rPr>
          <w:rFonts w:ascii="Consolas" w:hAnsi="Consolas" w:cs="Consolas"/>
          <w:sz w:val="56"/>
          <w:szCs w:val="56"/>
        </w:rPr>
        <w:t>Activities</w:t>
      </w:r>
    </w:p>
    <w:p w14:paraId="0914968A" w14:textId="7761B196" w:rsidR="00014C52" w:rsidRPr="00E60023" w:rsidRDefault="005A0F61" w:rsidP="00014C52">
      <w:pPr>
        <w:pStyle w:val="Subtitle"/>
        <w:spacing w:before="240" w:after="480"/>
      </w:pPr>
      <w:r w:rsidRPr="00E60023">
        <w:t xml:space="preserve">Project SCHEDULE FOR </w:t>
      </w:r>
      <w:r w:rsidR="00C0634D" w:rsidRPr="00E60023">
        <w:t>Queens</w:t>
      </w:r>
      <w:r w:rsidR="00A8573F" w:rsidRPr="00E60023">
        <w:t>land northern basin toolkit mea</w:t>
      </w:r>
      <w:r w:rsidR="00C0634D" w:rsidRPr="00E60023">
        <w:t>s</w:t>
      </w:r>
      <w:r w:rsidR="00A8573F" w:rsidRPr="00E60023">
        <w:t>u</w:t>
      </w:r>
      <w:r w:rsidR="00C0634D" w:rsidRPr="00E60023">
        <w:t>res proposal</w:t>
      </w:r>
    </w:p>
    <w:p w14:paraId="75DFE2AD" w14:textId="6BBED833" w:rsidR="00014C52" w:rsidRPr="00E60023" w:rsidRDefault="005A0F61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This </w:t>
      </w:r>
      <w:r w:rsidR="00C2287E" w:rsidRPr="00E60023">
        <w:rPr>
          <w:rFonts w:ascii="Corbel" w:hAnsi="Corbel"/>
        </w:rPr>
        <w:t>S</w:t>
      </w:r>
      <w:r w:rsidRPr="00E60023">
        <w:rPr>
          <w:rFonts w:ascii="Corbel" w:hAnsi="Corbel"/>
        </w:rPr>
        <w:t xml:space="preserve">chedule has been developed consistent with the Project Agreement for </w:t>
      </w:r>
      <w:r w:rsidR="007310A4" w:rsidRPr="00E60023">
        <w:rPr>
          <w:rFonts w:ascii="Corbel" w:hAnsi="Corbel"/>
        </w:rPr>
        <w:t>Delivery of Environmental Measures</w:t>
      </w:r>
      <w:r w:rsidRPr="00E60023">
        <w:rPr>
          <w:rFonts w:ascii="Corbel" w:hAnsi="Corbel"/>
        </w:rPr>
        <w:t xml:space="preserve"> in Northern Murray-Darling Basin</w:t>
      </w:r>
      <w:r w:rsidR="00812764" w:rsidRPr="00E60023">
        <w:rPr>
          <w:rFonts w:ascii="Corbel" w:hAnsi="Corbel"/>
        </w:rPr>
        <w:t xml:space="preserve"> (the Agreement)</w:t>
      </w:r>
      <w:r w:rsidRPr="00E60023">
        <w:rPr>
          <w:rFonts w:ascii="Corbel" w:hAnsi="Corbel"/>
        </w:rPr>
        <w:t>.</w:t>
      </w:r>
    </w:p>
    <w:p w14:paraId="2908100B" w14:textId="5EB52AB8" w:rsidR="00A44F19" w:rsidRPr="00E60023" w:rsidRDefault="005A0F61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In accordance with the Agreement and this Schedule, </w:t>
      </w:r>
      <w:r w:rsidR="00105610" w:rsidRPr="00E60023">
        <w:rPr>
          <w:rFonts w:ascii="Corbel" w:hAnsi="Corbel"/>
        </w:rPr>
        <w:t xml:space="preserve">Queensland will </w:t>
      </w:r>
      <w:r w:rsidR="00D27E93" w:rsidRPr="00E60023">
        <w:rPr>
          <w:rFonts w:ascii="Corbel" w:hAnsi="Corbel"/>
        </w:rPr>
        <w:t>undertake feasibility activities</w:t>
      </w:r>
      <w:r w:rsidRPr="00E60023">
        <w:rPr>
          <w:rFonts w:ascii="Corbel" w:hAnsi="Corbel"/>
        </w:rPr>
        <w:t xml:space="preserve"> which will</w:t>
      </w:r>
      <w:r w:rsidR="00D27E93" w:rsidRPr="00E60023">
        <w:rPr>
          <w:rFonts w:ascii="Corbel" w:hAnsi="Corbel"/>
        </w:rPr>
        <w:t xml:space="preserve"> </w:t>
      </w:r>
      <w:r w:rsidRPr="00E60023">
        <w:rPr>
          <w:rFonts w:ascii="Corbel" w:hAnsi="Corbel"/>
        </w:rPr>
        <w:t>include:</w:t>
      </w:r>
    </w:p>
    <w:p w14:paraId="355C3FF4" w14:textId="0FB680CF" w:rsidR="00A44F19" w:rsidRPr="00E60023" w:rsidRDefault="005A0F61" w:rsidP="00A44F19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identifying and investigating potential projects which could be proposed for business case funding under the Toolkit; </w:t>
      </w:r>
      <w:r w:rsidR="00956346" w:rsidRPr="00E60023">
        <w:rPr>
          <w:rFonts w:ascii="Corbel" w:hAnsi="Corbel"/>
        </w:rPr>
        <w:t>and</w:t>
      </w:r>
    </w:p>
    <w:p w14:paraId="2F0E31D5" w14:textId="6094B12F" w:rsidR="00A44F19" w:rsidRPr="00E60023" w:rsidRDefault="005A0F61" w:rsidP="00C75BE5">
      <w:pPr>
        <w:pStyle w:val="Normalnumbered"/>
        <w:numPr>
          <w:ilvl w:val="1"/>
          <w:numId w:val="1"/>
        </w:numPr>
        <w:tabs>
          <w:tab w:val="clear" w:pos="1440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E60023">
        <w:rPr>
          <w:rFonts w:ascii="Corbel" w:hAnsi="Corbel"/>
        </w:rPr>
        <w:t>develop</w:t>
      </w:r>
      <w:r w:rsidR="00D27E93" w:rsidRPr="00E60023">
        <w:rPr>
          <w:rFonts w:ascii="Corbel" w:hAnsi="Corbel"/>
        </w:rPr>
        <w:t>ing</w:t>
      </w:r>
      <w:r w:rsidR="00BB462D" w:rsidRPr="00E60023">
        <w:rPr>
          <w:rFonts w:ascii="Corbel" w:hAnsi="Corbel"/>
        </w:rPr>
        <w:t xml:space="preserve"> and submitting</w:t>
      </w:r>
      <w:r w:rsidRPr="00E60023">
        <w:rPr>
          <w:rFonts w:ascii="Corbel" w:hAnsi="Corbel"/>
        </w:rPr>
        <w:t xml:space="preserve"> feasibility proposals for projects which Queensland wants the Commonwealth to consider for business case fun</w:t>
      </w:r>
      <w:r w:rsidRPr="00E60023">
        <w:rPr>
          <w:rFonts w:ascii="Corbel" w:hAnsi="Corbel"/>
        </w:rPr>
        <w:t>ding under the Toolkit</w:t>
      </w:r>
      <w:r w:rsidR="00BB462D" w:rsidRPr="00E60023">
        <w:rPr>
          <w:rFonts w:ascii="Corbel" w:hAnsi="Corbel"/>
        </w:rPr>
        <w:t>.</w:t>
      </w:r>
    </w:p>
    <w:p w14:paraId="4E9A8913" w14:textId="56C28CC7" w:rsidR="00A44F19" w:rsidRPr="00E60023" w:rsidRDefault="005A0F61" w:rsidP="00A44F19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In undertaking the feasibility activities, </w:t>
      </w:r>
      <w:r w:rsidR="00C75BE5" w:rsidRPr="00E60023">
        <w:rPr>
          <w:rFonts w:ascii="Corbel" w:hAnsi="Corbel"/>
        </w:rPr>
        <w:t>Queensland</w:t>
      </w:r>
      <w:r w:rsidRPr="00E60023">
        <w:rPr>
          <w:rFonts w:ascii="Corbel" w:hAnsi="Corbel"/>
        </w:rPr>
        <w:t xml:space="preserve"> will ensure that any feasibility proposals provided to the Commonwealth for consideration includes sufficient information to enable the Commonwealth to make a sound and defensibl</w:t>
      </w:r>
      <w:r w:rsidRPr="00E60023">
        <w:rPr>
          <w:rFonts w:ascii="Corbel" w:hAnsi="Corbel"/>
        </w:rPr>
        <w:t xml:space="preserve">e decision on whether to provide business case funding for the </w:t>
      </w:r>
      <w:r w:rsidR="00E77B24" w:rsidRPr="00E60023">
        <w:rPr>
          <w:rFonts w:ascii="Corbel" w:hAnsi="Corbel"/>
        </w:rPr>
        <w:t xml:space="preserve">relevant </w:t>
      </w:r>
      <w:r w:rsidRPr="00E60023">
        <w:rPr>
          <w:rFonts w:ascii="Corbel" w:hAnsi="Corbel"/>
        </w:rPr>
        <w:t>pr</w:t>
      </w:r>
      <w:r w:rsidR="00E77B24" w:rsidRPr="00E60023">
        <w:rPr>
          <w:rFonts w:ascii="Corbel" w:hAnsi="Corbel"/>
        </w:rPr>
        <w:t>oposals</w:t>
      </w:r>
      <w:r w:rsidRPr="00E60023">
        <w:rPr>
          <w:rFonts w:ascii="Corbel" w:hAnsi="Corbel"/>
        </w:rPr>
        <w:t>, and in this respect, enable the following assessments to be undertaken:</w:t>
      </w:r>
    </w:p>
    <w:p w14:paraId="19898FCC" w14:textId="082D7C7D" w:rsidR="00A44F19" w:rsidRPr="00E60023" w:rsidRDefault="005A0F61" w:rsidP="00A44F19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E60023">
        <w:rPr>
          <w:rFonts w:ascii="Corbel" w:hAnsi="Corbel"/>
        </w:rPr>
        <w:t>a prioritisation assessment using the Northern Basin Toolkit Ecological Prioritisation Framework,</w:t>
      </w:r>
      <w:r w:rsidR="00E77B24" w:rsidRPr="00E60023">
        <w:rPr>
          <w:rFonts w:ascii="Corbel" w:hAnsi="Corbel"/>
        </w:rPr>
        <w:t xml:space="preserve"> </w:t>
      </w:r>
      <w:r w:rsidR="003541A8" w:rsidRPr="00E60023">
        <w:rPr>
          <w:rFonts w:ascii="Corbel" w:hAnsi="Corbel"/>
        </w:rPr>
        <w:t>which was endorsed by the Basin Officials Committee in May 2019</w:t>
      </w:r>
      <w:r w:rsidR="00E77B24" w:rsidRPr="00E60023">
        <w:rPr>
          <w:rFonts w:ascii="Corbel" w:hAnsi="Corbel"/>
        </w:rPr>
        <w:t>; and</w:t>
      </w:r>
    </w:p>
    <w:p w14:paraId="4D5E3C2E" w14:textId="4C6781F1" w:rsidR="00A44F19" w:rsidRPr="00E60023" w:rsidRDefault="005A0F61" w:rsidP="00A44F19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 w:rsidRPr="00E60023">
        <w:rPr>
          <w:rFonts w:ascii="Corbel" w:hAnsi="Corbel"/>
        </w:rPr>
        <w:t>a value for money assessment.</w:t>
      </w:r>
    </w:p>
    <w:p w14:paraId="77B39365" w14:textId="4F654167" w:rsidR="007C64A9" w:rsidRPr="006D407C" w:rsidRDefault="005A0F61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AA5B2A">
        <w:rPr>
          <w:rFonts w:ascii="Corbel" w:hAnsi="Corbel"/>
        </w:rPr>
        <w:t>Queensland will engage</w:t>
      </w:r>
      <w:r w:rsidR="00C75BE5">
        <w:rPr>
          <w:rFonts w:ascii="Corbel" w:hAnsi="Corbel"/>
        </w:rPr>
        <w:t xml:space="preserve"> </w:t>
      </w:r>
      <w:r w:rsidR="00956346">
        <w:rPr>
          <w:rFonts w:ascii="Corbel" w:hAnsi="Corbel"/>
        </w:rPr>
        <w:t>one or more</w:t>
      </w:r>
      <w:r w:rsidR="00956346" w:rsidRPr="00AA5B2A">
        <w:rPr>
          <w:rFonts w:ascii="Corbel" w:hAnsi="Corbel"/>
        </w:rPr>
        <w:t xml:space="preserve"> </w:t>
      </w:r>
      <w:r w:rsidR="00C75BE5">
        <w:rPr>
          <w:rFonts w:ascii="Corbel" w:hAnsi="Corbel"/>
        </w:rPr>
        <w:t>consultant</w:t>
      </w:r>
      <w:r w:rsidR="00956346">
        <w:rPr>
          <w:rFonts w:ascii="Corbel" w:hAnsi="Corbel"/>
        </w:rPr>
        <w:t>s or third parties</w:t>
      </w:r>
      <w:r w:rsidRPr="00AA5B2A">
        <w:rPr>
          <w:rFonts w:ascii="Corbel" w:hAnsi="Corbel"/>
        </w:rPr>
        <w:t xml:space="preserve"> to </w:t>
      </w:r>
      <w:r w:rsidR="00ED77DB">
        <w:rPr>
          <w:rFonts w:ascii="Corbel" w:hAnsi="Corbel"/>
        </w:rPr>
        <w:t>investigate</w:t>
      </w:r>
      <w:r w:rsidRPr="00AA5B2A">
        <w:rPr>
          <w:rFonts w:ascii="Corbel" w:hAnsi="Corbel"/>
        </w:rPr>
        <w:t xml:space="preserve"> a suite of potential projects</w:t>
      </w:r>
      <w:r w:rsidR="006B51C9">
        <w:rPr>
          <w:rFonts w:ascii="Corbel" w:hAnsi="Corbel"/>
        </w:rPr>
        <w:t xml:space="preserve"> and</w:t>
      </w:r>
      <w:r w:rsidR="00FE09BE">
        <w:rPr>
          <w:rFonts w:ascii="Corbel" w:hAnsi="Corbel"/>
        </w:rPr>
        <w:t>,</w:t>
      </w:r>
      <w:r w:rsidR="006B51C9">
        <w:rPr>
          <w:rFonts w:ascii="Corbel" w:hAnsi="Corbel"/>
        </w:rPr>
        <w:t xml:space="preserve"> </w:t>
      </w:r>
      <w:r w:rsidR="00FE09BE">
        <w:rPr>
          <w:rFonts w:ascii="Corbel" w:hAnsi="Corbel"/>
        </w:rPr>
        <w:t xml:space="preserve">where appropriate, </w:t>
      </w:r>
      <w:r w:rsidR="006B51C9">
        <w:rPr>
          <w:rFonts w:ascii="Corbel" w:hAnsi="Corbel"/>
        </w:rPr>
        <w:t>develop</w:t>
      </w:r>
      <w:r w:rsidR="00FE09BE">
        <w:rPr>
          <w:rFonts w:ascii="Corbel" w:hAnsi="Corbel"/>
        </w:rPr>
        <w:t xml:space="preserve"> </w:t>
      </w:r>
      <w:r w:rsidR="00956346">
        <w:rPr>
          <w:rFonts w:ascii="Corbel" w:hAnsi="Corbel"/>
        </w:rPr>
        <w:t xml:space="preserve">project </w:t>
      </w:r>
      <w:r w:rsidR="006B51C9">
        <w:rPr>
          <w:rFonts w:ascii="Corbel" w:hAnsi="Corbel"/>
        </w:rPr>
        <w:t>proposals</w:t>
      </w:r>
      <w:r w:rsidR="00956346">
        <w:rPr>
          <w:rFonts w:ascii="Corbel" w:hAnsi="Corbel"/>
        </w:rPr>
        <w:t xml:space="preserve"> for assessment</w:t>
      </w:r>
      <w:r w:rsidR="00A44F19">
        <w:rPr>
          <w:rFonts w:ascii="Corbel" w:hAnsi="Corbel"/>
        </w:rPr>
        <w:t xml:space="preserve">, covering the following </w:t>
      </w:r>
      <w:r w:rsidRPr="00AA5B2A">
        <w:rPr>
          <w:rFonts w:ascii="Corbel" w:hAnsi="Corbel"/>
        </w:rPr>
        <w:t xml:space="preserve">seven </w:t>
      </w:r>
      <w:r w:rsidRPr="006D407C">
        <w:rPr>
          <w:rFonts w:ascii="Corbel" w:hAnsi="Corbel"/>
        </w:rPr>
        <w:t>themes</w:t>
      </w:r>
      <w:r w:rsidR="00F2076F" w:rsidRPr="006D407C">
        <w:rPr>
          <w:rFonts w:ascii="Corbel" w:hAnsi="Corbel"/>
        </w:rPr>
        <w:t xml:space="preserve"> </w:t>
      </w:r>
      <w:r w:rsidR="00F2076F" w:rsidRPr="003308E2">
        <w:rPr>
          <w:rFonts w:ascii="Corbel" w:hAnsi="Corbel"/>
        </w:rPr>
        <w:t>(unless otherwise agreed)</w:t>
      </w:r>
      <w:r w:rsidRPr="003308E2">
        <w:rPr>
          <w:rFonts w:ascii="Corbel" w:hAnsi="Corbel"/>
        </w:rPr>
        <w:t>:</w:t>
      </w:r>
    </w:p>
    <w:p w14:paraId="3F2A9043" w14:textId="599E7006" w:rsidR="007C64A9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r</w:t>
      </w:r>
      <w:r w:rsidRPr="00AA5B2A">
        <w:rPr>
          <w:rFonts w:ascii="Corbel" w:hAnsi="Corbel"/>
        </w:rPr>
        <w:t xml:space="preserve">educing priority barriers </w:t>
      </w:r>
      <w:r w:rsidR="00AA5B2A">
        <w:rPr>
          <w:rFonts w:ascii="Corbel" w:hAnsi="Corbel"/>
        </w:rPr>
        <w:t>to fish passage across the Quee</w:t>
      </w:r>
      <w:r w:rsidRPr="00AA5B2A">
        <w:rPr>
          <w:rFonts w:ascii="Corbel" w:hAnsi="Corbel"/>
        </w:rPr>
        <w:t>n</w:t>
      </w:r>
      <w:r w:rsidR="00AA5B2A">
        <w:rPr>
          <w:rFonts w:ascii="Corbel" w:hAnsi="Corbel"/>
        </w:rPr>
        <w:t>s</w:t>
      </w:r>
      <w:r w:rsidRPr="00AA5B2A">
        <w:rPr>
          <w:rFonts w:ascii="Corbel" w:hAnsi="Corbel"/>
        </w:rPr>
        <w:t>land Murray-Darling Basin</w:t>
      </w:r>
      <w:r w:rsidR="00BB462D">
        <w:rPr>
          <w:rFonts w:ascii="Corbel" w:hAnsi="Corbel"/>
        </w:rPr>
        <w:t>;</w:t>
      </w:r>
    </w:p>
    <w:p w14:paraId="5EED3CDE" w14:textId="6268418B" w:rsidR="007C64A9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a</w:t>
      </w:r>
      <w:r w:rsidRPr="00AA5B2A">
        <w:rPr>
          <w:rFonts w:ascii="Corbel" w:hAnsi="Corbel"/>
        </w:rPr>
        <w:t>ddressing cold water pollution in the Border Rivers</w:t>
      </w:r>
      <w:r w:rsidR="00BB462D">
        <w:rPr>
          <w:rFonts w:ascii="Corbel" w:hAnsi="Corbel"/>
        </w:rPr>
        <w:t>;</w:t>
      </w:r>
    </w:p>
    <w:p w14:paraId="4E450B61" w14:textId="339FB5C8" w:rsidR="007C64A9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r</w:t>
      </w:r>
      <w:r w:rsidRPr="00AA5B2A">
        <w:rPr>
          <w:rFonts w:ascii="Corbel" w:hAnsi="Corbel"/>
        </w:rPr>
        <w:t>estoring priority riverine and rip</w:t>
      </w:r>
      <w:r w:rsidRPr="00AA5B2A">
        <w:rPr>
          <w:rFonts w:ascii="Corbel" w:hAnsi="Corbel"/>
        </w:rPr>
        <w:t>arian habitat</w:t>
      </w:r>
      <w:r w:rsidR="00BB462D">
        <w:rPr>
          <w:rFonts w:ascii="Corbel" w:hAnsi="Corbel"/>
        </w:rPr>
        <w:t>;</w:t>
      </w:r>
    </w:p>
    <w:p w14:paraId="49D2764F" w14:textId="50A3E386" w:rsidR="007C64A9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r</w:t>
      </w:r>
      <w:r w:rsidRPr="00AA5B2A">
        <w:rPr>
          <w:rFonts w:ascii="Corbel" w:hAnsi="Corbel"/>
        </w:rPr>
        <w:t>e-establishing threatened native fish species</w:t>
      </w:r>
      <w:r w:rsidR="00BB462D">
        <w:rPr>
          <w:rFonts w:ascii="Corbel" w:hAnsi="Corbel"/>
        </w:rPr>
        <w:t>;</w:t>
      </w:r>
    </w:p>
    <w:p w14:paraId="2A118805" w14:textId="0716C0D4" w:rsidR="007C64A9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f</w:t>
      </w:r>
      <w:r w:rsidRPr="00AA5B2A">
        <w:rPr>
          <w:rFonts w:ascii="Corbel" w:hAnsi="Corbel"/>
        </w:rPr>
        <w:t xml:space="preserve">ish-friendly water extraction </w:t>
      </w:r>
      <w:r w:rsidR="00AA5B2A" w:rsidRPr="00AA5B2A">
        <w:rPr>
          <w:rFonts w:ascii="Corbel" w:hAnsi="Corbel"/>
        </w:rPr>
        <w:t>(pump screening)</w:t>
      </w:r>
      <w:r w:rsidR="00BB462D">
        <w:rPr>
          <w:rFonts w:ascii="Corbel" w:hAnsi="Corbel"/>
        </w:rPr>
        <w:t>;</w:t>
      </w:r>
    </w:p>
    <w:p w14:paraId="7D9C010D" w14:textId="2E2D488C" w:rsidR="00AA5B2A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m</w:t>
      </w:r>
      <w:r w:rsidRPr="00AA5B2A">
        <w:rPr>
          <w:rFonts w:ascii="Corbel" w:hAnsi="Corbel"/>
        </w:rPr>
        <w:t>odification of Bi-furcation weirs in the Lower Balonne</w:t>
      </w:r>
      <w:r w:rsidR="00BB462D">
        <w:rPr>
          <w:rFonts w:ascii="Corbel" w:hAnsi="Corbel"/>
        </w:rPr>
        <w:t>; and</w:t>
      </w:r>
    </w:p>
    <w:p w14:paraId="64E15CBC" w14:textId="5EC84870" w:rsid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hanging="1014"/>
        <w:jc w:val="both"/>
        <w:rPr>
          <w:rFonts w:ascii="Corbel" w:hAnsi="Corbel"/>
        </w:rPr>
      </w:pPr>
      <w:r>
        <w:rPr>
          <w:rFonts w:ascii="Corbel" w:hAnsi="Corbel"/>
        </w:rPr>
        <w:t>i</w:t>
      </w:r>
      <w:r w:rsidRPr="00AA5B2A">
        <w:rPr>
          <w:rFonts w:ascii="Corbel" w:hAnsi="Corbel"/>
        </w:rPr>
        <w:t>mproving cross-border environmental water accounting arrangements.</w:t>
      </w:r>
    </w:p>
    <w:p w14:paraId="34AF92CE" w14:textId="098AA8B4" w:rsidR="00D27E93" w:rsidRPr="0037215D" w:rsidRDefault="005A0F61" w:rsidP="00BB462D">
      <w:pPr>
        <w:pStyle w:val="Normalnumbered"/>
        <w:numPr>
          <w:ilvl w:val="0"/>
          <w:numId w:val="1"/>
        </w:numPr>
        <w:tabs>
          <w:tab w:val="clear" w:pos="567"/>
          <w:tab w:val="num" w:pos="284"/>
          <w:tab w:val="num" w:pos="993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37215D">
        <w:rPr>
          <w:rFonts w:ascii="Corbel" w:hAnsi="Corbel"/>
        </w:rPr>
        <w:t>Queensland will</w:t>
      </w:r>
      <w:r w:rsidRPr="0037215D">
        <w:rPr>
          <w:rFonts w:ascii="Corbel" w:hAnsi="Corbel"/>
        </w:rPr>
        <w:t xml:space="preserve"> ensure that any investigations relating to the themes referred</w:t>
      </w:r>
      <w:r w:rsidR="002B364E">
        <w:rPr>
          <w:rFonts w:ascii="Corbel" w:hAnsi="Corbel"/>
        </w:rPr>
        <w:t xml:space="preserve"> to involves</w:t>
      </w:r>
      <w:r w:rsidRPr="0037215D">
        <w:rPr>
          <w:rFonts w:ascii="Corbel" w:hAnsi="Corbel"/>
        </w:rPr>
        <w:t>:</w:t>
      </w:r>
    </w:p>
    <w:p w14:paraId="3A3A66E7" w14:textId="523A9E2B" w:rsidR="002B364E" w:rsidRPr="002B364E" w:rsidRDefault="005A0F61" w:rsidP="002B364E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>d</w:t>
      </w:r>
      <w:r w:rsidRPr="002B364E">
        <w:rPr>
          <w:rFonts w:ascii="Corbel" w:hAnsi="Corbel"/>
        </w:rPr>
        <w:t>esktop and literature reviews to compile and assess information and identify options</w:t>
      </w:r>
      <w:r>
        <w:rPr>
          <w:rFonts w:ascii="Corbel" w:hAnsi="Corbel"/>
        </w:rPr>
        <w:t>;</w:t>
      </w:r>
    </w:p>
    <w:p w14:paraId="4E9FC200" w14:textId="3896E6A2" w:rsidR="00D27E93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for </w:t>
      </w:r>
      <w:r w:rsidR="00E06AF7">
        <w:rPr>
          <w:rFonts w:ascii="Corbel" w:hAnsi="Corbel"/>
        </w:rPr>
        <w:t>item 4</w:t>
      </w:r>
      <w:r>
        <w:rPr>
          <w:rFonts w:ascii="Corbel" w:hAnsi="Corbel"/>
        </w:rPr>
        <w:t xml:space="preserve"> (a) to (f)</w:t>
      </w:r>
      <w:r w:rsidRPr="00AA5B2A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above, </w:t>
      </w:r>
      <w:r w:rsidRPr="002B364E">
        <w:rPr>
          <w:rFonts w:ascii="Corbel" w:hAnsi="Corbel"/>
        </w:rPr>
        <w:t xml:space="preserve">two workshops with technical and policy experts and </w:t>
      </w:r>
      <w:r w:rsidRPr="002B364E">
        <w:rPr>
          <w:rFonts w:ascii="Corbel" w:hAnsi="Corbel"/>
        </w:rPr>
        <w:t>stakeholders to identify projects</w:t>
      </w:r>
      <w:r>
        <w:rPr>
          <w:rFonts w:ascii="Corbel" w:hAnsi="Corbel"/>
        </w:rPr>
        <w:t>;</w:t>
      </w:r>
    </w:p>
    <w:p w14:paraId="61E259AF" w14:textId="317C0F05" w:rsidR="00D27E93" w:rsidRPr="00AA5B2A" w:rsidRDefault="005A0F61" w:rsidP="00BB462D">
      <w:pPr>
        <w:pStyle w:val="Normalnumbered"/>
        <w:numPr>
          <w:ilvl w:val="1"/>
          <w:numId w:val="1"/>
        </w:numPr>
        <w:tabs>
          <w:tab w:val="clear" w:pos="1440"/>
          <w:tab w:val="num" w:pos="993"/>
        </w:tabs>
        <w:spacing w:after="240" w:line="260" w:lineRule="exact"/>
        <w:ind w:left="993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for </w:t>
      </w:r>
      <w:r w:rsidR="00E06AF7">
        <w:rPr>
          <w:rFonts w:ascii="Corbel" w:hAnsi="Corbel"/>
        </w:rPr>
        <w:t>item</w:t>
      </w:r>
      <w:r>
        <w:rPr>
          <w:rFonts w:ascii="Corbel" w:hAnsi="Corbel"/>
        </w:rPr>
        <w:t xml:space="preserve"> </w:t>
      </w:r>
      <w:r w:rsidR="00E06AF7">
        <w:rPr>
          <w:rFonts w:ascii="Corbel" w:hAnsi="Corbel"/>
        </w:rPr>
        <w:t>4</w:t>
      </w:r>
      <w:r>
        <w:rPr>
          <w:rFonts w:ascii="Corbel" w:hAnsi="Corbel"/>
        </w:rPr>
        <w:t xml:space="preserve">(g) above, </w:t>
      </w:r>
      <w:r w:rsidR="00E06AF7">
        <w:rPr>
          <w:rFonts w:ascii="Corbel" w:hAnsi="Corbel"/>
        </w:rPr>
        <w:t>a</w:t>
      </w:r>
      <w:r>
        <w:rPr>
          <w:rFonts w:ascii="Corbel" w:hAnsi="Corbel"/>
        </w:rPr>
        <w:t xml:space="preserve"> review</w:t>
      </w:r>
      <w:r w:rsidR="00E06AF7">
        <w:rPr>
          <w:rFonts w:ascii="Corbel" w:hAnsi="Corbel"/>
        </w:rPr>
        <w:t xml:space="preserve"> of</w:t>
      </w:r>
      <w:r>
        <w:rPr>
          <w:rFonts w:ascii="Corbel" w:hAnsi="Corbel"/>
        </w:rPr>
        <w:t xml:space="preserve"> environmental water accounting practices, constraints and opportunities as necessary to support development of a rigorous and transparent accounting method to calculate the contribution of</w:t>
      </w:r>
      <w:r>
        <w:rPr>
          <w:rFonts w:ascii="Corbel" w:hAnsi="Corbel"/>
        </w:rPr>
        <w:t xml:space="preserve"> held environmental water crossing the Queensland-NSW border and timing of contributions, as well as supporting operating protocols and procedures and preferred institutional arrangements.</w:t>
      </w:r>
    </w:p>
    <w:p w14:paraId="439766B1" w14:textId="3F553CB5" w:rsidR="00B772A6" w:rsidRPr="00E60023" w:rsidRDefault="005A0F61" w:rsidP="00D86A26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>Queensland is expected to complete the feasibility activities, incl</w:t>
      </w:r>
      <w:r w:rsidRPr="00E60023">
        <w:rPr>
          <w:rFonts w:ascii="Corbel" w:hAnsi="Corbel"/>
        </w:rPr>
        <w:t xml:space="preserve">uding the milestone specified in Table 1 </w:t>
      </w:r>
      <w:r w:rsidR="0051367E" w:rsidRPr="00E60023">
        <w:rPr>
          <w:rFonts w:ascii="Corbel" w:hAnsi="Corbel"/>
        </w:rPr>
        <w:t>in accordance with the requirements set out in Table 1</w:t>
      </w:r>
      <w:r w:rsidR="00E77B24" w:rsidRPr="00E60023">
        <w:rPr>
          <w:rFonts w:ascii="Corbel" w:hAnsi="Corbel"/>
        </w:rPr>
        <w:t>.</w:t>
      </w:r>
    </w:p>
    <w:p w14:paraId="224B5F28" w14:textId="48E59112" w:rsidR="0059491A" w:rsidRPr="00E60023" w:rsidRDefault="005A0F61" w:rsidP="0059491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>If the Commonwealth decides</w:t>
      </w:r>
      <w:r w:rsidR="00812764" w:rsidRPr="00E60023">
        <w:rPr>
          <w:rFonts w:ascii="Corbel" w:hAnsi="Corbel"/>
        </w:rPr>
        <w:t xml:space="preserve"> to</w:t>
      </w:r>
      <w:r w:rsidRPr="00E60023">
        <w:rPr>
          <w:rFonts w:ascii="Corbel" w:hAnsi="Corbel"/>
        </w:rPr>
        <w:t xml:space="preserve"> </w:t>
      </w:r>
      <w:r w:rsidR="00FE09BE" w:rsidRPr="00E60023">
        <w:rPr>
          <w:rFonts w:ascii="Corbel" w:hAnsi="Corbel"/>
        </w:rPr>
        <w:t>fund further</w:t>
      </w:r>
      <w:r w:rsidRPr="00E60023">
        <w:rPr>
          <w:rFonts w:ascii="Corbel" w:hAnsi="Corbel"/>
        </w:rPr>
        <w:t xml:space="preserve"> business case development</w:t>
      </w:r>
      <w:r w:rsidR="007D75AB" w:rsidRPr="00E60023">
        <w:rPr>
          <w:rFonts w:ascii="Corbel" w:hAnsi="Corbel"/>
        </w:rPr>
        <w:t xml:space="preserve"> and activities</w:t>
      </w:r>
      <w:r w:rsidRPr="00E60023">
        <w:rPr>
          <w:rFonts w:ascii="Corbel" w:hAnsi="Corbel"/>
        </w:rPr>
        <w:t xml:space="preserve">, details of the development and consequent implementation activities and milestones will be included in </w:t>
      </w:r>
      <w:r w:rsidR="00E95E64" w:rsidRPr="00E60023">
        <w:rPr>
          <w:rFonts w:ascii="Corbel" w:hAnsi="Corbel"/>
        </w:rPr>
        <w:t xml:space="preserve">separate </w:t>
      </w:r>
      <w:r w:rsidRPr="00E60023">
        <w:rPr>
          <w:rFonts w:ascii="Corbel" w:hAnsi="Corbel"/>
        </w:rPr>
        <w:t>bilateral schedules under th</w:t>
      </w:r>
      <w:r w:rsidR="00E95E64" w:rsidRPr="00E60023">
        <w:rPr>
          <w:rFonts w:ascii="Corbel" w:hAnsi="Corbel"/>
        </w:rPr>
        <w:t>e</w:t>
      </w:r>
      <w:r w:rsidR="00A44F19" w:rsidRPr="00E60023">
        <w:rPr>
          <w:rFonts w:ascii="Corbel" w:hAnsi="Corbel"/>
        </w:rPr>
        <w:t xml:space="preserve"> </w:t>
      </w:r>
      <w:r w:rsidRPr="00E60023">
        <w:rPr>
          <w:rFonts w:ascii="Corbel" w:hAnsi="Corbel"/>
        </w:rPr>
        <w:t xml:space="preserve">Agreement. </w:t>
      </w:r>
    </w:p>
    <w:p w14:paraId="408E469E" w14:textId="75124669" w:rsidR="00014C52" w:rsidRPr="00E60023" w:rsidRDefault="005A0F61" w:rsidP="00014C5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In accordance with </w:t>
      </w:r>
      <w:r w:rsidR="00B36C6A" w:rsidRPr="00E60023">
        <w:rPr>
          <w:rFonts w:ascii="Corbel" w:hAnsi="Corbel"/>
        </w:rPr>
        <w:t>the</w:t>
      </w:r>
      <w:r w:rsidR="00A44F19" w:rsidRPr="00E60023">
        <w:rPr>
          <w:rFonts w:ascii="Corbel" w:hAnsi="Corbel"/>
        </w:rPr>
        <w:t xml:space="preserve"> </w:t>
      </w:r>
      <w:r w:rsidR="00B36C6A" w:rsidRPr="00E60023">
        <w:rPr>
          <w:rFonts w:ascii="Corbel" w:hAnsi="Corbel"/>
        </w:rPr>
        <w:t>Agreement, milestones for projects, their relationship to outputs, expected completion dates, relevant reporting dates and expected payments are set out in Table 1</w:t>
      </w:r>
      <w:r w:rsidR="004C15D3" w:rsidRPr="00E60023">
        <w:rPr>
          <w:rFonts w:ascii="Corbel" w:hAnsi="Corbel"/>
        </w:rPr>
        <w:t xml:space="preserve"> and </w:t>
      </w:r>
      <w:r w:rsidR="00055852" w:rsidRPr="00E60023">
        <w:rPr>
          <w:rFonts w:ascii="Corbel" w:hAnsi="Corbel"/>
        </w:rPr>
        <w:t>are to</w:t>
      </w:r>
      <w:r w:rsidR="004C15D3" w:rsidRPr="00E60023">
        <w:rPr>
          <w:rFonts w:ascii="Corbel" w:hAnsi="Corbel"/>
        </w:rPr>
        <w:t xml:space="preserve"> be completed to the Commonwealth’s </w:t>
      </w:r>
      <w:r w:rsidR="006D407C" w:rsidRPr="003308E2">
        <w:rPr>
          <w:rFonts w:ascii="Corbel" w:hAnsi="Corbel"/>
        </w:rPr>
        <w:t>reasonable</w:t>
      </w:r>
      <w:r w:rsidR="006D407C">
        <w:rPr>
          <w:rFonts w:ascii="Corbel" w:hAnsi="Corbel"/>
        </w:rPr>
        <w:t xml:space="preserve"> </w:t>
      </w:r>
      <w:r w:rsidR="004C15D3" w:rsidRPr="00E60023">
        <w:rPr>
          <w:rFonts w:ascii="Corbel" w:hAnsi="Corbel"/>
        </w:rPr>
        <w:t>satisfaction</w:t>
      </w:r>
      <w:r w:rsidR="00B36C6A" w:rsidRPr="00E60023">
        <w:rPr>
          <w:rFonts w:ascii="Corbel" w:hAnsi="Corbel"/>
        </w:rPr>
        <w:t>.</w:t>
      </w:r>
    </w:p>
    <w:p w14:paraId="53BFD9C0" w14:textId="2476273B" w:rsidR="00014C52" w:rsidRPr="00DD3C49" w:rsidRDefault="005A0F61" w:rsidP="007A5E19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E60023">
        <w:rPr>
          <w:rFonts w:ascii="Corbel" w:hAnsi="Corbel"/>
        </w:rPr>
        <w:t xml:space="preserve">The </w:t>
      </w:r>
      <w:r w:rsidR="007310A4" w:rsidRPr="00E60023">
        <w:rPr>
          <w:rFonts w:ascii="Corbel" w:hAnsi="Corbel"/>
        </w:rPr>
        <w:t xml:space="preserve">Commonwealth and </w:t>
      </w:r>
      <w:r w:rsidR="00CA187B" w:rsidRPr="00E60023">
        <w:rPr>
          <w:rFonts w:ascii="Corbel" w:hAnsi="Corbel"/>
        </w:rPr>
        <w:t>Queensland</w:t>
      </w:r>
      <w:r w:rsidR="00EF5F9C" w:rsidRPr="00E60023">
        <w:rPr>
          <w:rFonts w:ascii="Corbel" w:hAnsi="Corbel"/>
        </w:rPr>
        <w:t xml:space="preserve"> agree that the Commonwealth</w:t>
      </w:r>
      <w:r w:rsidRPr="00E60023">
        <w:rPr>
          <w:rFonts w:ascii="Corbel" w:hAnsi="Corbel"/>
        </w:rPr>
        <w:t xml:space="preserve"> will provide a total financial contribution to this project of up to </w:t>
      </w:r>
      <w:r w:rsidR="001B54C2" w:rsidRPr="00E60023">
        <w:rPr>
          <w:rFonts w:ascii="Corbel" w:hAnsi="Corbel"/>
        </w:rPr>
        <w:t>$4</w:t>
      </w:r>
      <w:r w:rsidR="00352A70" w:rsidRPr="00E60023">
        <w:rPr>
          <w:rFonts w:ascii="Corbel" w:hAnsi="Corbel"/>
        </w:rPr>
        <w:t>51,2</w:t>
      </w:r>
      <w:r w:rsidR="001B54C2" w:rsidRPr="00E60023">
        <w:rPr>
          <w:rFonts w:ascii="Corbel" w:hAnsi="Corbel"/>
        </w:rPr>
        <w:t>50</w:t>
      </w:r>
      <w:r w:rsidR="00EF5F9C" w:rsidRPr="00E60023">
        <w:rPr>
          <w:rFonts w:ascii="Corbel" w:hAnsi="Corbel"/>
        </w:rPr>
        <w:t xml:space="preserve"> GST exclusive for the activities under this</w:t>
      </w:r>
      <w:r w:rsidR="00EF5F9C">
        <w:rPr>
          <w:rFonts w:ascii="Corbel" w:hAnsi="Corbel"/>
        </w:rPr>
        <w:t xml:space="preserve"> Schedule, and as shown in Table 1</w:t>
      </w:r>
      <w:r w:rsidR="00C0488A">
        <w:rPr>
          <w:rFonts w:ascii="Corbel" w:hAnsi="Corbel"/>
        </w:rPr>
        <w:t>.</w:t>
      </w:r>
    </w:p>
    <w:p w14:paraId="26D4CED3" w14:textId="77777777" w:rsidR="001E5B9A" w:rsidRDefault="001E5B9A" w:rsidP="00C42FD4">
      <w:pPr>
        <w:pStyle w:val="Normalnumbered"/>
        <w:tabs>
          <w:tab w:val="clear" w:pos="567"/>
        </w:tabs>
        <w:spacing w:after="240" w:line="260" w:lineRule="exact"/>
        <w:rPr>
          <w:rFonts w:ascii="Corbel" w:hAnsi="Corbel"/>
          <w:b/>
        </w:rPr>
      </w:pPr>
    </w:p>
    <w:p w14:paraId="0211744B" w14:textId="77777777" w:rsidR="00014C52" w:rsidRPr="00DD3C49" w:rsidRDefault="005A0F61" w:rsidP="00C42FD4">
      <w:pPr>
        <w:pStyle w:val="Normalnumbered"/>
        <w:tabs>
          <w:tab w:val="clear" w:pos="567"/>
        </w:tabs>
        <w:spacing w:after="240" w:line="260" w:lineRule="exact"/>
        <w:rPr>
          <w:rFonts w:ascii="Corbel" w:hAnsi="Corbel"/>
          <w:b/>
        </w:rPr>
      </w:pPr>
      <w:r w:rsidRPr="00DD3C49">
        <w:rPr>
          <w:rFonts w:ascii="Corbel" w:hAnsi="Corbel"/>
          <w:b/>
        </w:rPr>
        <w:t>Table 1: Milestones, reporting and payment summary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275"/>
        <w:gridCol w:w="1418"/>
      </w:tblGrid>
      <w:tr w:rsidR="0057286A" w14:paraId="4B9DB99B" w14:textId="77777777" w:rsidTr="00014C52"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14:paraId="72A7170B" w14:textId="77777777" w:rsidR="00014C52" w:rsidRPr="00DD3C49" w:rsidRDefault="005A0F61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DD3C49">
              <w:rPr>
                <w:rFonts w:ascii="Corbel" w:hAnsi="Corbel"/>
                <w:bCs w:val="0"/>
                <w:color w:val="auto"/>
                <w:sz w:val="20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14:paraId="0F2BEAE0" w14:textId="09F238B9" w:rsidR="00014C52" w:rsidRPr="00DD3C49" w:rsidRDefault="005A0F61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DD3C49">
              <w:rPr>
                <w:rFonts w:ascii="Corbel" w:hAnsi="Corbel"/>
                <w:bCs w:val="0"/>
                <w:color w:val="auto"/>
                <w:sz w:val="20"/>
              </w:rPr>
              <w:t>Milestone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14:paraId="22DE50BE" w14:textId="77777777" w:rsidR="00014C52" w:rsidRPr="00DD3C49" w:rsidRDefault="005A0F61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DD3C49">
              <w:rPr>
                <w:rFonts w:ascii="Corbel" w:hAnsi="Corbel"/>
                <w:bCs w:val="0"/>
                <w:color w:val="auto"/>
                <w:sz w:val="20"/>
              </w:rPr>
              <w:t>Milestone</w:t>
            </w:r>
            <w:r w:rsidR="00B36C6A" w:rsidRPr="00DD3C49">
              <w:rPr>
                <w:rFonts w:ascii="Corbel" w:hAnsi="Corbel"/>
                <w:bCs w:val="0"/>
                <w:color w:val="auto"/>
                <w:sz w:val="20"/>
              </w:rPr>
              <w:t xml:space="preserve">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14:paraId="45CC59CC" w14:textId="7D7D6A55" w:rsidR="00014C52" w:rsidRPr="00DD3C49" w:rsidRDefault="005A0F61" w:rsidP="00014C52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DD3C49">
              <w:rPr>
                <w:rFonts w:ascii="Corbel" w:hAnsi="Corbel"/>
                <w:bCs w:val="0"/>
                <w:color w:val="auto"/>
                <w:sz w:val="20"/>
              </w:rPr>
              <w:t>Payment</w:t>
            </w:r>
          </w:p>
        </w:tc>
      </w:tr>
      <w:tr w:rsidR="0057286A" w14:paraId="64C2CDBC" w14:textId="77777777" w:rsidTr="006D7F2D">
        <w:tc>
          <w:tcPr>
            <w:tcW w:w="2235" w:type="dxa"/>
          </w:tcPr>
          <w:p w14:paraId="727B75B7" w14:textId="7F253EA5" w:rsidR="001F6F27" w:rsidRPr="00E60023" w:rsidRDefault="005A0F61" w:rsidP="00105610">
            <w:pPr>
              <w:rPr>
                <w:rFonts w:ascii="Corbel" w:hAnsi="Corbel"/>
                <w:b/>
                <w:sz w:val="20"/>
                <w:szCs w:val="20"/>
              </w:rPr>
            </w:pPr>
            <w:r w:rsidRPr="00E60023">
              <w:rPr>
                <w:rFonts w:ascii="Corbel" w:hAnsi="Corbel"/>
                <w:b/>
                <w:sz w:val="20"/>
                <w:szCs w:val="20"/>
              </w:rPr>
              <w:t>Governance arrangements in place</w:t>
            </w:r>
          </w:p>
        </w:tc>
        <w:tc>
          <w:tcPr>
            <w:tcW w:w="5103" w:type="dxa"/>
          </w:tcPr>
          <w:p w14:paraId="055FD0D7" w14:textId="5BEE3FBF" w:rsidR="001F6F27" w:rsidRPr="00E60023" w:rsidRDefault="005A0F61" w:rsidP="009B43E3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E60023">
              <w:rPr>
                <w:rFonts w:ascii="Corbel" w:hAnsi="Corbel"/>
                <w:sz w:val="20"/>
                <w:szCs w:val="20"/>
              </w:rPr>
              <w:t>A report that provides evidence that management arrangements are in place to support producing feasibility proposal</w:t>
            </w:r>
            <w:r w:rsidR="003308E2">
              <w:rPr>
                <w:rFonts w:ascii="Corbel" w:hAnsi="Corbel"/>
                <w:sz w:val="20"/>
                <w:szCs w:val="20"/>
              </w:rPr>
              <w:t>s</w:t>
            </w:r>
            <w:r w:rsidRPr="00E60023">
              <w:rPr>
                <w:rFonts w:ascii="Corbel" w:hAnsi="Corbel"/>
                <w:sz w:val="20"/>
                <w:szCs w:val="20"/>
              </w:rPr>
              <w:t xml:space="preserve"> in accordance with this </w:t>
            </w:r>
            <w:r w:rsidR="00812764" w:rsidRPr="00E60023">
              <w:rPr>
                <w:rFonts w:ascii="Corbel" w:hAnsi="Corbel"/>
                <w:sz w:val="20"/>
                <w:szCs w:val="20"/>
              </w:rPr>
              <w:t>S</w:t>
            </w:r>
            <w:r w:rsidRPr="00E60023">
              <w:rPr>
                <w:rFonts w:ascii="Corbel" w:hAnsi="Corbel"/>
                <w:sz w:val="20"/>
                <w:szCs w:val="20"/>
              </w:rPr>
              <w:t xml:space="preserve">chedule, including </w:t>
            </w:r>
            <w:r w:rsidR="00B2391E" w:rsidRPr="00E60023">
              <w:rPr>
                <w:rFonts w:ascii="Corbel" w:hAnsi="Corbel"/>
                <w:sz w:val="20"/>
                <w:szCs w:val="20"/>
              </w:rPr>
              <w:t xml:space="preserve">a </w:t>
            </w:r>
            <w:r w:rsidRPr="00E60023">
              <w:rPr>
                <w:rFonts w:ascii="Corbel" w:hAnsi="Corbel"/>
                <w:sz w:val="20"/>
                <w:szCs w:val="20"/>
              </w:rPr>
              <w:t>work plan and contract for consultant</w:t>
            </w:r>
            <w:r w:rsidR="00812764" w:rsidRPr="00E60023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7DB7630" w14:textId="5A3232A0" w:rsidR="001F6F27" w:rsidRPr="00E60023" w:rsidRDefault="005A0F61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30 November 2019</w:t>
            </w:r>
          </w:p>
        </w:tc>
        <w:tc>
          <w:tcPr>
            <w:tcW w:w="1418" w:type="dxa"/>
          </w:tcPr>
          <w:p w14:paraId="4951DE1D" w14:textId="72613EE4" w:rsidR="001F6F27" w:rsidRPr="006D407C" w:rsidRDefault="005A0F61" w:rsidP="00E60023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6D407C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E60023" w:rsidRPr="006D407C">
              <w:rPr>
                <w:rFonts w:ascii="Corbel" w:hAnsi="Corbel"/>
                <w:b w:val="0"/>
                <w:bCs w:val="0"/>
                <w:color w:val="auto"/>
                <w:sz w:val="20"/>
              </w:rPr>
              <w:t>315,875</w:t>
            </w:r>
          </w:p>
        </w:tc>
      </w:tr>
      <w:tr w:rsidR="0057286A" w14:paraId="4764D707" w14:textId="77777777" w:rsidTr="006D7F2D">
        <w:tc>
          <w:tcPr>
            <w:tcW w:w="2235" w:type="dxa"/>
            <w:vMerge w:val="restart"/>
          </w:tcPr>
          <w:p w14:paraId="7CE6489F" w14:textId="77777777" w:rsidR="00D27E93" w:rsidRPr="00DD3C49" w:rsidRDefault="005A0F61" w:rsidP="00105610">
            <w:pPr>
              <w:rPr>
                <w:rFonts w:ascii="Corbel" w:hAnsi="Corbel"/>
                <w:b/>
                <w:sz w:val="20"/>
                <w:szCs w:val="20"/>
              </w:rPr>
            </w:pPr>
            <w:r w:rsidRPr="00DD3C49">
              <w:rPr>
                <w:rFonts w:ascii="Corbel" w:hAnsi="Corbel"/>
                <w:b/>
                <w:sz w:val="20"/>
                <w:szCs w:val="20"/>
              </w:rPr>
              <w:t>Final feasibility proposals for potential Toolkit measure projects</w:t>
            </w:r>
          </w:p>
        </w:tc>
        <w:tc>
          <w:tcPr>
            <w:tcW w:w="5103" w:type="dxa"/>
          </w:tcPr>
          <w:p w14:paraId="297CE962" w14:textId="13A11F35" w:rsidR="00D27E93" w:rsidRPr="00E60023" w:rsidRDefault="005A0F61" w:rsidP="00C42FD4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E60023">
              <w:rPr>
                <w:rFonts w:ascii="Corbel" w:hAnsi="Corbel"/>
                <w:sz w:val="20"/>
                <w:szCs w:val="20"/>
              </w:rPr>
              <w:t>Feasibility proposals which contain sufficient information for proposal assessment and deci</w:t>
            </w:r>
            <w:r w:rsidR="00C2287E" w:rsidRPr="00E60023">
              <w:rPr>
                <w:rFonts w:ascii="Corbel" w:hAnsi="Corbel"/>
                <w:sz w:val="20"/>
                <w:szCs w:val="20"/>
              </w:rPr>
              <w:t>sion making</w:t>
            </w:r>
            <w:r w:rsidR="00EF1185" w:rsidRPr="00E60023">
              <w:rPr>
                <w:rFonts w:ascii="Corbel" w:hAnsi="Corbel"/>
                <w:sz w:val="20"/>
                <w:szCs w:val="20"/>
              </w:rPr>
              <w:t>,</w:t>
            </w:r>
            <w:r w:rsidR="00C2287E" w:rsidRPr="00E60023">
              <w:rPr>
                <w:rFonts w:ascii="Corbel" w:hAnsi="Corbel"/>
                <w:sz w:val="20"/>
                <w:szCs w:val="20"/>
              </w:rPr>
              <w:t xml:space="preserve"> </w:t>
            </w:r>
            <w:r w:rsidR="00A44F19" w:rsidRPr="00E60023">
              <w:rPr>
                <w:rFonts w:ascii="Corbel" w:hAnsi="Corbel"/>
                <w:sz w:val="20"/>
                <w:szCs w:val="20"/>
              </w:rPr>
              <w:t xml:space="preserve">including </w:t>
            </w:r>
            <w:r w:rsidR="00EF1185" w:rsidRPr="00E60023">
              <w:rPr>
                <w:rFonts w:ascii="Corbel" w:hAnsi="Corbel"/>
                <w:sz w:val="20"/>
                <w:szCs w:val="20"/>
              </w:rPr>
              <w:t xml:space="preserve">initial estimated </w:t>
            </w:r>
            <w:r w:rsidR="00A44F19" w:rsidRPr="00E60023">
              <w:rPr>
                <w:rFonts w:ascii="Corbel" w:hAnsi="Corbel"/>
                <w:sz w:val="20"/>
                <w:szCs w:val="20"/>
              </w:rPr>
              <w:t xml:space="preserve">costings for the development of any business cases and </w:t>
            </w:r>
            <w:r w:rsidR="00EF1185" w:rsidRPr="00E60023">
              <w:rPr>
                <w:rFonts w:ascii="Corbel" w:hAnsi="Corbel"/>
                <w:sz w:val="20"/>
                <w:szCs w:val="20"/>
              </w:rPr>
              <w:t xml:space="preserve">initial </w:t>
            </w:r>
            <w:r w:rsidR="00A44F19" w:rsidRPr="00E60023">
              <w:rPr>
                <w:rFonts w:ascii="Corbel" w:hAnsi="Corbel"/>
                <w:sz w:val="20"/>
                <w:szCs w:val="20"/>
              </w:rPr>
              <w:t>estimated costs for project implementation</w:t>
            </w:r>
            <w:r w:rsidRPr="00E60023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</w:tcPr>
          <w:p w14:paraId="3812248D" w14:textId="63CBDA8C" w:rsidR="00D27E93" w:rsidRPr="00E60023" w:rsidRDefault="005A0F61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28 February</w:t>
            </w:r>
            <w:r w:rsidR="00FE09BE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 xml:space="preserve"> 2020</w:t>
            </w:r>
          </w:p>
        </w:tc>
        <w:tc>
          <w:tcPr>
            <w:tcW w:w="1418" w:type="dxa"/>
            <w:vMerge w:val="restart"/>
          </w:tcPr>
          <w:p w14:paraId="2B1107CC" w14:textId="527F4205" w:rsidR="00D27E93" w:rsidRPr="006D407C" w:rsidRDefault="005A0F61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6D407C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E60023" w:rsidRPr="006D407C">
              <w:rPr>
                <w:rFonts w:ascii="Corbel" w:hAnsi="Corbel"/>
                <w:b w:val="0"/>
                <w:bCs w:val="0"/>
                <w:color w:val="auto"/>
                <w:sz w:val="20"/>
              </w:rPr>
              <w:t>135,375</w:t>
            </w:r>
          </w:p>
        </w:tc>
      </w:tr>
      <w:tr w:rsidR="0057286A" w14:paraId="30A309FF" w14:textId="77777777" w:rsidTr="00014C52">
        <w:tc>
          <w:tcPr>
            <w:tcW w:w="2235" w:type="dxa"/>
            <w:vMerge/>
          </w:tcPr>
          <w:p w14:paraId="029A110C" w14:textId="77777777" w:rsidR="00D27E93" w:rsidRPr="00DD3C49" w:rsidRDefault="00D27E93" w:rsidP="0010561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8CA33E" w14:textId="28E5F9B7" w:rsidR="00D27E93" w:rsidRPr="00DD3C49" w:rsidRDefault="005A0F61" w:rsidP="00C42FD4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DD3C49">
              <w:rPr>
                <w:rFonts w:ascii="Corbel" w:hAnsi="Corbel"/>
                <w:sz w:val="20"/>
                <w:szCs w:val="20"/>
              </w:rPr>
              <w:t xml:space="preserve">A separate report on feasibility activities </w:t>
            </w:r>
            <w:r w:rsidR="004D36B3">
              <w:rPr>
                <w:rFonts w:ascii="Corbel" w:hAnsi="Corbel"/>
                <w:sz w:val="20"/>
                <w:szCs w:val="20"/>
              </w:rPr>
              <w:t xml:space="preserve">undertaken </w:t>
            </w:r>
            <w:r w:rsidRPr="00DD3C49">
              <w:rPr>
                <w:rFonts w:ascii="Corbel" w:hAnsi="Corbel"/>
                <w:sz w:val="20"/>
                <w:szCs w:val="20"/>
              </w:rPr>
              <w:t>for all pot</w:t>
            </w:r>
            <w:r w:rsidR="00C23E0F">
              <w:rPr>
                <w:rFonts w:ascii="Corbel" w:hAnsi="Corbel"/>
                <w:sz w:val="20"/>
                <w:szCs w:val="20"/>
              </w:rPr>
              <w:t>ential projects investigated</w:t>
            </w:r>
            <w:r w:rsidR="004D36B3">
              <w:rPr>
                <w:rFonts w:ascii="Corbel" w:hAnsi="Corbel"/>
                <w:sz w:val="20"/>
                <w:szCs w:val="20"/>
              </w:rPr>
              <w:t>,</w:t>
            </w:r>
            <w:r w:rsidR="00C23E0F">
              <w:rPr>
                <w:rFonts w:ascii="Corbel" w:hAnsi="Corbel"/>
                <w:sz w:val="20"/>
                <w:szCs w:val="20"/>
              </w:rPr>
              <w:t xml:space="preserve"> including</w:t>
            </w:r>
            <w:r w:rsidRPr="00DD3C49">
              <w:rPr>
                <w:rFonts w:ascii="Corbel" w:hAnsi="Corbel"/>
                <w:sz w:val="20"/>
                <w:szCs w:val="20"/>
              </w:rPr>
              <w:t xml:space="preserve"> results of activities und</w:t>
            </w:r>
            <w:r w:rsidR="00C23E0F">
              <w:rPr>
                <w:rFonts w:ascii="Corbel" w:hAnsi="Corbel"/>
                <w:sz w:val="20"/>
                <w:szCs w:val="20"/>
              </w:rPr>
              <w:t>ertaken</w:t>
            </w:r>
            <w:r w:rsidRPr="00DD3C49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  <w:vMerge/>
          </w:tcPr>
          <w:p w14:paraId="0D5F6FF9" w14:textId="77777777" w:rsidR="00D27E93" w:rsidRPr="00DD3C49" w:rsidRDefault="00D27E93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18" w:type="dxa"/>
            <w:vMerge/>
          </w:tcPr>
          <w:p w14:paraId="215763F9" w14:textId="77777777" w:rsidR="00D27E93" w:rsidRPr="00DD3C49" w:rsidRDefault="00D27E93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</w:tr>
      <w:tr w:rsidR="0057286A" w14:paraId="5DCEF84B" w14:textId="77777777" w:rsidTr="00014C52">
        <w:tc>
          <w:tcPr>
            <w:tcW w:w="2235" w:type="dxa"/>
          </w:tcPr>
          <w:p w14:paraId="79C33A80" w14:textId="18C94C34" w:rsidR="00014C52" w:rsidRPr="00C42FD4" w:rsidRDefault="005A0F61" w:rsidP="00014C52">
            <w:pPr>
              <w:rPr>
                <w:rFonts w:ascii="Corbel" w:hAnsi="Corbel"/>
                <w:b/>
                <w:sz w:val="20"/>
                <w:szCs w:val="20"/>
              </w:rPr>
            </w:pPr>
            <w:r w:rsidRPr="00C42FD4">
              <w:rPr>
                <w:rFonts w:ascii="Corbel" w:hAnsi="Corbel"/>
                <w:b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51A8298C" w14:textId="77777777" w:rsidR="00014C52" w:rsidRPr="00DD3C49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14:paraId="3B4ED32D" w14:textId="77777777" w:rsidR="00014C52" w:rsidRPr="00DD3C49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14:paraId="5A082DBA" w14:textId="77777777" w:rsidR="00014C52" w:rsidRPr="00DD3C49" w:rsidRDefault="00014C52" w:rsidP="00014C52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CF243F" w14:textId="5B675328" w:rsidR="00014C52" w:rsidRPr="00E60023" w:rsidRDefault="00014C52" w:rsidP="00014C52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1418" w:type="dxa"/>
          </w:tcPr>
          <w:p w14:paraId="53AE3909" w14:textId="13D932F3" w:rsidR="00014C52" w:rsidRPr="00E60023" w:rsidRDefault="005A0F61" w:rsidP="00352A7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BA6147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4</w:t>
            </w:r>
            <w:r w:rsidR="00352A70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51</w:t>
            </w:r>
            <w:r w:rsidR="00BA6147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,</w:t>
            </w:r>
            <w:r w:rsidR="00352A70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2</w:t>
            </w:r>
            <w:r w:rsidR="00BA6147" w:rsidRPr="00E60023">
              <w:rPr>
                <w:rFonts w:ascii="Corbel" w:hAnsi="Corbel"/>
                <w:b w:val="0"/>
                <w:bCs w:val="0"/>
                <w:color w:val="auto"/>
                <w:sz w:val="20"/>
              </w:rPr>
              <w:t>50</w:t>
            </w:r>
          </w:p>
        </w:tc>
      </w:tr>
    </w:tbl>
    <w:p w14:paraId="68182FE8" w14:textId="77777777" w:rsidR="00014C52" w:rsidRPr="00DD3C49" w:rsidRDefault="00014C52"/>
    <w:p w14:paraId="38054FF2" w14:textId="77777777" w:rsidR="00014C52" w:rsidRDefault="00014C52" w:rsidP="00014C52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14:paraId="3ED8C943" w14:textId="77777777" w:rsidR="00014C52" w:rsidRDefault="005A0F61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1DADF1B9" w14:textId="77777777" w:rsidR="00014C52" w:rsidRPr="00220B47" w:rsidRDefault="005A0F61" w:rsidP="00014C52">
      <w:pPr>
        <w:spacing w:after="160" w:line="259" w:lineRule="auto"/>
        <w:rPr>
          <w:rFonts w:ascii="Consolas" w:hAnsi="Consolas" w:cs="Arial"/>
          <w:caps/>
          <w:color w:val="3D4B67"/>
          <w:kern w:val="32"/>
          <w:sz w:val="32"/>
          <w:szCs w:val="36"/>
        </w:rPr>
      </w:pP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t>Sign off</w:t>
      </w:r>
    </w:p>
    <w:p w14:paraId="351F0CA4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14:paraId="0334BF88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14:paraId="19A4709E" w14:textId="77777777" w:rsidR="00014C52" w:rsidRPr="00D56365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54811752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77687EED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7EDA37A4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14957E00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The Honourable David Littleproud MP</w:t>
      </w:r>
    </w:p>
    <w:p w14:paraId="460F7D5F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CE3883">
        <w:rPr>
          <w:rFonts w:ascii="Corbel" w:hAnsi="Corbel" w:cs="Calibri"/>
          <w:szCs w:val="23"/>
          <w:lang w:val="en-GB"/>
        </w:rPr>
        <w:t>Water Resources, Drought, Rural Finance, Natural Disaster and Emergency Management</w:t>
      </w:r>
    </w:p>
    <w:p w14:paraId="5B498844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14:paraId="2EFD81FB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4E703587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41C2507D" w14:textId="77777777" w:rsidR="00014C52" w:rsidRPr="00D56365" w:rsidRDefault="005A0F61" w:rsidP="00014C52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on behalf of the State of </w:t>
      </w:r>
      <w:r w:rsidR="00C0634D">
        <w:rPr>
          <w:rFonts w:ascii="Corbel" w:hAnsi="Corbel" w:cs="Calibri"/>
          <w:i/>
          <w:szCs w:val="23"/>
          <w:lang w:val="en-GB"/>
        </w:rPr>
        <w:t>Queensland</w:t>
      </w:r>
      <w:r>
        <w:rPr>
          <w:rFonts w:ascii="Corbel" w:hAnsi="Corbel" w:cs="Calibri"/>
          <w:i/>
          <w:szCs w:val="23"/>
          <w:lang w:val="en-GB"/>
        </w:rPr>
        <w:t xml:space="preserve"> by</w:t>
      </w:r>
    </w:p>
    <w:p w14:paraId="56969A15" w14:textId="77777777" w:rsidR="00014C52" w:rsidRPr="00D56365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6AA20D30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65E0EA6A" w14:textId="77777777" w:rsidR="00014C52" w:rsidRDefault="00014C52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14:paraId="008DC7A4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14:paraId="5A309DF7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C0634D">
        <w:rPr>
          <w:rFonts w:ascii="Corbel" w:hAnsi="Corbel" w:cs="Calibri"/>
          <w:b/>
          <w:szCs w:val="23"/>
          <w:lang w:val="en-GB"/>
        </w:rPr>
        <w:t>Dr Anthony Lynham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14:paraId="16290033" w14:textId="77777777" w:rsidR="00014C52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="00C0634D">
        <w:rPr>
          <w:rFonts w:ascii="Corbel" w:hAnsi="Corbel" w:cs="Calibri"/>
          <w:szCs w:val="23"/>
          <w:lang w:val="en-GB"/>
        </w:rPr>
        <w:t>Natural Resources, Mines and Energy</w:t>
      </w:r>
    </w:p>
    <w:p w14:paraId="3DF95FF2" w14:textId="77777777" w:rsidR="00014C52" w:rsidRPr="00AC328D" w:rsidRDefault="005A0F61" w:rsidP="00014C52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R="00014C52" w:rsidRPr="00AC328D" w:rsidSect="00014C5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9AAA2" w14:textId="77777777" w:rsidR="00000000" w:rsidRDefault="005A0F61">
      <w:r>
        <w:separator/>
      </w:r>
    </w:p>
  </w:endnote>
  <w:endnote w:type="continuationSeparator" w:id="0">
    <w:p w14:paraId="52B7CAD6" w14:textId="77777777" w:rsidR="00000000" w:rsidRDefault="005A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B3632" w14:textId="5F36EBD2" w:rsidR="00F640DF" w:rsidRDefault="005A0F61" w:rsidP="00014C52">
    <w:pPr>
      <w:pStyle w:val="FooterOdd"/>
      <w:keepNext/>
      <w:tabs>
        <w:tab w:val="num" w:pos="567"/>
      </w:tabs>
      <w:rPr>
        <w:rStyle w:val="FooterCha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3DC5" w14:textId="12179B50" w:rsidR="00C07E6F" w:rsidRDefault="005A0F61" w:rsidP="00C07E6F">
    <w:pPr>
      <w:pStyle w:val="FooterOdd"/>
      <w:keepNext/>
      <w:tabs>
        <w:tab w:val="num" w:pos="567"/>
      </w:tabs>
      <w:rPr>
        <w:rStyle w:val="FooterCha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9826C" w14:textId="77777777" w:rsidR="00C07E6F" w:rsidRDefault="00C07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F898E" w14:textId="77777777" w:rsidR="00000000" w:rsidRDefault="005A0F61">
      <w:r>
        <w:separator/>
      </w:r>
    </w:p>
  </w:footnote>
  <w:footnote w:type="continuationSeparator" w:id="0">
    <w:p w14:paraId="699F780F" w14:textId="77777777" w:rsidR="00000000" w:rsidRDefault="005A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26CB6" w14:textId="14EAD685" w:rsidR="00F640DF" w:rsidRDefault="005A0F61" w:rsidP="00014C52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 xml:space="preserve">Schedule </w:t>
    </w:r>
    <w:r w:rsidR="003D280D">
      <w:rPr>
        <w:color w:val="800000"/>
      </w:rPr>
      <w:t>A</w:t>
    </w:r>
    <w:r>
      <w:rPr>
        <w:color w:val="800000"/>
      </w:rPr>
      <w:t xml:space="preserve"> </w:t>
    </w:r>
    <w:r w:rsidR="00AF3554">
      <w:rPr>
        <w:color w:val="800000"/>
      </w:rPr>
      <w:t>—</w:t>
    </w:r>
    <w:r>
      <w:rPr>
        <w:color w:val="800000"/>
      </w:rPr>
      <w:t xml:space="preserve"> Project Agreement for </w:t>
    </w:r>
    <w:r w:rsidR="0039199A">
      <w:rPr>
        <w:color w:val="800000"/>
      </w:rPr>
      <w:t xml:space="preserve">Delivery of </w:t>
    </w:r>
    <w:r w:rsidR="00485151">
      <w:rPr>
        <w:color w:val="800000"/>
      </w:rPr>
      <w:t>Environmental</w:t>
    </w:r>
    <w:r>
      <w:rPr>
        <w:color w:val="800000"/>
      </w:rPr>
      <w:t xml:space="preserve"> Measures in </w:t>
    </w:r>
    <w:r w:rsidR="00812764">
      <w:rPr>
        <w:color w:val="800000"/>
      </w:rPr>
      <w:t>N</w:t>
    </w:r>
    <w:r>
      <w:rPr>
        <w:color w:val="800000"/>
      </w:rPr>
      <w:t>orthern Murray-Darling Basin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7F89" w14:textId="13216DE9" w:rsidR="00CA57B6" w:rsidRPr="005C3D53" w:rsidRDefault="005A0F61" w:rsidP="005C3D53">
    <w:pPr>
      <w:pStyle w:val="HeaderOdd"/>
      <w:tabs>
        <w:tab w:val="num" w:pos="1134"/>
      </w:tabs>
      <w:rPr>
        <w:color w:val="800000"/>
      </w:rPr>
    </w:pPr>
    <w:r>
      <w:rPr>
        <w:color w:val="800000"/>
      </w:rPr>
      <w:t xml:space="preserve">Schedule A — Project Agreement for Delivery of </w:t>
    </w:r>
    <w:r>
      <w:rPr>
        <w:color w:val="800000"/>
      </w:rPr>
      <w:t>Environmental Measures in Northern Murray-Darling Basin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1170A"/>
    <w:multiLevelType w:val="hybridMultilevel"/>
    <w:tmpl w:val="470C1CF0"/>
    <w:lvl w:ilvl="0" w:tplc="10001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0A7E6" w:tentative="1">
      <w:start w:val="1"/>
      <w:numFmt w:val="lowerLetter"/>
      <w:lvlText w:val="%2."/>
      <w:lvlJc w:val="left"/>
      <w:pPr>
        <w:ind w:left="1440" w:hanging="360"/>
      </w:pPr>
    </w:lvl>
    <w:lvl w:ilvl="2" w:tplc="9C1E9BD8" w:tentative="1">
      <w:start w:val="1"/>
      <w:numFmt w:val="lowerRoman"/>
      <w:lvlText w:val="%3."/>
      <w:lvlJc w:val="right"/>
      <w:pPr>
        <w:ind w:left="2160" w:hanging="180"/>
      </w:pPr>
    </w:lvl>
    <w:lvl w:ilvl="3" w:tplc="359E6D06" w:tentative="1">
      <w:start w:val="1"/>
      <w:numFmt w:val="decimal"/>
      <w:lvlText w:val="%4."/>
      <w:lvlJc w:val="left"/>
      <w:pPr>
        <w:ind w:left="2880" w:hanging="360"/>
      </w:pPr>
    </w:lvl>
    <w:lvl w:ilvl="4" w:tplc="080627B8" w:tentative="1">
      <w:start w:val="1"/>
      <w:numFmt w:val="lowerLetter"/>
      <w:lvlText w:val="%5."/>
      <w:lvlJc w:val="left"/>
      <w:pPr>
        <w:ind w:left="3600" w:hanging="360"/>
      </w:pPr>
    </w:lvl>
    <w:lvl w:ilvl="5" w:tplc="4470DDEC" w:tentative="1">
      <w:start w:val="1"/>
      <w:numFmt w:val="lowerRoman"/>
      <w:lvlText w:val="%6."/>
      <w:lvlJc w:val="right"/>
      <w:pPr>
        <w:ind w:left="4320" w:hanging="180"/>
      </w:pPr>
    </w:lvl>
    <w:lvl w:ilvl="6" w:tplc="603A18A4" w:tentative="1">
      <w:start w:val="1"/>
      <w:numFmt w:val="decimal"/>
      <w:lvlText w:val="%7."/>
      <w:lvlJc w:val="left"/>
      <w:pPr>
        <w:ind w:left="5040" w:hanging="360"/>
      </w:pPr>
    </w:lvl>
    <w:lvl w:ilvl="7" w:tplc="BA8ABBA0" w:tentative="1">
      <w:start w:val="1"/>
      <w:numFmt w:val="lowerLetter"/>
      <w:lvlText w:val="%8."/>
      <w:lvlJc w:val="left"/>
      <w:pPr>
        <w:ind w:left="5760" w:hanging="360"/>
      </w:pPr>
    </w:lvl>
    <w:lvl w:ilvl="8" w:tplc="76229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20B8"/>
    <w:multiLevelType w:val="hybridMultilevel"/>
    <w:tmpl w:val="DC88C78E"/>
    <w:lvl w:ilvl="0" w:tplc="9E4AEE9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581C7CC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68E575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9C860F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0923B4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A060BB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3E8870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93128E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310E7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9671D"/>
    <w:multiLevelType w:val="hybridMultilevel"/>
    <w:tmpl w:val="1FA421E4"/>
    <w:lvl w:ilvl="0" w:tplc="C8FC2A8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B9084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BC259E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FC6B60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C7C35E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972B35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8568DA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12A8C4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344499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BF16B8"/>
    <w:multiLevelType w:val="hybridMultilevel"/>
    <w:tmpl w:val="ABAA196C"/>
    <w:lvl w:ilvl="0" w:tplc="7960FD3E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C1186A00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A605F7E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DF2DB36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37CE5326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597435FA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334C49D0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31724FB0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9740EB6E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7201775"/>
    <w:multiLevelType w:val="hybridMultilevel"/>
    <w:tmpl w:val="345E4358"/>
    <w:lvl w:ilvl="0" w:tplc="6ACA5C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910FF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B1EF8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AD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8C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AE1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21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0FC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2CA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84FFE"/>
    <w:multiLevelType w:val="hybridMultilevel"/>
    <w:tmpl w:val="FD7C14E0"/>
    <w:lvl w:ilvl="0" w:tplc="20A8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CB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EB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21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3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83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8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9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C3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0214D"/>
    <w:multiLevelType w:val="hybridMultilevel"/>
    <w:tmpl w:val="84702D86"/>
    <w:lvl w:ilvl="0" w:tplc="B0822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1A19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92E4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B6C3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14CA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3C55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7642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2AD2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C041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9224A7"/>
    <w:multiLevelType w:val="hybridMultilevel"/>
    <w:tmpl w:val="8D92C662"/>
    <w:lvl w:ilvl="0" w:tplc="DE5A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485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AC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07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82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41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2A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4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64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0E5A"/>
    <w:multiLevelType w:val="hybridMultilevel"/>
    <w:tmpl w:val="7B0ACA66"/>
    <w:lvl w:ilvl="0" w:tplc="0D909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8B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09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A0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AF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07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64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24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54AAC"/>
    <w:multiLevelType w:val="hybridMultilevel"/>
    <w:tmpl w:val="345E4358"/>
    <w:lvl w:ilvl="0" w:tplc="B950E2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1CD8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2B3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02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8C2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495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900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8C6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44A9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4"/>
    <w:rsid w:val="00004119"/>
    <w:rsid w:val="00006979"/>
    <w:rsid w:val="00014C52"/>
    <w:rsid w:val="00055852"/>
    <w:rsid w:val="000E5C12"/>
    <w:rsid w:val="00105610"/>
    <w:rsid w:val="00132BBB"/>
    <w:rsid w:val="00156D98"/>
    <w:rsid w:val="001B54C2"/>
    <w:rsid w:val="001E5B9A"/>
    <w:rsid w:val="001F6F27"/>
    <w:rsid w:val="00220B47"/>
    <w:rsid w:val="00225DD8"/>
    <w:rsid w:val="00256993"/>
    <w:rsid w:val="00261509"/>
    <w:rsid w:val="00274059"/>
    <w:rsid w:val="002A1EBB"/>
    <w:rsid w:val="002A6191"/>
    <w:rsid w:val="002B2A71"/>
    <w:rsid w:val="002B364E"/>
    <w:rsid w:val="002D6D35"/>
    <w:rsid w:val="002F7600"/>
    <w:rsid w:val="00307FF2"/>
    <w:rsid w:val="003308E2"/>
    <w:rsid w:val="00343E56"/>
    <w:rsid w:val="00352A70"/>
    <w:rsid w:val="003541A8"/>
    <w:rsid w:val="00366415"/>
    <w:rsid w:val="0037215D"/>
    <w:rsid w:val="0039199A"/>
    <w:rsid w:val="00392B40"/>
    <w:rsid w:val="003D280D"/>
    <w:rsid w:val="00485151"/>
    <w:rsid w:val="004A7D55"/>
    <w:rsid w:val="004C15D3"/>
    <w:rsid w:val="004C29CA"/>
    <w:rsid w:val="004D36B3"/>
    <w:rsid w:val="00507723"/>
    <w:rsid w:val="0051367E"/>
    <w:rsid w:val="0057286A"/>
    <w:rsid w:val="00573C3B"/>
    <w:rsid w:val="0059491A"/>
    <w:rsid w:val="005A0F61"/>
    <w:rsid w:val="005C3D53"/>
    <w:rsid w:val="00620347"/>
    <w:rsid w:val="006544B4"/>
    <w:rsid w:val="0067294C"/>
    <w:rsid w:val="006B51C9"/>
    <w:rsid w:val="006D407C"/>
    <w:rsid w:val="006D4BEC"/>
    <w:rsid w:val="007310A4"/>
    <w:rsid w:val="00740F9D"/>
    <w:rsid w:val="00792752"/>
    <w:rsid w:val="007A5E19"/>
    <w:rsid w:val="007B24CF"/>
    <w:rsid w:val="007C64A9"/>
    <w:rsid w:val="007D75AB"/>
    <w:rsid w:val="00812764"/>
    <w:rsid w:val="00816DDA"/>
    <w:rsid w:val="008A0859"/>
    <w:rsid w:val="008B2455"/>
    <w:rsid w:val="008E554E"/>
    <w:rsid w:val="00956346"/>
    <w:rsid w:val="00971ADC"/>
    <w:rsid w:val="00985244"/>
    <w:rsid w:val="009A58AD"/>
    <w:rsid w:val="009B43E3"/>
    <w:rsid w:val="009F0E97"/>
    <w:rsid w:val="00A44F19"/>
    <w:rsid w:val="00A8573F"/>
    <w:rsid w:val="00A91A2D"/>
    <w:rsid w:val="00A9388E"/>
    <w:rsid w:val="00AA5B2A"/>
    <w:rsid w:val="00AC328D"/>
    <w:rsid w:val="00AD4210"/>
    <w:rsid w:val="00AF3554"/>
    <w:rsid w:val="00B2391E"/>
    <w:rsid w:val="00B322B7"/>
    <w:rsid w:val="00B36C6A"/>
    <w:rsid w:val="00B772A6"/>
    <w:rsid w:val="00B93EEE"/>
    <w:rsid w:val="00BA6147"/>
    <w:rsid w:val="00BB462D"/>
    <w:rsid w:val="00BD12A1"/>
    <w:rsid w:val="00C0488A"/>
    <w:rsid w:val="00C04F5A"/>
    <w:rsid w:val="00C0634D"/>
    <w:rsid w:val="00C07E6F"/>
    <w:rsid w:val="00C15E1B"/>
    <w:rsid w:val="00C2287E"/>
    <w:rsid w:val="00C23E0F"/>
    <w:rsid w:val="00C42FD4"/>
    <w:rsid w:val="00C473CF"/>
    <w:rsid w:val="00C75BE5"/>
    <w:rsid w:val="00C82997"/>
    <w:rsid w:val="00CA187B"/>
    <w:rsid w:val="00CA57B6"/>
    <w:rsid w:val="00CA5E5B"/>
    <w:rsid w:val="00CE3883"/>
    <w:rsid w:val="00CF235E"/>
    <w:rsid w:val="00D00003"/>
    <w:rsid w:val="00D13CA6"/>
    <w:rsid w:val="00D14BFA"/>
    <w:rsid w:val="00D25BD8"/>
    <w:rsid w:val="00D27E93"/>
    <w:rsid w:val="00D56365"/>
    <w:rsid w:val="00D60E77"/>
    <w:rsid w:val="00D86A26"/>
    <w:rsid w:val="00DD3C49"/>
    <w:rsid w:val="00DF23B1"/>
    <w:rsid w:val="00E034F1"/>
    <w:rsid w:val="00E06AF7"/>
    <w:rsid w:val="00E52286"/>
    <w:rsid w:val="00E60023"/>
    <w:rsid w:val="00E77B24"/>
    <w:rsid w:val="00E84151"/>
    <w:rsid w:val="00E92E18"/>
    <w:rsid w:val="00E95E64"/>
    <w:rsid w:val="00EA5645"/>
    <w:rsid w:val="00ED77DB"/>
    <w:rsid w:val="00EF1185"/>
    <w:rsid w:val="00EF2233"/>
    <w:rsid w:val="00EF5F9C"/>
    <w:rsid w:val="00F01885"/>
    <w:rsid w:val="00F2076F"/>
    <w:rsid w:val="00F640DF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434E-B39C-4C90-9376-1B4E4740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_dlc_DocId xmlns="0f563589-9cf9-4143-b1eb-fb0534803d38">2020FG-64-88172</_dlc_DocId>
    <_dlc_DocIdUrl xmlns="0f563589-9cf9-4143-b1eb-fb0534803d38">
      <Url>http://tweb/sites/fg/csrd/_layouts/15/DocIdRedir.aspx?ID=2020FG-64-88172</Url>
      <Description>2020FG-64-88172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59" ma:contentTypeDescription=" " ma:contentTypeScope="" ma:versionID="a3116dee368bdcfdd905dbca7a89b76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C5482-48AD-4174-AFB1-C0B41A74C3FF}">
  <ds:schemaRefs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D00A58-AE73-41EB-8A5C-1FDE80D188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7CD5B5-FAFE-44B0-9787-04A590CD588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3FB4E0A-5ABF-4F35-AB3F-CD62D5B68B1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45345CE-00DB-439E-9C0A-B5780D44B0D8}"/>
</file>

<file path=customXml/itemProps7.xml><?xml version="1.0" encoding="utf-8"?>
<ds:datastoreItem xmlns:ds="http://schemas.openxmlformats.org/officeDocument/2006/customXml" ds:itemID="{5B9EDB1E-DC96-4BD8-9328-A28EF0A7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Nieuwenhuize, Holly</dc:creator>
  <cp:lastModifiedBy>Nieuwenhuize, Holly</cp:lastModifiedBy>
  <cp:revision>2</cp:revision>
  <cp:lastPrinted>1899-12-31T13:00:00Z</cp:lastPrinted>
  <dcterms:created xsi:type="dcterms:W3CDTF">2020-10-27T22:39:00Z</dcterms:created>
  <dcterms:modified xsi:type="dcterms:W3CDTF">2020-10-27T22:39:00Z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96eda6c0-542b-4a8d-99bd-a12205b85d7e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{96eda6c0-542b-4a8d-99bd-a12205b85d7e}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</Properties>
</file>