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37AF95FE" w14:textId="77777777">
        <w:tc>
          <w:tcPr>
            <w:tcW w:w="5000" w:type="pct"/>
            <w:gridSpan w:val="2"/>
          </w:tcPr>
          <w:p w14:paraId="25187E3C" w14:textId="77777777" w:rsidR="00814667" w:rsidRDefault="00BA4284" w:rsidP="001E3D55">
            <w:pPr>
              <w:pStyle w:val="CoverTitleMain"/>
            </w:pPr>
            <w:bookmarkStart w:id="0" w:name="_GoBack"/>
            <w:bookmarkEnd w:id="0"/>
            <w:r>
              <w:t>Project AGreement</w:t>
            </w:r>
            <w:r w:rsidR="00292587">
              <w:t xml:space="preserve"> FOR </w:t>
            </w:r>
            <w:r w:rsidR="001E3D55">
              <w:t>Revitalising TAFE Campuses across Australia</w:t>
            </w:r>
          </w:p>
        </w:tc>
      </w:tr>
      <w:tr w:rsidR="00814667" w14:paraId="60B3B31A" w14:textId="77777777">
        <w:tc>
          <w:tcPr>
            <w:tcW w:w="767" w:type="pct"/>
          </w:tcPr>
          <w:p w14:paraId="661A1513" w14:textId="77777777" w:rsidR="00814667" w:rsidRDefault="00814667">
            <w:pPr>
              <w:pStyle w:val="SingleParagraph"/>
              <w:tabs>
                <w:tab w:val="num" w:pos="1134"/>
              </w:tabs>
              <w:spacing w:after="240"/>
              <w:ind w:left="1134" w:hanging="567"/>
            </w:pPr>
          </w:p>
        </w:tc>
        <w:tc>
          <w:tcPr>
            <w:tcW w:w="4233" w:type="pct"/>
          </w:tcPr>
          <w:p w14:paraId="11A77803" w14:textId="77777777" w:rsidR="00814667" w:rsidRDefault="00814667">
            <w:pPr>
              <w:pStyle w:val="SingleParagraph"/>
              <w:tabs>
                <w:tab w:val="num" w:pos="1134"/>
              </w:tabs>
              <w:spacing w:after="240"/>
              <w:ind w:left="1134" w:hanging="567"/>
            </w:pPr>
          </w:p>
        </w:tc>
      </w:tr>
      <w:tr w:rsidR="00814667" w14:paraId="0B784D6A" w14:textId="77777777">
        <w:tc>
          <w:tcPr>
            <w:tcW w:w="767" w:type="pct"/>
          </w:tcPr>
          <w:p w14:paraId="68EAC622" w14:textId="77777777" w:rsidR="00814667" w:rsidRDefault="00814667">
            <w:pPr>
              <w:pStyle w:val="SingleParagraph"/>
              <w:tabs>
                <w:tab w:val="num" w:pos="1134"/>
              </w:tabs>
              <w:spacing w:after="240"/>
              <w:ind w:left="1134" w:hanging="567"/>
            </w:pPr>
          </w:p>
        </w:tc>
        <w:tc>
          <w:tcPr>
            <w:tcW w:w="4233" w:type="pct"/>
          </w:tcPr>
          <w:p w14:paraId="11BFF074" w14:textId="77777777" w:rsidR="00814667" w:rsidRPr="001E74D0" w:rsidRDefault="00814667">
            <w:pPr>
              <w:pStyle w:val="SingleParagraph"/>
              <w:tabs>
                <w:tab w:val="num" w:pos="1134"/>
              </w:tabs>
              <w:spacing w:after="240"/>
              <w:ind w:left="1134" w:hanging="567"/>
            </w:pPr>
          </w:p>
        </w:tc>
      </w:tr>
      <w:tr w:rsidR="00814667" w14:paraId="7625E08E" w14:textId="77777777">
        <w:tc>
          <w:tcPr>
            <w:tcW w:w="5000" w:type="pct"/>
            <w:gridSpan w:val="2"/>
          </w:tcPr>
          <w:p w14:paraId="213E829F" w14:textId="77777777" w:rsidR="00814667" w:rsidRDefault="00814667">
            <w:pPr>
              <w:pStyle w:val="AgreementHeading"/>
              <w:tabs>
                <w:tab w:val="clear" w:pos="1134"/>
              </w:tabs>
            </w:pPr>
            <w:r>
              <w:t>An agreement between</w:t>
            </w:r>
            <w:r w:rsidR="00697494">
              <w:t>:</w:t>
            </w:r>
          </w:p>
        </w:tc>
      </w:tr>
      <w:tr w:rsidR="00814667" w14:paraId="16A644BE" w14:textId="77777777">
        <w:tc>
          <w:tcPr>
            <w:tcW w:w="767" w:type="pct"/>
          </w:tcPr>
          <w:p w14:paraId="26249CC7" w14:textId="77777777" w:rsidR="00814667" w:rsidRPr="001E74D0" w:rsidRDefault="00814667">
            <w:pPr>
              <w:pStyle w:val="AgreementHeading"/>
              <w:tabs>
                <w:tab w:val="clear" w:pos="1134"/>
              </w:tabs>
              <w:ind w:left="522"/>
            </w:pPr>
          </w:p>
        </w:tc>
        <w:tc>
          <w:tcPr>
            <w:tcW w:w="4233" w:type="pct"/>
          </w:tcPr>
          <w:p w14:paraId="659F3510"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27C39E8D" w14:textId="77777777" w:rsidR="00814667" w:rsidRPr="001E74D0" w:rsidRDefault="00814667" w:rsidP="00697494">
            <w:pPr>
              <w:pStyle w:val="AgreementParties"/>
            </w:pPr>
            <w:r>
              <w:t xml:space="preserve">the </w:t>
            </w:r>
            <w:r>
              <w:rPr>
                <w:rStyle w:val="Bold"/>
              </w:rPr>
              <w:t>States and Territorie</w:t>
            </w:r>
            <w:r w:rsidR="00697494">
              <w:rPr>
                <w:rStyle w:val="Bold"/>
              </w:rPr>
              <w:t xml:space="preserve">s </w:t>
            </w:r>
            <w:r w:rsidR="00697494" w:rsidRPr="00DE36EB">
              <w:rPr>
                <w:rStyle w:val="Bold"/>
              </w:rPr>
              <w:t>of</w:t>
            </w:r>
          </w:p>
        </w:tc>
      </w:tr>
      <w:tr w:rsidR="00814667" w14:paraId="4669AA4A" w14:textId="77777777">
        <w:tc>
          <w:tcPr>
            <w:tcW w:w="767" w:type="pct"/>
          </w:tcPr>
          <w:p w14:paraId="03A7E560" w14:textId="77777777" w:rsidR="00814667" w:rsidRDefault="00814667">
            <w:pPr>
              <w:pStyle w:val="SingleParagraph"/>
              <w:tabs>
                <w:tab w:val="num" w:pos="1134"/>
              </w:tabs>
              <w:spacing w:after="240"/>
              <w:ind w:left="1134" w:hanging="567"/>
            </w:pPr>
          </w:p>
        </w:tc>
        <w:tc>
          <w:tcPr>
            <w:tcW w:w="4233" w:type="pct"/>
            <w:tcBorders>
              <w:left w:val="nil"/>
            </w:tcBorders>
          </w:tcPr>
          <w:p w14:paraId="5B1737C4" w14:textId="77777777" w:rsidR="00814667" w:rsidRDefault="00814667" w:rsidP="009E093C">
            <w:pPr>
              <w:pStyle w:val="StatesList"/>
              <w:numPr>
                <w:ilvl w:val="0"/>
                <w:numId w:val="26"/>
              </w:numPr>
            </w:pPr>
            <w:r>
              <w:t>New South Wales</w:t>
            </w:r>
            <w:r w:rsidR="00697494">
              <w:t>,</w:t>
            </w:r>
          </w:p>
          <w:p w14:paraId="24C33445" w14:textId="77777777" w:rsidR="00814667" w:rsidRDefault="00814667" w:rsidP="009E093C">
            <w:pPr>
              <w:pStyle w:val="StatesList"/>
              <w:numPr>
                <w:ilvl w:val="0"/>
                <w:numId w:val="26"/>
              </w:numPr>
            </w:pPr>
            <w:r>
              <w:t>Victoria</w:t>
            </w:r>
            <w:r w:rsidR="00697494">
              <w:t>,</w:t>
            </w:r>
          </w:p>
          <w:p w14:paraId="6FB8FB47" w14:textId="77777777" w:rsidR="00814667" w:rsidRDefault="00814667" w:rsidP="009E093C">
            <w:pPr>
              <w:pStyle w:val="StatesList"/>
              <w:numPr>
                <w:ilvl w:val="0"/>
                <w:numId w:val="26"/>
              </w:numPr>
            </w:pPr>
            <w:r>
              <w:t>Queensland</w:t>
            </w:r>
            <w:r w:rsidR="00697494">
              <w:t>,</w:t>
            </w:r>
          </w:p>
          <w:p w14:paraId="268CC62F" w14:textId="77777777" w:rsidR="00814667" w:rsidRDefault="00814667" w:rsidP="009E093C">
            <w:pPr>
              <w:pStyle w:val="StatesList"/>
              <w:numPr>
                <w:ilvl w:val="0"/>
                <w:numId w:val="26"/>
              </w:numPr>
            </w:pPr>
            <w:r>
              <w:t>Western Australia</w:t>
            </w:r>
            <w:r w:rsidR="00697494">
              <w:t>,</w:t>
            </w:r>
          </w:p>
          <w:p w14:paraId="019BC86D" w14:textId="77777777" w:rsidR="00814667" w:rsidRDefault="00814667" w:rsidP="009E093C">
            <w:pPr>
              <w:pStyle w:val="StatesList"/>
              <w:numPr>
                <w:ilvl w:val="0"/>
                <w:numId w:val="26"/>
              </w:numPr>
            </w:pPr>
            <w:r>
              <w:t>South Australia</w:t>
            </w:r>
            <w:r w:rsidR="00697494">
              <w:t>,</w:t>
            </w:r>
          </w:p>
          <w:p w14:paraId="5064BEC9" w14:textId="77777777" w:rsidR="00814667" w:rsidRDefault="00814667" w:rsidP="009E093C">
            <w:pPr>
              <w:pStyle w:val="StatesList"/>
              <w:numPr>
                <w:ilvl w:val="0"/>
                <w:numId w:val="26"/>
              </w:numPr>
            </w:pPr>
            <w:r>
              <w:t>Tasmania</w:t>
            </w:r>
            <w:r w:rsidR="00697494">
              <w:t>,</w:t>
            </w:r>
          </w:p>
          <w:p w14:paraId="43F7FFE9" w14:textId="77777777" w:rsidR="00814667" w:rsidRDefault="004B6083" w:rsidP="009E093C">
            <w:pPr>
              <w:pStyle w:val="StatesList"/>
              <w:numPr>
                <w:ilvl w:val="0"/>
                <w:numId w:val="26"/>
              </w:numPr>
            </w:pPr>
            <w:r>
              <w:t xml:space="preserve">the </w:t>
            </w:r>
            <w:r w:rsidR="00814667">
              <w:t>Australian Capital Territory</w:t>
            </w:r>
            <w:r w:rsidR="00697494">
              <w:t xml:space="preserve">, </w:t>
            </w:r>
            <w:r w:rsidR="00726DB5">
              <w:t>and</w:t>
            </w:r>
          </w:p>
          <w:p w14:paraId="1C215940" w14:textId="77777777" w:rsidR="00EB7EDA" w:rsidRPr="003E4E8D" w:rsidRDefault="004B6083" w:rsidP="00F630EF">
            <w:pPr>
              <w:pStyle w:val="StatesList"/>
              <w:numPr>
                <w:ilvl w:val="0"/>
                <w:numId w:val="26"/>
              </w:numPr>
            </w:pPr>
            <w:proofErr w:type="gramStart"/>
            <w:r>
              <w:t>t</w:t>
            </w:r>
            <w:r w:rsidR="00814667">
              <w:t>he</w:t>
            </w:r>
            <w:proofErr w:type="gramEnd"/>
            <w:r w:rsidR="00814667">
              <w:t xml:space="preserve"> Northern Territory</w:t>
            </w:r>
            <w:r w:rsidR="00726DB5">
              <w:t>.</w:t>
            </w:r>
            <w:r w:rsidR="00814667">
              <w:t xml:space="preserve"> </w:t>
            </w:r>
          </w:p>
        </w:tc>
      </w:tr>
      <w:tr w:rsidR="00814667" w14:paraId="243D9A80" w14:textId="77777777">
        <w:tc>
          <w:tcPr>
            <w:tcW w:w="5000" w:type="pct"/>
            <w:gridSpan w:val="2"/>
          </w:tcPr>
          <w:p w14:paraId="5EB6C201" w14:textId="77777777" w:rsidR="00814667" w:rsidRDefault="00814667">
            <w:pPr>
              <w:pStyle w:val="SingleParagraph"/>
              <w:tabs>
                <w:tab w:val="num" w:pos="1134"/>
              </w:tabs>
              <w:spacing w:after="240"/>
              <w:ind w:left="1134" w:hanging="567"/>
            </w:pPr>
          </w:p>
        </w:tc>
      </w:tr>
      <w:tr w:rsidR="00814667" w14:paraId="06AA2A95" w14:textId="77777777">
        <w:tc>
          <w:tcPr>
            <w:tcW w:w="5000" w:type="pct"/>
            <w:gridSpan w:val="2"/>
          </w:tcPr>
          <w:p w14:paraId="6A5CD6D2" w14:textId="77777777" w:rsidR="00814667" w:rsidRDefault="00771FFF" w:rsidP="00DC0D77">
            <w:pPr>
              <w:pStyle w:val="Abstract"/>
            </w:pPr>
            <w:r>
              <w:t>The output of this project will be</w:t>
            </w:r>
            <w:r w:rsidR="00845BCC">
              <w:t xml:space="preserve"> </w:t>
            </w:r>
            <w:bookmarkStart w:id="1" w:name="OLE_LINK3"/>
            <w:bookmarkStart w:id="2" w:name="OLE_LINK4"/>
            <w:r w:rsidR="00E6359A">
              <w:t xml:space="preserve">delivery of a state and territory project(s) </w:t>
            </w:r>
            <w:r w:rsidR="00E6359A" w:rsidRPr="0032452F">
              <w:t>to strengthen vocational education infrastructure</w:t>
            </w:r>
            <w:r w:rsidR="00E6359A">
              <w:t xml:space="preserve"> to</w:t>
            </w:r>
            <w:r w:rsidR="00E6359A" w:rsidRPr="0032452F">
              <w:t xml:space="preserve"> ensure </w:t>
            </w:r>
            <w:r w:rsidR="00F379B5">
              <w:t xml:space="preserve">public vocational education and training </w:t>
            </w:r>
            <w:r w:rsidR="00DC0D77">
              <w:t xml:space="preserve">(VET) </w:t>
            </w:r>
            <w:r w:rsidR="00F379B5">
              <w:t>providers</w:t>
            </w:r>
            <w:r w:rsidR="00F379B5" w:rsidRPr="0032452F">
              <w:t xml:space="preserve"> </w:t>
            </w:r>
            <w:r w:rsidR="00E6359A" w:rsidRPr="0032452F">
              <w:t>are equipped to deliver training to the standards expected by industry</w:t>
            </w:r>
            <w:bookmarkEnd w:id="1"/>
            <w:bookmarkEnd w:id="2"/>
            <w:r w:rsidR="00C7093C">
              <w:t xml:space="preserve">.  </w:t>
            </w:r>
          </w:p>
        </w:tc>
      </w:tr>
    </w:tbl>
    <w:p w14:paraId="49304602" w14:textId="77777777" w:rsidR="00814667" w:rsidRDefault="00FF5029">
      <w:pPr>
        <w:pStyle w:val="Title"/>
        <w:pageBreakBefore/>
      </w:pPr>
      <w:r>
        <w:lastRenderedPageBreak/>
        <w:t xml:space="preserve">Project </w:t>
      </w:r>
      <w:r w:rsidR="00D7336A">
        <w:t>Agreement</w:t>
      </w:r>
      <w:r>
        <w:t xml:space="preserve"> for</w:t>
      </w:r>
      <w:r w:rsidR="00C7093C">
        <w:t xml:space="preserve"> </w:t>
      </w:r>
      <w:r w:rsidR="007A6E20">
        <w:br/>
      </w:r>
      <w:r w:rsidR="004800B3">
        <w:t xml:space="preserve">Revitalising TAFE Campuses </w:t>
      </w:r>
      <w:proofErr w:type="gramStart"/>
      <w:r w:rsidR="004800B3">
        <w:t>A</w:t>
      </w:r>
      <w:r w:rsidR="001E3D55">
        <w:t>cross</w:t>
      </w:r>
      <w:proofErr w:type="gramEnd"/>
      <w:r w:rsidR="001E3D55">
        <w:t xml:space="preserve"> Australia</w:t>
      </w:r>
    </w:p>
    <w:p w14:paraId="5BFA9730"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3786EBD2" w14:textId="77777777" w:rsidR="00C960AA" w:rsidRPr="0096732C" w:rsidRDefault="00C960AA" w:rsidP="00804105">
      <w:pPr>
        <w:pStyle w:val="Normalnumbered"/>
        <w:numPr>
          <w:ilvl w:val="0"/>
          <w:numId w:val="29"/>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4E11B9E5"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19156188" w14:textId="77777777" w:rsidR="0096732C" w:rsidRDefault="00852ED8" w:rsidP="00303EE9">
      <w:pPr>
        <w:pStyle w:val="Normalnumbered"/>
        <w:numPr>
          <w:ilvl w:val="0"/>
          <w:numId w:val="29"/>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t xml:space="preserve">This Agreement will </w:t>
      </w:r>
      <w:r w:rsidR="006146F2">
        <w:t>support</w:t>
      </w:r>
      <w:r w:rsidR="00303EE9">
        <w:t xml:space="preserve"> the delivery of</w:t>
      </w:r>
      <w:r w:rsidR="006146F2">
        <w:t xml:space="preserve"> </w:t>
      </w:r>
      <w:r w:rsidR="004246E3">
        <w:t xml:space="preserve">small </w:t>
      </w:r>
      <w:r w:rsidR="00303EE9" w:rsidRPr="00303EE9">
        <w:t>infrastructure projects to develop, redevelop, upgrade or refurbish TAFE infrastructure assets</w:t>
      </w:r>
      <w:r w:rsidR="007D6E4A">
        <w:t>,</w:t>
      </w:r>
      <w:r w:rsidR="00303EE9" w:rsidRPr="00303EE9">
        <w:t xml:space="preserve"> including </w:t>
      </w:r>
      <w:r w:rsidR="00B457F8">
        <w:t xml:space="preserve">facilities, </w:t>
      </w:r>
      <w:r w:rsidR="007D6E4A">
        <w:t>buildings</w:t>
      </w:r>
      <w:r w:rsidR="00B457F8">
        <w:t>,</w:t>
      </w:r>
      <w:r w:rsidR="007D6E4A">
        <w:t xml:space="preserve"> </w:t>
      </w:r>
      <w:r w:rsidR="00303EE9" w:rsidRPr="00303EE9">
        <w:t>equipment and IT systems</w:t>
      </w:r>
      <w:r w:rsidR="00303EE9">
        <w:t>. The project will support the improvement of</w:t>
      </w:r>
      <w:r w:rsidR="003C2615" w:rsidRPr="003C2615">
        <w:t xml:space="preserve"> TAFE infrastructure</w:t>
      </w:r>
      <w:r w:rsidR="00303EE9">
        <w:t xml:space="preserve">, </w:t>
      </w:r>
      <w:r w:rsidR="003C2615" w:rsidRPr="003C2615">
        <w:t xml:space="preserve">to ensure they are equipped to deliver training to the standards expected by students and industry. </w:t>
      </w:r>
    </w:p>
    <w:p w14:paraId="644B61FD"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3AFB20F8" w14:textId="77777777" w:rsidR="0096732C" w:rsidRDefault="0096732C" w:rsidP="00804105">
      <w:pPr>
        <w:pStyle w:val="Normalnumbered"/>
        <w:numPr>
          <w:ilvl w:val="0"/>
          <w:numId w:val="2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 xml:space="preserve">The States will report against the agreed milestones during the operation of this Agreement, as set out in Part 4 – Project Milestones, Reporting and Payments. </w:t>
      </w:r>
    </w:p>
    <w:p w14:paraId="4F2C9FD0"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7DFBC09B" w14:textId="77777777" w:rsidR="0096732C" w:rsidRDefault="0096732C" w:rsidP="000F25D5">
      <w:pPr>
        <w:pStyle w:val="Normalnumbered"/>
        <w:numPr>
          <w:ilvl w:val="0"/>
          <w:numId w:val="2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 xml:space="preserve">financial contribution to the States </w:t>
      </w:r>
      <w:r>
        <w:t xml:space="preserve">of </w:t>
      </w:r>
      <w:r w:rsidRPr="00F117E9">
        <w:t>$</w:t>
      </w:r>
      <w:r w:rsidR="00C354D9" w:rsidRPr="00F117E9">
        <w:t>50</w:t>
      </w:r>
      <w:r w:rsidR="00321777">
        <w:t> million</w:t>
      </w:r>
      <w:r w:rsidR="00F234AB" w:rsidRPr="00F117E9">
        <w:t xml:space="preserve">, </w:t>
      </w:r>
      <w:r w:rsidR="00F234AB" w:rsidRPr="0069387E">
        <w:t>exclusive of GST</w:t>
      </w:r>
      <w:r w:rsidR="00EF33DE">
        <w:t xml:space="preserve"> </w:t>
      </w:r>
      <w:r>
        <w:t>in respect of this Agreement</w:t>
      </w:r>
      <w:r w:rsidR="0069387E">
        <w:t xml:space="preserve"> </w:t>
      </w:r>
      <w:r>
        <w:t xml:space="preserve">as set out </w:t>
      </w:r>
      <w:r w:rsidRPr="007179FE">
        <w:t xml:space="preserve">in </w:t>
      </w:r>
      <w:r>
        <w:t>Part 5 – Financial Arrangements</w:t>
      </w:r>
      <w:r w:rsidRPr="007179FE">
        <w:t>.</w:t>
      </w:r>
    </w:p>
    <w:p w14:paraId="3E18F68A" w14:textId="77777777" w:rsidR="0096732C" w:rsidRPr="004B1F38"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p>
    <w:p w14:paraId="5EB6EC44" w14:textId="77777777" w:rsidR="00814667" w:rsidRDefault="00814667">
      <w:pPr>
        <w:pStyle w:val="Heading1"/>
      </w:pPr>
      <w:r>
        <w:t>Part 1 — Formalities</w:t>
      </w:r>
    </w:p>
    <w:p w14:paraId="2A92C844" w14:textId="77777777" w:rsidR="00804105" w:rsidRDefault="00804105" w:rsidP="000F25D5">
      <w:pPr>
        <w:pStyle w:val="Normalnumbered"/>
        <w:numPr>
          <w:ilvl w:val="0"/>
          <w:numId w:val="29"/>
        </w:numPr>
      </w:pPr>
      <w:r>
        <w:t>This Agreement constitutes the entire agreement for this project.</w:t>
      </w:r>
    </w:p>
    <w:p w14:paraId="5C19B131" w14:textId="77777777" w:rsidR="00814667" w:rsidRDefault="00814667">
      <w:pPr>
        <w:pStyle w:val="Heading2"/>
      </w:pPr>
      <w:r>
        <w:t>Parties to this Agreement</w:t>
      </w:r>
    </w:p>
    <w:p w14:paraId="60AF927E" w14:textId="77777777" w:rsidR="007B4B03" w:rsidRPr="007B4B03" w:rsidRDefault="00E7195E" w:rsidP="00B619AA">
      <w:pPr>
        <w:pStyle w:val="Normalnumbered"/>
        <w:numPr>
          <w:ilvl w:val="0"/>
          <w:numId w:val="29"/>
        </w:numPr>
      </w:pPr>
      <w:r w:rsidRPr="003012DA">
        <w:t xml:space="preserve">This </w:t>
      </w:r>
      <w:r w:rsidR="00E31096">
        <w:t xml:space="preserve">Agreement </w:t>
      </w:r>
      <w:r w:rsidRPr="003012DA">
        <w:t>is between the Commonwealth of Australia (the</w:t>
      </w:r>
      <w:r w:rsidR="00593821">
        <w:t xml:space="preserve"> Commonwealth</w:t>
      </w:r>
      <w:r w:rsidRPr="003012DA">
        <w:t>) and t</w:t>
      </w:r>
      <w:r w:rsidR="00593821">
        <w:t xml:space="preserve">he States and Territories (the </w:t>
      </w:r>
      <w:r w:rsidRPr="003012DA">
        <w:t xml:space="preserve">States). </w:t>
      </w:r>
    </w:p>
    <w:p w14:paraId="4A93E8FA" w14:textId="77777777" w:rsidR="00814667" w:rsidRDefault="00814667">
      <w:pPr>
        <w:pStyle w:val="Heading2"/>
      </w:pPr>
      <w:r>
        <w:t>Term of the Agreement</w:t>
      </w:r>
    </w:p>
    <w:p w14:paraId="275DACAB" w14:textId="77777777" w:rsidR="00814667" w:rsidRPr="00DE36EB" w:rsidRDefault="00814667" w:rsidP="00B619AA">
      <w:pPr>
        <w:pStyle w:val="Normalnumbered"/>
        <w:numPr>
          <w:ilvl w:val="0"/>
          <w:numId w:val="29"/>
        </w:numPr>
      </w:pPr>
      <w:r w:rsidRPr="00DE36EB">
        <w:t xml:space="preserve">This Agreement will commence as soon as the Commonwealth and </w:t>
      </w:r>
      <w:r w:rsidRPr="0069387E">
        <w:t>on</w:t>
      </w:r>
      <w:r w:rsidR="00C7093C" w:rsidRPr="0069387E">
        <w:t>e</w:t>
      </w:r>
      <w:r w:rsidRPr="00DB6CF9">
        <w:t xml:space="preserve"> other Party</w:t>
      </w:r>
      <w:r w:rsidR="00726DB5" w:rsidRPr="00DB6CF9">
        <w:t xml:space="preserve"> sign </w:t>
      </w:r>
      <w:r w:rsidR="0096732C" w:rsidRPr="0069387E">
        <w:t>it</w:t>
      </w:r>
      <w:r w:rsidR="0096732C">
        <w:t xml:space="preserve"> </w:t>
      </w:r>
      <w:r w:rsidRPr="00DE36EB">
        <w:t>and will expire on</w:t>
      </w:r>
      <w:r w:rsidR="00C7093C" w:rsidRPr="00DE36EB">
        <w:t xml:space="preserve"> </w:t>
      </w:r>
      <w:r w:rsidR="00C354D9">
        <w:t>30 June 20</w:t>
      </w:r>
      <w:r w:rsidR="004246E3">
        <w:t>2</w:t>
      </w:r>
      <w:r w:rsidR="00522FC1">
        <w:t>2</w:t>
      </w:r>
      <w:r w:rsidR="00284884" w:rsidRPr="00DE36EB">
        <w:t xml:space="preserve"> or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4FB5DA89" w14:textId="7777777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w:t>
      </w:r>
      <w:r w:rsidR="006F79D3" w:rsidRPr="00784439">
        <w:rPr>
          <w:rFonts w:ascii="Consolas" w:hAnsi="Consolas"/>
          <w:b w:val="0"/>
          <w:iCs w:val="0"/>
          <w:caps/>
          <w:kern w:val="32"/>
          <w:sz w:val="32"/>
          <w:szCs w:val="36"/>
        </w:rPr>
        <w:t>(</w:t>
      </w:r>
      <w:r w:rsidR="00814667" w:rsidRPr="00784439">
        <w:rPr>
          <w:rFonts w:ascii="Consolas" w:hAnsi="Consolas"/>
          <w:b w:val="0"/>
          <w:iCs w:val="0"/>
          <w:caps/>
          <w:kern w:val="32"/>
          <w:sz w:val="32"/>
          <w:szCs w:val="36"/>
        </w:rPr>
        <w:t>s</w:t>
      </w:r>
      <w:r w:rsidR="006F79D3" w:rsidRPr="00784439">
        <w:rPr>
          <w:rFonts w:ascii="Consolas" w:hAnsi="Consolas"/>
          <w:b w:val="0"/>
          <w:iCs w:val="0"/>
          <w:caps/>
          <w:kern w:val="32"/>
          <w:sz w:val="32"/>
          <w:szCs w:val="36"/>
        </w:rPr>
        <w:t>)</w:t>
      </w:r>
    </w:p>
    <w:p w14:paraId="0E8D9F60" w14:textId="77777777" w:rsidR="00814667" w:rsidRDefault="00814667">
      <w:pPr>
        <w:pStyle w:val="Heading2"/>
      </w:pPr>
      <w:r>
        <w:t>Output</w:t>
      </w:r>
      <w:r w:rsidR="006F79D3">
        <w:t>(</w:t>
      </w:r>
      <w:r>
        <w:t>s</w:t>
      </w:r>
      <w:r w:rsidR="009E093C">
        <w:t>)</w:t>
      </w:r>
    </w:p>
    <w:p w14:paraId="6A27E50A" w14:textId="77777777" w:rsidR="0085738D" w:rsidRDefault="00814667" w:rsidP="009E093C">
      <w:pPr>
        <w:pStyle w:val="Normalnumbered"/>
        <w:numPr>
          <w:ilvl w:val="0"/>
          <w:numId w:val="29"/>
        </w:numPr>
        <w:jc w:val="left"/>
      </w:pPr>
      <w:r w:rsidRPr="0085738D">
        <w:t>The o</w:t>
      </w:r>
      <w:r w:rsidR="006F79D3">
        <w:t>utput(s) of this Agreement will be:</w:t>
      </w:r>
    </w:p>
    <w:p w14:paraId="178A8F32" w14:textId="77777777" w:rsidR="00B06097" w:rsidRDefault="004246E3" w:rsidP="0032452F">
      <w:pPr>
        <w:pStyle w:val="AlphaParagraph"/>
        <w:numPr>
          <w:ilvl w:val="0"/>
          <w:numId w:val="40"/>
        </w:numPr>
        <w:tabs>
          <w:tab w:val="clear" w:pos="283"/>
          <w:tab w:val="clear" w:pos="567"/>
          <w:tab w:val="clear" w:pos="1134"/>
          <w:tab w:val="clear" w:pos="1418"/>
        </w:tabs>
        <w:ind w:hanging="567"/>
      </w:pPr>
      <w:proofErr w:type="gramStart"/>
      <w:r>
        <w:t>delivery</w:t>
      </w:r>
      <w:proofErr w:type="gramEnd"/>
      <w:r>
        <w:t xml:space="preserve"> of state and territory project</w:t>
      </w:r>
      <w:r w:rsidR="00D5595C">
        <w:t>(s)</w:t>
      </w:r>
      <w:r>
        <w:t xml:space="preserve"> </w:t>
      </w:r>
      <w:r w:rsidR="0032452F" w:rsidRPr="0032452F">
        <w:t xml:space="preserve">to strengthen </w:t>
      </w:r>
      <w:r w:rsidR="00F379B5">
        <w:t xml:space="preserve">public </w:t>
      </w:r>
      <w:r w:rsidR="0032452F" w:rsidRPr="0032452F">
        <w:t>vocational education</w:t>
      </w:r>
      <w:r w:rsidR="00F379B5">
        <w:t xml:space="preserve"> and training (VET)</w:t>
      </w:r>
      <w:r w:rsidR="0032452F" w:rsidRPr="0032452F">
        <w:t xml:space="preserve"> infrastructure</w:t>
      </w:r>
      <w:r>
        <w:t xml:space="preserve"> to</w:t>
      </w:r>
      <w:r w:rsidR="0032452F" w:rsidRPr="0032452F">
        <w:t xml:space="preserve"> ensure </w:t>
      </w:r>
      <w:r w:rsidR="00F379B5">
        <w:t>public VET providers</w:t>
      </w:r>
      <w:r w:rsidR="00F379B5" w:rsidRPr="0032452F">
        <w:t xml:space="preserve"> </w:t>
      </w:r>
      <w:r w:rsidR="0032452F" w:rsidRPr="0032452F">
        <w:t>are equipped to deliver vocational education and training to the standards expected by students and industry</w:t>
      </w:r>
      <w:r>
        <w:t>.</w:t>
      </w:r>
    </w:p>
    <w:p w14:paraId="39A42D7B" w14:textId="77777777" w:rsidR="008F44F1" w:rsidRDefault="008F44F1">
      <w:pPr>
        <w:pStyle w:val="Heading1"/>
      </w:pPr>
      <w:r>
        <w:t>Part 3 — roles and responsibilities of each party</w:t>
      </w:r>
    </w:p>
    <w:p w14:paraId="6A71A9FD" w14:textId="77777777" w:rsidR="008F44F1" w:rsidRDefault="008F44F1" w:rsidP="008F44F1">
      <w:pPr>
        <w:pStyle w:val="Heading2"/>
      </w:pPr>
      <w:r w:rsidRPr="00814590">
        <w:t>Role of the Commonwealth</w:t>
      </w:r>
    </w:p>
    <w:p w14:paraId="259334BD" w14:textId="77777777" w:rsidR="008F44F1" w:rsidRDefault="008F44F1" w:rsidP="009E093C">
      <w:pPr>
        <w:pStyle w:val="Normalnumbered"/>
        <w:numPr>
          <w:ilvl w:val="0"/>
          <w:numId w:val="29"/>
        </w:numPr>
        <w:jc w:val="left"/>
      </w:pPr>
      <w:r>
        <w:t>The Commonwealth will be responsible for:</w:t>
      </w:r>
    </w:p>
    <w:p w14:paraId="1B5B0ABB" w14:textId="77777777" w:rsidR="008F44F1" w:rsidRPr="000614F9" w:rsidRDefault="008F44F1" w:rsidP="00017E3A">
      <w:pPr>
        <w:pStyle w:val="AlphaParagraph"/>
        <w:numPr>
          <w:ilvl w:val="0"/>
          <w:numId w:val="42"/>
        </w:numPr>
        <w:tabs>
          <w:tab w:val="clear" w:pos="283"/>
          <w:tab w:val="clear" w:pos="567"/>
          <w:tab w:val="clear" w:pos="1418"/>
          <w:tab w:val="clear" w:pos="1701"/>
        </w:tabs>
        <w:ind w:hanging="567"/>
      </w:pPr>
      <w:r w:rsidRPr="000614F9">
        <w:rPr>
          <w:color w:val="auto"/>
        </w:rPr>
        <w:t>monitoring</w:t>
      </w:r>
      <w:r w:rsidRPr="004B6083">
        <w:t xml:space="preserve"> and assessing achievement against milestones in the delivery of  this Agreement to ensure that outputs are delivered within the agreed timeframe; </w:t>
      </w:r>
    </w:p>
    <w:p w14:paraId="0EB77A22" w14:textId="77777777" w:rsidR="008F44F1" w:rsidRPr="000614F9" w:rsidRDefault="008F44F1" w:rsidP="009E093C">
      <w:pPr>
        <w:pStyle w:val="AlphaParagraph"/>
        <w:numPr>
          <w:ilvl w:val="0"/>
          <w:numId w:val="34"/>
        </w:numPr>
        <w:tabs>
          <w:tab w:val="clear" w:pos="567"/>
          <w:tab w:val="clear" w:pos="1418"/>
          <w:tab w:val="clear" w:pos="1701"/>
        </w:tabs>
        <w:ind w:hanging="567"/>
        <w:rPr>
          <w:color w:val="auto"/>
        </w:rPr>
      </w:pPr>
      <w:r w:rsidRPr="004B6083">
        <w:rPr>
          <w:color w:val="auto"/>
        </w:rPr>
        <w:t xml:space="preserve">providing a consequent financial contribution to the States to support the </w:t>
      </w:r>
      <w:r w:rsidRPr="000614F9">
        <w:t>implementation</w:t>
      </w:r>
      <w:r w:rsidRPr="004B6083">
        <w:rPr>
          <w:color w:val="auto"/>
        </w:rPr>
        <w:t xml:space="preserve"> of this Agreement;</w:t>
      </w:r>
    </w:p>
    <w:p w14:paraId="2FD527CB" w14:textId="77777777" w:rsidR="004F5DCD" w:rsidRPr="00F117E9" w:rsidRDefault="004F5DCD" w:rsidP="004F5DCD">
      <w:pPr>
        <w:pStyle w:val="AlphaParagraph"/>
        <w:numPr>
          <w:ilvl w:val="0"/>
          <w:numId w:val="34"/>
        </w:numPr>
        <w:tabs>
          <w:tab w:val="clear" w:pos="567"/>
          <w:tab w:val="clear" w:pos="1418"/>
          <w:tab w:val="clear" w:pos="1701"/>
        </w:tabs>
        <w:ind w:hanging="567"/>
        <w:rPr>
          <w:i/>
          <w:color w:val="auto"/>
        </w:rPr>
      </w:pPr>
      <w:r w:rsidRPr="00F117E9">
        <w:rPr>
          <w:color w:val="auto"/>
          <w:szCs w:val="23"/>
        </w:rPr>
        <w:t xml:space="preserve">in accordance with the </w:t>
      </w:r>
      <w:r w:rsidRPr="00F117E9">
        <w:rPr>
          <w:i/>
          <w:color w:val="auto"/>
          <w:szCs w:val="23"/>
        </w:rPr>
        <w:t>Building and Construction Industry (Improving Productivity) Act 2016</w:t>
      </w:r>
      <w:r w:rsidRPr="00F117E9">
        <w:rPr>
          <w:color w:val="auto"/>
        </w:rPr>
        <w:t xml:space="preserve">, </w:t>
      </w:r>
      <w:r w:rsidRPr="00F117E9">
        <w:rPr>
          <w:color w:val="auto"/>
          <w:szCs w:val="23"/>
        </w:rPr>
        <w:t xml:space="preserve">ensuring that </w:t>
      </w:r>
      <w:r w:rsidRPr="00F117E9">
        <w:rPr>
          <w:color w:val="auto"/>
        </w:rPr>
        <w:t xml:space="preserve">financial contributions to a building project or projects as defined under the </w:t>
      </w:r>
      <w:r w:rsidRPr="00F117E9">
        <w:rPr>
          <w:color w:val="auto"/>
          <w:szCs w:val="23"/>
        </w:rPr>
        <w:t xml:space="preserve">Fair Work (Building Industry – Accreditation Scheme) </w:t>
      </w:r>
      <w:r w:rsidRPr="00F117E9">
        <w:rPr>
          <w:color w:val="auto"/>
        </w:rPr>
        <w:t>Regulations 2016 are only made where a builder or builders accredited under the Australian Government Building and Construction WHS Accreditation Scheme is contracted; and</w:t>
      </w:r>
    </w:p>
    <w:p w14:paraId="1F646E7D" w14:textId="77777777" w:rsidR="004F5DCD" w:rsidRPr="00F117E9" w:rsidRDefault="004F5DCD" w:rsidP="004F5DCD">
      <w:pPr>
        <w:pStyle w:val="AlphaParagraph"/>
        <w:numPr>
          <w:ilvl w:val="0"/>
          <w:numId w:val="34"/>
        </w:numPr>
        <w:tabs>
          <w:tab w:val="clear" w:pos="567"/>
          <w:tab w:val="clear" w:pos="1418"/>
          <w:tab w:val="clear" w:pos="1701"/>
        </w:tabs>
        <w:ind w:hanging="567"/>
        <w:rPr>
          <w:i/>
          <w:color w:val="auto"/>
        </w:rPr>
      </w:pPr>
      <w:proofErr w:type="gramStart"/>
      <w:r w:rsidRPr="00F117E9">
        <w:rPr>
          <w:color w:val="auto"/>
        </w:rPr>
        <w:t>ensuring</w:t>
      </w:r>
      <w:proofErr w:type="gramEnd"/>
      <w:r w:rsidRPr="00F117E9">
        <w:rPr>
          <w:color w:val="auto"/>
        </w:rPr>
        <w:t xml:space="preserve"> that compliance with the Code for the Tendering and Performance of Building Work 2016 (Building Code 2016) is a condition of Australian Government funding.</w:t>
      </w:r>
    </w:p>
    <w:p w14:paraId="6AEF7FC8" w14:textId="77777777" w:rsidR="008F44F1" w:rsidRPr="00751725" w:rsidRDefault="008F44F1" w:rsidP="008F44F1">
      <w:pPr>
        <w:pStyle w:val="Heading2"/>
      </w:pPr>
      <w:r w:rsidRPr="00751725">
        <w:t xml:space="preserve">Role of the States </w:t>
      </w:r>
      <w:r>
        <w:t>and Territories</w:t>
      </w:r>
    </w:p>
    <w:p w14:paraId="01061BB6" w14:textId="77777777" w:rsidR="008F44F1" w:rsidRPr="00751725" w:rsidRDefault="008F44F1" w:rsidP="009E093C">
      <w:pPr>
        <w:pStyle w:val="Normalnumbered"/>
        <w:numPr>
          <w:ilvl w:val="0"/>
          <w:numId w:val="29"/>
        </w:numPr>
        <w:jc w:val="left"/>
      </w:pPr>
      <w:r w:rsidRPr="00751725">
        <w:t xml:space="preserve">The </w:t>
      </w:r>
      <w:r w:rsidR="004246E3">
        <w:t xml:space="preserve"> States</w:t>
      </w:r>
      <w:r w:rsidR="00545DF7">
        <w:t xml:space="preserve"> </w:t>
      </w:r>
      <w:r>
        <w:t>will be responsible for</w:t>
      </w:r>
      <w:r w:rsidR="00545DF7">
        <w:t>:</w:t>
      </w:r>
    </w:p>
    <w:p w14:paraId="6261D8ED" w14:textId="77777777" w:rsidR="008F44F1" w:rsidRDefault="008F44F1" w:rsidP="009E093C">
      <w:pPr>
        <w:pStyle w:val="AlphaParagraph"/>
        <w:numPr>
          <w:ilvl w:val="0"/>
          <w:numId w:val="38"/>
        </w:numPr>
        <w:tabs>
          <w:tab w:val="clear" w:pos="567"/>
          <w:tab w:val="clear" w:pos="1418"/>
          <w:tab w:val="clear" w:pos="1701"/>
        </w:tabs>
        <w:ind w:hanging="567"/>
      </w:pPr>
      <w:r w:rsidRPr="00751725">
        <w:t xml:space="preserve">providing </w:t>
      </w:r>
      <w:r w:rsidR="00DB6CF9">
        <w:t>matched</w:t>
      </w:r>
      <w:r>
        <w:t xml:space="preserve"> </w:t>
      </w:r>
      <w:r w:rsidR="008A033E">
        <w:t>financial</w:t>
      </w:r>
      <w:r>
        <w:t xml:space="preserve"> </w:t>
      </w:r>
      <w:r w:rsidRPr="00751725">
        <w:t>contribution</w:t>
      </w:r>
      <w:r w:rsidR="00305C32">
        <w:t>s</w:t>
      </w:r>
      <w:r w:rsidRPr="00751725">
        <w:t xml:space="preserve"> to support the implementation of this Agreement;</w:t>
      </w:r>
    </w:p>
    <w:p w14:paraId="5ECBE4B2" w14:textId="77777777" w:rsidR="008F44F1" w:rsidRDefault="008F44F1" w:rsidP="009E093C">
      <w:pPr>
        <w:pStyle w:val="AlphaParagraph"/>
        <w:numPr>
          <w:ilvl w:val="0"/>
          <w:numId w:val="34"/>
        </w:numPr>
        <w:tabs>
          <w:tab w:val="clear" w:pos="567"/>
          <w:tab w:val="clear" w:pos="1418"/>
          <w:tab w:val="clear" w:pos="1701"/>
        </w:tabs>
        <w:ind w:hanging="567"/>
      </w:pPr>
      <w:r>
        <w:t>all aspects of delivering on the project outputs set out in this Agreement</w:t>
      </w:r>
      <w:r w:rsidR="0049102E">
        <w:t xml:space="preserve">, including </w:t>
      </w:r>
      <w:r w:rsidR="00634799">
        <w:t xml:space="preserve">submitting </w:t>
      </w:r>
      <w:r w:rsidR="0049102E">
        <w:t>an agreed State Project Proposal</w:t>
      </w:r>
      <w:r>
        <w:t>;</w:t>
      </w:r>
    </w:p>
    <w:p w14:paraId="4F117BD8" w14:textId="77777777" w:rsidR="00A6719E" w:rsidRDefault="00A6719E" w:rsidP="009E093C">
      <w:pPr>
        <w:pStyle w:val="AlphaParagraph"/>
        <w:numPr>
          <w:ilvl w:val="0"/>
          <w:numId w:val="34"/>
        </w:numPr>
        <w:tabs>
          <w:tab w:val="clear" w:pos="567"/>
          <w:tab w:val="clear" w:pos="1418"/>
          <w:tab w:val="clear" w:pos="1701"/>
        </w:tabs>
        <w:ind w:hanging="567"/>
      </w:pPr>
      <w:r w:rsidRPr="006B4DF0">
        <w:t xml:space="preserve">reporting on the delivery of </w:t>
      </w:r>
      <w:r>
        <w:t>outputs</w:t>
      </w:r>
      <w:r w:rsidRPr="006B4DF0">
        <w:t xml:space="preserve"> </w:t>
      </w:r>
      <w:r>
        <w:t>as set out in Part 4</w:t>
      </w:r>
      <w:r w:rsidRPr="006B4DF0">
        <w:t xml:space="preserve"> – P</w:t>
      </w:r>
      <w:r>
        <w:t>roject Milestones, Reporting and Payments</w:t>
      </w:r>
      <w:r w:rsidR="006B43AF">
        <w:t>;</w:t>
      </w:r>
    </w:p>
    <w:p w14:paraId="6CC8FEFC" w14:textId="77777777" w:rsidR="008F44F1" w:rsidRPr="008C1A53" w:rsidRDefault="008F44F1" w:rsidP="009E093C">
      <w:pPr>
        <w:pStyle w:val="AlphaParagraph"/>
        <w:numPr>
          <w:ilvl w:val="0"/>
          <w:numId w:val="34"/>
        </w:numPr>
        <w:tabs>
          <w:tab w:val="clear" w:pos="567"/>
          <w:tab w:val="clear" w:pos="1418"/>
          <w:tab w:val="clear" w:pos="1701"/>
        </w:tabs>
        <w:ind w:hanging="567"/>
      </w:pPr>
      <w:r w:rsidRPr="008C1A53">
        <w:rPr>
          <w:szCs w:val="23"/>
        </w:rPr>
        <w:t xml:space="preserve">ensuring that </w:t>
      </w:r>
      <w:r w:rsidRPr="008C1A53">
        <w:t xml:space="preserve">only a builder or builders accredited under the Australian Government Building and Construction </w:t>
      </w:r>
      <w:r w:rsidR="00281874" w:rsidRPr="008C1A53">
        <w:t>WHS</w:t>
      </w:r>
      <w:r w:rsidRPr="008C1A53">
        <w:t xml:space="preserve"> Accreditation Scheme is contracted, and providing the necessary assurances to the Commonwealth;</w:t>
      </w:r>
      <w:r w:rsidR="00A6719E" w:rsidRPr="008C1A53">
        <w:t xml:space="preserve"> and</w:t>
      </w:r>
    </w:p>
    <w:p w14:paraId="75EAEA80" w14:textId="77777777" w:rsidR="004F5DCD" w:rsidRPr="008C1A53" w:rsidRDefault="004F5DCD" w:rsidP="004F5DCD">
      <w:pPr>
        <w:pStyle w:val="AlphaParagraph"/>
        <w:numPr>
          <w:ilvl w:val="0"/>
          <w:numId w:val="34"/>
        </w:numPr>
        <w:tabs>
          <w:tab w:val="clear" w:pos="567"/>
          <w:tab w:val="clear" w:pos="1418"/>
          <w:tab w:val="clear" w:pos="1701"/>
        </w:tabs>
        <w:ind w:hanging="567"/>
        <w:rPr>
          <w:color w:val="auto"/>
          <w:szCs w:val="23"/>
        </w:rPr>
      </w:pPr>
      <w:proofErr w:type="gramStart"/>
      <w:r w:rsidRPr="008C1A53">
        <w:rPr>
          <w:color w:val="auto"/>
          <w:szCs w:val="23"/>
        </w:rPr>
        <w:t>ensuring</w:t>
      </w:r>
      <w:proofErr w:type="gramEnd"/>
      <w:r w:rsidRPr="008C1A53">
        <w:rPr>
          <w:color w:val="auto"/>
          <w:szCs w:val="23"/>
        </w:rPr>
        <w:t xml:space="preserve"> that compliance with the Building Code 2016</w:t>
      </w:r>
      <w:r w:rsidRPr="008C1A53">
        <w:rPr>
          <w:color w:val="auto"/>
        </w:rPr>
        <w:t xml:space="preserve"> is made a condition of tender for and performance of building work by all contractors and subcontractors, and providing</w:t>
      </w:r>
      <w:r w:rsidRPr="008C1A53">
        <w:rPr>
          <w:color w:val="auto"/>
          <w:szCs w:val="23"/>
        </w:rPr>
        <w:t xml:space="preserve"> the necessary assurances to the Commonwealth.</w:t>
      </w:r>
    </w:p>
    <w:p w14:paraId="50333280" w14:textId="77777777" w:rsidR="008F44F1" w:rsidRDefault="008F44F1" w:rsidP="004F5DCD">
      <w:pPr>
        <w:pStyle w:val="Heading2"/>
      </w:pPr>
      <w:r>
        <w:t>Shared roles</w:t>
      </w:r>
    </w:p>
    <w:p w14:paraId="57253808" w14:textId="77777777" w:rsidR="008F44F1" w:rsidRDefault="008F44F1" w:rsidP="00B619AA">
      <w:pPr>
        <w:pStyle w:val="Normalnumbered"/>
        <w:numPr>
          <w:ilvl w:val="0"/>
          <w:numId w:val="29"/>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49E37B73"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3703BDE0" w14:textId="77777777" w:rsidR="00314775" w:rsidRDefault="00545DF7" w:rsidP="008C1A53">
      <w:pPr>
        <w:pStyle w:val="Normalnumbered"/>
        <w:numPr>
          <w:ilvl w:val="0"/>
          <w:numId w:val="29"/>
        </w:numPr>
      </w:pPr>
      <w:r w:rsidRPr="00DE36EB">
        <w:t>T</w:t>
      </w:r>
      <w:r w:rsidR="007C4F31" w:rsidRPr="00DE36EB">
        <w:t xml:space="preserve">able </w:t>
      </w:r>
      <w:r w:rsidRPr="00DE36EB">
        <w:t>1</w:t>
      </w:r>
      <w:r>
        <w:t xml:space="preserve"> </w:t>
      </w:r>
      <w:r w:rsidR="007C4F31">
        <w:t xml:space="preserve">summarises the milestones for the project, their relationship to the outputs, expected completion dates, relevant reporting dates and expected payments </w:t>
      </w:r>
      <w:r w:rsidR="0077685D">
        <w:t>to be made</w:t>
      </w:r>
      <w:r w:rsidR="00ED2AC4">
        <w:t xml:space="preserve">. The Commonwealth will make payments subject to the annual performance report demonstrating the relevant </w:t>
      </w:r>
      <w:r w:rsidR="00ED2AC4" w:rsidRPr="008C1A53">
        <w:rPr>
          <w:szCs w:val="23"/>
        </w:rPr>
        <w:t xml:space="preserve">milestone </w:t>
      </w:r>
      <w:r w:rsidR="00ED2AC4">
        <w:t>has been met.</w:t>
      </w:r>
    </w:p>
    <w:p w14:paraId="2597FEB6" w14:textId="77777777" w:rsidR="00314775" w:rsidRDefault="00314775" w:rsidP="00314775">
      <w:pPr>
        <w:pStyle w:val="Normalnumbered"/>
        <w:keepNext/>
        <w:numPr>
          <w:ilvl w:val="0"/>
          <w:numId w:val="0"/>
        </w:numPr>
        <w:tabs>
          <w:tab w:val="left" w:pos="720"/>
        </w:tabs>
        <w:rPr>
          <w:b/>
        </w:rPr>
      </w:pPr>
      <w:r>
        <w:rPr>
          <w:b/>
        </w:rPr>
        <w:t>Table 1</w:t>
      </w:r>
      <w:r>
        <w:t xml:space="preserve">: </w:t>
      </w:r>
      <w:r>
        <w:rPr>
          <w:b/>
        </w:rPr>
        <w:t>Performance requirements, reporting and payment summary</w:t>
      </w: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135"/>
        <w:gridCol w:w="1417"/>
        <w:gridCol w:w="1677"/>
      </w:tblGrid>
      <w:tr w:rsidR="00314775" w14:paraId="63BC0DC6" w14:textId="77777777" w:rsidTr="003556C8">
        <w:trPr>
          <w:trHeight w:val="503"/>
          <w:tblHeader/>
        </w:trPr>
        <w:tc>
          <w:tcPr>
            <w:tcW w:w="2518" w:type="dxa"/>
            <w:tcBorders>
              <w:top w:val="single" w:sz="12" w:space="0" w:color="4F81BD"/>
              <w:left w:val="single" w:sz="8" w:space="0" w:color="4F81BD"/>
              <w:bottom w:val="single" w:sz="18" w:space="0" w:color="4F81BD"/>
              <w:right w:val="single" w:sz="8" w:space="0" w:color="4F81BD"/>
            </w:tcBorders>
            <w:hideMark/>
          </w:tcPr>
          <w:p w14:paraId="531358C5" w14:textId="77777777" w:rsidR="00314775" w:rsidRDefault="00314775">
            <w:pPr>
              <w:pStyle w:val="Heading2"/>
              <w:rPr>
                <w:bCs w:val="0"/>
                <w:sz w:val="24"/>
                <w:szCs w:val="24"/>
              </w:rPr>
            </w:pPr>
            <w:r>
              <w:rPr>
                <w:bCs w:val="0"/>
                <w:sz w:val="24"/>
                <w:szCs w:val="24"/>
              </w:rPr>
              <w:t>Outputs</w:t>
            </w:r>
          </w:p>
        </w:tc>
        <w:tc>
          <w:tcPr>
            <w:tcW w:w="4135" w:type="dxa"/>
            <w:tcBorders>
              <w:top w:val="single" w:sz="12" w:space="0" w:color="4F81BD"/>
              <w:left w:val="single" w:sz="8" w:space="0" w:color="4F81BD"/>
              <w:bottom w:val="single" w:sz="18" w:space="0" w:color="4F81BD"/>
              <w:right w:val="single" w:sz="8" w:space="0" w:color="4F81BD"/>
            </w:tcBorders>
            <w:hideMark/>
          </w:tcPr>
          <w:p w14:paraId="28415070" w14:textId="77777777" w:rsidR="00314775" w:rsidRDefault="00314775">
            <w:pPr>
              <w:pStyle w:val="Heading2"/>
              <w:rPr>
                <w:bCs w:val="0"/>
                <w:sz w:val="24"/>
                <w:szCs w:val="24"/>
              </w:rPr>
            </w:pPr>
            <w:r>
              <w:rPr>
                <w:bCs w:val="0"/>
                <w:sz w:val="24"/>
                <w:szCs w:val="24"/>
              </w:rPr>
              <w:t>Performance milestones</w:t>
            </w:r>
          </w:p>
        </w:tc>
        <w:tc>
          <w:tcPr>
            <w:tcW w:w="1417" w:type="dxa"/>
            <w:tcBorders>
              <w:top w:val="single" w:sz="12" w:space="0" w:color="4F81BD"/>
              <w:left w:val="single" w:sz="8" w:space="0" w:color="4F81BD"/>
              <w:bottom w:val="single" w:sz="18" w:space="0" w:color="4F81BD"/>
              <w:right w:val="single" w:sz="8" w:space="0" w:color="4F81BD"/>
            </w:tcBorders>
            <w:hideMark/>
          </w:tcPr>
          <w:p w14:paraId="6CB7AE7A" w14:textId="77777777" w:rsidR="00314775" w:rsidRDefault="00314775">
            <w:pPr>
              <w:pStyle w:val="Heading2"/>
              <w:rPr>
                <w:sz w:val="18"/>
                <w:szCs w:val="18"/>
              </w:rPr>
            </w:pPr>
            <w:r>
              <w:rPr>
                <w:bCs w:val="0"/>
                <w:sz w:val="24"/>
                <w:szCs w:val="24"/>
              </w:rPr>
              <w:t>Report due</w:t>
            </w:r>
          </w:p>
        </w:tc>
        <w:tc>
          <w:tcPr>
            <w:tcW w:w="1677" w:type="dxa"/>
            <w:tcBorders>
              <w:top w:val="single" w:sz="12" w:space="0" w:color="4F81BD"/>
              <w:left w:val="single" w:sz="8" w:space="0" w:color="4F81BD"/>
              <w:bottom w:val="single" w:sz="18" w:space="0" w:color="4F81BD"/>
              <w:right w:val="single" w:sz="8" w:space="0" w:color="4F81BD"/>
            </w:tcBorders>
            <w:hideMark/>
          </w:tcPr>
          <w:p w14:paraId="5DAD7DB2" w14:textId="77777777" w:rsidR="00314775" w:rsidRDefault="00314775">
            <w:pPr>
              <w:pStyle w:val="Heading2"/>
              <w:rPr>
                <w:bCs w:val="0"/>
                <w:sz w:val="24"/>
                <w:szCs w:val="24"/>
              </w:rPr>
            </w:pPr>
            <w:r>
              <w:rPr>
                <w:bCs w:val="0"/>
                <w:sz w:val="24"/>
                <w:szCs w:val="24"/>
              </w:rPr>
              <w:t>Payment</w:t>
            </w:r>
          </w:p>
        </w:tc>
      </w:tr>
      <w:tr w:rsidR="00314775" w14:paraId="024B01A3" w14:textId="77777777" w:rsidTr="003556C8">
        <w:trPr>
          <w:trHeight w:val="850"/>
        </w:trPr>
        <w:tc>
          <w:tcPr>
            <w:tcW w:w="2518" w:type="dxa"/>
            <w:vMerge w:val="restart"/>
            <w:tcBorders>
              <w:top w:val="single" w:sz="8" w:space="0" w:color="4F81BD"/>
              <w:left w:val="single" w:sz="8" w:space="0" w:color="4F81BD"/>
              <w:bottom w:val="single" w:sz="8" w:space="0" w:color="4F81BD"/>
              <w:right w:val="single" w:sz="8" w:space="0" w:color="4F81BD"/>
            </w:tcBorders>
          </w:tcPr>
          <w:p w14:paraId="4069454A" w14:textId="77777777" w:rsidR="00314775" w:rsidRDefault="00314775" w:rsidP="00314775">
            <w:pPr>
              <w:pStyle w:val="AlphaParagraph"/>
              <w:tabs>
                <w:tab w:val="clear" w:pos="0"/>
                <w:tab w:val="clear" w:pos="283"/>
              </w:tabs>
              <w:spacing w:before="180" w:after="120"/>
              <w:ind w:left="284" w:hanging="284"/>
              <w:jc w:val="left"/>
            </w:pPr>
            <w:r>
              <w:rPr>
                <w:b/>
                <w:color w:val="auto"/>
              </w:rPr>
              <w:t xml:space="preserve">In accordance with </w:t>
            </w:r>
            <w:r w:rsidRPr="00314775">
              <w:rPr>
                <w:b/>
                <w:color w:val="auto"/>
              </w:rPr>
              <w:t xml:space="preserve">clause 8 of the Agreement </w:t>
            </w:r>
          </w:p>
        </w:tc>
        <w:tc>
          <w:tcPr>
            <w:tcW w:w="4135" w:type="dxa"/>
            <w:tcBorders>
              <w:top w:val="single" w:sz="8" w:space="0" w:color="4F81BD"/>
              <w:left w:val="single" w:sz="8" w:space="0" w:color="4F81BD"/>
              <w:bottom w:val="single" w:sz="8" w:space="0" w:color="4F81BD"/>
              <w:right w:val="single" w:sz="8" w:space="0" w:color="4F81BD"/>
            </w:tcBorders>
            <w:hideMark/>
          </w:tcPr>
          <w:p w14:paraId="2193F1FD" w14:textId="77777777" w:rsidR="00314775" w:rsidRPr="000373A8" w:rsidRDefault="003556C8" w:rsidP="00292F23">
            <w:pPr>
              <w:pStyle w:val="OutlineNumbered1"/>
              <w:spacing w:after="120"/>
              <w:jc w:val="left"/>
            </w:pPr>
            <w:r w:rsidRPr="000373A8">
              <w:rPr>
                <w:color w:val="auto"/>
                <w:szCs w:val="23"/>
              </w:rPr>
              <w:t>Completion of scheduled stages/</w:t>
            </w:r>
            <w:r w:rsidR="00DC0D77" w:rsidRPr="000373A8">
              <w:rPr>
                <w:color w:val="auto"/>
                <w:szCs w:val="23"/>
              </w:rPr>
              <w:t xml:space="preserve">activities </w:t>
            </w:r>
            <w:r w:rsidRPr="000373A8">
              <w:rPr>
                <w:color w:val="auto"/>
                <w:szCs w:val="23"/>
              </w:rPr>
              <w:t>in accordance with the agreed</w:t>
            </w:r>
            <w:r w:rsidR="00C0189C" w:rsidRPr="000373A8">
              <w:rPr>
                <w:color w:val="auto"/>
                <w:szCs w:val="23"/>
              </w:rPr>
              <w:t xml:space="preserve"> State</w:t>
            </w:r>
            <w:r w:rsidRPr="000373A8">
              <w:rPr>
                <w:color w:val="auto"/>
                <w:szCs w:val="23"/>
              </w:rPr>
              <w:t xml:space="preserve"> Project </w:t>
            </w:r>
            <w:r w:rsidR="00292F23" w:rsidRPr="000373A8">
              <w:rPr>
                <w:color w:val="auto"/>
                <w:szCs w:val="23"/>
              </w:rPr>
              <w:t>S</w:t>
            </w:r>
            <w:r w:rsidR="004D0549" w:rsidRPr="000373A8">
              <w:rPr>
                <w:color w:val="auto"/>
                <w:szCs w:val="23"/>
              </w:rPr>
              <w:t>ummary</w:t>
            </w:r>
            <w:r w:rsidRPr="000373A8">
              <w:rPr>
                <w:color w:val="auto"/>
                <w:szCs w:val="23"/>
              </w:rPr>
              <w:t>.</w:t>
            </w:r>
          </w:p>
        </w:tc>
        <w:tc>
          <w:tcPr>
            <w:tcW w:w="1417" w:type="dxa"/>
            <w:tcBorders>
              <w:top w:val="single" w:sz="8" w:space="0" w:color="4F81BD"/>
              <w:left w:val="single" w:sz="8" w:space="0" w:color="4F81BD"/>
              <w:bottom w:val="single" w:sz="8" w:space="0" w:color="4F81BD"/>
              <w:right w:val="single" w:sz="8" w:space="0" w:color="4F81BD"/>
            </w:tcBorders>
            <w:hideMark/>
          </w:tcPr>
          <w:p w14:paraId="43B7430A" w14:textId="77777777" w:rsidR="00314775" w:rsidRPr="000373A8" w:rsidRDefault="004E5AEA" w:rsidP="004D0549">
            <w:pPr>
              <w:pStyle w:val="Heading2"/>
              <w:jc w:val="center"/>
              <w:rPr>
                <w:b w:val="0"/>
                <w:color w:val="auto"/>
                <w:sz w:val="23"/>
                <w:szCs w:val="23"/>
              </w:rPr>
            </w:pPr>
            <w:r>
              <w:rPr>
                <w:b w:val="0"/>
                <w:color w:val="auto"/>
                <w:sz w:val="23"/>
                <w:szCs w:val="23"/>
              </w:rPr>
              <w:t>0</w:t>
            </w:r>
            <w:r w:rsidR="000373A8" w:rsidRPr="000373A8">
              <w:rPr>
                <w:b w:val="0"/>
                <w:color w:val="auto"/>
                <w:sz w:val="23"/>
                <w:szCs w:val="23"/>
              </w:rPr>
              <w:t>3</w:t>
            </w:r>
            <w:r w:rsidR="00314775" w:rsidRPr="000373A8">
              <w:rPr>
                <w:b w:val="0"/>
                <w:color w:val="auto"/>
                <w:sz w:val="23"/>
                <w:szCs w:val="23"/>
              </w:rPr>
              <w:t xml:space="preserve"> </w:t>
            </w:r>
            <w:r w:rsidR="004D0549" w:rsidRPr="000373A8">
              <w:rPr>
                <w:b w:val="0"/>
                <w:color w:val="auto"/>
                <w:sz w:val="23"/>
                <w:szCs w:val="23"/>
              </w:rPr>
              <w:t>May</w:t>
            </w:r>
            <w:r w:rsidR="003556C8" w:rsidRPr="000373A8">
              <w:rPr>
                <w:b w:val="0"/>
                <w:color w:val="auto"/>
                <w:sz w:val="23"/>
                <w:szCs w:val="23"/>
              </w:rPr>
              <w:t xml:space="preserve"> </w:t>
            </w:r>
            <w:r w:rsidR="00314775" w:rsidRPr="000373A8">
              <w:rPr>
                <w:b w:val="0"/>
                <w:color w:val="auto"/>
                <w:sz w:val="23"/>
                <w:szCs w:val="23"/>
              </w:rPr>
              <w:t>2021</w:t>
            </w:r>
          </w:p>
        </w:tc>
        <w:tc>
          <w:tcPr>
            <w:tcW w:w="1677" w:type="dxa"/>
            <w:tcBorders>
              <w:top w:val="single" w:sz="8" w:space="0" w:color="4F81BD"/>
              <w:left w:val="single" w:sz="8" w:space="0" w:color="4F81BD"/>
              <w:bottom w:val="single" w:sz="8" w:space="0" w:color="4F81BD"/>
              <w:right w:val="single" w:sz="8" w:space="0" w:color="4F81BD"/>
            </w:tcBorders>
            <w:hideMark/>
          </w:tcPr>
          <w:p w14:paraId="68939F16" w14:textId="77777777" w:rsidR="00314775" w:rsidRDefault="003556C8" w:rsidP="00314775">
            <w:pPr>
              <w:pStyle w:val="Heading2"/>
              <w:jc w:val="center"/>
              <w:rPr>
                <w:b w:val="0"/>
                <w:color w:val="auto"/>
                <w:sz w:val="23"/>
                <w:szCs w:val="23"/>
              </w:rPr>
            </w:pPr>
            <w:r>
              <w:rPr>
                <w:b w:val="0"/>
                <w:color w:val="auto"/>
                <w:sz w:val="23"/>
                <w:szCs w:val="23"/>
              </w:rPr>
              <w:t>Payment to each state as set out in Table 2 of the Agreement</w:t>
            </w:r>
          </w:p>
        </w:tc>
      </w:tr>
      <w:tr w:rsidR="003556C8" w14:paraId="30216CAA" w14:textId="77777777" w:rsidTr="003556C8">
        <w:trPr>
          <w:trHeight w:val="850"/>
        </w:trPr>
        <w:tc>
          <w:tcPr>
            <w:tcW w:w="2518" w:type="dxa"/>
            <w:vMerge/>
            <w:tcBorders>
              <w:top w:val="single" w:sz="8" w:space="0" w:color="4F81BD"/>
              <w:left w:val="single" w:sz="8" w:space="0" w:color="4F81BD"/>
              <w:bottom w:val="single" w:sz="8" w:space="0" w:color="4F81BD"/>
              <w:right w:val="single" w:sz="8" w:space="0" w:color="4F81BD"/>
            </w:tcBorders>
            <w:vAlign w:val="center"/>
            <w:hideMark/>
          </w:tcPr>
          <w:p w14:paraId="128A7A3F" w14:textId="77777777" w:rsidR="003556C8" w:rsidRDefault="003556C8" w:rsidP="003556C8">
            <w:pPr>
              <w:spacing w:after="0" w:line="240" w:lineRule="auto"/>
              <w:jc w:val="left"/>
            </w:pPr>
          </w:p>
        </w:tc>
        <w:tc>
          <w:tcPr>
            <w:tcW w:w="4135" w:type="dxa"/>
            <w:tcBorders>
              <w:top w:val="single" w:sz="8" w:space="0" w:color="4F81BD"/>
              <w:left w:val="single" w:sz="8" w:space="0" w:color="4F81BD"/>
              <w:bottom w:val="single" w:sz="8" w:space="0" w:color="4F81BD"/>
              <w:right w:val="single" w:sz="8" w:space="0" w:color="4F81BD"/>
            </w:tcBorders>
            <w:hideMark/>
          </w:tcPr>
          <w:p w14:paraId="658086EC" w14:textId="77777777" w:rsidR="003556C8" w:rsidRPr="000373A8" w:rsidRDefault="003556C8" w:rsidP="00292F23">
            <w:pPr>
              <w:pStyle w:val="OutlineNumbered1"/>
              <w:jc w:val="left"/>
            </w:pPr>
            <w:r w:rsidRPr="000373A8">
              <w:rPr>
                <w:color w:val="auto"/>
                <w:szCs w:val="23"/>
              </w:rPr>
              <w:t>Completion of scheduled stages/</w:t>
            </w:r>
            <w:r w:rsidR="00DC0D77" w:rsidRPr="000373A8">
              <w:rPr>
                <w:color w:val="auto"/>
                <w:szCs w:val="23"/>
              </w:rPr>
              <w:t xml:space="preserve">activities </w:t>
            </w:r>
            <w:r w:rsidRPr="000373A8">
              <w:rPr>
                <w:color w:val="auto"/>
                <w:szCs w:val="23"/>
              </w:rPr>
              <w:t xml:space="preserve">in accordance with the agreed </w:t>
            </w:r>
            <w:r w:rsidR="00C0189C" w:rsidRPr="000373A8">
              <w:rPr>
                <w:color w:val="auto"/>
                <w:szCs w:val="23"/>
              </w:rPr>
              <w:t xml:space="preserve">State </w:t>
            </w:r>
            <w:r w:rsidRPr="000373A8">
              <w:rPr>
                <w:color w:val="auto"/>
                <w:szCs w:val="23"/>
              </w:rPr>
              <w:t xml:space="preserve">Project </w:t>
            </w:r>
            <w:r w:rsidR="00292F23" w:rsidRPr="000373A8">
              <w:rPr>
                <w:color w:val="auto"/>
                <w:szCs w:val="23"/>
              </w:rPr>
              <w:t>S</w:t>
            </w:r>
            <w:r w:rsidR="004D0549" w:rsidRPr="000373A8">
              <w:rPr>
                <w:color w:val="auto"/>
                <w:szCs w:val="23"/>
              </w:rPr>
              <w:t>ummary.</w:t>
            </w:r>
            <w:r w:rsidRPr="000373A8">
              <w:rPr>
                <w:color w:val="auto"/>
                <w:szCs w:val="23"/>
              </w:rPr>
              <w:t xml:space="preserve"> </w:t>
            </w:r>
          </w:p>
        </w:tc>
        <w:tc>
          <w:tcPr>
            <w:tcW w:w="1417" w:type="dxa"/>
            <w:tcBorders>
              <w:top w:val="single" w:sz="8" w:space="0" w:color="4F81BD"/>
              <w:left w:val="single" w:sz="8" w:space="0" w:color="4F81BD"/>
              <w:bottom w:val="single" w:sz="8" w:space="0" w:color="4F81BD"/>
              <w:right w:val="single" w:sz="8" w:space="0" w:color="4F81BD"/>
            </w:tcBorders>
            <w:hideMark/>
          </w:tcPr>
          <w:p w14:paraId="0EC4F9E2" w14:textId="77777777" w:rsidR="003556C8" w:rsidRPr="000373A8" w:rsidRDefault="004E5AEA" w:rsidP="004D0549">
            <w:pPr>
              <w:pStyle w:val="Heading2"/>
              <w:jc w:val="center"/>
              <w:rPr>
                <w:b w:val="0"/>
                <w:color w:val="auto"/>
                <w:sz w:val="23"/>
                <w:szCs w:val="23"/>
              </w:rPr>
            </w:pPr>
            <w:r>
              <w:rPr>
                <w:b w:val="0"/>
                <w:color w:val="auto"/>
                <w:sz w:val="23"/>
                <w:szCs w:val="23"/>
              </w:rPr>
              <w:t>0</w:t>
            </w:r>
            <w:r w:rsidR="000373A8" w:rsidRPr="000373A8">
              <w:rPr>
                <w:b w:val="0"/>
                <w:color w:val="auto"/>
                <w:sz w:val="23"/>
                <w:szCs w:val="23"/>
              </w:rPr>
              <w:t>3</w:t>
            </w:r>
            <w:r w:rsidR="003556C8" w:rsidRPr="000373A8">
              <w:rPr>
                <w:b w:val="0"/>
                <w:color w:val="auto"/>
                <w:sz w:val="23"/>
                <w:szCs w:val="23"/>
              </w:rPr>
              <w:t xml:space="preserve"> Ma</w:t>
            </w:r>
            <w:r w:rsidR="004D0549" w:rsidRPr="000373A8">
              <w:rPr>
                <w:b w:val="0"/>
                <w:color w:val="auto"/>
                <w:sz w:val="23"/>
                <w:szCs w:val="23"/>
              </w:rPr>
              <w:t>y</w:t>
            </w:r>
            <w:r w:rsidR="003556C8" w:rsidRPr="000373A8">
              <w:rPr>
                <w:b w:val="0"/>
                <w:color w:val="auto"/>
                <w:sz w:val="23"/>
                <w:szCs w:val="23"/>
              </w:rPr>
              <w:t xml:space="preserve"> 2022</w:t>
            </w:r>
          </w:p>
        </w:tc>
        <w:tc>
          <w:tcPr>
            <w:tcW w:w="1677" w:type="dxa"/>
            <w:tcBorders>
              <w:top w:val="single" w:sz="8" w:space="0" w:color="4F81BD"/>
              <w:left w:val="single" w:sz="8" w:space="0" w:color="4F81BD"/>
              <w:bottom w:val="single" w:sz="8" w:space="0" w:color="4F81BD"/>
              <w:right w:val="single" w:sz="8" w:space="0" w:color="4F81BD"/>
            </w:tcBorders>
            <w:hideMark/>
          </w:tcPr>
          <w:p w14:paraId="35B30707" w14:textId="77777777" w:rsidR="003556C8" w:rsidRDefault="003556C8" w:rsidP="003556C8">
            <w:pPr>
              <w:pStyle w:val="Heading2"/>
              <w:jc w:val="center"/>
              <w:rPr>
                <w:b w:val="0"/>
                <w:color w:val="auto"/>
                <w:sz w:val="23"/>
                <w:szCs w:val="23"/>
              </w:rPr>
            </w:pPr>
            <w:r>
              <w:rPr>
                <w:b w:val="0"/>
                <w:color w:val="auto"/>
                <w:sz w:val="23"/>
                <w:szCs w:val="23"/>
              </w:rPr>
              <w:t>Payment to each state as set out in Table 2 of the Agreement</w:t>
            </w:r>
          </w:p>
        </w:tc>
      </w:tr>
    </w:tbl>
    <w:p w14:paraId="0D52766D" w14:textId="77777777" w:rsidR="00314775" w:rsidRDefault="00314775" w:rsidP="00314775">
      <w:pPr>
        <w:spacing w:after="0" w:line="240" w:lineRule="auto"/>
        <w:jc w:val="left"/>
        <w:rPr>
          <w:lang w:val="en-GB"/>
        </w:rPr>
      </w:pPr>
    </w:p>
    <w:p w14:paraId="2F95DDB5" w14:textId="77777777" w:rsidR="00172360" w:rsidRDefault="002E144A" w:rsidP="00172360">
      <w:pPr>
        <w:pStyle w:val="Normalnumbered"/>
        <w:numPr>
          <w:ilvl w:val="0"/>
          <w:numId w:val="29"/>
        </w:numPr>
      </w:pPr>
      <w:r>
        <w:t>If</w:t>
      </w:r>
      <w:r w:rsidR="00172360" w:rsidRPr="00804105">
        <w:t xml:space="preserve"> a milestone is met in advance of the due date, </w:t>
      </w:r>
      <w:r>
        <w:t xml:space="preserve">where </w:t>
      </w:r>
      <w:r w:rsidR="00172360" w:rsidRPr="00804105">
        <w:t xml:space="preserve">the relevant </w:t>
      </w:r>
      <w:r w:rsidR="00EA77DE">
        <w:t>evidence</w:t>
      </w:r>
      <w:r w:rsidR="00172360" w:rsidRPr="00804105">
        <w:t xml:space="preserve">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r w:rsidR="00172360">
        <w:t xml:space="preserve"> </w:t>
      </w:r>
    </w:p>
    <w:p w14:paraId="236745BE" w14:textId="77777777" w:rsidR="00F3245D" w:rsidRDefault="00F3245D" w:rsidP="00F3245D">
      <w:pPr>
        <w:pStyle w:val="Heading2"/>
      </w:pPr>
      <w:r>
        <w:t>Reporting arrangements</w:t>
      </w:r>
    </w:p>
    <w:p w14:paraId="4BEB4D75" w14:textId="77777777" w:rsidR="00ED2AC4" w:rsidRDefault="009E151E" w:rsidP="00ED2AC4">
      <w:pPr>
        <w:pStyle w:val="Normalnumbered"/>
        <w:numPr>
          <w:ilvl w:val="0"/>
          <w:numId w:val="29"/>
        </w:numPr>
        <w:spacing w:before="120" w:line="240" w:lineRule="auto"/>
        <w:rPr>
          <w:szCs w:val="23"/>
        </w:rPr>
      </w:pPr>
      <w:r>
        <w:t>The</w:t>
      </w:r>
      <w:r w:rsidR="008915E2">
        <w:t xml:space="preserve"> States </w:t>
      </w:r>
      <w:r>
        <w:t xml:space="preserve">will </w:t>
      </w:r>
      <w:r w:rsidR="0095223D">
        <w:t xml:space="preserve">provide performance reports in accordance with </w:t>
      </w:r>
      <w:r w:rsidR="00C2605C">
        <w:t>T</w:t>
      </w:r>
      <w:r w:rsidR="0095223D">
        <w:t xml:space="preserve">able </w:t>
      </w:r>
      <w:r w:rsidR="00C2605C">
        <w:t xml:space="preserve">1 </w:t>
      </w:r>
      <w:r>
        <w:t>during</w:t>
      </w:r>
      <w:r w:rsidR="00C42ACA">
        <w:t xml:space="preserve"> </w:t>
      </w:r>
      <w:r>
        <w:t>t</w:t>
      </w:r>
      <w:r w:rsidR="00515AF2">
        <w:t xml:space="preserve">he operation of the Agreement.  </w:t>
      </w:r>
      <w:r w:rsidR="0095223D">
        <w:t>Each performance report is to contai</w:t>
      </w:r>
      <w:r w:rsidR="00ED2AC4">
        <w:t>n a description of actual performance in the period to date against the project milestones.</w:t>
      </w:r>
      <w:r w:rsidR="00ED2AC4">
        <w:rPr>
          <w:szCs w:val="23"/>
        </w:rPr>
        <w:t xml:space="preserve"> </w:t>
      </w:r>
    </w:p>
    <w:p w14:paraId="1D076DA1" w14:textId="77777777" w:rsidR="008E7527" w:rsidRDefault="008E7527" w:rsidP="009E093C">
      <w:pPr>
        <w:pStyle w:val="Heading1"/>
      </w:pPr>
      <w:r>
        <w:t>Part 5</w:t>
      </w:r>
      <w:r w:rsidRPr="00751725">
        <w:t xml:space="preserve"> — financial arrangements</w:t>
      </w:r>
    </w:p>
    <w:p w14:paraId="41057116" w14:textId="77777777" w:rsidR="008E7527" w:rsidRDefault="008E7527" w:rsidP="009E093C">
      <w:pPr>
        <w:pStyle w:val="Normalnumbered"/>
        <w:numPr>
          <w:ilvl w:val="0"/>
          <w:numId w:val="29"/>
        </w:numPr>
        <w:jc w:val="left"/>
      </w:pPr>
      <w:r>
        <w:t xml:space="preserve"> </w:t>
      </w: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t xml:space="preserve">the States of </w:t>
      </w:r>
      <w:r w:rsidRPr="00CD526B">
        <w:t>$</w:t>
      </w:r>
      <w:r w:rsidR="000D0C30">
        <w:t>50</w:t>
      </w:r>
      <w:r w:rsidR="00321777">
        <w:t> </w:t>
      </w:r>
      <w:r>
        <w:t>m</w:t>
      </w:r>
      <w:r w:rsidR="00321777">
        <w:t>illion</w:t>
      </w:r>
      <w:r>
        <w:t xml:space="preserve"> in respect of this Agreement. </w:t>
      </w:r>
      <w:r w:rsidRPr="000E48C3">
        <w:t xml:space="preserve"> </w:t>
      </w:r>
      <w:r>
        <w:t>All payments are GST exclusive.</w:t>
      </w:r>
    </w:p>
    <w:p w14:paraId="08D02A4B" w14:textId="77777777" w:rsidR="008E7527" w:rsidRDefault="005A5E7A" w:rsidP="00B619AA">
      <w:pPr>
        <w:pStyle w:val="Normalnumbered"/>
        <w:numPr>
          <w:ilvl w:val="0"/>
          <w:numId w:val="29"/>
        </w:numPr>
      </w:pPr>
      <w:r>
        <w:t>T</w:t>
      </w:r>
      <w:r w:rsidR="008E7527" w:rsidRPr="002B7E1B">
        <w:t xml:space="preserve">he Commonwealth’s funding contribution will be </w:t>
      </w:r>
      <w:r w:rsidR="00EA77DE">
        <w:t>contingent on match</w:t>
      </w:r>
      <w:r w:rsidR="00F9504B">
        <w:t>ed</w:t>
      </w:r>
      <w:r w:rsidR="00EA77DE">
        <w:t xml:space="preserve"> funding contribution</w:t>
      </w:r>
      <w:r w:rsidR="00F9504B">
        <w:t>s</w:t>
      </w:r>
      <w:r w:rsidR="00EA77DE">
        <w:t xml:space="preserve"> from </w:t>
      </w:r>
      <w:r w:rsidR="008E7527" w:rsidRPr="002B7E1B">
        <w:t xml:space="preserve">States </w:t>
      </w:r>
      <w:r w:rsidR="00EA77DE">
        <w:t xml:space="preserve">and will not be reduced where the States </w:t>
      </w:r>
      <w:r w:rsidR="008E7527" w:rsidRPr="002B7E1B">
        <w:t>secure funding from other activity partners</w:t>
      </w:r>
      <w:r w:rsidR="002E144A">
        <w:t>.</w:t>
      </w:r>
    </w:p>
    <w:p w14:paraId="34F335CB" w14:textId="77777777" w:rsidR="00135FA3" w:rsidRDefault="008E7527" w:rsidP="00135FA3">
      <w:pPr>
        <w:pStyle w:val="Normalnumbered"/>
        <w:keepNext/>
        <w:keepLines/>
        <w:numPr>
          <w:ilvl w:val="0"/>
          <w:numId w:val="29"/>
        </w:numPr>
      </w:pPr>
      <w:r w:rsidRPr="00751725">
        <w:t>The Commonwealth</w:t>
      </w:r>
      <w:r>
        <w:t>’s</w:t>
      </w:r>
      <w:r w:rsidRPr="00751725">
        <w:t xml:space="preserve"> and the </w:t>
      </w:r>
      <w:r w:rsidR="008915E2">
        <w:t>States</w:t>
      </w:r>
      <w:r w:rsidR="00AB528B">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C2605C">
        <w:t>, are shown in Table 2</w:t>
      </w:r>
      <w:r w:rsidRPr="00751725">
        <w:t>.</w:t>
      </w:r>
      <w:r w:rsidR="00135FA3">
        <w:br/>
      </w:r>
      <w:r w:rsidR="00135FA3">
        <w:br/>
      </w:r>
    </w:p>
    <w:p w14:paraId="71638F93" w14:textId="77777777" w:rsidR="00135FA3" w:rsidRDefault="00135FA3">
      <w:pPr>
        <w:spacing w:after="0" w:line="240" w:lineRule="auto"/>
        <w:jc w:val="left"/>
      </w:pPr>
      <w:r>
        <w:br w:type="page"/>
      </w:r>
    </w:p>
    <w:p w14:paraId="1387EAA6" w14:textId="77777777" w:rsidR="008E7527" w:rsidRPr="00A05C1E" w:rsidRDefault="00E204BB" w:rsidP="00E204BB">
      <w:pPr>
        <w:pStyle w:val="Normalnumbered"/>
        <w:numPr>
          <w:ilvl w:val="0"/>
          <w:numId w:val="0"/>
        </w:numPr>
        <w:rPr>
          <w:b/>
          <w:i/>
        </w:rPr>
      </w:pPr>
      <w:r>
        <w:rPr>
          <w:b/>
        </w:rPr>
        <w:t>Table 2</w:t>
      </w:r>
      <w:r w:rsidR="008E7527" w:rsidRPr="00E204BB">
        <w:rPr>
          <w:b/>
        </w:rPr>
        <w:t xml:space="preserve">: Estimated financial contributions </w:t>
      </w:r>
    </w:p>
    <w:tbl>
      <w:tblPr>
        <w:tblW w:w="9846" w:type="dxa"/>
        <w:tblLook w:val="01E0" w:firstRow="1" w:lastRow="1" w:firstColumn="1" w:lastColumn="1" w:noHBand="0" w:noVBand="0"/>
      </w:tblPr>
      <w:tblGrid>
        <w:gridCol w:w="5950"/>
        <w:gridCol w:w="1582"/>
        <w:gridCol w:w="1157"/>
        <w:gridCol w:w="1157"/>
      </w:tblGrid>
      <w:tr w:rsidR="00EA77DE" w14:paraId="4ECECE2B" w14:textId="77777777" w:rsidTr="001607E7">
        <w:trPr>
          <w:cantSplit/>
        </w:trPr>
        <w:tc>
          <w:tcPr>
            <w:tcW w:w="5954" w:type="dxa"/>
            <w:tcBorders>
              <w:top w:val="single" w:sz="4" w:space="0" w:color="000080"/>
            </w:tcBorders>
          </w:tcPr>
          <w:p w14:paraId="604199AD" w14:textId="77777777" w:rsidR="00EA77DE" w:rsidRPr="00C2711B" w:rsidRDefault="00EA77DE" w:rsidP="00AB71A5">
            <w:pPr>
              <w:keepNext/>
              <w:keepLines/>
              <w:spacing w:before="40" w:after="40"/>
              <w:jc w:val="left"/>
              <w:rPr>
                <w:b/>
              </w:rPr>
            </w:pPr>
            <w:r w:rsidRPr="00C2711B">
              <w:rPr>
                <w:b/>
              </w:rPr>
              <w:t>($ million)</w:t>
            </w:r>
          </w:p>
        </w:tc>
        <w:tc>
          <w:tcPr>
            <w:tcW w:w="0" w:type="auto"/>
            <w:tcBorders>
              <w:top w:val="single" w:sz="4" w:space="0" w:color="000080"/>
              <w:bottom w:val="single" w:sz="4" w:space="0" w:color="000080"/>
            </w:tcBorders>
          </w:tcPr>
          <w:p w14:paraId="4FB1649A" w14:textId="77777777" w:rsidR="00EA77DE" w:rsidRDefault="00A166DB" w:rsidP="007D214B">
            <w:pPr>
              <w:keepNext/>
              <w:keepLines/>
              <w:spacing w:before="40" w:after="40"/>
              <w:jc w:val="right"/>
            </w:pPr>
            <w:r>
              <w:t>202</w:t>
            </w:r>
            <w:r w:rsidR="007D214B">
              <w:t>0</w:t>
            </w:r>
            <w:r>
              <w:t>-2</w:t>
            </w:r>
            <w:r w:rsidR="007D214B">
              <w:t>1</w:t>
            </w:r>
          </w:p>
        </w:tc>
        <w:tc>
          <w:tcPr>
            <w:tcW w:w="0" w:type="auto"/>
            <w:tcBorders>
              <w:top w:val="single" w:sz="4" w:space="0" w:color="000080"/>
              <w:bottom w:val="single" w:sz="4" w:space="0" w:color="000080"/>
            </w:tcBorders>
          </w:tcPr>
          <w:p w14:paraId="636D5138" w14:textId="77777777" w:rsidR="00EA77DE" w:rsidRDefault="00A166DB" w:rsidP="00AB71A5">
            <w:pPr>
              <w:keepNext/>
              <w:keepLines/>
              <w:spacing w:before="40" w:after="40"/>
              <w:jc w:val="right"/>
            </w:pPr>
            <w:r>
              <w:t>202</w:t>
            </w:r>
            <w:r w:rsidR="007D214B">
              <w:t>1</w:t>
            </w:r>
            <w:r>
              <w:t>-2</w:t>
            </w:r>
            <w:r w:rsidR="007D214B">
              <w:t>2</w:t>
            </w:r>
          </w:p>
        </w:tc>
        <w:tc>
          <w:tcPr>
            <w:tcW w:w="0" w:type="auto"/>
            <w:tcBorders>
              <w:top w:val="single" w:sz="4" w:space="0" w:color="000080"/>
              <w:bottom w:val="single" w:sz="4" w:space="0" w:color="000080"/>
            </w:tcBorders>
          </w:tcPr>
          <w:p w14:paraId="73D1B30C" w14:textId="77777777" w:rsidR="00EA77DE" w:rsidRDefault="00EA77DE" w:rsidP="00AB71A5">
            <w:pPr>
              <w:keepNext/>
              <w:keepLines/>
              <w:spacing w:before="40" w:after="40"/>
              <w:jc w:val="right"/>
            </w:pPr>
            <w:r>
              <w:t>Total</w:t>
            </w:r>
          </w:p>
        </w:tc>
      </w:tr>
      <w:tr w:rsidR="00EA77DE" w14:paraId="187E6B35" w14:textId="77777777" w:rsidTr="001607E7">
        <w:trPr>
          <w:cantSplit/>
        </w:trPr>
        <w:tc>
          <w:tcPr>
            <w:tcW w:w="5954" w:type="dxa"/>
          </w:tcPr>
          <w:p w14:paraId="6EC8165E" w14:textId="77777777" w:rsidR="00EA77DE" w:rsidRPr="005B4C1B" w:rsidRDefault="00EA77DE" w:rsidP="00AB71A5">
            <w:pPr>
              <w:keepNext/>
              <w:keepLines/>
              <w:spacing w:before="60" w:after="60"/>
              <w:rPr>
                <w:b/>
              </w:rPr>
            </w:pPr>
            <w:r w:rsidRPr="005B4C1B">
              <w:rPr>
                <w:b/>
              </w:rPr>
              <w:t>Estimated total budget</w:t>
            </w:r>
          </w:p>
        </w:tc>
        <w:tc>
          <w:tcPr>
            <w:tcW w:w="0" w:type="auto"/>
            <w:tcBorders>
              <w:top w:val="single" w:sz="4" w:space="0" w:color="000080"/>
            </w:tcBorders>
          </w:tcPr>
          <w:p w14:paraId="0D0F10AF" w14:textId="77777777" w:rsidR="00EA77DE" w:rsidRPr="005B4C1B" w:rsidRDefault="008915E2" w:rsidP="00AB71A5">
            <w:pPr>
              <w:keepNext/>
              <w:keepLines/>
              <w:spacing w:before="40" w:after="40"/>
              <w:jc w:val="right"/>
              <w:rPr>
                <w:b/>
              </w:rPr>
            </w:pPr>
            <w:r>
              <w:rPr>
                <w:b/>
              </w:rPr>
              <w:t>25</w:t>
            </w:r>
            <w:r w:rsidR="00EA77DE" w:rsidRPr="005B4C1B">
              <w:rPr>
                <w:b/>
              </w:rPr>
              <w:t>.0</w:t>
            </w:r>
            <w:r w:rsidR="00401C27">
              <w:rPr>
                <w:b/>
              </w:rPr>
              <w:t>00</w:t>
            </w:r>
          </w:p>
        </w:tc>
        <w:tc>
          <w:tcPr>
            <w:tcW w:w="0" w:type="auto"/>
            <w:tcBorders>
              <w:top w:val="single" w:sz="4" w:space="0" w:color="000080"/>
            </w:tcBorders>
          </w:tcPr>
          <w:p w14:paraId="15FFB8DB" w14:textId="77777777" w:rsidR="00EA77DE" w:rsidRPr="005B4C1B" w:rsidRDefault="008915E2" w:rsidP="00AB71A5">
            <w:pPr>
              <w:keepNext/>
              <w:keepLines/>
              <w:spacing w:before="40" w:after="40"/>
              <w:jc w:val="right"/>
              <w:rPr>
                <w:b/>
              </w:rPr>
            </w:pPr>
            <w:r>
              <w:rPr>
                <w:b/>
              </w:rPr>
              <w:t>25</w:t>
            </w:r>
            <w:r w:rsidR="00EA77DE" w:rsidRPr="005B4C1B">
              <w:rPr>
                <w:b/>
              </w:rPr>
              <w:t>.0</w:t>
            </w:r>
            <w:r w:rsidR="00401C27">
              <w:rPr>
                <w:b/>
              </w:rPr>
              <w:t>00</w:t>
            </w:r>
          </w:p>
        </w:tc>
        <w:tc>
          <w:tcPr>
            <w:tcW w:w="0" w:type="auto"/>
            <w:tcBorders>
              <w:top w:val="single" w:sz="4" w:space="0" w:color="000080"/>
            </w:tcBorders>
          </w:tcPr>
          <w:p w14:paraId="0E6374A4" w14:textId="77777777" w:rsidR="00EA77DE" w:rsidRPr="005B4C1B" w:rsidRDefault="008915E2" w:rsidP="00AB71A5">
            <w:pPr>
              <w:keepNext/>
              <w:keepLines/>
              <w:spacing w:before="40" w:after="40"/>
              <w:jc w:val="right"/>
              <w:rPr>
                <w:b/>
              </w:rPr>
            </w:pPr>
            <w:r>
              <w:rPr>
                <w:b/>
              </w:rPr>
              <w:t>50</w:t>
            </w:r>
            <w:r w:rsidR="00EA77DE" w:rsidRPr="005B4C1B">
              <w:rPr>
                <w:b/>
              </w:rPr>
              <w:t>.0</w:t>
            </w:r>
            <w:r w:rsidR="00401C27">
              <w:rPr>
                <w:b/>
              </w:rPr>
              <w:t>00</w:t>
            </w:r>
          </w:p>
        </w:tc>
      </w:tr>
      <w:tr w:rsidR="008915E2" w:rsidRPr="00AB528B" w14:paraId="4353DEDA" w14:textId="77777777" w:rsidTr="001607E7">
        <w:trPr>
          <w:cantSplit/>
        </w:trPr>
        <w:tc>
          <w:tcPr>
            <w:tcW w:w="5954" w:type="dxa"/>
          </w:tcPr>
          <w:p w14:paraId="44E38980" w14:textId="77777777" w:rsidR="008915E2" w:rsidRPr="009A7AAE" w:rsidRDefault="008915E2" w:rsidP="00DC0D77">
            <w:pPr>
              <w:keepNext/>
              <w:keepLines/>
              <w:spacing w:before="60" w:after="60"/>
              <w:ind w:left="274"/>
              <w:rPr>
                <w:b/>
              </w:rPr>
            </w:pPr>
            <w:r w:rsidRPr="009A7AAE">
              <w:rPr>
                <w:b/>
              </w:rPr>
              <w:t>New South Wales</w:t>
            </w:r>
          </w:p>
        </w:tc>
        <w:tc>
          <w:tcPr>
            <w:tcW w:w="0" w:type="auto"/>
            <w:tcBorders>
              <w:top w:val="single" w:sz="4" w:space="0" w:color="000080"/>
            </w:tcBorders>
          </w:tcPr>
          <w:p w14:paraId="681EC4A5" w14:textId="77777777" w:rsidR="008915E2" w:rsidRPr="009A7AAE" w:rsidDel="008915E2" w:rsidRDefault="004A6045" w:rsidP="00AB71A5">
            <w:pPr>
              <w:keepNext/>
              <w:keepLines/>
              <w:spacing w:before="40" w:after="40"/>
              <w:jc w:val="right"/>
              <w:rPr>
                <w:b/>
              </w:rPr>
            </w:pPr>
            <w:r>
              <w:rPr>
                <w:b/>
              </w:rPr>
              <w:t>5.0</w:t>
            </w:r>
            <w:r w:rsidR="00401C27">
              <w:rPr>
                <w:b/>
              </w:rPr>
              <w:t>00</w:t>
            </w:r>
          </w:p>
        </w:tc>
        <w:tc>
          <w:tcPr>
            <w:tcW w:w="0" w:type="auto"/>
            <w:tcBorders>
              <w:top w:val="single" w:sz="4" w:space="0" w:color="000080"/>
            </w:tcBorders>
          </w:tcPr>
          <w:p w14:paraId="7F6AE347" w14:textId="77777777" w:rsidR="008915E2" w:rsidRPr="009A7AAE" w:rsidRDefault="004A6045" w:rsidP="00AB71A5">
            <w:pPr>
              <w:keepNext/>
              <w:keepLines/>
              <w:spacing w:before="40" w:after="40"/>
              <w:jc w:val="right"/>
              <w:rPr>
                <w:b/>
              </w:rPr>
            </w:pPr>
            <w:r>
              <w:rPr>
                <w:b/>
              </w:rPr>
              <w:t>5.0</w:t>
            </w:r>
            <w:r w:rsidR="00401C27">
              <w:rPr>
                <w:b/>
              </w:rPr>
              <w:t>00</w:t>
            </w:r>
          </w:p>
        </w:tc>
        <w:tc>
          <w:tcPr>
            <w:tcW w:w="0" w:type="auto"/>
            <w:tcBorders>
              <w:top w:val="single" w:sz="4" w:space="0" w:color="000080"/>
            </w:tcBorders>
          </w:tcPr>
          <w:p w14:paraId="429E05DE" w14:textId="77777777" w:rsidR="008915E2" w:rsidRPr="009A7AAE" w:rsidRDefault="004A6045" w:rsidP="00AB71A5">
            <w:pPr>
              <w:keepNext/>
              <w:keepLines/>
              <w:spacing w:before="40" w:after="40"/>
              <w:jc w:val="right"/>
              <w:rPr>
                <w:b/>
              </w:rPr>
            </w:pPr>
            <w:r>
              <w:rPr>
                <w:b/>
              </w:rPr>
              <w:t>10.0</w:t>
            </w:r>
            <w:r w:rsidR="00401C27">
              <w:rPr>
                <w:b/>
              </w:rPr>
              <w:t>00</w:t>
            </w:r>
          </w:p>
        </w:tc>
      </w:tr>
      <w:tr w:rsidR="009A7AAE" w:rsidRPr="00AB528B" w14:paraId="11387280" w14:textId="77777777" w:rsidTr="001607E7">
        <w:trPr>
          <w:cantSplit/>
        </w:trPr>
        <w:tc>
          <w:tcPr>
            <w:tcW w:w="5954" w:type="dxa"/>
          </w:tcPr>
          <w:p w14:paraId="03993CCC" w14:textId="77777777" w:rsidR="009A7AAE" w:rsidRPr="001607E7" w:rsidRDefault="007B10B8" w:rsidP="00B977E6">
            <w:pPr>
              <w:keepNext/>
              <w:keepLines/>
              <w:spacing w:after="0"/>
              <w:ind w:left="414"/>
              <w:rPr>
                <w:i/>
                <w:sz w:val="22"/>
                <w:szCs w:val="22"/>
              </w:rPr>
            </w:pPr>
            <w:r w:rsidRPr="001607E7">
              <w:rPr>
                <w:i/>
                <w:sz w:val="22"/>
                <w:szCs w:val="22"/>
              </w:rPr>
              <w:t>Connected Learning Delivery Points</w:t>
            </w:r>
          </w:p>
        </w:tc>
        <w:tc>
          <w:tcPr>
            <w:tcW w:w="0" w:type="auto"/>
            <w:tcBorders>
              <w:top w:val="single" w:sz="4" w:space="0" w:color="000080"/>
            </w:tcBorders>
          </w:tcPr>
          <w:p w14:paraId="28BE0B4B" w14:textId="77777777" w:rsidR="009A7AAE" w:rsidRPr="00F117E9" w:rsidDel="008915E2" w:rsidRDefault="004A6045" w:rsidP="00AB71A5">
            <w:pPr>
              <w:keepNext/>
              <w:keepLines/>
              <w:spacing w:before="40" w:after="40"/>
              <w:jc w:val="right"/>
            </w:pPr>
            <w:r>
              <w:t>3.0</w:t>
            </w:r>
            <w:r w:rsidR="00401C27">
              <w:t>00</w:t>
            </w:r>
          </w:p>
        </w:tc>
        <w:tc>
          <w:tcPr>
            <w:tcW w:w="0" w:type="auto"/>
            <w:tcBorders>
              <w:top w:val="single" w:sz="4" w:space="0" w:color="000080"/>
            </w:tcBorders>
          </w:tcPr>
          <w:p w14:paraId="1DC40408" w14:textId="77777777" w:rsidR="009A7AAE" w:rsidRPr="00F117E9" w:rsidRDefault="004A6045" w:rsidP="00AB71A5">
            <w:pPr>
              <w:keepNext/>
              <w:keepLines/>
              <w:spacing w:before="40" w:after="40"/>
              <w:jc w:val="right"/>
            </w:pPr>
            <w:r>
              <w:t>3.0</w:t>
            </w:r>
            <w:r w:rsidR="00401C27">
              <w:t>00</w:t>
            </w:r>
          </w:p>
        </w:tc>
        <w:tc>
          <w:tcPr>
            <w:tcW w:w="0" w:type="auto"/>
            <w:tcBorders>
              <w:top w:val="single" w:sz="4" w:space="0" w:color="000080"/>
            </w:tcBorders>
          </w:tcPr>
          <w:p w14:paraId="03DB5AD6" w14:textId="77777777" w:rsidR="009A7AAE" w:rsidRPr="00F117E9" w:rsidRDefault="004A6045" w:rsidP="00AB71A5">
            <w:pPr>
              <w:keepNext/>
              <w:keepLines/>
              <w:spacing w:before="40" w:after="40"/>
              <w:jc w:val="right"/>
            </w:pPr>
            <w:r>
              <w:t>6.0</w:t>
            </w:r>
            <w:r w:rsidR="00401C27">
              <w:t>00</w:t>
            </w:r>
          </w:p>
        </w:tc>
      </w:tr>
      <w:tr w:rsidR="004A6045" w:rsidRPr="00AB528B" w14:paraId="3517DC9D" w14:textId="77777777" w:rsidTr="001607E7">
        <w:trPr>
          <w:cantSplit/>
        </w:trPr>
        <w:tc>
          <w:tcPr>
            <w:tcW w:w="5954" w:type="dxa"/>
          </w:tcPr>
          <w:p w14:paraId="3D8D592A" w14:textId="77777777" w:rsidR="004A6045" w:rsidRPr="001607E7" w:rsidDel="00815D38" w:rsidRDefault="007B10B8" w:rsidP="00B977E6">
            <w:pPr>
              <w:keepNext/>
              <w:keepLines/>
              <w:spacing w:after="0"/>
              <w:ind w:left="414" w:right="-502"/>
              <w:jc w:val="left"/>
              <w:rPr>
                <w:i/>
                <w:sz w:val="22"/>
                <w:szCs w:val="22"/>
              </w:rPr>
            </w:pPr>
            <w:r w:rsidRPr="001607E7">
              <w:rPr>
                <w:i/>
                <w:sz w:val="22"/>
                <w:szCs w:val="22"/>
              </w:rPr>
              <w:t>Specialist</w:t>
            </w:r>
            <w:r w:rsidR="00B977E6" w:rsidRPr="001607E7">
              <w:rPr>
                <w:i/>
                <w:sz w:val="22"/>
                <w:szCs w:val="22"/>
              </w:rPr>
              <w:t xml:space="preserve"> training facility upgrades and equipment</w:t>
            </w:r>
          </w:p>
        </w:tc>
        <w:tc>
          <w:tcPr>
            <w:tcW w:w="0" w:type="auto"/>
            <w:tcBorders>
              <w:top w:val="single" w:sz="4" w:space="0" w:color="000080"/>
            </w:tcBorders>
          </w:tcPr>
          <w:p w14:paraId="72A270BA" w14:textId="77777777" w:rsidR="004A6045" w:rsidRPr="00F117E9" w:rsidDel="008915E2" w:rsidRDefault="004A6045" w:rsidP="00AB71A5">
            <w:pPr>
              <w:keepNext/>
              <w:keepLines/>
              <w:spacing w:before="40" w:after="40"/>
              <w:jc w:val="right"/>
            </w:pPr>
            <w:r>
              <w:t>2.0</w:t>
            </w:r>
            <w:r w:rsidR="00401C27">
              <w:t>00</w:t>
            </w:r>
          </w:p>
        </w:tc>
        <w:tc>
          <w:tcPr>
            <w:tcW w:w="0" w:type="auto"/>
            <w:tcBorders>
              <w:top w:val="single" w:sz="4" w:space="0" w:color="000080"/>
            </w:tcBorders>
          </w:tcPr>
          <w:p w14:paraId="5CCB92EB" w14:textId="77777777" w:rsidR="004A6045" w:rsidRPr="00F117E9" w:rsidRDefault="00363226" w:rsidP="00AB71A5">
            <w:pPr>
              <w:keepNext/>
              <w:keepLines/>
              <w:spacing w:before="40" w:after="40"/>
              <w:jc w:val="right"/>
            </w:pPr>
            <w:r>
              <w:t>2</w:t>
            </w:r>
            <w:r w:rsidR="004A6045">
              <w:t>.0</w:t>
            </w:r>
            <w:r w:rsidR="00401C27">
              <w:t>00</w:t>
            </w:r>
          </w:p>
        </w:tc>
        <w:tc>
          <w:tcPr>
            <w:tcW w:w="0" w:type="auto"/>
            <w:tcBorders>
              <w:top w:val="single" w:sz="4" w:space="0" w:color="000080"/>
            </w:tcBorders>
          </w:tcPr>
          <w:p w14:paraId="08D02B40" w14:textId="77777777" w:rsidR="004A6045" w:rsidRPr="00F117E9" w:rsidRDefault="00363226" w:rsidP="00AB71A5">
            <w:pPr>
              <w:keepNext/>
              <w:keepLines/>
              <w:spacing w:before="40" w:after="40"/>
              <w:jc w:val="right"/>
            </w:pPr>
            <w:r>
              <w:t>4.0</w:t>
            </w:r>
            <w:r w:rsidR="00401C27">
              <w:t>00</w:t>
            </w:r>
          </w:p>
        </w:tc>
      </w:tr>
      <w:tr w:rsidR="008915E2" w:rsidRPr="00AB528B" w14:paraId="0935055C" w14:textId="77777777" w:rsidTr="001607E7">
        <w:trPr>
          <w:cantSplit/>
        </w:trPr>
        <w:tc>
          <w:tcPr>
            <w:tcW w:w="5954" w:type="dxa"/>
          </w:tcPr>
          <w:p w14:paraId="6F774CDF" w14:textId="77777777" w:rsidR="008915E2" w:rsidRPr="00C328C0" w:rsidRDefault="008915E2" w:rsidP="00DC0D77">
            <w:pPr>
              <w:keepNext/>
              <w:keepLines/>
              <w:spacing w:before="60" w:after="60"/>
              <w:ind w:left="274"/>
              <w:rPr>
                <w:b/>
              </w:rPr>
            </w:pPr>
            <w:r w:rsidRPr="00C328C0">
              <w:rPr>
                <w:b/>
              </w:rPr>
              <w:t>Victoria</w:t>
            </w:r>
          </w:p>
        </w:tc>
        <w:tc>
          <w:tcPr>
            <w:tcW w:w="0" w:type="auto"/>
            <w:tcBorders>
              <w:top w:val="single" w:sz="4" w:space="0" w:color="000080"/>
            </w:tcBorders>
          </w:tcPr>
          <w:p w14:paraId="4ECCFF0C" w14:textId="77777777" w:rsidR="008915E2" w:rsidRPr="000031E7" w:rsidDel="008915E2" w:rsidRDefault="00363226" w:rsidP="00AB71A5">
            <w:pPr>
              <w:keepNext/>
              <w:keepLines/>
              <w:spacing w:before="40" w:after="40"/>
              <w:jc w:val="right"/>
              <w:rPr>
                <w:b/>
              </w:rPr>
            </w:pPr>
            <w:r>
              <w:rPr>
                <w:b/>
              </w:rPr>
              <w:t>4.8</w:t>
            </w:r>
            <w:r w:rsidR="00401C27">
              <w:rPr>
                <w:b/>
              </w:rPr>
              <w:t>00</w:t>
            </w:r>
          </w:p>
        </w:tc>
        <w:tc>
          <w:tcPr>
            <w:tcW w:w="0" w:type="auto"/>
            <w:tcBorders>
              <w:top w:val="single" w:sz="4" w:space="0" w:color="000080"/>
            </w:tcBorders>
          </w:tcPr>
          <w:p w14:paraId="296148E6" w14:textId="77777777" w:rsidR="008915E2" w:rsidRPr="000031E7" w:rsidRDefault="00363226" w:rsidP="00AB71A5">
            <w:pPr>
              <w:keepNext/>
              <w:keepLines/>
              <w:spacing w:before="40" w:after="40"/>
              <w:jc w:val="right"/>
              <w:rPr>
                <w:b/>
              </w:rPr>
            </w:pPr>
            <w:r w:rsidRPr="000031E7">
              <w:rPr>
                <w:b/>
              </w:rPr>
              <w:t>5.</w:t>
            </w:r>
            <w:r w:rsidR="00401C27">
              <w:rPr>
                <w:b/>
              </w:rPr>
              <w:t>690</w:t>
            </w:r>
          </w:p>
        </w:tc>
        <w:tc>
          <w:tcPr>
            <w:tcW w:w="0" w:type="auto"/>
            <w:tcBorders>
              <w:top w:val="single" w:sz="4" w:space="0" w:color="000080"/>
            </w:tcBorders>
          </w:tcPr>
          <w:p w14:paraId="14367BB8" w14:textId="77777777" w:rsidR="008915E2" w:rsidRPr="000031E7" w:rsidRDefault="00401C27" w:rsidP="00AB71A5">
            <w:pPr>
              <w:keepNext/>
              <w:keepLines/>
              <w:spacing w:before="40" w:after="40"/>
              <w:jc w:val="right"/>
              <w:rPr>
                <w:b/>
              </w:rPr>
            </w:pPr>
            <w:r>
              <w:rPr>
                <w:b/>
              </w:rPr>
              <w:t>10.490</w:t>
            </w:r>
          </w:p>
        </w:tc>
      </w:tr>
      <w:tr w:rsidR="004A6045" w:rsidRPr="00AB528B" w14:paraId="5CC8F7A3" w14:textId="77777777" w:rsidTr="001607E7">
        <w:trPr>
          <w:cantSplit/>
        </w:trPr>
        <w:tc>
          <w:tcPr>
            <w:tcW w:w="5954" w:type="dxa"/>
          </w:tcPr>
          <w:p w14:paraId="521B40C9" w14:textId="77777777" w:rsidR="004A6045" w:rsidRPr="001607E7" w:rsidRDefault="00B977E6" w:rsidP="00717478">
            <w:pPr>
              <w:keepNext/>
              <w:keepLines/>
              <w:spacing w:after="0"/>
              <w:ind w:left="414"/>
              <w:rPr>
                <w:i/>
                <w:sz w:val="22"/>
                <w:szCs w:val="22"/>
              </w:rPr>
            </w:pPr>
            <w:r w:rsidRPr="001607E7">
              <w:rPr>
                <w:i/>
                <w:sz w:val="22"/>
                <w:szCs w:val="22"/>
              </w:rPr>
              <w:t>Integrated Trades Hub (Wodonga)</w:t>
            </w:r>
          </w:p>
        </w:tc>
        <w:tc>
          <w:tcPr>
            <w:tcW w:w="0" w:type="auto"/>
            <w:tcBorders>
              <w:top w:val="single" w:sz="4" w:space="0" w:color="000080"/>
              <w:bottom w:val="single" w:sz="4" w:space="0" w:color="000080"/>
            </w:tcBorders>
          </w:tcPr>
          <w:p w14:paraId="7A9138DB" w14:textId="77777777" w:rsidR="004A6045" w:rsidRPr="000031E7" w:rsidDel="008915E2" w:rsidRDefault="00363226" w:rsidP="00AB71A5">
            <w:pPr>
              <w:keepNext/>
              <w:keepLines/>
              <w:spacing w:before="40" w:after="40"/>
              <w:jc w:val="right"/>
              <w:rPr>
                <w:i/>
              </w:rPr>
            </w:pPr>
            <w:r>
              <w:rPr>
                <w:i/>
              </w:rPr>
              <w:t>0.2</w:t>
            </w:r>
            <w:r w:rsidR="00401C27">
              <w:rPr>
                <w:i/>
              </w:rPr>
              <w:t>35</w:t>
            </w:r>
          </w:p>
        </w:tc>
        <w:tc>
          <w:tcPr>
            <w:tcW w:w="0" w:type="auto"/>
            <w:tcBorders>
              <w:top w:val="single" w:sz="4" w:space="0" w:color="000080"/>
              <w:bottom w:val="single" w:sz="4" w:space="0" w:color="000080"/>
            </w:tcBorders>
          </w:tcPr>
          <w:p w14:paraId="303F2198" w14:textId="77777777" w:rsidR="004A6045" w:rsidRPr="000031E7" w:rsidRDefault="00363226" w:rsidP="00AB71A5">
            <w:pPr>
              <w:keepNext/>
              <w:keepLines/>
              <w:spacing w:before="40" w:after="40"/>
              <w:jc w:val="right"/>
              <w:rPr>
                <w:i/>
              </w:rPr>
            </w:pPr>
            <w:r>
              <w:rPr>
                <w:i/>
              </w:rPr>
              <w:t>2.</w:t>
            </w:r>
            <w:r w:rsidR="00401C27">
              <w:rPr>
                <w:i/>
              </w:rPr>
              <w:t>655</w:t>
            </w:r>
          </w:p>
        </w:tc>
        <w:tc>
          <w:tcPr>
            <w:tcW w:w="0" w:type="auto"/>
            <w:tcBorders>
              <w:top w:val="single" w:sz="4" w:space="0" w:color="000080"/>
              <w:bottom w:val="single" w:sz="4" w:space="0" w:color="000080"/>
            </w:tcBorders>
          </w:tcPr>
          <w:p w14:paraId="00F89DC3" w14:textId="77777777" w:rsidR="004A6045" w:rsidRPr="000031E7" w:rsidRDefault="00363226" w:rsidP="00AB71A5">
            <w:pPr>
              <w:keepNext/>
              <w:keepLines/>
              <w:spacing w:before="40" w:after="40"/>
              <w:jc w:val="right"/>
              <w:rPr>
                <w:i/>
              </w:rPr>
            </w:pPr>
            <w:r>
              <w:rPr>
                <w:i/>
              </w:rPr>
              <w:t>2.</w:t>
            </w:r>
            <w:r w:rsidR="00401C27">
              <w:rPr>
                <w:i/>
              </w:rPr>
              <w:t>890</w:t>
            </w:r>
          </w:p>
        </w:tc>
      </w:tr>
      <w:tr w:rsidR="004A6045" w:rsidRPr="00AB528B" w14:paraId="629A961D" w14:textId="77777777" w:rsidTr="001607E7">
        <w:trPr>
          <w:cantSplit/>
        </w:trPr>
        <w:tc>
          <w:tcPr>
            <w:tcW w:w="5954" w:type="dxa"/>
          </w:tcPr>
          <w:p w14:paraId="24D11217" w14:textId="77777777" w:rsidR="004A6045" w:rsidRPr="001607E7" w:rsidRDefault="00B977E6" w:rsidP="001A0E5C">
            <w:pPr>
              <w:keepNext/>
              <w:keepLines/>
              <w:spacing w:after="0"/>
              <w:ind w:left="414"/>
              <w:rPr>
                <w:i/>
                <w:sz w:val="22"/>
                <w:szCs w:val="22"/>
              </w:rPr>
            </w:pPr>
            <w:r w:rsidRPr="001607E7">
              <w:rPr>
                <w:i/>
                <w:sz w:val="22"/>
                <w:szCs w:val="22"/>
              </w:rPr>
              <w:t xml:space="preserve">Trades </w:t>
            </w:r>
            <w:r w:rsidR="001A0E5C" w:rsidRPr="001607E7">
              <w:rPr>
                <w:i/>
                <w:sz w:val="22"/>
                <w:szCs w:val="22"/>
              </w:rPr>
              <w:t>a</w:t>
            </w:r>
            <w:r w:rsidRPr="001607E7">
              <w:rPr>
                <w:i/>
                <w:sz w:val="22"/>
                <w:szCs w:val="22"/>
              </w:rPr>
              <w:t>rea (new Port of Sale Campus)</w:t>
            </w:r>
          </w:p>
        </w:tc>
        <w:tc>
          <w:tcPr>
            <w:tcW w:w="0" w:type="auto"/>
            <w:tcBorders>
              <w:top w:val="single" w:sz="4" w:space="0" w:color="000080"/>
              <w:bottom w:val="single" w:sz="4" w:space="0" w:color="000080"/>
            </w:tcBorders>
          </w:tcPr>
          <w:p w14:paraId="03AFD48D" w14:textId="77777777" w:rsidR="004A6045" w:rsidRPr="000031E7" w:rsidDel="008915E2" w:rsidRDefault="00363226" w:rsidP="00AB71A5">
            <w:pPr>
              <w:keepNext/>
              <w:keepLines/>
              <w:spacing w:before="40" w:after="40"/>
              <w:jc w:val="right"/>
              <w:rPr>
                <w:i/>
              </w:rPr>
            </w:pPr>
            <w:r>
              <w:rPr>
                <w:i/>
              </w:rPr>
              <w:t>1.</w:t>
            </w:r>
            <w:r w:rsidR="00401C27">
              <w:rPr>
                <w:i/>
              </w:rPr>
              <w:t>489</w:t>
            </w:r>
          </w:p>
        </w:tc>
        <w:tc>
          <w:tcPr>
            <w:tcW w:w="0" w:type="auto"/>
            <w:tcBorders>
              <w:top w:val="single" w:sz="4" w:space="0" w:color="000080"/>
              <w:bottom w:val="single" w:sz="4" w:space="0" w:color="000080"/>
            </w:tcBorders>
          </w:tcPr>
          <w:p w14:paraId="0B79D0AF" w14:textId="77777777" w:rsidR="004A6045" w:rsidRPr="000031E7" w:rsidRDefault="00363226" w:rsidP="00AB71A5">
            <w:pPr>
              <w:keepNext/>
              <w:keepLines/>
              <w:spacing w:before="40" w:after="40"/>
              <w:jc w:val="right"/>
              <w:rPr>
                <w:i/>
              </w:rPr>
            </w:pPr>
            <w:r>
              <w:rPr>
                <w:i/>
              </w:rPr>
              <w:t>1.4</w:t>
            </w:r>
            <w:r w:rsidR="00401C27">
              <w:rPr>
                <w:i/>
              </w:rPr>
              <w:t>31</w:t>
            </w:r>
          </w:p>
        </w:tc>
        <w:tc>
          <w:tcPr>
            <w:tcW w:w="0" w:type="auto"/>
            <w:tcBorders>
              <w:top w:val="single" w:sz="4" w:space="0" w:color="000080"/>
              <w:bottom w:val="single" w:sz="4" w:space="0" w:color="000080"/>
            </w:tcBorders>
          </w:tcPr>
          <w:p w14:paraId="5B478A89" w14:textId="77777777" w:rsidR="004A6045" w:rsidRPr="000031E7" w:rsidRDefault="00363226" w:rsidP="00AB71A5">
            <w:pPr>
              <w:keepNext/>
              <w:keepLines/>
              <w:spacing w:before="40" w:after="40"/>
              <w:jc w:val="right"/>
              <w:rPr>
                <w:i/>
              </w:rPr>
            </w:pPr>
            <w:r>
              <w:rPr>
                <w:i/>
              </w:rPr>
              <w:t>2.9</w:t>
            </w:r>
            <w:r w:rsidR="00401C27">
              <w:rPr>
                <w:i/>
              </w:rPr>
              <w:t>20</w:t>
            </w:r>
          </w:p>
        </w:tc>
      </w:tr>
      <w:tr w:rsidR="004A6045" w:rsidRPr="00AB528B" w14:paraId="09C3CA44" w14:textId="77777777" w:rsidTr="001607E7">
        <w:trPr>
          <w:cantSplit/>
        </w:trPr>
        <w:tc>
          <w:tcPr>
            <w:tcW w:w="5954" w:type="dxa"/>
          </w:tcPr>
          <w:p w14:paraId="5F7DC966" w14:textId="77777777" w:rsidR="004A6045" w:rsidRPr="001607E7" w:rsidRDefault="001A0E5C" w:rsidP="00717478">
            <w:pPr>
              <w:keepNext/>
              <w:keepLines/>
              <w:spacing w:after="0"/>
              <w:ind w:left="414"/>
              <w:rPr>
                <w:i/>
                <w:sz w:val="22"/>
                <w:szCs w:val="22"/>
              </w:rPr>
            </w:pPr>
            <w:r w:rsidRPr="001607E7">
              <w:rPr>
                <w:i/>
                <w:sz w:val="22"/>
                <w:szCs w:val="22"/>
              </w:rPr>
              <w:t xml:space="preserve">The </w:t>
            </w:r>
            <w:r w:rsidR="00717478" w:rsidRPr="001607E7">
              <w:rPr>
                <w:i/>
                <w:sz w:val="22"/>
                <w:szCs w:val="22"/>
              </w:rPr>
              <w:t>Culinary School (Geelong)</w:t>
            </w:r>
          </w:p>
        </w:tc>
        <w:tc>
          <w:tcPr>
            <w:tcW w:w="0" w:type="auto"/>
            <w:tcBorders>
              <w:top w:val="single" w:sz="4" w:space="0" w:color="000080"/>
              <w:bottom w:val="single" w:sz="4" w:space="0" w:color="auto"/>
            </w:tcBorders>
          </w:tcPr>
          <w:p w14:paraId="77A43959" w14:textId="77777777" w:rsidR="004A6045" w:rsidRPr="000031E7" w:rsidDel="008915E2" w:rsidRDefault="00363226" w:rsidP="00AB71A5">
            <w:pPr>
              <w:keepNext/>
              <w:keepLines/>
              <w:spacing w:before="40" w:after="40"/>
              <w:jc w:val="right"/>
              <w:rPr>
                <w:i/>
              </w:rPr>
            </w:pPr>
            <w:r>
              <w:rPr>
                <w:i/>
              </w:rPr>
              <w:t>3.</w:t>
            </w:r>
            <w:r w:rsidR="00401C27">
              <w:rPr>
                <w:i/>
              </w:rPr>
              <w:t>076</w:t>
            </w:r>
          </w:p>
        </w:tc>
        <w:tc>
          <w:tcPr>
            <w:tcW w:w="0" w:type="auto"/>
            <w:tcBorders>
              <w:top w:val="single" w:sz="4" w:space="0" w:color="000080"/>
              <w:bottom w:val="single" w:sz="4" w:space="0" w:color="auto"/>
            </w:tcBorders>
          </w:tcPr>
          <w:p w14:paraId="72390FBA" w14:textId="77777777" w:rsidR="004A6045" w:rsidRPr="000031E7" w:rsidRDefault="00363226" w:rsidP="00AB71A5">
            <w:pPr>
              <w:keepNext/>
              <w:keepLines/>
              <w:spacing w:before="40" w:after="40"/>
              <w:jc w:val="right"/>
              <w:rPr>
                <w:i/>
              </w:rPr>
            </w:pPr>
            <w:r>
              <w:rPr>
                <w:i/>
              </w:rPr>
              <w:t>1.6</w:t>
            </w:r>
            <w:r w:rsidR="00401C27">
              <w:rPr>
                <w:i/>
              </w:rPr>
              <w:t>04</w:t>
            </w:r>
          </w:p>
        </w:tc>
        <w:tc>
          <w:tcPr>
            <w:tcW w:w="0" w:type="auto"/>
            <w:tcBorders>
              <w:top w:val="single" w:sz="4" w:space="0" w:color="000080"/>
              <w:bottom w:val="single" w:sz="4" w:space="0" w:color="auto"/>
            </w:tcBorders>
          </w:tcPr>
          <w:p w14:paraId="121D5147" w14:textId="77777777" w:rsidR="004A6045" w:rsidRPr="000031E7" w:rsidRDefault="00363226" w:rsidP="00AB71A5">
            <w:pPr>
              <w:keepNext/>
              <w:keepLines/>
              <w:spacing w:before="40" w:after="40"/>
              <w:jc w:val="right"/>
              <w:rPr>
                <w:i/>
              </w:rPr>
            </w:pPr>
            <w:r>
              <w:rPr>
                <w:i/>
              </w:rPr>
              <w:t>4.</w:t>
            </w:r>
            <w:r w:rsidR="00401C27">
              <w:rPr>
                <w:i/>
              </w:rPr>
              <w:t>680</w:t>
            </w:r>
          </w:p>
        </w:tc>
      </w:tr>
      <w:tr w:rsidR="008915E2" w14:paraId="37963D67" w14:textId="77777777" w:rsidTr="001607E7">
        <w:trPr>
          <w:cantSplit/>
        </w:trPr>
        <w:tc>
          <w:tcPr>
            <w:tcW w:w="5954" w:type="dxa"/>
          </w:tcPr>
          <w:p w14:paraId="37335265" w14:textId="77777777" w:rsidR="008915E2" w:rsidRPr="00C328C0" w:rsidRDefault="008915E2" w:rsidP="00DC0D77">
            <w:pPr>
              <w:keepNext/>
              <w:keepLines/>
              <w:spacing w:before="60" w:after="60"/>
              <w:ind w:left="274"/>
              <w:rPr>
                <w:b/>
              </w:rPr>
            </w:pPr>
            <w:r w:rsidRPr="00C328C0">
              <w:rPr>
                <w:b/>
              </w:rPr>
              <w:t>Queensland</w:t>
            </w:r>
          </w:p>
        </w:tc>
        <w:tc>
          <w:tcPr>
            <w:tcW w:w="0" w:type="auto"/>
            <w:tcBorders>
              <w:top w:val="single" w:sz="4" w:space="0" w:color="auto"/>
              <w:bottom w:val="single" w:sz="4" w:space="0" w:color="000080"/>
            </w:tcBorders>
          </w:tcPr>
          <w:p w14:paraId="46ECAF4D" w14:textId="77777777" w:rsidR="008915E2" w:rsidRPr="000031E7" w:rsidRDefault="00363226" w:rsidP="00AB71A5">
            <w:pPr>
              <w:keepNext/>
              <w:keepLines/>
              <w:spacing w:before="40" w:after="40"/>
              <w:jc w:val="right"/>
              <w:rPr>
                <w:b/>
              </w:rPr>
            </w:pPr>
            <w:r w:rsidRPr="000031E7">
              <w:rPr>
                <w:b/>
              </w:rPr>
              <w:t>6.4</w:t>
            </w:r>
            <w:r w:rsidR="00401C27">
              <w:rPr>
                <w:b/>
              </w:rPr>
              <w:t>00</w:t>
            </w:r>
          </w:p>
        </w:tc>
        <w:tc>
          <w:tcPr>
            <w:tcW w:w="0" w:type="auto"/>
            <w:tcBorders>
              <w:top w:val="single" w:sz="4" w:space="0" w:color="auto"/>
              <w:bottom w:val="single" w:sz="4" w:space="0" w:color="000080"/>
            </w:tcBorders>
          </w:tcPr>
          <w:p w14:paraId="010E092C" w14:textId="77777777" w:rsidR="008915E2" w:rsidRPr="000031E7" w:rsidRDefault="00363226" w:rsidP="00AB71A5">
            <w:pPr>
              <w:keepNext/>
              <w:keepLines/>
              <w:spacing w:before="40" w:after="40"/>
              <w:jc w:val="right"/>
              <w:rPr>
                <w:b/>
              </w:rPr>
            </w:pPr>
            <w:r>
              <w:rPr>
                <w:b/>
              </w:rPr>
              <w:t>4.2</w:t>
            </w:r>
            <w:r w:rsidR="00401C27">
              <w:rPr>
                <w:b/>
              </w:rPr>
              <w:t>22</w:t>
            </w:r>
          </w:p>
        </w:tc>
        <w:tc>
          <w:tcPr>
            <w:tcW w:w="0" w:type="auto"/>
            <w:tcBorders>
              <w:top w:val="single" w:sz="4" w:space="0" w:color="auto"/>
              <w:bottom w:val="single" w:sz="4" w:space="0" w:color="000080"/>
            </w:tcBorders>
          </w:tcPr>
          <w:p w14:paraId="12829B8D" w14:textId="77777777" w:rsidR="008915E2" w:rsidRPr="000031E7" w:rsidRDefault="00363226" w:rsidP="00AB71A5">
            <w:pPr>
              <w:keepNext/>
              <w:keepLines/>
              <w:spacing w:before="40" w:after="40"/>
              <w:jc w:val="right"/>
              <w:rPr>
                <w:b/>
              </w:rPr>
            </w:pPr>
            <w:r w:rsidRPr="000031E7">
              <w:rPr>
                <w:b/>
              </w:rPr>
              <w:t>10.6</w:t>
            </w:r>
            <w:r w:rsidR="00401C27">
              <w:rPr>
                <w:b/>
              </w:rPr>
              <w:t>22</w:t>
            </w:r>
          </w:p>
        </w:tc>
      </w:tr>
      <w:tr w:rsidR="004A6045" w14:paraId="085765E0" w14:textId="77777777" w:rsidTr="001607E7">
        <w:trPr>
          <w:cantSplit/>
        </w:trPr>
        <w:tc>
          <w:tcPr>
            <w:tcW w:w="5954" w:type="dxa"/>
          </w:tcPr>
          <w:p w14:paraId="19BE5AD8" w14:textId="77777777" w:rsidR="004A6045" w:rsidRPr="001607E7" w:rsidRDefault="00717478" w:rsidP="001A0E5C">
            <w:pPr>
              <w:keepNext/>
              <w:keepLines/>
              <w:spacing w:after="0"/>
              <w:ind w:left="414"/>
              <w:rPr>
                <w:i/>
                <w:sz w:val="22"/>
                <w:szCs w:val="22"/>
              </w:rPr>
            </w:pPr>
            <w:r w:rsidRPr="001607E7">
              <w:rPr>
                <w:i/>
                <w:sz w:val="22"/>
                <w:szCs w:val="22"/>
              </w:rPr>
              <w:t xml:space="preserve">Modernising </w:t>
            </w:r>
            <w:r w:rsidR="001A0E5C" w:rsidRPr="001607E7">
              <w:rPr>
                <w:i/>
                <w:sz w:val="22"/>
                <w:szCs w:val="22"/>
              </w:rPr>
              <w:t>t</w:t>
            </w:r>
            <w:r w:rsidRPr="001607E7">
              <w:rPr>
                <w:i/>
                <w:sz w:val="22"/>
                <w:szCs w:val="22"/>
              </w:rPr>
              <w:t xml:space="preserve">rade </w:t>
            </w:r>
            <w:r w:rsidR="001A0E5C" w:rsidRPr="001607E7">
              <w:rPr>
                <w:i/>
                <w:sz w:val="22"/>
                <w:szCs w:val="22"/>
              </w:rPr>
              <w:t>t</w:t>
            </w:r>
            <w:r w:rsidRPr="001607E7">
              <w:rPr>
                <w:i/>
                <w:sz w:val="22"/>
                <w:szCs w:val="22"/>
              </w:rPr>
              <w:t>raining facilities</w:t>
            </w:r>
          </w:p>
        </w:tc>
        <w:tc>
          <w:tcPr>
            <w:tcW w:w="0" w:type="auto"/>
            <w:tcBorders>
              <w:top w:val="single" w:sz="4" w:space="0" w:color="auto"/>
              <w:bottom w:val="single" w:sz="4" w:space="0" w:color="000080"/>
            </w:tcBorders>
          </w:tcPr>
          <w:p w14:paraId="36AFD81A" w14:textId="77777777" w:rsidR="004A6045" w:rsidRPr="000031E7" w:rsidRDefault="00363226" w:rsidP="000031E7">
            <w:pPr>
              <w:keepNext/>
              <w:keepLines/>
              <w:spacing w:before="40" w:after="40"/>
              <w:ind w:left="415"/>
              <w:jc w:val="right"/>
              <w:rPr>
                <w:i/>
              </w:rPr>
            </w:pPr>
            <w:r>
              <w:rPr>
                <w:i/>
              </w:rPr>
              <w:t>3.</w:t>
            </w:r>
            <w:r w:rsidR="00401C27">
              <w:rPr>
                <w:i/>
              </w:rPr>
              <w:t>150</w:t>
            </w:r>
          </w:p>
        </w:tc>
        <w:tc>
          <w:tcPr>
            <w:tcW w:w="0" w:type="auto"/>
            <w:tcBorders>
              <w:top w:val="single" w:sz="4" w:space="0" w:color="auto"/>
              <w:bottom w:val="single" w:sz="4" w:space="0" w:color="000080"/>
            </w:tcBorders>
          </w:tcPr>
          <w:p w14:paraId="130229CD" w14:textId="77777777" w:rsidR="004A6045" w:rsidRPr="000031E7" w:rsidRDefault="00363226" w:rsidP="000031E7">
            <w:pPr>
              <w:keepNext/>
              <w:keepLines/>
              <w:spacing w:before="40" w:after="40"/>
              <w:ind w:left="415"/>
              <w:jc w:val="right"/>
              <w:rPr>
                <w:i/>
              </w:rPr>
            </w:pPr>
            <w:r>
              <w:rPr>
                <w:i/>
              </w:rPr>
              <w:t>2.1</w:t>
            </w:r>
            <w:r w:rsidR="00401C27">
              <w:rPr>
                <w:i/>
              </w:rPr>
              <w:t>00</w:t>
            </w:r>
          </w:p>
        </w:tc>
        <w:tc>
          <w:tcPr>
            <w:tcW w:w="0" w:type="auto"/>
            <w:tcBorders>
              <w:top w:val="single" w:sz="4" w:space="0" w:color="auto"/>
              <w:bottom w:val="single" w:sz="4" w:space="0" w:color="000080"/>
            </w:tcBorders>
          </w:tcPr>
          <w:p w14:paraId="550A5478" w14:textId="77777777" w:rsidR="004A6045" w:rsidRPr="000031E7" w:rsidRDefault="00363226" w:rsidP="000031E7">
            <w:pPr>
              <w:keepNext/>
              <w:keepLines/>
              <w:spacing w:before="40" w:after="40"/>
              <w:ind w:left="415"/>
              <w:jc w:val="right"/>
              <w:rPr>
                <w:i/>
              </w:rPr>
            </w:pPr>
            <w:r>
              <w:rPr>
                <w:i/>
              </w:rPr>
              <w:t>5.</w:t>
            </w:r>
            <w:r w:rsidR="00401C27">
              <w:rPr>
                <w:i/>
              </w:rPr>
              <w:t>250</w:t>
            </w:r>
          </w:p>
        </w:tc>
      </w:tr>
      <w:tr w:rsidR="004A6045" w14:paraId="26A8A73D" w14:textId="77777777" w:rsidTr="001607E7">
        <w:trPr>
          <w:cantSplit/>
        </w:trPr>
        <w:tc>
          <w:tcPr>
            <w:tcW w:w="5954" w:type="dxa"/>
          </w:tcPr>
          <w:p w14:paraId="1BEBF388" w14:textId="77777777" w:rsidR="004A6045" w:rsidRPr="001607E7" w:rsidRDefault="00717478" w:rsidP="001A0E5C">
            <w:pPr>
              <w:keepNext/>
              <w:keepLines/>
              <w:spacing w:after="0"/>
              <w:ind w:left="414"/>
              <w:rPr>
                <w:i/>
                <w:sz w:val="22"/>
                <w:szCs w:val="22"/>
              </w:rPr>
            </w:pPr>
            <w:r w:rsidRPr="001607E7">
              <w:rPr>
                <w:i/>
                <w:sz w:val="22"/>
                <w:szCs w:val="22"/>
              </w:rPr>
              <w:t xml:space="preserve">Marine </w:t>
            </w:r>
            <w:r w:rsidR="001A0E5C" w:rsidRPr="001607E7">
              <w:rPr>
                <w:i/>
                <w:sz w:val="22"/>
                <w:szCs w:val="22"/>
              </w:rPr>
              <w:t>t</w:t>
            </w:r>
            <w:r w:rsidRPr="001607E7">
              <w:rPr>
                <w:i/>
                <w:sz w:val="22"/>
                <w:szCs w:val="22"/>
              </w:rPr>
              <w:t>raining facility (new Coomera Campus)</w:t>
            </w:r>
          </w:p>
        </w:tc>
        <w:tc>
          <w:tcPr>
            <w:tcW w:w="0" w:type="auto"/>
            <w:tcBorders>
              <w:top w:val="single" w:sz="4" w:space="0" w:color="auto"/>
              <w:bottom w:val="single" w:sz="4" w:space="0" w:color="000080"/>
            </w:tcBorders>
          </w:tcPr>
          <w:p w14:paraId="45EA61E0" w14:textId="77777777" w:rsidR="004A6045" w:rsidRPr="000031E7" w:rsidRDefault="00363226" w:rsidP="000031E7">
            <w:pPr>
              <w:keepNext/>
              <w:keepLines/>
              <w:spacing w:before="40" w:after="40"/>
              <w:ind w:left="415"/>
              <w:jc w:val="right"/>
              <w:rPr>
                <w:i/>
              </w:rPr>
            </w:pPr>
            <w:r>
              <w:rPr>
                <w:i/>
              </w:rPr>
              <w:t>3.</w:t>
            </w:r>
            <w:r w:rsidR="00401C27">
              <w:rPr>
                <w:i/>
              </w:rPr>
              <w:t>250</w:t>
            </w:r>
          </w:p>
        </w:tc>
        <w:tc>
          <w:tcPr>
            <w:tcW w:w="0" w:type="auto"/>
            <w:tcBorders>
              <w:top w:val="single" w:sz="4" w:space="0" w:color="auto"/>
              <w:bottom w:val="single" w:sz="4" w:space="0" w:color="000080"/>
            </w:tcBorders>
          </w:tcPr>
          <w:p w14:paraId="4BB9B46D" w14:textId="77777777" w:rsidR="004A6045" w:rsidRPr="000031E7" w:rsidRDefault="00363226" w:rsidP="000031E7">
            <w:pPr>
              <w:keepNext/>
              <w:keepLines/>
              <w:spacing w:before="40" w:after="40"/>
              <w:ind w:left="415"/>
              <w:jc w:val="right"/>
              <w:rPr>
                <w:i/>
              </w:rPr>
            </w:pPr>
            <w:r>
              <w:rPr>
                <w:i/>
              </w:rPr>
              <w:t>2.1</w:t>
            </w:r>
            <w:r w:rsidR="00401C27">
              <w:rPr>
                <w:i/>
              </w:rPr>
              <w:t>22</w:t>
            </w:r>
          </w:p>
        </w:tc>
        <w:tc>
          <w:tcPr>
            <w:tcW w:w="0" w:type="auto"/>
            <w:tcBorders>
              <w:top w:val="single" w:sz="4" w:space="0" w:color="auto"/>
              <w:bottom w:val="single" w:sz="4" w:space="0" w:color="000080"/>
            </w:tcBorders>
          </w:tcPr>
          <w:p w14:paraId="2E4BA293" w14:textId="77777777" w:rsidR="004A6045" w:rsidRPr="000031E7" w:rsidRDefault="00363226" w:rsidP="000031E7">
            <w:pPr>
              <w:keepNext/>
              <w:keepLines/>
              <w:spacing w:before="40" w:after="40"/>
              <w:ind w:left="415"/>
              <w:jc w:val="right"/>
              <w:rPr>
                <w:i/>
              </w:rPr>
            </w:pPr>
            <w:r>
              <w:rPr>
                <w:i/>
              </w:rPr>
              <w:t>5.</w:t>
            </w:r>
            <w:r w:rsidR="00401C27">
              <w:rPr>
                <w:i/>
              </w:rPr>
              <w:t>372</w:t>
            </w:r>
          </w:p>
        </w:tc>
      </w:tr>
      <w:tr w:rsidR="008915E2" w14:paraId="108F0D63" w14:textId="77777777" w:rsidTr="001607E7">
        <w:trPr>
          <w:cantSplit/>
        </w:trPr>
        <w:tc>
          <w:tcPr>
            <w:tcW w:w="5954" w:type="dxa"/>
          </w:tcPr>
          <w:p w14:paraId="2F248DBA" w14:textId="77777777" w:rsidR="008915E2" w:rsidRPr="00C328C0" w:rsidRDefault="008915E2" w:rsidP="00DC0D77">
            <w:pPr>
              <w:keepNext/>
              <w:keepLines/>
              <w:spacing w:before="60" w:after="60"/>
              <w:ind w:left="274"/>
              <w:rPr>
                <w:b/>
              </w:rPr>
            </w:pPr>
            <w:r w:rsidRPr="00C328C0">
              <w:rPr>
                <w:b/>
              </w:rPr>
              <w:t>Western Australia</w:t>
            </w:r>
          </w:p>
        </w:tc>
        <w:tc>
          <w:tcPr>
            <w:tcW w:w="0" w:type="auto"/>
            <w:tcBorders>
              <w:bottom w:val="single" w:sz="4" w:space="0" w:color="000080"/>
            </w:tcBorders>
          </w:tcPr>
          <w:p w14:paraId="285DE5C0" w14:textId="77777777" w:rsidR="008915E2" w:rsidRPr="000031E7" w:rsidRDefault="00363226" w:rsidP="00AB71A5">
            <w:pPr>
              <w:keepNext/>
              <w:keepLines/>
              <w:spacing w:before="40" w:after="40"/>
              <w:jc w:val="right"/>
              <w:rPr>
                <w:b/>
              </w:rPr>
            </w:pPr>
            <w:r>
              <w:rPr>
                <w:b/>
              </w:rPr>
              <w:t>2.0</w:t>
            </w:r>
            <w:r w:rsidR="00401C27">
              <w:rPr>
                <w:b/>
              </w:rPr>
              <w:t>00</w:t>
            </w:r>
          </w:p>
        </w:tc>
        <w:tc>
          <w:tcPr>
            <w:tcW w:w="0" w:type="auto"/>
            <w:tcBorders>
              <w:bottom w:val="single" w:sz="4" w:space="0" w:color="000080"/>
            </w:tcBorders>
          </w:tcPr>
          <w:p w14:paraId="3543ADAC" w14:textId="77777777" w:rsidR="00607F70" w:rsidRPr="000031E7" w:rsidRDefault="00607F70">
            <w:pPr>
              <w:keepNext/>
              <w:keepLines/>
              <w:spacing w:before="40" w:after="40"/>
              <w:jc w:val="right"/>
              <w:rPr>
                <w:b/>
              </w:rPr>
            </w:pPr>
            <w:r>
              <w:rPr>
                <w:b/>
              </w:rPr>
              <w:t>2.0</w:t>
            </w:r>
            <w:r w:rsidR="00401C27">
              <w:rPr>
                <w:b/>
              </w:rPr>
              <w:t>00</w:t>
            </w:r>
          </w:p>
        </w:tc>
        <w:tc>
          <w:tcPr>
            <w:tcW w:w="0" w:type="auto"/>
            <w:tcBorders>
              <w:bottom w:val="single" w:sz="4" w:space="0" w:color="000080"/>
            </w:tcBorders>
          </w:tcPr>
          <w:p w14:paraId="006A7ECC" w14:textId="77777777" w:rsidR="008915E2" w:rsidRPr="000031E7" w:rsidRDefault="00363226" w:rsidP="00AB71A5">
            <w:pPr>
              <w:keepNext/>
              <w:keepLines/>
              <w:spacing w:before="40" w:after="40"/>
              <w:jc w:val="right"/>
              <w:rPr>
                <w:b/>
              </w:rPr>
            </w:pPr>
            <w:r>
              <w:rPr>
                <w:b/>
              </w:rPr>
              <w:t>4.0</w:t>
            </w:r>
            <w:r w:rsidR="00401C27">
              <w:rPr>
                <w:b/>
              </w:rPr>
              <w:t>00</w:t>
            </w:r>
          </w:p>
        </w:tc>
      </w:tr>
      <w:tr w:rsidR="004A6045" w14:paraId="6F3B68B2" w14:textId="77777777" w:rsidTr="001607E7">
        <w:trPr>
          <w:cantSplit/>
        </w:trPr>
        <w:tc>
          <w:tcPr>
            <w:tcW w:w="5954" w:type="dxa"/>
          </w:tcPr>
          <w:p w14:paraId="5B01480F" w14:textId="77777777" w:rsidR="004A6045" w:rsidRPr="001607E7" w:rsidRDefault="001607E7" w:rsidP="001607E7">
            <w:pPr>
              <w:keepNext/>
              <w:keepLines/>
              <w:spacing w:before="60" w:after="60"/>
              <w:ind w:left="415"/>
              <w:rPr>
                <w:i/>
                <w:sz w:val="22"/>
                <w:szCs w:val="22"/>
              </w:rPr>
            </w:pPr>
            <w:r>
              <w:rPr>
                <w:i/>
                <w:sz w:val="22"/>
                <w:szCs w:val="22"/>
              </w:rPr>
              <w:t>Expanded t</w:t>
            </w:r>
            <w:r w:rsidR="001A0E5C" w:rsidRPr="001607E7">
              <w:rPr>
                <w:i/>
                <w:sz w:val="22"/>
                <w:szCs w:val="22"/>
              </w:rPr>
              <w:t>rade</w:t>
            </w:r>
            <w:r>
              <w:rPr>
                <w:i/>
                <w:sz w:val="22"/>
                <w:szCs w:val="22"/>
              </w:rPr>
              <w:t>s</w:t>
            </w:r>
            <w:r w:rsidR="001A0E5C" w:rsidRPr="001607E7">
              <w:rPr>
                <w:i/>
                <w:sz w:val="22"/>
                <w:szCs w:val="22"/>
              </w:rPr>
              <w:t>, specialist and technology infrastructure</w:t>
            </w:r>
          </w:p>
        </w:tc>
        <w:tc>
          <w:tcPr>
            <w:tcW w:w="0" w:type="auto"/>
            <w:tcBorders>
              <w:bottom w:val="single" w:sz="4" w:space="0" w:color="000080"/>
            </w:tcBorders>
          </w:tcPr>
          <w:p w14:paraId="5B365C86" w14:textId="77777777" w:rsidR="004A6045" w:rsidRPr="000031E7" w:rsidRDefault="00363226" w:rsidP="000031E7">
            <w:pPr>
              <w:keepNext/>
              <w:keepLines/>
              <w:spacing w:before="40" w:after="40"/>
              <w:ind w:left="415"/>
              <w:jc w:val="right"/>
              <w:rPr>
                <w:i/>
              </w:rPr>
            </w:pPr>
            <w:r>
              <w:rPr>
                <w:i/>
              </w:rPr>
              <w:t>2.0</w:t>
            </w:r>
            <w:r w:rsidR="00401C27">
              <w:rPr>
                <w:i/>
              </w:rPr>
              <w:t>00</w:t>
            </w:r>
          </w:p>
        </w:tc>
        <w:tc>
          <w:tcPr>
            <w:tcW w:w="0" w:type="auto"/>
            <w:tcBorders>
              <w:bottom w:val="single" w:sz="4" w:space="0" w:color="000080"/>
            </w:tcBorders>
          </w:tcPr>
          <w:p w14:paraId="4F886695" w14:textId="77777777" w:rsidR="004A6045" w:rsidRPr="000031E7" w:rsidRDefault="00363226" w:rsidP="000031E7">
            <w:pPr>
              <w:keepNext/>
              <w:keepLines/>
              <w:spacing w:before="40" w:after="40"/>
              <w:ind w:left="415"/>
              <w:jc w:val="right"/>
              <w:rPr>
                <w:i/>
              </w:rPr>
            </w:pPr>
            <w:r>
              <w:rPr>
                <w:i/>
              </w:rPr>
              <w:t>2.0</w:t>
            </w:r>
            <w:r w:rsidR="00401C27">
              <w:rPr>
                <w:i/>
              </w:rPr>
              <w:t>00</w:t>
            </w:r>
          </w:p>
        </w:tc>
        <w:tc>
          <w:tcPr>
            <w:tcW w:w="0" w:type="auto"/>
            <w:tcBorders>
              <w:bottom w:val="single" w:sz="4" w:space="0" w:color="000080"/>
            </w:tcBorders>
          </w:tcPr>
          <w:p w14:paraId="3ED43D2B" w14:textId="77777777" w:rsidR="004A6045" w:rsidRPr="000031E7" w:rsidRDefault="00363226" w:rsidP="000031E7">
            <w:pPr>
              <w:keepNext/>
              <w:keepLines/>
              <w:spacing w:before="40" w:after="40"/>
              <w:ind w:left="415"/>
              <w:jc w:val="right"/>
              <w:rPr>
                <w:i/>
              </w:rPr>
            </w:pPr>
            <w:r>
              <w:rPr>
                <w:i/>
              </w:rPr>
              <w:t>4.0</w:t>
            </w:r>
            <w:r w:rsidR="00401C27">
              <w:rPr>
                <w:i/>
              </w:rPr>
              <w:t>00</w:t>
            </w:r>
          </w:p>
        </w:tc>
      </w:tr>
      <w:tr w:rsidR="008915E2" w:rsidRPr="00607F70" w14:paraId="3BB6B637" w14:textId="77777777" w:rsidTr="001607E7">
        <w:trPr>
          <w:cantSplit/>
        </w:trPr>
        <w:tc>
          <w:tcPr>
            <w:tcW w:w="5954" w:type="dxa"/>
          </w:tcPr>
          <w:p w14:paraId="552C58D8" w14:textId="77777777" w:rsidR="008915E2" w:rsidRPr="00C328C0" w:rsidRDefault="008915E2" w:rsidP="00DC0D77">
            <w:pPr>
              <w:keepNext/>
              <w:keepLines/>
              <w:spacing w:before="60" w:after="60"/>
              <w:ind w:left="274"/>
              <w:rPr>
                <w:b/>
              </w:rPr>
            </w:pPr>
            <w:r w:rsidRPr="00C328C0">
              <w:rPr>
                <w:b/>
              </w:rPr>
              <w:t>South Australia</w:t>
            </w:r>
          </w:p>
        </w:tc>
        <w:tc>
          <w:tcPr>
            <w:tcW w:w="0" w:type="auto"/>
            <w:tcBorders>
              <w:bottom w:val="single" w:sz="4" w:space="0" w:color="000080"/>
            </w:tcBorders>
          </w:tcPr>
          <w:p w14:paraId="21592AC4" w14:textId="77777777" w:rsidR="008915E2" w:rsidRPr="000031E7" w:rsidRDefault="00607F70" w:rsidP="00AB71A5">
            <w:pPr>
              <w:keepNext/>
              <w:keepLines/>
              <w:spacing w:before="40" w:after="40"/>
              <w:jc w:val="right"/>
              <w:rPr>
                <w:b/>
              </w:rPr>
            </w:pPr>
            <w:r>
              <w:rPr>
                <w:b/>
              </w:rPr>
              <w:t>2.0</w:t>
            </w:r>
            <w:r w:rsidR="00401C27">
              <w:rPr>
                <w:b/>
              </w:rPr>
              <w:t>00</w:t>
            </w:r>
          </w:p>
        </w:tc>
        <w:tc>
          <w:tcPr>
            <w:tcW w:w="0" w:type="auto"/>
            <w:tcBorders>
              <w:bottom w:val="single" w:sz="4" w:space="0" w:color="000080"/>
            </w:tcBorders>
          </w:tcPr>
          <w:p w14:paraId="74CA61F0" w14:textId="77777777" w:rsidR="008915E2" w:rsidRPr="000031E7" w:rsidRDefault="00607F70" w:rsidP="00AB71A5">
            <w:pPr>
              <w:keepNext/>
              <w:keepLines/>
              <w:spacing w:before="40" w:after="40"/>
              <w:jc w:val="right"/>
              <w:rPr>
                <w:b/>
              </w:rPr>
            </w:pPr>
            <w:r>
              <w:rPr>
                <w:b/>
              </w:rPr>
              <w:t>2.</w:t>
            </w:r>
            <w:r w:rsidR="00401C27">
              <w:rPr>
                <w:b/>
              </w:rPr>
              <w:t>480</w:t>
            </w:r>
          </w:p>
        </w:tc>
        <w:tc>
          <w:tcPr>
            <w:tcW w:w="0" w:type="auto"/>
            <w:tcBorders>
              <w:bottom w:val="single" w:sz="4" w:space="0" w:color="000080"/>
            </w:tcBorders>
          </w:tcPr>
          <w:p w14:paraId="131C31FF" w14:textId="77777777" w:rsidR="008915E2" w:rsidRPr="000031E7" w:rsidRDefault="00607F70" w:rsidP="00AB71A5">
            <w:pPr>
              <w:keepNext/>
              <w:keepLines/>
              <w:spacing w:before="40" w:after="40"/>
              <w:jc w:val="right"/>
              <w:rPr>
                <w:b/>
              </w:rPr>
            </w:pPr>
            <w:r>
              <w:rPr>
                <w:b/>
              </w:rPr>
              <w:t>4.</w:t>
            </w:r>
            <w:r w:rsidR="00401C27">
              <w:rPr>
                <w:b/>
              </w:rPr>
              <w:t>480</w:t>
            </w:r>
          </w:p>
        </w:tc>
      </w:tr>
      <w:tr w:rsidR="004A6045" w14:paraId="302E0DDE" w14:textId="77777777" w:rsidTr="001607E7">
        <w:trPr>
          <w:cantSplit/>
        </w:trPr>
        <w:tc>
          <w:tcPr>
            <w:tcW w:w="5954" w:type="dxa"/>
          </w:tcPr>
          <w:p w14:paraId="6B7926C2" w14:textId="77777777" w:rsidR="004A6045" w:rsidRPr="001607E7" w:rsidRDefault="001A0E5C" w:rsidP="001607E7">
            <w:pPr>
              <w:keepNext/>
              <w:keepLines/>
              <w:spacing w:after="0"/>
              <w:ind w:left="414"/>
              <w:rPr>
                <w:i/>
                <w:sz w:val="22"/>
                <w:szCs w:val="22"/>
              </w:rPr>
            </w:pPr>
            <w:r w:rsidRPr="001607E7">
              <w:rPr>
                <w:i/>
                <w:sz w:val="22"/>
                <w:szCs w:val="22"/>
              </w:rPr>
              <w:t>Quality teaching and learning through technology</w:t>
            </w:r>
          </w:p>
        </w:tc>
        <w:tc>
          <w:tcPr>
            <w:tcW w:w="0" w:type="auto"/>
            <w:tcBorders>
              <w:bottom w:val="single" w:sz="4" w:space="0" w:color="000080"/>
            </w:tcBorders>
          </w:tcPr>
          <w:p w14:paraId="21D0C4F5" w14:textId="77777777" w:rsidR="004A6045" w:rsidRPr="000031E7" w:rsidRDefault="00607F70" w:rsidP="000031E7">
            <w:pPr>
              <w:keepNext/>
              <w:keepLines/>
              <w:spacing w:before="40" w:after="40"/>
              <w:ind w:left="415"/>
              <w:jc w:val="right"/>
              <w:rPr>
                <w:i/>
              </w:rPr>
            </w:pPr>
            <w:r>
              <w:rPr>
                <w:i/>
              </w:rPr>
              <w:t>1.6</w:t>
            </w:r>
            <w:r w:rsidR="00401C27">
              <w:rPr>
                <w:i/>
              </w:rPr>
              <w:t>00</w:t>
            </w:r>
          </w:p>
        </w:tc>
        <w:tc>
          <w:tcPr>
            <w:tcW w:w="0" w:type="auto"/>
            <w:tcBorders>
              <w:bottom w:val="single" w:sz="4" w:space="0" w:color="000080"/>
            </w:tcBorders>
          </w:tcPr>
          <w:p w14:paraId="6120B4CE" w14:textId="77777777" w:rsidR="004A6045" w:rsidRPr="000031E7" w:rsidRDefault="00607F70" w:rsidP="000031E7">
            <w:pPr>
              <w:keepNext/>
              <w:keepLines/>
              <w:spacing w:before="40" w:after="40"/>
              <w:ind w:left="415"/>
              <w:jc w:val="right"/>
              <w:rPr>
                <w:i/>
              </w:rPr>
            </w:pPr>
            <w:r>
              <w:rPr>
                <w:i/>
              </w:rPr>
              <w:t>0.0</w:t>
            </w:r>
            <w:r w:rsidR="00401C27">
              <w:rPr>
                <w:i/>
              </w:rPr>
              <w:t>00</w:t>
            </w:r>
          </w:p>
        </w:tc>
        <w:tc>
          <w:tcPr>
            <w:tcW w:w="0" w:type="auto"/>
            <w:tcBorders>
              <w:bottom w:val="single" w:sz="4" w:space="0" w:color="000080"/>
            </w:tcBorders>
          </w:tcPr>
          <w:p w14:paraId="3EC53FD1" w14:textId="77777777" w:rsidR="004A6045" w:rsidRPr="000031E7" w:rsidRDefault="00607F70" w:rsidP="000031E7">
            <w:pPr>
              <w:keepNext/>
              <w:keepLines/>
              <w:spacing w:before="40" w:after="40"/>
              <w:ind w:left="415"/>
              <w:jc w:val="right"/>
              <w:rPr>
                <w:i/>
              </w:rPr>
            </w:pPr>
            <w:r>
              <w:rPr>
                <w:i/>
              </w:rPr>
              <w:t>1.6</w:t>
            </w:r>
            <w:r w:rsidR="00401C27">
              <w:rPr>
                <w:i/>
              </w:rPr>
              <w:t>00</w:t>
            </w:r>
          </w:p>
        </w:tc>
      </w:tr>
      <w:tr w:rsidR="004A6045" w14:paraId="218AD779" w14:textId="77777777" w:rsidTr="001607E7">
        <w:trPr>
          <w:cantSplit/>
        </w:trPr>
        <w:tc>
          <w:tcPr>
            <w:tcW w:w="5954" w:type="dxa"/>
          </w:tcPr>
          <w:p w14:paraId="71D6C86D" w14:textId="77777777" w:rsidR="004A6045" w:rsidRPr="001607E7" w:rsidRDefault="001A0E5C" w:rsidP="001607E7">
            <w:pPr>
              <w:keepNext/>
              <w:keepLines/>
              <w:spacing w:after="0"/>
              <w:ind w:left="414"/>
              <w:jc w:val="left"/>
              <w:rPr>
                <w:i/>
                <w:sz w:val="22"/>
                <w:szCs w:val="22"/>
              </w:rPr>
            </w:pPr>
            <w:r w:rsidRPr="001607E7">
              <w:rPr>
                <w:i/>
                <w:sz w:val="22"/>
                <w:szCs w:val="22"/>
              </w:rPr>
              <w:t>Digital Campus Regional Hubs (Whyalla, Berri, Mt Gambier</w:t>
            </w:r>
            <w:r w:rsidR="001607E7" w:rsidRPr="001607E7">
              <w:rPr>
                <w:i/>
                <w:sz w:val="22"/>
                <w:szCs w:val="22"/>
              </w:rPr>
              <w:t>)</w:t>
            </w:r>
          </w:p>
        </w:tc>
        <w:tc>
          <w:tcPr>
            <w:tcW w:w="0" w:type="auto"/>
            <w:tcBorders>
              <w:bottom w:val="single" w:sz="4" w:space="0" w:color="000080"/>
            </w:tcBorders>
          </w:tcPr>
          <w:p w14:paraId="57D3E213" w14:textId="77777777" w:rsidR="004A6045" w:rsidRPr="000031E7" w:rsidRDefault="00607F70" w:rsidP="000031E7">
            <w:pPr>
              <w:keepNext/>
              <w:keepLines/>
              <w:spacing w:before="40" w:after="40"/>
              <w:ind w:left="415"/>
              <w:jc w:val="right"/>
              <w:rPr>
                <w:i/>
              </w:rPr>
            </w:pPr>
            <w:r>
              <w:rPr>
                <w:i/>
              </w:rPr>
              <w:t>0.4</w:t>
            </w:r>
            <w:r w:rsidR="00401C27">
              <w:rPr>
                <w:i/>
              </w:rPr>
              <w:t>00</w:t>
            </w:r>
          </w:p>
        </w:tc>
        <w:tc>
          <w:tcPr>
            <w:tcW w:w="0" w:type="auto"/>
            <w:tcBorders>
              <w:bottom w:val="single" w:sz="4" w:space="0" w:color="000080"/>
            </w:tcBorders>
          </w:tcPr>
          <w:p w14:paraId="7694E311" w14:textId="77777777" w:rsidR="004A6045" w:rsidRPr="000031E7" w:rsidRDefault="00607F70" w:rsidP="000031E7">
            <w:pPr>
              <w:keepNext/>
              <w:keepLines/>
              <w:spacing w:before="40" w:after="40"/>
              <w:ind w:left="415"/>
              <w:jc w:val="right"/>
              <w:rPr>
                <w:i/>
              </w:rPr>
            </w:pPr>
            <w:r>
              <w:rPr>
                <w:i/>
              </w:rPr>
              <w:t>2.</w:t>
            </w:r>
            <w:r w:rsidR="00401C27">
              <w:rPr>
                <w:i/>
              </w:rPr>
              <w:t>480</w:t>
            </w:r>
          </w:p>
        </w:tc>
        <w:tc>
          <w:tcPr>
            <w:tcW w:w="0" w:type="auto"/>
            <w:tcBorders>
              <w:bottom w:val="single" w:sz="4" w:space="0" w:color="000080"/>
            </w:tcBorders>
          </w:tcPr>
          <w:p w14:paraId="48D80028" w14:textId="77777777" w:rsidR="004A6045" w:rsidRPr="000031E7" w:rsidRDefault="00607F70" w:rsidP="000031E7">
            <w:pPr>
              <w:keepNext/>
              <w:keepLines/>
              <w:spacing w:before="40" w:after="40"/>
              <w:ind w:left="415"/>
              <w:jc w:val="right"/>
              <w:rPr>
                <w:i/>
              </w:rPr>
            </w:pPr>
            <w:r>
              <w:rPr>
                <w:i/>
              </w:rPr>
              <w:t>2.</w:t>
            </w:r>
            <w:r w:rsidR="00401C27">
              <w:rPr>
                <w:i/>
              </w:rPr>
              <w:t>880</w:t>
            </w:r>
          </w:p>
        </w:tc>
      </w:tr>
      <w:tr w:rsidR="008915E2" w14:paraId="2C92E614" w14:textId="77777777" w:rsidTr="001607E7">
        <w:trPr>
          <w:cantSplit/>
        </w:trPr>
        <w:tc>
          <w:tcPr>
            <w:tcW w:w="5954" w:type="dxa"/>
          </w:tcPr>
          <w:p w14:paraId="667907BC" w14:textId="77777777" w:rsidR="00815D38" w:rsidRPr="000031E7" w:rsidRDefault="008915E2">
            <w:pPr>
              <w:keepNext/>
              <w:keepLines/>
              <w:spacing w:before="60" w:after="60"/>
              <w:ind w:left="274"/>
              <w:rPr>
                <w:b/>
                <w:i/>
              </w:rPr>
            </w:pPr>
            <w:r w:rsidRPr="00C328C0">
              <w:rPr>
                <w:b/>
              </w:rPr>
              <w:t>Tasmania</w:t>
            </w:r>
          </w:p>
        </w:tc>
        <w:tc>
          <w:tcPr>
            <w:tcW w:w="0" w:type="auto"/>
            <w:tcBorders>
              <w:top w:val="single" w:sz="4" w:space="0" w:color="000080"/>
              <w:bottom w:val="single" w:sz="4" w:space="0" w:color="auto"/>
            </w:tcBorders>
          </w:tcPr>
          <w:p w14:paraId="4C2A9BC6" w14:textId="77777777" w:rsidR="008915E2" w:rsidRPr="000031E7" w:rsidRDefault="00607F70" w:rsidP="00AB71A5">
            <w:pPr>
              <w:keepNext/>
              <w:keepLines/>
              <w:spacing w:before="40" w:after="40"/>
              <w:jc w:val="right"/>
              <w:rPr>
                <w:b/>
              </w:rPr>
            </w:pPr>
            <w:r>
              <w:rPr>
                <w:b/>
              </w:rPr>
              <w:t>2.0</w:t>
            </w:r>
            <w:r w:rsidR="00401C27">
              <w:rPr>
                <w:b/>
              </w:rPr>
              <w:t>00</w:t>
            </w:r>
          </w:p>
        </w:tc>
        <w:tc>
          <w:tcPr>
            <w:tcW w:w="0" w:type="auto"/>
            <w:tcBorders>
              <w:top w:val="single" w:sz="4" w:space="0" w:color="000080"/>
              <w:bottom w:val="single" w:sz="4" w:space="0" w:color="auto"/>
            </w:tcBorders>
          </w:tcPr>
          <w:p w14:paraId="19A6EB06" w14:textId="77777777" w:rsidR="008915E2" w:rsidRPr="000031E7" w:rsidRDefault="00607F70" w:rsidP="00AB71A5">
            <w:pPr>
              <w:keepNext/>
              <w:keepLines/>
              <w:spacing w:before="40" w:after="40"/>
              <w:jc w:val="right"/>
              <w:rPr>
                <w:b/>
              </w:rPr>
            </w:pPr>
            <w:r>
              <w:rPr>
                <w:b/>
              </w:rPr>
              <w:t>5.0</w:t>
            </w:r>
            <w:r w:rsidR="00401C27">
              <w:rPr>
                <w:b/>
              </w:rPr>
              <w:t>00</w:t>
            </w:r>
          </w:p>
        </w:tc>
        <w:tc>
          <w:tcPr>
            <w:tcW w:w="0" w:type="auto"/>
            <w:tcBorders>
              <w:top w:val="single" w:sz="4" w:space="0" w:color="000080"/>
              <w:bottom w:val="single" w:sz="4" w:space="0" w:color="auto"/>
            </w:tcBorders>
          </w:tcPr>
          <w:p w14:paraId="339314D4" w14:textId="77777777" w:rsidR="008915E2" w:rsidRPr="000031E7" w:rsidRDefault="00607F70" w:rsidP="00AB71A5">
            <w:pPr>
              <w:keepNext/>
              <w:keepLines/>
              <w:spacing w:before="40" w:after="40"/>
              <w:jc w:val="right"/>
              <w:rPr>
                <w:b/>
              </w:rPr>
            </w:pPr>
            <w:r>
              <w:rPr>
                <w:b/>
              </w:rPr>
              <w:t>7.0</w:t>
            </w:r>
            <w:r w:rsidR="00401C27">
              <w:rPr>
                <w:b/>
              </w:rPr>
              <w:t>00</w:t>
            </w:r>
          </w:p>
        </w:tc>
      </w:tr>
      <w:tr w:rsidR="004A6045" w14:paraId="74F80ABA" w14:textId="77777777" w:rsidTr="001607E7">
        <w:trPr>
          <w:cantSplit/>
        </w:trPr>
        <w:tc>
          <w:tcPr>
            <w:tcW w:w="5954" w:type="dxa"/>
          </w:tcPr>
          <w:p w14:paraId="1A9157AC" w14:textId="77777777" w:rsidR="004A6045" w:rsidRPr="001607E7" w:rsidRDefault="001607E7" w:rsidP="001607E7">
            <w:pPr>
              <w:keepNext/>
              <w:keepLines/>
              <w:spacing w:before="60" w:after="60"/>
              <w:ind w:left="415"/>
              <w:rPr>
                <w:i/>
                <w:sz w:val="22"/>
                <w:szCs w:val="22"/>
              </w:rPr>
            </w:pPr>
            <w:r w:rsidRPr="001607E7">
              <w:rPr>
                <w:i/>
                <w:sz w:val="22"/>
                <w:szCs w:val="22"/>
              </w:rPr>
              <w:t xml:space="preserve">Water and Trades Centre of Excellence (Clarence) </w:t>
            </w:r>
          </w:p>
        </w:tc>
        <w:tc>
          <w:tcPr>
            <w:tcW w:w="0" w:type="auto"/>
            <w:tcBorders>
              <w:top w:val="single" w:sz="4" w:space="0" w:color="000080"/>
              <w:bottom w:val="single" w:sz="4" w:space="0" w:color="auto"/>
            </w:tcBorders>
          </w:tcPr>
          <w:p w14:paraId="54DD231F" w14:textId="77777777" w:rsidR="004A6045" w:rsidRPr="000031E7" w:rsidRDefault="00607F70" w:rsidP="00AB71A5">
            <w:pPr>
              <w:keepNext/>
              <w:keepLines/>
              <w:spacing w:before="40" w:after="40"/>
              <w:jc w:val="right"/>
              <w:rPr>
                <w:i/>
              </w:rPr>
            </w:pPr>
            <w:r>
              <w:rPr>
                <w:i/>
              </w:rPr>
              <w:t>2.0</w:t>
            </w:r>
            <w:r w:rsidR="00401C27">
              <w:rPr>
                <w:i/>
              </w:rPr>
              <w:t>00</w:t>
            </w:r>
          </w:p>
        </w:tc>
        <w:tc>
          <w:tcPr>
            <w:tcW w:w="0" w:type="auto"/>
            <w:tcBorders>
              <w:top w:val="single" w:sz="4" w:space="0" w:color="000080"/>
              <w:bottom w:val="single" w:sz="4" w:space="0" w:color="auto"/>
            </w:tcBorders>
          </w:tcPr>
          <w:p w14:paraId="42993A99" w14:textId="77777777" w:rsidR="004A6045" w:rsidRPr="000031E7" w:rsidRDefault="00607F70" w:rsidP="00AB71A5">
            <w:pPr>
              <w:keepNext/>
              <w:keepLines/>
              <w:spacing w:before="40" w:after="40"/>
              <w:jc w:val="right"/>
              <w:rPr>
                <w:i/>
              </w:rPr>
            </w:pPr>
            <w:r>
              <w:rPr>
                <w:i/>
              </w:rPr>
              <w:t>5.0</w:t>
            </w:r>
            <w:r w:rsidR="00401C27">
              <w:rPr>
                <w:i/>
              </w:rPr>
              <w:t>00</w:t>
            </w:r>
          </w:p>
        </w:tc>
        <w:tc>
          <w:tcPr>
            <w:tcW w:w="0" w:type="auto"/>
            <w:tcBorders>
              <w:top w:val="single" w:sz="4" w:space="0" w:color="000080"/>
              <w:bottom w:val="single" w:sz="4" w:space="0" w:color="auto"/>
            </w:tcBorders>
          </w:tcPr>
          <w:p w14:paraId="0B69CD5C" w14:textId="77777777" w:rsidR="004A6045" w:rsidRPr="000031E7" w:rsidRDefault="00607F70" w:rsidP="00AB71A5">
            <w:pPr>
              <w:keepNext/>
              <w:keepLines/>
              <w:spacing w:before="40" w:after="40"/>
              <w:jc w:val="right"/>
              <w:rPr>
                <w:i/>
              </w:rPr>
            </w:pPr>
            <w:r>
              <w:rPr>
                <w:i/>
              </w:rPr>
              <w:t>7.0</w:t>
            </w:r>
            <w:r w:rsidR="00401C27">
              <w:rPr>
                <w:i/>
              </w:rPr>
              <w:t>00</w:t>
            </w:r>
          </w:p>
        </w:tc>
      </w:tr>
      <w:tr w:rsidR="008915E2" w14:paraId="66E5EAAA" w14:textId="77777777" w:rsidTr="001607E7">
        <w:trPr>
          <w:cantSplit/>
        </w:trPr>
        <w:tc>
          <w:tcPr>
            <w:tcW w:w="5954" w:type="dxa"/>
          </w:tcPr>
          <w:p w14:paraId="6AC06646" w14:textId="77777777" w:rsidR="008915E2" w:rsidRPr="00C328C0" w:rsidRDefault="008915E2" w:rsidP="00DC0D77">
            <w:pPr>
              <w:keepNext/>
              <w:keepLines/>
              <w:spacing w:before="60" w:after="60"/>
              <w:ind w:left="274"/>
              <w:rPr>
                <w:b/>
              </w:rPr>
            </w:pPr>
            <w:r w:rsidRPr="00C328C0">
              <w:rPr>
                <w:b/>
              </w:rPr>
              <w:t>Australian Capital Territory</w:t>
            </w:r>
          </w:p>
        </w:tc>
        <w:tc>
          <w:tcPr>
            <w:tcW w:w="0" w:type="auto"/>
            <w:tcBorders>
              <w:top w:val="single" w:sz="4" w:space="0" w:color="auto"/>
              <w:bottom w:val="single" w:sz="4" w:space="0" w:color="000080"/>
            </w:tcBorders>
          </w:tcPr>
          <w:p w14:paraId="72206A10" w14:textId="77777777" w:rsidR="00607F70" w:rsidRPr="000031E7" w:rsidRDefault="00607F70">
            <w:pPr>
              <w:keepNext/>
              <w:keepLines/>
              <w:spacing w:before="40" w:after="40"/>
              <w:jc w:val="right"/>
              <w:rPr>
                <w:b/>
              </w:rPr>
            </w:pPr>
            <w:r w:rsidRPr="000031E7">
              <w:rPr>
                <w:b/>
              </w:rPr>
              <w:t>2.0</w:t>
            </w:r>
            <w:r w:rsidR="00401C27">
              <w:rPr>
                <w:b/>
              </w:rPr>
              <w:t>00</w:t>
            </w:r>
          </w:p>
        </w:tc>
        <w:tc>
          <w:tcPr>
            <w:tcW w:w="0" w:type="auto"/>
            <w:tcBorders>
              <w:top w:val="single" w:sz="4" w:space="0" w:color="auto"/>
              <w:bottom w:val="single" w:sz="4" w:space="0" w:color="000080"/>
            </w:tcBorders>
          </w:tcPr>
          <w:p w14:paraId="6091D176" w14:textId="77777777" w:rsidR="008915E2" w:rsidRPr="000031E7" w:rsidRDefault="00607F70" w:rsidP="00AB71A5">
            <w:pPr>
              <w:keepNext/>
              <w:keepLines/>
              <w:spacing w:before="40" w:after="40"/>
              <w:jc w:val="right"/>
              <w:rPr>
                <w:b/>
              </w:rPr>
            </w:pPr>
            <w:r>
              <w:rPr>
                <w:b/>
              </w:rPr>
              <w:t>0.6</w:t>
            </w:r>
            <w:r w:rsidR="00401C27">
              <w:rPr>
                <w:b/>
              </w:rPr>
              <w:t>08</w:t>
            </w:r>
          </w:p>
        </w:tc>
        <w:tc>
          <w:tcPr>
            <w:tcW w:w="0" w:type="auto"/>
            <w:tcBorders>
              <w:top w:val="single" w:sz="4" w:space="0" w:color="auto"/>
              <w:bottom w:val="single" w:sz="4" w:space="0" w:color="000080"/>
            </w:tcBorders>
          </w:tcPr>
          <w:p w14:paraId="551D7A33" w14:textId="77777777" w:rsidR="008915E2" w:rsidRPr="000031E7" w:rsidRDefault="00607F70" w:rsidP="00AB71A5">
            <w:pPr>
              <w:keepNext/>
              <w:keepLines/>
              <w:spacing w:before="40" w:after="40"/>
              <w:jc w:val="right"/>
              <w:rPr>
                <w:b/>
              </w:rPr>
            </w:pPr>
            <w:r>
              <w:rPr>
                <w:b/>
              </w:rPr>
              <w:t>2.6</w:t>
            </w:r>
            <w:r w:rsidR="00401C27">
              <w:rPr>
                <w:b/>
              </w:rPr>
              <w:t>08</w:t>
            </w:r>
          </w:p>
        </w:tc>
      </w:tr>
      <w:tr w:rsidR="004A6045" w14:paraId="273CA031" w14:textId="77777777" w:rsidTr="001607E7">
        <w:trPr>
          <w:cantSplit/>
        </w:trPr>
        <w:tc>
          <w:tcPr>
            <w:tcW w:w="5954" w:type="dxa"/>
          </w:tcPr>
          <w:p w14:paraId="1D686A6E" w14:textId="77777777" w:rsidR="004A6045" w:rsidRPr="006B394D" w:rsidRDefault="001607E7" w:rsidP="006B394D">
            <w:pPr>
              <w:keepNext/>
              <w:keepLines/>
              <w:spacing w:after="0"/>
              <w:ind w:left="414"/>
              <w:rPr>
                <w:i/>
                <w:sz w:val="22"/>
                <w:szCs w:val="22"/>
              </w:rPr>
            </w:pPr>
            <w:r w:rsidRPr="006B394D">
              <w:rPr>
                <w:i/>
                <w:sz w:val="22"/>
                <w:szCs w:val="22"/>
              </w:rPr>
              <w:t>Expand</w:t>
            </w:r>
            <w:r w:rsidR="006B394D" w:rsidRPr="006B394D">
              <w:rPr>
                <w:i/>
                <w:sz w:val="22"/>
                <w:szCs w:val="22"/>
              </w:rPr>
              <w:t xml:space="preserve"> </w:t>
            </w:r>
            <w:r w:rsidRPr="006B394D">
              <w:rPr>
                <w:i/>
                <w:sz w:val="22"/>
                <w:szCs w:val="22"/>
              </w:rPr>
              <w:t>teaching and learning spaces (Fyshwick Campus)</w:t>
            </w:r>
          </w:p>
        </w:tc>
        <w:tc>
          <w:tcPr>
            <w:tcW w:w="0" w:type="auto"/>
            <w:tcBorders>
              <w:top w:val="single" w:sz="4" w:space="0" w:color="auto"/>
              <w:bottom w:val="single" w:sz="4" w:space="0" w:color="000080"/>
            </w:tcBorders>
          </w:tcPr>
          <w:p w14:paraId="49C7BC4D" w14:textId="77777777" w:rsidR="004A6045" w:rsidRPr="000031E7" w:rsidRDefault="005469D0" w:rsidP="000031E7">
            <w:pPr>
              <w:keepNext/>
              <w:keepLines/>
              <w:spacing w:before="40" w:after="40"/>
              <w:ind w:left="415"/>
              <w:jc w:val="right"/>
              <w:rPr>
                <w:i/>
              </w:rPr>
            </w:pPr>
            <w:r>
              <w:rPr>
                <w:i/>
              </w:rPr>
              <w:t>0</w:t>
            </w:r>
            <w:r w:rsidR="00607F70">
              <w:rPr>
                <w:i/>
              </w:rPr>
              <w:t>.</w:t>
            </w:r>
            <w:r>
              <w:rPr>
                <w:i/>
              </w:rPr>
              <w:t>84</w:t>
            </w:r>
            <w:r w:rsidR="00401C27">
              <w:rPr>
                <w:i/>
              </w:rPr>
              <w:t>0</w:t>
            </w:r>
          </w:p>
        </w:tc>
        <w:tc>
          <w:tcPr>
            <w:tcW w:w="0" w:type="auto"/>
            <w:tcBorders>
              <w:top w:val="single" w:sz="4" w:space="0" w:color="auto"/>
              <w:bottom w:val="single" w:sz="4" w:space="0" w:color="000080"/>
            </w:tcBorders>
          </w:tcPr>
          <w:p w14:paraId="0E8FB49C" w14:textId="77777777" w:rsidR="004A6045" w:rsidRPr="000031E7" w:rsidRDefault="00607F70" w:rsidP="000031E7">
            <w:pPr>
              <w:keepNext/>
              <w:keepLines/>
              <w:spacing w:before="40" w:after="40"/>
              <w:ind w:left="415"/>
              <w:jc w:val="right"/>
              <w:rPr>
                <w:i/>
              </w:rPr>
            </w:pPr>
            <w:r>
              <w:rPr>
                <w:i/>
              </w:rPr>
              <w:t>0.6</w:t>
            </w:r>
            <w:r w:rsidR="00401C27">
              <w:rPr>
                <w:i/>
              </w:rPr>
              <w:t>08</w:t>
            </w:r>
          </w:p>
        </w:tc>
        <w:tc>
          <w:tcPr>
            <w:tcW w:w="0" w:type="auto"/>
            <w:tcBorders>
              <w:top w:val="single" w:sz="4" w:space="0" w:color="auto"/>
              <w:bottom w:val="single" w:sz="4" w:space="0" w:color="000080"/>
            </w:tcBorders>
          </w:tcPr>
          <w:p w14:paraId="3A1087F5" w14:textId="77777777" w:rsidR="004A6045" w:rsidRPr="000031E7" w:rsidRDefault="005469D0" w:rsidP="000031E7">
            <w:pPr>
              <w:keepNext/>
              <w:keepLines/>
              <w:spacing w:before="40" w:after="40"/>
              <w:ind w:left="415"/>
              <w:jc w:val="right"/>
              <w:rPr>
                <w:i/>
              </w:rPr>
            </w:pPr>
            <w:r>
              <w:rPr>
                <w:i/>
              </w:rPr>
              <w:t>1.448</w:t>
            </w:r>
          </w:p>
        </w:tc>
      </w:tr>
      <w:tr w:rsidR="004A6045" w14:paraId="5EE6048C" w14:textId="77777777" w:rsidTr="001607E7">
        <w:trPr>
          <w:cantSplit/>
        </w:trPr>
        <w:tc>
          <w:tcPr>
            <w:tcW w:w="5954" w:type="dxa"/>
          </w:tcPr>
          <w:p w14:paraId="5BDA37A3" w14:textId="77777777" w:rsidR="004A6045" w:rsidRPr="006B394D" w:rsidRDefault="006B394D" w:rsidP="006B394D">
            <w:pPr>
              <w:keepNext/>
              <w:keepLines/>
              <w:spacing w:after="0"/>
              <w:ind w:left="414"/>
              <w:rPr>
                <w:i/>
                <w:sz w:val="22"/>
                <w:szCs w:val="22"/>
              </w:rPr>
            </w:pPr>
            <w:r w:rsidRPr="006B394D">
              <w:rPr>
                <w:i/>
                <w:sz w:val="22"/>
                <w:szCs w:val="22"/>
              </w:rPr>
              <w:t>Technology infrastructure upgrades</w:t>
            </w:r>
          </w:p>
        </w:tc>
        <w:tc>
          <w:tcPr>
            <w:tcW w:w="0" w:type="auto"/>
            <w:tcBorders>
              <w:top w:val="single" w:sz="4" w:space="0" w:color="auto"/>
              <w:bottom w:val="single" w:sz="4" w:space="0" w:color="000080"/>
            </w:tcBorders>
          </w:tcPr>
          <w:p w14:paraId="5D955F20" w14:textId="77777777" w:rsidR="004A6045" w:rsidRPr="000031E7" w:rsidRDefault="005469D0" w:rsidP="000031E7">
            <w:pPr>
              <w:keepNext/>
              <w:keepLines/>
              <w:spacing w:before="40" w:after="40"/>
              <w:ind w:left="415"/>
              <w:jc w:val="right"/>
              <w:rPr>
                <w:i/>
              </w:rPr>
            </w:pPr>
            <w:r>
              <w:rPr>
                <w:i/>
              </w:rPr>
              <w:t>1.160</w:t>
            </w:r>
          </w:p>
        </w:tc>
        <w:tc>
          <w:tcPr>
            <w:tcW w:w="0" w:type="auto"/>
            <w:tcBorders>
              <w:top w:val="single" w:sz="4" w:space="0" w:color="auto"/>
              <w:bottom w:val="single" w:sz="4" w:space="0" w:color="000080"/>
            </w:tcBorders>
          </w:tcPr>
          <w:p w14:paraId="466F3294" w14:textId="77777777" w:rsidR="004A6045" w:rsidRPr="000031E7" w:rsidRDefault="005469D0" w:rsidP="000031E7">
            <w:pPr>
              <w:keepNext/>
              <w:keepLines/>
              <w:spacing w:before="40" w:after="40"/>
              <w:ind w:left="415"/>
              <w:jc w:val="right"/>
              <w:rPr>
                <w:i/>
              </w:rPr>
            </w:pPr>
            <w:r>
              <w:rPr>
                <w:i/>
              </w:rPr>
              <w:t>0.000</w:t>
            </w:r>
          </w:p>
        </w:tc>
        <w:tc>
          <w:tcPr>
            <w:tcW w:w="0" w:type="auto"/>
            <w:tcBorders>
              <w:top w:val="single" w:sz="4" w:space="0" w:color="auto"/>
              <w:bottom w:val="single" w:sz="4" w:space="0" w:color="000080"/>
            </w:tcBorders>
          </w:tcPr>
          <w:p w14:paraId="32F43D72" w14:textId="77777777" w:rsidR="004A6045" w:rsidRPr="000031E7" w:rsidRDefault="005469D0" w:rsidP="000031E7">
            <w:pPr>
              <w:keepNext/>
              <w:keepLines/>
              <w:spacing w:before="40" w:after="40"/>
              <w:ind w:left="415"/>
              <w:jc w:val="right"/>
              <w:rPr>
                <w:i/>
              </w:rPr>
            </w:pPr>
            <w:r>
              <w:rPr>
                <w:i/>
              </w:rPr>
              <w:t>1.160</w:t>
            </w:r>
          </w:p>
        </w:tc>
      </w:tr>
      <w:tr w:rsidR="008915E2" w14:paraId="4E4F68C9" w14:textId="77777777" w:rsidTr="001607E7">
        <w:trPr>
          <w:cantSplit/>
        </w:trPr>
        <w:tc>
          <w:tcPr>
            <w:tcW w:w="5954" w:type="dxa"/>
          </w:tcPr>
          <w:p w14:paraId="3949494C" w14:textId="77777777" w:rsidR="008915E2" w:rsidRPr="00C328C0" w:rsidRDefault="008915E2" w:rsidP="00DC0D77">
            <w:pPr>
              <w:keepNext/>
              <w:keepLines/>
              <w:spacing w:before="60" w:after="60"/>
              <w:ind w:left="274"/>
              <w:rPr>
                <w:b/>
              </w:rPr>
            </w:pPr>
            <w:r w:rsidRPr="00C328C0">
              <w:rPr>
                <w:b/>
              </w:rPr>
              <w:t>Northern Territory</w:t>
            </w:r>
          </w:p>
        </w:tc>
        <w:tc>
          <w:tcPr>
            <w:tcW w:w="0" w:type="auto"/>
            <w:tcBorders>
              <w:bottom w:val="single" w:sz="4" w:space="0" w:color="000080"/>
            </w:tcBorders>
          </w:tcPr>
          <w:p w14:paraId="4B8DCBAA" w14:textId="77777777" w:rsidR="008915E2" w:rsidRPr="000031E7" w:rsidRDefault="00607F70" w:rsidP="00AB71A5">
            <w:pPr>
              <w:keepNext/>
              <w:keepLines/>
              <w:spacing w:before="40" w:after="40"/>
              <w:jc w:val="right"/>
              <w:rPr>
                <w:b/>
              </w:rPr>
            </w:pPr>
            <w:r>
              <w:rPr>
                <w:b/>
              </w:rPr>
              <w:t>0.8</w:t>
            </w:r>
            <w:r w:rsidR="00401C27">
              <w:rPr>
                <w:b/>
              </w:rPr>
              <w:t>00</w:t>
            </w:r>
          </w:p>
        </w:tc>
        <w:tc>
          <w:tcPr>
            <w:tcW w:w="0" w:type="auto"/>
            <w:tcBorders>
              <w:bottom w:val="single" w:sz="4" w:space="0" w:color="000080"/>
            </w:tcBorders>
          </w:tcPr>
          <w:p w14:paraId="19CB178B" w14:textId="77777777" w:rsidR="008915E2" w:rsidRPr="000031E7" w:rsidRDefault="00607F70" w:rsidP="00AB71A5">
            <w:pPr>
              <w:keepNext/>
              <w:keepLines/>
              <w:spacing w:before="40" w:after="40"/>
              <w:jc w:val="right"/>
              <w:rPr>
                <w:b/>
              </w:rPr>
            </w:pPr>
            <w:r>
              <w:rPr>
                <w:b/>
              </w:rPr>
              <w:t>0.0</w:t>
            </w:r>
            <w:r w:rsidR="00401C27">
              <w:rPr>
                <w:b/>
              </w:rPr>
              <w:t>00</w:t>
            </w:r>
          </w:p>
        </w:tc>
        <w:tc>
          <w:tcPr>
            <w:tcW w:w="0" w:type="auto"/>
            <w:tcBorders>
              <w:bottom w:val="single" w:sz="4" w:space="0" w:color="000080"/>
            </w:tcBorders>
          </w:tcPr>
          <w:p w14:paraId="1F5300B8" w14:textId="77777777" w:rsidR="008915E2" w:rsidRPr="000031E7" w:rsidRDefault="00607F70" w:rsidP="00AB71A5">
            <w:pPr>
              <w:keepNext/>
              <w:keepLines/>
              <w:spacing w:before="40" w:after="40"/>
              <w:jc w:val="right"/>
              <w:rPr>
                <w:b/>
              </w:rPr>
            </w:pPr>
            <w:r>
              <w:rPr>
                <w:b/>
              </w:rPr>
              <w:t>0.8</w:t>
            </w:r>
            <w:r w:rsidR="00401C27">
              <w:rPr>
                <w:b/>
              </w:rPr>
              <w:t>00</w:t>
            </w:r>
          </w:p>
        </w:tc>
      </w:tr>
      <w:tr w:rsidR="004A6045" w:rsidRPr="004A6045" w14:paraId="49E07FE2" w14:textId="77777777" w:rsidTr="001607E7">
        <w:trPr>
          <w:cantSplit/>
        </w:trPr>
        <w:tc>
          <w:tcPr>
            <w:tcW w:w="5954" w:type="dxa"/>
          </w:tcPr>
          <w:p w14:paraId="5773CDF8" w14:textId="77777777" w:rsidR="004A6045" w:rsidRPr="00CC13F1" w:rsidRDefault="006B394D" w:rsidP="00CC13F1">
            <w:pPr>
              <w:keepNext/>
              <w:keepLines/>
              <w:spacing w:before="60" w:after="60"/>
              <w:ind w:left="415"/>
              <w:rPr>
                <w:i/>
                <w:sz w:val="22"/>
                <w:szCs w:val="22"/>
              </w:rPr>
            </w:pPr>
            <w:r w:rsidRPr="00CC13F1">
              <w:rPr>
                <w:i/>
                <w:sz w:val="22"/>
                <w:szCs w:val="22"/>
              </w:rPr>
              <w:t>Facility upgrades Juno Centre (</w:t>
            </w:r>
            <w:r w:rsidR="00CC13F1" w:rsidRPr="00CC13F1">
              <w:rPr>
                <w:i/>
                <w:sz w:val="22"/>
                <w:szCs w:val="22"/>
              </w:rPr>
              <w:t>T</w:t>
            </w:r>
            <w:r w:rsidRPr="00CC13F1">
              <w:rPr>
                <w:i/>
                <w:sz w:val="22"/>
                <w:szCs w:val="22"/>
              </w:rPr>
              <w:t>enant Creek</w:t>
            </w:r>
            <w:r w:rsidR="00CC13F1" w:rsidRPr="00CC13F1">
              <w:rPr>
                <w:i/>
                <w:sz w:val="22"/>
                <w:szCs w:val="22"/>
              </w:rPr>
              <w:t>)</w:t>
            </w:r>
          </w:p>
        </w:tc>
        <w:tc>
          <w:tcPr>
            <w:tcW w:w="0" w:type="auto"/>
            <w:tcBorders>
              <w:bottom w:val="single" w:sz="4" w:space="0" w:color="000080"/>
            </w:tcBorders>
          </w:tcPr>
          <w:p w14:paraId="10B192F7" w14:textId="77777777" w:rsidR="004A6045" w:rsidRPr="000031E7" w:rsidRDefault="00607F70" w:rsidP="000031E7">
            <w:pPr>
              <w:keepNext/>
              <w:keepLines/>
              <w:spacing w:before="40" w:after="40"/>
              <w:ind w:left="415"/>
              <w:jc w:val="right"/>
              <w:rPr>
                <w:i/>
              </w:rPr>
            </w:pPr>
            <w:r>
              <w:rPr>
                <w:i/>
              </w:rPr>
              <w:t>0.8</w:t>
            </w:r>
            <w:r w:rsidR="00401C27">
              <w:rPr>
                <w:i/>
              </w:rPr>
              <w:t>00</w:t>
            </w:r>
          </w:p>
        </w:tc>
        <w:tc>
          <w:tcPr>
            <w:tcW w:w="0" w:type="auto"/>
            <w:tcBorders>
              <w:bottom w:val="single" w:sz="4" w:space="0" w:color="000080"/>
            </w:tcBorders>
          </w:tcPr>
          <w:p w14:paraId="075FC87A" w14:textId="77777777" w:rsidR="004A6045" w:rsidRPr="000031E7" w:rsidRDefault="00607F70" w:rsidP="000031E7">
            <w:pPr>
              <w:keepNext/>
              <w:keepLines/>
              <w:spacing w:before="40" w:after="40"/>
              <w:ind w:left="415"/>
              <w:jc w:val="right"/>
              <w:rPr>
                <w:i/>
              </w:rPr>
            </w:pPr>
            <w:r>
              <w:rPr>
                <w:i/>
              </w:rPr>
              <w:t>0.0</w:t>
            </w:r>
            <w:r w:rsidR="00401C27">
              <w:rPr>
                <w:i/>
              </w:rPr>
              <w:t>00</w:t>
            </w:r>
          </w:p>
        </w:tc>
        <w:tc>
          <w:tcPr>
            <w:tcW w:w="0" w:type="auto"/>
            <w:tcBorders>
              <w:bottom w:val="single" w:sz="4" w:space="0" w:color="000080"/>
            </w:tcBorders>
          </w:tcPr>
          <w:p w14:paraId="009AB363" w14:textId="77777777" w:rsidR="004A6045" w:rsidRPr="000031E7" w:rsidRDefault="00607F70" w:rsidP="000031E7">
            <w:pPr>
              <w:keepNext/>
              <w:keepLines/>
              <w:spacing w:before="40" w:after="40"/>
              <w:ind w:left="415"/>
              <w:jc w:val="right"/>
              <w:rPr>
                <w:i/>
              </w:rPr>
            </w:pPr>
            <w:r>
              <w:rPr>
                <w:i/>
              </w:rPr>
              <w:t>0.8</w:t>
            </w:r>
            <w:r w:rsidR="00401C27">
              <w:rPr>
                <w:i/>
              </w:rPr>
              <w:t>00</w:t>
            </w:r>
          </w:p>
        </w:tc>
      </w:tr>
      <w:tr w:rsidR="00EA77DE" w14:paraId="0276D652" w14:textId="77777777" w:rsidTr="001607E7">
        <w:trPr>
          <w:cantSplit/>
        </w:trPr>
        <w:tc>
          <w:tcPr>
            <w:tcW w:w="5954" w:type="dxa"/>
          </w:tcPr>
          <w:p w14:paraId="4496CD4E" w14:textId="77777777" w:rsidR="00EA77DE" w:rsidRPr="00C328C0" w:rsidRDefault="00EA77DE" w:rsidP="00AB71A5">
            <w:pPr>
              <w:keepNext/>
              <w:keepLines/>
              <w:spacing w:before="40" w:after="40"/>
              <w:rPr>
                <w:b/>
              </w:rPr>
            </w:pPr>
            <w:r w:rsidRPr="00C328C0">
              <w:rPr>
                <w:b/>
              </w:rPr>
              <w:t>Balance of non-Commonwealth contributions</w:t>
            </w:r>
          </w:p>
        </w:tc>
        <w:tc>
          <w:tcPr>
            <w:tcW w:w="0" w:type="auto"/>
          </w:tcPr>
          <w:p w14:paraId="684F0439" w14:textId="77777777" w:rsidR="00EA77DE" w:rsidRPr="00D64798" w:rsidRDefault="00EA77DE" w:rsidP="00AB71A5">
            <w:pPr>
              <w:keepNext/>
              <w:keepLines/>
              <w:spacing w:before="40" w:after="40"/>
              <w:jc w:val="right"/>
              <w:rPr>
                <w:b/>
              </w:rPr>
            </w:pPr>
          </w:p>
        </w:tc>
        <w:tc>
          <w:tcPr>
            <w:tcW w:w="0" w:type="auto"/>
          </w:tcPr>
          <w:p w14:paraId="3A61E536" w14:textId="77777777" w:rsidR="00EA77DE" w:rsidRPr="00D64798" w:rsidRDefault="00EA77DE" w:rsidP="00AB71A5">
            <w:pPr>
              <w:keepNext/>
              <w:keepLines/>
              <w:spacing w:before="40" w:after="40"/>
              <w:jc w:val="right"/>
              <w:rPr>
                <w:b/>
              </w:rPr>
            </w:pPr>
          </w:p>
        </w:tc>
        <w:tc>
          <w:tcPr>
            <w:tcW w:w="0" w:type="auto"/>
          </w:tcPr>
          <w:p w14:paraId="58A30EAD" w14:textId="77777777" w:rsidR="00EA77DE" w:rsidRPr="00D64798" w:rsidRDefault="00EA77DE" w:rsidP="00AB71A5">
            <w:pPr>
              <w:keepNext/>
              <w:keepLines/>
              <w:spacing w:before="40" w:after="40"/>
              <w:jc w:val="right"/>
              <w:rPr>
                <w:b/>
              </w:rPr>
            </w:pPr>
          </w:p>
        </w:tc>
      </w:tr>
      <w:tr w:rsidR="00C328C0" w14:paraId="53945730" w14:textId="77777777" w:rsidTr="001607E7">
        <w:trPr>
          <w:cantSplit/>
        </w:trPr>
        <w:tc>
          <w:tcPr>
            <w:tcW w:w="5954" w:type="dxa"/>
          </w:tcPr>
          <w:p w14:paraId="2408C89B" w14:textId="77777777" w:rsidR="00C328C0" w:rsidRPr="00C328C0" w:rsidRDefault="00AF5E60" w:rsidP="000031E7">
            <w:pPr>
              <w:keepNext/>
              <w:keepLines/>
              <w:spacing w:before="60" w:after="60"/>
              <w:ind w:left="274"/>
              <w:rPr>
                <w:b/>
              </w:rPr>
            </w:pPr>
            <w:r>
              <w:rPr>
                <w:b/>
              </w:rPr>
              <w:t>Tasmania</w:t>
            </w:r>
          </w:p>
        </w:tc>
        <w:tc>
          <w:tcPr>
            <w:tcW w:w="0" w:type="auto"/>
            <w:tcBorders>
              <w:bottom w:val="single" w:sz="4" w:space="0" w:color="auto"/>
            </w:tcBorders>
          </w:tcPr>
          <w:p w14:paraId="00049A5D" w14:textId="77777777" w:rsidR="00C328C0" w:rsidRPr="000031E7" w:rsidRDefault="0030643F" w:rsidP="000031E7">
            <w:pPr>
              <w:keepNext/>
              <w:keepLines/>
              <w:tabs>
                <w:tab w:val="left" w:pos="830"/>
              </w:tabs>
              <w:spacing w:before="60" w:after="60"/>
              <w:jc w:val="right"/>
              <w:rPr>
                <w:b/>
              </w:rPr>
            </w:pPr>
            <w:r w:rsidRPr="000031E7">
              <w:rPr>
                <w:b/>
              </w:rPr>
              <w:tab/>
            </w:r>
            <w:r w:rsidR="00BA729B">
              <w:rPr>
                <w:b/>
              </w:rPr>
              <w:t>0.</w:t>
            </w:r>
            <w:r w:rsidR="006B394D">
              <w:rPr>
                <w:b/>
              </w:rPr>
              <w:t>500</w:t>
            </w:r>
          </w:p>
        </w:tc>
        <w:tc>
          <w:tcPr>
            <w:tcW w:w="0" w:type="auto"/>
            <w:tcBorders>
              <w:bottom w:val="single" w:sz="4" w:space="0" w:color="auto"/>
            </w:tcBorders>
          </w:tcPr>
          <w:p w14:paraId="4BA280CE" w14:textId="77777777" w:rsidR="00C328C0" w:rsidRPr="000031E7" w:rsidRDefault="00BA729B" w:rsidP="006B394D">
            <w:pPr>
              <w:keepNext/>
              <w:keepLines/>
              <w:spacing w:before="60" w:after="60"/>
              <w:jc w:val="right"/>
              <w:rPr>
                <w:b/>
              </w:rPr>
            </w:pPr>
            <w:r>
              <w:rPr>
                <w:b/>
              </w:rPr>
              <w:t>0</w:t>
            </w:r>
            <w:r w:rsidR="00401C27">
              <w:rPr>
                <w:b/>
              </w:rPr>
              <w:t>.</w:t>
            </w:r>
            <w:r w:rsidR="006B394D">
              <w:rPr>
                <w:b/>
              </w:rPr>
              <w:t>000</w:t>
            </w:r>
          </w:p>
        </w:tc>
        <w:tc>
          <w:tcPr>
            <w:tcW w:w="0" w:type="auto"/>
            <w:tcBorders>
              <w:bottom w:val="single" w:sz="4" w:space="0" w:color="auto"/>
            </w:tcBorders>
          </w:tcPr>
          <w:p w14:paraId="34344052" w14:textId="77777777" w:rsidR="00C328C0" w:rsidRPr="000031E7" w:rsidRDefault="00BA729B" w:rsidP="000031E7">
            <w:pPr>
              <w:keepNext/>
              <w:keepLines/>
              <w:spacing w:before="60" w:after="60"/>
              <w:jc w:val="right"/>
              <w:rPr>
                <w:b/>
              </w:rPr>
            </w:pPr>
            <w:r>
              <w:rPr>
                <w:b/>
              </w:rPr>
              <w:t>0.</w:t>
            </w:r>
            <w:r w:rsidR="006B394D">
              <w:rPr>
                <w:b/>
              </w:rPr>
              <w:t>50</w:t>
            </w:r>
            <w:r w:rsidR="00401C27">
              <w:rPr>
                <w:b/>
              </w:rPr>
              <w:t>0</w:t>
            </w:r>
          </w:p>
        </w:tc>
      </w:tr>
      <w:tr w:rsidR="00C328C0" w14:paraId="4B4E546C" w14:textId="77777777" w:rsidTr="001607E7">
        <w:trPr>
          <w:cantSplit/>
        </w:trPr>
        <w:tc>
          <w:tcPr>
            <w:tcW w:w="5954" w:type="dxa"/>
          </w:tcPr>
          <w:p w14:paraId="7CE1BEA0" w14:textId="77777777" w:rsidR="00C328C0" w:rsidRPr="006B394D" w:rsidRDefault="003010E7" w:rsidP="006B394D">
            <w:pPr>
              <w:keepNext/>
              <w:keepLines/>
              <w:spacing w:after="0"/>
              <w:ind w:left="457"/>
              <w:jc w:val="left"/>
              <w:rPr>
                <w:i/>
                <w:sz w:val="22"/>
                <w:szCs w:val="22"/>
              </w:rPr>
            </w:pPr>
            <w:r w:rsidRPr="006B394D">
              <w:rPr>
                <w:i/>
                <w:sz w:val="22"/>
                <w:szCs w:val="22"/>
              </w:rPr>
              <w:t>Tasmanian Building and Construction Industry Training Board</w:t>
            </w:r>
          </w:p>
        </w:tc>
        <w:tc>
          <w:tcPr>
            <w:tcW w:w="0" w:type="auto"/>
            <w:tcBorders>
              <w:top w:val="single" w:sz="4" w:space="0" w:color="auto"/>
              <w:bottom w:val="single" w:sz="4" w:space="0" w:color="auto"/>
            </w:tcBorders>
          </w:tcPr>
          <w:p w14:paraId="7B5AF96E" w14:textId="77777777" w:rsidR="00C328C0" w:rsidRDefault="00BA729B" w:rsidP="00AB71A5">
            <w:pPr>
              <w:keepNext/>
              <w:keepLines/>
              <w:spacing w:before="40" w:after="40"/>
              <w:jc w:val="right"/>
            </w:pPr>
            <w:r>
              <w:t>0.</w:t>
            </w:r>
            <w:r w:rsidR="00401C27">
              <w:t>250</w:t>
            </w:r>
          </w:p>
        </w:tc>
        <w:tc>
          <w:tcPr>
            <w:tcW w:w="0" w:type="auto"/>
            <w:tcBorders>
              <w:top w:val="single" w:sz="4" w:space="0" w:color="auto"/>
              <w:bottom w:val="single" w:sz="4" w:space="0" w:color="auto"/>
            </w:tcBorders>
          </w:tcPr>
          <w:p w14:paraId="6C1FF428" w14:textId="77777777" w:rsidR="00C328C0" w:rsidRDefault="00BA729B" w:rsidP="00AB71A5">
            <w:pPr>
              <w:keepNext/>
              <w:keepLines/>
              <w:spacing w:before="40" w:after="40"/>
              <w:jc w:val="right"/>
            </w:pPr>
            <w:r>
              <w:t>0.0</w:t>
            </w:r>
            <w:r w:rsidR="00401C27">
              <w:t>00</w:t>
            </w:r>
          </w:p>
        </w:tc>
        <w:tc>
          <w:tcPr>
            <w:tcW w:w="0" w:type="auto"/>
            <w:tcBorders>
              <w:top w:val="single" w:sz="4" w:space="0" w:color="auto"/>
              <w:bottom w:val="single" w:sz="4" w:space="0" w:color="auto"/>
            </w:tcBorders>
          </w:tcPr>
          <w:p w14:paraId="20E6A4D5" w14:textId="77777777" w:rsidR="00C328C0" w:rsidRDefault="00BA729B" w:rsidP="00AB71A5">
            <w:pPr>
              <w:keepNext/>
              <w:keepLines/>
              <w:spacing w:before="40" w:after="40"/>
              <w:jc w:val="right"/>
            </w:pPr>
            <w:r>
              <w:t>0.</w:t>
            </w:r>
            <w:r w:rsidR="00401C27">
              <w:t>250</w:t>
            </w:r>
          </w:p>
        </w:tc>
      </w:tr>
      <w:tr w:rsidR="00AF5E60" w14:paraId="60E8F3D6" w14:textId="77777777" w:rsidTr="001607E7">
        <w:trPr>
          <w:cantSplit/>
        </w:trPr>
        <w:tc>
          <w:tcPr>
            <w:tcW w:w="5954" w:type="dxa"/>
            <w:tcBorders>
              <w:bottom w:val="single" w:sz="4" w:space="0" w:color="000080"/>
            </w:tcBorders>
          </w:tcPr>
          <w:p w14:paraId="1709934C" w14:textId="77777777" w:rsidR="00AF5E60" w:rsidRPr="006B394D" w:rsidRDefault="003010E7" w:rsidP="006B394D">
            <w:pPr>
              <w:keepNext/>
              <w:keepLines/>
              <w:spacing w:after="0"/>
              <w:ind w:left="457"/>
              <w:jc w:val="left"/>
              <w:rPr>
                <w:i/>
                <w:sz w:val="22"/>
                <w:szCs w:val="22"/>
              </w:rPr>
            </w:pPr>
            <w:r w:rsidRPr="006B394D">
              <w:rPr>
                <w:i/>
                <w:sz w:val="22"/>
                <w:szCs w:val="22"/>
              </w:rPr>
              <w:t>Join</w:t>
            </w:r>
            <w:r w:rsidR="006B394D">
              <w:rPr>
                <w:i/>
                <w:sz w:val="22"/>
                <w:szCs w:val="22"/>
              </w:rPr>
              <w:t xml:space="preserve">tly - Master Plumbers Association, </w:t>
            </w:r>
            <w:r w:rsidRPr="006B394D">
              <w:rPr>
                <w:i/>
                <w:sz w:val="22"/>
                <w:szCs w:val="22"/>
              </w:rPr>
              <w:t xml:space="preserve">Air-conditioning and Mechanical Contractors Association </w:t>
            </w:r>
            <w:r w:rsidR="006B394D">
              <w:rPr>
                <w:i/>
                <w:sz w:val="22"/>
                <w:szCs w:val="22"/>
              </w:rPr>
              <w:t xml:space="preserve">and </w:t>
            </w:r>
            <w:proofErr w:type="spellStart"/>
            <w:r w:rsidR="006B394D">
              <w:rPr>
                <w:i/>
                <w:sz w:val="22"/>
                <w:szCs w:val="22"/>
              </w:rPr>
              <w:t>Taswater</w:t>
            </w:r>
            <w:proofErr w:type="spellEnd"/>
          </w:p>
        </w:tc>
        <w:tc>
          <w:tcPr>
            <w:tcW w:w="0" w:type="auto"/>
            <w:tcBorders>
              <w:top w:val="single" w:sz="4" w:space="0" w:color="auto"/>
              <w:bottom w:val="single" w:sz="4" w:space="0" w:color="000080"/>
            </w:tcBorders>
          </w:tcPr>
          <w:p w14:paraId="656478D7" w14:textId="77777777" w:rsidR="00AF5E60" w:rsidRDefault="00BA729B" w:rsidP="00AB71A5">
            <w:pPr>
              <w:keepNext/>
              <w:keepLines/>
              <w:spacing w:before="40" w:after="40"/>
              <w:jc w:val="right"/>
            </w:pPr>
            <w:r>
              <w:t>0</w:t>
            </w:r>
            <w:r w:rsidR="006B394D">
              <w:t>.25</w:t>
            </w:r>
            <w:r w:rsidR="00401C27">
              <w:t>0</w:t>
            </w:r>
          </w:p>
        </w:tc>
        <w:tc>
          <w:tcPr>
            <w:tcW w:w="0" w:type="auto"/>
            <w:tcBorders>
              <w:top w:val="single" w:sz="4" w:space="0" w:color="auto"/>
              <w:bottom w:val="single" w:sz="4" w:space="0" w:color="000080"/>
            </w:tcBorders>
          </w:tcPr>
          <w:p w14:paraId="5A7CACB7" w14:textId="77777777" w:rsidR="00AF5E60" w:rsidRDefault="006B394D" w:rsidP="00AB71A5">
            <w:pPr>
              <w:keepNext/>
              <w:keepLines/>
              <w:spacing w:before="40" w:after="40"/>
              <w:jc w:val="right"/>
            </w:pPr>
            <w:r>
              <w:t>0.00</w:t>
            </w:r>
            <w:r w:rsidR="00401C27">
              <w:t>0</w:t>
            </w:r>
          </w:p>
        </w:tc>
        <w:tc>
          <w:tcPr>
            <w:tcW w:w="0" w:type="auto"/>
            <w:tcBorders>
              <w:top w:val="single" w:sz="4" w:space="0" w:color="auto"/>
              <w:bottom w:val="single" w:sz="4" w:space="0" w:color="000080"/>
            </w:tcBorders>
          </w:tcPr>
          <w:p w14:paraId="7BFAD5CC" w14:textId="77777777" w:rsidR="00AF5E60" w:rsidRDefault="006B394D" w:rsidP="00AB71A5">
            <w:pPr>
              <w:keepNext/>
              <w:keepLines/>
              <w:spacing w:before="40" w:after="40"/>
              <w:jc w:val="right"/>
            </w:pPr>
            <w:r>
              <w:t>0.25</w:t>
            </w:r>
            <w:r w:rsidR="00401C27">
              <w:t>0</w:t>
            </w:r>
          </w:p>
        </w:tc>
      </w:tr>
    </w:tbl>
    <w:p w14:paraId="63DF34FA" w14:textId="77777777" w:rsidR="00AB528B" w:rsidRDefault="00AB528B" w:rsidP="00F117E9">
      <w:pPr>
        <w:pStyle w:val="Normalnumbered"/>
        <w:numPr>
          <w:ilvl w:val="0"/>
          <w:numId w:val="0"/>
        </w:numPr>
        <w:ind w:left="567"/>
      </w:pPr>
    </w:p>
    <w:p w14:paraId="05004BAB" w14:textId="77777777" w:rsidR="008E7527" w:rsidRDefault="008E7527" w:rsidP="009E093C">
      <w:pPr>
        <w:pStyle w:val="Normalnumbered"/>
        <w:numPr>
          <w:ilvl w:val="0"/>
          <w:numId w:val="29"/>
        </w:numPr>
      </w:pPr>
      <w:r w:rsidRPr="00C738BD">
        <w:t xml:space="preserve">Having regard to the agreed estimated costs of projects specified in </w:t>
      </w:r>
      <w:r w:rsidR="006B43AF">
        <w:t>this</w:t>
      </w:r>
      <w:r>
        <w:t xml:space="preserve"> Agreement</w:t>
      </w:r>
      <w:r w:rsidRPr="00C738BD">
        <w:t>, a State or Territory will not be required to pay a refund to the Commonwealth if the actual cost of the project is less than the agreed</w:t>
      </w:r>
      <w:r w:rsidR="00515AF2">
        <w:t xml:space="preserve"> estimated cost of the project.  </w:t>
      </w:r>
      <w:r w:rsidRPr="00C738BD">
        <w:t>Similarly, the States</w:t>
      </w:r>
      <w:r>
        <w:t xml:space="preserve"> </w:t>
      </w:r>
      <w:r w:rsidRPr="00C738BD">
        <w:t>bear all risk should the costs of a project exceed the agreed estimated cost</w:t>
      </w:r>
      <w:r>
        <w:t>s.</w:t>
      </w:r>
      <w:r w:rsidRPr="00C738BD">
        <w:t xml:space="preserve"> The Parties acknowledge that this arrangement provides the maximum incentive for the States to deliver projects cost effectively and efficiently.</w:t>
      </w:r>
    </w:p>
    <w:p w14:paraId="7763815C" w14:textId="77777777" w:rsidR="00814667" w:rsidRDefault="003A2157">
      <w:pPr>
        <w:pStyle w:val="Heading1"/>
      </w:pPr>
      <w:bookmarkStart w:id="3" w:name="top"/>
      <w:bookmarkEnd w:id="3"/>
      <w:r>
        <w:t xml:space="preserve">Part </w:t>
      </w:r>
      <w:r w:rsidR="000B4080">
        <w:t>6</w:t>
      </w:r>
      <w:r w:rsidR="00814667">
        <w:t xml:space="preserve"> — governance arrangements</w:t>
      </w:r>
    </w:p>
    <w:p w14:paraId="3F66A700" w14:textId="77777777" w:rsidR="00BC4728" w:rsidRDefault="00BC4728" w:rsidP="00BC4728">
      <w:pPr>
        <w:pStyle w:val="Heading2"/>
      </w:pPr>
      <w:r w:rsidRPr="006F096A">
        <w:t>Enforceability of the Agreement</w:t>
      </w:r>
    </w:p>
    <w:p w14:paraId="60217926" w14:textId="77777777" w:rsidR="00BC4728" w:rsidRPr="00C40EBC" w:rsidRDefault="00BC4728" w:rsidP="00B619AA">
      <w:pPr>
        <w:pStyle w:val="Normalnumbered"/>
        <w:numPr>
          <w:ilvl w:val="0"/>
          <w:numId w:val="29"/>
        </w:numPr>
        <w:spacing w:line="240" w:lineRule="auto"/>
      </w:pPr>
      <w:r>
        <w:rPr>
          <w:szCs w:val="23"/>
        </w:rPr>
        <w:t>The Parties do not intend any of the provisions of this Agreement to be legally enforceable. However, that does not lessen the Parties’ commitment to this Agreement.</w:t>
      </w:r>
    </w:p>
    <w:p w14:paraId="7F3191F3" w14:textId="77777777" w:rsidR="00814667" w:rsidRDefault="00814667">
      <w:pPr>
        <w:pStyle w:val="Heading2"/>
      </w:pPr>
      <w:r>
        <w:t>Variation of the Agreement</w:t>
      </w:r>
    </w:p>
    <w:p w14:paraId="2BB90DBE" w14:textId="77777777" w:rsidR="00814667" w:rsidRPr="00DE36EB" w:rsidRDefault="00607B03" w:rsidP="00B619AA">
      <w:pPr>
        <w:pStyle w:val="Normalnumbered"/>
        <w:numPr>
          <w:ilvl w:val="0"/>
          <w:numId w:val="29"/>
        </w:numPr>
      </w:pPr>
      <w:r>
        <w:t>The A</w:t>
      </w:r>
      <w:r w:rsidR="00814667">
        <w:t xml:space="preserve">greement may be amended at any time by agreement in writing by </w:t>
      </w:r>
      <w:r w:rsidR="00814667" w:rsidRPr="00DE36EB">
        <w:t>all</w:t>
      </w:r>
      <w:r w:rsidR="002B1C50" w:rsidRPr="00DE36EB">
        <w:t xml:space="preserve"> </w:t>
      </w:r>
      <w:r w:rsidR="00814667" w:rsidRPr="00DE36EB">
        <w:t>the Parties.</w:t>
      </w:r>
    </w:p>
    <w:p w14:paraId="7550EC3D" w14:textId="77777777" w:rsidR="00292587" w:rsidRDefault="00A166DB" w:rsidP="00B619AA">
      <w:pPr>
        <w:pStyle w:val="Normalnumbered"/>
        <w:numPr>
          <w:ilvl w:val="0"/>
          <w:numId w:val="29"/>
        </w:numPr>
      </w:pPr>
      <w:r>
        <w:t>A</w:t>
      </w:r>
      <w:r w:rsidR="00C2605C" w:rsidRPr="00DE36EB">
        <w:t xml:space="preserve"> </w:t>
      </w:r>
      <w:r w:rsidR="00814667" w:rsidRPr="00DE36EB">
        <w:t>Party to the Agreement may terminate their part</w:t>
      </w:r>
      <w:r w:rsidR="00814667">
        <w:t xml:space="preserve">icipation in the Agreement at any time by notifying all </w:t>
      </w:r>
      <w:r w:rsidR="00C2605C">
        <w:t>Parties</w:t>
      </w:r>
      <w:r w:rsidR="00C2605C">
        <w:rPr>
          <w:i/>
        </w:rPr>
        <w:t xml:space="preserve"> </w:t>
      </w:r>
      <w:r w:rsidR="00814667">
        <w:t>in writing.</w:t>
      </w:r>
    </w:p>
    <w:p w14:paraId="3C83E588" w14:textId="77777777" w:rsidR="009526E4" w:rsidRDefault="009526E4" w:rsidP="0036119D">
      <w:pPr>
        <w:pStyle w:val="Heading2"/>
      </w:pPr>
      <w:r>
        <w:t>Delegations</w:t>
      </w:r>
    </w:p>
    <w:p w14:paraId="2B097889" w14:textId="77777777" w:rsidR="009526E4" w:rsidRDefault="009526E4" w:rsidP="00244500">
      <w:pPr>
        <w:pStyle w:val="Normalnumbered"/>
        <w:numPr>
          <w:ilvl w:val="0"/>
          <w:numId w:val="29"/>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2561E95A" w14:textId="77777777" w:rsidR="0036119D" w:rsidRDefault="0036119D" w:rsidP="0036119D">
      <w:pPr>
        <w:pStyle w:val="Heading2"/>
      </w:pPr>
      <w:r>
        <w:t>Dispute resolution</w:t>
      </w:r>
    </w:p>
    <w:p w14:paraId="3841E369" w14:textId="77777777" w:rsidR="0036119D" w:rsidRPr="00DE36EB" w:rsidRDefault="0036119D" w:rsidP="00244500">
      <w:pPr>
        <w:pStyle w:val="Normalnumbered"/>
        <w:numPr>
          <w:ilvl w:val="0"/>
          <w:numId w:val="29"/>
        </w:numPr>
      </w:pPr>
      <w:r w:rsidRPr="00DE36EB">
        <w:t>Any Party may give notice to other Parties</w:t>
      </w:r>
      <w:r w:rsidR="00684EC1" w:rsidRPr="00DE36EB">
        <w:t xml:space="preserve"> </w:t>
      </w:r>
      <w:r w:rsidRPr="00DE36EB">
        <w:t>of a dispute under this Agreement.</w:t>
      </w:r>
    </w:p>
    <w:p w14:paraId="52BDF215" w14:textId="77777777" w:rsidR="0036119D" w:rsidRPr="00DE36EB" w:rsidRDefault="0036119D" w:rsidP="00244500">
      <w:pPr>
        <w:pStyle w:val="Normalnumbered"/>
        <w:numPr>
          <w:ilvl w:val="0"/>
          <w:numId w:val="29"/>
        </w:numPr>
      </w:pPr>
      <w:r w:rsidRPr="00DE36EB">
        <w:t>Officials of relevant Parties will attempt to resolve any dispute in the first instance.</w:t>
      </w:r>
    </w:p>
    <w:p w14:paraId="5BFCFFA5" w14:textId="77777777" w:rsidR="0036119D" w:rsidRPr="00DE36EB" w:rsidRDefault="0036119D" w:rsidP="00244500">
      <w:pPr>
        <w:pStyle w:val="Normalnumbered"/>
        <w:numPr>
          <w:ilvl w:val="0"/>
          <w:numId w:val="29"/>
        </w:numPr>
      </w:pPr>
      <w:r w:rsidRPr="00DE36EB">
        <w:t>If a dispute cannot be resolved by officials, it may be escalated to the relevant Ministers.</w:t>
      </w:r>
    </w:p>
    <w:p w14:paraId="13E84BFD" w14:textId="77777777" w:rsidR="0036119D" w:rsidRPr="00DE36EB" w:rsidRDefault="004170E8" w:rsidP="0036119D">
      <w:pPr>
        <w:pStyle w:val="Heading2"/>
        <w:rPr>
          <w:b w:val="0"/>
          <w:i/>
          <w:sz w:val="23"/>
          <w:szCs w:val="23"/>
        </w:rPr>
      </w:pPr>
      <w:r>
        <w:t>Interpretation</w:t>
      </w:r>
    </w:p>
    <w:p w14:paraId="51B7E3BA" w14:textId="77777777" w:rsidR="0036119D" w:rsidRDefault="0036119D" w:rsidP="00244500">
      <w:pPr>
        <w:pStyle w:val="Normalnumbered"/>
        <w:numPr>
          <w:ilvl w:val="0"/>
          <w:numId w:val="29"/>
        </w:numPr>
        <w:jc w:val="left"/>
      </w:pPr>
      <w:r>
        <w:t>For the purposes of this Agreement:</w:t>
      </w:r>
    </w:p>
    <w:p w14:paraId="16A846F7" w14:textId="77777777" w:rsidR="009867AE" w:rsidRPr="00DC0D77" w:rsidRDefault="009867AE" w:rsidP="009867AE">
      <w:pPr>
        <w:pStyle w:val="AlphaParagraph"/>
        <w:numPr>
          <w:ilvl w:val="0"/>
          <w:numId w:val="54"/>
        </w:numPr>
        <w:jc w:val="left"/>
      </w:pPr>
      <w:r w:rsidRPr="00DC0D77">
        <w:rPr>
          <w:b/>
        </w:rPr>
        <w:t>Technical and Further Education (TAFE)</w:t>
      </w:r>
      <w:r w:rsidR="00B421D6" w:rsidRPr="00DC0D77">
        <w:rPr>
          <w:b/>
        </w:rPr>
        <w:t>:</w:t>
      </w:r>
      <w:r w:rsidR="00B421D6" w:rsidRPr="00DC0D77">
        <w:t xml:space="preserve"> an </w:t>
      </w:r>
      <w:r w:rsidRPr="00DC0D77">
        <w:t>Australian state or territory government</w:t>
      </w:r>
      <w:r w:rsidR="00F117E9" w:rsidRPr="00DC0D77">
        <w:t xml:space="preserve"> </w:t>
      </w:r>
      <w:r w:rsidR="00C0189C" w:rsidRPr="00DC0D77">
        <w:t xml:space="preserve">publically </w:t>
      </w:r>
      <w:r w:rsidR="00F117E9" w:rsidRPr="00DC0D77">
        <w:t xml:space="preserve">funded entity </w:t>
      </w:r>
      <w:r w:rsidRPr="00DC0D77">
        <w:t xml:space="preserve">that provides education in </w:t>
      </w:r>
      <w:r w:rsidR="00B84ECF">
        <w:t>vocational fields</w:t>
      </w:r>
      <w:r w:rsidRPr="00DC0D77">
        <w:t>.</w:t>
      </w:r>
    </w:p>
    <w:p w14:paraId="50B736E3" w14:textId="77777777" w:rsidR="009867AE" w:rsidRPr="00DC0D77" w:rsidRDefault="009867AE" w:rsidP="009867AE">
      <w:pPr>
        <w:pStyle w:val="AlphaParagraph"/>
        <w:numPr>
          <w:ilvl w:val="0"/>
          <w:numId w:val="54"/>
        </w:numPr>
        <w:jc w:val="left"/>
      </w:pPr>
      <w:r w:rsidRPr="00DC0D77">
        <w:rPr>
          <w:b/>
        </w:rPr>
        <w:t>Campus</w:t>
      </w:r>
      <w:r w:rsidR="00B421D6" w:rsidRPr="00DC0D77">
        <w:rPr>
          <w:b/>
        </w:rPr>
        <w:t>:</w:t>
      </w:r>
      <w:r w:rsidRPr="00DC0D77">
        <w:t xml:space="preserve"> is the land on which related</w:t>
      </w:r>
      <w:r w:rsidR="00C0189C" w:rsidRPr="00DC0D77">
        <w:t xml:space="preserve"> public vocational education and training </w:t>
      </w:r>
      <w:proofErr w:type="gramStart"/>
      <w:r w:rsidR="00C0189C" w:rsidRPr="00DC0D77">
        <w:t>providers</w:t>
      </w:r>
      <w:proofErr w:type="gramEnd"/>
      <w:r w:rsidRPr="00DC0D77">
        <w:t xml:space="preserve"> institutional buildings are situated.</w:t>
      </w:r>
      <w:r w:rsidR="00B421D6" w:rsidRPr="00DC0D77">
        <w:t xml:space="preserve"> One </w:t>
      </w:r>
      <w:r w:rsidR="00C0189C" w:rsidRPr="00DC0D77">
        <w:t>enti</w:t>
      </w:r>
      <w:r w:rsidR="00DC0D77">
        <w:t>t</w:t>
      </w:r>
      <w:r w:rsidR="00C0189C" w:rsidRPr="00DC0D77">
        <w:t xml:space="preserve">y </w:t>
      </w:r>
      <w:r w:rsidR="00B421D6" w:rsidRPr="00DC0D77">
        <w:t>can have more than one campus location.</w:t>
      </w:r>
    </w:p>
    <w:p w14:paraId="1FC19568" w14:textId="77777777" w:rsidR="009867AE" w:rsidRDefault="009867AE" w:rsidP="009867AE">
      <w:pPr>
        <w:pStyle w:val="AlphaParagraph"/>
        <w:numPr>
          <w:ilvl w:val="0"/>
          <w:numId w:val="54"/>
        </w:numPr>
        <w:jc w:val="left"/>
      </w:pPr>
      <w:r w:rsidRPr="00220A4A">
        <w:rPr>
          <w:b/>
        </w:rPr>
        <w:t>Industry</w:t>
      </w:r>
      <w:r w:rsidR="00DC0D77">
        <w:rPr>
          <w:b/>
        </w:rPr>
        <w:t xml:space="preserve"> S</w:t>
      </w:r>
      <w:r w:rsidR="00DC0D77" w:rsidRPr="00220A4A">
        <w:rPr>
          <w:b/>
        </w:rPr>
        <w:t>tandards</w:t>
      </w:r>
      <w:r w:rsidR="00DC0D77">
        <w:rPr>
          <w:b/>
        </w:rPr>
        <w:t>:</w:t>
      </w:r>
      <w:r w:rsidR="00DC0D77">
        <w:t xml:space="preserve"> Students have access to modern high-quality facilities, equipment and/or systems to gain the knowledge and skills to be successful within their industry</w:t>
      </w:r>
      <w:r w:rsidR="004E5AEA">
        <w:t>.</w:t>
      </w:r>
    </w:p>
    <w:p w14:paraId="608D82AF" w14:textId="77777777" w:rsidR="009867AE" w:rsidRDefault="009867AE" w:rsidP="00DC0D77">
      <w:pPr>
        <w:pStyle w:val="AlphaParagraph"/>
        <w:tabs>
          <w:tab w:val="clear" w:pos="0"/>
          <w:tab w:val="clear" w:pos="283"/>
          <w:tab w:val="clear" w:pos="567"/>
          <w:tab w:val="clear" w:pos="1134"/>
          <w:tab w:val="clear" w:pos="1418"/>
          <w:tab w:val="clear" w:pos="1701"/>
        </w:tabs>
        <w:ind w:left="204" w:firstLine="0"/>
        <w:jc w:val="left"/>
        <w:sectPr w:rsidR="009867AE" w:rsidSect="00CB6703">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709" w:gutter="0"/>
          <w:cols w:space="708"/>
          <w:titlePg/>
          <w:docGrid w:linePitch="360"/>
        </w:sectPr>
      </w:pPr>
      <w:r>
        <w:t>.</w:t>
      </w:r>
    </w:p>
    <w:p w14:paraId="2FDB4D7D" w14:textId="77777777" w:rsidR="00814667" w:rsidRPr="00A50751" w:rsidRDefault="00814667">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A50751" w14:paraId="687EC9E2" w14:textId="77777777">
        <w:trPr>
          <w:cantSplit/>
          <w:jc w:val="center"/>
        </w:trPr>
        <w:tc>
          <w:tcPr>
            <w:tcW w:w="4536" w:type="dxa"/>
          </w:tcPr>
          <w:p w14:paraId="0B388D0E" w14:textId="77777777" w:rsidR="00814667" w:rsidRPr="004A0AE7" w:rsidRDefault="00814667">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country-region">
              <w:smartTag w:uri="urn:schemas-microsoft-com:office:smarttags" w:element="place">
                <w:r w:rsidRPr="004A0AE7">
                  <w:t>Australia</w:t>
                </w:r>
              </w:smartTag>
            </w:smartTag>
            <w:r w:rsidRPr="004A0AE7">
              <w:t xml:space="preserve"> by</w:t>
            </w:r>
          </w:p>
          <w:p w14:paraId="138800FE" w14:textId="77777777" w:rsidR="00814667" w:rsidRPr="00A50751" w:rsidRDefault="00814667">
            <w:pPr>
              <w:pStyle w:val="LineForSignature"/>
            </w:pPr>
            <w:r>
              <w:tab/>
            </w:r>
          </w:p>
          <w:p w14:paraId="639ADEDF" w14:textId="77777777" w:rsidR="00814667" w:rsidRDefault="00A01C7A">
            <w:pPr>
              <w:pStyle w:val="SingleParagraph"/>
              <w:rPr>
                <w:rStyle w:val="Bold"/>
              </w:rPr>
            </w:pPr>
            <w:r>
              <w:rPr>
                <w:rStyle w:val="Bold"/>
              </w:rPr>
              <w:t>Senator t</w:t>
            </w:r>
            <w:r w:rsidR="00814667">
              <w:rPr>
                <w:rStyle w:val="Bold"/>
              </w:rPr>
              <w:t xml:space="preserve">he Honourable </w:t>
            </w:r>
            <w:proofErr w:type="spellStart"/>
            <w:r w:rsidR="00B84ECF">
              <w:rPr>
                <w:rStyle w:val="Bold"/>
              </w:rPr>
              <w:t>Michaelia</w:t>
            </w:r>
            <w:proofErr w:type="spellEnd"/>
            <w:r w:rsidR="00B84ECF">
              <w:rPr>
                <w:rStyle w:val="Bold"/>
              </w:rPr>
              <w:t xml:space="preserve"> Cash</w:t>
            </w:r>
          </w:p>
          <w:p w14:paraId="4764FF9B" w14:textId="77777777" w:rsidR="00814667" w:rsidRDefault="0099742A">
            <w:pPr>
              <w:pStyle w:val="Position"/>
              <w:rPr>
                <w:lang w:val="en-GB"/>
              </w:rPr>
            </w:pPr>
            <w:r>
              <w:rPr>
                <w:lang w:val="en-GB"/>
              </w:rPr>
              <w:t xml:space="preserve">Minister for </w:t>
            </w:r>
            <w:r w:rsidR="00A01C7A">
              <w:rPr>
                <w:lang w:val="en-GB"/>
              </w:rPr>
              <w:t>Employment, Skills, Small and Family Business</w:t>
            </w:r>
            <w:r>
              <w:rPr>
                <w:lang w:val="en-GB"/>
              </w:rPr>
              <w:t xml:space="preserve"> </w:t>
            </w:r>
          </w:p>
          <w:p w14:paraId="08AEBB0C" w14:textId="77777777" w:rsidR="00814667" w:rsidRDefault="00B22065" w:rsidP="00B22065">
            <w:pPr>
              <w:pStyle w:val="SingleParagraph"/>
              <w:tabs>
                <w:tab w:val="num" w:pos="1134"/>
              </w:tabs>
              <w:spacing w:after="240"/>
              <w:ind w:left="1134" w:hanging="567"/>
              <w:rPr>
                <w:b/>
                <w:lang w:val="en-GB"/>
              </w:rPr>
            </w:pPr>
            <w:r>
              <w:rPr>
                <w:lang w:val="en-GB"/>
              </w:rPr>
              <w:t xml:space="preserve">      /      /</w:t>
            </w:r>
            <w:r w:rsidR="006679C0">
              <w:rPr>
                <w:lang w:val="en-GB"/>
              </w:rPr>
              <w:t xml:space="preserve"> </w:t>
            </w:r>
            <w:r w:rsidR="00EF2C28">
              <w:rPr>
                <w:lang w:val="en-GB"/>
              </w:rPr>
              <w:t>2020</w:t>
            </w:r>
          </w:p>
        </w:tc>
        <w:tc>
          <w:tcPr>
            <w:tcW w:w="284" w:type="dxa"/>
            <w:tcMar>
              <w:left w:w="0" w:type="dxa"/>
              <w:right w:w="0" w:type="dxa"/>
            </w:tcMar>
          </w:tcPr>
          <w:p w14:paraId="324A77C1" w14:textId="77777777" w:rsidR="00814667" w:rsidRPr="00A50751" w:rsidRDefault="00814667">
            <w:pPr>
              <w:rPr>
                <w:rFonts w:ascii="Book Antiqua" w:hAnsi="Book Antiqua"/>
                <w:lang w:val="en-GB"/>
              </w:rPr>
            </w:pPr>
          </w:p>
        </w:tc>
        <w:tc>
          <w:tcPr>
            <w:tcW w:w="4536" w:type="dxa"/>
          </w:tcPr>
          <w:p w14:paraId="6DE0EA06" w14:textId="77777777" w:rsidR="00814667" w:rsidRPr="00A50751" w:rsidRDefault="00814667">
            <w:pPr>
              <w:rPr>
                <w:rFonts w:ascii="Book Antiqua" w:hAnsi="Book Antiqua"/>
                <w:lang w:val="en-GB"/>
              </w:rPr>
            </w:pPr>
          </w:p>
        </w:tc>
      </w:tr>
      <w:tr w:rsidR="00814667" w:rsidRPr="00A50751" w14:paraId="62F90D86" w14:textId="77777777">
        <w:trPr>
          <w:cantSplit/>
          <w:jc w:val="center"/>
        </w:trPr>
        <w:tc>
          <w:tcPr>
            <w:tcW w:w="4536" w:type="dxa"/>
          </w:tcPr>
          <w:p w14:paraId="6313DDE8"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0C350253" w14:textId="77777777" w:rsidR="00814667" w:rsidRPr="00A50751" w:rsidRDefault="00814667">
            <w:pPr>
              <w:pStyle w:val="SingleParagraph"/>
              <w:rPr>
                <w:rFonts w:ascii="Book Antiqua" w:hAnsi="Book Antiqua"/>
                <w:lang w:val="en-GB"/>
              </w:rPr>
            </w:pPr>
          </w:p>
        </w:tc>
        <w:tc>
          <w:tcPr>
            <w:tcW w:w="4536" w:type="dxa"/>
          </w:tcPr>
          <w:p w14:paraId="68A6D2FC" w14:textId="77777777" w:rsidR="00814667" w:rsidRPr="00A50751" w:rsidRDefault="00814667">
            <w:pPr>
              <w:pStyle w:val="SingleParagraph"/>
              <w:rPr>
                <w:rFonts w:ascii="Book Antiqua" w:hAnsi="Book Antiqua"/>
                <w:lang w:val="en-GB"/>
              </w:rPr>
            </w:pPr>
          </w:p>
        </w:tc>
      </w:tr>
      <w:tr w:rsidR="00814667" w:rsidRPr="00A50751" w14:paraId="23FDFBEB" w14:textId="77777777">
        <w:trPr>
          <w:cantSplit/>
          <w:jc w:val="center"/>
        </w:trPr>
        <w:tc>
          <w:tcPr>
            <w:tcW w:w="4536" w:type="dxa"/>
          </w:tcPr>
          <w:p w14:paraId="0788B0D0" w14:textId="77777777" w:rsidR="00814667" w:rsidRPr="004A0AE7" w:rsidRDefault="00814667">
            <w:pPr>
              <w:pStyle w:val="Signed"/>
            </w:pPr>
            <w:r>
              <w:rPr>
                <w:rStyle w:val="SignedBold"/>
              </w:rPr>
              <w:t>Signed</w:t>
            </w:r>
            <w:r w:rsidRPr="004A0AE7">
              <w:t xml:space="preserve"> for and on behalf of the</w:t>
            </w:r>
            <w:r>
              <w:t xml:space="preserve"> </w:t>
            </w:r>
            <w:r w:rsidRPr="004A0AE7">
              <w:br/>
              <w:t xml:space="preserve">State of </w:t>
            </w:r>
            <w:smartTag w:uri="urn:schemas-microsoft-com:office:smarttags" w:element="State">
              <w:smartTag w:uri="urn:schemas-microsoft-com:office:smarttags" w:element="place">
                <w:r w:rsidRPr="004A0AE7">
                  <w:t>New South Wales</w:t>
                </w:r>
              </w:smartTag>
            </w:smartTag>
            <w:r w:rsidRPr="004A0AE7">
              <w:t xml:space="preserve"> by</w:t>
            </w:r>
          </w:p>
          <w:p w14:paraId="21F3DAF4" w14:textId="77777777" w:rsidR="00814667" w:rsidRPr="00A50751" w:rsidRDefault="00814667">
            <w:pPr>
              <w:pStyle w:val="LineForSignature"/>
            </w:pPr>
            <w:r w:rsidRPr="00A50751">
              <w:tab/>
            </w:r>
          </w:p>
          <w:p w14:paraId="23238FBE" w14:textId="77777777" w:rsidR="00814667" w:rsidRDefault="00814667">
            <w:pPr>
              <w:pStyle w:val="SingleParagraph"/>
              <w:rPr>
                <w:rStyle w:val="Bold"/>
              </w:rPr>
            </w:pPr>
            <w:r>
              <w:rPr>
                <w:rStyle w:val="Bold"/>
              </w:rPr>
              <w:t xml:space="preserve">The Honourable </w:t>
            </w:r>
            <w:r w:rsidR="00D64BBD">
              <w:rPr>
                <w:rStyle w:val="Bold"/>
              </w:rPr>
              <w:t>Dr Geoff Lee</w:t>
            </w:r>
            <w:r w:rsidR="0099742A">
              <w:rPr>
                <w:rStyle w:val="Bold"/>
              </w:rPr>
              <w:t xml:space="preserve"> </w:t>
            </w:r>
            <w:r>
              <w:rPr>
                <w:rStyle w:val="Bold"/>
              </w:rPr>
              <w:t>MP</w:t>
            </w:r>
          </w:p>
          <w:p w14:paraId="264E4258" w14:textId="77777777" w:rsidR="00542A8C" w:rsidRDefault="00542A8C" w:rsidP="00542A8C">
            <w:pPr>
              <w:pStyle w:val="Position"/>
              <w:rPr>
                <w:lang w:val="en-GB"/>
              </w:rPr>
            </w:pPr>
            <w:r>
              <w:rPr>
                <w:lang w:val="en-GB"/>
              </w:rPr>
              <w:t xml:space="preserve">Minister for </w:t>
            </w:r>
            <w:r w:rsidR="005F7242" w:rsidRPr="005F7242">
              <w:rPr>
                <w:lang w:val="en-GB"/>
              </w:rPr>
              <w:t>Skills and Tertiary Education</w:t>
            </w:r>
          </w:p>
          <w:p w14:paraId="2353E70A" w14:textId="77777777" w:rsidR="00814667" w:rsidRPr="00A50751" w:rsidRDefault="00B22065">
            <w:pPr>
              <w:pStyle w:val="SingleParagraph"/>
              <w:tabs>
                <w:tab w:val="num" w:pos="1134"/>
              </w:tabs>
              <w:spacing w:after="240"/>
              <w:ind w:left="1134" w:hanging="567"/>
              <w:rPr>
                <w:szCs w:val="22"/>
                <w:lang w:val="en-GB"/>
              </w:rPr>
            </w:pPr>
            <w:r>
              <w:rPr>
                <w:lang w:val="en-GB"/>
              </w:rPr>
              <w:t xml:space="preserve">      /      / 2020</w:t>
            </w:r>
          </w:p>
        </w:tc>
        <w:tc>
          <w:tcPr>
            <w:tcW w:w="284" w:type="dxa"/>
            <w:tcMar>
              <w:left w:w="0" w:type="dxa"/>
              <w:right w:w="0" w:type="dxa"/>
            </w:tcMar>
          </w:tcPr>
          <w:p w14:paraId="64D31F88" w14:textId="77777777" w:rsidR="00814667" w:rsidRPr="00A50751" w:rsidRDefault="00814667">
            <w:pPr>
              <w:rPr>
                <w:rFonts w:ascii="Book Antiqua" w:hAnsi="Book Antiqua"/>
                <w:lang w:val="en-GB"/>
              </w:rPr>
            </w:pPr>
          </w:p>
        </w:tc>
        <w:tc>
          <w:tcPr>
            <w:tcW w:w="4536" w:type="dxa"/>
          </w:tcPr>
          <w:p w14:paraId="126D8764" w14:textId="77777777" w:rsidR="00814667" w:rsidRPr="004A0AE7" w:rsidRDefault="00814667">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Victoria</w:t>
                </w:r>
              </w:smartTag>
            </w:smartTag>
            <w:r w:rsidRPr="004A0AE7">
              <w:t xml:space="preserve"> by</w:t>
            </w:r>
          </w:p>
          <w:p w14:paraId="0EEFB8C9" w14:textId="77777777" w:rsidR="00814667" w:rsidRPr="00A50751" w:rsidRDefault="00814667">
            <w:pPr>
              <w:pStyle w:val="LineForSignature"/>
            </w:pPr>
            <w:r w:rsidRPr="00A50751">
              <w:tab/>
            </w:r>
          </w:p>
          <w:p w14:paraId="1D90A601" w14:textId="77777777" w:rsidR="00814667" w:rsidRDefault="00814667">
            <w:pPr>
              <w:pStyle w:val="SingleParagraph"/>
              <w:rPr>
                <w:rStyle w:val="Bold"/>
              </w:rPr>
            </w:pPr>
            <w:r>
              <w:rPr>
                <w:rStyle w:val="Bold"/>
              </w:rPr>
              <w:t xml:space="preserve">The Honourable </w:t>
            </w:r>
            <w:r w:rsidR="00D74ECC">
              <w:rPr>
                <w:rStyle w:val="Bold"/>
              </w:rPr>
              <w:t>Gayle Tierney</w:t>
            </w:r>
            <w:r w:rsidR="0099742A">
              <w:rPr>
                <w:rStyle w:val="Bold"/>
              </w:rPr>
              <w:t xml:space="preserve"> </w:t>
            </w:r>
            <w:r>
              <w:rPr>
                <w:rStyle w:val="Bold"/>
              </w:rPr>
              <w:t>MP</w:t>
            </w:r>
          </w:p>
          <w:p w14:paraId="513D2391" w14:textId="77777777" w:rsidR="00542A8C" w:rsidRDefault="00542A8C" w:rsidP="00542A8C">
            <w:pPr>
              <w:pStyle w:val="Position"/>
              <w:rPr>
                <w:lang w:val="en-GB"/>
              </w:rPr>
            </w:pPr>
            <w:r>
              <w:rPr>
                <w:lang w:val="en-GB"/>
              </w:rPr>
              <w:t xml:space="preserve">Minister for </w:t>
            </w:r>
            <w:r w:rsidR="00D74ECC">
              <w:rPr>
                <w:lang w:val="en-GB"/>
              </w:rPr>
              <w:t>Training and Skills</w:t>
            </w:r>
          </w:p>
          <w:p w14:paraId="318A5C26" w14:textId="77777777" w:rsidR="00814667" w:rsidRPr="00A50751" w:rsidRDefault="00542A8C">
            <w:pPr>
              <w:pStyle w:val="SingleParagraph"/>
              <w:tabs>
                <w:tab w:val="num" w:pos="1134"/>
              </w:tabs>
              <w:spacing w:after="240"/>
              <w:ind w:left="1134" w:hanging="567"/>
              <w:rPr>
                <w:lang w:val="en-GB"/>
              </w:rPr>
            </w:pPr>
            <w:r w:rsidRPr="00B00778" w:rsidDel="00542A8C">
              <w:rPr>
                <w:bCs/>
                <w:lang w:val="en-GB"/>
              </w:rPr>
              <w:t xml:space="preserve"> </w:t>
            </w:r>
            <w:r w:rsidR="00B22065">
              <w:rPr>
                <w:lang w:val="en-GB"/>
              </w:rPr>
              <w:t xml:space="preserve">      /      / 2020</w:t>
            </w:r>
          </w:p>
        </w:tc>
      </w:tr>
      <w:tr w:rsidR="00814667" w:rsidRPr="00A50751" w14:paraId="6A3ED36F" w14:textId="77777777">
        <w:trPr>
          <w:cantSplit/>
          <w:jc w:val="center"/>
        </w:trPr>
        <w:tc>
          <w:tcPr>
            <w:tcW w:w="4536" w:type="dxa"/>
          </w:tcPr>
          <w:p w14:paraId="61B61F3D"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22D96232" w14:textId="77777777" w:rsidR="00814667" w:rsidRPr="00A50751" w:rsidRDefault="00814667">
            <w:pPr>
              <w:pStyle w:val="SingleParagraph"/>
              <w:rPr>
                <w:rFonts w:ascii="Book Antiqua" w:hAnsi="Book Antiqua"/>
                <w:lang w:val="en-GB"/>
              </w:rPr>
            </w:pPr>
          </w:p>
        </w:tc>
        <w:tc>
          <w:tcPr>
            <w:tcW w:w="4536" w:type="dxa"/>
          </w:tcPr>
          <w:p w14:paraId="0898D562" w14:textId="77777777" w:rsidR="00814667" w:rsidRPr="00A50751" w:rsidRDefault="00814667">
            <w:pPr>
              <w:pStyle w:val="SingleParagraph"/>
              <w:rPr>
                <w:rFonts w:ascii="Book Antiqua" w:hAnsi="Book Antiqua"/>
                <w:lang w:val="en-GB"/>
              </w:rPr>
            </w:pPr>
          </w:p>
        </w:tc>
      </w:tr>
      <w:tr w:rsidR="00814667" w:rsidRPr="00A50751" w14:paraId="1732986A" w14:textId="77777777">
        <w:trPr>
          <w:cantSplit/>
          <w:jc w:val="center"/>
        </w:trPr>
        <w:tc>
          <w:tcPr>
            <w:tcW w:w="4536" w:type="dxa"/>
          </w:tcPr>
          <w:p w14:paraId="07424A6E" w14:textId="77777777" w:rsidR="00814667" w:rsidRPr="004A0AE7" w:rsidRDefault="00814667">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Queensland</w:t>
                </w:r>
              </w:smartTag>
            </w:smartTag>
            <w:r w:rsidRPr="004A0AE7">
              <w:t xml:space="preserve"> by</w:t>
            </w:r>
          </w:p>
          <w:p w14:paraId="152E102A" w14:textId="77777777" w:rsidR="00814667" w:rsidRPr="00A50751" w:rsidRDefault="00814667">
            <w:pPr>
              <w:pStyle w:val="LineForSignature"/>
            </w:pPr>
            <w:r w:rsidRPr="00A50751">
              <w:tab/>
            </w:r>
          </w:p>
          <w:p w14:paraId="232EE98F" w14:textId="77777777" w:rsidR="00814667" w:rsidRDefault="00814667">
            <w:pPr>
              <w:pStyle w:val="SingleParagraph"/>
              <w:rPr>
                <w:b/>
              </w:rPr>
            </w:pPr>
            <w:r>
              <w:rPr>
                <w:b/>
              </w:rPr>
              <w:t xml:space="preserve">The Honourable </w:t>
            </w:r>
            <w:r w:rsidR="007D77C6" w:rsidRPr="007D77C6">
              <w:rPr>
                <w:b/>
              </w:rPr>
              <w:t xml:space="preserve">Shannon </w:t>
            </w:r>
            <w:proofErr w:type="spellStart"/>
            <w:r w:rsidR="007D77C6" w:rsidRPr="007D77C6">
              <w:rPr>
                <w:b/>
              </w:rPr>
              <w:t>Fentiman</w:t>
            </w:r>
            <w:proofErr w:type="spellEnd"/>
            <w:r w:rsidR="0099742A">
              <w:rPr>
                <w:rStyle w:val="Bold"/>
              </w:rPr>
              <w:t xml:space="preserve"> </w:t>
            </w:r>
            <w:r>
              <w:rPr>
                <w:b/>
              </w:rPr>
              <w:t>MP</w:t>
            </w:r>
          </w:p>
          <w:p w14:paraId="59C2E5AB" w14:textId="77777777" w:rsidR="00542A8C" w:rsidRDefault="00542A8C" w:rsidP="00542A8C">
            <w:pPr>
              <w:pStyle w:val="Position"/>
              <w:rPr>
                <w:lang w:val="en-GB"/>
              </w:rPr>
            </w:pPr>
            <w:r>
              <w:rPr>
                <w:lang w:val="en-GB"/>
              </w:rPr>
              <w:t xml:space="preserve">Minister for </w:t>
            </w:r>
            <w:r w:rsidR="007D77C6">
              <w:rPr>
                <w:lang w:val="en-GB"/>
              </w:rPr>
              <w:t>Training and Skills Development</w:t>
            </w:r>
            <w:r>
              <w:rPr>
                <w:lang w:val="en-GB"/>
              </w:rPr>
              <w:t xml:space="preserve"> </w:t>
            </w:r>
          </w:p>
          <w:p w14:paraId="24F1BF58" w14:textId="77777777" w:rsidR="00814667" w:rsidRPr="00A50751" w:rsidRDefault="00542A8C">
            <w:pPr>
              <w:pStyle w:val="SingleParagraph"/>
              <w:tabs>
                <w:tab w:val="num" w:pos="1134"/>
              </w:tabs>
              <w:spacing w:after="240"/>
              <w:ind w:left="1134" w:hanging="567"/>
              <w:rPr>
                <w:lang w:val="en-GB"/>
              </w:rPr>
            </w:pPr>
            <w:r w:rsidRPr="00B00778" w:rsidDel="00542A8C">
              <w:rPr>
                <w:bCs/>
                <w:lang w:val="en-GB"/>
              </w:rPr>
              <w:t xml:space="preserve"> </w:t>
            </w:r>
            <w:r w:rsidR="00B22065">
              <w:rPr>
                <w:lang w:val="en-GB"/>
              </w:rPr>
              <w:t xml:space="preserve">      /      / 2020</w:t>
            </w:r>
          </w:p>
        </w:tc>
        <w:tc>
          <w:tcPr>
            <w:tcW w:w="284" w:type="dxa"/>
            <w:tcMar>
              <w:left w:w="0" w:type="dxa"/>
              <w:right w:w="0" w:type="dxa"/>
            </w:tcMar>
          </w:tcPr>
          <w:p w14:paraId="69464DDC" w14:textId="77777777" w:rsidR="00814667" w:rsidRPr="00A50751" w:rsidRDefault="00814667">
            <w:pPr>
              <w:rPr>
                <w:rFonts w:ascii="Book Antiqua" w:hAnsi="Book Antiqua"/>
                <w:lang w:val="en-GB"/>
              </w:rPr>
            </w:pPr>
          </w:p>
        </w:tc>
        <w:tc>
          <w:tcPr>
            <w:tcW w:w="4536" w:type="dxa"/>
          </w:tcPr>
          <w:p w14:paraId="4925E848" w14:textId="77777777" w:rsidR="00814667" w:rsidRPr="004A0AE7" w:rsidRDefault="00814667">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Western Australia</w:t>
                </w:r>
              </w:smartTag>
            </w:smartTag>
            <w:r w:rsidRPr="004A0AE7">
              <w:t xml:space="preserve"> by</w:t>
            </w:r>
          </w:p>
          <w:p w14:paraId="4E4CF98F" w14:textId="77777777" w:rsidR="00814667" w:rsidRPr="00A50751" w:rsidRDefault="00814667">
            <w:pPr>
              <w:pStyle w:val="LineForSignature"/>
            </w:pPr>
            <w:r w:rsidRPr="00A50751">
              <w:tab/>
            </w:r>
          </w:p>
          <w:p w14:paraId="7A0EAFE6" w14:textId="77777777" w:rsidR="00814667" w:rsidRDefault="00814667">
            <w:pPr>
              <w:pStyle w:val="SingleParagraph"/>
              <w:rPr>
                <w:rStyle w:val="Bold"/>
              </w:rPr>
            </w:pPr>
            <w:r>
              <w:rPr>
                <w:rStyle w:val="Bold"/>
              </w:rPr>
              <w:t xml:space="preserve">The Honourable </w:t>
            </w:r>
            <w:r w:rsidR="00925368">
              <w:rPr>
                <w:rStyle w:val="Bold"/>
              </w:rPr>
              <w:t>Sue Ellery</w:t>
            </w:r>
            <w:r w:rsidR="0099742A">
              <w:rPr>
                <w:rStyle w:val="Bold"/>
              </w:rPr>
              <w:t xml:space="preserve"> </w:t>
            </w:r>
            <w:r>
              <w:rPr>
                <w:rStyle w:val="Bold"/>
              </w:rPr>
              <w:t>MP</w:t>
            </w:r>
          </w:p>
          <w:p w14:paraId="207EF94D" w14:textId="77777777" w:rsidR="00542A8C" w:rsidRDefault="00542A8C" w:rsidP="00542A8C">
            <w:pPr>
              <w:pStyle w:val="Position"/>
              <w:rPr>
                <w:lang w:val="en-GB"/>
              </w:rPr>
            </w:pPr>
            <w:r>
              <w:rPr>
                <w:lang w:val="en-GB"/>
              </w:rPr>
              <w:t xml:space="preserve">Minister for </w:t>
            </w:r>
            <w:r w:rsidR="00925368">
              <w:rPr>
                <w:lang w:val="en-GB"/>
              </w:rPr>
              <w:t>Education and Training</w:t>
            </w:r>
          </w:p>
          <w:p w14:paraId="422EC46E" w14:textId="77777777" w:rsidR="00814667" w:rsidRPr="00A50751" w:rsidRDefault="00542A8C">
            <w:pPr>
              <w:pStyle w:val="SingleParagraph"/>
              <w:tabs>
                <w:tab w:val="num" w:pos="1134"/>
              </w:tabs>
              <w:spacing w:after="240"/>
              <w:ind w:left="1134" w:hanging="567"/>
              <w:rPr>
                <w:lang w:val="en-GB"/>
              </w:rPr>
            </w:pPr>
            <w:r w:rsidDel="00542A8C">
              <w:rPr>
                <w:lang w:val="en-GB"/>
              </w:rPr>
              <w:t xml:space="preserve"> </w:t>
            </w:r>
            <w:r w:rsidR="00B22065">
              <w:rPr>
                <w:lang w:val="en-GB"/>
              </w:rPr>
              <w:t xml:space="preserve">      /      / 2020</w:t>
            </w:r>
          </w:p>
        </w:tc>
      </w:tr>
      <w:tr w:rsidR="00814667" w:rsidRPr="00A50751" w14:paraId="4AAC5704" w14:textId="77777777">
        <w:trPr>
          <w:cantSplit/>
          <w:jc w:val="center"/>
        </w:trPr>
        <w:tc>
          <w:tcPr>
            <w:tcW w:w="4536" w:type="dxa"/>
          </w:tcPr>
          <w:p w14:paraId="0B0DD5EE"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2CD4C083" w14:textId="77777777" w:rsidR="00814667" w:rsidRPr="00A50751" w:rsidRDefault="00814667">
            <w:pPr>
              <w:pStyle w:val="SingleParagraph"/>
              <w:rPr>
                <w:rFonts w:ascii="Book Antiqua" w:hAnsi="Book Antiqua"/>
                <w:lang w:val="en-GB"/>
              </w:rPr>
            </w:pPr>
          </w:p>
        </w:tc>
        <w:tc>
          <w:tcPr>
            <w:tcW w:w="4536" w:type="dxa"/>
          </w:tcPr>
          <w:p w14:paraId="78EA2C24" w14:textId="77777777" w:rsidR="00814667" w:rsidRPr="00A50751" w:rsidRDefault="00814667">
            <w:pPr>
              <w:pStyle w:val="SingleParagraph"/>
              <w:rPr>
                <w:rFonts w:ascii="Book Antiqua" w:hAnsi="Book Antiqua"/>
                <w:lang w:val="en-GB"/>
              </w:rPr>
            </w:pPr>
          </w:p>
        </w:tc>
      </w:tr>
      <w:tr w:rsidR="00814667" w:rsidRPr="00A50751" w14:paraId="4196461E" w14:textId="77777777">
        <w:trPr>
          <w:cantSplit/>
          <w:trHeight w:val="143"/>
          <w:jc w:val="center"/>
        </w:trPr>
        <w:tc>
          <w:tcPr>
            <w:tcW w:w="4536" w:type="dxa"/>
          </w:tcPr>
          <w:p w14:paraId="50930AB2" w14:textId="77777777" w:rsidR="00814667" w:rsidRPr="004A0AE7" w:rsidRDefault="00814667">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South Australia</w:t>
                </w:r>
              </w:smartTag>
            </w:smartTag>
            <w:r w:rsidRPr="004A0AE7">
              <w:t xml:space="preserve"> by</w:t>
            </w:r>
          </w:p>
          <w:p w14:paraId="340E2B20" w14:textId="77777777" w:rsidR="00814667" w:rsidRPr="00A50751" w:rsidRDefault="00814667">
            <w:pPr>
              <w:pStyle w:val="LineForSignature"/>
            </w:pPr>
            <w:r w:rsidRPr="00A50751">
              <w:tab/>
            </w:r>
          </w:p>
          <w:p w14:paraId="1E994A03" w14:textId="77777777" w:rsidR="00814667" w:rsidRDefault="00814667">
            <w:pPr>
              <w:pStyle w:val="SingleParagraph"/>
              <w:rPr>
                <w:rStyle w:val="Bold"/>
              </w:rPr>
            </w:pPr>
            <w:r>
              <w:rPr>
                <w:rStyle w:val="Bold"/>
              </w:rPr>
              <w:t xml:space="preserve">The Honourable </w:t>
            </w:r>
            <w:r w:rsidR="006B22EB" w:rsidRPr="006B22EB">
              <w:rPr>
                <w:rStyle w:val="Bold"/>
              </w:rPr>
              <w:t>John Gardner</w:t>
            </w:r>
            <w:r>
              <w:rPr>
                <w:rStyle w:val="Bold"/>
              </w:rPr>
              <w:t xml:space="preserve"> MP</w:t>
            </w:r>
          </w:p>
          <w:p w14:paraId="79B91154" w14:textId="77777777" w:rsidR="00542A8C" w:rsidRDefault="00542A8C" w:rsidP="00542A8C">
            <w:pPr>
              <w:pStyle w:val="Position"/>
              <w:rPr>
                <w:lang w:val="en-GB"/>
              </w:rPr>
            </w:pPr>
            <w:r>
              <w:rPr>
                <w:lang w:val="en-GB"/>
              </w:rPr>
              <w:t xml:space="preserve">Minister for </w:t>
            </w:r>
            <w:r w:rsidR="002C4112">
              <w:rPr>
                <w:lang w:val="en-GB"/>
              </w:rPr>
              <w:t>Education</w:t>
            </w:r>
          </w:p>
          <w:p w14:paraId="4BDAC537" w14:textId="77777777" w:rsidR="00814667" w:rsidRPr="00A50751" w:rsidRDefault="00542A8C">
            <w:pPr>
              <w:pStyle w:val="SingleParagraph"/>
              <w:tabs>
                <w:tab w:val="num" w:pos="1134"/>
              </w:tabs>
              <w:spacing w:after="240"/>
              <w:ind w:left="1134" w:hanging="567"/>
              <w:rPr>
                <w:lang w:val="en-GB"/>
              </w:rPr>
            </w:pPr>
            <w:r w:rsidRPr="00B00778" w:rsidDel="00542A8C">
              <w:rPr>
                <w:bCs/>
                <w:lang w:val="en-GB"/>
              </w:rPr>
              <w:t xml:space="preserve"> </w:t>
            </w:r>
            <w:r w:rsidR="00B22065">
              <w:rPr>
                <w:lang w:val="en-GB"/>
              </w:rPr>
              <w:t xml:space="preserve">     /      / 2020 </w:t>
            </w:r>
          </w:p>
        </w:tc>
        <w:tc>
          <w:tcPr>
            <w:tcW w:w="284" w:type="dxa"/>
            <w:tcMar>
              <w:left w:w="0" w:type="dxa"/>
              <w:right w:w="0" w:type="dxa"/>
            </w:tcMar>
          </w:tcPr>
          <w:p w14:paraId="22CCB902" w14:textId="77777777" w:rsidR="00814667" w:rsidRPr="00A50751" w:rsidRDefault="00814667">
            <w:pPr>
              <w:rPr>
                <w:rFonts w:ascii="Book Antiqua" w:hAnsi="Book Antiqua"/>
                <w:lang w:val="en-GB"/>
              </w:rPr>
            </w:pPr>
          </w:p>
        </w:tc>
        <w:tc>
          <w:tcPr>
            <w:tcW w:w="4536" w:type="dxa"/>
          </w:tcPr>
          <w:p w14:paraId="22E23607" w14:textId="77777777" w:rsidR="00814667" w:rsidRPr="004A0AE7" w:rsidRDefault="00814667">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Tasmania</w:t>
                </w:r>
              </w:smartTag>
            </w:smartTag>
            <w:r w:rsidRPr="004A0AE7">
              <w:t xml:space="preserve"> by</w:t>
            </w:r>
          </w:p>
          <w:p w14:paraId="5B3F7C23" w14:textId="77777777" w:rsidR="00814667" w:rsidRPr="00A50751" w:rsidRDefault="00814667">
            <w:pPr>
              <w:pStyle w:val="LineForSignature"/>
            </w:pPr>
            <w:r w:rsidRPr="00A50751">
              <w:tab/>
            </w:r>
          </w:p>
          <w:p w14:paraId="2D8A4380" w14:textId="77777777" w:rsidR="00814667" w:rsidRDefault="00814667">
            <w:pPr>
              <w:pStyle w:val="SingleParagraph"/>
              <w:rPr>
                <w:rStyle w:val="Bold"/>
              </w:rPr>
            </w:pPr>
            <w:r>
              <w:rPr>
                <w:rStyle w:val="Bold"/>
              </w:rPr>
              <w:t xml:space="preserve">The Honourable </w:t>
            </w:r>
            <w:r w:rsidR="00D80BE3">
              <w:rPr>
                <w:rStyle w:val="Bold"/>
              </w:rPr>
              <w:t xml:space="preserve">Jeremy </w:t>
            </w:r>
            <w:proofErr w:type="spellStart"/>
            <w:r w:rsidR="00D80BE3">
              <w:rPr>
                <w:rStyle w:val="Bold"/>
              </w:rPr>
              <w:t>Rockliff</w:t>
            </w:r>
            <w:proofErr w:type="spellEnd"/>
            <w:r w:rsidR="0099742A">
              <w:rPr>
                <w:rStyle w:val="Bold"/>
              </w:rPr>
              <w:t xml:space="preserve"> </w:t>
            </w:r>
            <w:r>
              <w:rPr>
                <w:rStyle w:val="Bold"/>
              </w:rPr>
              <w:t>MP</w:t>
            </w:r>
          </w:p>
          <w:p w14:paraId="2C4C57D9" w14:textId="77777777" w:rsidR="00542A8C" w:rsidRDefault="00542A8C" w:rsidP="00542A8C">
            <w:pPr>
              <w:pStyle w:val="Position"/>
              <w:rPr>
                <w:lang w:val="en-GB"/>
              </w:rPr>
            </w:pPr>
            <w:r>
              <w:rPr>
                <w:lang w:val="en-GB"/>
              </w:rPr>
              <w:t xml:space="preserve">Minister for </w:t>
            </w:r>
            <w:r w:rsidR="00D80BE3">
              <w:rPr>
                <w:lang w:val="en-GB"/>
              </w:rPr>
              <w:t>Education and Training</w:t>
            </w:r>
          </w:p>
          <w:p w14:paraId="07D2EB37" w14:textId="77777777" w:rsidR="00814667" w:rsidRPr="00A50751" w:rsidRDefault="00542A8C">
            <w:pPr>
              <w:pStyle w:val="SingleParagraph"/>
              <w:tabs>
                <w:tab w:val="num" w:pos="1134"/>
              </w:tabs>
              <w:spacing w:after="240"/>
              <w:ind w:left="1134" w:hanging="567"/>
              <w:rPr>
                <w:lang w:val="en-GB"/>
              </w:rPr>
            </w:pPr>
            <w:r w:rsidRPr="00B12190" w:rsidDel="00542A8C">
              <w:rPr>
                <w:bCs/>
                <w:lang w:val="en-GB"/>
              </w:rPr>
              <w:t xml:space="preserve"> </w:t>
            </w:r>
            <w:r w:rsidR="00B22065">
              <w:rPr>
                <w:lang w:val="en-GB"/>
              </w:rPr>
              <w:t xml:space="preserve">      /      / 2020</w:t>
            </w:r>
          </w:p>
        </w:tc>
      </w:tr>
      <w:tr w:rsidR="00814667" w:rsidRPr="00A50751" w14:paraId="54D6F84C" w14:textId="77777777">
        <w:trPr>
          <w:cantSplit/>
          <w:jc w:val="center"/>
        </w:trPr>
        <w:tc>
          <w:tcPr>
            <w:tcW w:w="4536" w:type="dxa"/>
          </w:tcPr>
          <w:p w14:paraId="3D0CBC06"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2C9604D4" w14:textId="77777777" w:rsidR="00814667" w:rsidRPr="00A50751" w:rsidRDefault="00814667">
            <w:pPr>
              <w:pStyle w:val="SingleParagraph"/>
              <w:rPr>
                <w:rFonts w:ascii="Book Antiqua" w:hAnsi="Book Antiqua"/>
                <w:lang w:val="en-GB"/>
              </w:rPr>
            </w:pPr>
          </w:p>
        </w:tc>
        <w:tc>
          <w:tcPr>
            <w:tcW w:w="4536" w:type="dxa"/>
          </w:tcPr>
          <w:p w14:paraId="1243F9E8" w14:textId="77777777" w:rsidR="00814667" w:rsidRPr="00A50751" w:rsidRDefault="00814667">
            <w:pPr>
              <w:pStyle w:val="SingleParagraph"/>
              <w:rPr>
                <w:rFonts w:ascii="Book Antiqua" w:hAnsi="Book Antiqua"/>
                <w:lang w:val="en-GB"/>
              </w:rPr>
            </w:pPr>
          </w:p>
        </w:tc>
      </w:tr>
      <w:tr w:rsidR="00814667" w:rsidRPr="00A50751" w14:paraId="5EB0B00A" w14:textId="77777777">
        <w:trPr>
          <w:cantSplit/>
          <w:jc w:val="center"/>
        </w:trPr>
        <w:tc>
          <w:tcPr>
            <w:tcW w:w="4536" w:type="dxa"/>
          </w:tcPr>
          <w:p w14:paraId="56004C3B" w14:textId="77777777" w:rsidR="00814667" w:rsidRPr="00A50751" w:rsidRDefault="00814667">
            <w:pPr>
              <w:pStyle w:val="Signed"/>
            </w:pPr>
            <w:r>
              <w:rPr>
                <w:rStyle w:val="SignedBold"/>
              </w:rPr>
              <w:t>Signed</w:t>
            </w:r>
            <w:r w:rsidRPr="004A0AE7">
              <w:rPr>
                <w:i w:val="0"/>
              </w:rPr>
              <w:t xml:space="preserve"> </w:t>
            </w:r>
            <w:r w:rsidR="008148E2" w:rsidRPr="004A0AE7">
              <w:t xml:space="preserve">for and on behalf of </w:t>
            </w:r>
            <w:r w:rsidR="008148E2">
              <w:t xml:space="preserve">the </w:t>
            </w:r>
            <w:r w:rsidRPr="004A0AE7">
              <w:t>Australian Capital Territory by</w:t>
            </w:r>
          </w:p>
          <w:p w14:paraId="64795E5B" w14:textId="77777777" w:rsidR="00814667" w:rsidRPr="00A50751" w:rsidRDefault="00814667">
            <w:pPr>
              <w:pStyle w:val="LineForSignature"/>
            </w:pPr>
            <w:r w:rsidRPr="00A50751">
              <w:tab/>
            </w:r>
          </w:p>
          <w:p w14:paraId="1F25AA9E" w14:textId="77777777" w:rsidR="00814667" w:rsidRDefault="00D64BBD">
            <w:pPr>
              <w:pStyle w:val="SingleParagraph"/>
              <w:rPr>
                <w:rStyle w:val="Bold"/>
              </w:rPr>
            </w:pPr>
            <w:r>
              <w:rPr>
                <w:rStyle w:val="Bold"/>
              </w:rPr>
              <w:t xml:space="preserve">Mr </w:t>
            </w:r>
            <w:r w:rsidR="00634799">
              <w:rPr>
                <w:rStyle w:val="Bold"/>
              </w:rPr>
              <w:t>Chris Steel</w:t>
            </w:r>
            <w:r w:rsidR="0099742A">
              <w:rPr>
                <w:rStyle w:val="Bold"/>
              </w:rPr>
              <w:t xml:space="preserve"> </w:t>
            </w:r>
            <w:r w:rsidR="00814667">
              <w:rPr>
                <w:rStyle w:val="Bold"/>
              </w:rPr>
              <w:t>MLA</w:t>
            </w:r>
          </w:p>
          <w:p w14:paraId="030F35E9" w14:textId="77777777" w:rsidR="00542A8C" w:rsidRDefault="00D80BE3" w:rsidP="00542A8C">
            <w:pPr>
              <w:pStyle w:val="Position"/>
              <w:rPr>
                <w:lang w:val="en-GB"/>
              </w:rPr>
            </w:pPr>
            <w:r w:rsidRPr="0042533E">
              <w:rPr>
                <w:lang w:val="en-GB"/>
              </w:rPr>
              <w:t>Minister</w:t>
            </w:r>
            <w:r w:rsidR="00A40799" w:rsidRPr="0042533E">
              <w:rPr>
                <w:lang w:val="en-GB"/>
              </w:rPr>
              <w:t xml:space="preserve"> for </w:t>
            </w:r>
            <w:r w:rsidR="0042533E">
              <w:rPr>
                <w:lang w:val="en-GB"/>
              </w:rPr>
              <w:t>Tertiary Education</w:t>
            </w:r>
          </w:p>
          <w:p w14:paraId="7993DC32" w14:textId="77777777" w:rsidR="00814667" w:rsidRPr="00A50751" w:rsidRDefault="00542A8C">
            <w:pPr>
              <w:pStyle w:val="SingleParagraph"/>
              <w:tabs>
                <w:tab w:val="num" w:pos="1134"/>
              </w:tabs>
              <w:spacing w:after="240"/>
              <w:ind w:left="1134" w:hanging="567"/>
              <w:rPr>
                <w:szCs w:val="22"/>
                <w:lang w:val="en-GB"/>
              </w:rPr>
            </w:pPr>
            <w:r w:rsidRPr="00B22065" w:rsidDel="00542A8C">
              <w:rPr>
                <w:bCs/>
                <w:lang w:val="en-GB"/>
              </w:rPr>
              <w:t xml:space="preserve"> </w:t>
            </w:r>
            <w:r w:rsidR="00B22065" w:rsidRPr="00B22065">
              <w:rPr>
                <w:bCs/>
                <w:lang w:val="en-GB"/>
              </w:rPr>
              <w:t xml:space="preserve">      /      / 2020</w:t>
            </w:r>
          </w:p>
        </w:tc>
        <w:tc>
          <w:tcPr>
            <w:tcW w:w="284" w:type="dxa"/>
            <w:tcMar>
              <w:left w:w="0" w:type="dxa"/>
              <w:right w:w="0" w:type="dxa"/>
            </w:tcMar>
          </w:tcPr>
          <w:p w14:paraId="38735EFB" w14:textId="77777777" w:rsidR="00814667" w:rsidRPr="00A50751" w:rsidRDefault="00814667">
            <w:pPr>
              <w:rPr>
                <w:rFonts w:ascii="Book Antiqua" w:hAnsi="Book Antiqua"/>
                <w:lang w:val="en-GB"/>
              </w:rPr>
            </w:pPr>
          </w:p>
        </w:tc>
        <w:tc>
          <w:tcPr>
            <w:tcW w:w="4536" w:type="dxa"/>
          </w:tcPr>
          <w:p w14:paraId="3D0F947B" w14:textId="77777777" w:rsidR="00814667" w:rsidRPr="00A50751" w:rsidRDefault="00814667">
            <w:pPr>
              <w:pStyle w:val="Signed"/>
            </w:pPr>
            <w:r>
              <w:rPr>
                <w:rStyle w:val="SignedBold"/>
              </w:rPr>
              <w:t>Signed</w:t>
            </w:r>
            <w:r w:rsidRPr="004A0AE7">
              <w:rPr>
                <w:i w:val="0"/>
              </w:rPr>
              <w:t xml:space="preserve"> </w:t>
            </w:r>
            <w:r w:rsidR="008148E2" w:rsidRPr="004A0AE7">
              <w:t xml:space="preserve">for and on behalf of </w:t>
            </w:r>
            <w:r w:rsidR="008148E2">
              <w:t xml:space="preserve">the </w:t>
            </w:r>
            <w:r w:rsidRPr="004A0AE7">
              <w:t>Northern Territory by</w:t>
            </w:r>
          </w:p>
          <w:p w14:paraId="19C00F99" w14:textId="77777777" w:rsidR="00814667" w:rsidRPr="00A50751" w:rsidRDefault="00814667">
            <w:pPr>
              <w:pStyle w:val="LineForSignature"/>
            </w:pPr>
            <w:r w:rsidRPr="00A50751">
              <w:tab/>
            </w:r>
          </w:p>
          <w:p w14:paraId="78231D0C" w14:textId="77777777" w:rsidR="00B22065" w:rsidRDefault="00BF21CD" w:rsidP="00B22065">
            <w:pPr>
              <w:pStyle w:val="SingleParagraph"/>
              <w:rPr>
                <w:rStyle w:val="Bold"/>
              </w:rPr>
            </w:pPr>
            <w:r>
              <w:rPr>
                <w:rStyle w:val="Bold"/>
              </w:rPr>
              <w:t xml:space="preserve">The Honourable Selena </w:t>
            </w:r>
            <w:proofErr w:type="spellStart"/>
            <w:r>
              <w:rPr>
                <w:rStyle w:val="Bold"/>
              </w:rPr>
              <w:t>Uibo</w:t>
            </w:r>
            <w:proofErr w:type="spellEnd"/>
            <w:r w:rsidR="00B22065">
              <w:rPr>
                <w:rStyle w:val="Bold"/>
              </w:rPr>
              <w:t xml:space="preserve"> MLA</w:t>
            </w:r>
          </w:p>
          <w:p w14:paraId="761E4599" w14:textId="77777777" w:rsidR="00B22065" w:rsidRPr="00B22065" w:rsidRDefault="00B22065" w:rsidP="00BF21CD">
            <w:pPr>
              <w:pStyle w:val="SingleParagraph"/>
              <w:spacing w:after="240"/>
              <w:ind w:left="32"/>
              <w:rPr>
                <w:bCs/>
                <w:sz w:val="20"/>
                <w:lang w:val="en-GB"/>
              </w:rPr>
            </w:pPr>
            <w:r w:rsidRPr="00B22065">
              <w:rPr>
                <w:bCs/>
                <w:sz w:val="20"/>
                <w:lang w:val="en-GB"/>
              </w:rPr>
              <w:t>Minister</w:t>
            </w:r>
            <w:r w:rsidR="00BF21CD">
              <w:rPr>
                <w:bCs/>
                <w:sz w:val="20"/>
                <w:lang w:val="en-GB"/>
              </w:rPr>
              <w:t xml:space="preserve"> for Education, Minister for Aboriginal Affairs and Minister for Workforce Training</w:t>
            </w:r>
          </w:p>
          <w:p w14:paraId="026102AF" w14:textId="77777777" w:rsidR="00814667" w:rsidRPr="00A50751" w:rsidRDefault="00542A8C" w:rsidP="00B22065">
            <w:pPr>
              <w:pStyle w:val="SingleParagraph"/>
              <w:tabs>
                <w:tab w:val="num" w:pos="1134"/>
              </w:tabs>
              <w:spacing w:after="240"/>
              <w:ind w:left="1134" w:hanging="567"/>
              <w:rPr>
                <w:lang w:val="en-GB"/>
              </w:rPr>
            </w:pPr>
            <w:r w:rsidRPr="00B12190" w:rsidDel="00542A8C">
              <w:rPr>
                <w:bCs/>
                <w:lang w:val="en-GB"/>
              </w:rPr>
              <w:t xml:space="preserve"> </w:t>
            </w:r>
            <w:r w:rsidR="00B22065" w:rsidRPr="00B22065">
              <w:rPr>
                <w:bCs/>
                <w:lang w:val="en-GB"/>
              </w:rPr>
              <w:t xml:space="preserve">      /      / 2020</w:t>
            </w:r>
          </w:p>
        </w:tc>
      </w:tr>
    </w:tbl>
    <w:p w14:paraId="3B5E5FE1" w14:textId="77777777" w:rsidR="008843EE" w:rsidRDefault="008843EE" w:rsidP="0020144E"/>
    <w:sectPr w:rsidR="008843EE" w:rsidSect="00C606F6">
      <w:headerReference w:type="even" r:id="rId20"/>
      <w:headerReference w:type="default" r:id="rId21"/>
      <w:headerReference w:type="first" r:id="rId22"/>
      <w:footerReference w:type="first" r:id="rId23"/>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5908E" w14:textId="77777777" w:rsidR="000A7F99" w:rsidRDefault="000A7F99">
      <w:r>
        <w:separator/>
      </w:r>
    </w:p>
  </w:endnote>
  <w:endnote w:type="continuationSeparator" w:id="0">
    <w:p w14:paraId="6D7B8DAD" w14:textId="77777777" w:rsidR="000A7F99" w:rsidRDefault="000A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Zapf Dingbats"/>
    <w:panose1 w:val="00000000000000000000"/>
    <w:charset w:val="02"/>
    <w:family w:val="decorative"/>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onsolas">
    <w:altName w:val="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35DF" w14:textId="77777777" w:rsidR="00321777" w:rsidRDefault="00321777">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A2B724B" w14:textId="77777777" w:rsidR="00321777" w:rsidRDefault="00321777">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EA192" w14:textId="77777777" w:rsidR="00321777" w:rsidRDefault="00321777">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9B41AE">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BC1E" w14:textId="77777777" w:rsidR="00321777" w:rsidRDefault="00321777">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B41AE">
      <w:rPr>
        <w:rStyle w:val="PageNumber"/>
        <w:noProof/>
      </w:rPr>
      <w:t>1</w:t>
    </w:r>
    <w:r>
      <w:rPr>
        <w:rStyle w:val="PageNumber"/>
      </w:rPr>
      <w:fldChar w:fldCharType="end"/>
    </w:r>
  </w:p>
  <w:p w14:paraId="01217191" w14:textId="77777777" w:rsidR="00321777" w:rsidRDefault="00321777">
    <w:pPr>
      <w:pStyle w:val="FooterOdd"/>
      <w:keepNext/>
      <w:tabs>
        <w:tab w:val="num" w:pos="567"/>
      </w:tabs>
    </w:pPr>
    <w:r>
      <w:t xml:space="preserve">Version of template: </w:t>
    </w:r>
    <w:r>
      <w:fldChar w:fldCharType="begin"/>
    </w:r>
    <w:r>
      <w:instrText xml:space="preserve"> DATE \@ "d/MM/yyyy" </w:instrText>
    </w:r>
    <w:r>
      <w:fldChar w:fldCharType="separate"/>
    </w:r>
    <w:r w:rsidR="009B41AE">
      <w:rPr>
        <w:noProof/>
      </w:rPr>
      <w:t>1/09/2020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2652" w14:textId="77777777" w:rsidR="00321777" w:rsidRDefault="00321777" w:rsidP="00751725">
    <w:pPr>
      <w:pStyle w:val="FooterEven"/>
      <w:jc w:val="right"/>
    </w:pPr>
    <w:r>
      <w:t xml:space="preserve">Page </w:t>
    </w:r>
    <w:r>
      <w:rPr>
        <w:rStyle w:val="PageNumber"/>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DB30F" w14:textId="77777777" w:rsidR="000A7F99" w:rsidRDefault="000A7F99">
      <w:r>
        <w:separator/>
      </w:r>
    </w:p>
  </w:footnote>
  <w:footnote w:type="continuationSeparator" w:id="0">
    <w:p w14:paraId="3F790F78" w14:textId="77777777" w:rsidR="000A7F99" w:rsidRDefault="000A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5AD5F" w14:textId="77777777" w:rsidR="00321777" w:rsidRPr="00814590" w:rsidRDefault="00321777">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6192" w14:textId="77777777" w:rsidR="00321777" w:rsidRPr="00814590" w:rsidRDefault="00321777" w:rsidP="004800B3">
    <w:pPr>
      <w:pStyle w:val="HeaderOdd"/>
      <w:tabs>
        <w:tab w:val="num" w:pos="1134"/>
      </w:tabs>
      <w:rPr>
        <w:color w:val="800000"/>
      </w:rPr>
    </w:pPr>
    <w:r>
      <w:rPr>
        <w:color w:val="800000"/>
      </w:rPr>
      <w:t>Project Agreement for Revitalising TAFE Campuses Across Australia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BB872" w14:textId="77777777" w:rsidR="00321777" w:rsidRDefault="00321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4EAF2" w14:textId="77777777" w:rsidR="00321777" w:rsidRDefault="00321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EB23" w14:textId="77777777" w:rsidR="00321777" w:rsidRDefault="00321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B8E32" w14:textId="77777777" w:rsidR="00321777" w:rsidRPr="00814590" w:rsidRDefault="00321777" w:rsidP="0036474E">
    <w:pPr>
      <w:pStyle w:val="HeaderOdd"/>
      <w:tabs>
        <w:tab w:val="num" w:pos="1134"/>
      </w:tabs>
      <w:rPr>
        <w:color w:val="800000"/>
      </w:rPr>
    </w:pPr>
    <w:r>
      <w:rPr>
        <w:color w:val="800000"/>
      </w:rPr>
      <w:t>Project Agreement for Revitalising TAFE Campuses Across Australia</w:t>
    </w:r>
    <w:r w:rsidDel="001715A5">
      <w:rPr>
        <w:color w:val="800000"/>
      </w:rPr>
      <w:t xml:space="preserve"> </w:t>
    </w:r>
  </w:p>
  <w:p w14:paraId="228AF25A" w14:textId="77777777" w:rsidR="00321777" w:rsidRPr="00751725" w:rsidRDefault="00321777" w:rsidP="00281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06F5162"/>
    <w:multiLevelType w:val="hybridMultilevel"/>
    <w:tmpl w:val="DC901E84"/>
    <w:lvl w:ilvl="0" w:tplc="B438712C">
      <w:start w:val="2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3DA6767"/>
    <w:multiLevelType w:val="hybridMultilevel"/>
    <w:tmpl w:val="56961CE2"/>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CA67C7D"/>
    <w:multiLevelType w:val="hybridMultilevel"/>
    <w:tmpl w:val="272ABCF4"/>
    <w:lvl w:ilvl="0" w:tplc="0C090017">
      <w:start w:val="1"/>
      <w:numFmt w:val="lowerLetter"/>
      <w:lvlText w:val="%1)"/>
      <w:lvlJc w:val="left"/>
      <w:pPr>
        <w:ind w:left="927" w:hanging="360"/>
      </w:pPr>
      <w:rPr>
        <w:rFonts w:cs="Times New Roman"/>
      </w:rPr>
    </w:lvl>
    <w:lvl w:ilvl="1" w:tplc="0C090019">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4"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5"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6"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8" w15:restartNumberingAfterBreak="0">
    <w:nsid w:val="23425C06"/>
    <w:multiLevelType w:val="multilevel"/>
    <w:tmpl w:val="39B2E1B8"/>
    <w:lvl w:ilvl="0">
      <w:start w:val="1"/>
      <w:numFmt w:val="lowerLetter"/>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0" w15:restartNumberingAfterBreak="0">
    <w:nsid w:val="27440C8B"/>
    <w:multiLevelType w:val="multilevel"/>
    <w:tmpl w:val="F2A403A2"/>
    <w:lvl w:ilvl="0">
      <w:start w:val="1"/>
      <w:numFmt w:val="bullet"/>
      <w:lvlRestart w:val="0"/>
      <w:lvlText w:val="•"/>
      <w:lvlJc w:val="left"/>
      <w:pPr>
        <w:tabs>
          <w:tab w:val="num" w:pos="566"/>
        </w:tabs>
        <w:ind w:left="566" w:hanging="283"/>
      </w:pPr>
      <w:rPr>
        <w:rFonts w:ascii="Times New Roman" w:hAnsi="Times New Roman"/>
        <w:b w:val="0"/>
        <w:i w:val="0"/>
      </w:rPr>
    </w:lvl>
    <w:lvl w:ilvl="1">
      <w:start w:val="1"/>
      <w:numFmt w:val="bullet"/>
      <w:lvlText w:val="–"/>
      <w:lvlJc w:val="left"/>
      <w:pPr>
        <w:tabs>
          <w:tab w:val="num" w:pos="850"/>
        </w:tabs>
        <w:ind w:left="850" w:hanging="284"/>
      </w:pPr>
      <w:rPr>
        <w:rFonts w:ascii="Times New Roman" w:hAnsi="Times New Roman"/>
        <w:b w:val="0"/>
        <w:i w:val="0"/>
      </w:rPr>
    </w:lvl>
    <w:lvl w:ilvl="2">
      <w:start w:val="1"/>
      <w:numFmt w:val="bullet"/>
      <w:lvlText w:val=":"/>
      <w:lvlJc w:val="left"/>
      <w:pPr>
        <w:tabs>
          <w:tab w:val="num" w:pos="1133"/>
        </w:tabs>
        <w:ind w:left="1133" w:hanging="283"/>
      </w:pPr>
      <w:rPr>
        <w:rFonts w:ascii="Times New Roman" w:hAnsi="Times New Roman"/>
        <w:b w:val="0"/>
        <w:i w:val="0"/>
      </w:rPr>
    </w:lvl>
    <w:lvl w:ilvl="3">
      <w:start w:val="1"/>
      <w:numFmt w:val="decimal"/>
      <w:lvlText w:val="(%4)"/>
      <w:lvlJc w:val="left"/>
      <w:pPr>
        <w:tabs>
          <w:tab w:val="num" w:pos="1723"/>
        </w:tabs>
        <w:ind w:left="1723" w:hanging="360"/>
      </w:pPr>
      <w:rPr>
        <w:rFonts w:cs="Times New Roman"/>
        <w:b w:val="0"/>
        <w:i w:val="0"/>
      </w:rPr>
    </w:lvl>
    <w:lvl w:ilvl="4">
      <w:start w:val="1"/>
      <w:numFmt w:val="lowerLetter"/>
      <w:lvlText w:val="(%5)"/>
      <w:lvlJc w:val="left"/>
      <w:pPr>
        <w:tabs>
          <w:tab w:val="num" w:pos="2083"/>
        </w:tabs>
        <w:ind w:left="2083" w:hanging="360"/>
      </w:pPr>
      <w:rPr>
        <w:rFonts w:cs="Times New Roman"/>
        <w:b w:val="0"/>
        <w:i w:val="0"/>
      </w:rPr>
    </w:lvl>
    <w:lvl w:ilvl="5">
      <w:start w:val="1"/>
      <w:numFmt w:val="lowerRoman"/>
      <w:lvlText w:val="(%6)"/>
      <w:lvlJc w:val="left"/>
      <w:pPr>
        <w:tabs>
          <w:tab w:val="num" w:pos="2443"/>
        </w:tabs>
        <w:ind w:left="2443" w:hanging="360"/>
      </w:pPr>
      <w:rPr>
        <w:rFonts w:cs="Times New Roman"/>
        <w:b w:val="0"/>
        <w:i w:val="0"/>
      </w:rPr>
    </w:lvl>
    <w:lvl w:ilvl="6">
      <w:start w:val="1"/>
      <w:numFmt w:val="decimal"/>
      <w:lvlText w:val="%7."/>
      <w:lvlJc w:val="left"/>
      <w:pPr>
        <w:tabs>
          <w:tab w:val="num" w:pos="2803"/>
        </w:tabs>
        <w:ind w:left="2803" w:hanging="360"/>
      </w:pPr>
      <w:rPr>
        <w:rFonts w:cs="Times New Roman"/>
        <w:b w:val="0"/>
        <w:i w:val="0"/>
      </w:rPr>
    </w:lvl>
    <w:lvl w:ilvl="7">
      <w:start w:val="1"/>
      <w:numFmt w:val="lowerLetter"/>
      <w:lvlText w:val="%8."/>
      <w:lvlJc w:val="left"/>
      <w:pPr>
        <w:tabs>
          <w:tab w:val="num" w:pos="3163"/>
        </w:tabs>
        <w:ind w:left="3163" w:hanging="360"/>
      </w:pPr>
      <w:rPr>
        <w:rFonts w:cs="Times New Roman"/>
        <w:b w:val="0"/>
        <w:i w:val="0"/>
      </w:rPr>
    </w:lvl>
    <w:lvl w:ilvl="8">
      <w:start w:val="1"/>
      <w:numFmt w:val="lowerRoman"/>
      <w:lvlText w:val="%9."/>
      <w:lvlJc w:val="left"/>
      <w:pPr>
        <w:tabs>
          <w:tab w:val="num" w:pos="3523"/>
        </w:tabs>
        <w:ind w:left="3523" w:hanging="360"/>
      </w:pPr>
      <w:rPr>
        <w:rFonts w:cs="Times New Roman"/>
        <w:b w:val="0"/>
        <w:i w:val="0"/>
      </w:rPr>
    </w:lvl>
  </w:abstractNum>
  <w:abstractNum w:abstractNumId="11"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2"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3" w15:restartNumberingAfterBreak="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33311766"/>
    <w:multiLevelType w:val="hybridMultilevel"/>
    <w:tmpl w:val="8E4A17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FF7E26"/>
    <w:multiLevelType w:val="hybridMultilevel"/>
    <w:tmpl w:val="93CC6628"/>
    <w:lvl w:ilvl="0" w:tplc="A674538A">
      <w:start w:val="20"/>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45951914"/>
    <w:multiLevelType w:val="hybridMultilevel"/>
    <w:tmpl w:val="88603EB4"/>
    <w:lvl w:ilvl="0" w:tplc="660EB73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8"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9"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1" w15:restartNumberingAfterBreak="0">
    <w:nsid w:val="59B70749"/>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2" w15:restartNumberingAfterBreak="0">
    <w:nsid w:val="5CF602C6"/>
    <w:multiLevelType w:val="hybridMultilevel"/>
    <w:tmpl w:val="AD4A87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4" w15:restartNumberingAfterBreak="0">
    <w:nsid w:val="64060213"/>
    <w:multiLevelType w:val="hybridMultilevel"/>
    <w:tmpl w:val="9C48FED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F539CD"/>
    <w:multiLevelType w:val="hybridMultilevel"/>
    <w:tmpl w:val="68420772"/>
    <w:lvl w:ilvl="0" w:tplc="E4760E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7" w15:restartNumberingAfterBreak="0">
    <w:nsid w:val="72D81726"/>
    <w:multiLevelType w:val="hybridMultilevel"/>
    <w:tmpl w:val="A320A2B0"/>
    <w:lvl w:ilvl="0" w:tplc="E4760E08">
      <w:start w:val="1"/>
      <w:numFmt w:val="lowerLetter"/>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9" w15:restartNumberingAfterBreak="0">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9"/>
  </w:num>
  <w:num w:numId="21">
    <w:abstractNumId w:val="18"/>
  </w:num>
  <w:num w:numId="22">
    <w:abstractNumId w:val="20"/>
  </w:num>
  <w:num w:numId="23">
    <w:abstractNumId w:val="5"/>
  </w:num>
  <w:num w:numId="24">
    <w:abstractNumId w:val="23"/>
  </w:num>
  <w:num w:numId="25">
    <w:abstractNumId w:val="10"/>
  </w:num>
  <w:num w:numId="26">
    <w:abstractNumId w:val="13"/>
  </w:num>
  <w:num w:numId="27">
    <w:abstractNumId w:val="6"/>
  </w:num>
  <w:num w:numId="28">
    <w:abstractNumId w:val="11"/>
  </w:num>
  <w:num w:numId="29">
    <w:abstractNumId w:val="29"/>
  </w:num>
  <w:num w:numId="30">
    <w:abstractNumId w:val="4"/>
  </w:num>
  <w:num w:numId="31">
    <w:abstractNumId w:val="19"/>
  </w:num>
  <w:num w:numId="32">
    <w:abstractNumId w:val="26"/>
  </w:num>
  <w:num w:numId="33">
    <w:abstractNumId w:val="17"/>
  </w:num>
  <w:num w:numId="34">
    <w:abstractNumId w:val="21"/>
  </w:num>
  <w:num w:numId="35">
    <w:abstractNumId w:val="28"/>
  </w:num>
  <w:num w:numId="36">
    <w:abstractNumId w:val="7"/>
  </w:num>
  <w:num w:numId="37">
    <w:abstractNumId w:val="12"/>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8"/>
  </w:num>
  <w:num w:numId="45">
    <w:abstractNumId w:val="25"/>
  </w:num>
  <w:num w:numId="46">
    <w:abstractNumId w:val="27"/>
  </w:num>
  <w:num w:numId="47">
    <w:abstractNumId w:val="0"/>
  </w:num>
  <w:num w:numId="48">
    <w:abstractNumId w:val="0"/>
  </w:num>
  <w:num w:numId="49">
    <w:abstractNumId w:val="10"/>
  </w:num>
  <w:num w:numId="50">
    <w:abstractNumId w:val="0"/>
  </w:num>
  <w:num w:numId="51">
    <w:abstractNumId w:val="1"/>
  </w:num>
  <w:num w:numId="52">
    <w:abstractNumId w:val="16"/>
  </w:num>
  <w:num w:numId="53">
    <w:abstractNumId w:val="2"/>
  </w:num>
  <w:num w:numId="54">
    <w:abstractNumId w:val="3"/>
  </w:num>
  <w:num w:numId="55">
    <w:abstractNumId w:val="14"/>
  </w:num>
  <w:num w:numId="56">
    <w:abstractNumId w:val="22"/>
  </w:num>
  <w:num w:numId="57">
    <w:abstractNumId w:val="24"/>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31E7"/>
    <w:rsid w:val="00005A5D"/>
    <w:rsid w:val="000076D9"/>
    <w:rsid w:val="00017E3A"/>
    <w:rsid w:val="00021708"/>
    <w:rsid w:val="00030CB2"/>
    <w:rsid w:val="000343F1"/>
    <w:rsid w:val="000373A8"/>
    <w:rsid w:val="00044700"/>
    <w:rsid w:val="000475C4"/>
    <w:rsid w:val="0006051B"/>
    <w:rsid w:val="000614F9"/>
    <w:rsid w:val="0006451A"/>
    <w:rsid w:val="0006551D"/>
    <w:rsid w:val="00065679"/>
    <w:rsid w:val="0007004C"/>
    <w:rsid w:val="000724F6"/>
    <w:rsid w:val="00074611"/>
    <w:rsid w:val="00074A62"/>
    <w:rsid w:val="000819D0"/>
    <w:rsid w:val="00086712"/>
    <w:rsid w:val="00091DF8"/>
    <w:rsid w:val="00091FFF"/>
    <w:rsid w:val="00092984"/>
    <w:rsid w:val="00093CB6"/>
    <w:rsid w:val="00093DD8"/>
    <w:rsid w:val="00097794"/>
    <w:rsid w:val="000A0C9E"/>
    <w:rsid w:val="000A5191"/>
    <w:rsid w:val="000A7F99"/>
    <w:rsid w:val="000B4080"/>
    <w:rsid w:val="000B7685"/>
    <w:rsid w:val="000B7C8D"/>
    <w:rsid w:val="000C714F"/>
    <w:rsid w:val="000D0C30"/>
    <w:rsid w:val="000D19D8"/>
    <w:rsid w:val="000D1C37"/>
    <w:rsid w:val="000D4377"/>
    <w:rsid w:val="000E075D"/>
    <w:rsid w:val="000E2AF6"/>
    <w:rsid w:val="000E36B7"/>
    <w:rsid w:val="000E3C70"/>
    <w:rsid w:val="000E48C3"/>
    <w:rsid w:val="000F0880"/>
    <w:rsid w:val="000F1795"/>
    <w:rsid w:val="000F25D5"/>
    <w:rsid w:val="000F6CF6"/>
    <w:rsid w:val="00103FD6"/>
    <w:rsid w:val="001065EE"/>
    <w:rsid w:val="00110F5D"/>
    <w:rsid w:val="001134AC"/>
    <w:rsid w:val="00115166"/>
    <w:rsid w:val="00115A97"/>
    <w:rsid w:val="00122DBA"/>
    <w:rsid w:val="001262B5"/>
    <w:rsid w:val="001275B8"/>
    <w:rsid w:val="00132587"/>
    <w:rsid w:val="00135FA3"/>
    <w:rsid w:val="001404A9"/>
    <w:rsid w:val="00140F43"/>
    <w:rsid w:val="00145D5C"/>
    <w:rsid w:val="00151133"/>
    <w:rsid w:val="00160506"/>
    <w:rsid w:val="001607E7"/>
    <w:rsid w:val="0016131F"/>
    <w:rsid w:val="001629FA"/>
    <w:rsid w:val="00165CAB"/>
    <w:rsid w:val="00166312"/>
    <w:rsid w:val="00167BB8"/>
    <w:rsid w:val="001715A5"/>
    <w:rsid w:val="00172360"/>
    <w:rsid w:val="00172E3A"/>
    <w:rsid w:val="00173F81"/>
    <w:rsid w:val="00174C2A"/>
    <w:rsid w:val="00175FB9"/>
    <w:rsid w:val="00177A0A"/>
    <w:rsid w:val="00180F76"/>
    <w:rsid w:val="00183EAB"/>
    <w:rsid w:val="00185CC1"/>
    <w:rsid w:val="00187BEB"/>
    <w:rsid w:val="001931E8"/>
    <w:rsid w:val="00194232"/>
    <w:rsid w:val="00194587"/>
    <w:rsid w:val="001A0E5C"/>
    <w:rsid w:val="001A1422"/>
    <w:rsid w:val="001A14C1"/>
    <w:rsid w:val="001A3A9A"/>
    <w:rsid w:val="001A3F52"/>
    <w:rsid w:val="001A4093"/>
    <w:rsid w:val="001A4F15"/>
    <w:rsid w:val="001A79C1"/>
    <w:rsid w:val="001A7A15"/>
    <w:rsid w:val="001B19A0"/>
    <w:rsid w:val="001B1CA3"/>
    <w:rsid w:val="001B447F"/>
    <w:rsid w:val="001B580E"/>
    <w:rsid w:val="001B7933"/>
    <w:rsid w:val="001C2A22"/>
    <w:rsid w:val="001C346E"/>
    <w:rsid w:val="001C3717"/>
    <w:rsid w:val="001C5CC5"/>
    <w:rsid w:val="001D2C27"/>
    <w:rsid w:val="001D3CAD"/>
    <w:rsid w:val="001D6E9A"/>
    <w:rsid w:val="001E20EC"/>
    <w:rsid w:val="001E3D55"/>
    <w:rsid w:val="001E4479"/>
    <w:rsid w:val="001E7173"/>
    <w:rsid w:val="001E74D0"/>
    <w:rsid w:val="001E7803"/>
    <w:rsid w:val="001F1D48"/>
    <w:rsid w:val="001F6F39"/>
    <w:rsid w:val="001F6FE8"/>
    <w:rsid w:val="0020144E"/>
    <w:rsid w:val="00205E18"/>
    <w:rsid w:val="00206773"/>
    <w:rsid w:val="002069F9"/>
    <w:rsid w:val="00212869"/>
    <w:rsid w:val="00220A4A"/>
    <w:rsid w:val="00221308"/>
    <w:rsid w:val="00222C97"/>
    <w:rsid w:val="00225761"/>
    <w:rsid w:val="00233835"/>
    <w:rsid w:val="00241EE9"/>
    <w:rsid w:val="002425B1"/>
    <w:rsid w:val="00244500"/>
    <w:rsid w:val="00247D45"/>
    <w:rsid w:val="0025008D"/>
    <w:rsid w:val="00252551"/>
    <w:rsid w:val="00261ABA"/>
    <w:rsid w:val="00262E18"/>
    <w:rsid w:val="0026571E"/>
    <w:rsid w:val="00266493"/>
    <w:rsid w:val="00281874"/>
    <w:rsid w:val="00282C25"/>
    <w:rsid w:val="00284884"/>
    <w:rsid w:val="00285003"/>
    <w:rsid w:val="002869F5"/>
    <w:rsid w:val="00287DCC"/>
    <w:rsid w:val="00291CF1"/>
    <w:rsid w:val="00292587"/>
    <w:rsid w:val="00292F23"/>
    <w:rsid w:val="002A143D"/>
    <w:rsid w:val="002A3937"/>
    <w:rsid w:val="002A3DE9"/>
    <w:rsid w:val="002A493A"/>
    <w:rsid w:val="002A530A"/>
    <w:rsid w:val="002A5884"/>
    <w:rsid w:val="002A6981"/>
    <w:rsid w:val="002B1C50"/>
    <w:rsid w:val="002B207C"/>
    <w:rsid w:val="002B7922"/>
    <w:rsid w:val="002B7E1B"/>
    <w:rsid w:val="002C2529"/>
    <w:rsid w:val="002C2A03"/>
    <w:rsid w:val="002C4112"/>
    <w:rsid w:val="002C62B3"/>
    <w:rsid w:val="002C7620"/>
    <w:rsid w:val="002C7B3C"/>
    <w:rsid w:val="002D122C"/>
    <w:rsid w:val="002D7CF9"/>
    <w:rsid w:val="002E144A"/>
    <w:rsid w:val="002E2DE2"/>
    <w:rsid w:val="002E4B66"/>
    <w:rsid w:val="002F4E9E"/>
    <w:rsid w:val="002F576E"/>
    <w:rsid w:val="002F5B29"/>
    <w:rsid w:val="002F5B54"/>
    <w:rsid w:val="002F5C6C"/>
    <w:rsid w:val="002F7E40"/>
    <w:rsid w:val="003010E7"/>
    <w:rsid w:val="003012DA"/>
    <w:rsid w:val="00303EE9"/>
    <w:rsid w:val="00305C32"/>
    <w:rsid w:val="0030643F"/>
    <w:rsid w:val="00307C5C"/>
    <w:rsid w:val="00310CF7"/>
    <w:rsid w:val="00312CFE"/>
    <w:rsid w:val="00313480"/>
    <w:rsid w:val="00313C98"/>
    <w:rsid w:val="00313FD9"/>
    <w:rsid w:val="00314775"/>
    <w:rsid w:val="003155BD"/>
    <w:rsid w:val="003177B9"/>
    <w:rsid w:val="00321777"/>
    <w:rsid w:val="00321E0A"/>
    <w:rsid w:val="0032452F"/>
    <w:rsid w:val="00332F0F"/>
    <w:rsid w:val="00333506"/>
    <w:rsid w:val="00336202"/>
    <w:rsid w:val="00340987"/>
    <w:rsid w:val="003410AA"/>
    <w:rsid w:val="0034465F"/>
    <w:rsid w:val="00352A6B"/>
    <w:rsid w:val="00352EC1"/>
    <w:rsid w:val="003556C8"/>
    <w:rsid w:val="00361054"/>
    <w:rsid w:val="0036119D"/>
    <w:rsid w:val="00363226"/>
    <w:rsid w:val="003637A0"/>
    <w:rsid w:val="0036474E"/>
    <w:rsid w:val="00364CF3"/>
    <w:rsid w:val="00365CAA"/>
    <w:rsid w:val="00367EAB"/>
    <w:rsid w:val="0037041C"/>
    <w:rsid w:val="00372573"/>
    <w:rsid w:val="003725FA"/>
    <w:rsid w:val="00377AB2"/>
    <w:rsid w:val="003877C3"/>
    <w:rsid w:val="0039283B"/>
    <w:rsid w:val="00396EA4"/>
    <w:rsid w:val="003A1354"/>
    <w:rsid w:val="003A2157"/>
    <w:rsid w:val="003A3363"/>
    <w:rsid w:val="003A3905"/>
    <w:rsid w:val="003A3961"/>
    <w:rsid w:val="003A3CC1"/>
    <w:rsid w:val="003A6635"/>
    <w:rsid w:val="003A6B0E"/>
    <w:rsid w:val="003A78C6"/>
    <w:rsid w:val="003B5562"/>
    <w:rsid w:val="003B6363"/>
    <w:rsid w:val="003B737F"/>
    <w:rsid w:val="003C0CF7"/>
    <w:rsid w:val="003C2615"/>
    <w:rsid w:val="003C2E5D"/>
    <w:rsid w:val="003C59E0"/>
    <w:rsid w:val="003C6F2A"/>
    <w:rsid w:val="003D743C"/>
    <w:rsid w:val="003E33BA"/>
    <w:rsid w:val="003E4E8D"/>
    <w:rsid w:val="003E6BA0"/>
    <w:rsid w:val="003E73DB"/>
    <w:rsid w:val="003F0ADC"/>
    <w:rsid w:val="003F59E6"/>
    <w:rsid w:val="003F5BE6"/>
    <w:rsid w:val="003F6C00"/>
    <w:rsid w:val="00401C27"/>
    <w:rsid w:val="00410D08"/>
    <w:rsid w:val="004120B1"/>
    <w:rsid w:val="00413E74"/>
    <w:rsid w:val="0041421D"/>
    <w:rsid w:val="0041490D"/>
    <w:rsid w:val="00414A5C"/>
    <w:rsid w:val="004156B4"/>
    <w:rsid w:val="0041697F"/>
    <w:rsid w:val="004170E8"/>
    <w:rsid w:val="00420235"/>
    <w:rsid w:val="004223AA"/>
    <w:rsid w:val="00423104"/>
    <w:rsid w:val="004246E3"/>
    <w:rsid w:val="0042533E"/>
    <w:rsid w:val="004267D3"/>
    <w:rsid w:val="00427E2A"/>
    <w:rsid w:val="00433717"/>
    <w:rsid w:val="00433E65"/>
    <w:rsid w:val="004374B2"/>
    <w:rsid w:val="00442AB8"/>
    <w:rsid w:val="004436EA"/>
    <w:rsid w:val="0044456C"/>
    <w:rsid w:val="00450B39"/>
    <w:rsid w:val="00453BC6"/>
    <w:rsid w:val="00454498"/>
    <w:rsid w:val="00456C59"/>
    <w:rsid w:val="00477931"/>
    <w:rsid w:val="004800B3"/>
    <w:rsid w:val="00490198"/>
    <w:rsid w:val="00490E28"/>
    <w:rsid w:val="0049102E"/>
    <w:rsid w:val="00497362"/>
    <w:rsid w:val="00497C77"/>
    <w:rsid w:val="004A0AE7"/>
    <w:rsid w:val="004A523F"/>
    <w:rsid w:val="004A6045"/>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3CC4"/>
    <w:rsid w:val="004C4D5E"/>
    <w:rsid w:val="004D0549"/>
    <w:rsid w:val="004D11ED"/>
    <w:rsid w:val="004D1C88"/>
    <w:rsid w:val="004D310E"/>
    <w:rsid w:val="004D37D8"/>
    <w:rsid w:val="004D4B81"/>
    <w:rsid w:val="004E5AEA"/>
    <w:rsid w:val="004F5DCD"/>
    <w:rsid w:val="004F6B2B"/>
    <w:rsid w:val="005005DF"/>
    <w:rsid w:val="00505045"/>
    <w:rsid w:val="00510B96"/>
    <w:rsid w:val="00511501"/>
    <w:rsid w:val="00511B5B"/>
    <w:rsid w:val="00515AF2"/>
    <w:rsid w:val="0051640E"/>
    <w:rsid w:val="00516741"/>
    <w:rsid w:val="0051684E"/>
    <w:rsid w:val="00522FC1"/>
    <w:rsid w:val="00527ABC"/>
    <w:rsid w:val="0054193D"/>
    <w:rsid w:val="00542A8C"/>
    <w:rsid w:val="00542D59"/>
    <w:rsid w:val="00543637"/>
    <w:rsid w:val="00545DF7"/>
    <w:rsid w:val="005469D0"/>
    <w:rsid w:val="00546CA2"/>
    <w:rsid w:val="005539F5"/>
    <w:rsid w:val="0055415C"/>
    <w:rsid w:val="00554AAC"/>
    <w:rsid w:val="0055503F"/>
    <w:rsid w:val="005572D7"/>
    <w:rsid w:val="00563797"/>
    <w:rsid w:val="005651B5"/>
    <w:rsid w:val="00566234"/>
    <w:rsid w:val="0057262B"/>
    <w:rsid w:val="005815B3"/>
    <w:rsid w:val="00582A03"/>
    <w:rsid w:val="005845FF"/>
    <w:rsid w:val="00584BDB"/>
    <w:rsid w:val="00585CEF"/>
    <w:rsid w:val="00587E37"/>
    <w:rsid w:val="00593821"/>
    <w:rsid w:val="00596E88"/>
    <w:rsid w:val="00597CBD"/>
    <w:rsid w:val="005A0969"/>
    <w:rsid w:val="005A5E7A"/>
    <w:rsid w:val="005B0DEF"/>
    <w:rsid w:val="005B2A03"/>
    <w:rsid w:val="005B4C1B"/>
    <w:rsid w:val="005C132B"/>
    <w:rsid w:val="005C2684"/>
    <w:rsid w:val="005C2DDC"/>
    <w:rsid w:val="005C5620"/>
    <w:rsid w:val="005C578C"/>
    <w:rsid w:val="005C5CF9"/>
    <w:rsid w:val="005C6A2E"/>
    <w:rsid w:val="005D1F0F"/>
    <w:rsid w:val="005D29DB"/>
    <w:rsid w:val="005D41F9"/>
    <w:rsid w:val="005E4143"/>
    <w:rsid w:val="005E724B"/>
    <w:rsid w:val="005F7242"/>
    <w:rsid w:val="00601F7C"/>
    <w:rsid w:val="00602A48"/>
    <w:rsid w:val="00602EF7"/>
    <w:rsid w:val="00606F11"/>
    <w:rsid w:val="00607B03"/>
    <w:rsid w:val="00607F70"/>
    <w:rsid w:val="0061059D"/>
    <w:rsid w:val="00610A77"/>
    <w:rsid w:val="0061326F"/>
    <w:rsid w:val="00614393"/>
    <w:rsid w:val="006146F2"/>
    <w:rsid w:val="00614C00"/>
    <w:rsid w:val="00623567"/>
    <w:rsid w:val="00634799"/>
    <w:rsid w:val="006412B5"/>
    <w:rsid w:val="00641932"/>
    <w:rsid w:val="0064278A"/>
    <w:rsid w:val="00642EC9"/>
    <w:rsid w:val="00644083"/>
    <w:rsid w:val="0064429B"/>
    <w:rsid w:val="0064477C"/>
    <w:rsid w:val="00650903"/>
    <w:rsid w:val="006650A8"/>
    <w:rsid w:val="006679C0"/>
    <w:rsid w:val="00680ED5"/>
    <w:rsid w:val="00681956"/>
    <w:rsid w:val="00682FBA"/>
    <w:rsid w:val="00683370"/>
    <w:rsid w:val="00684EC1"/>
    <w:rsid w:val="006903F9"/>
    <w:rsid w:val="006923C8"/>
    <w:rsid w:val="0069387E"/>
    <w:rsid w:val="00696AB4"/>
    <w:rsid w:val="00697494"/>
    <w:rsid w:val="006976BF"/>
    <w:rsid w:val="006A05D7"/>
    <w:rsid w:val="006A4628"/>
    <w:rsid w:val="006B22EB"/>
    <w:rsid w:val="006B394D"/>
    <w:rsid w:val="006B3F39"/>
    <w:rsid w:val="006B4213"/>
    <w:rsid w:val="006B43AF"/>
    <w:rsid w:val="006B4DF0"/>
    <w:rsid w:val="006C1013"/>
    <w:rsid w:val="006C163A"/>
    <w:rsid w:val="006C228B"/>
    <w:rsid w:val="006C2931"/>
    <w:rsid w:val="006C7C34"/>
    <w:rsid w:val="006D466E"/>
    <w:rsid w:val="006D4B70"/>
    <w:rsid w:val="006D4C35"/>
    <w:rsid w:val="006D7A92"/>
    <w:rsid w:val="006E3B48"/>
    <w:rsid w:val="006E6184"/>
    <w:rsid w:val="006E631B"/>
    <w:rsid w:val="006F096A"/>
    <w:rsid w:val="006F22E3"/>
    <w:rsid w:val="006F3095"/>
    <w:rsid w:val="006F5455"/>
    <w:rsid w:val="006F5CB6"/>
    <w:rsid w:val="006F79D3"/>
    <w:rsid w:val="00701559"/>
    <w:rsid w:val="00703194"/>
    <w:rsid w:val="00706E50"/>
    <w:rsid w:val="0070737C"/>
    <w:rsid w:val="00711229"/>
    <w:rsid w:val="00715018"/>
    <w:rsid w:val="00717478"/>
    <w:rsid w:val="007179FE"/>
    <w:rsid w:val="00717F25"/>
    <w:rsid w:val="007201B1"/>
    <w:rsid w:val="007201D7"/>
    <w:rsid w:val="00724E14"/>
    <w:rsid w:val="00725AD5"/>
    <w:rsid w:val="00726DB5"/>
    <w:rsid w:val="00726EB4"/>
    <w:rsid w:val="00731945"/>
    <w:rsid w:val="007363DE"/>
    <w:rsid w:val="0073698D"/>
    <w:rsid w:val="00736C0B"/>
    <w:rsid w:val="007401DF"/>
    <w:rsid w:val="00744D93"/>
    <w:rsid w:val="00746531"/>
    <w:rsid w:val="00750F59"/>
    <w:rsid w:val="00751725"/>
    <w:rsid w:val="00752028"/>
    <w:rsid w:val="0075450A"/>
    <w:rsid w:val="0075717D"/>
    <w:rsid w:val="0076017E"/>
    <w:rsid w:val="00760DB6"/>
    <w:rsid w:val="0076361C"/>
    <w:rsid w:val="007661AE"/>
    <w:rsid w:val="00766A51"/>
    <w:rsid w:val="00771FFF"/>
    <w:rsid w:val="00772818"/>
    <w:rsid w:val="0077685D"/>
    <w:rsid w:val="0077788E"/>
    <w:rsid w:val="00784439"/>
    <w:rsid w:val="00787E75"/>
    <w:rsid w:val="00797257"/>
    <w:rsid w:val="007A3157"/>
    <w:rsid w:val="007A6E20"/>
    <w:rsid w:val="007A7F67"/>
    <w:rsid w:val="007B10B8"/>
    <w:rsid w:val="007B10ED"/>
    <w:rsid w:val="007B2B2E"/>
    <w:rsid w:val="007B3BFC"/>
    <w:rsid w:val="007B4B03"/>
    <w:rsid w:val="007C158E"/>
    <w:rsid w:val="007C4F31"/>
    <w:rsid w:val="007D214B"/>
    <w:rsid w:val="007D6E4A"/>
    <w:rsid w:val="007D77C6"/>
    <w:rsid w:val="007E5257"/>
    <w:rsid w:val="007E5391"/>
    <w:rsid w:val="007F4EF5"/>
    <w:rsid w:val="00804105"/>
    <w:rsid w:val="00806D94"/>
    <w:rsid w:val="00807AD8"/>
    <w:rsid w:val="00811800"/>
    <w:rsid w:val="00812E1C"/>
    <w:rsid w:val="00813CFF"/>
    <w:rsid w:val="008140C5"/>
    <w:rsid w:val="00814590"/>
    <w:rsid w:val="00814667"/>
    <w:rsid w:val="008148E2"/>
    <w:rsid w:val="008149E4"/>
    <w:rsid w:val="008156B7"/>
    <w:rsid w:val="00815D38"/>
    <w:rsid w:val="00817D90"/>
    <w:rsid w:val="00822355"/>
    <w:rsid w:val="0082332D"/>
    <w:rsid w:val="0082402C"/>
    <w:rsid w:val="00825FF5"/>
    <w:rsid w:val="008262F1"/>
    <w:rsid w:val="008311FA"/>
    <w:rsid w:val="008317EF"/>
    <w:rsid w:val="00845BCC"/>
    <w:rsid w:val="00851465"/>
    <w:rsid w:val="008514B8"/>
    <w:rsid w:val="00852ED8"/>
    <w:rsid w:val="0085330A"/>
    <w:rsid w:val="008550CA"/>
    <w:rsid w:val="0085533A"/>
    <w:rsid w:val="00855543"/>
    <w:rsid w:val="0085738D"/>
    <w:rsid w:val="00862395"/>
    <w:rsid w:val="00864DD3"/>
    <w:rsid w:val="008708D6"/>
    <w:rsid w:val="00874608"/>
    <w:rsid w:val="008760D0"/>
    <w:rsid w:val="00881317"/>
    <w:rsid w:val="008843EE"/>
    <w:rsid w:val="008915E2"/>
    <w:rsid w:val="00892CA4"/>
    <w:rsid w:val="00896477"/>
    <w:rsid w:val="008964EA"/>
    <w:rsid w:val="00896BD6"/>
    <w:rsid w:val="00896F5A"/>
    <w:rsid w:val="008A033E"/>
    <w:rsid w:val="008A3C37"/>
    <w:rsid w:val="008B1840"/>
    <w:rsid w:val="008B5A24"/>
    <w:rsid w:val="008B70D3"/>
    <w:rsid w:val="008B73A2"/>
    <w:rsid w:val="008B7FE2"/>
    <w:rsid w:val="008C0BBA"/>
    <w:rsid w:val="008C1A53"/>
    <w:rsid w:val="008C2450"/>
    <w:rsid w:val="008C7817"/>
    <w:rsid w:val="008C7F5B"/>
    <w:rsid w:val="008D079A"/>
    <w:rsid w:val="008D2F40"/>
    <w:rsid w:val="008D5B52"/>
    <w:rsid w:val="008E0AD6"/>
    <w:rsid w:val="008E4209"/>
    <w:rsid w:val="008E48FC"/>
    <w:rsid w:val="008E55BD"/>
    <w:rsid w:val="008E7527"/>
    <w:rsid w:val="008F2AD6"/>
    <w:rsid w:val="008F44F1"/>
    <w:rsid w:val="008F4BA8"/>
    <w:rsid w:val="008F5C07"/>
    <w:rsid w:val="008F6002"/>
    <w:rsid w:val="008F696D"/>
    <w:rsid w:val="008F7777"/>
    <w:rsid w:val="008F7F77"/>
    <w:rsid w:val="00901CF5"/>
    <w:rsid w:val="00901F53"/>
    <w:rsid w:val="00906431"/>
    <w:rsid w:val="009115AF"/>
    <w:rsid w:val="00913276"/>
    <w:rsid w:val="009221DF"/>
    <w:rsid w:val="009224FD"/>
    <w:rsid w:val="00925368"/>
    <w:rsid w:val="0093296C"/>
    <w:rsid w:val="00935CC7"/>
    <w:rsid w:val="0094002F"/>
    <w:rsid w:val="0094129D"/>
    <w:rsid w:val="00941BB7"/>
    <w:rsid w:val="00944760"/>
    <w:rsid w:val="00946A91"/>
    <w:rsid w:val="00946AE5"/>
    <w:rsid w:val="00950865"/>
    <w:rsid w:val="00951BAD"/>
    <w:rsid w:val="0095223D"/>
    <w:rsid w:val="009526E4"/>
    <w:rsid w:val="00953AA1"/>
    <w:rsid w:val="00954B44"/>
    <w:rsid w:val="0095594A"/>
    <w:rsid w:val="009644B8"/>
    <w:rsid w:val="0096732C"/>
    <w:rsid w:val="009703B6"/>
    <w:rsid w:val="00971A4C"/>
    <w:rsid w:val="00975EB5"/>
    <w:rsid w:val="00983979"/>
    <w:rsid w:val="00983DC2"/>
    <w:rsid w:val="00983DF0"/>
    <w:rsid w:val="009867AE"/>
    <w:rsid w:val="009938BE"/>
    <w:rsid w:val="0099742A"/>
    <w:rsid w:val="009A0446"/>
    <w:rsid w:val="009A062C"/>
    <w:rsid w:val="009A48AF"/>
    <w:rsid w:val="009A522D"/>
    <w:rsid w:val="009A7AAE"/>
    <w:rsid w:val="009B0C68"/>
    <w:rsid w:val="009B3F77"/>
    <w:rsid w:val="009B41AE"/>
    <w:rsid w:val="009B5132"/>
    <w:rsid w:val="009C166A"/>
    <w:rsid w:val="009C2059"/>
    <w:rsid w:val="009C6FFB"/>
    <w:rsid w:val="009C7EF5"/>
    <w:rsid w:val="009D0C93"/>
    <w:rsid w:val="009D2FAC"/>
    <w:rsid w:val="009E093C"/>
    <w:rsid w:val="009E1311"/>
    <w:rsid w:val="009E151E"/>
    <w:rsid w:val="009E3ACF"/>
    <w:rsid w:val="009E5DB6"/>
    <w:rsid w:val="009F777E"/>
    <w:rsid w:val="009F7F52"/>
    <w:rsid w:val="00A01C7A"/>
    <w:rsid w:val="00A0202C"/>
    <w:rsid w:val="00A0227E"/>
    <w:rsid w:val="00A05C1E"/>
    <w:rsid w:val="00A0603F"/>
    <w:rsid w:val="00A112E6"/>
    <w:rsid w:val="00A14966"/>
    <w:rsid w:val="00A15CAB"/>
    <w:rsid w:val="00A166DB"/>
    <w:rsid w:val="00A16E8F"/>
    <w:rsid w:val="00A17CCB"/>
    <w:rsid w:val="00A201DE"/>
    <w:rsid w:val="00A211A9"/>
    <w:rsid w:val="00A2422A"/>
    <w:rsid w:val="00A25265"/>
    <w:rsid w:val="00A26FC8"/>
    <w:rsid w:val="00A303A1"/>
    <w:rsid w:val="00A40799"/>
    <w:rsid w:val="00A42386"/>
    <w:rsid w:val="00A50751"/>
    <w:rsid w:val="00A50E72"/>
    <w:rsid w:val="00A54B81"/>
    <w:rsid w:val="00A54BE7"/>
    <w:rsid w:val="00A564EB"/>
    <w:rsid w:val="00A636F9"/>
    <w:rsid w:val="00A6500A"/>
    <w:rsid w:val="00A65333"/>
    <w:rsid w:val="00A6719E"/>
    <w:rsid w:val="00A739F1"/>
    <w:rsid w:val="00A758DE"/>
    <w:rsid w:val="00A8189A"/>
    <w:rsid w:val="00A81C2E"/>
    <w:rsid w:val="00A81EC4"/>
    <w:rsid w:val="00A83B8E"/>
    <w:rsid w:val="00A8478F"/>
    <w:rsid w:val="00A858C4"/>
    <w:rsid w:val="00A9141E"/>
    <w:rsid w:val="00A9341B"/>
    <w:rsid w:val="00A974CA"/>
    <w:rsid w:val="00A97E12"/>
    <w:rsid w:val="00AA2CD5"/>
    <w:rsid w:val="00AA4F6C"/>
    <w:rsid w:val="00AB16AE"/>
    <w:rsid w:val="00AB392A"/>
    <w:rsid w:val="00AB528B"/>
    <w:rsid w:val="00AB5801"/>
    <w:rsid w:val="00AB5A64"/>
    <w:rsid w:val="00AB71A5"/>
    <w:rsid w:val="00AB76C6"/>
    <w:rsid w:val="00AB79E9"/>
    <w:rsid w:val="00AC5567"/>
    <w:rsid w:val="00AC5D39"/>
    <w:rsid w:val="00AD04F4"/>
    <w:rsid w:val="00AD4CF7"/>
    <w:rsid w:val="00AD576C"/>
    <w:rsid w:val="00AD670F"/>
    <w:rsid w:val="00AD6C71"/>
    <w:rsid w:val="00AE1E4B"/>
    <w:rsid w:val="00AE1E54"/>
    <w:rsid w:val="00AE2AFD"/>
    <w:rsid w:val="00AE4372"/>
    <w:rsid w:val="00AE478A"/>
    <w:rsid w:val="00AF0C8D"/>
    <w:rsid w:val="00AF1D59"/>
    <w:rsid w:val="00AF5E60"/>
    <w:rsid w:val="00B00778"/>
    <w:rsid w:val="00B04E8C"/>
    <w:rsid w:val="00B050C0"/>
    <w:rsid w:val="00B05642"/>
    <w:rsid w:val="00B06097"/>
    <w:rsid w:val="00B10045"/>
    <w:rsid w:val="00B100DF"/>
    <w:rsid w:val="00B10CAE"/>
    <w:rsid w:val="00B12190"/>
    <w:rsid w:val="00B1294B"/>
    <w:rsid w:val="00B137C3"/>
    <w:rsid w:val="00B171BB"/>
    <w:rsid w:val="00B22065"/>
    <w:rsid w:val="00B2247A"/>
    <w:rsid w:val="00B27ECF"/>
    <w:rsid w:val="00B327E9"/>
    <w:rsid w:val="00B36551"/>
    <w:rsid w:val="00B36E9E"/>
    <w:rsid w:val="00B37C21"/>
    <w:rsid w:val="00B40E38"/>
    <w:rsid w:val="00B421D6"/>
    <w:rsid w:val="00B457F8"/>
    <w:rsid w:val="00B45C9E"/>
    <w:rsid w:val="00B51ACE"/>
    <w:rsid w:val="00B546E8"/>
    <w:rsid w:val="00B619AA"/>
    <w:rsid w:val="00B623D7"/>
    <w:rsid w:val="00B66554"/>
    <w:rsid w:val="00B66E7A"/>
    <w:rsid w:val="00B8096A"/>
    <w:rsid w:val="00B80B64"/>
    <w:rsid w:val="00B84ECF"/>
    <w:rsid w:val="00B91564"/>
    <w:rsid w:val="00B9206A"/>
    <w:rsid w:val="00B9279E"/>
    <w:rsid w:val="00B977E6"/>
    <w:rsid w:val="00BA1CFA"/>
    <w:rsid w:val="00BA4284"/>
    <w:rsid w:val="00BA729B"/>
    <w:rsid w:val="00BC1029"/>
    <w:rsid w:val="00BC2720"/>
    <w:rsid w:val="00BC4728"/>
    <w:rsid w:val="00BC4BF4"/>
    <w:rsid w:val="00BC60B3"/>
    <w:rsid w:val="00BD2253"/>
    <w:rsid w:val="00BD2ED6"/>
    <w:rsid w:val="00BD5A4D"/>
    <w:rsid w:val="00BD6DD9"/>
    <w:rsid w:val="00BD7496"/>
    <w:rsid w:val="00BE042D"/>
    <w:rsid w:val="00BE1821"/>
    <w:rsid w:val="00BE47AF"/>
    <w:rsid w:val="00BE4802"/>
    <w:rsid w:val="00BE7212"/>
    <w:rsid w:val="00BF0D7C"/>
    <w:rsid w:val="00BF21CD"/>
    <w:rsid w:val="00BF331F"/>
    <w:rsid w:val="00C0189C"/>
    <w:rsid w:val="00C053A4"/>
    <w:rsid w:val="00C05CC6"/>
    <w:rsid w:val="00C068C7"/>
    <w:rsid w:val="00C073C2"/>
    <w:rsid w:val="00C13C12"/>
    <w:rsid w:val="00C160F4"/>
    <w:rsid w:val="00C20F99"/>
    <w:rsid w:val="00C2120D"/>
    <w:rsid w:val="00C215E7"/>
    <w:rsid w:val="00C233E9"/>
    <w:rsid w:val="00C2605C"/>
    <w:rsid w:val="00C26C5B"/>
    <w:rsid w:val="00C2711B"/>
    <w:rsid w:val="00C303B4"/>
    <w:rsid w:val="00C328C0"/>
    <w:rsid w:val="00C354D9"/>
    <w:rsid w:val="00C40EBC"/>
    <w:rsid w:val="00C41265"/>
    <w:rsid w:val="00C4202E"/>
    <w:rsid w:val="00C42ACA"/>
    <w:rsid w:val="00C51308"/>
    <w:rsid w:val="00C516BA"/>
    <w:rsid w:val="00C51F78"/>
    <w:rsid w:val="00C539C1"/>
    <w:rsid w:val="00C539F8"/>
    <w:rsid w:val="00C53A47"/>
    <w:rsid w:val="00C563C9"/>
    <w:rsid w:val="00C57BB9"/>
    <w:rsid w:val="00C606F6"/>
    <w:rsid w:val="00C6082E"/>
    <w:rsid w:val="00C61699"/>
    <w:rsid w:val="00C62B02"/>
    <w:rsid w:val="00C64908"/>
    <w:rsid w:val="00C65816"/>
    <w:rsid w:val="00C662B5"/>
    <w:rsid w:val="00C705B5"/>
    <w:rsid w:val="00C7093C"/>
    <w:rsid w:val="00C738BD"/>
    <w:rsid w:val="00C75D40"/>
    <w:rsid w:val="00C77494"/>
    <w:rsid w:val="00C82286"/>
    <w:rsid w:val="00C83627"/>
    <w:rsid w:val="00C85E44"/>
    <w:rsid w:val="00C92F94"/>
    <w:rsid w:val="00C95D81"/>
    <w:rsid w:val="00C960AA"/>
    <w:rsid w:val="00CA121E"/>
    <w:rsid w:val="00CA501D"/>
    <w:rsid w:val="00CA55C4"/>
    <w:rsid w:val="00CB16B4"/>
    <w:rsid w:val="00CB1789"/>
    <w:rsid w:val="00CB1CB2"/>
    <w:rsid w:val="00CB2557"/>
    <w:rsid w:val="00CB44C4"/>
    <w:rsid w:val="00CB47FE"/>
    <w:rsid w:val="00CB4D35"/>
    <w:rsid w:val="00CB6703"/>
    <w:rsid w:val="00CC13F1"/>
    <w:rsid w:val="00CC39B1"/>
    <w:rsid w:val="00CC3D90"/>
    <w:rsid w:val="00CD526B"/>
    <w:rsid w:val="00CD5B93"/>
    <w:rsid w:val="00CD7039"/>
    <w:rsid w:val="00CE3B32"/>
    <w:rsid w:val="00CE4A24"/>
    <w:rsid w:val="00CE613B"/>
    <w:rsid w:val="00CE7403"/>
    <w:rsid w:val="00CF0826"/>
    <w:rsid w:val="00CF0D8A"/>
    <w:rsid w:val="00CF267F"/>
    <w:rsid w:val="00CF7DA0"/>
    <w:rsid w:val="00D0312C"/>
    <w:rsid w:val="00D04614"/>
    <w:rsid w:val="00D1723F"/>
    <w:rsid w:val="00D17977"/>
    <w:rsid w:val="00D26B64"/>
    <w:rsid w:val="00D30AA4"/>
    <w:rsid w:val="00D30CE5"/>
    <w:rsid w:val="00D3674A"/>
    <w:rsid w:val="00D40383"/>
    <w:rsid w:val="00D4085D"/>
    <w:rsid w:val="00D428F4"/>
    <w:rsid w:val="00D434F3"/>
    <w:rsid w:val="00D453C4"/>
    <w:rsid w:val="00D46E83"/>
    <w:rsid w:val="00D51386"/>
    <w:rsid w:val="00D52914"/>
    <w:rsid w:val="00D5485B"/>
    <w:rsid w:val="00D5595C"/>
    <w:rsid w:val="00D57346"/>
    <w:rsid w:val="00D61911"/>
    <w:rsid w:val="00D62258"/>
    <w:rsid w:val="00D625A7"/>
    <w:rsid w:val="00D64798"/>
    <w:rsid w:val="00D64BBD"/>
    <w:rsid w:val="00D677F9"/>
    <w:rsid w:val="00D702F1"/>
    <w:rsid w:val="00D71F65"/>
    <w:rsid w:val="00D729FA"/>
    <w:rsid w:val="00D7336A"/>
    <w:rsid w:val="00D73591"/>
    <w:rsid w:val="00D74ECC"/>
    <w:rsid w:val="00D802FC"/>
    <w:rsid w:val="00D80BE3"/>
    <w:rsid w:val="00D8532B"/>
    <w:rsid w:val="00D85463"/>
    <w:rsid w:val="00D973A5"/>
    <w:rsid w:val="00DA205D"/>
    <w:rsid w:val="00DA7233"/>
    <w:rsid w:val="00DB6CF9"/>
    <w:rsid w:val="00DC0D77"/>
    <w:rsid w:val="00DC4D62"/>
    <w:rsid w:val="00DC50E5"/>
    <w:rsid w:val="00DC76C7"/>
    <w:rsid w:val="00DD4E76"/>
    <w:rsid w:val="00DE311A"/>
    <w:rsid w:val="00DE36EB"/>
    <w:rsid w:val="00DE4A6C"/>
    <w:rsid w:val="00DE5AD8"/>
    <w:rsid w:val="00DE64C1"/>
    <w:rsid w:val="00DF5BAB"/>
    <w:rsid w:val="00E10555"/>
    <w:rsid w:val="00E11087"/>
    <w:rsid w:val="00E16E0A"/>
    <w:rsid w:val="00E204BB"/>
    <w:rsid w:val="00E220BC"/>
    <w:rsid w:val="00E31096"/>
    <w:rsid w:val="00E31F9D"/>
    <w:rsid w:val="00E33938"/>
    <w:rsid w:val="00E33F03"/>
    <w:rsid w:val="00E354D8"/>
    <w:rsid w:val="00E3658A"/>
    <w:rsid w:val="00E3706A"/>
    <w:rsid w:val="00E3738B"/>
    <w:rsid w:val="00E37446"/>
    <w:rsid w:val="00E37730"/>
    <w:rsid w:val="00E4099E"/>
    <w:rsid w:val="00E450C1"/>
    <w:rsid w:val="00E456AA"/>
    <w:rsid w:val="00E5201F"/>
    <w:rsid w:val="00E579FF"/>
    <w:rsid w:val="00E6359A"/>
    <w:rsid w:val="00E6698B"/>
    <w:rsid w:val="00E67BDD"/>
    <w:rsid w:val="00E7195E"/>
    <w:rsid w:val="00E72F4A"/>
    <w:rsid w:val="00E7467D"/>
    <w:rsid w:val="00E82115"/>
    <w:rsid w:val="00E82CD9"/>
    <w:rsid w:val="00E832FF"/>
    <w:rsid w:val="00E83448"/>
    <w:rsid w:val="00E838D3"/>
    <w:rsid w:val="00E90BF8"/>
    <w:rsid w:val="00E92C8A"/>
    <w:rsid w:val="00E9346D"/>
    <w:rsid w:val="00EA21BF"/>
    <w:rsid w:val="00EA594C"/>
    <w:rsid w:val="00EA7329"/>
    <w:rsid w:val="00EA77DE"/>
    <w:rsid w:val="00EA7A1C"/>
    <w:rsid w:val="00EB5170"/>
    <w:rsid w:val="00EB7EDA"/>
    <w:rsid w:val="00EC3E78"/>
    <w:rsid w:val="00EC5206"/>
    <w:rsid w:val="00EC5D22"/>
    <w:rsid w:val="00ED0175"/>
    <w:rsid w:val="00ED0AC8"/>
    <w:rsid w:val="00ED2AC4"/>
    <w:rsid w:val="00ED4036"/>
    <w:rsid w:val="00EE041B"/>
    <w:rsid w:val="00EE57AC"/>
    <w:rsid w:val="00EE74C4"/>
    <w:rsid w:val="00EE7D29"/>
    <w:rsid w:val="00EF2C28"/>
    <w:rsid w:val="00EF33DE"/>
    <w:rsid w:val="00EF4318"/>
    <w:rsid w:val="00EF6486"/>
    <w:rsid w:val="00EF72D4"/>
    <w:rsid w:val="00EF7E01"/>
    <w:rsid w:val="00F117E9"/>
    <w:rsid w:val="00F11A23"/>
    <w:rsid w:val="00F11DDE"/>
    <w:rsid w:val="00F120E6"/>
    <w:rsid w:val="00F12ACD"/>
    <w:rsid w:val="00F16589"/>
    <w:rsid w:val="00F2068C"/>
    <w:rsid w:val="00F234AB"/>
    <w:rsid w:val="00F24478"/>
    <w:rsid w:val="00F31DE0"/>
    <w:rsid w:val="00F31E12"/>
    <w:rsid w:val="00F3245D"/>
    <w:rsid w:val="00F34E70"/>
    <w:rsid w:val="00F379B5"/>
    <w:rsid w:val="00F41C7A"/>
    <w:rsid w:val="00F4377A"/>
    <w:rsid w:val="00F46237"/>
    <w:rsid w:val="00F47765"/>
    <w:rsid w:val="00F501C6"/>
    <w:rsid w:val="00F56874"/>
    <w:rsid w:val="00F630DB"/>
    <w:rsid w:val="00F630EF"/>
    <w:rsid w:val="00F6403E"/>
    <w:rsid w:val="00F71346"/>
    <w:rsid w:val="00F715F2"/>
    <w:rsid w:val="00F730C7"/>
    <w:rsid w:val="00F76C87"/>
    <w:rsid w:val="00F8684A"/>
    <w:rsid w:val="00F94C3D"/>
    <w:rsid w:val="00F9504B"/>
    <w:rsid w:val="00F95D26"/>
    <w:rsid w:val="00F979C5"/>
    <w:rsid w:val="00FA0CBF"/>
    <w:rsid w:val="00FA0E45"/>
    <w:rsid w:val="00FA2EC0"/>
    <w:rsid w:val="00FA4E87"/>
    <w:rsid w:val="00FA64FD"/>
    <w:rsid w:val="00FB4200"/>
    <w:rsid w:val="00FB5750"/>
    <w:rsid w:val="00FB6A2E"/>
    <w:rsid w:val="00FB6E0E"/>
    <w:rsid w:val="00FC055C"/>
    <w:rsid w:val="00FD04F2"/>
    <w:rsid w:val="00FD258A"/>
    <w:rsid w:val="00FD4437"/>
    <w:rsid w:val="00FE26A5"/>
    <w:rsid w:val="00FE347C"/>
    <w:rsid w:val="00FE4A16"/>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41FDB64E"/>
  <w14:defaultImageDpi w14:val="0"/>
  <w15:docId w15:val="{DBAEFC76-137F-40DC-850B-D8D51638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3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23"/>
      </w:numPr>
      <w:tabs>
        <w:tab w:val="num" w:pos="567"/>
        <w:tab w:val="num" w:pos="850"/>
      </w:tabs>
      <w:ind w:left="850" w:hanging="284"/>
    </w:pPr>
  </w:style>
  <w:style w:type="paragraph" w:customStyle="1" w:styleId="DoubleDot">
    <w:name w:val="Double Dot"/>
    <w:basedOn w:val="Normal"/>
    <w:rsid w:val="00D51386"/>
    <w:pPr>
      <w:numPr>
        <w:ilvl w:val="2"/>
        <w:numId w:val="23"/>
      </w:numPr>
      <w:tabs>
        <w:tab w:val="num" w:pos="850"/>
        <w:tab w:val="num" w:pos="1133"/>
      </w:tabs>
      <w:ind w:left="1133" w:hanging="283"/>
    </w:pPr>
  </w:style>
  <w:style w:type="paragraph" w:customStyle="1" w:styleId="OutlineNumbered1">
    <w:name w:val="Outline Numbered 1"/>
    <w:basedOn w:val="Normal"/>
    <w:rsid w:val="00D51386"/>
    <w:pPr>
      <w:numPr>
        <w:numId w:val="20"/>
      </w:numPr>
    </w:pPr>
  </w:style>
  <w:style w:type="paragraph" w:customStyle="1" w:styleId="OutlineNumbered2">
    <w:name w:val="Outline Numbered 2"/>
    <w:basedOn w:val="Normal"/>
    <w:rsid w:val="00D51386"/>
    <w:pPr>
      <w:numPr>
        <w:ilvl w:val="1"/>
        <w:numId w:val="20"/>
      </w:numPr>
    </w:pPr>
  </w:style>
  <w:style w:type="paragraph" w:customStyle="1" w:styleId="OutlineNumbered3">
    <w:name w:val="Outline Numbered 3"/>
    <w:basedOn w:val="Normal"/>
    <w:rsid w:val="00D51386"/>
    <w:pPr>
      <w:numPr>
        <w:ilvl w:val="2"/>
        <w:numId w:val="20"/>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21"/>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23"/>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22"/>
      </w:numPr>
    </w:pPr>
  </w:style>
  <w:style w:type="paragraph" w:customStyle="1" w:styleId="BoxDash">
    <w:name w:val="Box Dash"/>
    <w:basedOn w:val="Normal"/>
    <w:uiPriority w:val="99"/>
    <w:rsid w:val="00D51386"/>
    <w:pPr>
      <w:numPr>
        <w:ilvl w:val="1"/>
        <w:numId w:val="22"/>
      </w:numPr>
    </w:pPr>
  </w:style>
  <w:style w:type="paragraph" w:customStyle="1" w:styleId="BoxDoubleDot">
    <w:name w:val="Box Double Dot"/>
    <w:basedOn w:val="BoxTextBase"/>
    <w:uiPriority w:val="99"/>
    <w:rsid w:val="00D51386"/>
    <w:pPr>
      <w:numPr>
        <w:ilvl w:val="2"/>
        <w:numId w:val="22"/>
      </w:numPr>
    </w:pPr>
  </w:style>
  <w:style w:type="paragraph" w:customStyle="1" w:styleId="RecommendationBullet">
    <w:name w:val="Recommendation Bullet"/>
    <w:basedOn w:val="RecommendationTextBase"/>
    <w:rsid w:val="00D51386"/>
    <w:pPr>
      <w:numPr>
        <w:numId w:val="24"/>
      </w:numPr>
    </w:pPr>
  </w:style>
  <w:style w:type="paragraph" w:customStyle="1" w:styleId="RecommendationDash">
    <w:name w:val="Recommendation Dash"/>
    <w:basedOn w:val="RecommendationTextBase"/>
    <w:rsid w:val="00D51386"/>
    <w:pPr>
      <w:numPr>
        <w:ilvl w:val="1"/>
        <w:numId w:val="24"/>
      </w:numPr>
    </w:pPr>
  </w:style>
  <w:style w:type="paragraph" w:customStyle="1" w:styleId="RecommendationDoubleDot">
    <w:name w:val="Recommendation Double Dot"/>
    <w:basedOn w:val="RecommendationTextBase"/>
    <w:rsid w:val="00D51386"/>
    <w:pPr>
      <w:numPr>
        <w:ilvl w:val="2"/>
        <w:numId w:val="24"/>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uiPriority w:val="99"/>
    <w:rsid w:val="00D51386"/>
    <w:pPr>
      <w:numPr>
        <w:numId w:val="5"/>
      </w:numPr>
    </w:pPr>
  </w:style>
  <w:style w:type="paragraph" w:customStyle="1" w:styleId="Romannumeral">
    <w:name w:val="Roman numeral"/>
    <w:basedOn w:val="Normal"/>
    <w:rsid w:val="00D51386"/>
    <w:pPr>
      <w:numPr>
        <w:numId w:val="30"/>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3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27"/>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33"/>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28"/>
      </w:numPr>
    </w:pPr>
  </w:style>
  <w:style w:type="paragraph" w:customStyle="1" w:styleId="AgreementParties">
    <w:name w:val="AgreementParties"/>
    <w:rsid w:val="00D51386"/>
    <w:pPr>
      <w:numPr>
        <w:numId w:val="31"/>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uiPriority w:val="99"/>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3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3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3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3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3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3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3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3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3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3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37"/>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321777"/>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13820">
      <w:marLeft w:val="0"/>
      <w:marRight w:val="0"/>
      <w:marTop w:val="0"/>
      <w:marBottom w:val="0"/>
      <w:divBdr>
        <w:top w:val="none" w:sz="0" w:space="0" w:color="auto"/>
        <w:left w:val="none" w:sz="0" w:space="0" w:color="auto"/>
        <w:bottom w:val="none" w:sz="0" w:space="0" w:color="auto"/>
        <w:right w:val="none" w:sz="0" w:space="0" w:color="auto"/>
      </w:divBdr>
    </w:div>
    <w:div w:id="292713821">
      <w:marLeft w:val="0"/>
      <w:marRight w:val="0"/>
      <w:marTop w:val="0"/>
      <w:marBottom w:val="0"/>
      <w:divBdr>
        <w:top w:val="none" w:sz="0" w:space="0" w:color="auto"/>
        <w:left w:val="none" w:sz="0" w:space="0" w:color="auto"/>
        <w:bottom w:val="none" w:sz="0" w:space="0" w:color="auto"/>
        <w:right w:val="none" w:sz="0" w:space="0" w:color="auto"/>
      </w:divBdr>
    </w:div>
    <w:div w:id="292713822">
      <w:marLeft w:val="0"/>
      <w:marRight w:val="0"/>
      <w:marTop w:val="0"/>
      <w:marBottom w:val="0"/>
      <w:divBdr>
        <w:top w:val="none" w:sz="0" w:space="0" w:color="auto"/>
        <w:left w:val="none" w:sz="0" w:space="0" w:color="auto"/>
        <w:bottom w:val="none" w:sz="0" w:space="0" w:color="auto"/>
        <w:right w:val="none" w:sz="0" w:space="0" w:color="auto"/>
      </w:divBdr>
    </w:div>
    <w:div w:id="331494868">
      <w:bodyDiv w:val="1"/>
      <w:marLeft w:val="0"/>
      <w:marRight w:val="0"/>
      <w:marTop w:val="0"/>
      <w:marBottom w:val="0"/>
      <w:divBdr>
        <w:top w:val="none" w:sz="0" w:space="0" w:color="auto"/>
        <w:left w:val="none" w:sz="0" w:space="0" w:color="auto"/>
        <w:bottom w:val="none" w:sz="0" w:space="0" w:color="auto"/>
        <w:right w:val="none" w:sz="0" w:space="0" w:color="auto"/>
      </w:divBdr>
    </w:div>
    <w:div w:id="609776537">
      <w:bodyDiv w:val="1"/>
      <w:marLeft w:val="0"/>
      <w:marRight w:val="0"/>
      <w:marTop w:val="0"/>
      <w:marBottom w:val="0"/>
      <w:divBdr>
        <w:top w:val="none" w:sz="0" w:space="0" w:color="auto"/>
        <w:left w:val="none" w:sz="0" w:space="0" w:color="auto"/>
        <w:bottom w:val="none" w:sz="0" w:space="0" w:color="auto"/>
        <w:right w:val="none" w:sz="0" w:space="0" w:color="auto"/>
      </w:divBdr>
    </w:div>
    <w:div w:id="697051887">
      <w:bodyDiv w:val="1"/>
      <w:marLeft w:val="0"/>
      <w:marRight w:val="0"/>
      <w:marTop w:val="0"/>
      <w:marBottom w:val="0"/>
      <w:divBdr>
        <w:top w:val="none" w:sz="0" w:space="0" w:color="auto"/>
        <w:left w:val="none" w:sz="0" w:space="0" w:color="auto"/>
        <w:bottom w:val="none" w:sz="0" w:space="0" w:color="auto"/>
        <w:right w:val="none" w:sz="0" w:space="0" w:color="auto"/>
      </w:divBdr>
    </w:div>
    <w:div w:id="1086458962">
      <w:bodyDiv w:val="1"/>
      <w:marLeft w:val="0"/>
      <w:marRight w:val="0"/>
      <w:marTop w:val="0"/>
      <w:marBottom w:val="0"/>
      <w:divBdr>
        <w:top w:val="none" w:sz="0" w:space="0" w:color="auto"/>
        <w:left w:val="none" w:sz="0" w:space="0" w:color="auto"/>
        <w:bottom w:val="none" w:sz="0" w:space="0" w:color="auto"/>
        <w:right w:val="none" w:sz="0" w:space="0" w:color="auto"/>
      </w:divBdr>
    </w:div>
    <w:div w:id="1171262509">
      <w:bodyDiv w:val="1"/>
      <w:marLeft w:val="0"/>
      <w:marRight w:val="0"/>
      <w:marTop w:val="0"/>
      <w:marBottom w:val="0"/>
      <w:divBdr>
        <w:top w:val="none" w:sz="0" w:space="0" w:color="auto"/>
        <w:left w:val="none" w:sz="0" w:space="0" w:color="auto"/>
        <w:bottom w:val="none" w:sz="0" w:space="0" w:color="auto"/>
        <w:right w:val="none" w:sz="0" w:space="0" w:color="auto"/>
      </w:divBdr>
    </w:div>
    <w:div w:id="1193492786">
      <w:bodyDiv w:val="1"/>
      <w:marLeft w:val="0"/>
      <w:marRight w:val="0"/>
      <w:marTop w:val="0"/>
      <w:marBottom w:val="0"/>
      <w:divBdr>
        <w:top w:val="none" w:sz="0" w:space="0" w:color="auto"/>
        <w:left w:val="none" w:sz="0" w:space="0" w:color="auto"/>
        <w:bottom w:val="none" w:sz="0" w:space="0" w:color="auto"/>
        <w:right w:val="none" w:sz="0" w:space="0" w:color="auto"/>
      </w:divBdr>
    </w:div>
    <w:div w:id="184381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2020FG-64-86436</_dlc_DocId>
    <_dlc_DocIdUrl xmlns="0f563589-9cf9-4143-b1eb-fb0534803d38">
      <Url>http://tweb/sites/fg/csrd/_layouts/15/DocIdRedir.aspx?ID=2020FG-64-86436</Url>
      <Description>2020FG-64-86436</Description>
    </_dlc_DocIdUrl>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3934" ma:contentTypeDescription=" " ma:contentTypeScope="" ma:versionID="e168c1c6cb190873b842362773853927">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2.xml><?xml version="1.0" encoding="utf-8"?>
<ds:datastoreItem xmlns:ds="http://schemas.openxmlformats.org/officeDocument/2006/customXml" ds:itemID="{E83341D9-D2F8-451F-9522-B68A6DB9940D}">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B3B1AF2-A9E8-4C5D-B86E-78BD2E698F84}">
  <ds:schemaRefs>
    <ds:schemaRef ds:uri="office.server.policy"/>
  </ds:schemaRefs>
</ds:datastoreItem>
</file>

<file path=customXml/itemProps4.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5.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6.xml><?xml version="1.0" encoding="utf-8"?>
<ds:datastoreItem xmlns:ds="http://schemas.openxmlformats.org/officeDocument/2006/customXml" ds:itemID="{0B1B6CC5-1863-4308-98A3-6F7E6C09A703}"/>
</file>

<file path=customXml/itemProps7.xml><?xml version="1.0" encoding="utf-8"?>
<ds:datastoreItem xmlns:ds="http://schemas.openxmlformats.org/officeDocument/2006/customXml" ds:itemID="{83EC9E6E-146B-4C23-B615-3D48880A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0</TotalTime>
  <Pages>7</Pages>
  <Words>1819</Words>
  <Characters>10223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BRANCELLA,Cristina</dc:creator>
  <cp:keywords/>
  <dc:description/>
  <cp:lastModifiedBy>Nieuwenhuize, Holly</cp:lastModifiedBy>
  <cp:revision>2</cp:revision>
  <cp:lastPrinted>2020-03-17T04:30:00Z</cp:lastPrinted>
  <dcterms:created xsi:type="dcterms:W3CDTF">2020-09-01T00:35:00Z</dcterms:created>
  <dcterms:modified xsi:type="dcterms:W3CDTF">2020-09-01T00:35:00Z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2116d48c-2c7b-4d35-becb-567edf1b802d</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{2116d48c-2c7b-4d35-becb-567edf1b802d}</vt:lpwstr>
  </property>
  <property fmtid="{D5CDD505-2E9C-101B-9397-08002B2CF9AE}" pid="9" name="RecordPoint_ActiveItemWebId">
    <vt:lpwstr>{a4589788-615f-4b8b-8296-7f9f6dfbab44}</vt:lpwstr>
  </property>
  <property fmtid="{D5CDD505-2E9C-101B-9397-08002B2CF9AE}" pid="10" name="RecordPoint_RecordNumberSubmitted">
    <vt:lpwstr>R0002301995</vt:lpwstr>
  </property>
  <property fmtid="{D5CDD505-2E9C-101B-9397-08002B2CF9AE}" pid="11" name="RecordPoint_SubmissionCompleted">
    <vt:lpwstr>2020-10-29T18:02:48.0944021+11:00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