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1A64" w14:textId="044174D7" w:rsidR="00470675" w:rsidRPr="00470675" w:rsidRDefault="00E66A2B" w:rsidP="00470675">
      <w:pPr>
        <w:pStyle w:val="Heading9"/>
        <w:jc w:val="right"/>
        <w:rPr>
          <w:i w:val="0"/>
          <w:sz w:val="28"/>
          <w:szCs w:val="28"/>
        </w:rPr>
      </w:pPr>
      <w:r w:rsidRPr="006F608B">
        <w:rPr>
          <w:i w:val="0"/>
          <w:sz w:val="28"/>
          <w:szCs w:val="28"/>
        </w:rPr>
        <w:t>Schedule</w:t>
      </w:r>
    </w:p>
    <w:p w14:paraId="60BA5B49" w14:textId="77777777" w:rsidR="006F608B" w:rsidRDefault="006F608B" w:rsidP="00C91B5F">
      <w:pPr>
        <w:pStyle w:val="Subtitle"/>
        <w:rPr>
          <w:rFonts w:ascii="Corbel" w:hAnsi="Corbel"/>
          <w:b w:val="0"/>
          <w:caps w:val="0"/>
          <w:color w:val="3D4B67"/>
          <w:spacing w:val="0"/>
          <w:sz w:val="40"/>
          <w:szCs w:val="40"/>
        </w:rPr>
      </w:pPr>
    </w:p>
    <w:p w14:paraId="55563811" w14:textId="036133E8" w:rsidR="00470675" w:rsidRDefault="00F94CD5" w:rsidP="00C91B5F">
      <w:pPr>
        <w:pStyle w:val="Subtitle"/>
        <w:rPr>
          <w:rFonts w:ascii="Corbel" w:hAnsi="Corbel"/>
          <w:b w:val="0"/>
          <w:caps w:val="0"/>
          <w:color w:val="3D4B67"/>
          <w:spacing w:val="0"/>
          <w:sz w:val="40"/>
          <w:szCs w:val="40"/>
        </w:rPr>
      </w:pPr>
      <w:r>
        <w:rPr>
          <w:rFonts w:ascii="Corbel" w:hAnsi="Corbel"/>
          <w:b w:val="0"/>
          <w:caps w:val="0"/>
          <w:color w:val="3D4B67"/>
          <w:spacing w:val="0"/>
          <w:sz w:val="40"/>
          <w:szCs w:val="40"/>
        </w:rPr>
        <w:t xml:space="preserve">MANAGEMENT OF THE FORMER RUM JUNGLE MINE SITE </w:t>
      </w:r>
      <w:r w:rsidR="007E579A">
        <w:rPr>
          <w:rFonts w:ascii="Corbel" w:hAnsi="Corbel"/>
          <w:b w:val="0"/>
          <w:caps w:val="0"/>
          <w:color w:val="3D4B67"/>
          <w:spacing w:val="0"/>
          <w:sz w:val="40"/>
          <w:szCs w:val="40"/>
        </w:rPr>
        <w:t>(S</w:t>
      </w:r>
      <w:r>
        <w:rPr>
          <w:rFonts w:ascii="Corbel" w:hAnsi="Corbel"/>
          <w:b w:val="0"/>
          <w:caps w:val="0"/>
          <w:color w:val="3D4B67"/>
          <w:spacing w:val="0"/>
          <w:sz w:val="40"/>
          <w:szCs w:val="40"/>
        </w:rPr>
        <w:t>TAGE 2</w:t>
      </w:r>
      <w:r w:rsidR="007E579A">
        <w:rPr>
          <w:rFonts w:ascii="Corbel" w:hAnsi="Corbel"/>
          <w:b w:val="0"/>
          <w:caps w:val="0"/>
          <w:color w:val="3D4B67"/>
          <w:spacing w:val="0"/>
          <w:sz w:val="40"/>
          <w:szCs w:val="40"/>
        </w:rPr>
        <w:t>B)</w:t>
      </w:r>
    </w:p>
    <w:p w14:paraId="082F14D6" w14:textId="730D860A" w:rsidR="00D96F87" w:rsidRPr="00D96F87" w:rsidRDefault="006F608B" w:rsidP="00E66A2B">
      <w:pPr>
        <w:pStyle w:val="Subtitle"/>
      </w:pPr>
      <w:r>
        <w:t>FEDERATION FUNDING AGREEMENT - ENVIRONMENT</w:t>
      </w:r>
    </w:p>
    <w:tbl>
      <w:tblPr>
        <w:tblW w:w="9923" w:type="dxa"/>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3"/>
        <w:gridCol w:w="8080"/>
      </w:tblGrid>
      <w:tr w:rsidR="00C91B5F" w:rsidRPr="00F00A18" w14:paraId="2C1B1FCA" w14:textId="77777777" w:rsidTr="004C123C">
        <w:tc>
          <w:tcPr>
            <w:tcW w:w="9923" w:type="dxa"/>
            <w:gridSpan w:val="2"/>
            <w:shd w:val="clear" w:color="auto" w:fill="DEEAF6" w:themeFill="accent1" w:themeFillTint="33"/>
          </w:tcPr>
          <w:p w14:paraId="5D980595" w14:textId="375BE693" w:rsidR="00C91B5F" w:rsidRPr="00F00A18" w:rsidRDefault="007F2EBE" w:rsidP="000A1BC5">
            <w:pPr>
              <w:pStyle w:val="Tableformat"/>
              <w:rPr>
                <w:b/>
                <w:color w:val="auto"/>
              </w:rPr>
            </w:pPr>
            <w:r>
              <w:rPr>
                <w:b/>
                <w:color w:val="auto"/>
              </w:rPr>
              <w:t xml:space="preserve">Table 1: </w:t>
            </w:r>
            <w:r w:rsidR="00C91B5F" w:rsidRPr="00F00A18">
              <w:rPr>
                <w:b/>
                <w:color w:val="auto"/>
              </w:rPr>
              <w:t>Formalities and operation of schedule</w:t>
            </w:r>
          </w:p>
        </w:tc>
      </w:tr>
      <w:tr w:rsidR="00C91B5F" w:rsidRPr="00F00A18" w14:paraId="65A8E909" w14:textId="77777777" w:rsidTr="004C123C">
        <w:tc>
          <w:tcPr>
            <w:tcW w:w="1843" w:type="dxa"/>
            <w:shd w:val="clear" w:color="auto" w:fill="auto"/>
          </w:tcPr>
          <w:p w14:paraId="279F6020" w14:textId="77777777" w:rsidR="00C91B5F" w:rsidRPr="00F00A18" w:rsidRDefault="00C91B5F" w:rsidP="000A1BC5">
            <w:pPr>
              <w:pStyle w:val="Tableformat"/>
              <w:rPr>
                <w:color w:val="auto"/>
              </w:rPr>
            </w:pPr>
            <w:r w:rsidRPr="00F00A18">
              <w:rPr>
                <w:color w:val="auto"/>
              </w:rPr>
              <w:t>Parties</w:t>
            </w:r>
          </w:p>
        </w:tc>
        <w:tc>
          <w:tcPr>
            <w:tcW w:w="8080" w:type="dxa"/>
            <w:shd w:val="clear" w:color="auto" w:fill="auto"/>
          </w:tcPr>
          <w:p w14:paraId="536A17C5" w14:textId="72AEE2F6" w:rsidR="00E66A2B" w:rsidRDefault="00E66A2B" w:rsidP="007E579A">
            <w:pPr>
              <w:pStyle w:val="Tableformat"/>
              <w:rPr>
                <w:color w:val="auto"/>
              </w:rPr>
            </w:pPr>
            <w:r w:rsidRPr="00F00A18">
              <w:rPr>
                <w:color w:val="auto"/>
              </w:rPr>
              <w:t>Commonwealth</w:t>
            </w:r>
          </w:p>
          <w:p w14:paraId="73502BB0" w14:textId="2837995F" w:rsidR="00D96F87" w:rsidRPr="00F00A18" w:rsidRDefault="006F608B" w:rsidP="00512470">
            <w:pPr>
              <w:pStyle w:val="Tableformat"/>
              <w:rPr>
                <w:color w:val="auto"/>
              </w:rPr>
            </w:pPr>
            <w:r>
              <w:rPr>
                <w:color w:val="auto"/>
              </w:rPr>
              <w:t>Northern Territory</w:t>
            </w:r>
          </w:p>
        </w:tc>
      </w:tr>
      <w:tr w:rsidR="00C91B5F" w:rsidRPr="00F00A18" w14:paraId="0789EB7E" w14:textId="77777777" w:rsidTr="004C123C">
        <w:tc>
          <w:tcPr>
            <w:tcW w:w="1843" w:type="dxa"/>
            <w:shd w:val="clear" w:color="auto" w:fill="auto"/>
          </w:tcPr>
          <w:p w14:paraId="1C00DFE7" w14:textId="77777777" w:rsidR="00C91B5F" w:rsidRPr="00F00A18" w:rsidRDefault="00C91B5F" w:rsidP="000A1BC5">
            <w:pPr>
              <w:pStyle w:val="Tableformat"/>
              <w:rPr>
                <w:color w:val="auto"/>
              </w:rPr>
            </w:pPr>
            <w:r w:rsidRPr="00F00A18">
              <w:rPr>
                <w:color w:val="auto"/>
              </w:rPr>
              <w:t>Duration</w:t>
            </w:r>
          </w:p>
        </w:tc>
        <w:tc>
          <w:tcPr>
            <w:tcW w:w="8080" w:type="dxa"/>
            <w:shd w:val="clear" w:color="auto" w:fill="auto"/>
          </w:tcPr>
          <w:p w14:paraId="689A6E64" w14:textId="0125BEC7" w:rsidR="00C91B5F" w:rsidRPr="00F00A18" w:rsidRDefault="007068F4" w:rsidP="00902F7A">
            <w:pPr>
              <w:pStyle w:val="Tableformat"/>
              <w:rPr>
                <w:color w:val="auto"/>
              </w:rPr>
            </w:pPr>
            <w:r w:rsidRPr="007068F4">
              <w:rPr>
                <w:color w:val="auto"/>
              </w:rPr>
              <w:t xml:space="preserve">This </w:t>
            </w:r>
            <w:r>
              <w:rPr>
                <w:color w:val="auto"/>
              </w:rPr>
              <w:t>Schedule</w:t>
            </w:r>
            <w:r w:rsidR="003D6A42">
              <w:rPr>
                <w:color w:val="auto"/>
              </w:rPr>
              <w:t xml:space="preserve"> </w:t>
            </w:r>
            <w:r w:rsidR="00902F7A">
              <w:rPr>
                <w:color w:val="auto"/>
              </w:rPr>
              <w:t>is expected to</w:t>
            </w:r>
            <w:r w:rsidR="003D6A42">
              <w:rPr>
                <w:color w:val="auto"/>
              </w:rPr>
              <w:t xml:space="preserve"> </w:t>
            </w:r>
            <w:r w:rsidRPr="007068F4">
              <w:rPr>
                <w:color w:val="auto"/>
              </w:rPr>
              <w:t>expire</w:t>
            </w:r>
            <w:r w:rsidR="003D6A42">
              <w:rPr>
                <w:color w:val="auto"/>
              </w:rPr>
              <w:t xml:space="preserve"> </w:t>
            </w:r>
            <w:r w:rsidRPr="007068F4">
              <w:rPr>
                <w:color w:val="auto"/>
              </w:rPr>
              <w:t xml:space="preserve">on </w:t>
            </w:r>
            <w:r w:rsidRPr="00F94CD5">
              <w:rPr>
                <w:color w:val="auto"/>
              </w:rPr>
              <w:t>30 June 2022</w:t>
            </w:r>
            <w:r w:rsidRPr="007068F4">
              <w:rPr>
                <w:color w:val="auto"/>
              </w:rPr>
              <w:t>.</w:t>
            </w:r>
          </w:p>
        </w:tc>
      </w:tr>
      <w:tr w:rsidR="005A744F" w:rsidRPr="00F00A18" w14:paraId="516BC532" w14:textId="77777777" w:rsidTr="004C123C">
        <w:tc>
          <w:tcPr>
            <w:tcW w:w="1843" w:type="dxa"/>
            <w:shd w:val="clear" w:color="auto" w:fill="auto"/>
          </w:tcPr>
          <w:p w14:paraId="511BE93C" w14:textId="77777777" w:rsidR="005A744F" w:rsidRPr="00F00A18" w:rsidRDefault="005A744F" w:rsidP="005A744F">
            <w:pPr>
              <w:pStyle w:val="Tableformat"/>
              <w:rPr>
                <w:color w:val="auto"/>
              </w:rPr>
            </w:pPr>
            <w:r w:rsidRPr="00F00A18">
              <w:rPr>
                <w:color w:val="auto"/>
              </w:rPr>
              <w:t>Purpose</w:t>
            </w:r>
          </w:p>
        </w:tc>
        <w:tc>
          <w:tcPr>
            <w:tcW w:w="8080" w:type="dxa"/>
            <w:shd w:val="clear" w:color="auto" w:fill="auto"/>
          </w:tcPr>
          <w:p w14:paraId="36CF7FEF" w14:textId="05F259E1" w:rsidR="005A744F" w:rsidRPr="00F00A18" w:rsidRDefault="005A744F" w:rsidP="006F608B">
            <w:pPr>
              <w:pStyle w:val="Tableformat"/>
              <w:rPr>
                <w:color w:val="auto"/>
              </w:rPr>
            </w:pPr>
            <w:r w:rsidRPr="00F00A18">
              <w:rPr>
                <w:color w:val="auto"/>
              </w:rPr>
              <w:t xml:space="preserve">This Schedule </w:t>
            </w:r>
            <w:r w:rsidR="00902F7A">
              <w:rPr>
                <w:color w:val="auto"/>
              </w:rPr>
              <w:t xml:space="preserve">will </w:t>
            </w:r>
            <w:r>
              <w:rPr>
                <w:color w:val="auto"/>
              </w:rPr>
              <w:t>s</w:t>
            </w:r>
            <w:r w:rsidRPr="00F00A18">
              <w:rPr>
                <w:color w:val="auto"/>
              </w:rPr>
              <w:t xml:space="preserve">upport the delivery </w:t>
            </w:r>
            <w:r>
              <w:rPr>
                <w:color w:val="auto"/>
              </w:rPr>
              <w:t>of</w:t>
            </w:r>
            <w:r w:rsidRPr="00F756D4">
              <w:rPr>
                <w:color w:val="auto"/>
              </w:rPr>
              <w:t xml:space="preserve"> </w:t>
            </w:r>
            <w:r>
              <w:rPr>
                <w:color w:val="auto"/>
              </w:rPr>
              <w:t xml:space="preserve">the </w:t>
            </w:r>
            <w:r w:rsidRPr="00D94664">
              <w:rPr>
                <w:color w:val="auto"/>
              </w:rPr>
              <w:t xml:space="preserve">Rum Jungle </w:t>
            </w:r>
            <w:r w:rsidR="00512470" w:rsidRPr="00D94664">
              <w:rPr>
                <w:color w:val="auto"/>
              </w:rPr>
              <w:t>Rehabilitation</w:t>
            </w:r>
            <w:r w:rsidRPr="00D94664">
              <w:rPr>
                <w:color w:val="auto"/>
              </w:rPr>
              <w:t xml:space="preserve"> Project (Stage 2B)</w:t>
            </w:r>
            <w:r w:rsidR="00D94664">
              <w:rPr>
                <w:color w:val="auto"/>
              </w:rPr>
              <w:t xml:space="preserve"> focusing on </w:t>
            </w:r>
            <w:r w:rsidR="006F608B">
              <w:rPr>
                <w:color w:val="auto"/>
              </w:rPr>
              <w:t>commencing revegetation</w:t>
            </w:r>
            <w:r w:rsidR="00D94664">
              <w:rPr>
                <w:color w:val="auto"/>
              </w:rPr>
              <w:t xml:space="preserve"> and hazard reduction, </w:t>
            </w:r>
            <w:r w:rsidR="00FF6EC1">
              <w:rPr>
                <w:color w:val="auto"/>
              </w:rPr>
              <w:t xml:space="preserve">ongoing </w:t>
            </w:r>
            <w:r w:rsidR="00D94664">
              <w:rPr>
                <w:color w:val="auto"/>
              </w:rPr>
              <w:t>environmental monitoring activities</w:t>
            </w:r>
            <w:r w:rsidR="00FF6EC1">
              <w:rPr>
                <w:color w:val="auto"/>
              </w:rPr>
              <w:t xml:space="preserve">, </w:t>
            </w:r>
            <w:r w:rsidR="00B92224">
              <w:rPr>
                <w:color w:val="auto"/>
              </w:rPr>
              <w:t>project delivery</w:t>
            </w:r>
            <w:r w:rsidR="00D94664">
              <w:rPr>
                <w:color w:val="auto"/>
              </w:rPr>
              <w:t xml:space="preserve"> and </w:t>
            </w:r>
            <w:r w:rsidR="00FF6EC1">
              <w:rPr>
                <w:color w:val="auto"/>
              </w:rPr>
              <w:t>community engagement</w:t>
            </w:r>
            <w:r>
              <w:rPr>
                <w:color w:val="auto"/>
              </w:rPr>
              <w:t>.</w:t>
            </w:r>
          </w:p>
        </w:tc>
      </w:tr>
      <w:tr w:rsidR="005A744F" w:rsidRPr="00F00A18" w14:paraId="2C63A902" w14:textId="77777777" w:rsidTr="004C123C">
        <w:trPr>
          <w:trHeight w:val="4344"/>
        </w:trPr>
        <w:tc>
          <w:tcPr>
            <w:tcW w:w="1843" w:type="dxa"/>
            <w:shd w:val="clear" w:color="auto" w:fill="auto"/>
          </w:tcPr>
          <w:p w14:paraId="2E78F30B" w14:textId="77777777" w:rsidR="005A744F" w:rsidRPr="00F00A18" w:rsidRDefault="005A744F" w:rsidP="005A744F">
            <w:pPr>
              <w:pStyle w:val="Tableformat"/>
              <w:rPr>
                <w:color w:val="auto"/>
              </w:rPr>
            </w:pPr>
            <w:r w:rsidRPr="00F00A18">
              <w:rPr>
                <w:color w:val="auto"/>
              </w:rPr>
              <w:t>Estimated financial contributions</w:t>
            </w:r>
          </w:p>
        </w:tc>
        <w:tc>
          <w:tcPr>
            <w:tcW w:w="8080" w:type="dxa"/>
            <w:shd w:val="clear" w:color="auto" w:fill="auto"/>
          </w:tcPr>
          <w:p w14:paraId="7110CBB4" w14:textId="1096373C" w:rsidR="005A744F" w:rsidRPr="00F00A18" w:rsidRDefault="00D51A7E" w:rsidP="006F608B">
            <w:pPr>
              <w:pStyle w:val="Tableformat"/>
              <w:rPr>
                <w:color w:val="auto"/>
              </w:rPr>
            </w:pPr>
            <w:r w:rsidRPr="00F00A18">
              <w:rPr>
                <w:noProof/>
                <w:color w:val="auto"/>
                <w:lang w:val="en-AU"/>
              </w:rPr>
              <mc:AlternateContent>
                <mc:Choice Requires="wps">
                  <w:drawing>
                    <wp:anchor distT="45720" distB="45720" distL="114300" distR="114300" simplePos="0" relativeHeight="251658240" behindDoc="0" locked="0" layoutInCell="1" allowOverlap="1" wp14:anchorId="48EB322D" wp14:editId="06D4FC9B">
                      <wp:simplePos x="0" y="0"/>
                      <wp:positionH relativeFrom="column">
                        <wp:posOffset>-61710</wp:posOffset>
                      </wp:positionH>
                      <wp:positionV relativeFrom="paragraph">
                        <wp:posOffset>731090</wp:posOffset>
                      </wp:positionV>
                      <wp:extent cx="5133340" cy="1674421"/>
                      <wp:effectExtent l="0" t="0" r="0" b="254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674421"/>
                              </a:xfrm>
                              <a:prstGeom prst="rect">
                                <a:avLst/>
                              </a:prstGeom>
                              <a:solidFill>
                                <a:srgbClr val="FFFFFF"/>
                              </a:solidFill>
                              <a:ln w="9525">
                                <a:noFill/>
                                <a:miter lim="800000"/>
                                <a:headEnd/>
                                <a:tailEnd/>
                              </a:ln>
                            </wps:spPr>
                            <wps:txbx>
                              <w:txbxContent>
                                <w:tbl>
                                  <w:tblPr>
                                    <w:tblW w:w="7836" w:type="dxa"/>
                                    <w:jc w:val="center"/>
                                    <w:tblLook w:val="01E0" w:firstRow="1" w:lastRow="1" w:firstColumn="1" w:lastColumn="1" w:noHBand="0" w:noVBand="0"/>
                                  </w:tblPr>
                                  <w:tblGrid>
                                    <w:gridCol w:w="3364"/>
                                    <w:gridCol w:w="1490"/>
                                    <w:gridCol w:w="1491"/>
                                    <w:gridCol w:w="1491"/>
                                  </w:tblGrid>
                                  <w:tr w:rsidR="000A1BC5" w:rsidRPr="00101AB3" w14:paraId="533FE7BA" w14:textId="77777777" w:rsidTr="00677F88">
                                    <w:trPr>
                                      <w:cantSplit/>
                                      <w:trHeight w:val="493"/>
                                      <w:jc w:val="center"/>
                                    </w:trPr>
                                    <w:tc>
                                      <w:tcPr>
                                        <w:tcW w:w="3364" w:type="dxa"/>
                                        <w:tcBorders>
                                          <w:top w:val="single" w:sz="4" w:space="0" w:color="000080"/>
                                          <w:bottom w:val="single" w:sz="4" w:space="0" w:color="000080"/>
                                        </w:tcBorders>
                                      </w:tcPr>
                                      <w:p w14:paraId="09C865BD" w14:textId="4FDE1C9C" w:rsidR="000A1BC5" w:rsidRDefault="000A1BC5" w:rsidP="000A1BC5">
                                        <w:pPr>
                                          <w:keepNext/>
                                          <w:keepLines/>
                                          <w:spacing w:before="40" w:after="40"/>
                                          <w:ind w:left="-111"/>
                                          <w:rPr>
                                            <w:b/>
                                            <w:sz w:val="21"/>
                                            <w:szCs w:val="21"/>
                                          </w:rPr>
                                        </w:pPr>
                                        <w:r>
                                          <w:rPr>
                                            <w:b/>
                                            <w:sz w:val="21"/>
                                            <w:szCs w:val="21"/>
                                          </w:rPr>
                                          <w:t>Table 1</w:t>
                                        </w:r>
                                      </w:p>
                                      <w:p w14:paraId="6430D4A7" w14:textId="64CC398B" w:rsidR="000A1BC5" w:rsidRPr="005D39DD" w:rsidRDefault="000A1BC5" w:rsidP="000A1BC5">
                                        <w:pPr>
                                          <w:keepNext/>
                                          <w:keepLines/>
                                          <w:spacing w:before="40" w:after="40"/>
                                          <w:ind w:left="-111"/>
                                          <w:rPr>
                                            <w:b/>
                                            <w:sz w:val="21"/>
                                            <w:szCs w:val="21"/>
                                          </w:rPr>
                                        </w:pPr>
                                        <w:r w:rsidRPr="005D39DD">
                                          <w:rPr>
                                            <w:b/>
                                            <w:sz w:val="21"/>
                                            <w:szCs w:val="21"/>
                                          </w:rPr>
                                          <w:t>($ million)</w:t>
                                        </w:r>
                                      </w:p>
                                    </w:tc>
                                    <w:tc>
                                      <w:tcPr>
                                        <w:tcW w:w="1490" w:type="dxa"/>
                                        <w:tcBorders>
                                          <w:top w:val="single" w:sz="4" w:space="0" w:color="000080"/>
                                          <w:bottom w:val="single" w:sz="4" w:space="0" w:color="000080"/>
                                        </w:tcBorders>
                                      </w:tcPr>
                                      <w:p w14:paraId="6B65C7BA" w14:textId="77777777" w:rsidR="000A1BC5" w:rsidRDefault="000A1BC5" w:rsidP="000A1BC5">
                                        <w:pPr>
                                          <w:keepNext/>
                                          <w:keepLines/>
                                          <w:spacing w:before="40" w:after="40"/>
                                          <w:jc w:val="right"/>
                                          <w:rPr>
                                            <w:b/>
                                            <w:sz w:val="21"/>
                                            <w:szCs w:val="21"/>
                                          </w:rPr>
                                        </w:pPr>
                                      </w:p>
                                      <w:p w14:paraId="405AF358" w14:textId="1DD1C6EF" w:rsidR="000A1BC5" w:rsidRPr="005D39DD" w:rsidRDefault="000A1BC5" w:rsidP="000B6E07">
                                        <w:pPr>
                                          <w:keepNext/>
                                          <w:keepLines/>
                                          <w:spacing w:before="40" w:after="40"/>
                                          <w:jc w:val="center"/>
                                          <w:rPr>
                                            <w:b/>
                                            <w:sz w:val="21"/>
                                            <w:szCs w:val="21"/>
                                          </w:rPr>
                                        </w:pPr>
                                        <w:r>
                                          <w:rPr>
                                            <w:b/>
                                            <w:i/>
                                            <w:sz w:val="21"/>
                                            <w:szCs w:val="21"/>
                                          </w:rPr>
                                          <w:t>2020-21</w:t>
                                        </w:r>
                                      </w:p>
                                    </w:tc>
                                    <w:tc>
                                      <w:tcPr>
                                        <w:tcW w:w="1491" w:type="dxa"/>
                                        <w:tcBorders>
                                          <w:top w:val="single" w:sz="4" w:space="0" w:color="000080"/>
                                          <w:bottom w:val="single" w:sz="4" w:space="0" w:color="000080"/>
                                        </w:tcBorders>
                                      </w:tcPr>
                                      <w:p w14:paraId="7642EA18" w14:textId="77777777" w:rsidR="000A1BC5" w:rsidRDefault="000A1BC5" w:rsidP="000A1BC5">
                                        <w:pPr>
                                          <w:keepNext/>
                                          <w:keepLines/>
                                          <w:spacing w:before="40" w:after="40"/>
                                          <w:jc w:val="right"/>
                                          <w:rPr>
                                            <w:b/>
                                            <w:sz w:val="21"/>
                                            <w:szCs w:val="21"/>
                                          </w:rPr>
                                        </w:pPr>
                                      </w:p>
                                      <w:p w14:paraId="7C36474A" w14:textId="3B442953" w:rsidR="000A1BC5" w:rsidRPr="005D39DD" w:rsidRDefault="000A1BC5" w:rsidP="000B6E07">
                                        <w:pPr>
                                          <w:keepNext/>
                                          <w:keepLines/>
                                          <w:spacing w:before="40" w:after="40"/>
                                          <w:rPr>
                                            <w:b/>
                                            <w:sz w:val="21"/>
                                            <w:szCs w:val="21"/>
                                          </w:rPr>
                                        </w:pPr>
                                        <w:r>
                                          <w:rPr>
                                            <w:b/>
                                            <w:i/>
                                            <w:sz w:val="21"/>
                                            <w:szCs w:val="21"/>
                                          </w:rPr>
                                          <w:t>2021-22</w:t>
                                        </w:r>
                                      </w:p>
                                    </w:tc>
                                    <w:tc>
                                      <w:tcPr>
                                        <w:tcW w:w="1491" w:type="dxa"/>
                                        <w:tcBorders>
                                          <w:top w:val="single" w:sz="4" w:space="0" w:color="000080"/>
                                          <w:bottom w:val="single" w:sz="4" w:space="0" w:color="000080"/>
                                        </w:tcBorders>
                                      </w:tcPr>
                                      <w:p w14:paraId="1E1B4A7A" w14:textId="77777777" w:rsidR="000A1BC5" w:rsidRDefault="000A1BC5" w:rsidP="000A1BC5">
                                        <w:pPr>
                                          <w:keepNext/>
                                          <w:keepLines/>
                                          <w:spacing w:before="40" w:after="40"/>
                                          <w:jc w:val="right"/>
                                          <w:rPr>
                                            <w:b/>
                                            <w:sz w:val="21"/>
                                            <w:szCs w:val="21"/>
                                          </w:rPr>
                                        </w:pPr>
                                      </w:p>
                                      <w:p w14:paraId="710B22B8" w14:textId="13BB93A1" w:rsidR="000A1BC5" w:rsidRPr="005D39DD" w:rsidRDefault="000A1BC5" w:rsidP="00677F88">
                                        <w:pPr>
                                          <w:keepNext/>
                                          <w:keepLines/>
                                          <w:spacing w:before="40" w:after="40"/>
                                          <w:rPr>
                                            <w:b/>
                                            <w:sz w:val="21"/>
                                            <w:szCs w:val="21"/>
                                          </w:rPr>
                                        </w:pPr>
                                        <w:r w:rsidRPr="005D39DD">
                                          <w:rPr>
                                            <w:b/>
                                            <w:sz w:val="21"/>
                                            <w:szCs w:val="21"/>
                                          </w:rPr>
                                          <w:t>Total</w:t>
                                        </w:r>
                                      </w:p>
                                    </w:tc>
                                  </w:tr>
                                  <w:tr w:rsidR="000A1BC5" w:rsidRPr="00101AB3" w14:paraId="54AEFD11" w14:textId="77777777" w:rsidTr="00677F88">
                                    <w:trPr>
                                      <w:cantSplit/>
                                      <w:trHeight w:val="299"/>
                                      <w:jc w:val="center"/>
                                    </w:trPr>
                                    <w:tc>
                                      <w:tcPr>
                                        <w:tcW w:w="3364" w:type="dxa"/>
                                        <w:tcBorders>
                                          <w:top w:val="single" w:sz="4" w:space="0" w:color="000080"/>
                                        </w:tcBorders>
                                      </w:tcPr>
                                      <w:p w14:paraId="55A9A036" w14:textId="77777777" w:rsidR="000A1BC5" w:rsidRPr="000B6E07" w:rsidRDefault="000A1BC5" w:rsidP="000A1BC5">
                                        <w:pPr>
                                          <w:keepNext/>
                                          <w:keepLines/>
                                          <w:spacing w:before="60" w:after="60"/>
                                          <w:ind w:left="-111"/>
                                          <w:rPr>
                                            <w:b/>
                                            <w:sz w:val="21"/>
                                            <w:szCs w:val="21"/>
                                          </w:rPr>
                                        </w:pPr>
                                        <w:r w:rsidRPr="000B6E07">
                                          <w:rPr>
                                            <w:b/>
                                            <w:sz w:val="21"/>
                                            <w:szCs w:val="21"/>
                                          </w:rPr>
                                          <w:t>Estimated total budget</w:t>
                                        </w:r>
                                      </w:p>
                                    </w:tc>
                                    <w:tc>
                                      <w:tcPr>
                                        <w:tcW w:w="1490" w:type="dxa"/>
                                        <w:tcBorders>
                                          <w:top w:val="single" w:sz="4" w:space="0" w:color="000080"/>
                                        </w:tcBorders>
                                      </w:tcPr>
                                      <w:p w14:paraId="6774290E" w14:textId="7E950F02" w:rsidR="000A1BC5" w:rsidRPr="000B6E07" w:rsidRDefault="000A1BC5" w:rsidP="00677F88">
                                        <w:pPr>
                                          <w:keepNext/>
                                          <w:keepLines/>
                                          <w:spacing w:before="40" w:after="40"/>
                                          <w:jc w:val="center"/>
                                          <w:rPr>
                                            <w:b/>
                                            <w:sz w:val="21"/>
                                            <w:szCs w:val="21"/>
                                          </w:rPr>
                                        </w:pPr>
                                        <w:r w:rsidRPr="000B6E07">
                                          <w:rPr>
                                            <w:b/>
                                            <w:sz w:val="21"/>
                                            <w:szCs w:val="21"/>
                                          </w:rPr>
                                          <w:t>1.251</w:t>
                                        </w:r>
                                      </w:p>
                                    </w:tc>
                                    <w:tc>
                                      <w:tcPr>
                                        <w:tcW w:w="1491" w:type="dxa"/>
                                        <w:tcBorders>
                                          <w:top w:val="single" w:sz="4" w:space="0" w:color="000080"/>
                                        </w:tcBorders>
                                      </w:tcPr>
                                      <w:p w14:paraId="6E57FE70" w14:textId="5DD73E11" w:rsidR="000A1BC5" w:rsidRPr="000B6E07" w:rsidRDefault="000A1BC5" w:rsidP="00677F88">
                                        <w:pPr>
                                          <w:keepNext/>
                                          <w:keepLines/>
                                          <w:spacing w:before="40" w:after="40"/>
                                          <w:rPr>
                                            <w:b/>
                                            <w:sz w:val="21"/>
                                            <w:szCs w:val="21"/>
                                          </w:rPr>
                                        </w:pPr>
                                        <w:r w:rsidRPr="000B6E07">
                                          <w:rPr>
                                            <w:b/>
                                            <w:sz w:val="21"/>
                                            <w:szCs w:val="21"/>
                                          </w:rPr>
                                          <w:t>2.251</w:t>
                                        </w:r>
                                      </w:p>
                                    </w:tc>
                                    <w:tc>
                                      <w:tcPr>
                                        <w:tcW w:w="1491" w:type="dxa"/>
                                        <w:tcBorders>
                                          <w:top w:val="single" w:sz="4" w:space="0" w:color="000080"/>
                                        </w:tcBorders>
                                      </w:tcPr>
                                      <w:p w14:paraId="08FC5E01" w14:textId="35E9E99C" w:rsidR="000A1BC5" w:rsidRPr="000B6E07" w:rsidRDefault="000A1BC5" w:rsidP="00677F88">
                                        <w:pPr>
                                          <w:keepNext/>
                                          <w:keepLines/>
                                          <w:spacing w:before="40" w:after="40"/>
                                          <w:rPr>
                                            <w:b/>
                                            <w:sz w:val="21"/>
                                            <w:szCs w:val="21"/>
                                          </w:rPr>
                                        </w:pPr>
                                        <w:r w:rsidRPr="000B6E07">
                                          <w:rPr>
                                            <w:b/>
                                            <w:sz w:val="21"/>
                                            <w:szCs w:val="21"/>
                                          </w:rPr>
                                          <w:t>3.502</w:t>
                                        </w:r>
                                      </w:p>
                                    </w:tc>
                                  </w:tr>
                                  <w:tr w:rsidR="000A1BC5" w:rsidRPr="00101AB3" w14:paraId="4D48DC1E" w14:textId="77777777" w:rsidTr="00BD7214">
                                    <w:trPr>
                                      <w:cantSplit/>
                                      <w:trHeight w:val="697"/>
                                      <w:jc w:val="center"/>
                                    </w:trPr>
                                    <w:tc>
                                      <w:tcPr>
                                        <w:tcW w:w="3364" w:type="dxa"/>
                                      </w:tcPr>
                                      <w:p w14:paraId="582F5190" w14:textId="77777777" w:rsidR="000A1BC5" w:rsidRPr="000B6E07" w:rsidRDefault="000A1BC5" w:rsidP="000A1BC5">
                                        <w:pPr>
                                          <w:keepNext/>
                                          <w:keepLines/>
                                          <w:spacing w:before="60" w:after="60"/>
                                          <w:ind w:left="-111"/>
                                          <w:rPr>
                                            <w:sz w:val="21"/>
                                            <w:szCs w:val="21"/>
                                          </w:rPr>
                                        </w:pPr>
                                        <w:r w:rsidRPr="000B6E07">
                                          <w:rPr>
                                            <w:sz w:val="21"/>
                                            <w:szCs w:val="21"/>
                                          </w:rPr>
                                          <w:t xml:space="preserve">Less estimated National Partnership Payments </w:t>
                                        </w:r>
                                      </w:p>
                                    </w:tc>
                                    <w:tc>
                                      <w:tcPr>
                                        <w:tcW w:w="1490" w:type="dxa"/>
                                      </w:tcPr>
                                      <w:p w14:paraId="2A58D9BB" w14:textId="4CE4A12B" w:rsidR="000A1BC5" w:rsidRPr="000B6E07" w:rsidRDefault="000A1BC5" w:rsidP="00677F88">
                                        <w:pPr>
                                          <w:keepNext/>
                                          <w:keepLines/>
                                          <w:spacing w:before="40" w:after="40"/>
                                          <w:jc w:val="center"/>
                                          <w:rPr>
                                            <w:sz w:val="21"/>
                                            <w:szCs w:val="21"/>
                                          </w:rPr>
                                        </w:pPr>
                                        <w:r w:rsidRPr="000B6E07">
                                          <w:rPr>
                                            <w:b/>
                                            <w:sz w:val="21"/>
                                            <w:szCs w:val="21"/>
                                          </w:rPr>
                                          <w:t>1.251</w:t>
                                        </w:r>
                                      </w:p>
                                    </w:tc>
                                    <w:tc>
                                      <w:tcPr>
                                        <w:tcW w:w="1491" w:type="dxa"/>
                                      </w:tcPr>
                                      <w:p w14:paraId="2DA59B4C" w14:textId="53A302B2" w:rsidR="000A1BC5" w:rsidRPr="000B6E07" w:rsidRDefault="000A1BC5" w:rsidP="00677F88">
                                        <w:pPr>
                                          <w:keepNext/>
                                          <w:keepLines/>
                                          <w:spacing w:before="40" w:after="40"/>
                                          <w:rPr>
                                            <w:sz w:val="21"/>
                                            <w:szCs w:val="21"/>
                                          </w:rPr>
                                        </w:pPr>
                                        <w:r w:rsidRPr="000B6E07">
                                          <w:rPr>
                                            <w:b/>
                                            <w:sz w:val="21"/>
                                            <w:szCs w:val="21"/>
                                          </w:rPr>
                                          <w:t>2.251</w:t>
                                        </w:r>
                                      </w:p>
                                    </w:tc>
                                    <w:tc>
                                      <w:tcPr>
                                        <w:tcW w:w="1491" w:type="dxa"/>
                                      </w:tcPr>
                                      <w:p w14:paraId="4E7A84E3" w14:textId="733E704B" w:rsidR="000A1BC5" w:rsidRPr="000B6E07" w:rsidRDefault="000A1BC5" w:rsidP="00677F88">
                                        <w:pPr>
                                          <w:keepNext/>
                                          <w:keepLines/>
                                          <w:spacing w:before="40" w:after="40"/>
                                          <w:rPr>
                                            <w:sz w:val="21"/>
                                            <w:szCs w:val="21"/>
                                          </w:rPr>
                                        </w:pPr>
                                        <w:r w:rsidRPr="000B6E07">
                                          <w:rPr>
                                            <w:b/>
                                            <w:sz w:val="21"/>
                                            <w:szCs w:val="21"/>
                                          </w:rPr>
                                          <w:t>3.502</w:t>
                                        </w:r>
                                      </w:p>
                                    </w:tc>
                                  </w:tr>
                                  <w:tr w:rsidR="000A1BC5" w:rsidRPr="00101AB3" w14:paraId="6F7667A7" w14:textId="77777777" w:rsidTr="00BD7214">
                                    <w:trPr>
                                      <w:cantSplit/>
                                      <w:trHeight w:val="697"/>
                                      <w:jc w:val="center"/>
                                    </w:trPr>
                                    <w:tc>
                                      <w:tcPr>
                                        <w:tcW w:w="3364" w:type="dxa"/>
                                        <w:tcBorders>
                                          <w:bottom w:val="single" w:sz="4" w:space="0" w:color="auto"/>
                                        </w:tcBorders>
                                      </w:tcPr>
                                      <w:p w14:paraId="783C1A22" w14:textId="2AC8A979" w:rsidR="000A1BC5" w:rsidRPr="000B6E07" w:rsidRDefault="000A1BC5" w:rsidP="000A1BC5">
                                        <w:pPr>
                                          <w:keepNext/>
                                          <w:keepLines/>
                                          <w:spacing w:before="60" w:after="60"/>
                                          <w:ind w:left="-111"/>
                                          <w:rPr>
                                            <w:sz w:val="21"/>
                                            <w:szCs w:val="21"/>
                                          </w:rPr>
                                        </w:pPr>
                                        <w:r>
                                          <w:rPr>
                                            <w:sz w:val="21"/>
                                            <w:szCs w:val="21"/>
                                          </w:rPr>
                                          <w:t>Balance of non-Commonwealth contributions</w:t>
                                        </w:r>
                                      </w:p>
                                    </w:tc>
                                    <w:tc>
                                      <w:tcPr>
                                        <w:tcW w:w="1490" w:type="dxa"/>
                                        <w:tcBorders>
                                          <w:bottom w:val="single" w:sz="4" w:space="0" w:color="auto"/>
                                        </w:tcBorders>
                                      </w:tcPr>
                                      <w:p w14:paraId="34C38755" w14:textId="6F1A515C" w:rsidR="000A1BC5" w:rsidRPr="000B6E07" w:rsidRDefault="000A1BC5" w:rsidP="00677F88">
                                        <w:pPr>
                                          <w:keepNext/>
                                          <w:keepLines/>
                                          <w:spacing w:before="40" w:after="40"/>
                                          <w:jc w:val="center"/>
                                          <w:rPr>
                                            <w:b/>
                                            <w:sz w:val="21"/>
                                            <w:szCs w:val="21"/>
                                          </w:rPr>
                                        </w:pPr>
                                        <w:r>
                                          <w:rPr>
                                            <w:b/>
                                            <w:sz w:val="21"/>
                                            <w:szCs w:val="21"/>
                                          </w:rPr>
                                          <w:t>0.0</w:t>
                                        </w:r>
                                      </w:p>
                                    </w:tc>
                                    <w:tc>
                                      <w:tcPr>
                                        <w:tcW w:w="1491" w:type="dxa"/>
                                        <w:tcBorders>
                                          <w:bottom w:val="single" w:sz="4" w:space="0" w:color="auto"/>
                                        </w:tcBorders>
                                      </w:tcPr>
                                      <w:p w14:paraId="4C2BA0D2" w14:textId="5FB01E6C" w:rsidR="000A1BC5" w:rsidRPr="000B6E07" w:rsidRDefault="000A1BC5" w:rsidP="00677F88">
                                        <w:pPr>
                                          <w:keepNext/>
                                          <w:keepLines/>
                                          <w:spacing w:before="40" w:after="40"/>
                                          <w:rPr>
                                            <w:b/>
                                            <w:sz w:val="21"/>
                                            <w:szCs w:val="21"/>
                                          </w:rPr>
                                        </w:pPr>
                                        <w:r>
                                          <w:rPr>
                                            <w:b/>
                                            <w:sz w:val="21"/>
                                            <w:szCs w:val="21"/>
                                          </w:rPr>
                                          <w:t>0.0</w:t>
                                        </w:r>
                                      </w:p>
                                    </w:tc>
                                    <w:tc>
                                      <w:tcPr>
                                        <w:tcW w:w="1491" w:type="dxa"/>
                                        <w:tcBorders>
                                          <w:bottom w:val="single" w:sz="4" w:space="0" w:color="auto"/>
                                        </w:tcBorders>
                                      </w:tcPr>
                                      <w:p w14:paraId="40C56311" w14:textId="028BF393" w:rsidR="000A1BC5" w:rsidRPr="000B6E07" w:rsidRDefault="000A1BC5" w:rsidP="00677F88">
                                        <w:pPr>
                                          <w:keepNext/>
                                          <w:keepLines/>
                                          <w:spacing w:before="40" w:after="40"/>
                                          <w:rPr>
                                            <w:b/>
                                            <w:sz w:val="21"/>
                                            <w:szCs w:val="21"/>
                                          </w:rPr>
                                        </w:pPr>
                                        <w:r>
                                          <w:rPr>
                                            <w:b/>
                                            <w:sz w:val="21"/>
                                            <w:szCs w:val="21"/>
                                          </w:rPr>
                                          <w:t>0.0</w:t>
                                        </w:r>
                                      </w:p>
                                    </w:tc>
                                  </w:tr>
                                </w:tbl>
                                <w:p w14:paraId="27D4F2F1" w14:textId="4AC2E1E0" w:rsidR="000A1BC5" w:rsidRPr="00101AB3" w:rsidRDefault="000A1BC5" w:rsidP="00E66A2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85pt;margin-top:57.55pt;width:404.2pt;height:13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" stroked="f">
                      <v:textbox>
                        <w:txbxContent>
                          <w:tbl>
                            <w:tblPr>
                              <w:tblW w:w="7836" w:type="dxa"/>
                              <w:jc w:val="center"/>
                              <w:tblLook w:val="01E0" w:firstRow="1" w:lastRow="1" w:firstColumn="1" w:lastColumn="1" w:noHBand="0" w:noVBand="0"/>
                            </w:tblPr>
                            <w:tblGrid>
                              <w:gridCol w:w="3364"/>
                              <w:gridCol w:w="1490"/>
                              <w:gridCol w:w="1491"/>
                              <w:gridCol w:w="1491"/>
                            </w:tblGrid>
                            <w:tr w:rsidR="000A1BC5" w:rsidRPr="00101AB3" w14:paraId="533FE7BA" w14:textId="77777777" w:rsidTr="00677F88">
                              <w:trPr>
                                <w:cantSplit/>
                                <w:trHeight w:val="493"/>
                                <w:jc w:val="center"/>
                              </w:trPr>
                              <w:tc>
                                <w:tcPr>
                                  <w:tcW w:w="3364" w:type="dxa"/>
                                  <w:tcBorders>
                                    <w:top w:val="single" w:sz="4" w:space="0" w:color="000080"/>
                                    <w:bottom w:val="single" w:sz="4" w:space="0" w:color="000080"/>
                                  </w:tcBorders>
                                </w:tcPr>
                                <w:p w14:paraId="09C865BD" w14:textId="4FDE1C9C" w:rsidR="000A1BC5" w:rsidRDefault="000A1BC5" w:rsidP="000A1BC5">
                                  <w:pPr>
                                    <w:keepNext/>
                                    <w:keepLines/>
                                    <w:spacing w:before="40" w:after="40"/>
                                    <w:ind w:left="-111"/>
                                    <w:rPr>
                                      <w:b/>
                                      <w:sz w:val="21"/>
                                      <w:szCs w:val="21"/>
                                    </w:rPr>
                                  </w:pPr>
                                  <w:r>
                                    <w:rPr>
                                      <w:b/>
                                      <w:sz w:val="21"/>
                                      <w:szCs w:val="21"/>
                                    </w:rPr>
                                    <w:t>Table 1</w:t>
                                  </w:r>
                                </w:p>
                                <w:p w14:paraId="6430D4A7" w14:textId="64CC398B" w:rsidR="000A1BC5" w:rsidRPr="005D39DD" w:rsidRDefault="000A1BC5" w:rsidP="000A1BC5">
                                  <w:pPr>
                                    <w:keepNext/>
                                    <w:keepLines/>
                                    <w:spacing w:before="40" w:after="40"/>
                                    <w:ind w:left="-111"/>
                                    <w:rPr>
                                      <w:b/>
                                      <w:sz w:val="21"/>
                                      <w:szCs w:val="21"/>
                                    </w:rPr>
                                  </w:pPr>
                                  <w:r w:rsidRPr="005D39DD">
                                    <w:rPr>
                                      <w:b/>
                                      <w:sz w:val="21"/>
                                      <w:szCs w:val="21"/>
                                    </w:rPr>
                                    <w:t>($ million)</w:t>
                                  </w:r>
                                </w:p>
                              </w:tc>
                              <w:tc>
                                <w:tcPr>
                                  <w:tcW w:w="1490" w:type="dxa"/>
                                  <w:tcBorders>
                                    <w:top w:val="single" w:sz="4" w:space="0" w:color="000080"/>
                                    <w:bottom w:val="single" w:sz="4" w:space="0" w:color="000080"/>
                                  </w:tcBorders>
                                </w:tcPr>
                                <w:p w14:paraId="6B65C7BA" w14:textId="77777777" w:rsidR="000A1BC5" w:rsidRDefault="000A1BC5" w:rsidP="000A1BC5">
                                  <w:pPr>
                                    <w:keepNext/>
                                    <w:keepLines/>
                                    <w:spacing w:before="40" w:after="40"/>
                                    <w:jc w:val="right"/>
                                    <w:rPr>
                                      <w:b/>
                                      <w:sz w:val="21"/>
                                      <w:szCs w:val="21"/>
                                    </w:rPr>
                                  </w:pPr>
                                </w:p>
                                <w:p w14:paraId="405AF358" w14:textId="1DD1C6EF" w:rsidR="000A1BC5" w:rsidRPr="005D39DD" w:rsidRDefault="000A1BC5" w:rsidP="000B6E07">
                                  <w:pPr>
                                    <w:keepNext/>
                                    <w:keepLines/>
                                    <w:spacing w:before="40" w:after="40"/>
                                    <w:jc w:val="center"/>
                                    <w:rPr>
                                      <w:b/>
                                      <w:sz w:val="21"/>
                                      <w:szCs w:val="21"/>
                                    </w:rPr>
                                  </w:pPr>
                                  <w:r>
                                    <w:rPr>
                                      <w:b/>
                                      <w:i/>
                                      <w:sz w:val="21"/>
                                      <w:szCs w:val="21"/>
                                    </w:rPr>
                                    <w:t>2020-21</w:t>
                                  </w:r>
                                </w:p>
                              </w:tc>
                              <w:tc>
                                <w:tcPr>
                                  <w:tcW w:w="1491" w:type="dxa"/>
                                  <w:tcBorders>
                                    <w:top w:val="single" w:sz="4" w:space="0" w:color="000080"/>
                                    <w:bottom w:val="single" w:sz="4" w:space="0" w:color="000080"/>
                                  </w:tcBorders>
                                </w:tcPr>
                                <w:p w14:paraId="7642EA18" w14:textId="77777777" w:rsidR="000A1BC5" w:rsidRDefault="000A1BC5" w:rsidP="000A1BC5">
                                  <w:pPr>
                                    <w:keepNext/>
                                    <w:keepLines/>
                                    <w:spacing w:before="40" w:after="40"/>
                                    <w:jc w:val="right"/>
                                    <w:rPr>
                                      <w:b/>
                                      <w:sz w:val="21"/>
                                      <w:szCs w:val="21"/>
                                    </w:rPr>
                                  </w:pPr>
                                </w:p>
                                <w:p w14:paraId="7C36474A" w14:textId="3B442953" w:rsidR="000A1BC5" w:rsidRPr="005D39DD" w:rsidRDefault="000A1BC5" w:rsidP="000B6E07">
                                  <w:pPr>
                                    <w:keepNext/>
                                    <w:keepLines/>
                                    <w:spacing w:before="40" w:after="40"/>
                                    <w:rPr>
                                      <w:b/>
                                      <w:sz w:val="21"/>
                                      <w:szCs w:val="21"/>
                                    </w:rPr>
                                  </w:pPr>
                                  <w:r>
                                    <w:rPr>
                                      <w:b/>
                                      <w:i/>
                                      <w:sz w:val="21"/>
                                      <w:szCs w:val="21"/>
                                    </w:rPr>
                                    <w:t>2021-22</w:t>
                                  </w:r>
                                </w:p>
                              </w:tc>
                              <w:tc>
                                <w:tcPr>
                                  <w:tcW w:w="1491" w:type="dxa"/>
                                  <w:tcBorders>
                                    <w:top w:val="single" w:sz="4" w:space="0" w:color="000080"/>
                                    <w:bottom w:val="single" w:sz="4" w:space="0" w:color="000080"/>
                                  </w:tcBorders>
                                </w:tcPr>
                                <w:p w14:paraId="1E1B4A7A" w14:textId="77777777" w:rsidR="000A1BC5" w:rsidRDefault="000A1BC5" w:rsidP="000A1BC5">
                                  <w:pPr>
                                    <w:keepNext/>
                                    <w:keepLines/>
                                    <w:spacing w:before="40" w:after="40"/>
                                    <w:jc w:val="right"/>
                                    <w:rPr>
                                      <w:b/>
                                      <w:sz w:val="21"/>
                                      <w:szCs w:val="21"/>
                                    </w:rPr>
                                  </w:pPr>
                                </w:p>
                                <w:p w14:paraId="710B22B8" w14:textId="13BB93A1" w:rsidR="000A1BC5" w:rsidRPr="005D39DD" w:rsidRDefault="000A1BC5" w:rsidP="00677F88">
                                  <w:pPr>
                                    <w:keepNext/>
                                    <w:keepLines/>
                                    <w:spacing w:before="40" w:after="40"/>
                                    <w:rPr>
                                      <w:b/>
                                      <w:sz w:val="21"/>
                                      <w:szCs w:val="21"/>
                                    </w:rPr>
                                  </w:pPr>
                                  <w:r w:rsidRPr="005D39DD">
                                    <w:rPr>
                                      <w:b/>
                                      <w:sz w:val="21"/>
                                      <w:szCs w:val="21"/>
                                    </w:rPr>
                                    <w:t>Total</w:t>
                                  </w:r>
                                </w:p>
                              </w:tc>
                            </w:tr>
                            <w:tr w:rsidR="000A1BC5" w:rsidRPr="00101AB3" w14:paraId="54AEFD11" w14:textId="77777777" w:rsidTr="00677F88">
                              <w:trPr>
                                <w:cantSplit/>
                                <w:trHeight w:val="299"/>
                                <w:jc w:val="center"/>
                              </w:trPr>
                              <w:tc>
                                <w:tcPr>
                                  <w:tcW w:w="3364" w:type="dxa"/>
                                  <w:tcBorders>
                                    <w:top w:val="single" w:sz="4" w:space="0" w:color="000080"/>
                                  </w:tcBorders>
                                </w:tcPr>
                                <w:p w14:paraId="55A9A036" w14:textId="77777777" w:rsidR="000A1BC5" w:rsidRPr="000B6E07" w:rsidRDefault="000A1BC5" w:rsidP="000A1BC5">
                                  <w:pPr>
                                    <w:keepNext/>
                                    <w:keepLines/>
                                    <w:spacing w:before="60" w:after="60"/>
                                    <w:ind w:left="-111"/>
                                    <w:rPr>
                                      <w:b/>
                                      <w:sz w:val="21"/>
                                      <w:szCs w:val="21"/>
                                    </w:rPr>
                                  </w:pPr>
                                  <w:r w:rsidRPr="000B6E07">
                                    <w:rPr>
                                      <w:b/>
                                      <w:sz w:val="21"/>
                                      <w:szCs w:val="21"/>
                                    </w:rPr>
                                    <w:t>Estimated total budget</w:t>
                                  </w:r>
                                </w:p>
                              </w:tc>
                              <w:tc>
                                <w:tcPr>
                                  <w:tcW w:w="1490" w:type="dxa"/>
                                  <w:tcBorders>
                                    <w:top w:val="single" w:sz="4" w:space="0" w:color="000080"/>
                                  </w:tcBorders>
                                </w:tcPr>
                                <w:p w14:paraId="6774290E" w14:textId="7E950F02" w:rsidR="000A1BC5" w:rsidRPr="000B6E07" w:rsidRDefault="000A1BC5" w:rsidP="00677F88">
                                  <w:pPr>
                                    <w:keepNext/>
                                    <w:keepLines/>
                                    <w:spacing w:before="40" w:after="40"/>
                                    <w:jc w:val="center"/>
                                    <w:rPr>
                                      <w:b/>
                                      <w:sz w:val="21"/>
                                      <w:szCs w:val="21"/>
                                    </w:rPr>
                                  </w:pPr>
                                  <w:r w:rsidRPr="000B6E07">
                                    <w:rPr>
                                      <w:b/>
                                      <w:sz w:val="21"/>
                                      <w:szCs w:val="21"/>
                                    </w:rPr>
                                    <w:t>1.251</w:t>
                                  </w:r>
                                </w:p>
                              </w:tc>
                              <w:tc>
                                <w:tcPr>
                                  <w:tcW w:w="1491" w:type="dxa"/>
                                  <w:tcBorders>
                                    <w:top w:val="single" w:sz="4" w:space="0" w:color="000080"/>
                                  </w:tcBorders>
                                </w:tcPr>
                                <w:p w14:paraId="6E57FE70" w14:textId="5DD73E11" w:rsidR="000A1BC5" w:rsidRPr="000B6E07" w:rsidRDefault="000A1BC5" w:rsidP="00677F88">
                                  <w:pPr>
                                    <w:keepNext/>
                                    <w:keepLines/>
                                    <w:spacing w:before="40" w:after="40"/>
                                    <w:rPr>
                                      <w:b/>
                                      <w:sz w:val="21"/>
                                      <w:szCs w:val="21"/>
                                    </w:rPr>
                                  </w:pPr>
                                  <w:r w:rsidRPr="000B6E07">
                                    <w:rPr>
                                      <w:b/>
                                      <w:sz w:val="21"/>
                                      <w:szCs w:val="21"/>
                                    </w:rPr>
                                    <w:t>2.251</w:t>
                                  </w:r>
                                </w:p>
                              </w:tc>
                              <w:tc>
                                <w:tcPr>
                                  <w:tcW w:w="1491" w:type="dxa"/>
                                  <w:tcBorders>
                                    <w:top w:val="single" w:sz="4" w:space="0" w:color="000080"/>
                                  </w:tcBorders>
                                </w:tcPr>
                                <w:p w14:paraId="08FC5E01" w14:textId="35E9E99C" w:rsidR="000A1BC5" w:rsidRPr="000B6E07" w:rsidRDefault="000A1BC5" w:rsidP="00677F88">
                                  <w:pPr>
                                    <w:keepNext/>
                                    <w:keepLines/>
                                    <w:spacing w:before="40" w:after="40"/>
                                    <w:rPr>
                                      <w:b/>
                                      <w:sz w:val="21"/>
                                      <w:szCs w:val="21"/>
                                    </w:rPr>
                                  </w:pPr>
                                  <w:r w:rsidRPr="000B6E07">
                                    <w:rPr>
                                      <w:b/>
                                      <w:sz w:val="21"/>
                                      <w:szCs w:val="21"/>
                                    </w:rPr>
                                    <w:t>3.502</w:t>
                                  </w:r>
                                </w:p>
                              </w:tc>
                            </w:tr>
                            <w:tr w:rsidR="000A1BC5" w:rsidRPr="00101AB3" w14:paraId="4D48DC1E" w14:textId="77777777" w:rsidTr="00BD7214">
                              <w:trPr>
                                <w:cantSplit/>
                                <w:trHeight w:val="697"/>
                                <w:jc w:val="center"/>
                              </w:trPr>
                              <w:tc>
                                <w:tcPr>
                                  <w:tcW w:w="3364" w:type="dxa"/>
                                </w:tcPr>
                                <w:p w14:paraId="582F5190" w14:textId="77777777" w:rsidR="000A1BC5" w:rsidRPr="000B6E07" w:rsidRDefault="000A1BC5" w:rsidP="000A1BC5">
                                  <w:pPr>
                                    <w:keepNext/>
                                    <w:keepLines/>
                                    <w:spacing w:before="60" w:after="60"/>
                                    <w:ind w:left="-111"/>
                                    <w:rPr>
                                      <w:sz w:val="21"/>
                                      <w:szCs w:val="21"/>
                                    </w:rPr>
                                  </w:pPr>
                                  <w:r w:rsidRPr="000B6E07">
                                    <w:rPr>
                                      <w:sz w:val="21"/>
                                      <w:szCs w:val="21"/>
                                    </w:rPr>
                                    <w:t xml:space="preserve">Less estimated National Partnership Payments </w:t>
                                  </w:r>
                                </w:p>
                              </w:tc>
                              <w:tc>
                                <w:tcPr>
                                  <w:tcW w:w="1490" w:type="dxa"/>
                                </w:tcPr>
                                <w:p w14:paraId="2A58D9BB" w14:textId="4CE4A12B" w:rsidR="000A1BC5" w:rsidRPr="000B6E07" w:rsidRDefault="000A1BC5" w:rsidP="00677F88">
                                  <w:pPr>
                                    <w:keepNext/>
                                    <w:keepLines/>
                                    <w:spacing w:before="40" w:after="40"/>
                                    <w:jc w:val="center"/>
                                    <w:rPr>
                                      <w:sz w:val="21"/>
                                      <w:szCs w:val="21"/>
                                    </w:rPr>
                                  </w:pPr>
                                  <w:r w:rsidRPr="000B6E07">
                                    <w:rPr>
                                      <w:b/>
                                      <w:sz w:val="21"/>
                                      <w:szCs w:val="21"/>
                                    </w:rPr>
                                    <w:t>1.251</w:t>
                                  </w:r>
                                </w:p>
                              </w:tc>
                              <w:tc>
                                <w:tcPr>
                                  <w:tcW w:w="1491" w:type="dxa"/>
                                </w:tcPr>
                                <w:p w14:paraId="2DA59B4C" w14:textId="53A302B2" w:rsidR="000A1BC5" w:rsidRPr="000B6E07" w:rsidRDefault="000A1BC5" w:rsidP="00677F88">
                                  <w:pPr>
                                    <w:keepNext/>
                                    <w:keepLines/>
                                    <w:spacing w:before="40" w:after="40"/>
                                    <w:rPr>
                                      <w:sz w:val="21"/>
                                      <w:szCs w:val="21"/>
                                    </w:rPr>
                                  </w:pPr>
                                  <w:r w:rsidRPr="000B6E07">
                                    <w:rPr>
                                      <w:b/>
                                      <w:sz w:val="21"/>
                                      <w:szCs w:val="21"/>
                                    </w:rPr>
                                    <w:t>2.251</w:t>
                                  </w:r>
                                </w:p>
                              </w:tc>
                              <w:tc>
                                <w:tcPr>
                                  <w:tcW w:w="1491" w:type="dxa"/>
                                </w:tcPr>
                                <w:p w14:paraId="4E7A84E3" w14:textId="733E704B" w:rsidR="000A1BC5" w:rsidRPr="000B6E07" w:rsidRDefault="000A1BC5" w:rsidP="00677F88">
                                  <w:pPr>
                                    <w:keepNext/>
                                    <w:keepLines/>
                                    <w:spacing w:before="40" w:after="40"/>
                                    <w:rPr>
                                      <w:sz w:val="21"/>
                                      <w:szCs w:val="21"/>
                                    </w:rPr>
                                  </w:pPr>
                                  <w:r w:rsidRPr="000B6E07">
                                    <w:rPr>
                                      <w:b/>
                                      <w:sz w:val="21"/>
                                      <w:szCs w:val="21"/>
                                    </w:rPr>
                                    <w:t>3.502</w:t>
                                  </w:r>
                                </w:p>
                              </w:tc>
                            </w:tr>
                            <w:tr w:rsidR="000A1BC5" w:rsidRPr="00101AB3" w14:paraId="6F7667A7" w14:textId="77777777" w:rsidTr="00BD7214">
                              <w:trPr>
                                <w:cantSplit/>
                                <w:trHeight w:val="697"/>
                                <w:jc w:val="center"/>
                              </w:trPr>
                              <w:tc>
                                <w:tcPr>
                                  <w:tcW w:w="3364" w:type="dxa"/>
                                  <w:tcBorders>
                                    <w:bottom w:val="single" w:sz="4" w:space="0" w:color="auto"/>
                                  </w:tcBorders>
                                </w:tcPr>
                                <w:p w14:paraId="783C1A22" w14:textId="2AC8A979" w:rsidR="000A1BC5" w:rsidRPr="000B6E07" w:rsidRDefault="000A1BC5" w:rsidP="000A1BC5">
                                  <w:pPr>
                                    <w:keepNext/>
                                    <w:keepLines/>
                                    <w:spacing w:before="60" w:after="60"/>
                                    <w:ind w:left="-111"/>
                                    <w:rPr>
                                      <w:sz w:val="21"/>
                                      <w:szCs w:val="21"/>
                                    </w:rPr>
                                  </w:pPr>
                                  <w:r>
                                    <w:rPr>
                                      <w:sz w:val="21"/>
                                      <w:szCs w:val="21"/>
                                    </w:rPr>
                                    <w:t>Balance of non-Commonwealth contributions</w:t>
                                  </w:r>
                                </w:p>
                              </w:tc>
                              <w:tc>
                                <w:tcPr>
                                  <w:tcW w:w="1490" w:type="dxa"/>
                                  <w:tcBorders>
                                    <w:bottom w:val="single" w:sz="4" w:space="0" w:color="auto"/>
                                  </w:tcBorders>
                                </w:tcPr>
                                <w:p w14:paraId="34C38755" w14:textId="6F1A515C" w:rsidR="000A1BC5" w:rsidRPr="000B6E07" w:rsidRDefault="000A1BC5" w:rsidP="00677F88">
                                  <w:pPr>
                                    <w:keepNext/>
                                    <w:keepLines/>
                                    <w:spacing w:before="40" w:after="40"/>
                                    <w:jc w:val="center"/>
                                    <w:rPr>
                                      <w:b/>
                                      <w:sz w:val="21"/>
                                      <w:szCs w:val="21"/>
                                    </w:rPr>
                                  </w:pPr>
                                  <w:r>
                                    <w:rPr>
                                      <w:b/>
                                      <w:sz w:val="21"/>
                                      <w:szCs w:val="21"/>
                                    </w:rPr>
                                    <w:t>0.0</w:t>
                                  </w:r>
                                </w:p>
                              </w:tc>
                              <w:tc>
                                <w:tcPr>
                                  <w:tcW w:w="1491" w:type="dxa"/>
                                  <w:tcBorders>
                                    <w:bottom w:val="single" w:sz="4" w:space="0" w:color="auto"/>
                                  </w:tcBorders>
                                </w:tcPr>
                                <w:p w14:paraId="4C2BA0D2" w14:textId="5FB01E6C" w:rsidR="000A1BC5" w:rsidRPr="000B6E07" w:rsidRDefault="000A1BC5" w:rsidP="00677F88">
                                  <w:pPr>
                                    <w:keepNext/>
                                    <w:keepLines/>
                                    <w:spacing w:before="40" w:after="40"/>
                                    <w:rPr>
                                      <w:b/>
                                      <w:sz w:val="21"/>
                                      <w:szCs w:val="21"/>
                                    </w:rPr>
                                  </w:pPr>
                                  <w:r>
                                    <w:rPr>
                                      <w:b/>
                                      <w:sz w:val="21"/>
                                      <w:szCs w:val="21"/>
                                    </w:rPr>
                                    <w:t>0.0</w:t>
                                  </w:r>
                                </w:p>
                              </w:tc>
                              <w:tc>
                                <w:tcPr>
                                  <w:tcW w:w="1491" w:type="dxa"/>
                                  <w:tcBorders>
                                    <w:bottom w:val="single" w:sz="4" w:space="0" w:color="auto"/>
                                  </w:tcBorders>
                                </w:tcPr>
                                <w:p w14:paraId="40C56311" w14:textId="028BF393" w:rsidR="000A1BC5" w:rsidRPr="000B6E07" w:rsidRDefault="000A1BC5" w:rsidP="00677F88">
                                  <w:pPr>
                                    <w:keepNext/>
                                    <w:keepLines/>
                                    <w:spacing w:before="40" w:after="40"/>
                                    <w:rPr>
                                      <w:b/>
                                      <w:sz w:val="21"/>
                                      <w:szCs w:val="21"/>
                                    </w:rPr>
                                  </w:pPr>
                                  <w:r>
                                    <w:rPr>
                                      <w:b/>
                                      <w:sz w:val="21"/>
                                      <w:szCs w:val="21"/>
                                    </w:rPr>
                                    <w:t>0.0</w:t>
                                  </w:r>
                                </w:p>
                              </w:tc>
                            </w:tr>
                          </w:tbl>
                          <w:p w14:paraId="27D4F2F1" w14:textId="4AC2E1E0" w:rsidR="000A1BC5" w:rsidRPr="00101AB3" w:rsidRDefault="000A1BC5" w:rsidP="00E66A2B">
                            <w:pPr>
                              <w:rPr>
                                <w:sz w:val="18"/>
                                <w:szCs w:val="18"/>
                              </w:rPr>
                            </w:pPr>
                          </w:p>
                        </w:txbxContent>
                      </v:textbox>
                      <w10:wrap type="square"/>
                    </v:shape>
                  </w:pict>
                </mc:Fallback>
              </mc:AlternateContent>
            </w:r>
            <w:r w:rsidR="005A744F">
              <w:rPr>
                <w:color w:val="auto"/>
              </w:rPr>
              <w:t>The Commonwealth will provide a</w:t>
            </w:r>
            <w:r w:rsidR="006F608B">
              <w:rPr>
                <w:color w:val="auto"/>
              </w:rPr>
              <w:t>n</w:t>
            </w:r>
            <w:r w:rsidR="005A744F" w:rsidRPr="00F00A18">
              <w:rPr>
                <w:color w:val="auto"/>
              </w:rPr>
              <w:t xml:space="preserve"> </w:t>
            </w:r>
            <w:r w:rsidR="006F608B">
              <w:rPr>
                <w:color w:val="auto"/>
              </w:rPr>
              <w:t>estimated</w:t>
            </w:r>
            <w:r w:rsidR="005A744F" w:rsidRPr="00F00A18">
              <w:rPr>
                <w:color w:val="auto"/>
              </w:rPr>
              <w:t xml:space="preserve"> </w:t>
            </w:r>
            <w:r w:rsidR="006F608B">
              <w:rPr>
                <w:color w:val="auto"/>
              </w:rPr>
              <w:t xml:space="preserve">total </w:t>
            </w:r>
            <w:r w:rsidR="005A744F" w:rsidRPr="00F00A18">
              <w:rPr>
                <w:color w:val="auto"/>
              </w:rPr>
              <w:t>financial</w:t>
            </w:r>
            <w:r w:rsidR="005A744F">
              <w:rPr>
                <w:color w:val="auto"/>
              </w:rPr>
              <w:t xml:space="preserve"> contribution to the Northern Territory of </w:t>
            </w:r>
            <w:r w:rsidR="005A744F" w:rsidRPr="00F00A18">
              <w:rPr>
                <w:color w:val="auto"/>
              </w:rPr>
              <w:t>$</w:t>
            </w:r>
            <w:r w:rsidR="005A744F">
              <w:rPr>
                <w:color w:val="auto"/>
              </w:rPr>
              <w:t>3</w:t>
            </w:r>
            <w:r w:rsidR="005A744F" w:rsidRPr="00F00A18">
              <w:rPr>
                <w:color w:val="auto"/>
              </w:rPr>
              <w:t>.</w:t>
            </w:r>
            <w:r w:rsidR="005A744F">
              <w:rPr>
                <w:color w:val="auto"/>
              </w:rPr>
              <w:t>502 million</w:t>
            </w:r>
            <w:r w:rsidR="005A744F" w:rsidRPr="00F00A18">
              <w:rPr>
                <w:color w:val="auto"/>
              </w:rPr>
              <w:t xml:space="preserve"> in respect of this Schedule.</w:t>
            </w:r>
          </w:p>
        </w:tc>
      </w:tr>
      <w:tr w:rsidR="005A744F" w:rsidRPr="00F00A18" w14:paraId="47F498C3" w14:textId="77777777" w:rsidTr="004C123C">
        <w:trPr>
          <w:trHeight w:val="2674"/>
        </w:trPr>
        <w:tc>
          <w:tcPr>
            <w:tcW w:w="1843" w:type="dxa"/>
            <w:shd w:val="clear" w:color="auto" w:fill="auto"/>
          </w:tcPr>
          <w:p w14:paraId="6DF0BA31" w14:textId="4FEEA1FA" w:rsidR="005A744F" w:rsidRPr="00F00A18" w:rsidRDefault="005A744F" w:rsidP="005A744F">
            <w:pPr>
              <w:pStyle w:val="Tableformat"/>
              <w:rPr>
                <w:color w:val="auto"/>
              </w:rPr>
            </w:pPr>
            <w:r>
              <w:rPr>
                <w:color w:val="auto"/>
              </w:rPr>
              <w:t>Additional Terms</w:t>
            </w:r>
          </w:p>
        </w:tc>
        <w:tc>
          <w:tcPr>
            <w:tcW w:w="8080" w:type="dxa"/>
            <w:shd w:val="clear" w:color="auto" w:fill="auto"/>
          </w:tcPr>
          <w:p w14:paraId="3BE21B3C" w14:textId="65360989" w:rsidR="00902F7A" w:rsidRDefault="00610843" w:rsidP="005A744F">
            <w:pPr>
              <w:pStyle w:val="Tableformat"/>
              <w:rPr>
                <w:color w:val="auto"/>
              </w:rPr>
            </w:pPr>
            <w:r>
              <w:rPr>
                <w:color w:val="auto"/>
              </w:rPr>
              <w:t xml:space="preserve">The </w:t>
            </w:r>
            <w:r w:rsidR="00902F7A">
              <w:rPr>
                <w:color w:val="auto"/>
              </w:rPr>
              <w:t>Northern Territory will be responsible for providing in-kind assistance to support the implementation of this Schedule.</w:t>
            </w:r>
          </w:p>
          <w:p w14:paraId="39CD486A" w14:textId="384E15A3" w:rsidR="00902F7A" w:rsidRDefault="00902F7A" w:rsidP="005A744F">
            <w:pPr>
              <w:pStyle w:val="Tableformat"/>
              <w:rPr>
                <w:color w:val="auto"/>
              </w:rPr>
            </w:pPr>
          </w:p>
          <w:p w14:paraId="55BEFB1E" w14:textId="7C1FB2C4" w:rsidR="004E13D6" w:rsidRDefault="00416FFA" w:rsidP="00610843">
            <w:pPr>
              <w:pStyle w:val="Tableformat"/>
              <w:rPr>
                <w:color w:val="auto"/>
              </w:rPr>
            </w:pPr>
            <w:r>
              <w:rPr>
                <w:color w:val="auto"/>
              </w:rPr>
              <w:t xml:space="preserve">The Northern Territory will offer the </w:t>
            </w:r>
            <w:proofErr w:type="spellStart"/>
            <w:r>
              <w:rPr>
                <w:color w:val="auto"/>
              </w:rPr>
              <w:t>Kungarakan</w:t>
            </w:r>
            <w:proofErr w:type="spellEnd"/>
            <w:r>
              <w:rPr>
                <w:color w:val="auto"/>
              </w:rPr>
              <w:t xml:space="preserve"> and </w:t>
            </w:r>
            <w:proofErr w:type="spellStart"/>
            <w:r>
              <w:rPr>
                <w:color w:val="auto"/>
              </w:rPr>
              <w:t>Warai</w:t>
            </w:r>
            <w:proofErr w:type="spellEnd"/>
            <w:r>
              <w:rPr>
                <w:color w:val="auto"/>
              </w:rPr>
              <w:t xml:space="preserve"> peoples opportunity to participate in </w:t>
            </w:r>
            <w:r w:rsidR="006D4C85">
              <w:rPr>
                <w:color w:val="auto"/>
              </w:rPr>
              <w:t xml:space="preserve">Project </w:t>
            </w:r>
            <w:r>
              <w:rPr>
                <w:color w:val="auto"/>
              </w:rPr>
              <w:t xml:space="preserve">activities </w:t>
            </w:r>
            <w:r w:rsidRPr="00ED283D">
              <w:rPr>
                <w:color w:val="auto"/>
              </w:rPr>
              <w:t>to contribute to delivery of the Rum Jungle Stage 2B Proje</w:t>
            </w:r>
            <w:r>
              <w:rPr>
                <w:color w:val="auto"/>
              </w:rPr>
              <w:t>ct as set out in this Schedule.</w:t>
            </w:r>
          </w:p>
          <w:p w14:paraId="671A0429" w14:textId="77777777" w:rsidR="004E13D6" w:rsidRDefault="004E13D6" w:rsidP="00610843">
            <w:pPr>
              <w:pStyle w:val="Tableformat"/>
              <w:rPr>
                <w:color w:val="auto"/>
              </w:rPr>
            </w:pPr>
          </w:p>
          <w:p w14:paraId="77B53A29" w14:textId="1AB48DA9" w:rsidR="005A744F" w:rsidRPr="00B75688" w:rsidRDefault="00902F7A" w:rsidP="00610843">
            <w:pPr>
              <w:pStyle w:val="Tableformat"/>
              <w:rPr>
                <w:color w:val="auto"/>
              </w:rPr>
            </w:pPr>
            <w:r>
              <w:rPr>
                <w:color w:val="auto"/>
              </w:rPr>
              <w:lastRenderedPageBreak/>
              <w:t>Led by the Northern Territory, it and t</w:t>
            </w:r>
            <w:r w:rsidR="005A744F" w:rsidRPr="00ED283D">
              <w:rPr>
                <w:color w:val="auto"/>
              </w:rPr>
              <w:t xml:space="preserve">he </w:t>
            </w:r>
            <w:r>
              <w:rPr>
                <w:color w:val="auto"/>
              </w:rPr>
              <w:t>Commonwealth will</w:t>
            </w:r>
            <w:r w:rsidR="005A744F" w:rsidRPr="00ED283D">
              <w:rPr>
                <w:color w:val="auto"/>
              </w:rPr>
              <w:t xml:space="preserve"> be jointly responsible for engaging </w:t>
            </w:r>
            <w:r w:rsidR="00B75688">
              <w:rPr>
                <w:color w:val="auto"/>
              </w:rPr>
              <w:t>the Northern Land Council</w:t>
            </w:r>
            <w:r w:rsidR="0026583F">
              <w:rPr>
                <w:color w:val="auto"/>
              </w:rPr>
              <w:t xml:space="preserve"> (NLC)</w:t>
            </w:r>
            <w:r w:rsidR="00B75688">
              <w:rPr>
                <w:color w:val="auto"/>
              </w:rPr>
              <w:t xml:space="preserve">, </w:t>
            </w:r>
            <w:r w:rsidR="005A744F" w:rsidRPr="00ED283D">
              <w:rPr>
                <w:color w:val="auto"/>
              </w:rPr>
              <w:t>affected traditional Aboriginal owners</w:t>
            </w:r>
            <w:r w:rsidR="00B75688">
              <w:rPr>
                <w:color w:val="auto"/>
              </w:rPr>
              <w:t xml:space="preserve"> </w:t>
            </w:r>
            <w:r w:rsidR="005A744F" w:rsidRPr="00ED283D">
              <w:rPr>
                <w:color w:val="auto"/>
              </w:rPr>
              <w:t xml:space="preserve">and stakeholders, including affected parties under the </w:t>
            </w:r>
            <w:r w:rsidR="005A744F" w:rsidRPr="00BD7214">
              <w:rPr>
                <w:i/>
                <w:color w:val="auto"/>
              </w:rPr>
              <w:t>Aboriginal Land Rights (Northern Territory) Act 1976</w:t>
            </w:r>
            <w:r w:rsidR="005A744F" w:rsidRPr="00ED283D">
              <w:rPr>
                <w:color w:val="auto"/>
              </w:rPr>
              <w:t xml:space="preserve"> (</w:t>
            </w:r>
            <w:proofErr w:type="spellStart"/>
            <w:r w:rsidR="005A744F" w:rsidRPr="00ED283D">
              <w:rPr>
                <w:color w:val="auto"/>
              </w:rPr>
              <w:t>Cth</w:t>
            </w:r>
            <w:proofErr w:type="spellEnd"/>
            <w:r w:rsidR="005A744F" w:rsidRPr="00ED283D">
              <w:rPr>
                <w:color w:val="auto"/>
              </w:rPr>
              <w:t>), relevant government agencies and the local community, to contribute to delivery of the Rum Jungle Stage 2B Proje</w:t>
            </w:r>
            <w:r w:rsidR="005A744F">
              <w:rPr>
                <w:color w:val="auto"/>
              </w:rPr>
              <w:t>ct as set out in this Schedule.</w:t>
            </w:r>
            <w:r w:rsidR="0026583F">
              <w:rPr>
                <w:color w:val="auto"/>
              </w:rPr>
              <w:t xml:space="preserve"> </w:t>
            </w:r>
            <w:r w:rsidR="00610843">
              <w:rPr>
                <w:color w:val="auto"/>
              </w:rPr>
              <w:t>E</w:t>
            </w:r>
            <w:r w:rsidR="00010D1B" w:rsidRPr="00B75688">
              <w:rPr>
                <w:color w:val="auto"/>
              </w:rPr>
              <w:t xml:space="preserve">ngagement of the traditional Aboriginal owners by the Parties does not supplant any consultative or representative role of the </w:t>
            </w:r>
            <w:r w:rsidR="0026583F">
              <w:rPr>
                <w:color w:val="auto"/>
              </w:rPr>
              <w:t>NLC</w:t>
            </w:r>
            <w:r w:rsidR="00010D1B" w:rsidRPr="00B75688">
              <w:rPr>
                <w:color w:val="auto"/>
              </w:rPr>
              <w:t xml:space="preserve"> under the </w:t>
            </w:r>
            <w:r w:rsidR="00010D1B" w:rsidRPr="006D4C85">
              <w:rPr>
                <w:i/>
                <w:color w:val="auto"/>
              </w:rPr>
              <w:t xml:space="preserve">Aboriginal Land Rights (Northern Territory) Act 1976 </w:t>
            </w:r>
            <w:r w:rsidR="00010D1B" w:rsidRPr="00B75688">
              <w:rPr>
                <w:color w:val="auto"/>
              </w:rPr>
              <w:t>(</w:t>
            </w:r>
            <w:proofErr w:type="spellStart"/>
            <w:r w:rsidR="00010D1B" w:rsidRPr="00B75688">
              <w:rPr>
                <w:color w:val="auto"/>
              </w:rPr>
              <w:t>Cth</w:t>
            </w:r>
            <w:proofErr w:type="spellEnd"/>
            <w:r w:rsidR="00010D1B" w:rsidRPr="00B75688">
              <w:rPr>
                <w:color w:val="auto"/>
              </w:rPr>
              <w:t>).</w:t>
            </w:r>
          </w:p>
          <w:p w14:paraId="61FEB1BC" w14:textId="77777777" w:rsidR="00902F7A" w:rsidRDefault="00902F7A" w:rsidP="006D4C85">
            <w:pPr>
              <w:pStyle w:val="Tableformat"/>
              <w:rPr>
                <w:color w:val="auto"/>
              </w:rPr>
            </w:pPr>
          </w:p>
          <w:p w14:paraId="4723EAD4" w14:textId="3786C976" w:rsidR="00902F7A" w:rsidRPr="00DE65E1" w:rsidRDefault="00902F7A" w:rsidP="000D1034">
            <w:pPr>
              <w:pStyle w:val="Tableformat"/>
              <w:rPr>
                <w:color w:val="auto"/>
              </w:rPr>
            </w:pPr>
            <w:r>
              <w:rPr>
                <w:color w:val="auto"/>
              </w:rPr>
              <w:t>T</w:t>
            </w:r>
            <w:r w:rsidRPr="004F4A7B">
              <w:rPr>
                <w:color w:val="auto"/>
              </w:rPr>
              <w:t xml:space="preserve">he Rum Jungle </w:t>
            </w:r>
            <w:r w:rsidR="000D1034">
              <w:rPr>
                <w:color w:val="auto"/>
              </w:rPr>
              <w:t>Project</w:t>
            </w:r>
            <w:r w:rsidRPr="004F4A7B">
              <w:rPr>
                <w:color w:val="auto"/>
              </w:rPr>
              <w:t xml:space="preserve"> Board </w:t>
            </w:r>
            <w:r>
              <w:rPr>
                <w:color w:val="auto"/>
              </w:rPr>
              <w:t>will provide oversight of this</w:t>
            </w:r>
            <w:r w:rsidR="00610843">
              <w:rPr>
                <w:color w:val="auto"/>
              </w:rPr>
              <w:t xml:space="preserve"> Stage 2B</w:t>
            </w:r>
            <w:r>
              <w:rPr>
                <w:color w:val="auto"/>
              </w:rPr>
              <w:t xml:space="preserve"> </w:t>
            </w:r>
            <w:r w:rsidRPr="004F4A7B">
              <w:rPr>
                <w:color w:val="auto"/>
              </w:rPr>
              <w:t xml:space="preserve">Schedule and strategic oversight of the whole of </w:t>
            </w:r>
            <w:r>
              <w:rPr>
                <w:color w:val="auto"/>
              </w:rPr>
              <w:t xml:space="preserve">the Rum Jungle </w:t>
            </w:r>
            <w:r w:rsidR="00610843">
              <w:rPr>
                <w:color w:val="auto"/>
              </w:rPr>
              <w:t>Rehabilitation</w:t>
            </w:r>
            <w:r>
              <w:rPr>
                <w:color w:val="auto"/>
              </w:rPr>
              <w:t xml:space="preserve"> Project.</w:t>
            </w:r>
          </w:p>
        </w:tc>
      </w:tr>
      <w:tr w:rsidR="00EF4482" w:rsidRPr="00F00A18" w14:paraId="51DB87BA" w14:textId="77777777" w:rsidTr="004C123C">
        <w:trPr>
          <w:trHeight w:val="2674"/>
        </w:trPr>
        <w:tc>
          <w:tcPr>
            <w:tcW w:w="1843" w:type="dxa"/>
            <w:shd w:val="clear" w:color="auto" w:fill="auto"/>
          </w:tcPr>
          <w:p w14:paraId="6FB04E3F" w14:textId="4A201E0A" w:rsidR="00EF4482" w:rsidRDefault="00EF4482" w:rsidP="005A744F">
            <w:pPr>
              <w:pStyle w:val="Tableformat"/>
              <w:rPr>
                <w:color w:val="auto"/>
              </w:rPr>
            </w:pPr>
            <w:r>
              <w:rPr>
                <w:color w:val="auto"/>
              </w:rPr>
              <w:lastRenderedPageBreak/>
              <w:t>Traditional Aboriginal Owners</w:t>
            </w:r>
          </w:p>
        </w:tc>
        <w:tc>
          <w:tcPr>
            <w:tcW w:w="8080" w:type="dxa"/>
            <w:shd w:val="clear" w:color="auto" w:fill="auto"/>
          </w:tcPr>
          <w:p w14:paraId="12F2EDE9" w14:textId="77777777" w:rsidR="00EF4482" w:rsidRPr="0087631E" w:rsidRDefault="00EF4482" w:rsidP="00EF4482">
            <w:pPr>
              <w:rPr>
                <w:rFonts w:ascii="Corbel" w:eastAsia="Times New Roman" w:hAnsi="Corbel" w:cs="Arial"/>
                <w:iCs/>
                <w:sz w:val="26"/>
                <w:szCs w:val="26"/>
                <w:lang w:eastAsia="en-AU"/>
              </w:rPr>
            </w:pPr>
            <w:r w:rsidRPr="0087631E">
              <w:rPr>
                <w:rFonts w:ascii="Corbel" w:eastAsia="Times New Roman" w:hAnsi="Corbel" w:cs="Arial"/>
                <w:iCs/>
                <w:sz w:val="26"/>
                <w:szCs w:val="26"/>
                <w:lang w:eastAsia="en-AU"/>
              </w:rPr>
              <w:t xml:space="preserve">In 1981, the then Aboriginal Land Commissioner recommended the grant of Aboriginal land in respect of the land parcels subject to the </w:t>
            </w:r>
            <w:proofErr w:type="spellStart"/>
            <w:r w:rsidRPr="0087631E">
              <w:rPr>
                <w:rFonts w:ascii="Corbel" w:eastAsia="Times New Roman" w:hAnsi="Corbel" w:cs="Arial"/>
                <w:iCs/>
                <w:sz w:val="26"/>
                <w:szCs w:val="26"/>
                <w:lang w:eastAsia="en-AU"/>
              </w:rPr>
              <w:t>Finniss</w:t>
            </w:r>
            <w:proofErr w:type="spellEnd"/>
            <w:r w:rsidRPr="0087631E">
              <w:rPr>
                <w:rFonts w:ascii="Corbel" w:eastAsia="Times New Roman" w:hAnsi="Corbel" w:cs="Arial"/>
                <w:iCs/>
                <w:sz w:val="26"/>
                <w:szCs w:val="26"/>
                <w:lang w:eastAsia="en-AU"/>
              </w:rPr>
              <w:t xml:space="preserve"> River Land Claim, including the former Rum Jungle Mine site. The Aboriginal Land Commissioner found that </w:t>
            </w:r>
            <w:proofErr w:type="spellStart"/>
            <w:r w:rsidRPr="0087631E">
              <w:rPr>
                <w:rFonts w:ascii="Corbel" w:eastAsia="Times New Roman" w:hAnsi="Corbel" w:cs="Arial"/>
                <w:iCs/>
                <w:sz w:val="26"/>
                <w:szCs w:val="26"/>
                <w:lang w:eastAsia="en-AU"/>
              </w:rPr>
              <w:t>Kungarakan</w:t>
            </w:r>
            <w:proofErr w:type="spellEnd"/>
            <w:r w:rsidRPr="0087631E">
              <w:rPr>
                <w:rFonts w:ascii="Corbel" w:eastAsia="Times New Roman" w:hAnsi="Corbel" w:cs="Arial"/>
                <w:iCs/>
                <w:sz w:val="26"/>
                <w:szCs w:val="26"/>
                <w:lang w:eastAsia="en-AU"/>
              </w:rPr>
              <w:t xml:space="preserve"> and </w:t>
            </w:r>
            <w:proofErr w:type="spellStart"/>
            <w:r w:rsidRPr="0087631E">
              <w:rPr>
                <w:rFonts w:ascii="Corbel" w:eastAsia="Times New Roman" w:hAnsi="Corbel" w:cs="Arial"/>
                <w:iCs/>
                <w:sz w:val="26"/>
                <w:szCs w:val="26"/>
                <w:lang w:eastAsia="en-AU"/>
              </w:rPr>
              <w:t>Warai</w:t>
            </w:r>
            <w:proofErr w:type="spellEnd"/>
            <w:r w:rsidRPr="0087631E">
              <w:rPr>
                <w:rFonts w:ascii="Corbel" w:eastAsia="Times New Roman" w:hAnsi="Corbel" w:cs="Arial"/>
                <w:iCs/>
                <w:sz w:val="26"/>
                <w:szCs w:val="26"/>
                <w:lang w:eastAsia="en-AU"/>
              </w:rPr>
              <w:t xml:space="preserve"> peoples are the joint traditional Aboriginal owners of the former Rum Jungle Mine site. The other sites within the former Rum Jungle Uranium Field have not been the subject of a land claim.</w:t>
            </w:r>
          </w:p>
          <w:p w14:paraId="0C9DADAF" w14:textId="77777777" w:rsidR="00EF4482" w:rsidRPr="0087631E" w:rsidRDefault="00EF4482" w:rsidP="00EF4482">
            <w:pPr>
              <w:rPr>
                <w:rFonts w:ascii="Corbel" w:eastAsia="Times New Roman" w:hAnsi="Corbel" w:cs="Arial"/>
                <w:iCs/>
                <w:sz w:val="26"/>
                <w:szCs w:val="26"/>
                <w:lang w:eastAsia="en-AU"/>
              </w:rPr>
            </w:pPr>
          </w:p>
          <w:p w14:paraId="181CC23B" w14:textId="77777777" w:rsidR="00EF4482" w:rsidRPr="00D24D19" w:rsidRDefault="00EF4482" w:rsidP="00EF4482">
            <w:pPr>
              <w:rPr>
                <w:rFonts w:ascii="Corbel" w:eastAsia="Times New Roman" w:hAnsi="Corbel" w:cs="Arial"/>
                <w:iCs/>
                <w:sz w:val="26"/>
                <w:szCs w:val="26"/>
                <w:lang w:eastAsia="en-AU"/>
              </w:rPr>
            </w:pPr>
            <w:r w:rsidRPr="0087631E">
              <w:rPr>
                <w:rFonts w:ascii="Corbel" w:eastAsia="Times New Roman" w:hAnsi="Corbel" w:cs="Arial"/>
                <w:iCs/>
                <w:sz w:val="26"/>
                <w:szCs w:val="26"/>
                <w:lang w:eastAsia="en-AU"/>
              </w:rPr>
              <w:t xml:space="preserve">No decision on the recommendation to grant the former Rum Jungle Mine site under the </w:t>
            </w:r>
            <w:r w:rsidRPr="00D24D19">
              <w:rPr>
                <w:rFonts w:ascii="Corbel" w:eastAsia="Times New Roman" w:hAnsi="Corbel" w:cs="Arial"/>
                <w:i/>
                <w:iCs/>
                <w:sz w:val="26"/>
                <w:szCs w:val="26"/>
                <w:lang w:eastAsia="en-AU"/>
              </w:rPr>
              <w:t>Aboriginal Land Rights (Northern Territory) Act 1976</w:t>
            </w:r>
            <w:r w:rsidRPr="00D24D19">
              <w:rPr>
                <w:rFonts w:ascii="Corbel" w:eastAsia="Times New Roman" w:hAnsi="Corbel" w:cs="Arial"/>
                <w:iCs/>
                <w:sz w:val="26"/>
                <w:szCs w:val="26"/>
                <w:lang w:eastAsia="en-AU"/>
              </w:rPr>
              <w:t xml:space="preserve"> (</w:t>
            </w:r>
            <w:proofErr w:type="spellStart"/>
            <w:r w:rsidRPr="00D24D19">
              <w:rPr>
                <w:rFonts w:ascii="Corbel" w:eastAsia="Times New Roman" w:hAnsi="Corbel" w:cs="Arial"/>
                <w:iCs/>
                <w:sz w:val="26"/>
                <w:szCs w:val="26"/>
                <w:lang w:eastAsia="en-AU"/>
              </w:rPr>
              <w:t>Cth</w:t>
            </w:r>
            <w:proofErr w:type="spellEnd"/>
            <w:r w:rsidRPr="00D24D19">
              <w:rPr>
                <w:rFonts w:ascii="Corbel" w:eastAsia="Times New Roman" w:hAnsi="Corbel" w:cs="Arial"/>
                <w:iCs/>
                <w:sz w:val="26"/>
                <w:szCs w:val="26"/>
                <w:lang w:eastAsia="en-AU"/>
              </w:rPr>
              <w:t xml:space="preserve">) has yet been made. All other land parcels recommended for grant by the Aboriginal Land Commissioner in respect of the </w:t>
            </w:r>
            <w:proofErr w:type="spellStart"/>
            <w:r w:rsidRPr="00D24D19">
              <w:rPr>
                <w:rFonts w:ascii="Corbel" w:eastAsia="Times New Roman" w:hAnsi="Corbel" w:cs="Arial"/>
                <w:iCs/>
                <w:sz w:val="26"/>
                <w:szCs w:val="26"/>
                <w:lang w:eastAsia="en-AU"/>
              </w:rPr>
              <w:t>Finniss</w:t>
            </w:r>
            <w:proofErr w:type="spellEnd"/>
            <w:r w:rsidRPr="00D24D19">
              <w:rPr>
                <w:rFonts w:ascii="Corbel" w:eastAsia="Times New Roman" w:hAnsi="Corbel" w:cs="Arial"/>
                <w:iCs/>
                <w:sz w:val="26"/>
                <w:szCs w:val="26"/>
                <w:lang w:eastAsia="en-AU"/>
              </w:rPr>
              <w:t xml:space="preserve"> River Land Claim were granted to Aboriginal Land Trusts between 1991 and 1993. The Northern Land Council administers those Aboriginal Land Trusts and has ongoing responsibilities in representing the traditional Aboriginal owners in their claim to the former Rum Jungle Mine Site.</w:t>
            </w:r>
          </w:p>
          <w:p w14:paraId="225418FE" w14:textId="77777777" w:rsidR="00EF4482" w:rsidRPr="00D24D19" w:rsidRDefault="00EF4482" w:rsidP="00EF4482">
            <w:pPr>
              <w:rPr>
                <w:rFonts w:ascii="Corbel" w:eastAsia="Times New Roman" w:hAnsi="Corbel" w:cs="Arial"/>
                <w:iCs/>
                <w:sz w:val="26"/>
                <w:szCs w:val="26"/>
                <w:lang w:eastAsia="en-AU"/>
              </w:rPr>
            </w:pPr>
          </w:p>
          <w:p w14:paraId="0F4F8DA9" w14:textId="77777777" w:rsidR="00EF4482" w:rsidRPr="00EF4482" w:rsidRDefault="00EF4482" w:rsidP="00EF4482">
            <w:pPr>
              <w:pStyle w:val="Tableformat"/>
              <w:rPr>
                <w:color w:val="auto"/>
              </w:rPr>
            </w:pPr>
            <w:r w:rsidRPr="00EF4482">
              <w:rPr>
                <w:color w:val="auto"/>
              </w:rPr>
              <w:t xml:space="preserve">The </w:t>
            </w:r>
            <w:proofErr w:type="spellStart"/>
            <w:r w:rsidRPr="00EF4482">
              <w:rPr>
                <w:color w:val="auto"/>
              </w:rPr>
              <w:t>Kungarakan</w:t>
            </w:r>
            <w:proofErr w:type="spellEnd"/>
            <w:r w:rsidRPr="00EF4482">
              <w:rPr>
                <w:color w:val="auto"/>
              </w:rPr>
              <w:t xml:space="preserve"> and </w:t>
            </w:r>
            <w:proofErr w:type="spellStart"/>
            <w:r w:rsidRPr="00EF4482">
              <w:rPr>
                <w:color w:val="auto"/>
              </w:rPr>
              <w:t>Warai</w:t>
            </w:r>
            <w:proofErr w:type="spellEnd"/>
            <w:r w:rsidRPr="00EF4482">
              <w:rPr>
                <w:color w:val="auto"/>
              </w:rPr>
              <w:t xml:space="preserve"> peoples are to be consulted on rehabilitation planning and maintenance matters, as both governments acknowledge their desire that rehabilitation at the former Rum Jungle Mine site allows for the return to traditional ceremony, culture and subsistence use of natural resources.</w:t>
            </w:r>
          </w:p>
          <w:p w14:paraId="79FA4782" w14:textId="77777777" w:rsidR="00EF4482" w:rsidRPr="00EF4482" w:rsidRDefault="00EF4482" w:rsidP="00EF4482">
            <w:pPr>
              <w:pStyle w:val="Tableformat"/>
              <w:rPr>
                <w:color w:val="auto"/>
              </w:rPr>
            </w:pPr>
          </w:p>
          <w:p w14:paraId="59B6B8C7" w14:textId="1196527F" w:rsidR="00EF4482" w:rsidRDefault="00EF4482" w:rsidP="00EF4482">
            <w:pPr>
              <w:pStyle w:val="Tableformat"/>
              <w:rPr>
                <w:color w:val="auto"/>
              </w:rPr>
            </w:pPr>
            <w:r w:rsidRPr="00EF4482">
              <w:rPr>
                <w:color w:val="auto"/>
              </w:rPr>
              <w:t xml:space="preserve">There are also traditional owners along the length of the </w:t>
            </w:r>
            <w:proofErr w:type="spellStart"/>
            <w:r w:rsidRPr="00EF4482">
              <w:rPr>
                <w:color w:val="auto"/>
              </w:rPr>
              <w:t>Finniss</w:t>
            </w:r>
            <w:proofErr w:type="spellEnd"/>
            <w:r w:rsidRPr="00EF4482">
              <w:rPr>
                <w:color w:val="auto"/>
              </w:rPr>
              <w:t xml:space="preserve"> River, downstream of the former Rum Jungle Mine site. These traditional owning groups value, access and use the </w:t>
            </w:r>
            <w:proofErr w:type="spellStart"/>
            <w:r w:rsidRPr="00EF4482">
              <w:rPr>
                <w:color w:val="auto"/>
              </w:rPr>
              <w:t>Finniss</w:t>
            </w:r>
            <w:proofErr w:type="spellEnd"/>
            <w:r w:rsidRPr="00EF4482">
              <w:rPr>
                <w:color w:val="auto"/>
              </w:rPr>
              <w:t xml:space="preserve"> River.</w:t>
            </w:r>
          </w:p>
        </w:tc>
      </w:tr>
      <w:tr w:rsidR="000D1034" w:rsidRPr="00F00A18" w14:paraId="6C1CE00C" w14:textId="77777777" w:rsidTr="004C123C">
        <w:trPr>
          <w:trHeight w:val="2674"/>
        </w:trPr>
        <w:tc>
          <w:tcPr>
            <w:tcW w:w="1843" w:type="dxa"/>
            <w:shd w:val="clear" w:color="auto" w:fill="auto"/>
          </w:tcPr>
          <w:p w14:paraId="20EF5BFB" w14:textId="341B5BDC" w:rsidR="000D1034" w:rsidRDefault="000D1034" w:rsidP="005A744F">
            <w:pPr>
              <w:pStyle w:val="Tableformat"/>
              <w:rPr>
                <w:color w:val="auto"/>
              </w:rPr>
            </w:pPr>
            <w:r w:rsidRPr="000D1034">
              <w:rPr>
                <w:color w:val="auto"/>
              </w:rPr>
              <w:lastRenderedPageBreak/>
              <w:t>Rum Jungle Rehabilitation Project Stages</w:t>
            </w:r>
          </w:p>
        </w:tc>
        <w:tc>
          <w:tcPr>
            <w:tcW w:w="8080" w:type="dxa"/>
            <w:shd w:val="clear" w:color="auto" w:fill="auto"/>
          </w:tcPr>
          <w:p w14:paraId="308799AB" w14:textId="03D442C6" w:rsidR="000D1034" w:rsidRPr="00AB2974" w:rsidRDefault="000D1034" w:rsidP="000D1034">
            <w:pPr>
              <w:pStyle w:val="Tableformat"/>
              <w:rPr>
                <w:color w:val="auto"/>
              </w:rPr>
            </w:pPr>
            <w:r w:rsidRPr="000D1034">
              <w:rPr>
                <w:color w:val="auto"/>
              </w:rPr>
              <w:t>To date, the Rum Jungle Rehabilitation Project has consisted of four stages, as outlined below:</w:t>
            </w:r>
          </w:p>
          <w:p w14:paraId="7C4CAE1B" w14:textId="77777777" w:rsidR="000D1034" w:rsidRDefault="000D1034" w:rsidP="00EF4482">
            <w:pPr>
              <w:rPr>
                <w:rFonts w:ascii="Corbel" w:eastAsia="Times New Roman" w:hAnsi="Corbel" w:cs="Arial"/>
                <w:iCs/>
                <w:sz w:val="26"/>
                <w:szCs w:val="26"/>
                <w:lang w:eastAsia="en-AU"/>
              </w:rPr>
            </w:pPr>
          </w:p>
          <w:tbl>
            <w:tblPr>
              <w:tblStyle w:val="TableGrid"/>
              <w:tblW w:w="7825" w:type="dxa"/>
              <w:tblLayout w:type="fixed"/>
              <w:tblLook w:val="04A0" w:firstRow="1" w:lastRow="0" w:firstColumn="1" w:lastColumn="0" w:noHBand="0" w:noVBand="1"/>
            </w:tblPr>
            <w:tblGrid>
              <w:gridCol w:w="1021"/>
              <w:gridCol w:w="993"/>
              <w:gridCol w:w="1275"/>
              <w:gridCol w:w="4536"/>
            </w:tblGrid>
            <w:tr w:rsidR="004E13D6" w:rsidRPr="00055C15" w14:paraId="35A2016F" w14:textId="77777777" w:rsidTr="000A1BC5">
              <w:trPr>
                <w:trHeight w:val="570"/>
              </w:trPr>
              <w:tc>
                <w:tcPr>
                  <w:tcW w:w="1021" w:type="dxa"/>
                  <w:shd w:val="clear" w:color="auto" w:fill="F2F2F2" w:themeFill="background1" w:themeFillShade="F2"/>
                </w:tcPr>
                <w:p w14:paraId="64ACFD68" w14:textId="77777777" w:rsidR="004E13D6" w:rsidRPr="000D1034" w:rsidRDefault="004E13D6" w:rsidP="004E13D6">
                  <w:pPr>
                    <w:pStyle w:val="Tableformat"/>
                    <w:outlineLvl w:val="1"/>
                    <w:rPr>
                      <w:color w:val="auto"/>
                    </w:rPr>
                  </w:pPr>
                  <w:r w:rsidRPr="000D1034">
                    <w:rPr>
                      <w:color w:val="auto"/>
                    </w:rPr>
                    <w:t xml:space="preserve">Stage </w:t>
                  </w:r>
                </w:p>
              </w:tc>
              <w:tc>
                <w:tcPr>
                  <w:tcW w:w="993" w:type="dxa"/>
                  <w:shd w:val="clear" w:color="auto" w:fill="F2F2F2" w:themeFill="background1" w:themeFillShade="F2"/>
                </w:tcPr>
                <w:p w14:paraId="5B827731" w14:textId="77777777" w:rsidR="004E13D6" w:rsidRPr="000D1034" w:rsidRDefault="004E13D6" w:rsidP="004E13D6">
                  <w:pPr>
                    <w:pStyle w:val="Tableformat"/>
                    <w:rPr>
                      <w:color w:val="auto"/>
                    </w:rPr>
                  </w:pPr>
                  <w:r w:rsidRPr="000D1034">
                    <w:rPr>
                      <w:color w:val="auto"/>
                    </w:rPr>
                    <w:t>Dates</w:t>
                  </w:r>
                </w:p>
              </w:tc>
              <w:tc>
                <w:tcPr>
                  <w:tcW w:w="1275" w:type="dxa"/>
                  <w:shd w:val="clear" w:color="auto" w:fill="F2F2F2" w:themeFill="background1" w:themeFillShade="F2"/>
                </w:tcPr>
                <w:p w14:paraId="372368AB" w14:textId="77777777" w:rsidR="004E13D6" w:rsidRPr="000D1034" w:rsidRDefault="004E13D6" w:rsidP="004E13D6">
                  <w:pPr>
                    <w:pStyle w:val="Tableformat"/>
                    <w:rPr>
                      <w:color w:val="auto"/>
                    </w:rPr>
                  </w:pPr>
                  <w:r w:rsidRPr="000D1034">
                    <w:rPr>
                      <w:color w:val="auto"/>
                    </w:rPr>
                    <w:t>Funding (m)</w:t>
                  </w:r>
                </w:p>
              </w:tc>
              <w:tc>
                <w:tcPr>
                  <w:tcW w:w="4536" w:type="dxa"/>
                  <w:shd w:val="clear" w:color="auto" w:fill="F2F2F2" w:themeFill="background1" w:themeFillShade="F2"/>
                </w:tcPr>
                <w:p w14:paraId="6473481A" w14:textId="77777777" w:rsidR="004E13D6" w:rsidRPr="000D1034" w:rsidRDefault="004E13D6" w:rsidP="004E13D6">
                  <w:pPr>
                    <w:pStyle w:val="Tableformat"/>
                    <w:rPr>
                      <w:color w:val="auto"/>
                    </w:rPr>
                  </w:pPr>
                  <w:r w:rsidRPr="000D1034">
                    <w:rPr>
                      <w:color w:val="auto"/>
                    </w:rPr>
                    <w:t>Output(s)</w:t>
                  </w:r>
                </w:p>
              </w:tc>
            </w:tr>
            <w:tr w:rsidR="004E13D6" w:rsidRPr="00055C15" w14:paraId="14C4E45C" w14:textId="77777777" w:rsidTr="000A1BC5">
              <w:trPr>
                <w:trHeight w:val="389"/>
              </w:trPr>
              <w:tc>
                <w:tcPr>
                  <w:tcW w:w="1021" w:type="dxa"/>
                  <w:vAlign w:val="center"/>
                </w:tcPr>
                <w:p w14:paraId="231DE00F" w14:textId="77777777" w:rsidR="004E13D6" w:rsidRPr="00AB2974" w:rsidRDefault="004E13D6" w:rsidP="004E13D6">
                  <w:pPr>
                    <w:jc w:val="center"/>
                    <w:rPr>
                      <w:rFonts w:eastAsiaTheme="minorHAnsi"/>
                      <w:sz w:val="22"/>
                      <w:szCs w:val="22"/>
                    </w:rPr>
                  </w:pPr>
                  <w:r w:rsidRPr="00B41FBF">
                    <w:rPr>
                      <w:rFonts w:ascii="Corbel" w:hAnsi="Corbel"/>
                      <w:sz w:val="20"/>
                      <w:szCs w:val="20"/>
                    </w:rPr>
                    <w:t>1</w:t>
                  </w:r>
                  <w:r w:rsidRPr="00AB2974">
                    <w:rPr>
                      <w:rStyle w:val="FootnoteReference"/>
                    </w:rPr>
                    <w:footnoteReference w:id="2"/>
                  </w:r>
                </w:p>
              </w:tc>
              <w:tc>
                <w:tcPr>
                  <w:tcW w:w="993" w:type="dxa"/>
                  <w:vAlign w:val="center"/>
                </w:tcPr>
                <w:p w14:paraId="4C296608"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2009 - 2013</w:t>
                  </w:r>
                </w:p>
              </w:tc>
              <w:tc>
                <w:tcPr>
                  <w:tcW w:w="1275" w:type="dxa"/>
                  <w:vAlign w:val="center"/>
                </w:tcPr>
                <w:p w14:paraId="6B3C1ECA"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$7.048</w:t>
                  </w:r>
                </w:p>
              </w:tc>
              <w:tc>
                <w:tcPr>
                  <w:tcW w:w="4536" w:type="dxa"/>
                </w:tcPr>
                <w:p w14:paraId="7C761C12" w14:textId="77777777" w:rsidR="004E13D6" w:rsidRPr="00B41FBF" w:rsidRDefault="004E13D6" w:rsidP="004E13D6">
                  <w:pPr>
                    <w:rPr>
                      <w:rFonts w:ascii="Corbel" w:eastAsiaTheme="minorHAnsi" w:hAnsi="Corbel"/>
                      <w:sz w:val="20"/>
                      <w:szCs w:val="20"/>
                    </w:rPr>
                  </w:pPr>
                  <w:r w:rsidRPr="00B41FBF">
                    <w:rPr>
                      <w:rFonts w:ascii="Corbel" w:hAnsi="Corbel"/>
                      <w:sz w:val="20"/>
                      <w:szCs w:val="20"/>
                    </w:rPr>
                    <w:t>Improved understanding of the site’s current environmental state.</w:t>
                  </w:r>
                </w:p>
                <w:p w14:paraId="5A1FE5EF" w14:textId="77777777" w:rsidR="004E13D6" w:rsidRPr="00B41FBF" w:rsidRDefault="004E13D6" w:rsidP="004E13D6">
                  <w:pPr>
                    <w:rPr>
                      <w:rFonts w:ascii="Corbel" w:eastAsiaTheme="minorHAnsi" w:hAnsi="Corbel"/>
                      <w:sz w:val="20"/>
                      <w:szCs w:val="20"/>
                    </w:rPr>
                  </w:pPr>
                  <w:r w:rsidRPr="00B41FBF">
                    <w:rPr>
                      <w:rFonts w:ascii="Corbel" w:hAnsi="Corbel"/>
                      <w:sz w:val="20"/>
                      <w:szCs w:val="20"/>
                    </w:rPr>
                    <w:t>Development of a Conceptual Rehabilitation strategy.</w:t>
                  </w:r>
                  <w:r w:rsidRPr="00B41FBF">
                    <w:rPr>
                      <w:rStyle w:val="FootnoteReference"/>
                      <w:rFonts w:ascii="Corbel" w:hAnsi="Corbel"/>
                      <w:sz w:val="20"/>
                      <w:szCs w:val="20"/>
                    </w:rPr>
                    <w:footnoteReference w:id="3"/>
                  </w:r>
                </w:p>
              </w:tc>
            </w:tr>
            <w:tr w:rsidR="004E13D6" w:rsidRPr="00055C15" w14:paraId="6ECE7A88" w14:textId="77777777" w:rsidTr="000A1BC5">
              <w:trPr>
                <w:trHeight w:val="580"/>
              </w:trPr>
              <w:tc>
                <w:tcPr>
                  <w:tcW w:w="1021" w:type="dxa"/>
                  <w:vAlign w:val="center"/>
                </w:tcPr>
                <w:p w14:paraId="60794B6D" w14:textId="77777777" w:rsidR="004E13D6" w:rsidRPr="00AB2974" w:rsidRDefault="004E13D6" w:rsidP="004E13D6">
                  <w:pPr>
                    <w:jc w:val="center"/>
                    <w:rPr>
                      <w:rFonts w:eastAsiaTheme="minorHAnsi"/>
                      <w:sz w:val="22"/>
                      <w:szCs w:val="22"/>
                    </w:rPr>
                  </w:pPr>
                  <w:r w:rsidRPr="00B41FBF">
                    <w:rPr>
                      <w:rFonts w:ascii="Corbel" w:hAnsi="Corbel"/>
                      <w:sz w:val="20"/>
                      <w:szCs w:val="20"/>
                    </w:rPr>
                    <w:t>2</w:t>
                  </w:r>
                  <w:r w:rsidRPr="00AB2974">
                    <w:rPr>
                      <w:rStyle w:val="FootnoteReference"/>
                    </w:rPr>
                    <w:footnoteReference w:id="4"/>
                  </w:r>
                </w:p>
              </w:tc>
              <w:tc>
                <w:tcPr>
                  <w:tcW w:w="993" w:type="dxa"/>
                  <w:vAlign w:val="center"/>
                </w:tcPr>
                <w:p w14:paraId="284F82AB"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2013 - 2016</w:t>
                  </w:r>
                </w:p>
              </w:tc>
              <w:tc>
                <w:tcPr>
                  <w:tcW w:w="1275" w:type="dxa"/>
                  <w:vAlign w:val="center"/>
                </w:tcPr>
                <w:p w14:paraId="0D54AD72"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$11.411</w:t>
                  </w:r>
                </w:p>
              </w:tc>
              <w:tc>
                <w:tcPr>
                  <w:tcW w:w="4536" w:type="dxa"/>
                </w:tcPr>
                <w:p w14:paraId="048EA14B" w14:textId="77777777" w:rsidR="004E13D6" w:rsidRPr="00B41FBF" w:rsidRDefault="004E13D6" w:rsidP="004E13D6">
                  <w:pPr>
                    <w:rPr>
                      <w:rFonts w:ascii="Corbel" w:eastAsiaTheme="minorHAnsi" w:hAnsi="Corbel"/>
                      <w:sz w:val="20"/>
                      <w:szCs w:val="20"/>
                    </w:rPr>
                  </w:pPr>
                  <w:r w:rsidRPr="00B41FBF">
                    <w:rPr>
                      <w:rFonts w:ascii="Corbel" w:hAnsi="Corbel"/>
                      <w:sz w:val="20"/>
                      <w:szCs w:val="20"/>
                    </w:rPr>
                    <w:t>Rehabilitation design works and construction-ready specifications, drawings and costings (including for post rehabilitation activities) to assist DBC development.</w:t>
                  </w:r>
                </w:p>
              </w:tc>
            </w:tr>
            <w:tr w:rsidR="004E13D6" w:rsidRPr="00055C15" w14:paraId="202D3D9B" w14:textId="77777777" w:rsidTr="000A1BC5">
              <w:trPr>
                <w:trHeight w:val="960"/>
              </w:trPr>
              <w:tc>
                <w:tcPr>
                  <w:tcW w:w="1021" w:type="dxa"/>
                  <w:vAlign w:val="center"/>
                </w:tcPr>
                <w:p w14:paraId="023FADC5" w14:textId="77777777" w:rsidR="004E13D6" w:rsidRPr="00AB2974" w:rsidRDefault="004E13D6" w:rsidP="004E13D6">
                  <w:pPr>
                    <w:jc w:val="center"/>
                    <w:rPr>
                      <w:rFonts w:eastAsiaTheme="minorHAnsi"/>
                      <w:sz w:val="22"/>
                      <w:szCs w:val="22"/>
                    </w:rPr>
                  </w:pPr>
                  <w:r w:rsidRPr="00B41FBF">
                    <w:rPr>
                      <w:rFonts w:ascii="Corbel" w:hAnsi="Corbel"/>
                      <w:sz w:val="20"/>
                      <w:szCs w:val="20"/>
                    </w:rPr>
                    <w:t>2A</w:t>
                  </w:r>
                  <w:r w:rsidRPr="00AB2974">
                    <w:rPr>
                      <w:rStyle w:val="FootnoteReference"/>
                    </w:rPr>
                    <w:footnoteReference w:id="5"/>
                  </w:r>
                </w:p>
              </w:tc>
              <w:tc>
                <w:tcPr>
                  <w:tcW w:w="993" w:type="dxa"/>
                  <w:vAlign w:val="center"/>
                </w:tcPr>
                <w:p w14:paraId="5FFA0381"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2017 - 2020</w:t>
                  </w:r>
                </w:p>
              </w:tc>
              <w:tc>
                <w:tcPr>
                  <w:tcW w:w="1275" w:type="dxa"/>
                  <w:vAlign w:val="center"/>
                </w:tcPr>
                <w:p w14:paraId="15655AC3"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$10.048</w:t>
                  </w:r>
                </w:p>
              </w:tc>
              <w:tc>
                <w:tcPr>
                  <w:tcW w:w="4536" w:type="dxa"/>
                </w:tcPr>
                <w:p w14:paraId="6C57AEB9" w14:textId="77777777" w:rsidR="004E13D6" w:rsidRPr="00B41FBF" w:rsidRDefault="004E13D6" w:rsidP="004E13D6">
                  <w:pPr>
                    <w:rPr>
                      <w:rFonts w:ascii="Corbel" w:eastAsiaTheme="minorHAnsi" w:hAnsi="Corbel"/>
                      <w:sz w:val="20"/>
                      <w:szCs w:val="20"/>
                    </w:rPr>
                  </w:pPr>
                  <w:r w:rsidRPr="00B41FBF">
                    <w:rPr>
                      <w:rFonts w:ascii="Corbel" w:hAnsi="Corbel"/>
                      <w:sz w:val="20"/>
                      <w:szCs w:val="20"/>
                    </w:rPr>
                    <w:t>Revised comprehensive rehabilitation design, costings and supporting documentation (including for a 20 year post rehabilitation period) to support approvals and DBC.</w:t>
                  </w:r>
                </w:p>
                <w:p w14:paraId="7AD6DEC6" w14:textId="77777777" w:rsidR="004E13D6" w:rsidRPr="00B41FBF" w:rsidRDefault="004E13D6" w:rsidP="004E13D6">
                  <w:pPr>
                    <w:rPr>
                      <w:rFonts w:ascii="Corbel" w:eastAsiaTheme="minorHAnsi" w:hAnsi="Corbel"/>
                      <w:sz w:val="20"/>
                      <w:szCs w:val="20"/>
                    </w:rPr>
                  </w:pPr>
                  <w:r w:rsidRPr="00B41FBF">
                    <w:rPr>
                      <w:rFonts w:ascii="Corbel" w:hAnsi="Corbel"/>
                      <w:sz w:val="20"/>
                      <w:szCs w:val="20"/>
                    </w:rPr>
                    <w:t>Repairs and maintenance work on the Rum Jungle Creek South cover system.</w:t>
                  </w:r>
                </w:p>
              </w:tc>
            </w:tr>
            <w:tr w:rsidR="004E13D6" w:rsidRPr="000609E3" w14:paraId="715DA9C8" w14:textId="77777777" w:rsidTr="00674ADE">
              <w:trPr>
                <w:trHeight w:val="737"/>
              </w:trPr>
              <w:tc>
                <w:tcPr>
                  <w:tcW w:w="1021" w:type="dxa"/>
                  <w:vAlign w:val="center"/>
                </w:tcPr>
                <w:p w14:paraId="02A1178A"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2B (current)</w:t>
                  </w:r>
                </w:p>
              </w:tc>
              <w:tc>
                <w:tcPr>
                  <w:tcW w:w="993" w:type="dxa"/>
                  <w:vAlign w:val="center"/>
                </w:tcPr>
                <w:p w14:paraId="7910AD65"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2020 - 2022</w:t>
                  </w:r>
                </w:p>
              </w:tc>
              <w:tc>
                <w:tcPr>
                  <w:tcW w:w="1275" w:type="dxa"/>
                  <w:vAlign w:val="center"/>
                </w:tcPr>
                <w:p w14:paraId="0FD8F89A" w14:textId="77777777" w:rsidR="004E13D6" w:rsidRPr="00B41FBF" w:rsidRDefault="004E13D6" w:rsidP="004E13D6">
                  <w:pPr>
                    <w:jc w:val="center"/>
                    <w:rPr>
                      <w:rFonts w:ascii="Corbel" w:eastAsiaTheme="minorHAnsi" w:hAnsi="Corbel"/>
                      <w:sz w:val="20"/>
                      <w:szCs w:val="20"/>
                    </w:rPr>
                  </w:pPr>
                  <w:r w:rsidRPr="00B41FBF">
                    <w:rPr>
                      <w:rFonts w:ascii="Corbel" w:hAnsi="Corbel"/>
                      <w:sz w:val="20"/>
                      <w:szCs w:val="20"/>
                    </w:rPr>
                    <w:t>$3.502</w:t>
                  </w:r>
                </w:p>
              </w:tc>
              <w:tc>
                <w:tcPr>
                  <w:tcW w:w="4536" w:type="dxa"/>
                  <w:vAlign w:val="center"/>
                </w:tcPr>
                <w:p w14:paraId="11C5EE8F" w14:textId="77777777" w:rsidR="004E13D6" w:rsidRPr="00B41FBF" w:rsidRDefault="004E13D6" w:rsidP="00674ADE">
                  <w:pPr>
                    <w:rPr>
                      <w:rFonts w:ascii="Corbel" w:eastAsiaTheme="minorHAnsi" w:hAnsi="Corbel"/>
                      <w:sz w:val="20"/>
                      <w:szCs w:val="20"/>
                    </w:rPr>
                  </w:pPr>
                  <w:r w:rsidRPr="00B41FBF">
                    <w:rPr>
                      <w:rFonts w:ascii="Corbel" w:hAnsi="Corbel"/>
                      <w:sz w:val="20"/>
                      <w:szCs w:val="20"/>
                    </w:rPr>
                    <w:t xml:space="preserve">Ongoing monitoring and commencement of revegetation supporting </w:t>
                  </w:r>
                  <w:proofErr w:type="spellStart"/>
                  <w:r w:rsidRPr="00B41FBF">
                    <w:rPr>
                      <w:rFonts w:ascii="Corbel" w:hAnsi="Corbel"/>
                      <w:sz w:val="20"/>
                      <w:szCs w:val="20"/>
                    </w:rPr>
                    <w:t>Kungarakan</w:t>
                  </w:r>
                  <w:proofErr w:type="spellEnd"/>
                  <w:r w:rsidRPr="00B41FBF">
                    <w:rPr>
                      <w:rFonts w:ascii="Corbel" w:hAnsi="Corbel"/>
                      <w:sz w:val="20"/>
                      <w:szCs w:val="20"/>
                    </w:rPr>
                    <w:t xml:space="preserve"> and </w:t>
                  </w:r>
                  <w:proofErr w:type="spellStart"/>
                  <w:r w:rsidRPr="00B41FBF">
                    <w:rPr>
                      <w:rFonts w:ascii="Corbel" w:hAnsi="Corbel"/>
                      <w:sz w:val="20"/>
                      <w:szCs w:val="20"/>
                    </w:rPr>
                    <w:t>Warai</w:t>
                  </w:r>
                  <w:proofErr w:type="spellEnd"/>
                  <w:r w:rsidRPr="00B41FBF">
                    <w:rPr>
                      <w:rFonts w:ascii="Corbel" w:hAnsi="Corbel"/>
                      <w:sz w:val="20"/>
                      <w:szCs w:val="20"/>
                    </w:rPr>
                    <w:t xml:space="preserve"> Traditional Owner participation.</w:t>
                  </w:r>
                </w:p>
              </w:tc>
            </w:tr>
          </w:tbl>
          <w:p w14:paraId="5862790C" w14:textId="77777777" w:rsidR="004E13D6" w:rsidRDefault="004E13D6" w:rsidP="00EF4482">
            <w:pPr>
              <w:rPr>
                <w:rFonts w:ascii="Corbel" w:eastAsia="Times New Roman" w:hAnsi="Corbel" w:cs="Arial"/>
                <w:iCs/>
                <w:sz w:val="26"/>
                <w:szCs w:val="26"/>
                <w:lang w:eastAsia="en-AU"/>
              </w:rPr>
            </w:pPr>
          </w:p>
          <w:p w14:paraId="558F8478" w14:textId="77777777" w:rsidR="004E13D6" w:rsidRDefault="004E13D6" w:rsidP="00EF4482">
            <w:pPr>
              <w:rPr>
                <w:rFonts w:ascii="Corbel" w:eastAsia="Times New Roman" w:hAnsi="Corbel" w:cs="Arial"/>
                <w:iCs/>
                <w:sz w:val="26"/>
                <w:szCs w:val="26"/>
                <w:lang w:eastAsia="en-AU"/>
              </w:rPr>
            </w:pPr>
          </w:p>
          <w:p w14:paraId="50A807A4" w14:textId="77777777" w:rsidR="004E13D6" w:rsidRDefault="004E13D6" w:rsidP="00EF4482">
            <w:pPr>
              <w:rPr>
                <w:rFonts w:ascii="Corbel" w:eastAsia="Times New Roman" w:hAnsi="Corbel" w:cs="Arial"/>
                <w:iCs/>
                <w:sz w:val="26"/>
                <w:szCs w:val="26"/>
                <w:lang w:eastAsia="en-AU"/>
              </w:rPr>
            </w:pPr>
          </w:p>
          <w:p w14:paraId="1EE33ABB" w14:textId="77777777" w:rsidR="004E13D6" w:rsidRDefault="004E13D6" w:rsidP="00EF4482">
            <w:pPr>
              <w:rPr>
                <w:rFonts w:ascii="Corbel" w:eastAsia="Times New Roman" w:hAnsi="Corbel" w:cs="Arial"/>
                <w:iCs/>
                <w:sz w:val="26"/>
                <w:szCs w:val="26"/>
                <w:lang w:eastAsia="en-AU"/>
              </w:rPr>
            </w:pPr>
          </w:p>
          <w:p w14:paraId="24C033A0" w14:textId="77777777" w:rsidR="004E13D6" w:rsidRDefault="004E13D6" w:rsidP="00EF4482">
            <w:pPr>
              <w:rPr>
                <w:rFonts w:ascii="Corbel" w:eastAsia="Times New Roman" w:hAnsi="Corbel" w:cs="Arial"/>
                <w:iCs/>
                <w:sz w:val="26"/>
                <w:szCs w:val="26"/>
                <w:lang w:eastAsia="en-AU"/>
              </w:rPr>
            </w:pPr>
          </w:p>
          <w:p w14:paraId="4B58C2E5" w14:textId="77777777" w:rsidR="004E13D6" w:rsidRDefault="004E13D6" w:rsidP="00EF4482">
            <w:pPr>
              <w:rPr>
                <w:rFonts w:ascii="Corbel" w:eastAsia="Times New Roman" w:hAnsi="Corbel" w:cs="Arial"/>
                <w:iCs/>
                <w:sz w:val="26"/>
                <w:szCs w:val="26"/>
                <w:lang w:eastAsia="en-AU"/>
              </w:rPr>
            </w:pPr>
          </w:p>
          <w:p w14:paraId="6B29424E" w14:textId="77777777" w:rsidR="004E13D6" w:rsidRDefault="004E13D6" w:rsidP="00EF4482">
            <w:pPr>
              <w:rPr>
                <w:rFonts w:ascii="Corbel" w:eastAsia="Times New Roman" w:hAnsi="Corbel" w:cs="Arial"/>
                <w:iCs/>
                <w:sz w:val="26"/>
                <w:szCs w:val="26"/>
                <w:lang w:eastAsia="en-AU"/>
              </w:rPr>
            </w:pPr>
          </w:p>
          <w:p w14:paraId="28E1A9DE" w14:textId="77777777" w:rsidR="004E13D6" w:rsidRDefault="004E13D6" w:rsidP="00EF4482">
            <w:pPr>
              <w:rPr>
                <w:rFonts w:ascii="Corbel" w:eastAsia="Times New Roman" w:hAnsi="Corbel" w:cs="Arial"/>
                <w:iCs/>
                <w:sz w:val="26"/>
                <w:szCs w:val="26"/>
                <w:lang w:eastAsia="en-AU"/>
              </w:rPr>
            </w:pPr>
          </w:p>
          <w:p w14:paraId="743E631E" w14:textId="77777777" w:rsidR="004E13D6" w:rsidRDefault="004E13D6" w:rsidP="00EF4482">
            <w:pPr>
              <w:rPr>
                <w:rFonts w:ascii="Corbel" w:eastAsia="Times New Roman" w:hAnsi="Corbel" w:cs="Arial"/>
                <w:iCs/>
                <w:sz w:val="26"/>
                <w:szCs w:val="26"/>
                <w:lang w:eastAsia="en-AU"/>
              </w:rPr>
            </w:pPr>
          </w:p>
          <w:p w14:paraId="186D5BF4" w14:textId="77777777" w:rsidR="004E13D6" w:rsidRDefault="004E13D6" w:rsidP="00EF4482">
            <w:pPr>
              <w:rPr>
                <w:rFonts w:ascii="Corbel" w:eastAsia="Times New Roman" w:hAnsi="Corbel" w:cs="Arial"/>
                <w:iCs/>
                <w:sz w:val="26"/>
                <w:szCs w:val="26"/>
                <w:lang w:eastAsia="en-AU"/>
              </w:rPr>
            </w:pPr>
          </w:p>
          <w:p w14:paraId="366D6267" w14:textId="77777777" w:rsidR="004E13D6" w:rsidRDefault="004E13D6" w:rsidP="00EF4482">
            <w:pPr>
              <w:rPr>
                <w:rFonts w:ascii="Corbel" w:eastAsia="Times New Roman" w:hAnsi="Corbel" w:cs="Arial"/>
                <w:iCs/>
                <w:sz w:val="26"/>
                <w:szCs w:val="26"/>
                <w:lang w:eastAsia="en-AU"/>
              </w:rPr>
            </w:pPr>
          </w:p>
          <w:p w14:paraId="1D64DD31" w14:textId="77777777" w:rsidR="004E13D6" w:rsidRDefault="004E13D6" w:rsidP="00EF4482">
            <w:pPr>
              <w:rPr>
                <w:rFonts w:ascii="Corbel" w:eastAsia="Times New Roman" w:hAnsi="Corbel" w:cs="Arial"/>
                <w:iCs/>
                <w:sz w:val="26"/>
                <w:szCs w:val="26"/>
                <w:lang w:eastAsia="en-AU"/>
              </w:rPr>
            </w:pPr>
          </w:p>
          <w:p w14:paraId="41865720" w14:textId="77777777" w:rsidR="004E13D6" w:rsidRDefault="004E13D6" w:rsidP="00EF4482">
            <w:pPr>
              <w:rPr>
                <w:rFonts w:ascii="Corbel" w:eastAsia="Times New Roman" w:hAnsi="Corbel" w:cs="Arial"/>
                <w:iCs/>
                <w:sz w:val="26"/>
                <w:szCs w:val="26"/>
                <w:lang w:eastAsia="en-AU"/>
              </w:rPr>
            </w:pPr>
          </w:p>
          <w:p w14:paraId="59C9348D" w14:textId="77777777" w:rsidR="004E13D6" w:rsidRDefault="004E13D6" w:rsidP="00EF4482">
            <w:pPr>
              <w:rPr>
                <w:rFonts w:ascii="Corbel" w:eastAsia="Times New Roman" w:hAnsi="Corbel" w:cs="Arial"/>
                <w:iCs/>
                <w:sz w:val="26"/>
                <w:szCs w:val="26"/>
                <w:lang w:eastAsia="en-AU"/>
              </w:rPr>
            </w:pPr>
          </w:p>
          <w:p w14:paraId="16F1DB78" w14:textId="77777777" w:rsidR="004E13D6" w:rsidRDefault="004E13D6" w:rsidP="00EF4482">
            <w:pPr>
              <w:rPr>
                <w:rFonts w:ascii="Corbel" w:eastAsia="Times New Roman" w:hAnsi="Corbel" w:cs="Arial"/>
                <w:iCs/>
                <w:sz w:val="26"/>
                <w:szCs w:val="26"/>
                <w:lang w:eastAsia="en-AU"/>
              </w:rPr>
            </w:pPr>
          </w:p>
          <w:p w14:paraId="19A8644F" w14:textId="2739B032" w:rsidR="004E13D6" w:rsidRPr="0087631E" w:rsidRDefault="004E13D6" w:rsidP="00EF4482">
            <w:pPr>
              <w:rPr>
                <w:rFonts w:ascii="Corbel" w:eastAsia="Times New Roman" w:hAnsi="Corbel" w:cs="Arial"/>
                <w:iCs/>
                <w:sz w:val="26"/>
                <w:szCs w:val="26"/>
                <w:lang w:eastAsia="en-AU"/>
              </w:rPr>
            </w:pPr>
          </w:p>
        </w:tc>
      </w:tr>
    </w:tbl>
    <w:p w14:paraId="077C5F0C" w14:textId="77777777" w:rsidR="00403CC0" w:rsidRDefault="00403CC0">
      <w:r>
        <w:rPr>
          <w:iCs/>
        </w:rPr>
        <w:br w:type="page"/>
      </w:r>
    </w:p>
    <w:p w14:paraId="47E990DE" w14:textId="1216BA1F" w:rsidR="00ED48F9" w:rsidRDefault="00ED48F9" w:rsidP="00902CFA">
      <w:pPr>
        <w:widowControl/>
        <w:spacing w:line="259" w:lineRule="auto"/>
        <w:rPr>
          <w:lang w:val="en-AU"/>
        </w:rPr>
        <w:sectPr w:rsidR="00ED48F9" w:rsidSect="00884E8F">
          <w:headerReference w:type="default" r:id="rId12"/>
          <w:footerReference w:type="default" r:id="rId13"/>
          <w:pgSz w:w="11906" w:h="16838"/>
          <w:pgMar w:top="1440" w:right="1440" w:bottom="1440" w:left="1440" w:header="708" w:footer="708" w:gutter="0"/>
          <w:cols w:space="708"/>
          <w:docGrid w:linePitch="360"/>
        </w:sectPr>
      </w:pPr>
    </w:p>
    <w:p w14:paraId="12E83984" w14:textId="1733E15C" w:rsidR="002A49C9" w:rsidRPr="00902CFA" w:rsidRDefault="002A49C9" w:rsidP="00902CFA">
      <w:pPr>
        <w:widowControl/>
        <w:spacing w:line="259" w:lineRule="auto"/>
        <w:rPr>
          <w:sz w:val="20"/>
          <w:lang w:val="en-GB"/>
        </w:rPr>
      </w:pPr>
    </w:p>
    <w:tbl>
      <w:tblPr>
        <w:tblW w:w="14118" w:type="dxa"/>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85"/>
        <w:gridCol w:w="8731"/>
        <w:gridCol w:w="1701"/>
        <w:gridCol w:w="1701"/>
      </w:tblGrid>
      <w:tr w:rsidR="009D00F3" w:rsidRPr="00F00A18" w14:paraId="1448E189" w14:textId="77777777" w:rsidTr="000A1BC5">
        <w:tc>
          <w:tcPr>
            <w:tcW w:w="14118" w:type="dxa"/>
            <w:gridSpan w:val="4"/>
            <w:shd w:val="clear" w:color="auto" w:fill="DEEAF6" w:themeFill="accent1" w:themeFillTint="33"/>
          </w:tcPr>
          <w:p w14:paraId="6388DB10" w14:textId="57175C2E" w:rsidR="009D00F3" w:rsidRPr="00F00A18" w:rsidRDefault="009D00F3" w:rsidP="000A1BC5">
            <w:pPr>
              <w:pStyle w:val="Tableformat"/>
              <w:rPr>
                <w:b/>
                <w:color w:val="auto"/>
              </w:rPr>
            </w:pPr>
            <w:r>
              <w:rPr>
                <w:b/>
                <w:color w:val="auto"/>
              </w:rPr>
              <w:t xml:space="preserve">Table 2: </w:t>
            </w:r>
            <w:r w:rsidRPr="00F00A18">
              <w:rPr>
                <w:b/>
                <w:color w:val="auto"/>
              </w:rPr>
              <w:t>Performance requirements, reporting and payment summary</w:t>
            </w:r>
          </w:p>
        </w:tc>
      </w:tr>
      <w:tr w:rsidR="009D00F3" w:rsidRPr="00F00A18" w14:paraId="3DB1DD07" w14:textId="77777777" w:rsidTr="00D24D19">
        <w:tc>
          <w:tcPr>
            <w:tcW w:w="1985" w:type="dxa"/>
            <w:shd w:val="clear" w:color="auto" w:fill="F2F2F2" w:themeFill="background1" w:themeFillShade="F2"/>
          </w:tcPr>
          <w:p w14:paraId="4B010DC0" w14:textId="7B5179B6" w:rsidR="00834EFC" w:rsidRPr="00F00A18" w:rsidRDefault="00610843" w:rsidP="00610843">
            <w:pPr>
              <w:pStyle w:val="Tableformat"/>
              <w:rPr>
                <w:b/>
                <w:color w:val="auto"/>
              </w:rPr>
            </w:pPr>
            <w:r>
              <w:rPr>
                <w:b/>
                <w:color w:val="auto"/>
              </w:rPr>
              <w:t>Output</w:t>
            </w:r>
          </w:p>
        </w:tc>
        <w:tc>
          <w:tcPr>
            <w:tcW w:w="8731" w:type="dxa"/>
            <w:shd w:val="clear" w:color="auto" w:fill="F2F2F2" w:themeFill="background1" w:themeFillShade="F2"/>
          </w:tcPr>
          <w:p w14:paraId="02795572" w14:textId="556EE93F" w:rsidR="00A30DE7" w:rsidRPr="00F00A18" w:rsidRDefault="00834EFC" w:rsidP="000A1BC5">
            <w:pPr>
              <w:pStyle w:val="Tableformat"/>
              <w:rPr>
                <w:b/>
                <w:color w:val="auto"/>
              </w:rPr>
            </w:pPr>
            <w:r w:rsidRPr="00F00A18">
              <w:rPr>
                <w:b/>
                <w:color w:val="auto"/>
              </w:rPr>
              <w:t>Performance milestones</w:t>
            </w:r>
          </w:p>
        </w:tc>
        <w:tc>
          <w:tcPr>
            <w:tcW w:w="1701" w:type="dxa"/>
            <w:shd w:val="clear" w:color="auto" w:fill="F2F2F2" w:themeFill="background1" w:themeFillShade="F2"/>
          </w:tcPr>
          <w:p w14:paraId="03CFAFF7" w14:textId="77777777" w:rsidR="00834EFC" w:rsidRPr="00F00A18" w:rsidRDefault="00834EFC" w:rsidP="000A1BC5">
            <w:pPr>
              <w:pStyle w:val="Tableformat"/>
              <w:rPr>
                <w:b/>
                <w:color w:val="auto"/>
              </w:rPr>
            </w:pPr>
            <w:r w:rsidRPr="00F00A18">
              <w:rPr>
                <w:b/>
                <w:color w:val="auto"/>
              </w:rPr>
              <w:t>Report due</w:t>
            </w:r>
          </w:p>
        </w:tc>
        <w:tc>
          <w:tcPr>
            <w:tcW w:w="1701" w:type="dxa"/>
            <w:shd w:val="clear" w:color="auto" w:fill="F2F2F2" w:themeFill="background1" w:themeFillShade="F2"/>
          </w:tcPr>
          <w:p w14:paraId="519E3707" w14:textId="77777777" w:rsidR="00834EFC" w:rsidRPr="00F00A18" w:rsidRDefault="00834EFC" w:rsidP="000A1BC5">
            <w:pPr>
              <w:pStyle w:val="Tableformat"/>
              <w:rPr>
                <w:b/>
                <w:color w:val="auto"/>
              </w:rPr>
            </w:pPr>
            <w:r w:rsidRPr="00F00A18">
              <w:rPr>
                <w:b/>
                <w:color w:val="auto"/>
              </w:rPr>
              <w:t>Payment</w:t>
            </w:r>
          </w:p>
        </w:tc>
      </w:tr>
      <w:tr w:rsidR="003C2664" w:rsidRPr="00F00A18" w14:paraId="79F9FFF4" w14:textId="77777777" w:rsidTr="00D24D19">
        <w:tc>
          <w:tcPr>
            <w:tcW w:w="1985" w:type="dxa"/>
            <w:tcBorders>
              <w:top w:val="single" w:sz="8" w:space="0" w:color="4F81BD"/>
              <w:left w:val="single" w:sz="8" w:space="0" w:color="4F81BD"/>
              <w:bottom w:val="single" w:sz="8" w:space="0" w:color="4F81BD"/>
              <w:right w:val="single" w:sz="8" w:space="0" w:color="4F81BD"/>
            </w:tcBorders>
          </w:tcPr>
          <w:p w14:paraId="09E11930" w14:textId="33792E46" w:rsidR="003C2664" w:rsidRDefault="003C2664" w:rsidP="000A1BC5">
            <w:pPr>
              <w:pStyle w:val="Milestonetable"/>
              <w:rPr>
                <w:color w:val="auto"/>
              </w:rPr>
            </w:pPr>
            <w:r>
              <w:rPr>
                <w:color w:val="auto"/>
              </w:rPr>
              <w:t>Implementation approach</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1B8FFAE4" w14:textId="053EBDF6" w:rsidR="003C2664" w:rsidRDefault="003C2664" w:rsidP="00E20875">
            <w:pPr>
              <w:pStyle w:val="Milestonetable"/>
              <w:rPr>
                <w:color w:val="auto"/>
              </w:rPr>
            </w:pPr>
            <w:r>
              <w:rPr>
                <w:color w:val="auto"/>
              </w:rPr>
              <w:t xml:space="preserve">Northern Territory submits a high-level </w:t>
            </w:r>
            <w:r w:rsidR="00E20875">
              <w:rPr>
                <w:color w:val="auto"/>
              </w:rPr>
              <w:t>Project Plan</w:t>
            </w:r>
            <w:r>
              <w:rPr>
                <w:color w:val="auto"/>
              </w:rPr>
              <w:t>.</w:t>
            </w:r>
          </w:p>
        </w:tc>
        <w:tc>
          <w:tcPr>
            <w:tcW w:w="1701" w:type="dxa"/>
            <w:tcBorders>
              <w:top w:val="single" w:sz="8" w:space="0" w:color="4F81BD"/>
              <w:left w:val="single" w:sz="8" w:space="0" w:color="4F81BD"/>
              <w:right w:val="single" w:sz="8" w:space="0" w:color="4F81BD"/>
            </w:tcBorders>
            <w:shd w:val="clear" w:color="auto" w:fill="auto"/>
          </w:tcPr>
          <w:p w14:paraId="7D98B5FF" w14:textId="5CC2C7F0" w:rsidR="003C2664" w:rsidRDefault="003C2664" w:rsidP="000A1BC5">
            <w:pPr>
              <w:pStyle w:val="Milestonetable"/>
              <w:jc w:val="center"/>
              <w:rPr>
                <w:color w:val="auto"/>
              </w:rPr>
            </w:pPr>
            <w:r>
              <w:rPr>
                <w:color w:val="auto"/>
              </w:rPr>
              <w:t>31 December 2020</w:t>
            </w:r>
          </w:p>
        </w:tc>
        <w:tc>
          <w:tcPr>
            <w:tcW w:w="1701" w:type="dxa"/>
            <w:tcBorders>
              <w:top w:val="single" w:sz="8" w:space="0" w:color="4F81BD"/>
              <w:left w:val="single" w:sz="8" w:space="0" w:color="4F81BD"/>
              <w:right w:val="single" w:sz="8" w:space="0" w:color="4F81BD"/>
            </w:tcBorders>
            <w:shd w:val="clear" w:color="auto" w:fill="auto"/>
          </w:tcPr>
          <w:p w14:paraId="668AE82D" w14:textId="4AF0F1FF" w:rsidR="003C2664" w:rsidRDefault="003C2664" w:rsidP="000A1BC5">
            <w:pPr>
              <w:pStyle w:val="Milestonetable"/>
              <w:jc w:val="center"/>
              <w:rPr>
                <w:color w:val="auto"/>
              </w:rPr>
            </w:pPr>
            <w:r>
              <w:rPr>
                <w:color w:val="auto"/>
              </w:rPr>
              <w:t>NA</w:t>
            </w:r>
          </w:p>
        </w:tc>
      </w:tr>
      <w:tr w:rsidR="009D00F3" w:rsidRPr="00F00A18" w14:paraId="15A0E6D1" w14:textId="77777777" w:rsidTr="00D24D19">
        <w:tc>
          <w:tcPr>
            <w:tcW w:w="1985" w:type="dxa"/>
            <w:tcBorders>
              <w:top w:val="single" w:sz="8" w:space="0" w:color="4F81BD"/>
              <w:left w:val="single" w:sz="8" w:space="0" w:color="4F81BD"/>
              <w:bottom w:val="single" w:sz="8" w:space="0" w:color="4F81BD"/>
              <w:right w:val="single" w:sz="8" w:space="0" w:color="4F81BD"/>
            </w:tcBorders>
          </w:tcPr>
          <w:p w14:paraId="6B7929C3" w14:textId="56FABB1B" w:rsidR="005C77C6" w:rsidRPr="00F00A18" w:rsidRDefault="00E20875" w:rsidP="00E20875">
            <w:pPr>
              <w:pStyle w:val="Milestonetable"/>
              <w:rPr>
                <w:color w:val="auto"/>
              </w:rPr>
            </w:pPr>
            <w:r>
              <w:rPr>
                <w:color w:val="auto"/>
              </w:rPr>
              <w:t>Improve l</w:t>
            </w:r>
            <w:r w:rsidR="005C77C6">
              <w:rPr>
                <w:color w:val="auto"/>
              </w:rPr>
              <w:t>and management</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467FB9D0" w14:textId="25A92FE0" w:rsidR="007970AB" w:rsidRDefault="001E2D54" w:rsidP="00373F0F">
            <w:pPr>
              <w:pStyle w:val="Milestonetable"/>
              <w:rPr>
                <w:color w:val="auto"/>
              </w:rPr>
            </w:pPr>
            <w:r>
              <w:rPr>
                <w:color w:val="auto"/>
              </w:rPr>
              <w:t>Address critical issues to improve the land, such as</w:t>
            </w:r>
            <w:r w:rsidR="007970AB">
              <w:rPr>
                <w:color w:val="auto"/>
              </w:rPr>
              <w:t>:</w:t>
            </w:r>
          </w:p>
          <w:p w14:paraId="5451C4A4" w14:textId="7FB726EF" w:rsidR="001E2D54" w:rsidRDefault="001E2D54" w:rsidP="007970AB">
            <w:pPr>
              <w:pStyle w:val="Milestonetable"/>
              <w:numPr>
                <w:ilvl w:val="0"/>
                <w:numId w:val="16"/>
              </w:numPr>
              <w:rPr>
                <w:color w:val="auto"/>
              </w:rPr>
            </w:pPr>
            <w:r>
              <w:rPr>
                <w:color w:val="auto"/>
              </w:rPr>
              <w:t>invasive animal</w:t>
            </w:r>
            <w:r w:rsidR="00610843">
              <w:rPr>
                <w:color w:val="auto"/>
              </w:rPr>
              <w:t>s</w:t>
            </w:r>
            <w:r>
              <w:rPr>
                <w:color w:val="auto"/>
              </w:rPr>
              <w:t xml:space="preserve"> and weeds;</w:t>
            </w:r>
          </w:p>
          <w:p w14:paraId="61C7CAF8" w14:textId="6AC8A5B9" w:rsidR="007970AB" w:rsidRDefault="00610843" w:rsidP="007970AB">
            <w:pPr>
              <w:pStyle w:val="Milestonetable"/>
              <w:numPr>
                <w:ilvl w:val="0"/>
                <w:numId w:val="16"/>
              </w:numPr>
              <w:rPr>
                <w:color w:val="auto"/>
              </w:rPr>
            </w:pPr>
            <w:r>
              <w:rPr>
                <w:color w:val="auto"/>
              </w:rPr>
              <w:t>fire regime</w:t>
            </w:r>
            <w:r w:rsidR="007970AB">
              <w:rPr>
                <w:color w:val="auto"/>
              </w:rPr>
              <w:t>;</w:t>
            </w:r>
            <w:r>
              <w:rPr>
                <w:color w:val="auto"/>
              </w:rPr>
              <w:t xml:space="preserve"> and</w:t>
            </w:r>
          </w:p>
          <w:p w14:paraId="73D64A17" w14:textId="51349F1B" w:rsidR="00E20875" w:rsidRDefault="007970AB" w:rsidP="007970AB">
            <w:pPr>
              <w:pStyle w:val="Milestonetable"/>
              <w:numPr>
                <w:ilvl w:val="0"/>
                <w:numId w:val="16"/>
              </w:numPr>
              <w:rPr>
                <w:color w:val="auto"/>
              </w:rPr>
            </w:pPr>
            <w:proofErr w:type="gramStart"/>
            <w:r>
              <w:rPr>
                <w:color w:val="auto"/>
              </w:rPr>
              <w:t>soil</w:t>
            </w:r>
            <w:proofErr w:type="gramEnd"/>
            <w:r>
              <w:rPr>
                <w:color w:val="auto"/>
              </w:rPr>
              <w:t xml:space="preserve"> management and revegetation preparatory</w:t>
            </w:r>
            <w:r w:rsidR="00610843">
              <w:rPr>
                <w:color w:val="auto"/>
              </w:rPr>
              <w:t xml:space="preserve"> works.</w:t>
            </w:r>
          </w:p>
          <w:p w14:paraId="2243FDFA" w14:textId="4472B35E" w:rsidR="00700078" w:rsidRPr="00D57721" w:rsidRDefault="00700078" w:rsidP="00700078">
            <w:pPr>
              <w:pStyle w:val="Milestonetable"/>
              <w:rPr>
                <w:color w:val="auto"/>
              </w:rPr>
            </w:pPr>
            <w:r>
              <w:rPr>
                <w:color w:val="auto"/>
              </w:rPr>
              <w:t>Complete A</w:t>
            </w:r>
            <w:r w:rsidRPr="00A26A2A">
              <w:rPr>
                <w:color w:val="auto"/>
              </w:rPr>
              <w:t xml:space="preserve">nnual </w:t>
            </w:r>
            <w:r>
              <w:rPr>
                <w:color w:val="auto"/>
              </w:rPr>
              <w:t>R</w:t>
            </w:r>
            <w:r w:rsidRPr="00A26A2A">
              <w:rPr>
                <w:color w:val="auto"/>
              </w:rPr>
              <w:t xml:space="preserve">adiation </w:t>
            </w:r>
            <w:r>
              <w:rPr>
                <w:color w:val="auto"/>
              </w:rPr>
              <w:t>R</w:t>
            </w:r>
            <w:r w:rsidRPr="00A26A2A">
              <w:rPr>
                <w:color w:val="auto"/>
              </w:rPr>
              <w:t>eporting</w:t>
            </w:r>
            <w:r>
              <w:rPr>
                <w:color w:val="auto"/>
              </w:rPr>
              <w:t>.</w:t>
            </w:r>
          </w:p>
        </w:tc>
        <w:tc>
          <w:tcPr>
            <w:tcW w:w="1701" w:type="dxa"/>
            <w:vMerge w:val="restart"/>
            <w:tcBorders>
              <w:top w:val="single" w:sz="8" w:space="0" w:color="4F81BD"/>
              <w:left w:val="single" w:sz="8" w:space="0" w:color="4F81BD"/>
              <w:right w:val="single" w:sz="8" w:space="0" w:color="4F81BD"/>
            </w:tcBorders>
            <w:shd w:val="clear" w:color="auto" w:fill="auto"/>
          </w:tcPr>
          <w:p w14:paraId="151488E3" w14:textId="77777777" w:rsidR="005C77C6" w:rsidRDefault="005C77C6" w:rsidP="000A1BC5">
            <w:pPr>
              <w:pStyle w:val="Milestonetable"/>
              <w:jc w:val="center"/>
              <w:rPr>
                <w:color w:val="auto"/>
              </w:rPr>
            </w:pPr>
          </w:p>
          <w:p w14:paraId="22BE97C2" w14:textId="77777777" w:rsidR="005C77C6" w:rsidRDefault="005C77C6" w:rsidP="000A1BC5">
            <w:pPr>
              <w:pStyle w:val="Milestonetable"/>
              <w:jc w:val="center"/>
              <w:rPr>
                <w:color w:val="auto"/>
              </w:rPr>
            </w:pPr>
          </w:p>
          <w:p w14:paraId="54A9EC11" w14:textId="77777777" w:rsidR="005C77C6" w:rsidRDefault="005C77C6" w:rsidP="000A1BC5">
            <w:pPr>
              <w:pStyle w:val="Milestonetable"/>
              <w:jc w:val="center"/>
              <w:rPr>
                <w:color w:val="auto"/>
              </w:rPr>
            </w:pPr>
          </w:p>
          <w:p w14:paraId="15D235A6" w14:textId="77777777" w:rsidR="005C77C6" w:rsidRDefault="005C77C6" w:rsidP="000A1BC5">
            <w:pPr>
              <w:pStyle w:val="Milestonetable"/>
              <w:jc w:val="center"/>
              <w:rPr>
                <w:color w:val="auto"/>
              </w:rPr>
            </w:pPr>
          </w:p>
          <w:p w14:paraId="6BFA955E" w14:textId="08818DE8" w:rsidR="005C77C6" w:rsidRDefault="005C77C6" w:rsidP="009E69B7">
            <w:pPr>
              <w:pStyle w:val="Milestonetable"/>
              <w:rPr>
                <w:color w:val="auto"/>
              </w:rPr>
            </w:pPr>
          </w:p>
          <w:p w14:paraId="07411ACF" w14:textId="77777777" w:rsidR="005C77C6" w:rsidRDefault="005C77C6" w:rsidP="000A1BC5">
            <w:pPr>
              <w:pStyle w:val="Milestonetable"/>
              <w:jc w:val="center"/>
              <w:rPr>
                <w:color w:val="auto"/>
              </w:rPr>
            </w:pPr>
          </w:p>
          <w:p w14:paraId="75F45F94" w14:textId="2F00B89C" w:rsidR="005C77C6" w:rsidRPr="00F00A18" w:rsidRDefault="005C77C6" w:rsidP="000A1BC5">
            <w:pPr>
              <w:pStyle w:val="Milestonetable"/>
              <w:jc w:val="center"/>
              <w:rPr>
                <w:color w:val="auto"/>
              </w:rPr>
            </w:pPr>
            <w:r>
              <w:rPr>
                <w:color w:val="auto"/>
              </w:rPr>
              <w:t>31 May 2021</w:t>
            </w:r>
          </w:p>
          <w:p w14:paraId="13A5ED80" w14:textId="77777777" w:rsidR="005C77C6" w:rsidRDefault="005C77C6" w:rsidP="000A1BC5">
            <w:pPr>
              <w:pStyle w:val="Milestonetable"/>
              <w:jc w:val="center"/>
              <w:rPr>
                <w:color w:val="auto"/>
              </w:rPr>
            </w:pPr>
          </w:p>
          <w:p w14:paraId="5F95076A" w14:textId="77777777" w:rsidR="005C77C6" w:rsidRDefault="005C77C6" w:rsidP="000A1BC5">
            <w:pPr>
              <w:pStyle w:val="Milestonetable"/>
              <w:jc w:val="center"/>
              <w:rPr>
                <w:color w:val="auto"/>
              </w:rPr>
            </w:pPr>
          </w:p>
          <w:p w14:paraId="734A4505" w14:textId="77777777" w:rsidR="005C77C6" w:rsidRDefault="005C77C6" w:rsidP="000A1BC5">
            <w:pPr>
              <w:pStyle w:val="Milestonetable"/>
              <w:jc w:val="center"/>
              <w:rPr>
                <w:color w:val="auto"/>
              </w:rPr>
            </w:pPr>
          </w:p>
          <w:p w14:paraId="25731519" w14:textId="0346D704" w:rsidR="005C77C6" w:rsidRPr="00F00A18" w:rsidRDefault="005C77C6" w:rsidP="000A1BC5">
            <w:pPr>
              <w:pStyle w:val="Milestonetable"/>
              <w:jc w:val="center"/>
              <w:rPr>
                <w:color w:val="auto"/>
              </w:rPr>
            </w:pPr>
          </w:p>
        </w:tc>
        <w:tc>
          <w:tcPr>
            <w:tcW w:w="1701" w:type="dxa"/>
            <w:vMerge w:val="restart"/>
            <w:tcBorders>
              <w:top w:val="single" w:sz="8" w:space="0" w:color="4F81BD"/>
              <w:left w:val="single" w:sz="8" w:space="0" w:color="4F81BD"/>
              <w:right w:val="single" w:sz="8" w:space="0" w:color="4F81BD"/>
            </w:tcBorders>
            <w:shd w:val="clear" w:color="auto" w:fill="auto"/>
          </w:tcPr>
          <w:p w14:paraId="4AFD192D" w14:textId="77777777" w:rsidR="005C77C6" w:rsidRDefault="005C77C6" w:rsidP="000A1BC5">
            <w:pPr>
              <w:pStyle w:val="Milestonetable"/>
              <w:jc w:val="center"/>
              <w:rPr>
                <w:color w:val="auto"/>
              </w:rPr>
            </w:pPr>
          </w:p>
          <w:p w14:paraId="6ABBBCEB" w14:textId="77777777" w:rsidR="005C77C6" w:rsidRDefault="005C77C6" w:rsidP="000A1BC5">
            <w:pPr>
              <w:pStyle w:val="Milestonetable"/>
              <w:jc w:val="center"/>
              <w:rPr>
                <w:color w:val="auto"/>
              </w:rPr>
            </w:pPr>
          </w:p>
          <w:p w14:paraId="4E9ED49A" w14:textId="77777777" w:rsidR="005C77C6" w:rsidRDefault="005C77C6" w:rsidP="009E69B7">
            <w:pPr>
              <w:pStyle w:val="Milestonetable"/>
              <w:rPr>
                <w:color w:val="auto"/>
              </w:rPr>
            </w:pPr>
          </w:p>
          <w:p w14:paraId="3E4EE81E" w14:textId="77777777" w:rsidR="005C77C6" w:rsidRDefault="005C77C6" w:rsidP="000A1BC5">
            <w:pPr>
              <w:pStyle w:val="Milestonetable"/>
              <w:jc w:val="center"/>
              <w:rPr>
                <w:color w:val="auto"/>
              </w:rPr>
            </w:pPr>
          </w:p>
          <w:p w14:paraId="742BAE5F" w14:textId="77777777" w:rsidR="005C77C6" w:rsidRDefault="005C77C6" w:rsidP="000A1BC5">
            <w:pPr>
              <w:pStyle w:val="Milestonetable"/>
              <w:jc w:val="center"/>
              <w:rPr>
                <w:color w:val="auto"/>
              </w:rPr>
            </w:pPr>
          </w:p>
          <w:p w14:paraId="4ACD6CCB" w14:textId="77777777" w:rsidR="005C77C6" w:rsidRDefault="005C77C6" w:rsidP="000A1BC5">
            <w:pPr>
              <w:pStyle w:val="Milestonetable"/>
              <w:jc w:val="center"/>
              <w:rPr>
                <w:color w:val="auto"/>
              </w:rPr>
            </w:pPr>
          </w:p>
          <w:p w14:paraId="45D3925E" w14:textId="2EA17BD0" w:rsidR="005C77C6" w:rsidRDefault="00ED48F9" w:rsidP="007C42BB">
            <w:pPr>
              <w:pStyle w:val="Milestonetable"/>
              <w:jc w:val="center"/>
              <w:rPr>
                <w:color w:val="auto"/>
              </w:rPr>
            </w:pPr>
            <w:r>
              <w:rPr>
                <w:color w:val="auto"/>
              </w:rPr>
              <w:t>$</w:t>
            </w:r>
            <w:r w:rsidR="005C77C6" w:rsidRPr="00DE65E1">
              <w:rPr>
                <w:color w:val="auto"/>
              </w:rPr>
              <w:t>1.251</w:t>
            </w:r>
            <w:r w:rsidR="005C77C6">
              <w:rPr>
                <w:color w:val="auto"/>
              </w:rPr>
              <w:t xml:space="preserve"> million</w:t>
            </w:r>
          </w:p>
          <w:p w14:paraId="60A30C32" w14:textId="77777777" w:rsidR="005C77C6" w:rsidRDefault="005C77C6" w:rsidP="000A1BC5">
            <w:pPr>
              <w:pStyle w:val="Milestonetable"/>
              <w:jc w:val="center"/>
              <w:rPr>
                <w:color w:val="auto"/>
              </w:rPr>
            </w:pPr>
          </w:p>
          <w:p w14:paraId="29F420F4" w14:textId="77777777" w:rsidR="005C77C6" w:rsidRPr="00DF32DE" w:rsidRDefault="005C77C6" w:rsidP="007C42BB">
            <w:pPr>
              <w:pStyle w:val="Milestonetable"/>
              <w:jc w:val="center"/>
            </w:pPr>
          </w:p>
        </w:tc>
      </w:tr>
      <w:tr w:rsidR="009D00F3" w:rsidRPr="00F00A18" w14:paraId="5B31D95C" w14:textId="77777777" w:rsidTr="00D24D19">
        <w:tc>
          <w:tcPr>
            <w:tcW w:w="1985" w:type="dxa"/>
            <w:tcBorders>
              <w:top w:val="single" w:sz="8" w:space="0" w:color="4F81BD"/>
              <w:left w:val="single" w:sz="8" w:space="0" w:color="4F81BD"/>
              <w:bottom w:val="single" w:sz="8" w:space="0" w:color="4F81BD"/>
              <w:right w:val="single" w:sz="8" w:space="0" w:color="4F81BD"/>
            </w:tcBorders>
          </w:tcPr>
          <w:p w14:paraId="3C62B4BC" w14:textId="34DA5BB8" w:rsidR="005C77C6" w:rsidRDefault="005C77C6" w:rsidP="000A1BC5">
            <w:pPr>
              <w:pStyle w:val="Milestonetable"/>
              <w:rPr>
                <w:color w:val="auto"/>
              </w:rPr>
            </w:pPr>
            <w:r>
              <w:rPr>
                <w:color w:val="auto"/>
              </w:rPr>
              <w:t>Environmental monitoring</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352D9412" w14:textId="7F182A16" w:rsidR="005C77C6" w:rsidRDefault="00700078" w:rsidP="000A1BC5">
            <w:pPr>
              <w:pStyle w:val="Milestonetable"/>
              <w:rPr>
                <w:color w:val="auto"/>
              </w:rPr>
            </w:pPr>
            <w:r>
              <w:rPr>
                <w:color w:val="auto"/>
              </w:rPr>
              <w:t xml:space="preserve">Ongoing </w:t>
            </w:r>
            <w:r w:rsidR="005C77C6">
              <w:rPr>
                <w:color w:val="auto"/>
              </w:rPr>
              <w:t>ground and surface water</w:t>
            </w:r>
            <w:r>
              <w:rPr>
                <w:color w:val="auto"/>
              </w:rPr>
              <w:t xml:space="preserve"> monitoring</w:t>
            </w:r>
            <w:r w:rsidR="005C77C6">
              <w:rPr>
                <w:color w:val="auto"/>
              </w:rPr>
              <w:t>.</w:t>
            </w:r>
          </w:p>
          <w:p w14:paraId="31BC771A" w14:textId="19A1EA6C" w:rsidR="005C77C6" w:rsidRDefault="005C77C6" w:rsidP="002C1D87">
            <w:pPr>
              <w:pStyle w:val="Milestonetable"/>
              <w:rPr>
                <w:color w:val="auto"/>
              </w:rPr>
            </w:pPr>
            <w:r>
              <w:rPr>
                <w:color w:val="auto"/>
              </w:rPr>
              <w:t>Co</w:t>
            </w:r>
            <w:r w:rsidR="00610843">
              <w:rPr>
                <w:color w:val="auto"/>
              </w:rPr>
              <w:t>mmence</w:t>
            </w:r>
            <w:r>
              <w:rPr>
                <w:color w:val="auto"/>
              </w:rPr>
              <w:t xml:space="preserve"> survey</w:t>
            </w:r>
            <w:r w:rsidR="002C1D87">
              <w:rPr>
                <w:color w:val="auto"/>
              </w:rPr>
              <w:t xml:space="preserve"> activities and analysis for impact assessment and improved environmental knowledge.</w:t>
            </w:r>
          </w:p>
        </w:tc>
        <w:tc>
          <w:tcPr>
            <w:tcW w:w="1701" w:type="dxa"/>
            <w:vMerge/>
            <w:tcBorders>
              <w:left w:val="single" w:sz="8" w:space="0" w:color="4F81BD"/>
              <w:right w:val="single" w:sz="8" w:space="0" w:color="4F81BD"/>
            </w:tcBorders>
            <w:shd w:val="clear" w:color="auto" w:fill="auto"/>
          </w:tcPr>
          <w:p w14:paraId="2631DC04" w14:textId="5AB66C64" w:rsidR="005C77C6" w:rsidRDefault="005C77C6" w:rsidP="000A1BC5">
            <w:pPr>
              <w:pStyle w:val="Milestonetable"/>
              <w:jc w:val="center"/>
              <w:rPr>
                <w:color w:val="auto"/>
              </w:rPr>
            </w:pPr>
          </w:p>
        </w:tc>
        <w:tc>
          <w:tcPr>
            <w:tcW w:w="1701" w:type="dxa"/>
            <w:vMerge/>
            <w:tcBorders>
              <w:left w:val="single" w:sz="8" w:space="0" w:color="4F81BD"/>
              <w:right w:val="single" w:sz="8" w:space="0" w:color="4F81BD"/>
            </w:tcBorders>
            <w:shd w:val="clear" w:color="auto" w:fill="auto"/>
          </w:tcPr>
          <w:p w14:paraId="61D24870" w14:textId="77777777" w:rsidR="005C77C6" w:rsidRDefault="005C77C6" w:rsidP="000A1BC5">
            <w:pPr>
              <w:pStyle w:val="Milestonetable"/>
              <w:jc w:val="right"/>
              <w:rPr>
                <w:color w:val="auto"/>
              </w:rPr>
            </w:pPr>
          </w:p>
        </w:tc>
      </w:tr>
      <w:tr w:rsidR="009D00F3" w:rsidRPr="00F00A18" w14:paraId="49095776" w14:textId="77777777" w:rsidTr="00D24D19">
        <w:tc>
          <w:tcPr>
            <w:tcW w:w="1985" w:type="dxa"/>
            <w:tcBorders>
              <w:top w:val="single" w:sz="8" w:space="0" w:color="4F81BD"/>
              <w:left w:val="single" w:sz="8" w:space="0" w:color="4F81BD"/>
              <w:bottom w:val="single" w:sz="8" w:space="0" w:color="4F81BD"/>
              <w:right w:val="single" w:sz="8" w:space="0" w:color="4F81BD"/>
            </w:tcBorders>
          </w:tcPr>
          <w:p w14:paraId="226C951C" w14:textId="43AEBA5B" w:rsidR="005C77C6" w:rsidRDefault="00700078" w:rsidP="0031217B">
            <w:pPr>
              <w:pStyle w:val="Milestonetable"/>
              <w:rPr>
                <w:color w:val="auto"/>
              </w:rPr>
            </w:pPr>
            <w:r w:rsidRPr="0031217B">
              <w:rPr>
                <w:color w:val="auto"/>
              </w:rPr>
              <w:t xml:space="preserve">Supporting </w:t>
            </w:r>
            <w:r w:rsidR="0031217B" w:rsidRPr="0031217B">
              <w:rPr>
                <w:color w:val="auto"/>
              </w:rPr>
              <w:t xml:space="preserve">Rum Jungle Rehabilitation </w:t>
            </w:r>
            <w:r w:rsidRPr="0031217B">
              <w:rPr>
                <w:color w:val="auto"/>
              </w:rPr>
              <w:t>Project delivery</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3BB9649B" w14:textId="659CB5E6" w:rsidR="00051099" w:rsidRDefault="00700078" w:rsidP="007C3FD9">
            <w:pPr>
              <w:pStyle w:val="Milestonetable"/>
              <w:rPr>
                <w:color w:val="auto"/>
              </w:rPr>
            </w:pPr>
            <w:r>
              <w:rPr>
                <w:color w:val="auto"/>
              </w:rPr>
              <w:t>Offer</w:t>
            </w:r>
            <w:r w:rsidR="005C77C6">
              <w:rPr>
                <w:color w:val="auto"/>
              </w:rPr>
              <w:t xml:space="preserve"> </w:t>
            </w:r>
            <w:r>
              <w:rPr>
                <w:color w:val="auto"/>
              </w:rPr>
              <w:t>opportunities</w:t>
            </w:r>
            <w:r w:rsidR="005C77C6">
              <w:rPr>
                <w:color w:val="auto"/>
              </w:rPr>
              <w:t xml:space="preserve"> </w:t>
            </w:r>
            <w:r w:rsidR="007C3FD9">
              <w:rPr>
                <w:color w:val="auto"/>
              </w:rPr>
              <w:t>for</w:t>
            </w:r>
            <w:r w:rsidR="00DB7BD8">
              <w:rPr>
                <w:color w:val="auto"/>
              </w:rPr>
              <w:t xml:space="preserve"> Indigenous participatio</w:t>
            </w:r>
            <w:r w:rsidR="007C3FD9">
              <w:rPr>
                <w:color w:val="auto"/>
              </w:rPr>
              <w:t xml:space="preserve">n in </w:t>
            </w:r>
            <w:r w:rsidR="005C77C6">
              <w:rPr>
                <w:color w:val="auto"/>
              </w:rPr>
              <w:t>employment</w:t>
            </w:r>
            <w:r w:rsidR="00C658E2">
              <w:rPr>
                <w:color w:val="auto"/>
              </w:rPr>
              <w:t xml:space="preserve">, </w:t>
            </w:r>
            <w:r w:rsidR="00642117">
              <w:rPr>
                <w:color w:val="auto"/>
              </w:rPr>
              <w:t>training</w:t>
            </w:r>
            <w:r w:rsidR="005C77C6">
              <w:rPr>
                <w:color w:val="auto"/>
              </w:rPr>
              <w:t xml:space="preserve"> and business</w:t>
            </w:r>
            <w:r>
              <w:rPr>
                <w:color w:val="auto"/>
              </w:rPr>
              <w:t xml:space="preserve"> engagement</w:t>
            </w:r>
            <w:r w:rsidR="005C77C6">
              <w:rPr>
                <w:color w:val="auto"/>
              </w:rPr>
              <w:t>.</w:t>
            </w:r>
          </w:p>
          <w:p w14:paraId="3AA12239" w14:textId="335453A5" w:rsidR="00700078" w:rsidRDefault="002C1D87" w:rsidP="002C1D87">
            <w:pPr>
              <w:pStyle w:val="Milestonetable"/>
              <w:rPr>
                <w:color w:val="auto"/>
              </w:rPr>
            </w:pPr>
            <w:r>
              <w:rPr>
                <w:color w:val="auto"/>
              </w:rPr>
              <w:t xml:space="preserve">Collaborate with </w:t>
            </w:r>
            <w:proofErr w:type="spellStart"/>
            <w:r>
              <w:rPr>
                <w:color w:val="auto"/>
              </w:rPr>
              <w:t>Kungarakan</w:t>
            </w:r>
            <w:proofErr w:type="spellEnd"/>
            <w:r>
              <w:rPr>
                <w:color w:val="auto"/>
              </w:rPr>
              <w:t xml:space="preserve"> and </w:t>
            </w:r>
            <w:proofErr w:type="spellStart"/>
            <w:r>
              <w:rPr>
                <w:color w:val="auto"/>
              </w:rPr>
              <w:t>Warai</w:t>
            </w:r>
            <w:proofErr w:type="spellEnd"/>
            <w:r>
              <w:rPr>
                <w:color w:val="auto"/>
              </w:rPr>
              <w:t xml:space="preserve"> Traditional Owners to </w:t>
            </w:r>
            <w:proofErr w:type="spellStart"/>
            <w:r>
              <w:rPr>
                <w:color w:val="auto"/>
              </w:rPr>
              <w:t>finalise</w:t>
            </w:r>
            <w:proofErr w:type="spellEnd"/>
            <w:r>
              <w:rPr>
                <w:color w:val="auto"/>
              </w:rPr>
              <w:t xml:space="preserve"> relevant project delivery documents that support their culture and aspirations.</w:t>
            </w:r>
          </w:p>
        </w:tc>
        <w:tc>
          <w:tcPr>
            <w:tcW w:w="1701" w:type="dxa"/>
            <w:vMerge/>
            <w:tcBorders>
              <w:left w:val="single" w:sz="8" w:space="0" w:color="4F81BD"/>
              <w:right w:val="single" w:sz="8" w:space="0" w:color="4F81BD"/>
            </w:tcBorders>
            <w:shd w:val="clear" w:color="auto" w:fill="auto"/>
          </w:tcPr>
          <w:p w14:paraId="52AAB062" w14:textId="45288EC4" w:rsidR="005C77C6" w:rsidRDefault="005C77C6" w:rsidP="000A1BC5">
            <w:pPr>
              <w:pStyle w:val="Milestonetable"/>
              <w:jc w:val="center"/>
              <w:rPr>
                <w:color w:val="auto"/>
              </w:rPr>
            </w:pPr>
          </w:p>
        </w:tc>
        <w:tc>
          <w:tcPr>
            <w:tcW w:w="1701" w:type="dxa"/>
            <w:vMerge/>
            <w:tcBorders>
              <w:left w:val="single" w:sz="8" w:space="0" w:color="4F81BD"/>
              <w:right w:val="single" w:sz="8" w:space="0" w:color="4F81BD"/>
            </w:tcBorders>
            <w:shd w:val="clear" w:color="auto" w:fill="auto"/>
          </w:tcPr>
          <w:p w14:paraId="793D8AF8" w14:textId="77777777" w:rsidR="005C77C6" w:rsidRDefault="005C77C6" w:rsidP="000A1BC5">
            <w:pPr>
              <w:pStyle w:val="Milestonetable"/>
              <w:jc w:val="right"/>
              <w:rPr>
                <w:color w:val="auto"/>
              </w:rPr>
            </w:pPr>
          </w:p>
        </w:tc>
      </w:tr>
      <w:tr w:rsidR="009D00F3" w:rsidRPr="00F00A18" w14:paraId="1A2C586D" w14:textId="77777777" w:rsidTr="00D24D19">
        <w:tc>
          <w:tcPr>
            <w:tcW w:w="1985" w:type="dxa"/>
            <w:tcBorders>
              <w:top w:val="single" w:sz="8" w:space="0" w:color="4F81BD"/>
              <w:left w:val="single" w:sz="8" w:space="0" w:color="4F81BD"/>
              <w:bottom w:val="single" w:sz="8" w:space="0" w:color="4F81BD"/>
              <w:right w:val="single" w:sz="8" w:space="0" w:color="4F81BD"/>
            </w:tcBorders>
          </w:tcPr>
          <w:p w14:paraId="066D1E04" w14:textId="13AEA7B5" w:rsidR="005C77C6" w:rsidRDefault="005C77C6" w:rsidP="000A1BC5">
            <w:pPr>
              <w:pStyle w:val="Milestonetable"/>
              <w:rPr>
                <w:color w:val="auto"/>
              </w:rPr>
            </w:pPr>
            <w:r>
              <w:rPr>
                <w:color w:val="auto"/>
              </w:rPr>
              <w:t>Stakeholder engagement</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23253242" w14:textId="4EE6476A" w:rsidR="005C77C6" w:rsidRDefault="001261C9" w:rsidP="000D1034">
            <w:pPr>
              <w:pStyle w:val="Milestonetable"/>
              <w:rPr>
                <w:color w:val="auto"/>
              </w:rPr>
            </w:pPr>
            <w:r>
              <w:rPr>
                <w:color w:val="auto"/>
              </w:rPr>
              <w:t>D</w:t>
            </w:r>
            <w:r w:rsidR="005C77C6">
              <w:rPr>
                <w:color w:val="auto"/>
              </w:rPr>
              <w:t xml:space="preserve">ocument </w:t>
            </w:r>
            <w:r>
              <w:rPr>
                <w:color w:val="auto"/>
              </w:rPr>
              <w:t>and report community</w:t>
            </w:r>
            <w:r w:rsidR="005C77C6">
              <w:rPr>
                <w:color w:val="auto"/>
              </w:rPr>
              <w:t xml:space="preserve"> </w:t>
            </w:r>
            <w:r>
              <w:rPr>
                <w:color w:val="auto"/>
              </w:rPr>
              <w:t>engagement activities</w:t>
            </w:r>
            <w:r w:rsidR="000D1034">
              <w:t xml:space="preserve"> </w:t>
            </w:r>
            <w:r w:rsidR="000D1034" w:rsidRPr="000D1034">
              <w:rPr>
                <w:color w:val="auto"/>
              </w:rPr>
              <w:t xml:space="preserve">specifically with the </w:t>
            </w:r>
            <w:proofErr w:type="spellStart"/>
            <w:r w:rsidR="000D1034" w:rsidRPr="000D1034">
              <w:rPr>
                <w:color w:val="auto"/>
              </w:rPr>
              <w:t>Kungarakan</w:t>
            </w:r>
            <w:proofErr w:type="spellEnd"/>
            <w:r w:rsidR="000D1034" w:rsidRPr="000D1034">
              <w:rPr>
                <w:color w:val="auto"/>
              </w:rPr>
              <w:t xml:space="preserve"> and </w:t>
            </w:r>
            <w:proofErr w:type="spellStart"/>
            <w:r w:rsidR="000D1034" w:rsidRPr="000D1034">
              <w:rPr>
                <w:color w:val="auto"/>
              </w:rPr>
              <w:t>Warai</w:t>
            </w:r>
            <w:proofErr w:type="spellEnd"/>
            <w:r w:rsidR="000D1034" w:rsidRPr="000D1034">
              <w:rPr>
                <w:color w:val="auto"/>
              </w:rPr>
              <w:t xml:space="preserve"> peoples, with the community of </w:t>
            </w:r>
            <w:proofErr w:type="spellStart"/>
            <w:r w:rsidR="000D1034" w:rsidRPr="000D1034">
              <w:rPr>
                <w:color w:val="auto"/>
              </w:rPr>
              <w:t>Coomalie</w:t>
            </w:r>
            <w:proofErr w:type="spellEnd"/>
            <w:r w:rsidR="000D1034" w:rsidRPr="000D1034">
              <w:rPr>
                <w:color w:val="auto"/>
              </w:rPr>
              <w:t xml:space="preserve"> and with project stakeholders.</w:t>
            </w:r>
          </w:p>
        </w:tc>
        <w:tc>
          <w:tcPr>
            <w:tcW w:w="1701" w:type="dxa"/>
            <w:vMerge/>
            <w:tcBorders>
              <w:left w:val="single" w:sz="8" w:space="0" w:color="4F81BD"/>
              <w:right w:val="single" w:sz="8" w:space="0" w:color="4F81BD"/>
            </w:tcBorders>
            <w:shd w:val="clear" w:color="auto" w:fill="auto"/>
          </w:tcPr>
          <w:p w14:paraId="6505C74B" w14:textId="7979F9BF" w:rsidR="005C77C6" w:rsidRDefault="005C77C6" w:rsidP="000A1BC5">
            <w:pPr>
              <w:pStyle w:val="Milestonetable"/>
              <w:jc w:val="center"/>
              <w:rPr>
                <w:color w:val="auto"/>
              </w:rPr>
            </w:pPr>
          </w:p>
        </w:tc>
        <w:tc>
          <w:tcPr>
            <w:tcW w:w="1701" w:type="dxa"/>
            <w:vMerge/>
            <w:tcBorders>
              <w:left w:val="single" w:sz="8" w:space="0" w:color="4F81BD"/>
              <w:right w:val="single" w:sz="8" w:space="0" w:color="4F81BD"/>
            </w:tcBorders>
            <w:shd w:val="clear" w:color="auto" w:fill="auto"/>
          </w:tcPr>
          <w:p w14:paraId="29BB86BA" w14:textId="77777777" w:rsidR="005C77C6" w:rsidRDefault="005C77C6" w:rsidP="000A1BC5">
            <w:pPr>
              <w:pStyle w:val="Milestonetable"/>
              <w:jc w:val="right"/>
              <w:rPr>
                <w:color w:val="auto"/>
              </w:rPr>
            </w:pPr>
          </w:p>
        </w:tc>
      </w:tr>
    </w:tbl>
    <w:p w14:paraId="08CA4DFB" w14:textId="77777777" w:rsidR="002C1D87" w:rsidRDefault="002C1D87">
      <w:r>
        <w:rPr>
          <w:iCs/>
        </w:rPr>
        <w:br w:type="page"/>
      </w:r>
    </w:p>
    <w:tbl>
      <w:tblPr>
        <w:tblW w:w="14118" w:type="dxa"/>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85"/>
        <w:gridCol w:w="8731"/>
        <w:gridCol w:w="1701"/>
        <w:gridCol w:w="1701"/>
      </w:tblGrid>
      <w:tr w:rsidR="002C1D87" w:rsidRPr="00F00A18" w14:paraId="1FA181E4" w14:textId="77777777" w:rsidTr="000A1BC5">
        <w:tc>
          <w:tcPr>
            <w:tcW w:w="1985" w:type="dxa"/>
            <w:shd w:val="clear" w:color="auto" w:fill="F2F2F2" w:themeFill="background1" w:themeFillShade="F2"/>
          </w:tcPr>
          <w:p w14:paraId="4E09F066" w14:textId="10543036" w:rsidR="002C1D87" w:rsidRPr="00F00A18" w:rsidRDefault="002C1D87" w:rsidP="000A1BC5">
            <w:pPr>
              <w:pStyle w:val="Tableformat"/>
              <w:rPr>
                <w:b/>
                <w:color w:val="auto"/>
              </w:rPr>
            </w:pPr>
            <w:r>
              <w:rPr>
                <w:b/>
                <w:color w:val="auto"/>
              </w:rPr>
              <w:lastRenderedPageBreak/>
              <w:t>Output</w:t>
            </w:r>
          </w:p>
        </w:tc>
        <w:tc>
          <w:tcPr>
            <w:tcW w:w="8731" w:type="dxa"/>
            <w:shd w:val="clear" w:color="auto" w:fill="F2F2F2" w:themeFill="background1" w:themeFillShade="F2"/>
          </w:tcPr>
          <w:p w14:paraId="6E586A92" w14:textId="77777777" w:rsidR="002C1D87" w:rsidRPr="00F00A18" w:rsidRDefault="002C1D87" w:rsidP="000A1BC5">
            <w:pPr>
              <w:pStyle w:val="Tableformat"/>
              <w:rPr>
                <w:b/>
                <w:color w:val="auto"/>
              </w:rPr>
            </w:pPr>
            <w:r w:rsidRPr="00F00A18">
              <w:rPr>
                <w:b/>
                <w:color w:val="auto"/>
              </w:rPr>
              <w:t>Performance milestones</w:t>
            </w:r>
          </w:p>
        </w:tc>
        <w:tc>
          <w:tcPr>
            <w:tcW w:w="1701" w:type="dxa"/>
            <w:shd w:val="clear" w:color="auto" w:fill="F2F2F2" w:themeFill="background1" w:themeFillShade="F2"/>
          </w:tcPr>
          <w:p w14:paraId="50FD43FF" w14:textId="77777777" w:rsidR="002C1D87" w:rsidRPr="00F00A18" w:rsidRDefault="002C1D87" w:rsidP="000A1BC5">
            <w:pPr>
              <w:pStyle w:val="Tableformat"/>
              <w:rPr>
                <w:b/>
                <w:color w:val="auto"/>
              </w:rPr>
            </w:pPr>
            <w:r w:rsidRPr="00F00A18">
              <w:rPr>
                <w:b/>
                <w:color w:val="auto"/>
              </w:rPr>
              <w:t>Report due</w:t>
            </w:r>
          </w:p>
        </w:tc>
        <w:tc>
          <w:tcPr>
            <w:tcW w:w="1701" w:type="dxa"/>
            <w:shd w:val="clear" w:color="auto" w:fill="F2F2F2" w:themeFill="background1" w:themeFillShade="F2"/>
          </w:tcPr>
          <w:p w14:paraId="1F266947" w14:textId="77777777" w:rsidR="002C1D87" w:rsidRPr="00F00A18" w:rsidRDefault="002C1D87" w:rsidP="000A1BC5">
            <w:pPr>
              <w:pStyle w:val="Tableformat"/>
              <w:rPr>
                <w:b/>
                <w:color w:val="auto"/>
              </w:rPr>
            </w:pPr>
            <w:r w:rsidRPr="00F00A18">
              <w:rPr>
                <w:b/>
                <w:color w:val="auto"/>
              </w:rPr>
              <w:t>Payment</w:t>
            </w:r>
          </w:p>
        </w:tc>
      </w:tr>
      <w:tr w:rsidR="003E70EE" w:rsidRPr="00F00A18" w14:paraId="6D3672E1" w14:textId="77777777" w:rsidTr="000A1BC5">
        <w:tc>
          <w:tcPr>
            <w:tcW w:w="1985" w:type="dxa"/>
            <w:tcBorders>
              <w:top w:val="single" w:sz="8" w:space="0" w:color="4F81BD"/>
              <w:left w:val="single" w:sz="8" w:space="0" w:color="4F81BD"/>
              <w:bottom w:val="single" w:sz="8" w:space="0" w:color="4F81BD"/>
              <w:right w:val="single" w:sz="8" w:space="0" w:color="4F81BD"/>
            </w:tcBorders>
          </w:tcPr>
          <w:p w14:paraId="186DDB94" w14:textId="449EF1D1" w:rsidR="003E70EE" w:rsidRPr="00F00A18" w:rsidRDefault="003E70EE" w:rsidP="003E70EE">
            <w:pPr>
              <w:pStyle w:val="Milestonetable"/>
              <w:rPr>
                <w:color w:val="auto"/>
              </w:rPr>
            </w:pPr>
            <w:r>
              <w:rPr>
                <w:color w:val="auto"/>
              </w:rPr>
              <w:t>Improve land management</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69427E57" w14:textId="77777777" w:rsidR="003E70EE" w:rsidRDefault="003E70EE" w:rsidP="003E70EE">
            <w:pPr>
              <w:pStyle w:val="Milestonetable"/>
              <w:rPr>
                <w:color w:val="auto"/>
              </w:rPr>
            </w:pPr>
            <w:r>
              <w:rPr>
                <w:color w:val="auto"/>
              </w:rPr>
              <w:t>Address critical issues to improve the land, such as:</w:t>
            </w:r>
          </w:p>
          <w:p w14:paraId="36F5AFAA" w14:textId="77777777" w:rsidR="003E70EE" w:rsidRDefault="003E70EE" w:rsidP="003E70EE">
            <w:pPr>
              <w:pStyle w:val="Milestonetable"/>
              <w:numPr>
                <w:ilvl w:val="0"/>
                <w:numId w:val="16"/>
              </w:numPr>
              <w:rPr>
                <w:color w:val="auto"/>
              </w:rPr>
            </w:pPr>
            <w:r>
              <w:rPr>
                <w:color w:val="auto"/>
              </w:rPr>
              <w:t>invasive animals and weeds;</w:t>
            </w:r>
          </w:p>
          <w:p w14:paraId="0A60E15B" w14:textId="51E8CB0A" w:rsidR="003E70EE" w:rsidRDefault="003E70EE" w:rsidP="003E70EE">
            <w:pPr>
              <w:pStyle w:val="Milestonetable"/>
              <w:numPr>
                <w:ilvl w:val="0"/>
                <w:numId w:val="16"/>
              </w:numPr>
              <w:rPr>
                <w:color w:val="auto"/>
              </w:rPr>
            </w:pPr>
            <w:r>
              <w:rPr>
                <w:color w:val="auto"/>
              </w:rPr>
              <w:t>fire regime;</w:t>
            </w:r>
          </w:p>
          <w:p w14:paraId="41B2164F" w14:textId="6AC21F4A" w:rsidR="003E70EE" w:rsidRDefault="003E70EE" w:rsidP="003E70EE">
            <w:pPr>
              <w:pStyle w:val="Milestonetable"/>
              <w:numPr>
                <w:ilvl w:val="0"/>
                <w:numId w:val="16"/>
              </w:numPr>
              <w:rPr>
                <w:color w:val="auto"/>
              </w:rPr>
            </w:pPr>
            <w:r>
              <w:rPr>
                <w:color w:val="auto"/>
              </w:rPr>
              <w:t>soil management and revegetation preparatory works; and</w:t>
            </w:r>
          </w:p>
          <w:p w14:paraId="680E9BA7" w14:textId="10C739B8" w:rsidR="003E70EE" w:rsidRDefault="003E70EE" w:rsidP="003E70EE">
            <w:pPr>
              <w:pStyle w:val="Milestonetable"/>
              <w:numPr>
                <w:ilvl w:val="0"/>
                <w:numId w:val="16"/>
              </w:numPr>
              <w:rPr>
                <w:color w:val="auto"/>
              </w:rPr>
            </w:pPr>
            <w:proofErr w:type="gramStart"/>
            <w:r>
              <w:rPr>
                <w:color w:val="auto"/>
              </w:rPr>
              <w:t>r</w:t>
            </w:r>
            <w:r w:rsidRPr="002C1D87">
              <w:rPr>
                <w:color w:val="auto"/>
              </w:rPr>
              <w:t>emove</w:t>
            </w:r>
            <w:proofErr w:type="gramEnd"/>
            <w:r w:rsidRPr="002C1D87">
              <w:rPr>
                <w:color w:val="auto"/>
              </w:rPr>
              <w:t xml:space="preserve"> and manage asbestos containing materials and other scrap materials.</w:t>
            </w:r>
          </w:p>
          <w:p w14:paraId="55F1BFD6" w14:textId="5F330DA2" w:rsidR="003E70EE" w:rsidRPr="00F00A18" w:rsidRDefault="003E70EE" w:rsidP="003E70EE">
            <w:pPr>
              <w:pStyle w:val="Milestonetable"/>
              <w:ind w:left="5040" w:hanging="5040"/>
              <w:rPr>
                <w:color w:val="auto"/>
              </w:rPr>
            </w:pPr>
            <w:r>
              <w:rPr>
                <w:color w:val="auto"/>
              </w:rPr>
              <w:t>Complete A</w:t>
            </w:r>
            <w:r w:rsidRPr="00A26A2A">
              <w:rPr>
                <w:color w:val="auto"/>
              </w:rPr>
              <w:t xml:space="preserve">nnual </w:t>
            </w:r>
            <w:r>
              <w:rPr>
                <w:color w:val="auto"/>
              </w:rPr>
              <w:t>R</w:t>
            </w:r>
            <w:r w:rsidRPr="00A26A2A">
              <w:rPr>
                <w:color w:val="auto"/>
              </w:rPr>
              <w:t xml:space="preserve">adiation </w:t>
            </w:r>
            <w:r>
              <w:rPr>
                <w:color w:val="auto"/>
              </w:rPr>
              <w:t>R</w:t>
            </w:r>
            <w:r w:rsidRPr="00A26A2A">
              <w:rPr>
                <w:color w:val="auto"/>
              </w:rPr>
              <w:t>eporting</w:t>
            </w:r>
            <w:r>
              <w:rPr>
                <w:color w:val="auto"/>
              </w:rPr>
              <w:t>.</w:t>
            </w:r>
          </w:p>
        </w:tc>
        <w:tc>
          <w:tcPr>
            <w:tcW w:w="1701" w:type="dxa"/>
            <w:vMerge/>
            <w:tcBorders>
              <w:left w:val="single" w:sz="8" w:space="0" w:color="4F81BD"/>
              <w:right w:val="single" w:sz="8" w:space="0" w:color="4F81BD"/>
            </w:tcBorders>
            <w:shd w:val="clear" w:color="auto" w:fill="auto"/>
          </w:tcPr>
          <w:p w14:paraId="4C152B7B" w14:textId="77777777" w:rsidR="003E70EE" w:rsidRDefault="003E70EE" w:rsidP="003E70EE">
            <w:pPr>
              <w:pStyle w:val="Milestonetable"/>
              <w:jc w:val="center"/>
              <w:rPr>
                <w:color w:val="auto"/>
              </w:rPr>
            </w:pPr>
          </w:p>
          <w:p w14:paraId="0C18ED88" w14:textId="77777777" w:rsidR="003E70EE" w:rsidRDefault="003E70EE" w:rsidP="003E70EE">
            <w:pPr>
              <w:pStyle w:val="Milestonetable"/>
              <w:jc w:val="center"/>
              <w:rPr>
                <w:color w:val="auto"/>
              </w:rPr>
            </w:pPr>
          </w:p>
          <w:p w14:paraId="4945922C" w14:textId="77777777" w:rsidR="003E70EE" w:rsidRDefault="003E70EE" w:rsidP="00443870">
            <w:pPr>
              <w:pStyle w:val="Milestonetable"/>
              <w:rPr>
                <w:color w:val="auto"/>
              </w:rPr>
            </w:pPr>
          </w:p>
          <w:p w14:paraId="3CF810D1" w14:textId="77777777" w:rsidR="00443870" w:rsidRDefault="00443870" w:rsidP="00443870">
            <w:pPr>
              <w:pStyle w:val="Milestonetable"/>
              <w:rPr>
                <w:color w:val="auto"/>
              </w:rPr>
            </w:pPr>
          </w:p>
          <w:p w14:paraId="13A9E703" w14:textId="77777777" w:rsidR="00443870" w:rsidRDefault="00443870" w:rsidP="00443870">
            <w:pPr>
              <w:pStyle w:val="Milestonetable"/>
              <w:rPr>
                <w:color w:val="auto"/>
              </w:rPr>
            </w:pPr>
            <w:bookmarkStart w:id="0" w:name="_GoBack"/>
            <w:bookmarkEnd w:id="0"/>
          </w:p>
          <w:p w14:paraId="0D05803F" w14:textId="77777777" w:rsidR="003E70EE" w:rsidRDefault="003E70EE" w:rsidP="003E70EE">
            <w:pPr>
              <w:pStyle w:val="Milestonetable"/>
              <w:jc w:val="center"/>
              <w:rPr>
                <w:color w:val="auto"/>
              </w:rPr>
            </w:pPr>
          </w:p>
          <w:p w14:paraId="2715B7B2" w14:textId="77777777" w:rsidR="003E70EE" w:rsidRDefault="003E70EE" w:rsidP="003E70EE">
            <w:pPr>
              <w:pStyle w:val="Milestonetable"/>
              <w:jc w:val="center"/>
              <w:rPr>
                <w:color w:val="auto"/>
              </w:rPr>
            </w:pPr>
          </w:p>
          <w:p w14:paraId="0734F418" w14:textId="77777777" w:rsidR="003E70EE" w:rsidRDefault="003E70EE" w:rsidP="003E70EE">
            <w:pPr>
              <w:pStyle w:val="Milestonetable"/>
              <w:jc w:val="center"/>
              <w:rPr>
                <w:color w:val="auto"/>
              </w:rPr>
            </w:pPr>
          </w:p>
          <w:p w14:paraId="7E5BDD69" w14:textId="7BE9EFE4" w:rsidR="003E70EE" w:rsidRDefault="003E70EE" w:rsidP="003E70EE">
            <w:pPr>
              <w:pStyle w:val="Milestonetable"/>
              <w:jc w:val="center"/>
              <w:rPr>
                <w:color w:val="auto"/>
              </w:rPr>
            </w:pPr>
            <w:r>
              <w:rPr>
                <w:color w:val="auto"/>
              </w:rPr>
              <w:t>31 May 2022</w:t>
            </w:r>
          </w:p>
          <w:p w14:paraId="3659540D" w14:textId="77777777" w:rsidR="003E70EE" w:rsidRPr="00F00A18" w:rsidRDefault="003E70EE" w:rsidP="003E70EE">
            <w:pPr>
              <w:pStyle w:val="Milestonetable"/>
              <w:rPr>
                <w:color w:val="auto"/>
              </w:rPr>
            </w:pPr>
          </w:p>
        </w:tc>
        <w:tc>
          <w:tcPr>
            <w:tcW w:w="1701" w:type="dxa"/>
            <w:vMerge/>
            <w:tcBorders>
              <w:left w:val="single" w:sz="8" w:space="0" w:color="4F81BD"/>
              <w:right w:val="single" w:sz="8" w:space="0" w:color="4F81BD"/>
            </w:tcBorders>
            <w:shd w:val="clear" w:color="auto" w:fill="auto"/>
          </w:tcPr>
          <w:p w14:paraId="1584FAB0" w14:textId="77777777" w:rsidR="003E70EE" w:rsidRDefault="003E70EE" w:rsidP="003E70EE">
            <w:pPr>
              <w:pStyle w:val="Milestonetable"/>
              <w:jc w:val="center"/>
              <w:rPr>
                <w:color w:val="auto"/>
              </w:rPr>
            </w:pPr>
          </w:p>
          <w:p w14:paraId="5E59F6D3" w14:textId="77777777" w:rsidR="003E70EE" w:rsidRDefault="003E70EE" w:rsidP="003E70EE">
            <w:pPr>
              <w:pStyle w:val="Milestonetable"/>
              <w:jc w:val="center"/>
              <w:rPr>
                <w:color w:val="auto"/>
              </w:rPr>
            </w:pPr>
          </w:p>
          <w:p w14:paraId="4B89E0D1" w14:textId="77777777" w:rsidR="003E70EE" w:rsidRDefault="003E70EE" w:rsidP="003E70EE">
            <w:pPr>
              <w:pStyle w:val="Milestonetable"/>
              <w:jc w:val="center"/>
              <w:rPr>
                <w:color w:val="auto"/>
              </w:rPr>
            </w:pPr>
          </w:p>
          <w:p w14:paraId="42C5898A" w14:textId="77777777" w:rsidR="003E70EE" w:rsidRDefault="003E70EE" w:rsidP="003E70EE">
            <w:pPr>
              <w:pStyle w:val="Milestonetable"/>
              <w:jc w:val="center"/>
              <w:rPr>
                <w:color w:val="auto"/>
              </w:rPr>
            </w:pPr>
          </w:p>
          <w:p w14:paraId="2F3A4269" w14:textId="77777777" w:rsidR="003E70EE" w:rsidRDefault="003E70EE" w:rsidP="003E70EE">
            <w:pPr>
              <w:pStyle w:val="Milestonetable"/>
              <w:jc w:val="center"/>
              <w:rPr>
                <w:color w:val="auto"/>
              </w:rPr>
            </w:pPr>
          </w:p>
          <w:p w14:paraId="6912705D" w14:textId="77777777" w:rsidR="003E70EE" w:rsidRDefault="003E70EE" w:rsidP="003E70EE">
            <w:pPr>
              <w:pStyle w:val="Milestonetable"/>
              <w:jc w:val="center"/>
              <w:rPr>
                <w:color w:val="auto"/>
              </w:rPr>
            </w:pPr>
          </w:p>
          <w:p w14:paraId="036D7ECC" w14:textId="77777777" w:rsidR="003E70EE" w:rsidRDefault="003E70EE" w:rsidP="003E70EE">
            <w:pPr>
              <w:pStyle w:val="Milestonetable"/>
              <w:jc w:val="center"/>
              <w:rPr>
                <w:color w:val="auto"/>
              </w:rPr>
            </w:pPr>
          </w:p>
          <w:p w14:paraId="1AA617E0" w14:textId="77777777" w:rsidR="003E70EE" w:rsidRDefault="003E70EE" w:rsidP="003E70EE">
            <w:pPr>
              <w:pStyle w:val="Milestonetable"/>
              <w:jc w:val="center"/>
              <w:rPr>
                <w:color w:val="auto"/>
              </w:rPr>
            </w:pPr>
          </w:p>
          <w:p w14:paraId="35555D48" w14:textId="03828F71" w:rsidR="003E70EE" w:rsidRDefault="003E70EE" w:rsidP="003E70EE">
            <w:pPr>
              <w:pStyle w:val="Milestonetable"/>
              <w:jc w:val="center"/>
              <w:rPr>
                <w:color w:val="auto"/>
              </w:rPr>
            </w:pPr>
            <w:r>
              <w:rPr>
                <w:color w:val="auto"/>
              </w:rPr>
              <w:t>$</w:t>
            </w:r>
            <w:r w:rsidRPr="00DE65E1">
              <w:rPr>
                <w:color w:val="auto"/>
              </w:rPr>
              <w:t>2.251</w:t>
            </w:r>
            <w:r>
              <w:rPr>
                <w:color w:val="auto"/>
              </w:rPr>
              <w:t xml:space="preserve"> million</w:t>
            </w:r>
          </w:p>
          <w:p w14:paraId="1BFA525D" w14:textId="77777777" w:rsidR="003E70EE" w:rsidRPr="00F00A18" w:rsidRDefault="003E70EE" w:rsidP="003E70EE">
            <w:pPr>
              <w:pStyle w:val="Milestonetable"/>
              <w:rPr>
                <w:color w:val="auto"/>
              </w:rPr>
            </w:pPr>
          </w:p>
        </w:tc>
      </w:tr>
      <w:tr w:rsidR="003E70EE" w:rsidRPr="00F00A18" w14:paraId="03150244" w14:textId="77777777" w:rsidTr="000A1BC5">
        <w:tc>
          <w:tcPr>
            <w:tcW w:w="1985" w:type="dxa"/>
            <w:tcBorders>
              <w:top w:val="single" w:sz="8" w:space="0" w:color="4F81BD"/>
              <w:left w:val="single" w:sz="8" w:space="0" w:color="4F81BD"/>
              <w:bottom w:val="single" w:sz="8" w:space="0" w:color="4F81BD"/>
              <w:right w:val="single" w:sz="8" w:space="0" w:color="4F81BD"/>
            </w:tcBorders>
          </w:tcPr>
          <w:p w14:paraId="3FD43E77" w14:textId="3D4D729F" w:rsidR="003E70EE" w:rsidRPr="0031217B" w:rsidRDefault="003E70EE" w:rsidP="003E70EE">
            <w:pPr>
              <w:pStyle w:val="Milestonetable"/>
              <w:rPr>
                <w:color w:val="auto"/>
                <w:highlight w:val="yellow"/>
              </w:rPr>
            </w:pPr>
            <w:r w:rsidRPr="0031217B">
              <w:rPr>
                <w:color w:val="auto"/>
              </w:rPr>
              <w:t>Environmental monitoring</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7245AE69" w14:textId="12F1C06B" w:rsidR="003E70EE" w:rsidRDefault="003E70EE" w:rsidP="003E70EE">
            <w:pPr>
              <w:pStyle w:val="Milestonetable"/>
              <w:rPr>
                <w:color w:val="auto"/>
              </w:rPr>
            </w:pPr>
            <w:r>
              <w:rPr>
                <w:color w:val="auto"/>
              </w:rPr>
              <w:t>Ongoing ground and surface water monitoring and models updated.</w:t>
            </w:r>
          </w:p>
          <w:p w14:paraId="4C6D2256" w14:textId="30EE162A" w:rsidR="003E70EE" w:rsidRDefault="003E70EE" w:rsidP="003E70EE">
            <w:pPr>
              <w:pStyle w:val="Milestonetable"/>
              <w:rPr>
                <w:color w:val="auto"/>
              </w:rPr>
            </w:pPr>
            <w:r w:rsidRPr="003E70EE">
              <w:rPr>
                <w:color w:val="auto"/>
              </w:rPr>
              <w:t>C</w:t>
            </w:r>
            <w:r>
              <w:rPr>
                <w:color w:val="auto"/>
              </w:rPr>
              <w:t>omplete</w:t>
            </w:r>
            <w:r w:rsidRPr="003E70EE">
              <w:rPr>
                <w:color w:val="auto"/>
              </w:rPr>
              <w:t xml:space="preserve"> survey activities and analysis for impact assessment and improved environmental knowledge.</w:t>
            </w:r>
          </w:p>
        </w:tc>
        <w:tc>
          <w:tcPr>
            <w:tcW w:w="1701" w:type="dxa"/>
            <w:vMerge/>
            <w:tcBorders>
              <w:left w:val="single" w:sz="8" w:space="0" w:color="4F81BD"/>
              <w:right w:val="single" w:sz="8" w:space="0" w:color="4F81BD"/>
            </w:tcBorders>
            <w:shd w:val="clear" w:color="auto" w:fill="auto"/>
          </w:tcPr>
          <w:p w14:paraId="11CB258C" w14:textId="77777777" w:rsidR="003E70EE" w:rsidRPr="00F00A18" w:rsidRDefault="003E70EE" w:rsidP="003E70EE">
            <w:pPr>
              <w:pStyle w:val="Milestonetable"/>
              <w:rPr>
                <w:color w:val="auto"/>
              </w:rPr>
            </w:pPr>
          </w:p>
        </w:tc>
        <w:tc>
          <w:tcPr>
            <w:tcW w:w="1701" w:type="dxa"/>
            <w:vMerge/>
            <w:tcBorders>
              <w:left w:val="single" w:sz="8" w:space="0" w:color="4F81BD"/>
              <w:right w:val="single" w:sz="8" w:space="0" w:color="4F81BD"/>
            </w:tcBorders>
            <w:shd w:val="clear" w:color="auto" w:fill="auto"/>
          </w:tcPr>
          <w:p w14:paraId="396C1957" w14:textId="77777777" w:rsidR="003E70EE" w:rsidRPr="00F00A18" w:rsidRDefault="003E70EE" w:rsidP="003E70EE">
            <w:pPr>
              <w:pStyle w:val="Milestonetable"/>
              <w:rPr>
                <w:color w:val="auto"/>
              </w:rPr>
            </w:pPr>
          </w:p>
        </w:tc>
      </w:tr>
      <w:tr w:rsidR="003E70EE" w:rsidRPr="00F00A18" w14:paraId="1C6D74DD" w14:textId="77777777" w:rsidTr="000A1BC5">
        <w:tc>
          <w:tcPr>
            <w:tcW w:w="1985" w:type="dxa"/>
            <w:tcBorders>
              <w:top w:val="single" w:sz="8" w:space="0" w:color="4F81BD"/>
              <w:left w:val="single" w:sz="8" w:space="0" w:color="4F81BD"/>
              <w:bottom w:val="single" w:sz="8" w:space="0" w:color="4F81BD"/>
              <w:right w:val="single" w:sz="8" w:space="0" w:color="4F81BD"/>
            </w:tcBorders>
          </w:tcPr>
          <w:p w14:paraId="5CE20B50" w14:textId="36E4F6F7" w:rsidR="003E70EE" w:rsidRPr="0031217B" w:rsidRDefault="0031217B" w:rsidP="003E70EE">
            <w:pPr>
              <w:pStyle w:val="Milestonetable"/>
              <w:rPr>
                <w:color w:val="auto"/>
                <w:highlight w:val="yellow"/>
              </w:rPr>
            </w:pPr>
            <w:r w:rsidRPr="0031217B">
              <w:rPr>
                <w:color w:val="auto"/>
              </w:rPr>
              <w:t>Supporting Rum Jungle Rehabilitation Project delivery</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66D8D35A" w14:textId="77777777" w:rsidR="003E70EE" w:rsidRDefault="003E70EE" w:rsidP="003E70EE">
            <w:pPr>
              <w:pStyle w:val="Milestonetable"/>
              <w:rPr>
                <w:color w:val="auto"/>
              </w:rPr>
            </w:pPr>
            <w:r>
              <w:rPr>
                <w:color w:val="auto"/>
              </w:rPr>
              <w:t>Support opportunities for Indigenous participation in employment and training, and business engagement.</w:t>
            </w:r>
          </w:p>
          <w:p w14:paraId="6D0E19F2" w14:textId="77777777" w:rsidR="009E69B7" w:rsidRDefault="009E69B7" w:rsidP="003E70EE">
            <w:pPr>
              <w:pStyle w:val="Milestonetable"/>
              <w:rPr>
                <w:color w:val="auto"/>
              </w:rPr>
            </w:pPr>
            <w:r w:rsidRPr="009E69B7">
              <w:rPr>
                <w:color w:val="auto"/>
              </w:rPr>
              <w:t xml:space="preserve">Collaborate with </w:t>
            </w:r>
            <w:proofErr w:type="spellStart"/>
            <w:r w:rsidRPr="009E69B7">
              <w:rPr>
                <w:color w:val="auto"/>
              </w:rPr>
              <w:t>Kungarakan</w:t>
            </w:r>
            <w:proofErr w:type="spellEnd"/>
            <w:r w:rsidRPr="009E69B7">
              <w:rPr>
                <w:color w:val="auto"/>
              </w:rPr>
              <w:t xml:space="preserve"> and </w:t>
            </w:r>
            <w:proofErr w:type="spellStart"/>
            <w:r w:rsidRPr="009E69B7">
              <w:rPr>
                <w:color w:val="auto"/>
              </w:rPr>
              <w:t>Warai</w:t>
            </w:r>
            <w:proofErr w:type="spellEnd"/>
            <w:r w:rsidRPr="009E69B7">
              <w:rPr>
                <w:color w:val="auto"/>
              </w:rPr>
              <w:t xml:space="preserve"> Traditional Owners to </w:t>
            </w:r>
            <w:proofErr w:type="spellStart"/>
            <w:r w:rsidRPr="009E69B7">
              <w:rPr>
                <w:color w:val="auto"/>
              </w:rPr>
              <w:t>finalise</w:t>
            </w:r>
            <w:proofErr w:type="spellEnd"/>
            <w:r w:rsidRPr="009E69B7">
              <w:rPr>
                <w:color w:val="auto"/>
              </w:rPr>
              <w:t xml:space="preserve"> relevant project delivery documents that support their culture and aspirations.</w:t>
            </w:r>
          </w:p>
          <w:p w14:paraId="20FEF9F7" w14:textId="0390C9D9" w:rsidR="003E70EE" w:rsidRDefault="003E70EE" w:rsidP="003E70EE">
            <w:pPr>
              <w:pStyle w:val="Milestonetable"/>
              <w:rPr>
                <w:color w:val="auto"/>
              </w:rPr>
            </w:pPr>
            <w:r>
              <w:rPr>
                <w:color w:val="auto"/>
              </w:rPr>
              <w:t xml:space="preserve">Advance </w:t>
            </w:r>
            <w:r w:rsidR="0031217B">
              <w:rPr>
                <w:color w:val="auto"/>
              </w:rPr>
              <w:t xml:space="preserve">project </w:t>
            </w:r>
            <w:r>
              <w:rPr>
                <w:color w:val="auto"/>
              </w:rPr>
              <w:t xml:space="preserve">planning and </w:t>
            </w:r>
            <w:r w:rsidR="009E69B7">
              <w:rPr>
                <w:color w:val="auto"/>
              </w:rPr>
              <w:t>discussions</w:t>
            </w:r>
            <w:r>
              <w:rPr>
                <w:color w:val="auto"/>
              </w:rPr>
              <w:t xml:space="preserve"> with:</w:t>
            </w:r>
          </w:p>
          <w:p w14:paraId="70C83A37" w14:textId="649C452C" w:rsidR="003E70EE" w:rsidRDefault="003E70EE" w:rsidP="003E70EE">
            <w:pPr>
              <w:pStyle w:val="Milestonetable"/>
              <w:numPr>
                <w:ilvl w:val="0"/>
                <w:numId w:val="27"/>
              </w:numPr>
              <w:rPr>
                <w:color w:val="auto"/>
              </w:rPr>
            </w:pPr>
            <w:proofErr w:type="spellStart"/>
            <w:r>
              <w:rPr>
                <w:color w:val="auto"/>
              </w:rPr>
              <w:t>Finniss</w:t>
            </w:r>
            <w:proofErr w:type="spellEnd"/>
            <w:r>
              <w:rPr>
                <w:color w:val="auto"/>
              </w:rPr>
              <w:t xml:space="preserve"> River Aboriginal Land Trust (</w:t>
            </w:r>
            <w:r w:rsidRPr="009E69B7">
              <w:rPr>
                <w:i/>
                <w:color w:val="auto"/>
              </w:rPr>
              <w:t>Aboriginal Land Rights (Northern Territory) Act 1976</w:t>
            </w:r>
            <w:r w:rsidRPr="007A6147">
              <w:rPr>
                <w:color w:val="auto"/>
              </w:rPr>
              <w:t xml:space="preserve"> (</w:t>
            </w:r>
            <w:proofErr w:type="spellStart"/>
            <w:r w:rsidRPr="007A6147">
              <w:rPr>
                <w:color w:val="auto"/>
              </w:rPr>
              <w:t>Cth</w:t>
            </w:r>
            <w:proofErr w:type="spellEnd"/>
            <w:r w:rsidRPr="007A6147">
              <w:rPr>
                <w:color w:val="auto"/>
              </w:rPr>
              <w:t>)</w:t>
            </w:r>
            <w:r>
              <w:rPr>
                <w:color w:val="auto"/>
              </w:rPr>
              <w:t>; and</w:t>
            </w:r>
          </w:p>
          <w:p w14:paraId="4C6E46BE" w14:textId="6092D8B8" w:rsidR="003E70EE" w:rsidRPr="00F00A18" w:rsidRDefault="003E70EE" w:rsidP="003E70EE">
            <w:pPr>
              <w:pStyle w:val="Milestonetable"/>
              <w:numPr>
                <w:ilvl w:val="0"/>
                <w:numId w:val="27"/>
              </w:numPr>
              <w:rPr>
                <w:color w:val="auto"/>
              </w:rPr>
            </w:pPr>
            <w:proofErr w:type="spellStart"/>
            <w:r>
              <w:rPr>
                <w:color w:val="auto"/>
              </w:rPr>
              <w:t>Coomalie</w:t>
            </w:r>
            <w:proofErr w:type="spellEnd"/>
            <w:r>
              <w:rPr>
                <w:color w:val="auto"/>
              </w:rPr>
              <w:t xml:space="preserve"> Community Government Council.</w:t>
            </w:r>
          </w:p>
        </w:tc>
        <w:tc>
          <w:tcPr>
            <w:tcW w:w="1701" w:type="dxa"/>
            <w:vMerge/>
            <w:tcBorders>
              <w:left w:val="single" w:sz="8" w:space="0" w:color="4F81BD"/>
              <w:right w:val="single" w:sz="8" w:space="0" w:color="4F81BD"/>
            </w:tcBorders>
            <w:shd w:val="clear" w:color="auto" w:fill="auto"/>
          </w:tcPr>
          <w:p w14:paraId="3D9CBD1E" w14:textId="77777777" w:rsidR="003E70EE" w:rsidRPr="00F00A18" w:rsidRDefault="003E70EE" w:rsidP="003E70EE">
            <w:pPr>
              <w:pStyle w:val="Milestonetable"/>
              <w:jc w:val="center"/>
              <w:rPr>
                <w:color w:val="auto"/>
              </w:rPr>
            </w:pPr>
          </w:p>
        </w:tc>
        <w:tc>
          <w:tcPr>
            <w:tcW w:w="1701" w:type="dxa"/>
            <w:vMerge/>
            <w:tcBorders>
              <w:left w:val="single" w:sz="8" w:space="0" w:color="4F81BD"/>
              <w:right w:val="single" w:sz="8" w:space="0" w:color="4F81BD"/>
            </w:tcBorders>
            <w:shd w:val="clear" w:color="auto" w:fill="auto"/>
          </w:tcPr>
          <w:p w14:paraId="410FF66C" w14:textId="77777777" w:rsidR="003E70EE" w:rsidRPr="00F00A18" w:rsidRDefault="003E70EE" w:rsidP="003E70EE">
            <w:pPr>
              <w:pStyle w:val="Milestonetable"/>
              <w:jc w:val="right"/>
              <w:rPr>
                <w:color w:val="auto"/>
              </w:rPr>
            </w:pPr>
          </w:p>
        </w:tc>
      </w:tr>
      <w:tr w:rsidR="003E70EE" w:rsidRPr="00F00A18" w14:paraId="71C06C60" w14:textId="77777777" w:rsidTr="000A1BC5">
        <w:tc>
          <w:tcPr>
            <w:tcW w:w="1985" w:type="dxa"/>
            <w:tcBorders>
              <w:top w:val="single" w:sz="8" w:space="0" w:color="4F81BD"/>
              <w:left w:val="single" w:sz="8" w:space="0" w:color="4F81BD"/>
              <w:bottom w:val="single" w:sz="8" w:space="0" w:color="4F81BD"/>
              <w:right w:val="single" w:sz="8" w:space="0" w:color="4F81BD"/>
            </w:tcBorders>
          </w:tcPr>
          <w:p w14:paraId="2E28FDC8" w14:textId="7BAABFF3" w:rsidR="003E70EE" w:rsidRDefault="003E70EE" w:rsidP="003E70EE">
            <w:pPr>
              <w:pStyle w:val="Milestonetable"/>
              <w:rPr>
                <w:color w:val="auto"/>
              </w:rPr>
            </w:pPr>
            <w:r>
              <w:rPr>
                <w:color w:val="auto"/>
              </w:rPr>
              <w:t>Stakeholder engagement</w:t>
            </w:r>
          </w:p>
        </w:tc>
        <w:tc>
          <w:tcPr>
            <w:tcW w:w="8731" w:type="dxa"/>
            <w:tcBorders>
              <w:top w:val="single" w:sz="8" w:space="0" w:color="4F81BD"/>
              <w:left w:val="single" w:sz="8" w:space="0" w:color="4F81BD"/>
              <w:bottom w:val="single" w:sz="8" w:space="0" w:color="4F81BD"/>
              <w:right w:val="single" w:sz="8" w:space="0" w:color="4F81BD"/>
            </w:tcBorders>
            <w:shd w:val="clear" w:color="auto" w:fill="auto"/>
          </w:tcPr>
          <w:p w14:paraId="759C9DAC" w14:textId="1A1B52B6" w:rsidR="003E70EE" w:rsidRPr="00F00A18" w:rsidRDefault="000D1034" w:rsidP="003E70EE">
            <w:pPr>
              <w:pStyle w:val="Milestonetable"/>
              <w:rPr>
                <w:color w:val="auto"/>
              </w:rPr>
            </w:pPr>
            <w:r>
              <w:rPr>
                <w:color w:val="auto"/>
              </w:rPr>
              <w:t>Document and report community engagement activities</w:t>
            </w:r>
            <w:r>
              <w:t xml:space="preserve"> </w:t>
            </w:r>
            <w:r w:rsidRPr="000D1034">
              <w:rPr>
                <w:color w:val="auto"/>
              </w:rPr>
              <w:t xml:space="preserve">specifically with the </w:t>
            </w:r>
            <w:proofErr w:type="spellStart"/>
            <w:r w:rsidRPr="000D1034">
              <w:rPr>
                <w:color w:val="auto"/>
              </w:rPr>
              <w:t>Kungarakan</w:t>
            </w:r>
            <w:proofErr w:type="spellEnd"/>
            <w:r w:rsidRPr="000D1034">
              <w:rPr>
                <w:color w:val="auto"/>
              </w:rPr>
              <w:t xml:space="preserve"> and </w:t>
            </w:r>
            <w:proofErr w:type="spellStart"/>
            <w:r w:rsidRPr="000D1034">
              <w:rPr>
                <w:color w:val="auto"/>
              </w:rPr>
              <w:t>Warai</w:t>
            </w:r>
            <w:proofErr w:type="spellEnd"/>
            <w:r w:rsidRPr="000D1034">
              <w:rPr>
                <w:color w:val="auto"/>
              </w:rPr>
              <w:t xml:space="preserve"> peoples, with the community of </w:t>
            </w:r>
            <w:proofErr w:type="spellStart"/>
            <w:r w:rsidRPr="000D1034">
              <w:rPr>
                <w:color w:val="auto"/>
              </w:rPr>
              <w:t>Coomalie</w:t>
            </w:r>
            <w:proofErr w:type="spellEnd"/>
            <w:r w:rsidRPr="000D1034">
              <w:rPr>
                <w:color w:val="auto"/>
              </w:rPr>
              <w:t xml:space="preserve"> and with project stakeholders.</w:t>
            </w:r>
          </w:p>
        </w:tc>
        <w:tc>
          <w:tcPr>
            <w:tcW w:w="1701" w:type="dxa"/>
            <w:vMerge/>
            <w:tcBorders>
              <w:left w:val="single" w:sz="8" w:space="0" w:color="4F81BD"/>
              <w:right w:val="single" w:sz="8" w:space="0" w:color="4F81BD"/>
            </w:tcBorders>
            <w:shd w:val="clear" w:color="auto" w:fill="auto"/>
          </w:tcPr>
          <w:p w14:paraId="1459BC49" w14:textId="77777777" w:rsidR="003E70EE" w:rsidRPr="00F00A18" w:rsidRDefault="003E70EE" w:rsidP="003E70EE">
            <w:pPr>
              <w:pStyle w:val="Milestonetable"/>
              <w:jc w:val="center"/>
              <w:rPr>
                <w:color w:val="auto"/>
              </w:rPr>
            </w:pPr>
          </w:p>
        </w:tc>
        <w:tc>
          <w:tcPr>
            <w:tcW w:w="1701" w:type="dxa"/>
            <w:vMerge/>
            <w:tcBorders>
              <w:left w:val="single" w:sz="8" w:space="0" w:color="4F81BD"/>
              <w:right w:val="single" w:sz="8" w:space="0" w:color="4F81BD"/>
            </w:tcBorders>
            <w:shd w:val="clear" w:color="auto" w:fill="auto"/>
          </w:tcPr>
          <w:p w14:paraId="5198E61B" w14:textId="77777777" w:rsidR="003E70EE" w:rsidRPr="00F00A18" w:rsidRDefault="003E70EE" w:rsidP="003E70EE">
            <w:pPr>
              <w:pStyle w:val="Milestonetable"/>
              <w:jc w:val="right"/>
              <w:rPr>
                <w:color w:val="auto"/>
              </w:rPr>
            </w:pPr>
          </w:p>
        </w:tc>
      </w:tr>
    </w:tbl>
    <w:p w14:paraId="2A5B8EF2" w14:textId="77777777" w:rsidR="009E69B7" w:rsidRDefault="009E69B7" w:rsidP="009E69B7">
      <w:pPr>
        <w:widowControl/>
        <w:spacing w:after="160" w:line="259" w:lineRule="auto"/>
        <w:rPr>
          <w:lang w:val="en-GB"/>
        </w:rPr>
      </w:pPr>
    </w:p>
    <w:p w14:paraId="1266A085" w14:textId="77777777" w:rsidR="009E69B7" w:rsidRDefault="009E69B7">
      <w:pPr>
        <w:widowControl/>
        <w:spacing w:after="160" w:line="259" w:lineRule="auto"/>
        <w:rPr>
          <w:lang w:val="en-GB"/>
        </w:rPr>
      </w:pPr>
      <w:r>
        <w:rPr>
          <w:lang w:val="en-GB"/>
        </w:rPr>
        <w:br w:type="page"/>
      </w:r>
    </w:p>
    <w:p w14:paraId="7245F9C3" w14:textId="1587B63B" w:rsidR="00C91B5F" w:rsidRDefault="00C91B5F" w:rsidP="009E69B7">
      <w:pPr>
        <w:widowControl/>
        <w:spacing w:after="160" w:line="259" w:lineRule="auto"/>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6AF4699D" w14:textId="6A9F7B9A" w:rsidR="002A49C9" w:rsidRDefault="002A49C9" w:rsidP="00C91B5F">
      <w:pPr>
        <w:rPr>
          <w:lang w:val="en-GB"/>
        </w:rPr>
      </w:pPr>
    </w:p>
    <w:p w14:paraId="49696048" w14:textId="77777777" w:rsidR="002A49C9" w:rsidRDefault="002A49C9" w:rsidP="00C91B5F">
      <w:pPr>
        <w:rPr>
          <w:lang w:val="en-GB"/>
        </w:rPr>
      </w:pPr>
    </w:p>
    <w:p w14:paraId="5BAC718D" w14:textId="77777777" w:rsidR="002A49C9" w:rsidRDefault="002A49C9" w:rsidP="00C91B5F">
      <w:pPr>
        <w:rPr>
          <w:lang w:val="en-GB"/>
        </w:rPr>
      </w:pPr>
    </w:p>
    <w:p w14:paraId="3825F721" w14:textId="77777777" w:rsidR="002A49C9" w:rsidRDefault="002A49C9" w:rsidP="00C91B5F">
      <w:pPr>
        <w:rPr>
          <w:lang w:val="en-GB"/>
        </w:rPr>
      </w:pPr>
    </w:p>
    <w:p w14:paraId="018BB34B" w14:textId="77777777" w:rsidR="00C91B5F" w:rsidRDefault="00C91B5F" w:rsidP="00C91B5F">
      <w:pPr>
        <w:rPr>
          <w:lang w:val="en-GB"/>
        </w:rPr>
      </w:pPr>
    </w:p>
    <w:tbl>
      <w:tblPr>
        <w:tblW w:w="10773" w:type="dxa"/>
        <w:jc w:val="center"/>
        <w:tblLayout w:type="fixed"/>
        <w:tblLook w:val="01E0" w:firstRow="1" w:lastRow="1" w:firstColumn="1" w:lastColumn="1" w:noHBand="0" w:noVBand="0"/>
      </w:tblPr>
      <w:tblGrid>
        <w:gridCol w:w="4536"/>
        <w:gridCol w:w="1701"/>
        <w:gridCol w:w="4536"/>
      </w:tblGrid>
      <w:tr w:rsidR="00C91B5F" w:rsidRPr="00A50751" w14:paraId="6EDBD23D" w14:textId="77777777" w:rsidTr="003E0FC5">
        <w:trPr>
          <w:cantSplit/>
          <w:jc w:val="center"/>
        </w:trPr>
        <w:tc>
          <w:tcPr>
            <w:tcW w:w="4536" w:type="dxa"/>
          </w:tcPr>
          <w:p w14:paraId="6769E4B0" w14:textId="77777777" w:rsidR="00C91B5F" w:rsidRPr="004A0AE7" w:rsidRDefault="00C91B5F" w:rsidP="000A1BC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47726BA" w14:textId="77777777" w:rsidR="00C91B5F" w:rsidRPr="00A50751" w:rsidRDefault="00C91B5F" w:rsidP="000A1BC5">
            <w:pPr>
              <w:pStyle w:val="LineForSignature"/>
            </w:pPr>
            <w:r>
              <w:br/>
            </w:r>
            <w:r>
              <w:tab/>
            </w:r>
          </w:p>
          <w:p w14:paraId="1471A899" w14:textId="77777777" w:rsidR="003E0FC5" w:rsidRDefault="003E0FC5" w:rsidP="003E0FC5">
            <w:pPr>
              <w:pStyle w:val="SingleParagraph"/>
              <w:rPr>
                <w:rStyle w:val="Bold"/>
              </w:rPr>
            </w:pPr>
            <w:r>
              <w:rPr>
                <w:rStyle w:val="Bold"/>
              </w:rPr>
              <w:t>The Honourable Keith Pitt MP</w:t>
            </w:r>
          </w:p>
          <w:p w14:paraId="675DA456" w14:textId="77777777" w:rsidR="003E0FC5" w:rsidRDefault="003E0FC5" w:rsidP="003E0FC5">
            <w:pPr>
              <w:pStyle w:val="Position"/>
              <w:rPr>
                <w:lang w:val="en-GB"/>
              </w:rPr>
            </w:pPr>
            <w:r>
              <w:rPr>
                <w:lang w:val="en-GB"/>
              </w:rPr>
              <w:t xml:space="preserve">Minister for </w:t>
            </w:r>
            <w:r w:rsidRPr="009C1CE4">
              <w:rPr>
                <w:lang w:val="en-GB"/>
              </w:rPr>
              <w:t>Resources, Water and Northern Australia</w:t>
            </w:r>
          </w:p>
          <w:p w14:paraId="123DBFA9" w14:textId="6FC90780" w:rsidR="00724A7F" w:rsidRDefault="00724A7F" w:rsidP="00724A7F">
            <w:r>
              <w:rPr>
                <w:lang w:val="en-GB"/>
              </w:rPr>
              <w:t xml:space="preserve">                          /        /     2020</w:t>
            </w:r>
          </w:p>
          <w:p w14:paraId="30A29548" w14:textId="61BC5CB7" w:rsidR="00C91B5F" w:rsidRDefault="00C91B5F">
            <w:pPr>
              <w:pStyle w:val="SingleParagraph"/>
              <w:tabs>
                <w:tab w:val="num" w:pos="1134"/>
              </w:tabs>
              <w:spacing w:after="240"/>
              <w:rPr>
                <w:b/>
                <w:lang w:val="en-GB"/>
              </w:rPr>
            </w:pPr>
          </w:p>
        </w:tc>
        <w:tc>
          <w:tcPr>
            <w:tcW w:w="1701" w:type="dxa"/>
            <w:tcMar>
              <w:left w:w="0" w:type="dxa"/>
              <w:right w:w="0" w:type="dxa"/>
            </w:tcMar>
          </w:tcPr>
          <w:p w14:paraId="6845B40F" w14:textId="77777777" w:rsidR="00C91B5F" w:rsidRPr="00A50751" w:rsidRDefault="00C91B5F" w:rsidP="000A1BC5">
            <w:pPr>
              <w:rPr>
                <w:rFonts w:ascii="Book Antiqua" w:hAnsi="Book Antiqua"/>
                <w:lang w:val="en-GB"/>
              </w:rPr>
            </w:pPr>
          </w:p>
        </w:tc>
        <w:tc>
          <w:tcPr>
            <w:tcW w:w="4536" w:type="dxa"/>
          </w:tcPr>
          <w:p w14:paraId="55199989" w14:textId="5B80B0DA" w:rsidR="00C91B5F" w:rsidRPr="004A0AE7" w:rsidRDefault="00C91B5F" w:rsidP="000A1BC5">
            <w:pPr>
              <w:pStyle w:val="Signed"/>
            </w:pPr>
            <w:r>
              <w:rPr>
                <w:rStyle w:val="SignedBold"/>
              </w:rPr>
              <w:t>Signed</w:t>
            </w:r>
            <w:r w:rsidR="00C4307D">
              <w:t xml:space="preserve"> </w:t>
            </w:r>
            <w:r w:rsidR="00C4307D" w:rsidRPr="004A0AE7">
              <w:t>for and on behalf of the</w:t>
            </w:r>
            <w:r w:rsidR="00C4307D">
              <w:t xml:space="preserve"> Northern Territory</w:t>
            </w:r>
            <w:r w:rsidR="00C4307D" w:rsidRPr="004A0AE7">
              <w:t xml:space="preserve"> by</w:t>
            </w:r>
          </w:p>
          <w:p w14:paraId="522400CC" w14:textId="77777777" w:rsidR="00C91B5F" w:rsidRPr="00A50751" w:rsidRDefault="00C91B5F" w:rsidP="000A1BC5">
            <w:pPr>
              <w:pStyle w:val="LineForSignature"/>
            </w:pPr>
            <w:r>
              <w:br/>
            </w:r>
            <w:r w:rsidRPr="00A50751">
              <w:tab/>
            </w:r>
          </w:p>
          <w:p w14:paraId="27C0FEDE" w14:textId="425D8DE3" w:rsidR="003E0FC5" w:rsidRPr="000D1034" w:rsidRDefault="003E0FC5" w:rsidP="003E0FC5">
            <w:pPr>
              <w:pStyle w:val="SingleParagraph"/>
              <w:rPr>
                <w:rStyle w:val="Bold"/>
              </w:rPr>
            </w:pPr>
            <w:r>
              <w:rPr>
                <w:rStyle w:val="Bold"/>
              </w:rPr>
              <w:t xml:space="preserve">The </w:t>
            </w:r>
            <w:r w:rsidRPr="000D1034">
              <w:rPr>
                <w:rStyle w:val="Bold"/>
              </w:rPr>
              <w:t xml:space="preserve">Honourable </w:t>
            </w:r>
            <w:r w:rsidR="00367E95" w:rsidRPr="000D1034">
              <w:rPr>
                <w:rStyle w:val="Bold"/>
              </w:rPr>
              <w:t xml:space="preserve">Nicole </w:t>
            </w:r>
            <w:proofErr w:type="spellStart"/>
            <w:r w:rsidR="00367E95" w:rsidRPr="000D1034">
              <w:rPr>
                <w:rStyle w:val="Bold"/>
              </w:rPr>
              <w:t>Manison</w:t>
            </w:r>
            <w:proofErr w:type="spellEnd"/>
            <w:r w:rsidR="00367E95" w:rsidRPr="000D1034">
              <w:rPr>
                <w:rStyle w:val="Bold"/>
              </w:rPr>
              <w:t xml:space="preserve"> MLA</w:t>
            </w:r>
          </w:p>
          <w:p w14:paraId="31FE4AB7" w14:textId="59714C66" w:rsidR="003E0FC5" w:rsidRDefault="003E0FC5" w:rsidP="003E0FC5">
            <w:pPr>
              <w:pStyle w:val="Position"/>
              <w:rPr>
                <w:lang w:val="en-GB"/>
              </w:rPr>
            </w:pPr>
            <w:r w:rsidRPr="000D1034">
              <w:rPr>
                <w:lang w:val="en-GB"/>
              </w:rPr>
              <w:t xml:space="preserve">Minister for </w:t>
            </w:r>
            <w:r w:rsidR="00367E95" w:rsidRPr="000D1034">
              <w:rPr>
                <w:lang w:val="en-GB"/>
              </w:rPr>
              <w:t>Mining and Industry</w:t>
            </w:r>
            <w:r>
              <w:rPr>
                <w:lang w:val="en-GB"/>
              </w:rPr>
              <w:t xml:space="preserve"> </w:t>
            </w:r>
          </w:p>
          <w:p w14:paraId="03850D93" w14:textId="6481FA0A" w:rsidR="003E0FC5" w:rsidRDefault="00F73A69" w:rsidP="00F73A69">
            <w:r>
              <w:rPr>
                <w:lang w:val="en-GB"/>
              </w:rPr>
              <w:t xml:space="preserve">                          /        /     </w:t>
            </w:r>
          </w:p>
          <w:p w14:paraId="5CA98839" w14:textId="26D0954D" w:rsidR="00C91B5F" w:rsidRPr="00A50751" w:rsidRDefault="00C91B5F" w:rsidP="000A1BC5">
            <w:pPr>
              <w:rPr>
                <w:rFonts w:ascii="Book Antiqua" w:hAnsi="Book Antiqua"/>
                <w:lang w:val="en-GB"/>
              </w:rPr>
            </w:pPr>
          </w:p>
        </w:tc>
      </w:tr>
    </w:tbl>
    <w:p w14:paraId="78423B65" w14:textId="2C8BE9F4" w:rsidR="00884E8F" w:rsidRDefault="00884E8F" w:rsidP="003E0FC5">
      <w:pPr>
        <w:pStyle w:val="SingleParagraph"/>
      </w:pPr>
    </w:p>
    <w:sectPr w:rsidR="00884E8F" w:rsidSect="00D24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3D0A6" w14:textId="77777777" w:rsidR="000A1BC5" w:rsidRDefault="000A1BC5">
      <w:r>
        <w:separator/>
      </w:r>
    </w:p>
  </w:endnote>
  <w:endnote w:type="continuationSeparator" w:id="0">
    <w:p w14:paraId="511B32C1" w14:textId="77777777" w:rsidR="000A1BC5" w:rsidRDefault="000A1BC5">
      <w:r>
        <w:continuationSeparator/>
      </w:r>
    </w:p>
  </w:endnote>
  <w:endnote w:type="continuationNotice" w:id="1">
    <w:p w14:paraId="3FAD715C" w14:textId="77777777" w:rsidR="005B4F9C" w:rsidRDefault="005B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93274"/>
      <w:docPartObj>
        <w:docPartGallery w:val="Page Numbers (Bottom of Page)"/>
        <w:docPartUnique/>
      </w:docPartObj>
    </w:sdtPr>
    <w:sdtEndPr>
      <w:rPr>
        <w:noProof/>
      </w:rPr>
    </w:sdtEndPr>
    <w:sdtContent>
      <w:p w14:paraId="61F9B5C1" w14:textId="1FC8AC28" w:rsidR="000A1BC5" w:rsidRDefault="000A1BC5">
        <w:pPr>
          <w:pStyle w:val="Footer"/>
          <w:jc w:val="right"/>
        </w:pPr>
        <w:r>
          <w:fldChar w:fldCharType="begin"/>
        </w:r>
        <w:r>
          <w:instrText xml:space="preserve"> PAGE   \* MERGEFORMAT </w:instrText>
        </w:r>
        <w:r>
          <w:fldChar w:fldCharType="separate"/>
        </w:r>
        <w:r w:rsidR="00443870">
          <w:rPr>
            <w:noProof/>
          </w:rPr>
          <w:t>3</w:t>
        </w:r>
        <w:r>
          <w:rPr>
            <w:noProof/>
          </w:rPr>
          <w:fldChar w:fldCharType="end"/>
        </w:r>
      </w:p>
    </w:sdtContent>
  </w:sdt>
  <w:p w14:paraId="719C1A5E" w14:textId="77777777" w:rsidR="000A1BC5" w:rsidRDefault="000A1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2E3D" w14:textId="77777777" w:rsidR="000A1BC5" w:rsidRDefault="000A1BC5">
      <w:r>
        <w:separator/>
      </w:r>
    </w:p>
  </w:footnote>
  <w:footnote w:type="continuationSeparator" w:id="0">
    <w:p w14:paraId="57E6C097" w14:textId="77777777" w:rsidR="000A1BC5" w:rsidRDefault="000A1BC5">
      <w:r>
        <w:continuationSeparator/>
      </w:r>
    </w:p>
  </w:footnote>
  <w:footnote w:type="continuationNotice" w:id="1">
    <w:p w14:paraId="2D7651DC" w14:textId="77777777" w:rsidR="005B4F9C" w:rsidRDefault="005B4F9C"/>
  </w:footnote>
  <w:footnote w:id="2">
    <w:p w14:paraId="31474296" w14:textId="77777777" w:rsidR="000A1BC5" w:rsidRDefault="000A1BC5" w:rsidP="004E13D6">
      <w:pPr>
        <w:widowControl/>
        <w:rPr>
          <w:rStyle w:val="Hyperlink"/>
          <w:rFonts w:ascii="Corbel" w:hAnsi="Corbel" w:cs="Corbel"/>
          <w:sz w:val="16"/>
          <w:szCs w:val="20"/>
          <w:lang w:val="en-AU"/>
        </w:rPr>
      </w:pPr>
      <w:r>
        <w:rPr>
          <w:rStyle w:val="FootnoteReference"/>
        </w:rPr>
        <w:t>1</w:t>
      </w:r>
      <w:r>
        <w:rPr>
          <w:rStyle w:val="Hyperlink"/>
          <w:rFonts w:ascii="Corbel-Italic" w:hAnsi="Corbel-Italic" w:cs="Corbel-Italic"/>
          <w:i/>
          <w:iCs/>
          <w:sz w:val="16"/>
          <w:szCs w:val="20"/>
          <w:lang w:val="en-AU"/>
        </w:rPr>
        <w:t xml:space="preserve"> </w:t>
      </w:r>
      <w:r w:rsidRPr="00AB2974">
        <w:rPr>
          <w:rStyle w:val="Hyperlink"/>
          <w:rFonts w:ascii="Corbel-Italic" w:hAnsi="Corbel-Italic" w:cs="Corbel-Italic"/>
          <w:i/>
          <w:iCs/>
          <w:sz w:val="16"/>
          <w:szCs w:val="20"/>
          <w:lang w:val="en-AU"/>
        </w:rPr>
        <w:t xml:space="preserve">National Partnership Agreement on the </w:t>
      </w:r>
      <w:hyperlink r:id="rId1" w:history="1">
        <w:r w:rsidRPr="005F615D">
          <w:rPr>
            <w:rStyle w:val="Hyperlink"/>
            <w:rFonts w:ascii="Corbel-Italic" w:hAnsi="Corbel-Italic" w:cs="Corbel-Italic"/>
            <w:i/>
            <w:iCs/>
            <w:sz w:val="16"/>
            <w:szCs w:val="20"/>
            <w:lang w:val="en-AU"/>
          </w:rPr>
          <w:t>Management</w:t>
        </w:r>
      </w:hyperlink>
      <w:r w:rsidRPr="00AB2974">
        <w:rPr>
          <w:rStyle w:val="Hyperlink"/>
          <w:rFonts w:ascii="Corbel-Italic" w:hAnsi="Corbel-Italic" w:cs="Corbel-Italic"/>
          <w:i/>
          <w:iCs/>
          <w:sz w:val="16"/>
          <w:szCs w:val="20"/>
          <w:lang w:val="en-AU"/>
        </w:rPr>
        <w:t xml:space="preserve"> of the Former Rum Jungle Mine Site</w:t>
      </w:r>
      <w:r w:rsidRPr="00AB2974">
        <w:rPr>
          <w:rStyle w:val="Hyperlink"/>
          <w:rFonts w:ascii="Corbel" w:hAnsi="Corbel" w:cs="Corbel"/>
          <w:sz w:val="16"/>
          <w:szCs w:val="20"/>
          <w:lang w:val="en-AU"/>
        </w:rPr>
        <w:t>.</w:t>
      </w:r>
    </w:p>
    <w:p w14:paraId="15D241BF" w14:textId="47851CE6" w:rsidR="000A1BC5" w:rsidRPr="0039759C" w:rsidRDefault="000A1BC5" w:rsidP="004E13D6">
      <w:pPr>
        <w:widowControl/>
        <w:rPr>
          <w:rFonts w:ascii="Corbel" w:hAnsi="Corbel" w:cs="Corbel"/>
          <w:color w:val="0563C1" w:themeColor="hyperlink"/>
          <w:sz w:val="16"/>
          <w:szCs w:val="20"/>
          <w:u w:val="single"/>
          <w:lang w:val="en-AU"/>
        </w:rPr>
      </w:pPr>
      <w:r>
        <w:rPr>
          <w:rStyle w:val="FootnoteReference"/>
        </w:rPr>
        <w:t xml:space="preserve">2 </w:t>
      </w:r>
      <w:r w:rsidRPr="000A1BC5">
        <w:rPr>
          <w:rStyle w:val="Hyperlink"/>
          <w:rFonts w:ascii="Corbel-Italic" w:hAnsi="Corbel-Italic" w:cs="Corbel"/>
          <w:i/>
          <w:color w:val="auto"/>
          <w:sz w:val="16"/>
          <w:szCs w:val="20"/>
          <w:u w:val="none"/>
          <w:lang w:val="en-AU"/>
        </w:rPr>
        <w:t xml:space="preserve">Conceptual rehabilitation strategy is set out in the </w:t>
      </w:r>
      <w:hyperlink r:id="rId2" w:history="1">
        <w:r w:rsidRPr="000A1BC5">
          <w:rPr>
            <w:rStyle w:val="Hyperlink"/>
            <w:rFonts w:ascii="Corbel-Italic" w:hAnsi="Corbel-Italic" w:cs="Corbel"/>
            <w:i/>
            <w:sz w:val="16"/>
            <w:szCs w:val="20"/>
            <w:lang w:val="en-AU"/>
          </w:rPr>
          <w:t>Conceptual Rehabilitation Plan (Northern Territory, May 2013)</w:t>
        </w:r>
      </w:hyperlink>
      <w:r w:rsidRPr="000A1BC5">
        <w:rPr>
          <w:rStyle w:val="Hyperlink"/>
          <w:rFonts w:ascii="Corbel-Italic" w:hAnsi="Corbel-Italic" w:cs="Corbel"/>
          <w:i/>
          <w:color w:val="auto"/>
          <w:sz w:val="16"/>
          <w:szCs w:val="20"/>
          <w:u w:val="none"/>
          <w:lang w:val="en-AU"/>
        </w:rPr>
        <w:t>.</w:t>
      </w:r>
    </w:p>
    <w:p w14:paraId="3E30FA47" w14:textId="77777777" w:rsidR="000A1BC5" w:rsidRPr="0087631E" w:rsidRDefault="000A1BC5" w:rsidP="004E13D6">
      <w:pPr>
        <w:widowControl/>
        <w:rPr>
          <w:rFonts w:ascii="Corbel" w:hAnsi="Corbel" w:cs="Corbel"/>
          <w:color w:val="000000"/>
          <w:sz w:val="16"/>
          <w:lang w:val="en-AU"/>
        </w:rPr>
      </w:pPr>
      <w:r>
        <w:rPr>
          <w:rStyle w:val="FootnoteReference"/>
        </w:rPr>
        <w:t>3</w:t>
      </w:r>
      <w:r>
        <w:t xml:space="preserve"> </w:t>
      </w:r>
      <w:hyperlink r:id="rId3" w:history="1">
        <w:r w:rsidRPr="005F615D">
          <w:rPr>
            <w:rStyle w:val="Hyperlink"/>
            <w:rFonts w:ascii="Corbel-Italic" w:hAnsi="Corbel-Italic" w:cs="Corbel-Italic"/>
            <w:i/>
            <w:iCs/>
            <w:sz w:val="16"/>
            <w:szCs w:val="20"/>
            <w:lang w:val="en-AU"/>
          </w:rPr>
          <w:t>Project Agreement for the Management of the Former Rum Jungle Mine Site (Stage 2).</w:t>
        </w:r>
      </w:hyperlink>
    </w:p>
    <w:p w14:paraId="77FE50FA" w14:textId="77777777" w:rsidR="000A1BC5" w:rsidRPr="0087631E" w:rsidRDefault="000A1BC5" w:rsidP="004E13D6">
      <w:pPr>
        <w:widowControl/>
        <w:rPr>
          <w:rFonts w:ascii="Corbel" w:hAnsi="Corbel" w:cs="Corbel"/>
          <w:color w:val="0563C1" w:themeColor="hyperlink"/>
          <w:sz w:val="16"/>
          <w:szCs w:val="20"/>
          <w:u w:val="single"/>
          <w:lang w:val="en-AU"/>
        </w:rPr>
      </w:pPr>
      <w:r>
        <w:rPr>
          <w:rStyle w:val="FootnoteReference"/>
        </w:rPr>
        <w:t>4</w:t>
      </w:r>
      <w:r>
        <w:t xml:space="preserve"> </w:t>
      </w:r>
      <w:hyperlink r:id="rId4" w:history="1">
        <w:r w:rsidRPr="00902CFA">
          <w:rPr>
            <w:rStyle w:val="Hyperlink"/>
            <w:rFonts w:ascii="Corbel-Italic" w:hAnsi="Corbel-Italic" w:cs="Corbel-Italic"/>
            <w:i/>
            <w:iCs/>
            <w:sz w:val="16"/>
            <w:szCs w:val="20"/>
            <w:lang w:val="en-AU"/>
          </w:rPr>
          <w:t>Project Agreement for the Management of the Former Rum Jungle Mine Site (Stage 2A)</w:t>
        </w:r>
        <w:r w:rsidRPr="00902CFA">
          <w:rPr>
            <w:rStyle w:val="Hyperlink"/>
            <w:rFonts w:ascii="Corbel" w:hAnsi="Corbel" w:cs="Corbel"/>
            <w:sz w:val="16"/>
            <w:szCs w:val="20"/>
            <w:lang w:val="en-AU"/>
          </w:rPr>
          <w:t>.</w:t>
        </w:r>
      </w:hyperlink>
    </w:p>
  </w:footnote>
  <w:footnote w:id="3">
    <w:p w14:paraId="72758931" w14:textId="77777777" w:rsidR="000A1BC5" w:rsidRPr="0087631E" w:rsidRDefault="000A1BC5" w:rsidP="004E13D6">
      <w:pPr>
        <w:widowControl/>
        <w:rPr>
          <w:rFonts w:ascii="Corbel-Italic" w:hAnsi="Corbel-Italic" w:cs="Corbel"/>
          <w:sz w:val="16"/>
          <w:szCs w:val="20"/>
          <w:lang w:val="en-AU"/>
        </w:rPr>
      </w:pPr>
    </w:p>
  </w:footnote>
  <w:footnote w:id="4">
    <w:p w14:paraId="221D1F1A" w14:textId="77777777" w:rsidR="000A1BC5" w:rsidRDefault="000A1BC5" w:rsidP="004E13D6"/>
  </w:footnote>
  <w:footnote w:id="5">
    <w:p w14:paraId="523EFD7D" w14:textId="77777777" w:rsidR="000A1BC5" w:rsidRPr="0087631E" w:rsidRDefault="000A1BC5" w:rsidP="004E13D6">
      <w:pPr>
        <w:widowControl/>
        <w:rPr>
          <w:rFonts w:ascii="Corbel" w:hAnsi="Corbel" w:cs="Corbel"/>
          <w:color w:val="000000"/>
          <w:sz w:val="16"/>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B394" w14:textId="7ECC9174" w:rsidR="000A1BC5" w:rsidRDefault="000A1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BF2"/>
    <w:multiLevelType w:val="hybridMultilevel"/>
    <w:tmpl w:val="6F74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E0B2F"/>
    <w:multiLevelType w:val="hybridMultilevel"/>
    <w:tmpl w:val="8892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D6CF8"/>
    <w:multiLevelType w:val="hybridMultilevel"/>
    <w:tmpl w:val="C742A8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B5FAB"/>
    <w:multiLevelType w:val="hybridMultilevel"/>
    <w:tmpl w:val="B968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1738F"/>
    <w:multiLevelType w:val="hybridMultilevel"/>
    <w:tmpl w:val="2782E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735E0"/>
    <w:multiLevelType w:val="hybridMultilevel"/>
    <w:tmpl w:val="B9EACC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741EB5"/>
    <w:multiLevelType w:val="hybridMultilevel"/>
    <w:tmpl w:val="8FDA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2016B"/>
    <w:multiLevelType w:val="hybridMultilevel"/>
    <w:tmpl w:val="3376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460FA"/>
    <w:multiLevelType w:val="hybridMultilevel"/>
    <w:tmpl w:val="1F72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F1009"/>
    <w:multiLevelType w:val="hybridMultilevel"/>
    <w:tmpl w:val="60D8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20EB5"/>
    <w:multiLevelType w:val="hybridMultilevel"/>
    <w:tmpl w:val="807A4A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A4062E"/>
    <w:multiLevelType w:val="hybridMultilevel"/>
    <w:tmpl w:val="807A4A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E375B1"/>
    <w:multiLevelType w:val="hybridMultilevel"/>
    <w:tmpl w:val="C020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E31F6"/>
    <w:multiLevelType w:val="hybridMultilevel"/>
    <w:tmpl w:val="F02A1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028F3"/>
    <w:multiLevelType w:val="hybridMultilevel"/>
    <w:tmpl w:val="61021D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77520C"/>
    <w:multiLevelType w:val="hybridMultilevel"/>
    <w:tmpl w:val="CB6E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6D66AB"/>
    <w:multiLevelType w:val="hybridMultilevel"/>
    <w:tmpl w:val="E0E2C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6A0CAA"/>
    <w:multiLevelType w:val="hybridMultilevel"/>
    <w:tmpl w:val="115433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2458B2"/>
    <w:multiLevelType w:val="hybridMultilevel"/>
    <w:tmpl w:val="EEAA99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830254"/>
    <w:multiLevelType w:val="hybridMultilevel"/>
    <w:tmpl w:val="6EB8E7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1" w15:restartNumberingAfterBreak="0">
    <w:nsid w:val="6A2D1A4F"/>
    <w:multiLevelType w:val="hybridMultilevel"/>
    <w:tmpl w:val="60CCC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B20EEB"/>
    <w:multiLevelType w:val="hybridMultilevel"/>
    <w:tmpl w:val="F04A1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23721B"/>
    <w:multiLevelType w:val="hybridMultilevel"/>
    <w:tmpl w:val="67349508"/>
    <w:lvl w:ilvl="0" w:tplc="0106BED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194FE2"/>
    <w:multiLevelType w:val="hybridMultilevel"/>
    <w:tmpl w:val="AF4473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627A10"/>
    <w:multiLevelType w:val="hybridMultilevel"/>
    <w:tmpl w:val="0B923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A4222"/>
    <w:multiLevelType w:val="hybridMultilevel"/>
    <w:tmpl w:val="B860ED8A"/>
    <w:lvl w:ilvl="0" w:tplc="5D0858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7"/>
  </w:num>
  <w:num w:numId="2">
    <w:abstractNumId w:val="20"/>
  </w:num>
  <w:num w:numId="3">
    <w:abstractNumId w:val="21"/>
  </w:num>
  <w:num w:numId="4">
    <w:abstractNumId w:val="23"/>
  </w:num>
  <w:num w:numId="5">
    <w:abstractNumId w:val="18"/>
  </w:num>
  <w:num w:numId="6">
    <w:abstractNumId w:val="5"/>
  </w:num>
  <w:num w:numId="7">
    <w:abstractNumId w:val="17"/>
  </w:num>
  <w:num w:numId="8">
    <w:abstractNumId w:val="2"/>
  </w:num>
  <w:num w:numId="9">
    <w:abstractNumId w:val="11"/>
  </w:num>
  <w:num w:numId="10">
    <w:abstractNumId w:val="26"/>
  </w:num>
  <w:num w:numId="11">
    <w:abstractNumId w:val="24"/>
  </w:num>
  <w:num w:numId="12">
    <w:abstractNumId w:val="19"/>
  </w:num>
  <w:num w:numId="13">
    <w:abstractNumId w:val="14"/>
  </w:num>
  <w:num w:numId="14">
    <w:abstractNumId w:val="10"/>
  </w:num>
  <w:num w:numId="15">
    <w:abstractNumId w:val="3"/>
  </w:num>
  <w:num w:numId="16">
    <w:abstractNumId w:val="9"/>
  </w:num>
  <w:num w:numId="17">
    <w:abstractNumId w:val="25"/>
  </w:num>
  <w:num w:numId="18">
    <w:abstractNumId w:val="12"/>
  </w:num>
  <w:num w:numId="19">
    <w:abstractNumId w:val="1"/>
  </w:num>
  <w:num w:numId="20">
    <w:abstractNumId w:val="16"/>
  </w:num>
  <w:num w:numId="21">
    <w:abstractNumId w:val="0"/>
  </w:num>
  <w:num w:numId="22">
    <w:abstractNumId w:val="15"/>
  </w:num>
  <w:num w:numId="23">
    <w:abstractNumId w:val="7"/>
  </w:num>
  <w:num w:numId="24">
    <w:abstractNumId w:val="13"/>
  </w:num>
  <w:num w:numId="25">
    <w:abstractNumId w:val="6"/>
  </w:num>
  <w:num w:numId="26">
    <w:abstractNumId w:val="4"/>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5F"/>
    <w:rsid w:val="00010D1B"/>
    <w:rsid w:val="0001716D"/>
    <w:rsid w:val="00020CFE"/>
    <w:rsid w:val="00033AE3"/>
    <w:rsid w:val="0003482B"/>
    <w:rsid w:val="00051099"/>
    <w:rsid w:val="00053B24"/>
    <w:rsid w:val="00055C15"/>
    <w:rsid w:val="00091AA6"/>
    <w:rsid w:val="0009379F"/>
    <w:rsid w:val="000A1BC5"/>
    <w:rsid w:val="000A2867"/>
    <w:rsid w:val="000A551F"/>
    <w:rsid w:val="000A73C9"/>
    <w:rsid w:val="000B66C5"/>
    <w:rsid w:val="000B6E07"/>
    <w:rsid w:val="000D1034"/>
    <w:rsid w:val="000D42B6"/>
    <w:rsid w:val="000F2211"/>
    <w:rsid w:val="001079B4"/>
    <w:rsid w:val="001147FF"/>
    <w:rsid w:val="001232D9"/>
    <w:rsid w:val="00124CA1"/>
    <w:rsid w:val="001261C9"/>
    <w:rsid w:val="00171A95"/>
    <w:rsid w:val="00175330"/>
    <w:rsid w:val="00191E0E"/>
    <w:rsid w:val="001C56B4"/>
    <w:rsid w:val="001C5996"/>
    <w:rsid w:val="001E2D54"/>
    <w:rsid w:val="0022712F"/>
    <w:rsid w:val="002431F1"/>
    <w:rsid w:val="0024555E"/>
    <w:rsid w:val="00254308"/>
    <w:rsid w:val="0026583F"/>
    <w:rsid w:val="00265852"/>
    <w:rsid w:val="00270294"/>
    <w:rsid w:val="002A49C9"/>
    <w:rsid w:val="002B61A6"/>
    <w:rsid w:val="002C1D87"/>
    <w:rsid w:val="002C3B33"/>
    <w:rsid w:val="002F3F5D"/>
    <w:rsid w:val="0031217B"/>
    <w:rsid w:val="00327F3C"/>
    <w:rsid w:val="00365D5B"/>
    <w:rsid w:val="00367E95"/>
    <w:rsid w:val="003705D6"/>
    <w:rsid w:val="00373F0F"/>
    <w:rsid w:val="003810D5"/>
    <w:rsid w:val="003824C3"/>
    <w:rsid w:val="003A19D3"/>
    <w:rsid w:val="003A53D9"/>
    <w:rsid w:val="003B1F98"/>
    <w:rsid w:val="003C2664"/>
    <w:rsid w:val="003D5ADA"/>
    <w:rsid w:val="003D6A42"/>
    <w:rsid w:val="003E0FC5"/>
    <w:rsid w:val="003E6DD3"/>
    <w:rsid w:val="003E70EE"/>
    <w:rsid w:val="00403CC0"/>
    <w:rsid w:val="00416FFA"/>
    <w:rsid w:val="00424281"/>
    <w:rsid w:val="00443870"/>
    <w:rsid w:val="00464294"/>
    <w:rsid w:val="00470675"/>
    <w:rsid w:val="004716AF"/>
    <w:rsid w:val="0048683D"/>
    <w:rsid w:val="0049285B"/>
    <w:rsid w:val="004A1174"/>
    <w:rsid w:val="004C068D"/>
    <w:rsid w:val="004C123C"/>
    <w:rsid w:val="004C20E9"/>
    <w:rsid w:val="004C3C5F"/>
    <w:rsid w:val="004C4D4B"/>
    <w:rsid w:val="004C545D"/>
    <w:rsid w:val="004D521F"/>
    <w:rsid w:val="004D5774"/>
    <w:rsid w:val="004E13D6"/>
    <w:rsid w:val="004F4A7B"/>
    <w:rsid w:val="00512470"/>
    <w:rsid w:val="005260E0"/>
    <w:rsid w:val="0053472E"/>
    <w:rsid w:val="00540BDC"/>
    <w:rsid w:val="00544BFF"/>
    <w:rsid w:val="005558FC"/>
    <w:rsid w:val="00576B80"/>
    <w:rsid w:val="00580F79"/>
    <w:rsid w:val="00586117"/>
    <w:rsid w:val="005A2D5B"/>
    <w:rsid w:val="005A744F"/>
    <w:rsid w:val="005B076A"/>
    <w:rsid w:val="005B4F9C"/>
    <w:rsid w:val="005C3290"/>
    <w:rsid w:val="005C77C6"/>
    <w:rsid w:val="005D5B20"/>
    <w:rsid w:val="0060253F"/>
    <w:rsid w:val="00610843"/>
    <w:rsid w:val="0061471A"/>
    <w:rsid w:val="00620C0A"/>
    <w:rsid w:val="00642117"/>
    <w:rsid w:val="00644435"/>
    <w:rsid w:val="00652AEB"/>
    <w:rsid w:val="006616DD"/>
    <w:rsid w:val="00662681"/>
    <w:rsid w:val="006656F3"/>
    <w:rsid w:val="00674ADE"/>
    <w:rsid w:val="00675EB0"/>
    <w:rsid w:val="00677F88"/>
    <w:rsid w:val="006855B8"/>
    <w:rsid w:val="006B6E73"/>
    <w:rsid w:val="006D4C85"/>
    <w:rsid w:val="006F4480"/>
    <w:rsid w:val="006F608B"/>
    <w:rsid w:val="00700078"/>
    <w:rsid w:val="00703008"/>
    <w:rsid w:val="007048B1"/>
    <w:rsid w:val="007068F4"/>
    <w:rsid w:val="00724A7F"/>
    <w:rsid w:val="00734831"/>
    <w:rsid w:val="00757F0E"/>
    <w:rsid w:val="00774C38"/>
    <w:rsid w:val="00776EB1"/>
    <w:rsid w:val="00777719"/>
    <w:rsid w:val="00786503"/>
    <w:rsid w:val="007970AB"/>
    <w:rsid w:val="007A173C"/>
    <w:rsid w:val="007A498E"/>
    <w:rsid w:val="007A5992"/>
    <w:rsid w:val="007A6147"/>
    <w:rsid w:val="007C3FD9"/>
    <w:rsid w:val="007C42BB"/>
    <w:rsid w:val="007E1A09"/>
    <w:rsid w:val="007E43D3"/>
    <w:rsid w:val="007E53DF"/>
    <w:rsid w:val="007E579A"/>
    <w:rsid w:val="007E690E"/>
    <w:rsid w:val="007F2EBE"/>
    <w:rsid w:val="007F6839"/>
    <w:rsid w:val="00801C54"/>
    <w:rsid w:val="008025CC"/>
    <w:rsid w:val="008046D0"/>
    <w:rsid w:val="0080740D"/>
    <w:rsid w:val="008109C7"/>
    <w:rsid w:val="008327D4"/>
    <w:rsid w:val="00834EFC"/>
    <w:rsid w:val="00837F00"/>
    <w:rsid w:val="008604C7"/>
    <w:rsid w:val="0086643B"/>
    <w:rsid w:val="00872AD1"/>
    <w:rsid w:val="0087631E"/>
    <w:rsid w:val="00884E8F"/>
    <w:rsid w:val="00891A1B"/>
    <w:rsid w:val="008C00F8"/>
    <w:rsid w:val="008C1D24"/>
    <w:rsid w:val="008C2F94"/>
    <w:rsid w:val="008C3C29"/>
    <w:rsid w:val="008D7341"/>
    <w:rsid w:val="008E7D6D"/>
    <w:rsid w:val="008F5178"/>
    <w:rsid w:val="008F736A"/>
    <w:rsid w:val="009022B8"/>
    <w:rsid w:val="00902CFA"/>
    <w:rsid w:val="00902F7A"/>
    <w:rsid w:val="00922D14"/>
    <w:rsid w:val="0093058B"/>
    <w:rsid w:val="009345C5"/>
    <w:rsid w:val="00951B63"/>
    <w:rsid w:val="0095503C"/>
    <w:rsid w:val="0095799A"/>
    <w:rsid w:val="00985B2F"/>
    <w:rsid w:val="009A245D"/>
    <w:rsid w:val="009A472B"/>
    <w:rsid w:val="009C1CE4"/>
    <w:rsid w:val="009C3443"/>
    <w:rsid w:val="009D00F3"/>
    <w:rsid w:val="009D311F"/>
    <w:rsid w:val="009D314A"/>
    <w:rsid w:val="009E69B7"/>
    <w:rsid w:val="009E7E94"/>
    <w:rsid w:val="00A020B2"/>
    <w:rsid w:val="00A26A2A"/>
    <w:rsid w:val="00A30DE7"/>
    <w:rsid w:val="00A53D7E"/>
    <w:rsid w:val="00A7101C"/>
    <w:rsid w:val="00A84DFE"/>
    <w:rsid w:val="00A93A56"/>
    <w:rsid w:val="00AA6710"/>
    <w:rsid w:val="00AE5AFB"/>
    <w:rsid w:val="00AE6B09"/>
    <w:rsid w:val="00AF4F0C"/>
    <w:rsid w:val="00B04914"/>
    <w:rsid w:val="00B523AB"/>
    <w:rsid w:val="00B56BAD"/>
    <w:rsid w:val="00B66900"/>
    <w:rsid w:val="00B75016"/>
    <w:rsid w:val="00B75688"/>
    <w:rsid w:val="00B82A9B"/>
    <w:rsid w:val="00B92224"/>
    <w:rsid w:val="00BB05C1"/>
    <w:rsid w:val="00BC2176"/>
    <w:rsid w:val="00BD2B08"/>
    <w:rsid w:val="00BD7214"/>
    <w:rsid w:val="00BE2AB8"/>
    <w:rsid w:val="00BE69C2"/>
    <w:rsid w:val="00C241E6"/>
    <w:rsid w:val="00C4307D"/>
    <w:rsid w:val="00C5296F"/>
    <w:rsid w:val="00C658E2"/>
    <w:rsid w:val="00C91B5F"/>
    <w:rsid w:val="00CA78E0"/>
    <w:rsid w:val="00CD081D"/>
    <w:rsid w:val="00CE42B9"/>
    <w:rsid w:val="00D044D6"/>
    <w:rsid w:val="00D117C4"/>
    <w:rsid w:val="00D1378F"/>
    <w:rsid w:val="00D24D19"/>
    <w:rsid w:val="00D424E2"/>
    <w:rsid w:val="00D42927"/>
    <w:rsid w:val="00D51A7E"/>
    <w:rsid w:val="00D52D8B"/>
    <w:rsid w:val="00D55058"/>
    <w:rsid w:val="00D57721"/>
    <w:rsid w:val="00D64B3D"/>
    <w:rsid w:val="00D875D8"/>
    <w:rsid w:val="00D94664"/>
    <w:rsid w:val="00D96F87"/>
    <w:rsid w:val="00DA4463"/>
    <w:rsid w:val="00DA4BBA"/>
    <w:rsid w:val="00DB0879"/>
    <w:rsid w:val="00DB479B"/>
    <w:rsid w:val="00DB7BD8"/>
    <w:rsid w:val="00DC0935"/>
    <w:rsid w:val="00DD3A0F"/>
    <w:rsid w:val="00DE0255"/>
    <w:rsid w:val="00DE65E1"/>
    <w:rsid w:val="00DF32DE"/>
    <w:rsid w:val="00E01EC8"/>
    <w:rsid w:val="00E12BE3"/>
    <w:rsid w:val="00E20875"/>
    <w:rsid w:val="00E3014E"/>
    <w:rsid w:val="00E356EF"/>
    <w:rsid w:val="00E6078D"/>
    <w:rsid w:val="00E66A2B"/>
    <w:rsid w:val="00E8164B"/>
    <w:rsid w:val="00E841DC"/>
    <w:rsid w:val="00E85F5E"/>
    <w:rsid w:val="00E86C0B"/>
    <w:rsid w:val="00E970A4"/>
    <w:rsid w:val="00EC7B2B"/>
    <w:rsid w:val="00ED283D"/>
    <w:rsid w:val="00ED48F9"/>
    <w:rsid w:val="00ED7C93"/>
    <w:rsid w:val="00EF4482"/>
    <w:rsid w:val="00F260AF"/>
    <w:rsid w:val="00F3152A"/>
    <w:rsid w:val="00F43348"/>
    <w:rsid w:val="00F5306D"/>
    <w:rsid w:val="00F6311E"/>
    <w:rsid w:val="00F63E05"/>
    <w:rsid w:val="00F659F2"/>
    <w:rsid w:val="00F73A69"/>
    <w:rsid w:val="00F756D4"/>
    <w:rsid w:val="00F75F63"/>
    <w:rsid w:val="00F94CD5"/>
    <w:rsid w:val="00FB2F5F"/>
    <w:rsid w:val="00FC02E2"/>
    <w:rsid w:val="00FC0A4A"/>
    <w:rsid w:val="00FD0C31"/>
    <w:rsid w:val="00FD746C"/>
    <w:rsid w:val="00FE4BEB"/>
    <w:rsid w:val="00FF1F1D"/>
    <w:rsid w:val="00FF3EED"/>
    <w:rsid w:val="00FF615A"/>
    <w:rsid w:val="00FF6EC1"/>
    <w:rsid w:val="00FF7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AE6B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690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F756D4"/>
    <w:rPr>
      <w:sz w:val="16"/>
      <w:szCs w:val="16"/>
    </w:rPr>
  </w:style>
  <w:style w:type="paragraph" w:styleId="CommentText">
    <w:name w:val="annotation text"/>
    <w:basedOn w:val="Normal"/>
    <w:link w:val="CommentTextChar"/>
    <w:uiPriority w:val="99"/>
    <w:unhideWhenUsed/>
    <w:rsid w:val="00F756D4"/>
    <w:rPr>
      <w:sz w:val="20"/>
      <w:szCs w:val="20"/>
    </w:rPr>
  </w:style>
  <w:style w:type="character" w:customStyle="1" w:styleId="CommentTextChar">
    <w:name w:val="Comment Text Char"/>
    <w:basedOn w:val="DefaultParagraphFont"/>
    <w:link w:val="CommentText"/>
    <w:uiPriority w:val="99"/>
    <w:rsid w:val="00F756D4"/>
    <w:rPr>
      <w:sz w:val="20"/>
      <w:szCs w:val="20"/>
      <w:lang w:val="en-US"/>
    </w:rPr>
  </w:style>
  <w:style w:type="paragraph" w:styleId="CommentSubject">
    <w:name w:val="annotation subject"/>
    <w:basedOn w:val="CommentText"/>
    <w:next w:val="CommentText"/>
    <w:link w:val="CommentSubjectChar"/>
    <w:uiPriority w:val="99"/>
    <w:semiHidden/>
    <w:unhideWhenUsed/>
    <w:rsid w:val="00F756D4"/>
    <w:rPr>
      <w:b/>
      <w:bCs/>
    </w:rPr>
  </w:style>
  <w:style w:type="character" w:customStyle="1" w:styleId="CommentSubjectChar">
    <w:name w:val="Comment Subject Char"/>
    <w:basedOn w:val="CommentTextChar"/>
    <w:link w:val="CommentSubject"/>
    <w:uiPriority w:val="99"/>
    <w:semiHidden/>
    <w:rsid w:val="00F756D4"/>
    <w:rPr>
      <w:b/>
      <w:bCs/>
      <w:sz w:val="20"/>
      <w:szCs w:val="20"/>
      <w:lang w:val="en-US"/>
    </w:rPr>
  </w:style>
  <w:style w:type="paragraph" w:styleId="BalloonText">
    <w:name w:val="Balloon Text"/>
    <w:basedOn w:val="Normal"/>
    <w:link w:val="BalloonTextChar"/>
    <w:uiPriority w:val="99"/>
    <w:semiHidden/>
    <w:unhideWhenUsed/>
    <w:rsid w:val="00F75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6D4"/>
    <w:rPr>
      <w:rFonts w:ascii="Segoe UI" w:hAnsi="Segoe UI" w:cs="Segoe UI"/>
      <w:sz w:val="18"/>
      <w:szCs w:val="18"/>
      <w:lang w:val="en-US"/>
    </w:rPr>
  </w:style>
  <w:style w:type="table" w:styleId="TableGrid">
    <w:name w:val="Table Grid"/>
    <w:basedOn w:val="TableNormal"/>
    <w:uiPriority w:val="59"/>
    <w:rsid w:val="00F75F6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6B09"/>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B66900"/>
    <w:rPr>
      <w:rFonts w:asciiTheme="majorHAnsi" w:eastAsiaTheme="majorEastAsia" w:hAnsiTheme="majorHAnsi" w:cstheme="majorBidi"/>
      <w:color w:val="1F4D78" w:themeColor="accent1" w:themeShade="7F"/>
      <w:sz w:val="24"/>
      <w:szCs w:val="24"/>
      <w:lang w:val="en-US"/>
    </w:rPr>
  </w:style>
  <w:style w:type="character" w:styleId="FootnoteReference">
    <w:name w:val="footnote reference"/>
    <w:aliases w:val="(NECG) Footnote Reference"/>
    <w:unhideWhenUsed/>
    <w:rsid w:val="007A173C"/>
    <w:rPr>
      <w:vertAlign w:val="superscript"/>
    </w:rPr>
  </w:style>
  <w:style w:type="character" w:styleId="Hyperlink">
    <w:name w:val="Hyperlink"/>
    <w:basedOn w:val="DefaultParagraphFont"/>
    <w:uiPriority w:val="99"/>
    <w:unhideWhenUsed/>
    <w:rsid w:val="00FD0C31"/>
    <w:rPr>
      <w:color w:val="0563C1" w:themeColor="hyperlink"/>
      <w:u w:val="single"/>
    </w:rPr>
  </w:style>
  <w:style w:type="character" w:styleId="FollowedHyperlink">
    <w:name w:val="FollowedHyperlink"/>
    <w:basedOn w:val="DefaultParagraphFont"/>
    <w:uiPriority w:val="99"/>
    <w:semiHidden/>
    <w:unhideWhenUsed/>
    <w:rsid w:val="00FD0C31"/>
    <w:rPr>
      <w:color w:val="954F72" w:themeColor="followedHyperlink"/>
      <w:u w:val="single"/>
    </w:rPr>
  </w:style>
  <w:style w:type="paragraph" w:styleId="FootnoteText">
    <w:name w:val="footnote text"/>
    <w:basedOn w:val="Normal"/>
    <w:link w:val="FootnoteTextChar"/>
    <w:uiPriority w:val="99"/>
    <w:semiHidden/>
    <w:unhideWhenUsed/>
    <w:rsid w:val="00E12BE3"/>
    <w:rPr>
      <w:sz w:val="20"/>
      <w:szCs w:val="20"/>
    </w:rPr>
  </w:style>
  <w:style w:type="character" w:customStyle="1" w:styleId="FootnoteTextChar">
    <w:name w:val="Footnote Text Char"/>
    <w:basedOn w:val="DefaultParagraphFont"/>
    <w:link w:val="FootnoteText"/>
    <w:uiPriority w:val="99"/>
    <w:semiHidden/>
    <w:rsid w:val="00E12BE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pir.nt.gov.au/__data/assets/pdf_file/0009/258939/Stage-2-Project-Agreement.pdf" TargetMode="External"/><Relationship Id="rId2" Type="http://schemas.openxmlformats.org/officeDocument/2006/relationships/hyperlink" Target="https://dpir.nt.gov.au/__data/assets/pdf_file/0007/261493/Rum_Jungle_Conceptual_Rehabilitation_Plan.pdf" TargetMode="External"/><Relationship Id="rId1" Type="http://schemas.openxmlformats.org/officeDocument/2006/relationships/hyperlink" Target="http://www.federalfinancialrelations.gov.au/content/npa/environment/national-partnership/past/renewable_remote_power_national_partnership.pdf" TargetMode="External"/><Relationship Id="rId4" Type="http://schemas.openxmlformats.org/officeDocument/2006/relationships/hyperlink" Target="https://www.federalfinancialrelations.gov.au/content/npa/environment/project-agreement/Rum_Jungle_Project_Agreement_(Stage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5144" ma:contentTypeDescription=" " ma:contentTypeScope="" ma:versionID="8d9d87f36fd73227190632f56d3e56c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2536</Value>
      <Value>1574</Value>
      <Value>58</Value>
      <Value>1519</Value>
      <Value>719</Value>
      <Value>3</Value>
    </TaxCatchAll>
    <_dlc_DocId xmlns="0f563589-9cf9-4143-b1eb-fb0534803d38">2021FG-64-91620</_dlc_DocId>
    <_dlc_DocIdUrl xmlns="0f563589-9cf9-4143-b1eb-fb0534803d38">
      <Url>http://tweb/sites/fg/csrd/_layouts/15/DocIdRedir.aspx?ID=2021FG-64-91620</Url>
      <Description>2021FG-64-91620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7E6CD347-B9DE-47CA-96CD-50D0D3CA6745}"/>
</file>

<file path=customXml/itemProps2.xml><?xml version="1.0" encoding="utf-8"?>
<ds:datastoreItem xmlns:ds="http://schemas.openxmlformats.org/officeDocument/2006/customXml" ds:itemID="{83C7CF8C-C6C7-49CD-B4E2-D2F621727AE5}"/>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FFD900B8-6070-407E-B433-89E316A15907}">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e950eb60-a35e-4b14-88a9-41f408f74491"/>
    <ds:schemaRef ds:uri="http://schemas.microsoft.com/office/2006/documentManagement/types"/>
    <ds:schemaRef ds:uri="f7542fce-ffe0-493b-b9b7-89db4158a116"/>
    <ds:schemaRef ds:uri="http://www.w3.org/XML/1998/namespace"/>
    <ds:schemaRef ds:uri="http://purl.org/dc/elements/1.1/"/>
  </ds:schemaRefs>
</ds:datastoreItem>
</file>

<file path=customXml/itemProps5.xml><?xml version="1.0" encoding="utf-8"?>
<ds:datastoreItem xmlns:ds="http://schemas.openxmlformats.org/officeDocument/2006/customXml" ds:itemID="{C8742603-3BBA-4D74-AB98-602CDF2C1ED4}">
  <ds:schemaRefs>
    <ds:schemaRef ds:uri="http://schemas.openxmlformats.org/officeDocument/2006/bibliography"/>
  </ds:schemaRefs>
</ds:datastoreItem>
</file>

<file path=customXml/itemProps6.xml><?xml version="1.0" encoding="utf-8"?>
<ds:datastoreItem xmlns:ds="http://schemas.openxmlformats.org/officeDocument/2006/customXml" ds:itemID="{4880E775-EE94-4F95-85DF-C80E23A0E5DC}"/>
</file>

<file path=customXml/itemProps7.xml><?xml version="1.0" encoding="utf-8"?>
<ds:datastoreItem xmlns:ds="http://schemas.openxmlformats.org/officeDocument/2006/customXml" ds:itemID="{D4C04695-FAAE-42F5-88D3-3E5A96AE7D58}"/>
</file>

<file path=docProps/app.xml><?xml version="1.0" encoding="utf-8"?>
<Properties xmlns="http://schemas.openxmlformats.org/officeDocument/2006/extended-properties" xmlns:vt="http://schemas.openxmlformats.org/officeDocument/2006/docPropsVTypes">
  <Template>Normal</Template>
  <TotalTime>2</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Colleen</dc:creator>
  <cp:keywords/>
  <dc:description/>
  <cp:lastModifiedBy>Leitch, Virginia</cp:lastModifiedBy>
  <cp:revision>3</cp:revision>
  <cp:lastPrinted>2020-10-26T04:28:00Z</cp:lastPrinted>
  <dcterms:created xsi:type="dcterms:W3CDTF">2020-12-22T00:35:00Z</dcterms:created>
  <dcterms:modified xsi:type="dcterms:W3CDTF">2020-12-22T00:38:00Z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ESearchTags">
    <vt:lpwstr/>
  </property>
  <property fmtid="{D5CDD505-2E9C-101B-9397-08002B2CF9AE}" pid="4" name="HPRMSecurityLevel">
    <vt:lpwstr>32;#OFFICIAL|11463c70-78df-4e3b-b0ff-f66cd3cb26ec</vt:lpwstr>
  </property>
  <property fmtid="{D5CDD505-2E9C-101B-9397-08002B2CF9AE}" pid="5" name="HPRMSecurityCaveat">
    <vt:lpwstr/>
  </property>
  <property fmtid="{D5CDD505-2E9C-101B-9397-08002B2CF9AE}" pid="6" name="PMC.ESearch.TagGeneratedTime">
    <vt:lpwstr>2020-05-19T10:56:22</vt:lpwstr>
  </property>
  <property fmtid="{D5CDD505-2E9C-101B-9397-08002B2CF9AE}" pid="7" name="_dlc_DocIdItemGuid">
    <vt:lpwstr>e3d15f0b-469c-4b69-b18d-f01a6994f28a</vt:lpwstr>
  </property>
  <property fmtid="{D5CDD505-2E9C-101B-9397-08002B2CF9AE}" pid="8" name="TSYRecordClass">
    <vt:lpwstr>2;#TSY RA-8748 - Retain as national archives|243f2231-dbfc-4282-b24a-c9b768286bd0</vt:lpwstr>
  </property>
  <property fmtid="{D5CDD505-2E9C-101B-9397-08002B2CF9AE}" pid="9" name="DocHub_Year">
    <vt:lpwstr>2536;#2020-21|fc8bd51e-588a-4169-a977-a72f113edbe3</vt:lpwstr>
  </property>
  <property fmtid="{D5CDD505-2E9C-101B-9397-08002B2CF9AE}" pid="10" name="DocHub_DocumentType">
    <vt:lpwstr>58;#Agreement|c6630c04-0bc4-43ff-8b03-b6b33ea18931</vt:lpwstr>
  </property>
  <property fmtid="{D5CDD505-2E9C-101B-9397-08002B2CF9AE}" pid="11" name="RecordPoint_RecordNumberSubmitted">
    <vt:lpwstr>R0001978190</vt:lpwstr>
  </property>
  <property fmtid="{D5CDD505-2E9C-101B-9397-08002B2CF9AE}" pid="12" name="DocHub_SecurityClassification">
    <vt:lpwstr>3;#OFFICIAL|6106d03b-a1a0-4e30-9d91-d5e9fb4314f9</vt:lpwstr>
  </property>
  <property fmtid="{D5CDD505-2E9C-101B-9397-08002B2CF9AE}" pid="13" name="RecordPoint_ActiveItemWebId">
    <vt:lpwstr>{a4589788-615f-4b8b-8296-7f9f6dfbab44}</vt:lpwstr>
  </property>
  <property fmtid="{D5CDD505-2E9C-101B-9397-08002B2CF9AE}" pid="14" name="RecordPoint_WorkflowType">
    <vt:lpwstr>ActiveSubmitStub</vt:lpwstr>
  </property>
  <property fmtid="{D5CDD505-2E9C-101B-9397-08002B2CF9AE}" pid="15" name="DocHub_WorkActivity">
    <vt:lpwstr>719;#Financial Management|101c3016-8f4a-46f5-b4bf-c377f53fdcf5</vt:lpwstr>
  </property>
  <property fmtid="{D5CDD505-2E9C-101B-9397-08002B2CF9AE}" pid="16" name="RecordPoint_ActiveItemSiteId">
    <vt:lpwstr>{a3a280d1-e8f1-4ce7-94f0-aaa2322da0dd}</vt:lpwstr>
  </property>
  <property fmtid="{D5CDD505-2E9C-101B-9397-08002B2CF9AE}" pid="17" name="RecordPoint_ActiveItemListId">
    <vt:lpwstr>{4435c73b-6585-4bc2-a76a-5d21b1a02e06}</vt:lpwstr>
  </property>
  <property fmtid="{D5CDD505-2E9C-101B-9397-08002B2CF9AE}" pid="18" name="_NewReviewCycle">
    <vt:lpwstr/>
  </property>
  <property fmtid="{D5CDD505-2E9C-101B-9397-08002B2CF9AE}" pid="19" name="RecordPoint_ActiveItemUniqueId">
    <vt:lpwstr>{e84186e2-c053-45dd-9101-ac6c4b4a13ae}</vt:lpwstr>
  </property>
  <property fmtid="{D5CDD505-2E9C-101B-9397-08002B2CF9AE}" pid="20" name="RecordPoint_SubmissionCompleted">
    <vt:lpwstr>2019-01-25T10:11:07.6285453+11:00</vt:lpwstr>
  </property>
  <property fmtid="{D5CDD505-2E9C-101B-9397-08002B2CF9AE}" pid="21" name="DocHub_Keywords">
    <vt:lpwstr>1574;#Rum Jungle|b0e32c72-d729-4bbb-8d81-2e1a839dcaca;#1519;#NPA|f3d0b17e-e6a7-4e53-ba56-a016f6b0add3</vt:lpwstr>
  </property>
</Properties>
</file>