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9AABF" w14:textId="77777777" w:rsidR="003831D0" w:rsidRDefault="003831D0" w:rsidP="003831D0">
      <w:pPr>
        <w:spacing w:before="14"/>
        <w:ind w:left="112"/>
        <w:jc w:val="right"/>
        <w:rPr>
          <w:rFonts w:ascii="Corbel"/>
          <w:color w:val="622322"/>
          <w:sz w:val="32"/>
        </w:rPr>
      </w:pPr>
      <w:bookmarkStart w:id="0" w:name="_GoBack"/>
      <w:bookmarkEnd w:id="0"/>
      <w:r>
        <w:rPr>
          <w:rFonts w:ascii="Corbel"/>
          <w:color w:val="622322"/>
          <w:spacing w:val="-1"/>
          <w:sz w:val="32"/>
        </w:rPr>
        <w:t>Schedule</w:t>
      </w:r>
      <w:r>
        <w:rPr>
          <w:rFonts w:ascii="Corbel"/>
          <w:color w:val="622322"/>
          <w:spacing w:val="-25"/>
          <w:sz w:val="32"/>
        </w:rPr>
        <w:t xml:space="preserve"> </w:t>
      </w:r>
      <w:r>
        <w:rPr>
          <w:rFonts w:ascii="Corbel"/>
          <w:color w:val="622322"/>
          <w:sz w:val="32"/>
        </w:rPr>
        <w:t xml:space="preserve">Health </w:t>
      </w:r>
      <w:r>
        <w:rPr>
          <w:rFonts w:ascii="Corbel"/>
          <w:color w:val="622322"/>
          <w:sz w:val="32"/>
        </w:rPr>
        <w:t>–</w:t>
      </w:r>
      <w:r>
        <w:rPr>
          <w:rFonts w:ascii="Corbel"/>
          <w:color w:val="622322"/>
          <w:sz w:val="32"/>
        </w:rPr>
        <w:t xml:space="preserve"> C</w:t>
      </w:r>
    </w:p>
    <w:p w14:paraId="38D8323C" w14:textId="77777777" w:rsidR="003831D0" w:rsidRPr="001E20F4" w:rsidRDefault="003831D0" w:rsidP="003831D0">
      <w:pPr>
        <w:pStyle w:val="Title"/>
      </w:pPr>
      <w:r>
        <w:t>Victorian Cytology Service</w:t>
      </w:r>
    </w:p>
    <w:p w14:paraId="590C0143" w14:textId="77777777" w:rsidR="003831D0" w:rsidRPr="00BE249A" w:rsidRDefault="003831D0" w:rsidP="003831D0">
      <w:pPr>
        <w:pStyle w:val="Subtitle"/>
      </w:pPr>
      <w:r>
        <w:t>National Partnership for streamlined agreements</w:t>
      </w:r>
    </w:p>
    <w:tbl>
      <w:tblPr>
        <w:tblW w:w="962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550"/>
        <w:gridCol w:w="8079"/>
      </w:tblGrid>
      <w:tr w:rsidR="003831D0" w:rsidRPr="00953EC6" w14:paraId="5DB41B66" w14:textId="77777777" w:rsidTr="00F22D47">
        <w:tc>
          <w:tcPr>
            <w:tcW w:w="9629" w:type="dxa"/>
            <w:gridSpan w:val="2"/>
            <w:shd w:val="clear" w:color="auto" w:fill="DEEAF6" w:themeFill="accent1" w:themeFillTint="33"/>
          </w:tcPr>
          <w:p w14:paraId="3C993C89" w14:textId="77777777" w:rsidR="003831D0" w:rsidRPr="00953EC6" w:rsidRDefault="003831D0" w:rsidP="00F22D47">
            <w:pPr>
              <w:pStyle w:val="Tableformat"/>
              <w:rPr>
                <w:b/>
                <w:color w:val="auto"/>
              </w:rPr>
            </w:pPr>
            <w:r w:rsidRPr="00953EC6">
              <w:rPr>
                <w:b/>
                <w:color w:val="auto"/>
              </w:rPr>
              <w:t>Formalities and operation of schedule</w:t>
            </w:r>
          </w:p>
        </w:tc>
      </w:tr>
      <w:tr w:rsidR="003831D0" w:rsidRPr="00953EC6" w14:paraId="759AE063" w14:textId="77777777" w:rsidTr="00F22D47">
        <w:tc>
          <w:tcPr>
            <w:tcW w:w="1550" w:type="dxa"/>
            <w:shd w:val="clear" w:color="auto" w:fill="auto"/>
          </w:tcPr>
          <w:p w14:paraId="618C0AC5" w14:textId="77777777" w:rsidR="003831D0" w:rsidRPr="00953EC6" w:rsidRDefault="003831D0" w:rsidP="00F22D47">
            <w:pPr>
              <w:pStyle w:val="Tableformat"/>
              <w:rPr>
                <w:color w:val="auto"/>
              </w:rPr>
            </w:pPr>
            <w:r w:rsidRPr="00953EC6">
              <w:rPr>
                <w:color w:val="auto"/>
              </w:rPr>
              <w:t>Parties</w:t>
            </w:r>
          </w:p>
        </w:tc>
        <w:tc>
          <w:tcPr>
            <w:tcW w:w="8079" w:type="dxa"/>
            <w:shd w:val="clear" w:color="auto" w:fill="auto"/>
          </w:tcPr>
          <w:p w14:paraId="548604ED" w14:textId="77777777" w:rsidR="003831D0" w:rsidRPr="00953EC6" w:rsidRDefault="003831D0" w:rsidP="00F22D47">
            <w:pPr>
              <w:pStyle w:val="Tableformat"/>
              <w:rPr>
                <w:color w:val="auto"/>
              </w:rPr>
            </w:pPr>
            <w:r w:rsidRPr="00953EC6">
              <w:rPr>
                <w:color w:val="auto"/>
              </w:rPr>
              <w:t>Commonwealth</w:t>
            </w:r>
          </w:p>
          <w:p w14:paraId="3477DE60" w14:textId="77777777" w:rsidR="003831D0" w:rsidRPr="00953EC6" w:rsidRDefault="003831D0" w:rsidP="00F22D47">
            <w:pPr>
              <w:pStyle w:val="Tableformat"/>
              <w:rPr>
                <w:color w:val="auto"/>
              </w:rPr>
            </w:pPr>
            <w:r w:rsidRPr="00953EC6">
              <w:rPr>
                <w:color w:val="auto"/>
              </w:rPr>
              <w:t xml:space="preserve">Victoria </w:t>
            </w:r>
          </w:p>
        </w:tc>
      </w:tr>
      <w:tr w:rsidR="003831D0" w:rsidRPr="00953EC6" w14:paraId="2DECCAC3" w14:textId="77777777" w:rsidTr="00F22D47">
        <w:tc>
          <w:tcPr>
            <w:tcW w:w="1550" w:type="dxa"/>
            <w:shd w:val="clear" w:color="auto" w:fill="auto"/>
          </w:tcPr>
          <w:p w14:paraId="519F3C29" w14:textId="77777777" w:rsidR="003831D0" w:rsidRPr="00953EC6" w:rsidRDefault="003831D0" w:rsidP="00F22D47">
            <w:pPr>
              <w:pStyle w:val="Tableformat"/>
              <w:rPr>
                <w:color w:val="auto"/>
              </w:rPr>
            </w:pPr>
            <w:r w:rsidRPr="00953EC6">
              <w:rPr>
                <w:color w:val="auto"/>
              </w:rPr>
              <w:t>Effect on other agreements</w:t>
            </w:r>
          </w:p>
        </w:tc>
        <w:tc>
          <w:tcPr>
            <w:tcW w:w="8079" w:type="dxa"/>
            <w:shd w:val="clear" w:color="auto" w:fill="auto"/>
          </w:tcPr>
          <w:p w14:paraId="64D3D705" w14:textId="77777777" w:rsidR="003831D0" w:rsidRPr="00953EC6" w:rsidRDefault="003831D0" w:rsidP="00F22D47">
            <w:pPr>
              <w:pStyle w:val="Tableformat"/>
              <w:rPr>
                <w:color w:val="auto"/>
              </w:rPr>
            </w:pPr>
            <w:r w:rsidRPr="00953EC6">
              <w:rPr>
                <w:color w:val="auto"/>
              </w:rPr>
              <w:t>The Project Agreement for the Victorian Cytology Service that commenced on 21 May 2018 on is replaced by this Agreement and Schedule. This Schedule is expected to expire on 30 June 2021.</w:t>
            </w:r>
          </w:p>
        </w:tc>
      </w:tr>
      <w:tr w:rsidR="003831D0" w:rsidRPr="00953EC6" w14:paraId="3C586EB3" w14:textId="77777777" w:rsidTr="00F22D47">
        <w:tc>
          <w:tcPr>
            <w:tcW w:w="1550" w:type="dxa"/>
            <w:shd w:val="clear" w:color="auto" w:fill="auto"/>
          </w:tcPr>
          <w:p w14:paraId="702B5C8D" w14:textId="77777777" w:rsidR="003831D0" w:rsidRPr="00953EC6" w:rsidRDefault="003831D0" w:rsidP="00F22D47">
            <w:pPr>
              <w:pStyle w:val="Tableformat"/>
              <w:rPr>
                <w:color w:val="auto"/>
              </w:rPr>
            </w:pPr>
            <w:r w:rsidRPr="00953EC6">
              <w:rPr>
                <w:color w:val="auto"/>
              </w:rPr>
              <w:t>Purpose</w:t>
            </w:r>
          </w:p>
        </w:tc>
        <w:tc>
          <w:tcPr>
            <w:tcW w:w="8079" w:type="dxa"/>
            <w:shd w:val="clear" w:color="auto" w:fill="auto"/>
          </w:tcPr>
          <w:p w14:paraId="4A8A7286" w14:textId="77777777" w:rsidR="003831D0" w:rsidRPr="00953EC6" w:rsidRDefault="003831D0" w:rsidP="00F22D47">
            <w:pPr>
              <w:pStyle w:val="Tableformat"/>
              <w:rPr>
                <w:color w:val="auto"/>
              </w:rPr>
            </w:pPr>
            <w:r w:rsidRPr="00953EC6">
              <w:rPr>
                <w:color w:val="auto"/>
              </w:rPr>
              <w:t>This Schedule will support the Victorian Cytology Service (VCS), a national centre of excellence in the early detection of pre-cancerous cervical abnormalities, to provide accurate reporting of primary cervical screening tests and benchmarking data on the pricing and quality of primary cervical screening tests.</w:t>
            </w:r>
          </w:p>
        </w:tc>
      </w:tr>
      <w:tr w:rsidR="003831D0" w:rsidRPr="00953EC6" w14:paraId="0AEA9A38" w14:textId="77777777" w:rsidTr="00F22D47">
        <w:trPr>
          <w:trHeight w:val="5181"/>
        </w:trPr>
        <w:tc>
          <w:tcPr>
            <w:tcW w:w="1550" w:type="dxa"/>
            <w:shd w:val="clear" w:color="auto" w:fill="auto"/>
          </w:tcPr>
          <w:p w14:paraId="279B91B6" w14:textId="77777777" w:rsidR="003831D0" w:rsidRPr="00953EC6" w:rsidRDefault="003831D0" w:rsidP="00F22D47">
            <w:pPr>
              <w:pStyle w:val="Tableformat"/>
              <w:rPr>
                <w:color w:val="auto"/>
              </w:rPr>
            </w:pPr>
            <w:r w:rsidRPr="00953EC6">
              <w:rPr>
                <w:color w:val="auto"/>
              </w:rPr>
              <w:t>Estimated financial contributions</w:t>
            </w:r>
          </w:p>
        </w:tc>
        <w:tc>
          <w:tcPr>
            <w:tcW w:w="8079" w:type="dxa"/>
            <w:shd w:val="clear" w:color="auto" w:fill="auto"/>
          </w:tcPr>
          <w:p w14:paraId="1631ADF0" w14:textId="77777777" w:rsidR="003831D0" w:rsidRPr="00953EC6" w:rsidRDefault="003831D0" w:rsidP="00F22D47">
            <w:pPr>
              <w:pStyle w:val="Tableformat"/>
              <w:rPr>
                <w:color w:val="auto"/>
              </w:rPr>
            </w:pPr>
            <w:r w:rsidRPr="00953EC6">
              <w:rPr>
                <w:noProof/>
                <w:color w:val="auto"/>
                <w:lang w:val="en-AU"/>
              </w:rPr>
              <mc:AlternateContent>
                <mc:Choice Requires="wps">
                  <w:drawing>
                    <wp:anchor distT="45720" distB="45720" distL="114300" distR="114300" simplePos="0" relativeHeight="251665408" behindDoc="0" locked="0" layoutInCell="1" allowOverlap="1" wp14:anchorId="3C48FF31" wp14:editId="5772C966">
                      <wp:simplePos x="0" y="0"/>
                      <wp:positionH relativeFrom="column">
                        <wp:posOffset>-62230</wp:posOffset>
                      </wp:positionH>
                      <wp:positionV relativeFrom="paragraph">
                        <wp:posOffset>941070</wp:posOffset>
                      </wp:positionV>
                      <wp:extent cx="5133340" cy="2374900"/>
                      <wp:effectExtent l="0" t="0" r="0" b="63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340" cy="2374900"/>
                              </a:xfrm>
                              <a:prstGeom prst="rect">
                                <a:avLst/>
                              </a:prstGeom>
                              <a:solidFill>
                                <a:srgbClr val="FFFFFF"/>
                              </a:solidFill>
                              <a:ln w="9525">
                                <a:noFill/>
                                <a:miter lim="800000"/>
                                <a:headEnd/>
                                <a:tailEnd/>
                              </a:ln>
                            </wps:spPr>
                            <wps:txbx>
                              <w:txbxContent>
                                <w:tbl>
                                  <w:tblPr>
                                    <w:tblW w:w="0" w:type="auto"/>
                                    <w:tblLook w:val="01E0" w:firstRow="1" w:lastRow="1" w:firstColumn="1" w:lastColumn="1" w:noHBand="0" w:noVBand="0"/>
                                  </w:tblPr>
                                  <w:tblGrid>
                                    <w:gridCol w:w="2127"/>
                                    <w:gridCol w:w="942"/>
                                    <w:gridCol w:w="943"/>
                                  </w:tblGrid>
                                  <w:tr w:rsidR="003831D0" w:rsidRPr="00101AB3" w14:paraId="456AB6EC" w14:textId="77777777" w:rsidTr="00304C81">
                                    <w:trPr>
                                      <w:cantSplit/>
                                    </w:trPr>
                                    <w:tc>
                                      <w:tcPr>
                                        <w:tcW w:w="2127" w:type="dxa"/>
                                        <w:tcBorders>
                                          <w:top w:val="single" w:sz="4" w:space="0" w:color="000080"/>
                                          <w:bottom w:val="single" w:sz="4" w:space="0" w:color="000080"/>
                                        </w:tcBorders>
                                      </w:tcPr>
                                      <w:p w14:paraId="5451EE9A" w14:textId="77777777" w:rsidR="003831D0" w:rsidRPr="005D39DD" w:rsidRDefault="003831D0" w:rsidP="00304C81">
                                        <w:pPr>
                                          <w:keepNext/>
                                          <w:keepLines/>
                                          <w:spacing w:before="40" w:after="40"/>
                                          <w:ind w:left="-111"/>
                                          <w:rPr>
                                            <w:b/>
                                            <w:sz w:val="21"/>
                                            <w:szCs w:val="21"/>
                                          </w:rPr>
                                        </w:pPr>
                                        <w:r>
                                          <w:rPr>
                                            <w:b/>
                                            <w:sz w:val="21"/>
                                            <w:szCs w:val="21"/>
                                          </w:rPr>
                                          <w:t xml:space="preserve">Table 1 </w:t>
                                        </w:r>
                                        <w:r w:rsidRPr="005D39DD">
                                          <w:rPr>
                                            <w:b/>
                                            <w:sz w:val="21"/>
                                            <w:szCs w:val="21"/>
                                          </w:rPr>
                                          <w:t>($ million)</w:t>
                                        </w:r>
                                      </w:p>
                                    </w:tc>
                                    <w:tc>
                                      <w:tcPr>
                                        <w:tcW w:w="942" w:type="dxa"/>
                                        <w:tcBorders>
                                          <w:top w:val="single" w:sz="4" w:space="0" w:color="000080"/>
                                          <w:bottom w:val="single" w:sz="4" w:space="0" w:color="000080"/>
                                        </w:tcBorders>
                                      </w:tcPr>
                                      <w:p w14:paraId="663B5F83" w14:textId="77777777" w:rsidR="003831D0" w:rsidRPr="005D39DD" w:rsidRDefault="003831D0" w:rsidP="00304C81">
                                        <w:pPr>
                                          <w:keepNext/>
                                          <w:keepLines/>
                                          <w:spacing w:before="40" w:after="40"/>
                                          <w:jc w:val="right"/>
                                          <w:rPr>
                                            <w:b/>
                                            <w:sz w:val="21"/>
                                            <w:szCs w:val="21"/>
                                          </w:rPr>
                                        </w:pPr>
                                        <w:r>
                                          <w:rPr>
                                            <w:b/>
                                            <w:sz w:val="21"/>
                                            <w:szCs w:val="21"/>
                                          </w:rPr>
                                          <w:t>2020-21</w:t>
                                        </w:r>
                                      </w:p>
                                    </w:tc>
                                    <w:tc>
                                      <w:tcPr>
                                        <w:tcW w:w="943" w:type="dxa"/>
                                        <w:tcBorders>
                                          <w:top w:val="single" w:sz="4" w:space="0" w:color="000080"/>
                                          <w:bottom w:val="single" w:sz="4" w:space="0" w:color="000080"/>
                                        </w:tcBorders>
                                      </w:tcPr>
                                      <w:p w14:paraId="0ECC0F11" w14:textId="77777777" w:rsidR="003831D0" w:rsidRPr="005D39DD" w:rsidRDefault="003831D0" w:rsidP="00304C81">
                                        <w:pPr>
                                          <w:keepNext/>
                                          <w:keepLines/>
                                          <w:spacing w:before="40" w:after="40"/>
                                          <w:jc w:val="right"/>
                                          <w:rPr>
                                            <w:b/>
                                            <w:sz w:val="21"/>
                                            <w:szCs w:val="21"/>
                                          </w:rPr>
                                        </w:pPr>
                                        <w:r w:rsidRPr="005D39DD">
                                          <w:rPr>
                                            <w:b/>
                                            <w:sz w:val="21"/>
                                            <w:szCs w:val="21"/>
                                          </w:rPr>
                                          <w:t>Total</w:t>
                                        </w:r>
                                      </w:p>
                                    </w:tc>
                                  </w:tr>
                                  <w:tr w:rsidR="003831D0" w:rsidRPr="00101AB3" w14:paraId="04814E13" w14:textId="77777777" w:rsidTr="00304C81">
                                    <w:trPr>
                                      <w:cantSplit/>
                                    </w:trPr>
                                    <w:tc>
                                      <w:tcPr>
                                        <w:tcW w:w="2127" w:type="dxa"/>
                                        <w:tcBorders>
                                          <w:top w:val="single" w:sz="4" w:space="0" w:color="000080"/>
                                        </w:tcBorders>
                                      </w:tcPr>
                                      <w:p w14:paraId="29F85AF8" w14:textId="77777777" w:rsidR="003831D0" w:rsidRPr="005D39DD" w:rsidRDefault="003831D0" w:rsidP="00304C81">
                                        <w:pPr>
                                          <w:keepNext/>
                                          <w:keepLines/>
                                          <w:spacing w:before="60" w:after="60"/>
                                          <w:ind w:left="-111"/>
                                          <w:rPr>
                                            <w:b/>
                                            <w:sz w:val="21"/>
                                            <w:szCs w:val="21"/>
                                          </w:rPr>
                                        </w:pPr>
                                        <w:r w:rsidRPr="005D39DD">
                                          <w:rPr>
                                            <w:b/>
                                            <w:sz w:val="21"/>
                                            <w:szCs w:val="21"/>
                                          </w:rPr>
                                          <w:t>Estimated total budget</w:t>
                                        </w:r>
                                      </w:p>
                                    </w:tc>
                                    <w:tc>
                                      <w:tcPr>
                                        <w:tcW w:w="942" w:type="dxa"/>
                                        <w:tcBorders>
                                          <w:top w:val="single" w:sz="4" w:space="0" w:color="000080"/>
                                        </w:tcBorders>
                                      </w:tcPr>
                                      <w:p w14:paraId="37C6B0C3" w14:textId="77777777" w:rsidR="003831D0" w:rsidRPr="005D39DD" w:rsidRDefault="003831D0" w:rsidP="00304C81">
                                        <w:pPr>
                                          <w:keepNext/>
                                          <w:keepLines/>
                                          <w:spacing w:before="40" w:after="40"/>
                                          <w:jc w:val="right"/>
                                          <w:rPr>
                                            <w:b/>
                                            <w:sz w:val="21"/>
                                            <w:szCs w:val="21"/>
                                          </w:rPr>
                                        </w:pPr>
                                        <w:r w:rsidRPr="005D39DD">
                                          <w:rPr>
                                            <w:b/>
                                            <w:sz w:val="21"/>
                                            <w:szCs w:val="21"/>
                                          </w:rPr>
                                          <w:t>1</w:t>
                                        </w:r>
                                        <w:r>
                                          <w:rPr>
                                            <w:b/>
                                            <w:sz w:val="21"/>
                                            <w:szCs w:val="21"/>
                                          </w:rPr>
                                          <w:t>0.6</w:t>
                                        </w:r>
                                      </w:p>
                                    </w:tc>
                                    <w:tc>
                                      <w:tcPr>
                                        <w:tcW w:w="943" w:type="dxa"/>
                                        <w:tcBorders>
                                          <w:top w:val="single" w:sz="4" w:space="0" w:color="000080"/>
                                        </w:tcBorders>
                                      </w:tcPr>
                                      <w:p w14:paraId="5C780C6B" w14:textId="77777777" w:rsidR="003831D0" w:rsidRPr="005D39DD" w:rsidRDefault="003831D0" w:rsidP="00304C81">
                                        <w:pPr>
                                          <w:keepNext/>
                                          <w:keepLines/>
                                          <w:spacing w:before="40" w:after="40"/>
                                          <w:jc w:val="right"/>
                                          <w:rPr>
                                            <w:b/>
                                            <w:sz w:val="21"/>
                                            <w:szCs w:val="21"/>
                                          </w:rPr>
                                        </w:pPr>
                                        <w:r>
                                          <w:rPr>
                                            <w:b/>
                                            <w:sz w:val="21"/>
                                            <w:szCs w:val="21"/>
                                          </w:rPr>
                                          <w:t>10.6</w:t>
                                        </w:r>
                                      </w:p>
                                    </w:tc>
                                  </w:tr>
                                  <w:tr w:rsidR="003831D0" w:rsidRPr="00101AB3" w14:paraId="5EA5F1BE" w14:textId="77777777" w:rsidTr="00304C81">
                                    <w:trPr>
                                      <w:cantSplit/>
                                    </w:trPr>
                                    <w:tc>
                                      <w:tcPr>
                                        <w:tcW w:w="2127" w:type="dxa"/>
                                      </w:tcPr>
                                      <w:p w14:paraId="6F9CE346" w14:textId="77777777" w:rsidR="003831D0" w:rsidRPr="008C6B79" w:rsidRDefault="003831D0" w:rsidP="00304C81">
                                        <w:pPr>
                                          <w:keepNext/>
                                          <w:keepLines/>
                                          <w:spacing w:before="60" w:after="60"/>
                                          <w:ind w:left="-111"/>
                                          <w:rPr>
                                            <w:sz w:val="21"/>
                                            <w:szCs w:val="21"/>
                                          </w:rPr>
                                        </w:pPr>
                                        <w:r w:rsidRPr="008C6B79">
                                          <w:rPr>
                                            <w:sz w:val="21"/>
                                            <w:szCs w:val="21"/>
                                          </w:rPr>
                                          <w:t xml:space="preserve">Less estimated National Partnership Payments </w:t>
                                        </w:r>
                                      </w:p>
                                    </w:tc>
                                    <w:tc>
                                      <w:tcPr>
                                        <w:tcW w:w="942" w:type="dxa"/>
                                      </w:tcPr>
                                      <w:p w14:paraId="70C7F35B" w14:textId="77777777" w:rsidR="003831D0" w:rsidRPr="005D39DD" w:rsidRDefault="003831D0" w:rsidP="00304C81">
                                        <w:pPr>
                                          <w:keepNext/>
                                          <w:keepLines/>
                                          <w:spacing w:before="40" w:after="40"/>
                                          <w:jc w:val="right"/>
                                          <w:rPr>
                                            <w:sz w:val="21"/>
                                            <w:szCs w:val="21"/>
                                          </w:rPr>
                                        </w:pPr>
                                        <w:r>
                                          <w:rPr>
                                            <w:sz w:val="21"/>
                                            <w:szCs w:val="21"/>
                                          </w:rPr>
                                          <w:t>10.6</w:t>
                                        </w:r>
                                      </w:p>
                                    </w:tc>
                                    <w:tc>
                                      <w:tcPr>
                                        <w:tcW w:w="943" w:type="dxa"/>
                                      </w:tcPr>
                                      <w:p w14:paraId="41CFDEDF" w14:textId="77777777" w:rsidR="003831D0" w:rsidRPr="005D39DD" w:rsidRDefault="003831D0" w:rsidP="00304C81">
                                        <w:pPr>
                                          <w:keepNext/>
                                          <w:keepLines/>
                                          <w:spacing w:before="40" w:after="40"/>
                                          <w:jc w:val="right"/>
                                          <w:rPr>
                                            <w:sz w:val="21"/>
                                            <w:szCs w:val="21"/>
                                          </w:rPr>
                                        </w:pPr>
                                        <w:r>
                                          <w:rPr>
                                            <w:sz w:val="21"/>
                                            <w:szCs w:val="21"/>
                                          </w:rPr>
                                          <w:t>10.6</w:t>
                                        </w:r>
                                      </w:p>
                                    </w:tc>
                                  </w:tr>
                                  <w:tr w:rsidR="003831D0" w:rsidRPr="00101AB3" w14:paraId="4154269F" w14:textId="77777777" w:rsidTr="00304C81">
                                    <w:trPr>
                                      <w:cantSplit/>
                                    </w:trPr>
                                    <w:tc>
                                      <w:tcPr>
                                        <w:tcW w:w="2127" w:type="dxa"/>
                                        <w:tcBorders>
                                          <w:bottom w:val="single" w:sz="4" w:space="0" w:color="000080"/>
                                        </w:tcBorders>
                                      </w:tcPr>
                                      <w:p w14:paraId="1F37F2F9" w14:textId="77777777" w:rsidR="003831D0" w:rsidRPr="008C6B79" w:rsidRDefault="003831D0" w:rsidP="00304C81">
                                        <w:pPr>
                                          <w:keepNext/>
                                          <w:keepLines/>
                                          <w:spacing w:before="40" w:after="40"/>
                                          <w:ind w:left="-111"/>
                                          <w:rPr>
                                            <w:sz w:val="21"/>
                                            <w:szCs w:val="21"/>
                                          </w:rPr>
                                        </w:pPr>
                                        <w:r w:rsidRPr="008C6B79">
                                          <w:rPr>
                                            <w:sz w:val="21"/>
                                            <w:szCs w:val="21"/>
                                          </w:rPr>
                                          <w:t>Balance of non-Commonwealth contributions</w:t>
                                        </w:r>
                                        <w:r>
                                          <w:rPr>
                                            <w:sz w:val="21"/>
                                            <w:szCs w:val="21"/>
                                          </w:rPr>
                                          <w:t xml:space="preserve"> *</w:t>
                                        </w:r>
                                      </w:p>
                                    </w:tc>
                                    <w:tc>
                                      <w:tcPr>
                                        <w:tcW w:w="942" w:type="dxa"/>
                                        <w:tcBorders>
                                          <w:bottom w:val="single" w:sz="4" w:space="0" w:color="000080"/>
                                        </w:tcBorders>
                                      </w:tcPr>
                                      <w:p w14:paraId="4070F1FB" w14:textId="77777777" w:rsidR="003831D0" w:rsidRPr="005D39DD" w:rsidRDefault="003831D0" w:rsidP="00304C81">
                                        <w:pPr>
                                          <w:keepNext/>
                                          <w:keepLines/>
                                          <w:spacing w:before="40" w:after="40"/>
                                          <w:jc w:val="right"/>
                                          <w:rPr>
                                            <w:sz w:val="21"/>
                                            <w:szCs w:val="21"/>
                                          </w:rPr>
                                        </w:pPr>
                                        <w:r w:rsidRPr="005D39DD">
                                          <w:rPr>
                                            <w:sz w:val="21"/>
                                            <w:szCs w:val="21"/>
                                          </w:rPr>
                                          <w:t>0.0</w:t>
                                        </w:r>
                                      </w:p>
                                    </w:tc>
                                    <w:tc>
                                      <w:tcPr>
                                        <w:tcW w:w="943" w:type="dxa"/>
                                        <w:tcBorders>
                                          <w:bottom w:val="single" w:sz="4" w:space="0" w:color="000080"/>
                                        </w:tcBorders>
                                      </w:tcPr>
                                      <w:p w14:paraId="47FFF483" w14:textId="77777777" w:rsidR="003831D0" w:rsidRPr="005D39DD" w:rsidRDefault="003831D0" w:rsidP="00304C81">
                                        <w:pPr>
                                          <w:keepNext/>
                                          <w:keepLines/>
                                          <w:spacing w:before="40" w:after="40"/>
                                          <w:jc w:val="right"/>
                                          <w:rPr>
                                            <w:sz w:val="21"/>
                                            <w:szCs w:val="21"/>
                                          </w:rPr>
                                        </w:pPr>
                                        <w:r>
                                          <w:rPr>
                                            <w:sz w:val="21"/>
                                            <w:szCs w:val="21"/>
                                          </w:rPr>
                                          <w:t>0</w:t>
                                        </w:r>
                                        <w:r w:rsidRPr="005D39DD">
                                          <w:rPr>
                                            <w:sz w:val="21"/>
                                            <w:szCs w:val="21"/>
                                          </w:rPr>
                                          <w:t>.0</w:t>
                                        </w:r>
                                      </w:p>
                                    </w:tc>
                                  </w:tr>
                                </w:tbl>
                                <w:p w14:paraId="545A8437" w14:textId="77777777" w:rsidR="003831D0" w:rsidRPr="001D01CC" w:rsidRDefault="003831D0" w:rsidP="003831D0">
                                  <w:pPr>
                                    <w:pStyle w:val="ChartandTableFootnoteAlpha"/>
                                    <w:numPr>
                                      <w:ilvl w:val="0"/>
                                      <w:numId w:val="0"/>
                                    </w:numPr>
                                    <w:spacing w:after="240"/>
                                    <w:ind w:left="283"/>
                                    <w:rPr>
                                      <w:rFonts w:ascii="Corbel" w:hAnsi="Corbel"/>
                                    </w:rPr>
                                  </w:pPr>
                                  <w:r w:rsidRPr="008B0A33">
                                    <w:rPr>
                                      <w:rFonts w:ascii="Corbel" w:hAnsi="Corbel"/>
                                      <w:color w:val="auto"/>
                                    </w:rPr>
                                    <w:t xml:space="preserve">* </w:t>
                                  </w:r>
                                  <w:r w:rsidRPr="008B0A33">
                                    <w:rPr>
                                      <w:rFonts w:ascii="Corbel" w:hAnsi="Corbel"/>
                                    </w:rPr>
                                    <w:t>Vi</w:t>
                                  </w:r>
                                  <w:r w:rsidRPr="001D01CC">
                                    <w:rPr>
                                      <w:rFonts w:ascii="Corbel" w:hAnsi="Corbel"/>
                                    </w:rPr>
                                    <w:t>ctoria is not required to provide financial and/or in-kind contributions under the terms of this Agreement, however it allocates its own source funding and provides in-kind contributions to support achievement of the outputs of this Agreement. Victoria has noted that the VCS Foundation is a Company Limited by Guarantee that operates under, and complies with, the: Corporations Act 2001 (Cth); Australian Charities and Not-for-profits Commission Act 2012; and Improving Cancer Outcomes Act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48FF31" id="_x0000_t202" coordsize="21600,21600" o:spt="202" path="m,l,21600r21600,l21600,xe">
                      <v:stroke joinstyle="miter"/>
                      <v:path gradientshapeok="t" o:connecttype="rect"/>
                    </v:shapetype>
                    <v:shape id="Text Box 2" o:spid="_x0000_s1026" type="#_x0000_t202" style="position:absolute;margin-left:-4.9pt;margin-top:74.1pt;width:404.2pt;height:18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" stroked="f">
                      <v:textbox>
                        <w:txbxContent>
                          <w:tbl>
                            <w:tblPr>
                              <w:tblW w:w="0" w:type="auto"/>
                              <w:tblLook w:val="01E0" w:firstRow="1" w:lastRow="1" w:firstColumn="1" w:lastColumn="1" w:noHBand="0" w:noVBand="0"/>
                            </w:tblPr>
                            <w:tblGrid>
                              <w:gridCol w:w="2127"/>
                              <w:gridCol w:w="942"/>
                              <w:gridCol w:w="943"/>
                            </w:tblGrid>
                            <w:tr w:rsidR="003831D0" w:rsidRPr="00101AB3" w14:paraId="456AB6EC" w14:textId="77777777" w:rsidTr="00304C81">
                              <w:trPr>
                                <w:cantSplit/>
                              </w:trPr>
                              <w:tc>
                                <w:tcPr>
                                  <w:tcW w:w="2127" w:type="dxa"/>
                                  <w:tcBorders>
                                    <w:top w:val="single" w:sz="4" w:space="0" w:color="000080"/>
                                    <w:bottom w:val="single" w:sz="4" w:space="0" w:color="000080"/>
                                  </w:tcBorders>
                                </w:tcPr>
                                <w:p w14:paraId="5451EE9A" w14:textId="77777777" w:rsidR="003831D0" w:rsidRPr="005D39DD" w:rsidRDefault="003831D0" w:rsidP="00304C81">
                                  <w:pPr>
                                    <w:keepNext/>
                                    <w:keepLines/>
                                    <w:spacing w:before="40" w:after="40"/>
                                    <w:ind w:left="-111"/>
                                    <w:rPr>
                                      <w:b/>
                                      <w:sz w:val="21"/>
                                      <w:szCs w:val="21"/>
                                    </w:rPr>
                                  </w:pPr>
                                  <w:r>
                                    <w:rPr>
                                      <w:b/>
                                      <w:sz w:val="21"/>
                                      <w:szCs w:val="21"/>
                                    </w:rPr>
                                    <w:t xml:space="preserve">Table 1 </w:t>
                                  </w:r>
                                  <w:r w:rsidRPr="005D39DD">
                                    <w:rPr>
                                      <w:b/>
                                      <w:sz w:val="21"/>
                                      <w:szCs w:val="21"/>
                                    </w:rPr>
                                    <w:t>($ million)</w:t>
                                  </w:r>
                                </w:p>
                              </w:tc>
                              <w:tc>
                                <w:tcPr>
                                  <w:tcW w:w="942" w:type="dxa"/>
                                  <w:tcBorders>
                                    <w:top w:val="single" w:sz="4" w:space="0" w:color="000080"/>
                                    <w:bottom w:val="single" w:sz="4" w:space="0" w:color="000080"/>
                                  </w:tcBorders>
                                </w:tcPr>
                                <w:p w14:paraId="663B5F83" w14:textId="77777777" w:rsidR="003831D0" w:rsidRPr="005D39DD" w:rsidRDefault="003831D0" w:rsidP="00304C81">
                                  <w:pPr>
                                    <w:keepNext/>
                                    <w:keepLines/>
                                    <w:spacing w:before="40" w:after="40"/>
                                    <w:jc w:val="right"/>
                                    <w:rPr>
                                      <w:b/>
                                      <w:sz w:val="21"/>
                                      <w:szCs w:val="21"/>
                                    </w:rPr>
                                  </w:pPr>
                                  <w:r>
                                    <w:rPr>
                                      <w:b/>
                                      <w:sz w:val="21"/>
                                      <w:szCs w:val="21"/>
                                    </w:rPr>
                                    <w:t>2020-21</w:t>
                                  </w:r>
                                </w:p>
                              </w:tc>
                              <w:tc>
                                <w:tcPr>
                                  <w:tcW w:w="943" w:type="dxa"/>
                                  <w:tcBorders>
                                    <w:top w:val="single" w:sz="4" w:space="0" w:color="000080"/>
                                    <w:bottom w:val="single" w:sz="4" w:space="0" w:color="000080"/>
                                  </w:tcBorders>
                                </w:tcPr>
                                <w:p w14:paraId="0ECC0F11" w14:textId="77777777" w:rsidR="003831D0" w:rsidRPr="005D39DD" w:rsidRDefault="003831D0" w:rsidP="00304C81">
                                  <w:pPr>
                                    <w:keepNext/>
                                    <w:keepLines/>
                                    <w:spacing w:before="40" w:after="40"/>
                                    <w:jc w:val="right"/>
                                    <w:rPr>
                                      <w:b/>
                                      <w:sz w:val="21"/>
                                      <w:szCs w:val="21"/>
                                    </w:rPr>
                                  </w:pPr>
                                  <w:r w:rsidRPr="005D39DD">
                                    <w:rPr>
                                      <w:b/>
                                      <w:sz w:val="21"/>
                                      <w:szCs w:val="21"/>
                                    </w:rPr>
                                    <w:t>Total</w:t>
                                  </w:r>
                                </w:p>
                              </w:tc>
                            </w:tr>
                            <w:tr w:rsidR="003831D0" w:rsidRPr="00101AB3" w14:paraId="04814E13" w14:textId="77777777" w:rsidTr="00304C81">
                              <w:trPr>
                                <w:cantSplit/>
                              </w:trPr>
                              <w:tc>
                                <w:tcPr>
                                  <w:tcW w:w="2127" w:type="dxa"/>
                                  <w:tcBorders>
                                    <w:top w:val="single" w:sz="4" w:space="0" w:color="000080"/>
                                  </w:tcBorders>
                                </w:tcPr>
                                <w:p w14:paraId="29F85AF8" w14:textId="77777777" w:rsidR="003831D0" w:rsidRPr="005D39DD" w:rsidRDefault="003831D0" w:rsidP="00304C81">
                                  <w:pPr>
                                    <w:keepNext/>
                                    <w:keepLines/>
                                    <w:spacing w:before="60" w:after="60"/>
                                    <w:ind w:left="-111"/>
                                    <w:rPr>
                                      <w:b/>
                                      <w:sz w:val="21"/>
                                      <w:szCs w:val="21"/>
                                    </w:rPr>
                                  </w:pPr>
                                  <w:r w:rsidRPr="005D39DD">
                                    <w:rPr>
                                      <w:b/>
                                      <w:sz w:val="21"/>
                                      <w:szCs w:val="21"/>
                                    </w:rPr>
                                    <w:t>Estimated total budget</w:t>
                                  </w:r>
                                </w:p>
                              </w:tc>
                              <w:tc>
                                <w:tcPr>
                                  <w:tcW w:w="942" w:type="dxa"/>
                                  <w:tcBorders>
                                    <w:top w:val="single" w:sz="4" w:space="0" w:color="000080"/>
                                  </w:tcBorders>
                                </w:tcPr>
                                <w:p w14:paraId="37C6B0C3" w14:textId="77777777" w:rsidR="003831D0" w:rsidRPr="005D39DD" w:rsidRDefault="003831D0" w:rsidP="00304C81">
                                  <w:pPr>
                                    <w:keepNext/>
                                    <w:keepLines/>
                                    <w:spacing w:before="40" w:after="40"/>
                                    <w:jc w:val="right"/>
                                    <w:rPr>
                                      <w:b/>
                                      <w:sz w:val="21"/>
                                      <w:szCs w:val="21"/>
                                    </w:rPr>
                                  </w:pPr>
                                  <w:r w:rsidRPr="005D39DD">
                                    <w:rPr>
                                      <w:b/>
                                      <w:sz w:val="21"/>
                                      <w:szCs w:val="21"/>
                                    </w:rPr>
                                    <w:t>1</w:t>
                                  </w:r>
                                  <w:r>
                                    <w:rPr>
                                      <w:b/>
                                      <w:sz w:val="21"/>
                                      <w:szCs w:val="21"/>
                                    </w:rPr>
                                    <w:t>0.6</w:t>
                                  </w:r>
                                </w:p>
                              </w:tc>
                              <w:tc>
                                <w:tcPr>
                                  <w:tcW w:w="943" w:type="dxa"/>
                                  <w:tcBorders>
                                    <w:top w:val="single" w:sz="4" w:space="0" w:color="000080"/>
                                  </w:tcBorders>
                                </w:tcPr>
                                <w:p w14:paraId="5C780C6B" w14:textId="77777777" w:rsidR="003831D0" w:rsidRPr="005D39DD" w:rsidRDefault="003831D0" w:rsidP="00304C81">
                                  <w:pPr>
                                    <w:keepNext/>
                                    <w:keepLines/>
                                    <w:spacing w:before="40" w:after="40"/>
                                    <w:jc w:val="right"/>
                                    <w:rPr>
                                      <w:b/>
                                      <w:sz w:val="21"/>
                                      <w:szCs w:val="21"/>
                                    </w:rPr>
                                  </w:pPr>
                                  <w:r>
                                    <w:rPr>
                                      <w:b/>
                                      <w:sz w:val="21"/>
                                      <w:szCs w:val="21"/>
                                    </w:rPr>
                                    <w:t>10.6</w:t>
                                  </w:r>
                                </w:p>
                              </w:tc>
                            </w:tr>
                            <w:tr w:rsidR="003831D0" w:rsidRPr="00101AB3" w14:paraId="5EA5F1BE" w14:textId="77777777" w:rsidTr="00304C81">
                              <w:trPr>
                                <w:cantSplit/>
                              </w:trPr>
                              <w:tc>
                                <w:tcPr>
                                  <w:tcW w:w="2127" w:type="dxa"/>
                                </w:tcPr>
                                <w:p w14:paraId="6F9CE346" w14:textId="77777777" w:rsidR="003831D0" w:rsidRPr="008C6B79" w:rsidRDefault="003831D0" w:rsidP="00304C81">
                                  <w:pPr>
                                    <w:keepNext/>
                                    <w:keepLines/>
                                    <w:spacing w:before="60" w:after="60"/>
                                    <w:ind w:left="-111"/>
                                    <w:rPr>
                                      <w:sz w:val="21"/>
                                      <w:szCs w:val="21"/>
                                    </w:rPr>
                                  </w:pPr>
                                  <w:r w:rsidRPr="008C6B79">
                                    <w:rPr>
                                      <w:sz w:val="21"/>
                                      <w:szCs w:val="21"/>
                                    </w:rPr>
                                    <w:t xml:space="preserve">Less estimated National Partnership Payments </w:t>
                                  </w:r>
                                </w:p>
                              </w:tc>
                              <w:tc>
                                <w:tcPr>
                                  <w:tcW w:w="942" w:type="dxa"/>
                                </w:tcPr>
                                <w:p w14:paraId="70C7F35B" w14:textId="77777777" w:rsidR="003831D0" w:rsidRPr="005D39DD" w:rsidRDefault="003831D0" w:rsidP="00304C81">
                                  <w:pPr>
                                    <w:keepNext/>
                                    <w:keepLines/>
                                    <w:spacing w:before="40" w:after="40"/>
                                    <w:jc w:val="right"/>
                                    <w:rPr>
                                      <w:sz w:val="21"/>
                                      <w:szCs w:val="21"/>
                                    </w:rPr>
                                  </w:pPr>
                                  <w:r>
                                    <w:rPr>
                                      <w:sz w:val="21"/>
                                      <w:szCs w:val="21"/>
                                    </w:rPr>
                                    <w:t>10.6</w:t>
                                  </w:r>
                                </w:p>
                              </w:tc>
                              <w:tc>
                                <w:tcPr>
                                  <w:tcW w:w="943" w:type="dxa"/>
                                </w:tcPr>
                                <w:p w14:paraId="41CFDEDF" w14:textId="77777777" w:rsidR="003831D0" w:rsidRPr="005D39DD" w:rsidRDefault="003831D0" w:rsidP="00304C81">
                                  <w:pPr>
                                    <w:keepNext/>
                                    <w:keepLines/>
                                    <w:spacing w:before="40" w:after="40"/>
                                    <w:jc w:val="right"/>
                                    <w:rPr>
                                      <w:sz w:val="21"/>
                                      <w:szCs w:val="21"/>
                                    </w:rPr>
                                  </w:pPr>
                                  <w:r>
                                    <w:rPr>
                                      <w:sz w:val="21"/>
                                      <w:szCs w:val="21"/>
                                    </w:rPr>
                                    <w:t>10.6</w:t>
                                  </w:r>
                                </w:p>
                              </w:tc>
                            </w:tr>
                            <w:tr w:rsidR="003831D0" w:rsidRPr="00101AB3" w14:paraId="4154269F" w14:textId="77777777" w:rsidTr="00304C81">
                              <w:trPr>
                                <w:cantSplit/>
                              </w:trPr>
                              <w:tc>
                                <w:tcPr>
                                  <w:tcW w:w="2127" w:type="dxa"/>
                                  <w:tcBorders>
                                    <w:bottom w:val="single" w:sz="4" w:space="0" w:color="000080"/>
                                  </w:tcBorders>
                                </w:tcPr>
                                <w:p w14:paraId="1F37F2F9" w14:textId="77777777" w:rsidR="003831D0" w:rsidRPr="008C6B79" w:rsidRDefault="003831D0" w:rsidP="00304C81">
                                  <w:pPr>
                                    <w:keepNext/>
                                    <w:keepLines/>
                                    <w:spacing w:before="40" w:after="40"/>
                                    <w:ind w:left="-111"/>
                                    <w:rPr>
                                      <w:sz w:val="21"/>
                                      <w:szCs w:val="21"/>
                                    </w:rPr>
                                  </w:pPr>
                                  <w:r w:rsidRPr="008C6B79">
                                    <w:rPr>
                                      <w:sz w:val="21"/>
                                      <w:szCs w:val="21"/>
                                    </w:rPr>
                                    <w:t>Balance of non-Commonwealth contributions</w:t>
                                  </w:r>
                                  <w:r>
                                    <w:rPr>
                                      <w:sz w:val="21"/>
                                      <w:szCs w:val="21"/>
                                    </w:rPr>
                                    <w:t xml:space="preserve"> *</w:t>
                                  </w:r>
                                </w:p>
                              </w:tc>
                              <w:tc>
                                <w:tcPr>
                                  <w:tcW w:w="942" w:type="dxa"/>
                                  <w:tcBorders>
                                    <w:bottom w:val="single" w:sz="4" w:space="0" w:color="000080"/>
                                  </w:tcBorders>
                                </w:tcPr>
                                <w:p w14:paraId="4070F1FB" w14:textId="77777777" w:rsidR="003831D0" w:rsidRPr="005D39DD" w:rsidRDefault="003831D0" w:rsidP="00304C81">
                                  <w:pPr>
                                    <w:keepNext/>
                                    <w:keepLines/>
                                    <w:spacing w:before="40" w:after="40"/>
                                    <w:jc w:val="right"/>
                                    <w:rPr>
                                      <w:sz w:val="21"/>
                                      <w:szCs w:val="21"/>
                                    </w:rPr>
                                  </w:pPr>
                                  <w:r w:rsidRPr="005D39DD">
                                    <w:rPr>
                                      <w:sz w:val="21"/>
                                      <w:szCs w:val="21"/>
                                    </w:rPr>
                                    <w:t>0.0</w:t>
                                  </w:r>
                                </w:p>
                              </w:tc>
                              <w:tc>
                                <w:tcPr>
                                  <w:tcW w:w="943" w:type="dxa"/>
                                  <w:tcBorders>
                                    <w:bottom w:val="single" w:sz="4" w:space="0" w:color="000080"/>
                                  </w:tcBorders>
                                </w:tcPr>
                                <w:p w14:paraId="47FFF483" w14:textId="77777777" w:rsidR="003831D0" w:rsidRPr="005D39DD" w:rsidRDefault="003831D0" w:rsidP="00304C81">
                                  <w:pPr>
                                    <w:keepNext/>
                                    <w:keepLines/>
                                    <w:spacing w:before="40" w:after="40"/>
                                    <w:jc w:val="right"/>
                                    <w:rPr>
                                      <w:sz w:val="21"/>
                                      <w:szCs w:val="21"/>
                                    </w:rPr>
                                  </w:pPr>
                                  <w:r>
                                    <w:rPr>
                                      <w:sz w:val="21"/>
                                      <w:szCs w:val="21"/>
                                    </w:rPr>
                                    <w:t>0</w:t>
                                  </w:r>
                                  <w:r w:rsidRPr="005D39DD">
                                    <w:rPr>
                                      <w:sz w:val="21"/>
                                      <w:szCs w:val="21"/>
                                    </w:rPr>
                                    <w:t>.0</w:t>
                                  </w:r>
                                </w:p>
                              </w:tc>
                            </w:tr>
                          </w:tbl>
                          <w:p w14:paraId="545A8437" w14:textId="77777777" w:rsidR="003831D0" w:rsidRPr="001D01CC" w:rsidRDefault="003831D0" w:rsidP="003831D0">
                            <w:pPr>
                              <w:pStyle w:val="ChartandTableFootnoteAlpha"/>
                              <w:numPr>
                                <w:ilvl w:val="0"/>
                                <w:numId w:val="0"/>
                              </w:numPr>
                              <w:spacing w:after="240"/>
                              <w:ind w:left="283"/>
                              <w:rPr>
                                <w:rFonts w:ascii="Corbel" w:hAnsi="Corbel"/>
                              </w:rPr>
                            </w:pPr>
                            <w:r w:rsidRPr="008B0A33">
                              <w:rPr>
                                <w:rFonts w:ascii="Corbel" w:hAnsi="Corbel"/>
                                <w:color w:val="auto"/>
                              </w:rPr>
                              <w:t xml:space="preserve">* </w:t>
                            </w:r>
                            <w:r w:rsidRPr="008B0A33">
                              <w:rPr>
                                <w:rFonts w:ascii="Corbel" w:hAnsi="Corbel"/>
                              </w:rPr>
                              <w:t>Vi</w:t>
                            </w:r>
                            <w:r w:rsidRPr="001D01CC">
                              <w:rPr>
                                <w:rFonts w:ascii="Corbel" w:hAnsi="Corbel"/>
                              </w:rPr>
                              <w:t>ctoria is not required to provide financial and/or in-kind contributions under the terms of this Agreement, however it allocates its own source funding and provides in-kind contributions to support achievement of the outputs of this Agreement. Victoria has noted that the VCS Foundation is a Company Limited by Guarantee that operates under, and complies with, the: Corporations Act 2001 (Cth); Australian Charities and Not-for-profits Commission Act 2012; and Improving Cancer Outcomes Act 2014.</w:t>
                            </w:r>
                          </w:p>
                        </w:txbxContent>
                      </v:textbox>
                      <w10:wrap type="square"/>
                    </v:shape>
                  </w:pict>
                </mc:Fallback>
              </mc:AlternateContent>
            </w:r>
            <w:r w:rsidRPr="00953EC6">
              <w:rPr>
                <w:color w:val="auto"/>
              </w:rPr>
              <w:t>The Commonwealth will provide an estimated total financial contribution to Victoria of $10.6 million in respect of this Schedule, noting this does not include payments made prior to 1 July 2020 under the previous agreement.</w:t>
            </w:r>
          </w:p>
        </w:tc>
      </w:tr>
      <w:tr w:rsidR="003831D0" w:rsidRPr="00953EC6" w14:paraId="6A206C8D" w14:textId="77777777" w:rsidTr="00F22D47">
        <w:trPr>
          <w:trHeight w:val="1240"/>
        </w:trPr>
        <w:tc>
          <w:tcPr>
            <w:tcW w:w="1550" w:type="dxa"/>
            <w:shd w:val="clear" w:color="auto" w:fill="auto"/>
          </w:tcPr>
          <w:p w14:paraId="652B1B80" w14:textId="77777777" w:rsidR="003831D0" w:rsidRPr="00953EC6" w:rsidRDefault="003831D0" w:rsidP="00F22D47">
            <w:pPr>
              <w:pStyle w:val="Tableformat"/>
              <w:rPr>
                <w:color w:val="auto"/>
              </w:rPr>
            </w:pPr>
            <w:r w:rsidRPr="00953EC6">
              <w:rPr>
                <w:color w:val="auto"/>
              </w:rPr>
              <w:t>Additional terms</w:t>
            </w:r>
          </w:p>
        </w:tc>
        <w:tc>
          <w:tcPr>
            <w:tcW w:w="8079" w:type="dxa"/>
            <w:shd w:val="clear" w:color="auto" w:fill="auto"/>
          </w:tcPr>
          <w:p w14:paraId="41CAF071" w14:textId="77777777" w:rsidR="003831D0" w:rsidRPr="00953EC6" w:rsidRDefault="003831D0" w:rsidP="00F22D47">
            <w:pPr>
              <w:pStyle w:val="Tableformat"/>
              <w:rPr>
                <w:color w:val="auto"/>
              </w:rPr>
            </w:pPr>
            <w:r w:rsidRPr="00953EC6">
              <w:rPr>
                <w:color w:val="auto"/>
              </w:rPr>
              <w:t xml:space="preserve">The Commonwealth will be responsible for conducting a review of services and outputs delivered under this Agreement within twelve months of its expiry. </w:t>
            </w:r>
          </w:p>
          <w:p w14:paraId="2176EAF5" w14:textId="77777777" w:rsidR="003831D0" w:rsidRPr="00953EC6" w:rsidRDefault="003831D0" w:rsidP="00F22D47">
            <w:pPr>
              <w:pStyle w:val="Tableformat"/>
              <w:rPr>
                <w:color w:val="auto"/>
              </w:rPr>
            </w:pPr>
            <w:r w:rsidRPr="00953EC6">
              <w:rPr>
                <w:color w:val="auto"/>
              </w:rPr>
              <w:t>Victoria will be responsible for participating in the review.</w:t>
            </w:r>
          </w:p>
        </w:tc>
      </w:tr>
    </w:tbl>
    <w:p w14:paraId="78F15C39" w14:textId="77777777" w:rsidR="003831D0" w:rsidRDefault="003831D0" w:rsidP="003831D0"/>
    <w:p w14:paraId="5E6BF256" w14:textId="77777777" w:rsidR="003831D0" w:rsidRDefault="003831D0" w:rsidP="003831D0">
      <w:pPr>
        <w:sectPr w:rsidR="003831D0" w:rsidSect="008B0A33">
          <w:footerReference w:type="even" r:id="rId13"/>
          <w:footerReference w:type="default" r:id="rId14"/>
          <w:pgSz w:w="11906" w:h="16838" w:code="9"/>
          <w:pgMar w:top="1134" w:right="1134" w:bottom="1134" w:left="1134" w:header="709" w:footer="709" w:gutter="0"/>
          <w:pgNumType w:chapStyle="9"/>
          <w:cols w:space="2373"/>
          <w:titlePg/>
          <w:docGrid w:linePitch="360"/>
        </w:sectPr>
      </w:pPr>
    </w:p>
    <w:tbl>
      <w:tblPr>
        <w:tblpPr w:leftFromText="180" w:rightFromText="180" w:vertAnchor="page" w:horzAnchor="margin" w:tblpY="1561"/>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646"/>
        <w:gridCol w:w="7026"/>
        <w:gridCol w:w="986"/>
        <w:gridCol w:w="1547"/>
        <w:gridCol w:w="1335"/>
      </w:tblGrid>
      <w:tr w:rsidR="003831D0" w:rsidRPr="008B0A33" w14:paraId="2BF8F33A" w14:textId="77777777" w:rsidTr="00F22D47">
        <w:trPr>
          <w:trHeight w:val="406"/>
        </w:trPr>
        <w:tc>
          <w:tcPr>
            <w:tcW w:w="14660" w:type="dxa"/>
            <w:gridSpan w:val="5"/>
            <w:shd w:val="clear" w:color="auto" w:fill="DEEAF6" w:themeFill="accent1" w:themeFillTint="33"/>
          </w:tcPr>
          <w:p w14:paraId="6E3CC25A" w14:textId="77777777" w:rsidR="003831D0" w:rsidRPr="008B0A33" w:rsidRDefault="003831D0" w:rsidP="00F22D47">
            <w:pPr>
              <w:pStyle w:val="Tableformat"/>
              <w:rPr>
                <w:b/>
                <w:color w:val="auto"/>
                <w:sz w:val="20"/>
                <w:szCs w:val="20"/>
              </w:rPr>
            </w:pPr>
            <w:r w:rsidRPr="008B0A33">
              <w:rPr>
                <w:b/>
                <w:color w:val="auto"/>
                <w:sz w:val="20"/>
                <w:szCs w:val="20"/>
              </w:rPr>
              <w:lastRenderedPageBreak/>
              <w:t>Table 2: Performance requirements, reporting and payment summary</w:t>
            </w:r>
          </w:p>
        </w:tc>
      </w:tr>
      <w:tr w:rsidR="003831D0" w:rsidRPr="008B0A33" w14:paraId="4F0FC2F3" w14:textId="77777777" w:rsidTr="00F22D47">
        <w:trPr>
          <w:trHeight w:val="382"/>
        </w:trPr>
        <w:tc>
          <w:tcPr>
            <w:tcW w:w="3676" w:type="dxa"/>
            <w:shd w:val="clear" w:color="auto" w:fill="F2F2F2" w:themeFill="background1" w:themeFillShade="F2"/>
          </w:tcPr>
          <w:p w14:paraId="0897CDB8" w14:textId="77777777" w:rsidR="003831D0" w:rsidRPr="008B0A33" w:rsidRDefault="003831D0" w:rsidP="00F22D47">
            <w:pPr>
              <w:pStyle w:val="Tableformat"/>
              <w:rPr>
                <w:b/>
                <w:color w:val="auto"/>
                <w:sz w:val="20"/>
                <w:szCs w:val="20"/>
              </w:rPr>
            </w:pPr>
            <w:r w:rsidRPr="008B0A33">
              <w:rPr>
                <w:b/>
                <w:color w:val="auto"/>
                <w:sz w:val="20"/>
                <w:szCs w:val="20"/>
              </w:rPr>
              <w:t>Output</w:t>
            </w:r>
          </w:p>
        </w:tc>
        <w:tc>
          <w:tcPr>
            <w:tcW w:w="7087" w:type="dxa"/>
            <w:shd w:val="clear" w:color="auto" w:fill="F2F2F2" w:themeFill="background1" w:themeFillShade="F2"/>
          </w:tcPr>
          <w:p w14:paraId="42BBB08F" w14:textId="77777777" w:rsidR="003831D0" w:rsidRPr="008B0A33" w:rsidRDefault="003831D0" w:rsidP="00F22D47">
            <w:pPr>
              <w:pStyle w:val="Tableformat"/>
              <w:rPr>
                <w:b/>
                <w:color w:val="auto"/>
                <w:sz w:val="20"/>
                <w:szCs w:val="20"/>
              </w:rPr>
            </w:pPr>
            <w:r w:rsidRPr="008B0A33">
              <w:rPr>
                <w:b/>
                <w:color w:val="auto"/>
                <w:sz w:val="20"/>
                <w:szCs w:val="20"/>
              </w:rPr>
              <w:t>Performance milestones</w:t>
            </w:r>
          </w:p>
        </w:tc>
        <w:tc>
          <w:tcPr>
            <w:tcW w:w="993" w:type="dxa"/>
            <w:shd w:val="clear" w:color="auto" w:fill="F2F2F2" w:themeFill="background1" w:themeFillShade="F2"/>
          </w:tcPr>
          <w:p w14:paraId="357137F0" w14:textId="77777777" w:rsidR="003831D0" w:rsidRPr="008B0A33" w:rsidRDefault="003831D0" w:rsidP="00F22D47">
            <w:pPr>
              <w:pStyle w:val="Tableformat"/>
              <w:rPr>
                <w:b/>
                <w:color w:val="auto"/>
                <w:sz w:val="20"/>
                <w:szCs w:val="20"/>
              </w:rPr>
            </w:pPr>
            <w:r w:rsidRPr="008B0A33">
              <w:rPr>
                <w:b/>
                <w:color w:val="auto"/>
                <w:sz w:val="20"/>
                <w:szCs w:val="20"/>
              </w:rPr>
              <w:t>Report due</w:t>
            </w:r>
          </w:p>
        </w:tc>
        <w:tc>
          <w:tcPr>
            <w:tcW w:w="1559" w:type="dxa"/>
            <w:shd w:val="clear" w:color="auto" w:fill="F2F2F2" w:themeFill="background1" w:themeFillShade="F2"/>
          </w:tcPr>
          <w:p w14:paraId="537BD1CC" w14:textId="77777777" w:rsidR="003831D0" w:rsidRPr="008B0A33" w:rsidRDefault="003831D0" w:rsidP="00F22D47">
            <w:pPr>
              <w:pStyle w:val="Tableformat"/>
              <w:rPr>
                <w:b/>
                <w:color w:val="auto"/>
                <w:sz w:val="20"/>
                <w:szCs w:val="20"/>
              </w:rPr>
            </w:pPr>
            <w:r w:rsidRPr="008B0A33">
              <w:rPr>
                <w:b/>
                <w:color w:val="auto"/>
                <w:sz w:val="20"/>
                <w:szCs w:val="20"/>
              </w:rPr>
              <w:t>Report period</w:t>
            </w:r>
          </w:p>
        </w:tc>
        <w:tc>
          <w:tcPr>
            <w:tcW w:w="1345" w:type="dxa"/>
            <w:shd w:val="clear" w:color="auto" w:fill="F2F2F2" w:themeFill="background1" w:themeFillShade="F2"/>
          </w:tcPr>
          <w:p w14:paraId="502C5042" w14:textId="77777777" w:rsidR="003831D0" w:rsidRPr="008B0A33" w:rsidRDefault="003831D0" w:rsidP="00F22D47">
            <w:pPr>
              <w:pStyle w:val="Tableformat"/>
              <w:rPr>
                <w:b/>
                <w:color w:val="auto"/>
                <w:sz w:val="20"/>
                <w:szCs w:val="20"/>
              </w:rPr>
            </w:pPr>
            <w:r w:rsidRPr="008B0A33">
              <w:rPr>
                <w:b/>
                <w:color w:val="auto"/>
                <w:sz w:val="20"/>
                <w:szCs w:val="20"/>
              </w:rPr>
              <w:t>Payment</w:t>
            </w:r>
          </w:p>
        </w:tc>
      </w:tr>
      <w:tr w:rsidR="003831D0" w:rsidRPr="008B0A33" w14:paraId="4A4994F3" w14:textId="77777777" w:rsidTr="00F22D47">
        <w:trPr>
          <w:trHeight w:val="6746"/>
        </w:trPr>
        <w:tc>
          <w:tcPr>
            <w:tcW w:w="3676" w:type="dxa"/>
            <w:tcBorders>
              <w:top w:val="single" w:sz="8" w:space="0" w:color="4F81BD"/>
              <w:left w:val="single" w:sz="8" w:space="0" w:color="4F81BD"/>
              <w:bottom w:val="single" w:sz="8" w:space="0" w:color="4F81BD"/>
              <w:right w:val="single" w:sz="8" w:space="0" w:color="4F81BD"/>
            </w:tcBorders>
          </w:tcPr>
          <w:p w14:paraId="2AB6CF5A" w14:textId="77777777" w:rsidR="003831D0" w:rsidRPr="008B0A33" w:rsidRDefault="003831D0" w:rsidP="00F22D47">
            <w:pPr>
              <w:pStyle w:val="Milestonetable"/>
              <w:rPr>
                <w:color w:val="auto"/>
              </w:rPr>
            </w:pPr>
            <w:r w:rsidRPr="008B0A33">
              <w:rPr>
                <w:color w:val="auto"/>
              </w:rPr>
              <w:t>The outputs of this Agreement will be the delivery of:</w:t>
            </w:r>
          </w:p>
          <w:p w14:paraId="423D78D3" w14:textId="77777777" w:rsidR="003831D0" w:rsidRPr="008B0A33" w:rsidRDefault="003831D0" w:rsidP="00F22D47">
            <w:pPr>
              <w:pStyle w:val="Milestonetable"/>
              <w:numPr>
                <w:ilvl w:val="0"/>
                <w:numId w:val="19"/>
              </w:numPr>
              <w:rPr>
                <w:color w:val="auto"/>
              </w:rPr>
            </w:pPr>
            <w:r w:rsidRPr="008B0A33">
              <w:rPr>
                <w:color w:val="auto"/>
              </w:rPr>
              <w:t>processed primary cervical screening tests in Victoria taken by health practitioners, or self-collected,  in line with the National Cervical Screening Program (NCSP);</w:t>
            </w:r>
          </w:p>
          <w:p w14:paraId="4B511B48" w14:textId="77777777" w:rsidR="003831D0" w:rsidRPr="008B0A33" w:rsidRDefault="003831D0" w:rsidP="00F22D47">
            <w:pPr>
              <w:pStyle w:val="Milestonetable"/>
              <w:numPr>
                <w:ilvl w:val="0"/>
                <w:numId w:val="19"/>
              </w:numPr>
              <w:rPr>
                <w:color w:val="auto"/>
              </w:rPr>
            </w:pPr>
            <w:r w:rsidRPr="008B0A33">
              <w:rPr>
                <w:color w:val="auto"/>
              </w:rPr>
              <w:t>benchmarking data to the Commonwealth on the pricing and quality of primary cervical screening tests;</w:t>
            </w:r>
          </w:p>
          <w:p w14:paraId="019070D4" w14:textId="77777777" w:rsidR="003831D0" w:rsidRPr="008B0A33" w:rsidRDefault="003831D0" w:rsidP="00F22D47">
            <w:pPr>
              <w:pStyle w:val="Milestonetable"/>
              <w:numPr>
                <w:ilvl w:val="0"/>
                <w:numId w:val="19"/>
              </w:numPr>
              <w:rPr>
                <w:color w:val="auto"/>
              </w:rPr>
            </w:pPr>
            <w:r w:rsidRPr="008B0A33">
              <w:rPr>
                <w:color w:val="auto"/>
              </w:rPr>
              <w:t>reporting on the impact of the renewed NCSP ;</w:t>
            </w:r>
          </w:p>
          <w:p w14:paraId="1D451610" w14:textId="77777777" w:rsidR="003831D0" w:rsidRPr="008B0A33" w:rsidRDefault="003831D0" w:rsidP="00F22D47">
            <w:pPr>
              <w:pStyle w:val="Milestonetable"/>
              <w:numPr>
                <w:ilvl w:val="0"/>
                <w:numId w:val="19"/>
              </w:numPr>
              <w:rPr>
                <w:color w:val="auto"/>
              </w:rPr>
            </w:pPr>
            <w:r w:rsidRPr="008B0A33">
              <w:rPr>
                <w:color w:val="auto"/>
              </w:rPr>
              <w:t>education, training and support for cervical screening test collectors to support the NCSP;</w:t>
            </w:r>
          </w:p>
          <w:p w14:paraId="7E6C1B42" w14:textId="77777777" w:rsidR="003831D0" w:rsidRPr="008B0A33" w:rsidRDefault="003831D0" w:rsidP="00F22D47">
            <w:pPr>
              <w:pStyle w:val="Milestonetable"/>
              <w:numPr>
                <w:ilvl w:val="0"/>
                <w:numId w:val="19"/>
              </w:numPr>
              <w:rPr>
                <w:color w:val="auto"/>
              </w:rPr>
            </w:pPr>
            <w:r w:rsidRPr="008B0A33">
              <w:rPr>
                <w:color w:val="auto"/>
              </w:rPr>
              <w:t>assessment of the new primary cervical screening tests taken in Victoria to support the COMPASS trial; and</w:t>
            </w:r>
          </w:p>
          <w:p w14:paraId="145EA834" w14:textId="77777777" w:rsidR="003831D0" w:rsidRPr="008B0A33" w:rsidRDefault="003831D0" w:rsidP="00F22D47">
            <w:pPr>
              <w:pStyle w:val="Milestonetable"/>
              <w:numPr>
                <w:ilvl w:val="0"/>
                <w:numId w:val="19"/>
              </w:numPr>
              <w:rPr>
                <w:color w:val="auto"/>
              </w:rPr>
            </w:pPr>
            <w:r w:rsidRPr="008B0A33">
              <w:rPr>
                <w:color w:val="auto"/>
              </w:rPr>
              <w:t>research and support activities that promote continued participation in the NCSP.</w:t>
            </w:r>
          </w:p>
        </w:tc>
        <w:tc>
          <w:tcPr>
            <w:tcW w:w="7087" w:type="dxa"/>
            <w:tcBorders>
              <w:top w:val="single" w:sz="8" w:space="0" w:color="4F81BD"/>
              <w:left w:val="single" w:sz="8" w:space="0" w:color="4F81BD"/>
              <w:bottom w:val="single" w:sz="8" w:space="0" w:color="4F81BD"/>
              <w:right w:val="single" w:sz="8" w:space="0" w:color="4F81BD"/>
            </w:tcBorders>
            <w:shd w:val="clear" w:color="auto" w:fill="auto"/>
          </w:tcPr>
          <w:p w14:paraId="0E67A072" w14:textId="77777777" w:rsidR="003831D0" w:rsidRPr="008B0A33" w:rsidRDefault="003831D0" w:rsidP="00F22D47">
            <w:pPr>
              <w:pStyle w:val="Milestonetable"/>
              <w:rPr>
                <w:color w:val="auto"/>
              </w:rPr>
            </w:pPr>
            <w:r w:rsidRPr="008B0A33">
              <w:rPr>
                <w:color w:val="auto"/>
              </w:rPr>
              <w:t>Demonstration, through the provision of performance reports, of:</w:t>
            </w:r>
          </w:p>
          <w:p w14:paraId="3882E8D1" w14:textId="77777777" w:rsidR="003831D0" w:rsidRPr="008B0A33" w:rsidRDefault="003831D0" w:rsidP="00F22D47">
            <w:pPr>
              <w:pStyle w:val="Milestonetable"/>
              <w:numPr>
                <w:ilvl w:val="0"/>
                <w:numId w:val="20"/>
              </w:numPr>
              <w:rPr>
                <w:color w:val="auto"/>
              </w:rPr>
            </w:pPr>
            <w:r w:rsidRPr="008B0A33">
              <w:rPr>
                <w:color w:val="auto"/>
              </w:rPr>
              <w:t>The processing of at least 45 per cent annually of all primary cervical screening tests taken in Victoria;</w:t>
            </w:r>
          </w:p>
          <w:p w14:paraId="112A64A2" w14:textId="77777777" w:rsidR="003831D0" w:rsidRPr="008B0A33" w:rsidRDefault="003831D0" w:rsidP="00F22D47">
            <w:pPr>
              <w:pStyle w:val="Milestonetable"/>
              <w:numPr>
                <w:ilvl w:val="0"/>
                <w:numId w:val="20"/>
              </w:numPr>
              <w:rPr>
                <w:color w:val="auto"/>
              </w:rPr>
            </w:pPr>
            <w:r w:rsidRPr="008B0A33">
              <w:rPr>
                <w:color w:val="auto"/>
              </w:rPr>
              <w:t>Data on costs and quality of primary cervical screening tests including:</w:t>
            </w:r>
          </w:p>
          <w:p w14:paraId="22635200" w14:textId="77777777" w:rsidR="003831D0" w:rsidRPr="008B0A33" w:rsidRDefault="003831D0" w:rsidP="00F22D47">
            <w:pPr>
              <w:pStyle w:val="Milestonetable"/>
              <w:numPr>
                <w:ilvl w:val="1"/>
                <w:numId w:val="20"/>
              </w:numPr>
              <w:ind w:left="1152"/>
              <w:rPr>
                <w:color w:val="auto"/>
              </w:rPr>
            </w:pPr>
            <w:r w:rsidRPr="008B0A33">
              <w:rPr>
                <w:color w:val="auto"/>
              </w:rPr>
              <w:t>the average unit cost of processing cervical screening tests;</w:t>
            </w:r>
          </w:p>
          <w:p w14:paraId="574D97D9" w14:textId="77777777" w:rsidR="003831D0" w:rsidRPr="008B0A33" w:rsidRDefault="003831D0" w:rsidP="00F22D47">
            <w:pPr>
              <w:pStyle w:val="Milestonetable"/>
              <w:numPr>
                <w:ilvl w:val="1"/>
                <w:numId w:val="20"/>
              </w:numPr>
              <w:ind w:left="1152"/>
              <w:rPr>
                <w:color w:val="auto"/>
              </w:rPr>
            </w:pPr>
            <w:r w:rsidRPr="008B0A33">
              <w:rPr>
                <w:color w:val="auto"/>
              </w:rPr>
              <w:t>a breakdown of the number of tests ordered by medical practitioners/ nurses and other health workers;</w:t>
            </w:r>
          </w:p>
          <w:p w14:paraId="56C75578" w14:textId="77777777" w:rsidR="003831D0" w:rsidRPr="008B0A33" w:rsidRDefault="003831D0" w:rsidP="00F22D47">
            <w:pPr>
              <w:pStyle w:val="Milestonetable"/>
              <w:numPr>
                <w:ilvl w:val="1"/>
                <w:numId w:val="20"/>
              </w:numPr>
              <w:ind w:left="1152"/>
              <w:rPr>
                <w:color w:val="auto"/>
              </w:rPr>
            </w:pPr>
            <w:r w:rsidRPr="008B0A33">
              <w:rPr>
                <w:color w:val="auto"/>
              </w:rPr>
              <w:t>number of each type of cervical cancer screening tests processed;</w:t>
            </w:r>
          </w:p>
          <w:p w14:paraId="3826BD2D" w14:textId="77777777" w:rsidR="003831D0" w:rsidRPr="008B0A33" w:rsidRDefault="003831D0" w:rsidP="00F22D47">
            <w:pPr>
              <w:pStyle w:val="Milestonetable"/>
              <w:numPr>
                <w:ilvl w:val="1"/>
                <w:numId w:val="20"/>
              </w:numPr>
              <w:ind w:left="1152"/>
              <w:rPr>
                <w:color w:val="auto"/>
              </w:rPr>
            </w:pPr>
            <w:r w:rsidRPr="008B0A33">
              <w:rPr>
                <w:color w:val="auto"/>
              </w:rPr>
              <w:t>the quality of the cervical screening assessments; and</w:t>
            </w:r>
          </w:p>
          <w:p w14:paraId="4134465B" w14:textId="77777777" w:rsidR="003831D0" w:rsidRPr="008B0A33" w:rsidRDefault="003831D0" w:rsidP="00F22D47">
            <w:pPr>
              <w:pStyle w:val="Milestonetable"/>
              <w:numPr>
                <w:ilvl w:val="0"/>
                <w:numId w:val="20"/>
              </w:numPr>
              <w:rPr>
                <w:color w:val="auto"/>
              </w:rPr>
            </w:pPr>
            <w:r w:rsidRPr="008B0A33">
              <w:rPr>
                <w:color w:val="auto"/>
              </w:rPr>
              <w:t>Any research, education and other activities undertaken to support the NCSP, the broader cytology workforce and the introduction of the new cervical screening test of the NCSP.</w:t>
            </w:r>
          </w:p>
          <w:p w14:paraId="0D7BF730" w14:textId="77777777" w:rsidR="003831D0" w:rsidRPr="008B0A33" w:rsidRDefault="003831D0" w:rsidP="00F22D47">
            <w:pPr>
              <w:pStyle w:val="Milestonetable"/>
              <w:rPr>
                <w:color w:val="auto"/>
              </w:rPr>
            </w:pPr>
            <w:r w:rsidRPr="008B0A33">
              <w:rPr>
                <w:color w:val="auto"/>
              </w:rPr>
              <w:t>Each performance report is to contain the following information:</w:t>
            </w:r>
          </w:p>
          <w:p w14:paraId="67C6B604" w14:textId="77777777" w:rsidR="003831D0" w:rsidRPr="008B0A33" w:rsidRDefault="003831D0" w:rsidP="00F22D47">
            <w:pPr>
              <w:pStyle w:val="Milestonetable"/>
              <w:numPr>
                <w:ilvl w:val="0"/>
                <w:numId w:val="21"/>
              </w:numPr>
              <w:ind w:left="727"/>
              <w:rPr>
                <w:color w:val="auto"/>
              </w:rPr>
            </w:pPr>
            <w:r w:rsidRPr="008B0A33">
              <w:rPr>
                <w:color w:val="auto"/>
              </w:rPr>
              <w:t xml:space="preserve">details of any matter(s) that have arisen which could adversely impact on the delivery of the output, and how Victoria proposes to resolve this/these matter(s); </w:t>
            </w:r>
          </w:p>
          <w:p w14:paraId="4D419F87" w14:textId="77777777" w:rsidR="003831D0" w:rsidRPr="008B0A33" w:rsidRDefault="003831D0" w:rsidP="00F22D47">
            <w:pPr>
              <w:pStyle w:val="Milestonetable"/>
              <w:numPr>
                <w:ilvl w:val="0"/>
                <w:numId w:val="21"/>
              </w:numPr>
              <w:ind w:left="727"/>
              <w:rPr>
                <w:color w:val="auto"/>
              </w:rPr>
            </w:pPr>
            <w:r w:rsidRPr="008B0A33">
              <w:rPr>
                <w:color w:val="auto"/>
              </w:rPr>
              <w:t>a report on the impact of the renewed NCSP and referrals from the new testing regime;</w:t>
            </w:r>
          </w:p>
          <w:p w14:paraId="6991E358" w14:textId="77777777" w:rsidR="003831D0" w:rsidRPr="008B0A33" w:rsidRDefault="003831D0" w:rsidP="00F22D47">
            <w:pPr>
              <w:pStyle w:val="Milestonetable"/>
              <w:numPr>
                <w:ilvl w:val="0"/>
                <w:numId w:val="21"/>
              </w:numPr>
              <w:ind w:left="727"/>
              <w:rPr>
                <w:color w:val="auto"/>
              </w:rPr>
            </w:pPr>
            <w:r w:rsidRPr="008B0A33">
              <w:rPr>
                <w:color w:val="auto"/>
              </w:rPr>
              <w:t>an update on activities that target under screened or never screened women; and</w:t>
            </w:r>
          </w:p>
          <w:p w14:paraId="1CCB96FD" w14:textId="77777777" w:rsidR="003831D0" w:rsidRPr="008B0A33" w:rsidRDefault="003831D0" w:rsidP="00F22D47">
            <w:pPr>
              <w:pStyle w:val="Milestonetable"/>
              <w:numPr>
                <w:ilvl w:val="0"/>
                <w:numId w:val="21"/>
              </w:numPr>
              <w:ind w:left="727"/>
              <w:rPr>
                <w:color w:val="auto"/>
              </w:rPr>
            </w:pPr>
            <w:r w:rsidRPr="008B0A33">
              <w:rPr>
                <w:color w:val="auto"/>
              </w:rPr>
              <w:t>evidence on National Association of Testing Authority/Royal College of Pathologists Australasia accreditation for cervical cytology.</w:t>
            </w:r>
          </w:p>
          <w:p w14:paraId="496C3097" w14:textId="77777777" w:rsidR="003831D0" w:rsidRPr="008B0A33" w:rsidRDefault="003831D0" w:rsidP="00F22D47">
            <w:pPr>
              <w:pStyle w:val="Milestonetable"/>
              <w:rPr>
                <w:color w:val="auto"/>
              </w:rPr>
            </w:pPr>
            <w:r w:rsidRPr="008B0A33">
              <w:rPr>
                <w:color w:val="auto"/>
              </w:rPr>
              <w:t>Victoria will provide a final performance report for the 1 May 2021 to 30 June 2021 by no later than 31 July 2021.</w:t>
            </w:r>
          </w:p>
        </w:tc>
        <w:tc>
          <w:tcPr>
            <w:tcW w:w="993" w:type="dxa"/>
            <w:tcBorders>
              <w:top w:val="single" w:sz="8" w:space="0" w:color="4F81BD"/>
              <w:left w:val="single" w:sz="8" w:space="0" w:color="4F81BD"/>
              <w:bottom w:val="single" w:sz="8" w:space="0" w:color="4F81BD"/>
              <w:right w:val="single" w:sz="8" w:space="0" w:color="4F81BD"/>
            </w:tcBorders>
            <w:shd w:val="clear" w:color="auto" w:fill="auto"/>
          </w:tcPr>
          <w:p w14:paraId="5690F209" w14:textId="77777777" w:rsidR="003831D0" w:rsidRPr="008B0A33" w:rsidRDefault="003831D0" w:rsidP="00F22D47">
            <w:pPr>
              <w:pStyle w:val="Milestonetable"/>
              <w:rPr>
                <w:color w:val="auto"/>
              </w:rPr>
            </w:pPr>
            <w:r w:rsidRPr="008B0A33">
              <w:rPr>
                <w:color w:val="auto"/>
              </w:rPr>
              <w:t>31/05/2021</w:t>
            </w:r>
          </w:p>
        </w:tc>
        <w:tc>
          <w:tcPr>
            <w:tcW w:w="1559" w:type="dxa"/>
            <w:tcBorders>
              <w:top w:val="single" w:sz="8" w:space="0" w:color="4F81BD"/>
              <w:left w:val="single" w:sz="8" w:space="0" w:color="4F81BD"/>
              <w:bottom w:val="single" w:sz="8" w:space="0" w:color="4F81BD"/>
              <w:right w:val="single" w:sz="8" w:space="0" w:color="4F81BD"/>
            </w:tcBorders>
            <w:shd w:val="clear" w:color="auto" w:fill="auto"/>
          </w:tcPr>
          <w:p w14:paraId="11A233AA" w14:textId="77777777" w:rsidR="003831D0" w:rsidRPr="008B0A33" w:rsidRDefault="003831D0" w:rsidP="00F22D47">
            <w:pPr>
              <w:pStyle w:val="Milestonetable"/>
              <w:rPr>
                <w:color w:val="auto"/>
              </w:rPr>
            </w:pPr>
            <w:r w:rsidRPr="008B0A33">
              <w:rPr>
                <w:color w:val="auto"/>
              </w:rPr>
              <w:t>1 May 2020 to 30 April 2021</w:t>
            </w:r>
          </w:p>
        </w:tc>
        <w:tc>
          <w:tcPr>
            <w:tcW w:w="1345" w:type="dxa"/>
            <w:tcBorders>
              <w:top w:val="single" w:sz="8" w:space="0" w:color="4F81BD"/>
              <w:left w:val="single" w:sz="8" w:space="0" w:color="4F81BD"/>
              <w:bottom w:val="single" w:sz="8" w:space="0" w:color="4F81BD"/>
              <w:right w:val="single" w:sz="8" w:space="0" w:color="4F81BD"/>
            </w:tcBorders>
            <w:shd w:val="clear" w:color="auto" w:fill="auto"/>
          </w:tcPr>
          <w:p w14:paraId="16A4C5EB" w14:textId="77777777" w:rsidR="003831D0" w:rsidRPr="008B0A33" w:rsidRDefault="003831D0" w:rsidP="00F22D47">
            <w:pPr>
              <w:pStyle w:val="Milestonetable"/>
              <w:rPr>
                <w:color w:val="auto"/>
              </w:rPr>
            </w:pPr>
            <w:r w:rsidRPr="008B0A33">
              <w:rPr>
                <w:color w:val="auto"/>
              </w:rPr>
              <w:t>$10,611,000</w:t>
            </w:r>
          </w:p>
        </w:tc>
      </w:tr>
    </w:tbl>
    <w:p w14:paraId="03E3FA2F" w14:textId="77777777" w:rsidR="003831D0" w:rsidRDefault="003831D0" w:rsidP="003831D0">
      <w:pPr>
        <w:tabs>
          <w:tab w:val="left" w:pos="3865"/>
        </w:tabs>
      </w:pPr>
      <w:r w:rsidRPr="00A829E7">
        <w:t xml:space="preserve">This schedule was agreed by the </w:t>
      </w:r>
      <w:r>
        <w:t xml:space="preserve">Commonwealth </w:t>
      </w:r>
      <w:r w:rsidRPr="00A829E7">
        <w:t>and</w:t>
      </w:r>
      <w:r>
        <w:t xml:space="preserve"> Victoria</w:t>
      </w:r>
      <w:r w:rsidRPr="00A829E7">
        <w:t xml:space="preserve"> when the overarching National Partnership</w:t>
      </w:r>
      <w:r>
        <w:t xml:space="preserve"> was signed</w:t>
      </w:r>
      <w:r w:rsidRPr="00A829E7">
        <w:t>.</w:t>
      </w:r>
    </w:p>
    <w:p w14:paraId="5C0190A0" w14:textId="77777777" w:rsidR="00EF42A3" w:rsidRDefault="00EF42A3" w:rsidP="003831D0">
      <w:pPr>
        <w:widowControl/>
        <w:spacing w:after="160" w:line="259" w:lineRule="auto"/>
      </w:pPr>
    </w:p>
    <w:sectPr w:rsidR="00EF42A3" w:rsidSect="00D255A1">
      <w:headerReference w:type="default" r:id="rId15"/>
      <w:pgSz w:w="16840" w:h="11910" w:orient="landscape"/>
      <w:pgMar w:top="1020" w:right="1400" w:bottom="1020" w:left="880" w:header="1170" w:footer="690" w:gutter="0"/>
      <w:pgNumType w:start="3"/>
      <w:cols w:space="2373"/>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023DE" w14:textId="77777777" w:rsidR="003831D0" w:rsidRDefault="003831D0" w:rsidP="003831D0">
      <w:r>
        <w:separator/>
      </w:r>
    </w:p>
  </w:endnote>
  <w:endnote w:type="continuationSeparator" w:id="0">
    <w:p w14:paraId="4F3BE4D4" w14:textId="77777777" w:rsidR="003831D0" w:rsidRDefault="003831D0" w:rsidP="00383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Zapf Dingbats"/>
    <w:panose1 w:val="00000000000000000000"/>
    <w:charset w:val="02"/>
    <w:family w:val="decorative"/>
    <w:notTrueType/>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altName w:val="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5FFBA" w14:textId="77777777" w:rsidR="003831D0" w:rsidRDefault="003831D0">
    <w:pPr>
      <w:pStyle w:val="FooterEven"/>
    </w:pPr>
    <w:r>
      <w:t>Page D-2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8C4E1" w14:textId="77777777" w:rsidR="003831D0" w:rsidRPr="00837A21" w:rsidRDefault="003831D0" w:rsidP="00304C81">
    <w:pPr>
      <w:pStyle w:val="Footer"/>
      <w:jc w:val="right"/>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53CA6" w14:textId="77777777" w:rsidR="003831D0" w:rsidRDefault="003831D0" w:rsidP="003831D0">
      <w:r>
        <w:separator/>
      </w:r>
    </w:p>
  </w:footnote>
  <w:footnote w:type="continuationSeparator" w:id="0">
    <w:p w14:paraId="46008463" w14:textId="77777777" w:rsidR="003831D0" w:rsidRDefault="003831D0" w:rsidP="00383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7BE21" w14:textId="77777777" w:rsidR="00C363D4" w:rsidRPr="00E82B87" w:rsidRDefault="004F436B" w:rsidP="00304C81">
    <w:pPr>
      <w:jc w:val="center"/>
      <w:rPr>
        <w:color w:val="FF0000"/>
      </w:rPr>
    </w:pPr>
  </w:p>
  <w:p w14:paraId="5AB5D98B" w14:textId="77777777" w:rsidR="00C363D4" w:rsidRDefault="004F436B">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69B3"/>
    <w:multiLevelType w:val="hybridMultilevel"/>
    <w:tmpl w:val="3D1609BC"/>
    <w:lvl w:ilvl="0" w:tplc="4190A9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621274"/>
    <w:multiLevelType w:val="hybridMultilevel"/>
    <w:tmpl w:val="F15E34C6"/>
    <w:lvl w:ilvl="0" w:tplc="4190A9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85228B"/>
    <w:multiLevelType w:val="hybridMultilevel"/>
    <w:tmpl w:val="E264A49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303F5E"/>
    <w:multiLevelType w:val="hybridMultilevel"/>
    <w:tmpl w:val="3182A2C2"/>
    <w:lvl w:ilvl="0" w:tplc="8774DC8A">
      <w:numFmt w:val="bullet"/>
      <w:lvlText w:val="-"/>
      <w:lvlJc w:val="left"/>
      <w:pPr>
        <w:ind w:left="249" w:hanging="360"/>
      </w:pPr>
      <w:rPr>
        <w:rFonts w:ascii="Corbel" w:eastAsia="Times New Roman" w:hAnsi="Corbel" w:cs="Times New Roman" w:hint="default"/>
      </w:rPr>
    </w:lvl>
    <w:lvl w:ilvl="1" w:tplc="0C090003" w:tentative="1">
      <w:start w:val="1"/>
      <w:numFmt w:val="bullet"/>
      <w:lvlText w:val="o"/>
      <w:lvlJc w:val="left"/>
      <w:pPr>
        <w:ind w:left="969" w:hanging="360"/>
      </w:pPr>
      <w:rPr>
        <w:rFonts w:ascii="Courier New" w:hAnsi="Courier New" w:cs="Courier New" w:hint="default"/>
      </w:rPr>
    </w:lvl>
    <w:lvl w:ilvl="2" w:tplc="0C090005" w:tentative="1">
      <w:start w:val="1"/>
      <w:numFmt w:val="bullet"/>
      <w:lvlText w:val=""/>
      <w:lvlJc w:val="left"/>
      <w:pPr>
        <w:ind w:left="1689" w:hanging="360"/>
      </w:pPr>
      <w:rPr>
        <w:rFonts w:ascii="Wingdings" w:hAnsi="Wingdings" w:hint="default"/>
      </w:rPr>
    </w:lvl>
    <w:lvl w:ilvl="3" w:tplc="0C090001" w:tentative="1">
      <w:start w:val="1"/>
      <w:numFmt w:val="bullet"/>
      <w:lvlText w:val=""/>
      <w:lvlJc w:val="left"/>
      <w:pPr>
        <w:ind w:left="2409" w:hanging="360"/>
      </w:pPr>
      <w:rPr>
        <w:rFonts w:ascii="Symbol" w:hAnsi="Symbol" w:hint="default"/>
      </w:rPr>
    </w:lvl>
    <w:lvl w:ilvl="4" w:tplc="0C090003" w:tentative="1">
      <w:start w:val="1"/>
      <w:numFmt w:val="bullet"/>
      <w:lvlText w:val="o"/>
      <w:lvlJc w:val="left"/>
      <w:pPr>
        <w:ind w:left="3129" w:hanging="360"/>
      </w:pPr>
      <w:rPr>
        <w:rFonts w:ascii="Courier New" w:hAnsi="Courier New" w:cs="Courier New" w:hint="default"/>
      </w:rPr>
    </w:lvl>
    <w:lvl w:ilvl="5" w:tplc="0C090005" w:tentative="1">
      <w:start w:val="1"/>
      <w:numFmt w:val="bullet"/>
      <w:lvlText w:val=""/>
      <w:lvlJc w:val="left"/>
      <w:pPr>
        <w:ind w:left="3849" w:hanging="360"/>
      </w:pPr>
      <w:rPr>
        <w:rFonts w:ascii="Wingdings" w:hAnsi="Wingdings" w:hint="default"/>
      </w:rPr>
    </w:lvl>
    <w:lvl w:ilvl="6" w:tplc="0C090001" w:tentative="1">
      <w:start w:val="1"/>
      <w:numFmt w:val="bullet"/>
      <w:lvlText w:val=""/>
      <w:lvlJc w:val="left"/>
      <w:pPr>
        <w:ind w:left="4569" w:hanging="360"/>
      </w:pPr>
      <w:rPr>
        <w:rFonts w:ascii="Symbol" w:hAnsi="Symbol" w:hint="default"/>
      </w:rPr>
    </w:lvl>
    <w:lvl w:ilvl="7" w:tplc="0C090003" w:tentative="1">
      <w:start w:val="1"/>
      <w:numFmt w:val="bullet"/>
      <w:lvlText w:val="o"/>
      <w:lvlJc w:val="left"/>
      <w:pPr>
        <w:ind w:left="5289" w:hanging="360"/>
      </w:pPr>
      <w:rPr>
        <w:rFonts w:ascii="Courier New" w:hAnsi="Courier New" w:cs="Courier New" w:hint="default"/>
      </w:rPr>
    </w:lvl>
    <w:lvl w:ilvl="8" w:tplc="0C090005" w:tentative="1">
      <w:start w:val="1"/>
      <w:numFmt w:val="bullet"/>
      <w:lvlText w:val=""/>
      <w:lvlJc w:val="left"/>
      <w:pPr>
        <w:ind w:left="6009" w:hanging="360"/>
      </w:pPr>
      <w:rPr>
        <w:rFonts w:ascii="Wingdings" w:hAnsi="Wingdings" w:hint="default"/>
      </w:rPr>
    </w:lvl>
  </w:abstractNum>
  <w:abstractNum w:abstractNumId="4" w15:restartNumberingAfterBreak="0">
    <w:nsid w:val="13E850D5"/>
    <w:multiLevelType w:val="hybridMultilevel"/>
    <w:tmpl w:val="7682E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0A6350"/>
    <w:multiLevelType w:val="hybridMultilevel"/>
    <w:tmpl w:val="DBAAC236"/>
    <w:lvl w:ilvl="0" w:tplc="0682EC1C">
      <w:start w:val="1"/>
      <w:numFmt w:val="lowerLetter"/>
      <w:lvlText w:val="(%1)"/>
      <w:lvlJc w:val="left"/>
      <w:pPr>
        <w:ind w:left="720" w:hanging="360"/>
      </w:pPr>
      <w:rPr>
        <w:rFonts w:hint="default"/>
        <w:color w:val="auto"/>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C25F7E"/>
    <w:multiLevelType w:val="hybridMultilevel"/>
    <w:tmpl w:val="76FC28A2"/>
    <w:lvl w:ilvl="0" w:tplc="3EC09768">
      <w:numFmt w:val="bullet"/>
      <w:lvlText w:val=""/>
      <w:lvlJc w:val="left"/>
      <w:pPr>
        <w:ind w:left="829" w:hanging="360"/>
      </w:pPr>
      <w:rPr>
        <w:rFonts w:ascii="Symbol" w:eastAsia="Corbel" w:hAnsi="Symbol" w:cs="Corbel" w:hint="default"/>
      </w:rPr>
    </w:lvl>
    <w:lvl w:ilvl="1" w:tplc="0C090003" w:tentative="1">
      <w:start w:val="1"/>
      <w:numFmt w:val="bullet"/>
      <w:lvlText w:val="o"/>
      <w:lvlJc w:val="left"/>
      <w:pPr>
        <w:ind w:left="1549" w:hanging="360"/>
      </w:pPr>
      <w:rPr>
        <w:rFonts w:ascii="Courier New" w:hAnsi="Courier New" w:cs="Courier New" w:hint="default"/>
      </w:rPr>
    </w:lvl>
    <w:lvl w:ilvl="2" w:tplc="0C090005" w:tentative="1">
      <w:start w:val="1"/>
      <w:numFmt w:val="bullet"/>
      <w:lvlText w:val=""/>
      <w:lvlJc w:val="left"/>
      <w:pPr>
        <w:ind w:left="2269" w:hanging="360"/>
      </w:pPr>
      <w:rPr>
        <w:rFonts w:ascii="Wingdings" w:hAnsi="Wingdings" w:hint="default"/>
      </w:rPr>
    </w:lvl>
    <w:lvl w:ilvl="3" w:tplc="0C090001" w:tentative="1">
      <w:start w:val="1"/>
      <w:numFmt w:val="bullet"/>
      <w:lvlText w:val=""/>
      <w:lvlJc w:val="left"/>
      <w:pPr>
        <w:ind w:left="2989" w:hanging="360"/>
      </w:pPr>
      <w:rPr>
        <w:rFonts w:ascii="Symbol" w:hAnsi="Symbol" w:hint="default"/>
      </w:rPr>
    </w:lvl>
    <w:lvl w:ilvl="4" w:tplc="0C090003" w:tentative="1">
      <w:start w:val="1"/>
      <w:numFmt w:val="bullet"/>
      <w:lvlText w:val="o"/>
      <w:lvlJc w:val="left"/>
      <w:pPr>
        <w:ind w:left="3709" w:hanging="360"/>
      </w:pPr>
      <w:rPr>
        <w:rFonts w:ascii="Courier New" w:hAnsi="Courier New" w:cs="Courier New" w:hint="default"/>
      </w:rPr>
    </w:lvl>
    <w:lvl w:ilvl="5" w:tplc="0C090005" w:tentative="1">
      <w:start w:val="1"/>
      <w:numFmt w:val="bullet"/>
      <w:lvlText w:val=""/>
      <w:lvlJc w:val="left"/>
      <w:pPr>
        <w:ind w:left="4429" w:hanging="360"/>
      </w:pPr>
      <w:rPr>
        <w:rFonts w:ascii="Wingdings" w:hAnsi="Wingdings" w:hint="default"/>
      </w:rPr>
    </w:lvl>
    <w:lvl w:ilvl="6" w:tplc="0C090001" w:tentative="1">
      <w:start w:val="1"/>
      <w:numFmt w:val="bullet"/>
      <w:lvlText w:val=""/>
      <w:lvlJc w:val="left"/>
      <w:pPr>
        <w:ind w:left="5149" w:hanging="360"/>
      </w:pPr>
      <w:rPr>
        <w:rFonts w:ascii="Symbol" w:hAnsi="Symbol" w:hint="default"/>
      </w:rPr>
    </w:lvl>
    <w:lvl w:ilvl="7" w:tplc="0C090003" w:tentative="1">
      <w:start w:val="1"/>
      <w:numFmt w:val="bullet"/>
      <w:lvlText w:val="o"/>
      <w:lvlJc w:val="left"/>
      <w:pPr>
        <w:ind w:left="5869" w:hanging="360"/>
      </w:pPr>
      <w:rPr>
        <w:rFonts w:ascii="Courier New" w:hAnsi="Courier New" w:cs="Courier New" w:hint="default"/>
      </w:rPr>
    </w:lvl>
    <w:lvl w:ilvl="8" w:tplc="0C090005" w:tentative="1">
      <w:start w:val="1"/>
      <w:numFmt w:val="bullet"/>
      <w:lvlText w:val=""/>
      <w:lvlJc w:val="left"/>
      <w:pPr>
        <w:ind w:left="6589" w:hanging="360"/>
      </w:pPr>
      <w:rPr>
        <w:rFonts w:ascii="Wingdings" w:hAnsi="Wingdings" w:hint="default"/>
      </w:rPr>
    </w:lvl>
  </w:abstractNum>
  <w:abstractNum w:abstractNumId="7" w15:restartNumberingAfterBreak="0">
    <w:nsid w:val="1B8E5A3B"/>
    <w:multiLevelType w:val="hybridMultilevel"/>
    <w:tmpl w:val="81D2C80A"/>
    <w:lvl w:ilvl="0" w:tplc="0C090019">
      <w:start w:val="1"/>
      <w:numFmt w:val="lowerLetter"/>
      <w:lvlText w:val="%1."/>
      <w:lvlJc w:val="left"/>
      <w:pPr>
        <w:ind w:left="832" w:hanging="360"/>
      </w:pPr>
    </w:lvl>
    <w:lvl w:ilvl="1" w:tplc="0C090019" w:tentative="1">
      <w:start w:val="1"/>
      <w:numFmt w:val="lowerLetter"/>
      <w:lvlText w:val="%2."/>
      <w:lvlJc w:val="left"/>
      <w:pPr>
        <w:ind w:left="1552" w:hanging="360"/>
      </w:pPr>
    </w:lvl>
    <w:lvl w:ilvl="2" w:tplc="0C09001B" w:tentative="1">
      <w:start w:val="1"/>
      <w:numFmt w:val="lowerRoman"/>
      <w:lvlText w:val="%3."/>
      <w:lvlJc w:val="right"/>
      <w:pPr>
        <w:ind w:left="2272" w:hanging="180"/>
      </w:pPr>
    </w:lvl>
    <w:lvl w:ilvl="3" w:tplc="0C09000F" w:tentative="1">
      <w:start w:val="1"/>
      <w:numFmt w:val="decimal"/>
      <w:lvlText w:val="%4."/>
      <w:lvlJc w:val="left"/>
      <w:pPr>
        <w:ind w:left="2992" w:hanging="360"/>
      </w:pPr>
    </w:lvl>
    <w:lvl w:ilvl="4" w:tplc="0C090019" w:tentative="1">
      <w:start w:val="1"/>
      <w:numFmt w:val="lowerLetter"/>
      <w:lvlText w:val="%5."/>
      <w:lvlJc w:val="left"/>
      <w:pPr>
        <w:ind w:left="3712" w:hanging="360"/>
      </w:pPr>
    </w:lvl>
    <w:lvl w:ilvl="5" w:tplc="0C09001B" w:tentative="1">
      <w:start w:val="1"/>
      <w:numFmt w:val="lowerRoman"/>
      <w:lvlText w:val="%6."/>
      <w:lvlJc w:val="right"/>
      <w:pPr>
        <w:ind w:left="4432" w:hanging="180"/>
      </w:pPr>
    </w:lvl>
    <w:lvl w:ilvl="6" w:tplc="0C09000F" w:tentative="1">
      <w:start w:val="1"/>
      <w:numFmt w:val="decimal"/>
      <w:lvlText w:val="%7."/>
      <w:lvlJc w:val="left"/>
      <w:pPr>
        <w:ind w:left="5152" w:hanging="360"/>
      </w:pPr>
    </w:lvl>
    <w:lvl w:ilvl="7" w:tplc="0C090019" w:tentative="1">
      <w:start w:val="1"/>
      <w:numFmt w:val="lowerLetter"/>
      <w:lvlText w:val="%8."/>
      <w:lvlJc w:val="left"/>
      <w:pPr>
        <w:ind w:left="5872" w:hanging="360"/>
      </w:pPr>
    </w:lvl>
    <w:lvl w:ilvl="8" w:tplc="0C09001B" w:tentative="1">
      <w:start w:val="1"/>
      <w:numFmt w:val="lowerRoman"/>
      <w:lvlText w:val="%9."/>
      <w:lvlJc w:val="right"/>
      <w:pPr>
        <w:ind w:left="6592" w:hanging="180"/>
      </w:pPr>
    </w:lvl>
  </w:abstractNum>
  <w:abstractNum w:abstractNumId="8" w15:restartNumberingAfterBreak="0">
    <w:nsid w:val="2DB4062F"/>
    <w:multiLevelType w:val="hybridMultilevel"/>
    <w:tmpl w:val="BC1877CE"/>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9" w15:restartNumberingAfterBreak="0">
    <w:nsid w:val="328B3D39"/>
    <w:multiLevelType w:val="hybridMultilevel"/>
    <w:tmpl w:val="652836B2"/>
    <w:lvl w:ilvl="0" w:tplc="B3BA57A6">
      <w:start w:val="1"/>
      <w:numFmt w:val="bullet"/>
      <w:pStyle w:val="Normalnumbered"/>
      <w:lvlText w:val=""/>
      <w:lvlJc w:val="left"/>
      <w:pPr>
        <w:tabs>
          <w:tab w:val="num" w:pos="1134"/>
        </w:tabs>
        <w:ind w:left="1134" w:hanging="567"/>
      </w:pPr>
      <w:rPr>
        <w:rFonts w:ascii="ZapfDingbats" w:hAnsi="ZapfDingbats" w:hint="default"/>
        <w:color w:val="000080"/>
        <w:sz w:val="20"/>
      </w:rPr>
    </w:lvl>
    <w:lvl w:ilvl="1" w:tplc="CFA81DD0" w:tentative="1">
      <w:start w:val="1"/>
      <w:numFmt w:val="bullet"/>
      <w:lvlText w:val="o"/>
      <w:lvlJc w:val="left"/>
      <w:pPr>
        <w:tabs>
          <w:tab w:val="num" w:pos="2574"/>
        </w:tabs>
        <w:ind w:left="2574" w:hanging="360"/>
      </w:pPr>
      <w:rPr>
        <w:rFonts w:ascii="Courier New" w:hAnsi="Courier New" w:hint="default"/>
      </w:rPr>
    </w:lvl>
    <w:lvl w:ilvl="2" w:tplc="37E6D9BA" w:tentative="1">
      <w:start w:val="1"/>
      <w:numFmt w:val="bullet"/>
      <w:lvlText w:val=""/>
      <w:lvlJc w:val="left"/>
      <w:pPr>
        <w:tabs>
          <w:tab w:val="num" w:pos="3294"/>
        </w:tabs>
        <w:ind w:left="3294" w:hanging="360"/>
      </w:pPr>
      <w:rPr>
        <w:rFonts w:ascii="Wingdings" w:hAnsi="Wingdings" w:hint="default"/>
      </w:rPr>
    </w:lvl>
    <w:lvl w:ilvl="3" w:tplc="630E83CC" w:tentative="1">
      <w:start w:val="1"/>
      <w:numFmt w:val="bullet"/>
      <w:lvlText w:val=""/>
      <w:lvlJc w:val="left"/>
      <w:pPr>
        <w:tabs>
          <w:tab w:val="num" w:pos="4014"/>
        </w:tabs>
        <w:ind w:left="4014" w:hanging="360"/>
      </w:pPr>
      <w:rPr>
        <w:rFonts w:ascii="Symbol" w:hAnsi="Symbol" w:hint="default"/>
      </w:rPr>
    </w:lvl>
    <w:lvl w:ilvl="4" w:tplc="C7F23C84" w:tentative="1">
      <w:start w:val="1"/>
      <w:numFmt w:val="bullet"/>
      <w:lvlText w:val="o"/>
      <w:lvlJc w:val="left"/>
      <w:pPr>
        <w:tabs>
          <w:tab w:val="num" w:pos="4734"/>
        </w:tabs>
        <w:ind w:left="4734" w:hanging="360"/>
      </w:pPr>
      <w:rPr>
        <w:rFonts w:ascii="Courier New" w:hAnsi="Courier New" w:hint="default"/>
      </w:rPr>
    </w:lvl>
    <w:lvl w:ilvl="5" w:tplc="E564D0A0" w:tentative="1">
      <w:start w:val="1"/>
      <w:numFmt w:val="bullet"/>
      <w:lvlText w:val=""/>
      <w:lvlJc w:val="left"/>
      <w:pPr>
        <w:tabs>
          <w:tab w:val="num" w:pos="5454"/>
        </w:tabs>
        <w:ind w:left="5454" w:hanging="360"/>
      </w:pPr>
      <w:rPr>
        <w:rFonts w:ascii="Wingdings" w:hAnsi="Wingdings" w:hint="default"/>
      </w:rPr>
    </w:lvl>
    <w:lvl w:ilvl="6" w:tplc="484E26A4" w:tentative="1">
      <w:start w:val="1"/>
      <w:numFmt w:val="bullet"/>
      <w:lvlText w:val=""/>
      <w:lvlJc w:val="left"/>
      <w:pPr>
        <w:tabs>
          <w:tab w:val="num" w:pos="6174"/>
        </w:tabs>
        <w:ind w:left="6174" w:hanging="360"/>
      </w:pPr>
      <w:rPr>
        <w:rFonts w:ascii="Symbol" w:hAnsi="Symbol" w:hint="default"/>
      </w:rPr>
    </w:lvl>
    <w:lvl w:ilvl="7" w:tplc="A5A2D0F2" w:tentative="1">
      <w:start w:val="1"/>
      <w:numFmt w:val="bullet"/>
      <w:lvlText w:val="o"/>
      <w:lvlJc w:val="left"/>
      <w:pPr>
        <w:tabs>
          <w:tab w:val="num" w:pos="6894"/>
        </w:tabs>
        <w:ind w:left="6894" w:hanging="360"/>
      </w:pPr>
      <w:rPr>
        <w:rFonts w:ascii="Courier New" w:hAnsi="Courier New" w:hint="default"/>
      </w:rPr>
    </w:lvl>
    <w:lvl w:ilvl="8" w:tplc="575E19F8"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37741F65"/>
    <w:multiLevelType w:val="hybridMultilevel"/>
    <w:tmpl w:val="2A9CFAE6"/>
    <w:lvl w:ilvl="0" w:tplc="F5901E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563653"/>
    <w:multiLevelType w:val="hybridMultilevel"/>
    <w:tmpl w:val="6082B35C"/>
    <w:lvl w:ilvl="0" w:tplc="6B8435B0">
      <w:start w:val="1"/>
      <w:numFmt w:val="lowerLetter"/>
      <w:lvlText w:val="(%1)"/>
      <w:lvlJc w:val="left"/>
      <w:pPr>
        <w:ind w:left="720" w:hanging="360"/>
      </w:pPr>
      <w:rPr>
        <w:rFonts w:ascii="Corbel" w:eastAsia="Times New Roman" w:hAnsi="Corbe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39F6263"/>
    <w:multiLevelType w:val="hybridMultilevel"/>
    <w:tmpl w:val="9A0A1648"/>
    <w:lvl w:ilvl="0" w:tplc="660EB73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4" w15:restartNumberingAfterBreak="0">
    <w:nsid w:val="49F33BAA"/>
    <w:multiLevelType w:val="hybridMultilevel"/>
    <w:tmpl w:val="A7667244"/>
    <w:lvl w:ilvl="0" w:tplc="0C09000F">
      <w:start w:val="1"/>
      <w:numFmt w:val="decimal"/>
      <w:lvlText w:val="%1."/>
      <w:lvlJc w:val="left"/>
      <w:pPr>
        <w:ind w:left="720" w:hanging="360"/>
      </w:pPr>
      <w:rPr>
        <w:rFonts w:hint="default"/>
      </w:rPr>
    </w:lvl>
    <w:lvl w:ilvl="1" w:tplc="149C10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AE90419"/>
    <w:multiLevelType w:val="multilevel"/>
    <w:tmpl w:val="C9AE9C20"/>
    <w:lvl w:ilvl="0">
      <w:start w:val="1"/>
      <w:numFmt w:val="decimal"/>
      <w:lvlText w:val="A%1"/>
      <w:lvlJc w:val="left"/>
      <w:pPr>
        <w:tabs>
          <w:tab w:val="num" w:pos="567"/>
        </w:tabs>
        <w:ind w:left="567" w:hanging="567"/>
      </w:pPr>
      <w:rPr>
        <w:rFonts w:cs="Times New Roman" w:hint="default"/>
      </w:rPr>
    </w:lvl>
    <w:lvl w:ilvl="1">
      <w:start w:val="1"/>
      <w:numFmt w:val="lowerLetter"/>
      <w:lvlText w:val="%2."/>
      <w:lvlJc w:val="left"/>
      <w:pPr>
        <w:tabs>
          <w:tab w:val="num" w:pos="924"/>
        </w:tabs>
        <w:ind w:left="924" w:hanging="357"/>
      </w:pPr>
      <w:rPr>
        <w:rFonts w:cs="Times New Roman" w:hint="default"/>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6" w15:restartNumberingAfterBreak="0">
    <w:nsid w:val="4B2D471A"/>
    <w:multiLevelType w:val="hybridMultilevel"/>
    <w:tmpl w:val="8C8E8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8" w15:restartNumberingAfterBreak="0">
    <w:nsid w:val="4F007B3B"/>
    <w:multiLevelType w:val="hybridMultilevel"/>
    <w:tmpl w:val="97D41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9E2B4C"/>
    <w:multiLevelType w:val="hybridMultilevel"/>
    <w:tmpl w:val="3D1609BC"/>
    <w:lvl w:ilvl="0" w:tplc="4190A9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748"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36C7725"/>
    <w:multiLevelType w:val="hybridMultilevel"/>
    <w:tmpl w:val="2B7A2FBE"/>
    <w:lvl w:ilvl="0" w:tplc="0C090019">
      <w:start w:val="1"/>
      <w:numFmt w:val="lowerLetter"/>
      <w:lvlText w:val="%1."/>
      <w:lvlJc w:val="left"/>
      <w:pPr>
        <w:ind w:left="1996" w:hanging="360"/>
      </w:pPr>
      <w:rPr>
        <w:rFonts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21" w15:restartNumberingAfterBreak="0">
    <w:nsid w:val="69CD1ECF"/>
    <w:multiLevelType w:val="hybridMultilevel"/>
    <w:tmpl w:val="A9EE83D6"/>
    <w:lvl w:ilvl="0" w:tplc="CBF28EE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B9C058A"/>
    <w:multiLevelType w:val="hybridMultilevel"/>
    <w:tmpl w:val="83AE4F1C"/>
    <w:lvl w:ilvl="0" w:tplc="F2E866C4">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F223DE4"/>
    <w:multiLevelType w:val="hybridMultilevel"/>
    <w:tmpl w:val="8774F112"/>
    <w:lvl w:ilvl="0" w:tplc="660EB73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8854AAC"/>
    <w:multiLevelType w:val="multilevel"/>
    <w:tmpl w:val="1750A43A"/>
    <w:lvl w:ilvl="0">
      <w:start w:val="1"/>
      <w:numFmt w:val="decimal"/>
      <w:pStyle w:val="Paragraphnumbering"/>
      <w:lvlText w:val="%1."/>
      <w:lvlJc w:val="left"/>
      <w:pPr>
        <w:tabs>
          <w:tab w:val="num" w:pos="567"/>
        </w:tabs>
        <w:ind w:left="567" w:hanging="567"/>
      </w:pPr>
      <w:rPr>
        <w:rFonts w:cs="Times New Roman" w:hint="default"/>
        <w:b w:val="0"/>
        <w:sz w:val="23"/>
        <w:szCs w:val="23"/>
      </w:rPr>
    </w:lvl>
    <w:lvl w:ilvl="1">
      <w:start w:val="1"/>
      <w:numFmt w:val="lowerLetter"/>
      <w:lvlText w:val="%2."/>
      <w:lvlJc w:val="left"/>
      <w:pPr>
        <w:tabs>
          <w:tab w:val="num" w:pos="924"/>
        </w:tabs>
        <w:ind w:left="924" w:hanging="357"/>
      </w:pPr>
      <w:rPr>
        <w:rFonts w:cs="Times New Roman" w:hint="default"/>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1639"/>
        </w:tabs>
        <w:ind w:left="1639" w:hanging="3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797D762E"/>
    <w:multiLevelType w:val="hybridMultilevel"/>
    <w:tmpl w:val="5AE46984"/>
    <w:lvl w:ilvl="0" w:tplc="660EB73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E222F4D"/>
    <w:multiLevelType w:val="hybridMultilevel"/>
    <w:tmpl w:val="F15E34C6"/>
    <w:lvl w:ilvl="0" w:tplc="4190A9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E4207EB"/>
    <w:multiLevelType w:val="hybridMultilevel"/>
    <w:tmpl w:val="C09CD67E"/>
    <w:lvl w:ilvl="0" w:tplc="149C1046">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FA825A1"/>
    <w:multiLevelType w:val="hybridMultilevel"/>
    <w:tmpl w:val="F15E34C6"/>
    <w:lvl w:ilvl="0" w:tplc="4190A9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4"/>
  </w:num>
  <w:num w:numId="2">
    <w:abstractNumId w:val="13"/>
  </w:num>
  <w:num w:numId="3">
    <w:abstractNumId w:val="15"/>
  </w:num>
  <w:num w:numId="4">
    <w:abstractNumId w:val="6"/>
  </w:num>
  <w:num w:numId="5">
    <w:abstractNumId w:val="18"/>
  </w:num>
  <w:num w:numId="6">
    <w:abstractNumId w:val="9"/>
  </w:num>
  <w:num w:numId="7">
    <w:abstractNumId w:val="28"/>
  </w:num>
  <w:num w:numId="8">
    <w:abstractNumId w:val="1"/>
  </w:num>
  <w:num w:numId="9">
    <w:abstractNumId w:val="3"/>
  </w:num>
  <w:num w:numId="10">
    <w:abstractNumId w:val="26"/>
  </w:num>
  <w:num w:numId="11">
    <w:abstractNumId w:val="0"/>
  </w:num>
  <w:num w:numId="12">
    <w:abstractNumId w:val="19"/>
  </w:num>
  <w:num w:numId="13">
    <w:abstractNumId w:val="5"/>
  </w:num>
  <w:num w:numId="14">
    <w:abstractNumId w:val="23"/>
  </w:num>
  <w:num w:numId="15">
    <w:abstractNumId w:val="25"/>
  </w:num>
  <w:num w:numId="16">
    <w:abstractNumId w:val="11"/>
  </w:num>
  <w:num w:numId="17">
    <w:abstractNumId w:val="21"/>
  </w:num>
  <w:num w:numId="18">
    <w:abstractNumId w:val="17"/>
  </w:num>
  <w:num w:numId="19">
    <w:abstractNumId w:val="12"/>
  </w:num>
  <w:num w:numId="20">
    <w:abstractNumId w:val="14"/>
  </w:num>
  <w:num w:numId="21">
    <w:abstractNumId w:val="27"/>
  </w:num>
  <w:num w:numId="22">
    <w:abstractNumId w:val="4"/>
  </w:num>
  <w:num w:numId="23">
    <w:abstractNumId w:val="2"/>
  </w:num>
  <w:num w:numId="24">
    <w:abstractNumId w:val="10"/>
  </w:num>
  <w:num w:numId="25">
    <w:abstractNumId w:val="20"/>
  </w:num>
  <w:num w:numId="26">
    <w:abstractNumId w:val="7"/>
  </w:num>
  <w:num w:numId="27">
    <w:abstractNumId w:val="16"/>
  </w:num>
  <w:num w:numId="28">
    <w:abstractNumId w:val="22"/>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1D0"/>
    <w:rsid w:val="003831D0"/>
    <w:rsid w:val="004F436B"/>
    <w:rsid w:val="00EF42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54C80"/>
  <w15:chartTrackingRefBased/>
  <w15:docId w15:val="{B1F6D322-ECA5-418D-B333-8CCFB109C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831D0"/>
    <w:pPr>
      <w:widowControl w:val="0"/>
      <w:spacing w:after="0" w:line="240" w:lineRule="auto"/>
    </w:pPr>
    <w:rPr>
      <w:lang w:val="en-US"/>
    </w:rPr>
  </w:style>
  <w:style w:type="paragraph" w:styleId="Heading1">
    <w:name w:val="heading 1"/>
    <w:basedOn w:val="Normal"/>
    <w:next w:val="Normal"/>
    <w:link w:val="Heading1Char"/>
    <w:uiPriority w:val="9"/>
    <w:qFormat/>
    <w:rsid w:val="003831D0"/>
    <w:pPr>
      <w:keepNext/>
      <w:widowControl/>
      <w:spacing w:before="480" w:after="180"/>
      <w:outlineLvl w:val="0"/>
    </w:pPr>
    <w:rPr>
      <w:rFonts w:ascii="Consolas" w:eastAsia="Times New Roman" w:hAnsi="Consolas" w:cs="Arial"/>
      <w:bCs/>
      <w:caps/>
      <w:color w:val="3D4B67"/>
      <w:kern w:val="32"/>
      <w:sz w:val="32"/>
      <w:szCs w:val="36"/>
      <w:lang w:val="en-AU" w:eastAsia="en-AU"/>
    </w:rPr>
  </w:style>
  <w:style w:type="paragraph" w:styleId="Heading2">
    <w:name w:val="heading 2"/>
    <w:basedOn w:val="Normal"/>
    <w:next w:val="Normal"/>
    <w:link w:val="Heading2Char"/>
    <w:uiPriority w:val="9"/>
    <w:semiHidden/>
    <w:unhideWhenUsed/>
    <w:qFormat/>
    <w:rsid w:val="003831D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3831D0"/>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qFormat/>
    <w:rsid w:val="003831D0"/>
    <w:pPr>
      <w:keepNext/>
      <w:widowControl/>
      <w:spacing w:after="60"/>
      <w:jc w:val="right"/>
      <w:outlineLvl w:val="8"/>
    </w:pPr>
    <w:rPr>
      <w:rFonts w:ascii="Corbel" w:eastAsia="Times New Roman" w:hAnsi="Corbel" w:cs="Arial"/>
      <w:color w:val="833C0B" w:themeColor="accent2" w:themeShade="80"/>
      <w:sz w:val="32"/>
      <w:szCs w:val="3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1D0"/>
    <w:rPr>
      <w:rFonts w:ascii="Consolas" w:eastAsia="Times New Roman" w:hAnsi="Consolas" w:cs="Arial"/>
      <w:bCs/>
      <w:caps/>
      <w:color w:val="3D4B67"/>
      <w:kern w:val="32"/>
      <w:sz w:val="32"/>
      <w:szCs w:val="36"/>
      <w:lang w:eastAsia="en-AU"/>
    </w:rPr>
  </w:style>
  <w:style w:type="character" w:customStyle="1" w:styleId="Heading2Char">
    <w:name w:val="Heading 2 Char"/>
    <w:basedOn w:val="DefaultParagraphFont"/>
    <w:link w:val="Heading2"/>
    <w:uiPriority w:val="9"/>
    <w:semiHidden/>
    <w:rsid w:val="003831D0"/>
    <w:rPr>
      <w:rFonts w:asciiTheme="majorHAnsi" w:eastAsiaTheme="majorEastAsia" w:hAnsiTheme="majorHAnsi" w:cstheme="majorBidi"/>
      <w:color w:val="2E74B5" w:themeColor="accent1" w:themeShade="BF"/>
      <w:sz w:val="26"/>
      <w:szCs w:val="26"/>
      <w:lang w:val="en-US"/>
    </w:rPr>
  </w:style>
  <w:style w:type="character" w:customStyle="1" w:styleId="Heading6Char">
    <w:name w:val="Heading 6 Char"/>
    <w:basedOn w:val="DefaultParagraphFont"/>
    <w:link w:val="Heading6"/>
    <w:uiPriority w:val="9"/>
    <w:semiHidden/>
    <w:rsid w:val="003831D0"/>
    <w:rPr>
      <w:rFonts w:asciiTheme="majorHAnsi" w:eastAsiaTheme="majorEastAsia" w:hAnsiTheme="majorHAnsi" w:cstheme="majorBidi"/>
      <w:color w:val="1F4D78" w:themeColor="accent1" w:themeShade="7F"/>
      <w:lang w:val="en-US"/>
    </w:rPr>
  </w:style>
  <w:style w:type="character" w:customStyle="1" w:styleId="Heading9Char">
    <w:name w:val="Heading 9 Char"/>
    <w:basedOn w:val="DefaultParagraphFont"/>
    <w:link w:val="Heading9"/>
    <w:uiPriority w:val="9"/>
    <w:rsid w:val="003831D0"/>
    <w:rPr>
      <w:rFonts w:ascii="Corbel" w:eastAsia="Times New Roman" w:hAnsi="Corbel" w:cs="Arial"/>
      <w:color w:val="833C0B" w:themeColor="accent2" w:themeShade="80"/>
      <w:sz w:val="32"/>
      <w:szCs w:val="32"/>
      <w:lang w:eastAsia="en-AU"/>
    </w:rPr>
  </w:style>
  <w:style w:type="paragraph" w:styleId="BodyText">
    <w:name w:val="Body Text"/>
    <w:basedOn w:val="Normal"/>
    <w:link w:val="BodyTextChar"/>
    <w:uiPriority w:val="1"/>
    <w:qFormat/>
    <w:rsid w:val="003831D0"/>
    <w:pPr>
      <w:spacing w:before="39"/>
      <w:ind w:left="112"/>
    </w:pPr>
    <w:rPr>
      <w:rFonts w:ascii="Corbel" w:eastAsia="Corbel" w:hAnsi="Corbel"/>
      <w:sz w:val="23"/>
      <w:szCs w:val="23"/>
    </w:rPr>
  </w:style>
  <w:style w:type="character" w:customStyle="1" w:styleId="BodyTextChar">
    <w:name w:val="Body Text Char"/>
    <w:basedOn w:val="DefaultParagraphFont"/>
    <w:link w:val="BodyText"/>
    <w:uiPriority w:val="1"/>
    <w:rsid w:val="003831D0"/>
    <w:rPr>
      <w:rFonts w:ascii="Corbel" w:eastAsia="Corbel" w:hAnsi="Corbel"/>
      <w:sz w:val="23"/>
      <w:szCs w:val="23"/>
      <w:lang w:val="en-US"/>
    </w:rPr>
  </w:style>
  <w:style w:type="paragraph" w:customStyle="1" w:styleId="TableParagraph">
    <w:name w:val="Table Paragraph"/>
    <w:basedOn w:val="Normal"/>
    <w:uiPriority w:val="1"/>
    <w:qFormat/>
    <w:rsid w:val="003831D0"/>
  </w:style>
  <w:style w:type="paragraph" w:styleId="Footer">
    <w:name w:val="footer"/>
    <w:basedOn w:val="Normal"/>
    <w:link w:val="FooterChar"/>
    <w:uiPriority w:val="99"/>
    <w:unhideWhenUsed/>
    <w:rsid w:val="003831D0"/>
    <w:pPr>
      <w:tabs>
        <w:tab w:val="center" w:pos="4513"/>
        <w:tab w:val="right" w:pos="9026"/>
      </w:tabs>
    </w:pPr>
  </w:style>
  <w:style w:type="character" w:customStyle="1" w:styleId="FooterChar">
    <w:name w:val="Footer Char"/>
    <w:basedOn w:val="DefaultParagraphFont"/>
    <w:link w:val="Footer"/>
    <w:uiPriority w:val="99"/>
    <w:rsid w:val="003831D0"/>
    <w:rPr>
      <w:lang w:val="en-US"/>
    </w:rPr>
  </w:style>
  <w:style w:type="character" w:styleId="CommentReference">
    <w:name w:val="annotation reference"/>
    <w:basedOn w:val="DefaultParagraphFont"/>
    <w:uiPriority w:val="99"/>
    <w:semiHidden/>
    <w:unhideWhenUsed/>
    <w:rsid w:val="003831D0"/>
    <w:rPr>
      <w:sz w:val="16"/>
      <w:szCs w:val="16"/>
    </w:rPr>
  </w:style>
  <w:style w:type="paragraph" w:styleId="CommentText">
    <w:name w:val="annotation text"/>
    <w:basedOn w:val="Normal"/>
    <w:link w:val="CommentTextChar"/>
    <w:uiPriority w:val="99"/>
    <w:semiHidden/>
    <w:unhideWhenUsed/>
    <w:rsid w:val="003831D0"/>
    <w:rPr>
      <w:sz w:val="20"/>
      <w:szCs w:val="20"/>
    </w:rPr>
  </w:style>
  <w:style w:type="character" w:customStyle="1" w:styleId="CommentTextChar">
    <w:name w:val="Comment Text Char"/>
    <w:basedOn w:val="DefaultParagraphFont"/>
    <w:link w:val="CommentText"/>
    <w:uiPriority w:val="99"/>
    <w:semiHidden/>
    <w:rsid w:val="003831D0"/>
    <w:rPr>
      <w:sz w:val="20"/>
      <w:szCs w:val="20"/>
      <w:lang w:val="en-US"/>
    </w:rPr>
  </w:style>
  <w:style w:type="paragraph" w:styleId="BalloonText">
    <w:name w:val="Balloon Text"/>
    <w:basedOn w:val="Normal"/>
    <w:link w:val="BalloonTextChar"/>
    <w:uiPriority w:val="99"/>
    <w:semiHidden/>
    <w:unhideWhenUsed/>
    <w:rsid w:val="003831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1D0"/>
    <w:rPr>
      <w:rFonts w:ascii="Segoe UI" w:hAnsi="Segoe UI" w:cs="Segoe UI"/>
      <w:sz w:val="18"/>
      <w:szCs w:val="18"/>
      <w:lang w:val="en-US"/>
    </w:rPr>
  </w:style>
  <w:style w:type="paragraph" w:customStyle="1" w:styleId="FooterEven">
    <w:name w:val="Footer Even"/>
    <w:basedOn w:val="Footer"/>
    <w:rsid w:val="003831D0"/>
    <w:pPr>
      <w:widowControl/>
      <w:tabs>
        <w:tab w:val="clear" w:pos="4513"/>
        <w:tab w:val="clear" w:pos="9026"/>
      </w:tabs>
    </w:pPr>
    <w:rPr>
      <w:rFonts w:ascii="Corbel" w:eastAsia="Times New Roman" w:hAnsi="Corbel" w:cs="Times New Roman"/>
      <w:color w:val="3D4B67"/>
      <w:sz w:val="18"/>
      <w:szCs w:val="20"/>
      <w:lang w:val="en-AU" w:eastAsia="en-AU"/>
    </w:rPr>
  </w:style>
  <w:style w:type="paragraph" w:styleId="Header">
    <w:name w:val="header"/>
    <w:basedOn w:val="Normal"/>
    <w:link w:val="HeaderChar"/>
    <w:uiPriority w:val="99"/>
    <w:rsid w:val="003831D0"/>
    <w:pPr>
      <w:keepNext/>
      <w:widowControl/>
    </w:pPr>
    <w:rPr>
      <w:rFonts w:ascii="Corbel" w:eastAsia="Times New Roman" w:hAnsi="Corbel" w:cs="Times New Roman"/>
      <w:color w:val="3D4B67"/>
      <w:sz w:val="18"/>
      <w:szCs w:val="20"/>
      <w:lang w:val="en-AU" w:eastAsia="en-AU"/>
    </w:rPr>
  </w:style>
  <w:style w:type="character" w:customStyle="1" w:styleId="HeaderChar">
    <w:name w:val="Header Char"/>
    <w:basedOn w:val="DefaultParagraphFont"/>
    <w:link w:val="Header"/>
    <w:uiPriority w:val="99"/>
    <w:rsid w:val="003831D0"/>
    <w:rPr>
      <w:rFonts w:ascii="Corbel" w:eastAsia="Times New Roman" w:hAnsi="Corbel" w:cs="Times New Roman"/>
      <w:color w:val="3D4B67"/>
      <w:sz w:val="18"/>
      <w:szCs w:val="20"/>
      <w:lang w:eastAsia="en-AU"/>
    </w:rPr>
  </w:style>
  <w:style w:type="paragraph" w:customStyle="1" w:styleId="HeaderOdd">
    <w:name w:val="Header Odd"/>
    <w:basedOn w:val="Header"/>
    <w:rsid w:val="003831D0"/>
    <w:pPr>
      <w:jc w:val="right"/>
    </w:pPr>
  </w:style>
  <w:style w:type="paragraph" w:customStyle="1" w:styleId="ScheduleStartNnumber">
    <w:name w:val="ScheduleStartNnumber"/>
    <w:rsid w:val="003831D0"/>
    <w:pPr>
      <w:numPr>
        <w:numId w:val="2"/>
      </w:numPr>
      <w:spacing w:after="0" w:line="240" w:lineRule="auto"/>
    </w:pPr>
    <w:rPr>
      <w:rFonts w:ascii="Consolas" w:eastAsia="Times New Roman" w:hAnsi="Consolas" w:cs="Arial"/>
      <w:bCs/>
      <w:vanish/>
      <w:color w:val="000000"/>
      <w:kern w:val="32"/>
      <w:sz w:val="12"/>
      <w:szCs w:val="36"/>
      <w:lang w:eastAsia="en-AU"/>
    </w:rPr>
  </w:style>
  <w:style w:type="paragraph" w:styleId="Subtitle">
    <w:name w:val="Subtitle"/>
    <w:basedOn w:val="Normal"/>
    <w:link w:val="SubtitleChar"/>
    <w:uiPriority w:val="11"/>
    <w:qFormat/>
    <w:rsid w:val="003831D0"/>
    <w:pPr>
      <w:widowControl/>
      <w:spacing w:after="300"/>
    </w:pPr>
    <w:rPr>
      <w:rFonts w:ascii="Consolas" w:eastAsia="Times New Roman" w:hAnsi="Consolas" w:cs="Times New Roman"/>
      <w:b/>
      <w:caps/>
      <w:color w:val="C7823E"/>
      <w:spacing w:val="50"/>
      <w:sz w:val="24"/>
      <w:lang w:val="en-AU" w:eastAsia="ja-JP"/>
    </w:rPr>
  </w:style>
  <w:style w:type="character" w:customStyle="1" w:styleId="SubtitleChar">
    <w:name w:val="Subtitle Char"/>
    <w:basedOn w:val="DefaultParagraphFont"/>
    <w:link w:val="Subtitle"/>
    <w:uiPriority w:val="11"/>
    <w:rsid w:val="003831D0"/>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3831D0"/>
    <w:pPr>
      <w:widowControl/>
    </w:pPr>
    <w:rPr>
      <w:rFonts w:ascii="Corbel" w:eastAsia="Times New Roman" w:hAnsi="Corbel" w:cs="Times New Roman"/>
      <w:color w:val="3D4B67"/>
      <w:sz w:val="40"/>
      <w:szCs w:val="40"/>
      <w:lang w:val="en-AU" w:eastAsia="ja-JP"/>
    </w:rPr>
  </w:style>
  <w:style w:type="character" w:customStyle="1" w:styleId="TitleChar">
    <w:name w:val="Title Char"/>
    <w:basedOn w:val="DefaultParagraphFont"/>
    <w:link w:val="Title"/>
    <w:uiPriority w:val="10"/>
    <w:rsid w:val="003831D0"/>
    <w:rPr>
      <w:rFonts w:ascii="Corbel" w:eastAsia="Times New Roman" w:hAnsi="Corbel" w:cs="Times New Roman"/>
      <w:color w:val="3D4B67"/>
      <w:sz w:val="40"/>
      <w:szCs w:val="40"/>
      <w:lang w:eastAsia="ja-JP"/>
    </w:rPr>
  </w:style>
  <w:style w:type="paragraph" w:customStyle="1" w:styleId="ScheduleNumberedPara">
    <w:name w:val="ScheduleNumberedPara"/>
    <w:basedOn w:val="Normal"/>
    <w:link w:val="ScheduleNumberedParaChar"/>
    <w:rsid w:val="003831D0"/>
    <w:pPr>
      <w:widowControl/>
      <w:numPr>
        <w:ilvl w:val="1"/>
        <w:numId w:val="2"/>
      </w:numPr>
      <w:tabs>
        <w:tab w:val="num" w:pos="2268"/>
      </w:tabs>
      <w:spacing w:after="240" w:line="260" w:lineRule="exact"/>
      <w:jc w:val="both"/>
    </w:pPr>
    <w:rPr>
      <w:rFonts w:ascii="Corbel" w:eastAsia="Times New Roman" w:hAnsi="Corbel" w:cs="Times New Roman"/>
      <w:color w:val="000000"/>
      <w:sz w:val="23"/>
      <w:szCs w:val="20"/>
      <w:lang w:val="en-AU" w:eastAsia="en-AU"/>
    </w:rPr>
  </w:style>
  <w:style w:type="character" w:customStyle="1" w:styleId="ScheduleNumberedParaChar">
    <w:name w:val="ScheduleNumberedPara Char"/>
    <w:link w:val="ScheduleNumberedPara"/>
    <w:locked/>
    <w:rsid w:val="003831D0"/>
    <w:rPr>
      <w:rFonts w:ascii="Corbel" w:eastAsia="Times New Roman" w:hAnsi="Corbel" w:cs="Times New Roman"/>
      <w:color w:val="000000"/>
      <w:sz w:val="23"/>
      <w:szCs w:val="20"/>
      <w:lang w:eastAsia="en-AU"/>
    </w:rPr>
  </w:style>
  <w:style w:type="paragraph" w:customStyle="1" w:styleId="Paragraphnumbering">
    <w:name w:val="Paragraph numbering"/>
    <w:basedOn w:val="Normal"/>
    <w:link w:val="ParagraphnumberingChar"/>
    <w:qFormat/>
    <w:rsid w:val="003831D0"/>
    <w:pPr>
      <w:widowControl/>
      <w:numPr>
        <w:numId w:val="1"/>
      </w:numPr>
      <w:spacing w:after="240" w:line="260" w:lineRule="exact"/>
      <w:jc w:val="both"/>
    </w:pPr>
    <w:rPr>
      <w:rFonts w:ascii="Corbel" w:eastAsia="Times New Roman" w:hAnsi="Corbel" w:cs="Times New Roman"/>
      <w:color w:val="000000"/>
      <w:sz w:val="23"/>
      <w:szCs w:val="20"/>
      <w:lang w:val="en-AU" w:eastAsia="en-AU"/>
    </w:rPr>
  </w:style>
  <w:style w:type="character" w:customStyle="1" w:styleId="ParagraphnumberingChar">
    <w:name w:val="Paragraph numbering Char"/>
    <w:basedOn w:val="DefaultParagraphFont"/>
    <w:link w:val="Paragraphnumbering"/>
    <w:rsid w:val="003831D0"/>
    <w:rPr>
      <w:rFonts w:ascii="Corbel" w:eastAsia="Times New Roman" w:hAnsi="Corbel" w:cs="Times New Roman"/>
      <w:color w:val="000000"/>
      <w:sz w:val="23"/>
      <w:szCs w:val="20"/>
      <w:lang w:eastAsia="en-AU"/>
    </w:rPr>
  </w:style>
  <w:style w:type="paragraph" w:customStyle="1" w:styleId="Tableformat">
    <w:name w:val="Table format"/>
    <w:basedOn w:val="Heading2"/>
    <w:link w:val="TableformatChar"/>
    <w:qFormat/>
    <w:rsid w:val="003831D0"/>
    <w:pPr>
      <w:keepNext w:val="0"/>
      <w:keepLines w:val="0"/>
      <w:widowControl/>
      <w:spacing w:before="80" w:after="80"/>
    </w:pPr>
    <w:rPr>
      <w:rFonts w:ascii="Corbel" w:eastAsia="Times New Roman" w:hAnsi="Corbel" w:cs="Arial"/>
      <w:iCs/>
      <w:lang w:eastAsia="en-AU"/>
    </w:rPr>
  </w:style>
  <w:style w:type="character" w:customStyle="1" w:styleId="TableformatChar">
    <w:name w:val="Table format Char"/>
    <w:basedOn w:val="Heading2Char"/>
    <w:link w:val="Tableformat"/>
    <w:rsid w:val="003831D0"/>
    <w:rPr>
      <w:rFonts w:ascii="Corbel" w:eastAsia="Times New Roman" w:hAnsi="Corbel" w:cs="Arial"/>
      <w:iCs/>
      <w:color w:val="2E74B5" w:themeColor="accent1" w:themeShade="BF"/>
      <w:sz w:val="26"/>
      <w:szCs w:val="26"/>
      <w:lang w:val="en-US" w:eastAsia="en-AU"/>
    </w:rPr>
  </w:style>
  <w:style w:type="paragraph" w:customStyle="1" w:styleId="Milestonetable">
    <w:name w:val="Milestone table"/>
    <w:basedOn w:val="Tableformat"/>
    <w:link w:val="MilestonetableChar"/>
    <w:qFormat/>
    <w:rsid w:val="003831D0"/>
    <w:pPr>
      <w:spacing w:before="60" w:after="60"/>
    </w:pPr>
    <w:rPr>
      <w:sz w:val="20"/>
      <w:szCs w:val="20"/>
    </w:rPr>
  </w:style>
  <w:style w:type="character" w:customStyle="1" w:styleId="MilestonetableChar">
    <w:name w:val="Milestone table Char"/>
    <w:basedOn w:val="TableformatChar"/>
    <w:link w:val="Milestonetable"/>
    <w:rsid w:val="003831D0"/>
    <w:rPr>
      <w:rFonts w:ascii="Corbel" w:eastAsia="Times New Roman" w:hAnsi="Corbel" w:cs="Arial"/>
      <w:iCs/>
      <w:color w:val="2E74B5" w:themeColor="accent1" w:themeShade="BF"/>
      <w:sz w:val="20"/>
      <w:szCs w:val="20"/>
      <w:lang w:val="en-US" w:eastAsia="en-AU"/>
    </w:rPr>
  </w:style>
  <w:style w:type="paragraph" w:styleId="ListParagraph">
    <w:name w:val="List Paragraph"/>
    <w:basedOn w:val="Normal"/>
    <w:uiPriority w:val="1"/>
    <w:qFormat/>
    <w:rsid w:val="003831D0"/>
  </w:style>
  <w:style w:type="paragraph" w:customStyle="1" w:styleId="AlphaParagraph">
    <w:name w:val="Alpha Paragraph"/>
    <w:basedOn w:val="Normal"/>
    <w:link w:val="AlphaParagraphCharChar"/>
    <w:rsid w:val="003831D0"/>
    <w:pPr>
      <w:widowControl/>
      <w:tabs>
        <w:tab w:val="num" w:pos="0"/>
        <w:tab w:val="num" w:pos="567"/>
        <w:tab w:val="num" w:pos="1134"/>
      </w:tabs>
      <w:spacing w:after="240" w:line="260" w:lineRule="exact"/>
      <w:ind w:left="567" w:hanging="567"/>
      <w:jc w:val="both"/>
    </w:pPr>
    <w:rPr>
      <w:rFonts w:ascii="Corbel" w:eastAsia="Times New Roman" w:hAnsi="Corbel" w:cs="Times New Roman"/>
      <w:color w:val="000000"/>
      <w:sz w:val="23"/>
      <w:szCs w:val="20"/>
      <w:lang w:val="en-AU" w:eastAsia="en-AU"/>
    </w:rPr>
  </w:style>
  <w:style w:type="paragraph" w:customStyle="1" w:styleId="Normalnumbered">
    <w:name w:val="Normal numbered"/>
    <w:basedOn w:val="Normal"/>
    <w:link w:val="NormalnumberedChar"/>
    <w:rsid w:val="003831D0"/>
    <w:pPr>
      <w:widowControl/>
      <w:numPr>
        <w:numId w:val="6"/>
      </w:numPr>
      <w:tabs>
        <w:tab w:val="num" w:pos="1418"/>
      </w:tabs>
      <w:spacing w:after="240" w:line="260" w:lineRule="exact"/>
      <w:jc w:val="both"/>
    </w:pPr>
    <w:rPr>
      <w:rFonts w:ascii="Corbel" w:eastAsia="Times New Roman" w:hAnsi="Corbel" w:cs="Times New Roman"/>
      <w:color w:val="000000"/>
      <w:sz w:val="23"/>
      <w:szCs w:val="20"/>
      <w:lang w:val="en-AU" w:eastAsia="en-AU"/>
    </w:rPr>
  </w:style>
  <w:style w:type="character" w:customStyle="1" w:styleId="NormalnumberedChar">
    <w:name w:val="Normal numbered Char"/>
    <w:link w:val="Normalnumbered"/>
    <w:locked/>
    <w:rsid w:val="003831D0"/>
    <w:rPr>
      <w:rFonts w:ascii="Corbel" w:eastAsia="Times New Roman" w:hAnsi="Corbel" w:cs="Times New Roman"/>
      <w:color w:val="000000"/>
      <w:sz w:val="23"/>
      <w:szCs w:val="20"/>
      <w:lang w:eastAsia="en-AU"/>
    </w:rPr>
  </w:style>
  <w:style w:type="character" w:customStyle="1" w:styleId="AlphaParagraphCharChar">
    <w:name w:val="Alpha Paragraph Char Char"/>
    <w:link w:val="AlphaParagraph"/>
    <w:locked/>
    <w:rsid w:val="003831D0"/>
    <w:rPr>
      <w:rFonts w:ascii="Corbel" w:eastAsia="Times New Roman" w:hAnsi="Corbel" w:cs="Times New Roman"/>
      <w:color w:val="000000"/>
      <w:sz w:val="23"/>
      <w:szCs w:val="20"/>
      <w:lang w:eastAsia="en-AU"/>
    </w:rPr>
  </w:style>
  <w:style w:type="paragraph" w:customStyle="1" w:styleId="ChartandTableFootnoteAlpha">
    <w:name w:val="Chart and Table Footnote Alpha"/>
    <w:rsid w:val="003831D0"/>
    <w:pPr>
      <w:numPr>
        <w:numId w:val="18"/>
      </w:numPr>
      <w:spacing w:after="0" w:line="240" w:lineRule="auto"/>
      <w:jc w:val="both"/>
    </w:pPr>
    <w:rPr>
      <w:rFonts w:ascii="Arial" w:eastAsia="Times New Roman" w:hAnsi="Arial" w:cs="Times New Roman"/>
      <w:color w:val="000000"/>
      <w:sz w:val="16"/>
      <w:szCs w:val="16"/>
      <w:lang w:eastAsia="en-AU"/>
    </w:rPr>
  </w:style>
  <w:style w:type="paragraph" w:styleId="FootnoteText">
    <w:name w:val="footnote text"/>
    <w:basedOn w:val="Normal"/>
    <w:link w:val="FootnoteTextChar"/>
    <w:uiPriority w:val="99"/>
    <w:semiHidden/>
    <w:unhideWhenUsed/>
    <w:rsid w:val="003831D0"/>
    <w:rPr>
      <w:sz w:val="20"/>
      <w:szCs w:val="20"/>
    </w:rPr>
  </w:style>
  <w:style w:type="character" w:customStyle="1" w:styleId="FootnoteTextChar">
    <w:name w:val="Footnote Text Char"/>
    <w:basedOn w:val="DefaultParagraphFont"/>
    <w:link w:val="FootnoteText"/>
    <w:uiPriority w:val="99"/>
    <w:semiHidden/>
    <w:rsid w:val="003831D0"/>
    <w:rPr>
      <w:sz w:val="20"/>
      <w:szCs w:val="20"/>
      <w:lang w:val="en-US"/>
    </w:rPr>
  </w:style>
  <w:style w:type="character" w:styleId="FootnoteReference">
    <w:name w:val="footnote reference"/>
    <w:basedOn w:val="DefaultParagraphFont"/>
    <w:uiPriority w:val="99"/>
    <w:semiHidden/>
    <w:unhideWhenUsed/>
    <w:rsid w:val="003831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2</Value>
    </TaxCatchAll>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2020FG-64-86429</_dlc_DocId>
    <_dlc_DocIdUrl xmlns="0f563589-9cf9-4143-b1eb-fb0534803d38">
      <Url>http://tweb/sites/fg/csrd/_layouts/15/DocIdRedir.aspx?ID=2020FG-64-86429</Url>
      <Description>2020FG-64-86429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5338" ma:contentTypeDescription=" " ma:contentTypeScope="" ma:versionID="b3505bcc6dcea6f7ec62401924db05ca">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33018576-0051-4ACF-B78B-6D397CAE3A31}">
  <ds:schemaRefs>
    <ds:schemaRef ds:uri="http://schemas.microsoft.com/sharepoint/v3/contenttype/forms"/>
  </ds:schemaRefs>
</ds:datastoreItem>
</file>

<file path=customXml/itemProps2.xml><?xml version="1.0" encoding="utf-8"?>
<ds:datastoreItem xmlns:ds="http://schemas.openxmlformats.org/officeDocument/2006/customXml" ds:itemID="{DFBB8431-F20B-45F7-8D77-80040938247F}">
  <ds:schemaRef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e544e5cc-ab70-42e1-849e-1a0f8bb1f4ef"/>
    <ds:schemaRef ds:uri="0f563589-9cf9-4143-b1eb-fb0534803d38"/>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E759BB5-40EC-408E-B5E6-529F927C7D5E}"/>
</file>

<file path=customXml/itemProps4.xml><?xml version="1.0" encoding="utf-8"?>
<ds:datastoreItem xmlns:ds="http://schemas.openxmlformats.org/officeDocument/2006/customXml" ds:itemID="{4128E8E4-25F9-49B8-BEA8-79F4AFCC529D}">
  <ds:schemaRefs>
    <ds:schemaRef ds:uri="Microsoft.SharePoint.Taxonomy.ContentTypeSync"/>
  </ds:schemaRefs>
</ds:datastoreItem>
</file>

<file path=customXml/itemProps5.xml><?xml version="1.0" encoding="utf-8"?>
<ds:datastoreItem xmlns:ds="http://schemas.openxmlformats.org/officeDocument/2006/customXml" ds:itemID="{DEF30A68-3ED8-44C4-A6E6-16F2B90D49DF}">
  <ds:schemaRefs>
    <ds:schemaRef ds:uri="http://schemas.microsoft.com/sharepoint/events"/>
  </ds:schemaRefs>
</ds:datastoreItem>
</file>

<file path=customXml/itemProps6.xml><?xml version="1.0" encoding="utf-8"?>
<ds:datastoreItem xmlns:ds="http://schemas.openxmlformats.org/officeDocument/2006/customXml" ds:itemID="{E85F0821-57E8-4061-A21E-0B988693E4FB}">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Kim</dc:creator>
  <cp:keywords/>
  <dc:description/>
  <cp:lastModifiedBy>Nieuwenhuize, Holly</cp:lastModifiedBy>
  <cp:revision>2</cp:revision>
  <dcterms:created xsi:type="dcterms:W3CDTF">2020-09-01T00:10:00Z</dcterms:created>
  <dcterms:modified xsi:type="dcterms:W3CDTF">2020-09-01T00:10:00Z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HPRMSecurityCaveat">
    <vt:lpwstr/>
  </property>
  <property fmtid="{D5CDD505-2E9C-101B-9397-08002B2CF9AE}" pid="4" name="ESearchTags">
    <vt:lpwstr/>
  </property>
  <property fmtid="{D5CDD505-2E9C-101B-9397-08002B2CF9AE}" pid="5" name="HPRMSecurityLevel">
    <vt:lpwstr>32;#OFFICIAL|11463c70-78df-4e3b-b0ff-f66cd3cb26ec</vt:lpwstr>
  </property>
  <property fmtid="{D5CDD505-2E9C-101B-9397-08002B2CF9AE}" pid="6" name="TSYRecordClass">
    <vt:lpwstr>2;#TSY RA-8748 - Retain as national archives|243f2231-dbfc-4282-b24a-c9b768286bd0</vt:lpwstr>
  </property>
  <property fmtid="{D5CDD505-2E9C-101B-9397-08002B2CF9AE}" pid="7" name="_dlc_DocIdItemGuid">
    <vt:lpwstr>b22811f2-0093-4808-b370-ec5d9560ca69</vt:lpwstr>
  </property>
  <property fmtid="{D5CDD505-2E9C-101B-9397-08002B2CF9AE}" pid="8" name="RecordPoint_WorkflowType">
    <vt:lpwstr>ActiveSubmitStub</vt:lpwstr>
  </property>
  <property fmtid="{D5CDD505-2E9C-101B-9397-08002B2CF9AE}" pid="9" name="RecordPoint_ActiveItemSiteId">
    <vt:lpwstr>{a3a280d1-e8f1-4ce7-94f0-aaa2322da0dd}</vt:lpwstr>
  </property>
  <property fmtid="{D5CDD505-2E9C-101B-9397-08002B2CF9AE}" pid="10" name="RecordPoint_ActiveItemListId">
    <vt:lpwstr>{4435c73b-6585-4bc2-a76a-5d21b1a02e06}</vt:lpwstr>
  </property>
  <property fmtid="{D5CDD505-2E9C-101B-9397-08002B2CF9AE}" pid="11" name="RecordPoint_ActiveItemUniqueId">
    <vt:lpwstr>{b22811f2-0093-4808-b370-ec5d9560ca69}</vt:lpwstr>
  </property>
  <property fmtid="{D5CDD505-2E9C-101B-9397-08002B2CF9AE}" pid="12" name="RecordPoint_ActiveItemWebId">
    <vt:lpwstr>{a4589788-615f-4b8b-8296-7f9f6dfbab44}</vt:lpwstr>
  </property>
  <property fmtid="{D5CDD505-2E9C-101B-9397-08002B2CF9AE}" pid="13" name="RecordPoint_RecordNumberSubmitted">
    <vt:lpwstr>R0002301776</vt:lpwstr>
  </property>
  <property fmtid="{D5CDD505-2E9C-101B-9397-08002B2CF9AE}" pid="14" name="RecordPoint_SubmissionCompleted">
    <vt:lpwstr>2020-10-29T10:56:42.4691045+11:00</vt:lpwstr>
  </property>
</Properties>
</file>