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D2965" w14:textId="77777777" w:rsidR="00FE1364" w:rsidRDefault="00FE1364" w:rsidP="00FE1364">
      <w:pPr>
        <w:spacing w:before="14"/>
        <w:ind w:left="112"/>
        <w:jc w:val="right"/>
        <w:rPr>
          <w:rFonts w:ascii="Corbel"/>
          <w:color w:val="622322"/>
          <w:sz w:val="32"/>
        </w:rPr>
      </w:pPr>
      <w:bookmarkStart w:id="0" w:name="_GoBack"/>
      <w:bookmarkEnd w:id="0"/>
      <w:r>
        <w:rPr>
          <w:rFonts w:ascii="Corbel"/>
          <w:color w:val="622322"/>
          <w:spacing w:val="-1"/>
          <w:sz w:val="32"/>
        </w:rPr>
        <w:t>Schedule</w:t>
      </w:r>
      <w:r>
        <w:rPr>
          <w:rFonts w:ascii="Corbel"/>
          <w:color w:val="622322"/>
          <w:spacing w:val="-25"/>
          <w:sz w:val="32"/>
        </w:rPr>
        <w:t xml:space="preserve"> </w:t>
      </w:r>
      <w:r>
        <w:rPr>
          <w:rFonts w:ascii="Corbel"/>
          <w:color w:val="622322"/>
          <w:sz w:val="32"/>
        </w:rPr>
        <w:t xml:space="preserve">Health </w:t>
      </w:r>
      <w:r>
        <w:rPr>
          <w:rFonts w:ascii="Corbel"/>
          <w:color w:val="622322"/>
          <w:sz w:val="32"/>
        </w:rPr>
        <w:t>–</w:t>
      </w:r>
      <w:r>
        <w:rPr>
          <w:rFonts w:ascii="Corbel"/>
          <w:color w:val="622322"/>
          <w:sz w:val="32"/>
        </w:rPr>
        <w:t xml:space="preserve"> A</w:t>
      </w:r>
    </w:p>
    <w:p w14:paraId="4C39C282" w14:textId="77777777" w:rsidR="00FE1364" w:rsidRDefault="00FE1364" w:rsidP="00FE1364">
      <w:pPr>
        <w:pStyle w:val="Title"/>
      </w:pPr>
    </w:p>
    <w:p w14:paraId="5EE7E59E" w14:textId="77777777" w:rsidR="00FE1364" w:rsidRPr="001E20F4" w:rsidRDefault="00FE1364" w:rsidP="00FE1364">
      <w:pPr>
        <w:pStyle w:val="Title"/>
      </w:pPr>
      <w:r>
        <w:t>Encouraging More Clinical Trials in Australia</w:t>
      </w:r>
    </w:p>
    <w:p w14:paraId="0160C9ED" w14:textId="77777777" w:rsidR="00FE1364" w:rsidRPr="00BE249A" w:rsidRDefault="00FE1364" w:rsidP="00FE1364">
      <w:pPr>
        <w:pStyle w:val="Subtitle"/>
      </w:pPr>
      <w:r>
        <w:t>National Partnership for streamlined agreements</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50"/>
        <w:gridCol w:w="8079"/>
      </w:tblGrid>
      <w:tr w:rsidR="00FE1364" w:rsidRPr="00953EC6" w14:paraId="2236DBF8" w14:textId="77777777" w:rsidTr="00334D6C">
        <w:tc>
          <w:tcPr>
            <w:tcW w:w="9629" w:type="dxa"/>
            <w:gridSpan w:val="2"/>
            <w:shd w:val="clear" w:color="auto" w:fill="DEEAF6" w:themeFill="accent1" w:themeFillTint="33"/>
          </w:tcPr>
          <w:p w14:paraId="792F2F4F" w14:textId="77777777" w:rsidR="00FE1364" w:rsidRPr="00953EC6" w:rsidRDefault="00FE1364" w:rsidP="00334D6C">
            <w:pPr>
              <w:pStyle w:val="Tableformat"/>
              <w:rPr>
                <w:b/>
                <w:color w:val="auto"/>
                <w:sz w:val="22"/>
                <w:szCs w:val="22"/>
              </w:rPr>
            </w:pPr>
            <w:r w:rsidRPr="00953EC6">
              <w:rPr>
                <w:b/>
                <w:color w:val="auto"/>
                <w:sz w:val="22"/>
                <w:szCs w:val="22"/>
              </w:rPr>
              <w:t>Formalities and operation of schedule</w:t>
            </w:r>
          </w:p>
        </w:tc>
      </w:tr>
      <w:tr w:rsidR="00FE1364" w:rsidRPr="00953EC6" w14:paraId="05E1A5AE" w14:textId="77777777" w:rsidTr="00334D6C">
        <w:trPr>
          <w:trHeight w:val="3380"/>
        </w:trPr>
        <w:tc>
          <w:tcPr>
            <w:tcW w:w="1550" w:type="dxa"/>
            <w:shd w:val="clear" w:color="auto" w:fill="auto"/>
          </w:tcPr>
          <w:p w14:paraId="2DA17842" w14:textId="77777777" w:rsidR="00FE1364" w:rsidRPr="00953EC6" w:rsidRDefault="00FE1364" w:rsidP="00334D6C">
            <w:pPr>
              <w:pStyle w:val="Tableformat"/>
              <w:rPr>
                <w:color w:val="auto"/>
                <w:sz w:val="22"/>
                <w:szCs w:val="22"/>
              </w:rPr>
            </w:pPr>
            <w:r w:rsidRPr="00953EC6">
              <w:rPr>
                <w:color w:val="auto"/>
                <w:sz w:val="22"/>
                <w:szCs w:val="22"/>
              </w:rPr>
              <w:t>Parties</w:t>
            </w:r>
          </w:p>
        </w:tc>
        <w:tc>
          <w:tcPr>
            <w:tcW w:w="8079" w:type="dxa"/>
            <w:shd w:val="clear" w:color="auto" w:fill="auto"/>
          </w:tcPr>
          <w:p w14:paraId="268F5A8A" w14:textId="77777777" w:rsidR="00FE1364" w:rsidRPr="00953EC6" w:rsidRDefault="00FE1364" w:rsidP="00334D6C">
            <w:pPr>
              <w:pStyle w:val="Tableformat"/>
              <w:rPr>
                <w:color w:val="auto"/>
                <w:sz w:val="22"/>
                <w:szCs w:val="22"/>
              </w:rPr>
            </w:pPr>
            <w:r w:rsidRPr="00953EC6">
              <w:rPr>
                <w:color w:val="auto"/>
                <w:sz w:val="22"/>
                <w:szCs w:val="22"/>
              </w:rPr>
              <w:t>Commonwealth</w:t>
            </w:r>
          </w:p>
          <w:p w14:paraId="64911C73" w14:textId="77777777" w:rsidR="00FE1364" w:rsidRPr="00953EC6" w:rsidRDefault="00FE1364" w:rsidP="00334D6C">
            <w:pPr>
              <w:pStyle w:val="Tableformat"/>
              <w:rPr>
                <w:color w:val="auto"/>
                <w:sz w:val="22"/>
                <w:szCs w:val="22"/>
              </w:rPr>
            </w:pPr>
            <w:r w:rsidRPr="00953EC6">
              <w:rPr>
                <w:color w:val="auto"/>
                <w:sz w:val="22"/>
                <w:szCs w:val="22"/>
              </w:rPr>
              <w:t>New South Wales</w:t>
            </w:r>
          </w:p>
          <w:p w14:paraId="2DFD4A16" w14:textId="77777777" w:rsidR="00FE1364" w:rsidRPr="00953EC6" w:rsidRDefault="00FE1364" w:rsidP="00334D6C">
            <w:pPr>
              <w:pStyle w:val="Tableformat"/>
              <w:rPr>
                <w:color w:val="auto"/>
                <w:sz w:val="22"/>
                <w:szCs w:val="22"/>
              </w:rPr>
            </w:pPr>
            <w:r w:rsidRPr="00953EC6">
              <w:rPr>
                <w:color w:val="auto"/>
                <w:sz w:val="22"/>
                <w:szCs w:val="22"/>
              </w:rPr>
              <w:t>Victoria</w:t>
            </w:r>
          </w:p>
          <w:p w14:paraId="690FED74" w14:textId="77777777" w:rsidR="00FE1364" w:rsidRPr="00953EC6" w:rsidRDefault="00FE1364" w:rsidP="00334D6C">
            <w:pPr>
              <w:pStyle w:val="Tableformat"/>
              <w:rPr>
                <w:color w:val="auto"/>
                <w:sz w:val="22"/>
                <w:szCs w:val="22"/>
              </w:rPr>
            </w:pPr>
            <w:r w:rsidRPr="00953EC6">
              <w:rPr>
                <w:color w:val="auto"/>
                <w:sz w:val="22"/>
                <w:szCs w:val="22"/>
              </w:rPr>
              <w:t>Queensland</w:t>
            </w:r>
          </w:p>
          <w:p w14:paraId="23157593" w14:textId="77777777" w:rsidR="00FE1364" w:rsidRPr="00953EC6" w:rsidRDefault="00FE1364" w:rsidP="00334D6C">
            <w:pPr>
              <w:pStyle w:val="Tableformat"/>
              <w:rPr>
                <w:color w:val="auto"/>
                <w:sz w:val="22"/>
                <w:szCs w:val="22"/>
              </w:rPr>
            </w:pPr>
            <w:r w:rsidRPr="00953EC6">
              <w:rPr>
                <w:color w:val="auto"/>
                <w:sz w:val="22"/>
                <w:szCs w:val="22"/>
              </w:rPr>
              <w:t>Western Australia</w:t>
            </w:r>
          </w:p>
          <w:p w14:paraId="094C5A9A" w14:textId="77777777" w:rsidR="00FE1364" w:rsidRPr="00953EC6" w:rsidRDefault="00FE1364" w:rsidP="00334D6C">
            <w:pPr>
              <w:pStyle w:val="Tableformat"/>
              <w:rPr>
                <w:color w:val="auto"/>
                <w:sz w:val="22"/>
                <w:szCs w:val="22"/>
              </w:rPr>
            </w:pPr>
            <w:r w:rsidRPr="00953EC6">
              <w:rPr>
                <w:color w:val="auto"/>
                <w:sz w:val="22"/>
                <w:szCs w:val="22"/>
              </w:rPr>
              <w:t>South Australia</w:t>
            </w:r>
          </w:p>
          <w:p w14:paraId="513C8363" w14:textId="77777777" w:rsidR="00FE1364" w:rsidRPr="00953EC6" w:rsidRDefault="00FE1364" w:rsidP="00334D6C">
            <w:pPr>
              <w:pStyle w:val="Tableformat"/>
              <w:rPr>
                <w:color w:val="auto"/>
                <w:sz w:val="22"/>
                <w:szCs w:val="22"/>
              </w:rPr>
            </w:pPr>
            <w:r w:rsidRPr="00953EC6">
              <w:rPr>
                <w:color w:val="auto"/>
                <w:sz w:val="22"/>
                <w:szCs w:val="22"/>
              </w:rPr>
              <w:t>Tasmania</w:t>
            </w:r>
          </w:p>
          <w:p w14:paraId="198944B5" w14:textId="77777777" w:rsidR="00FE1364" w:rsidRPr="00953EC6" w:rsidRDefault="00FE1364" w:rsidP="00334D6C">
            <w:pPr>
              <w:pStyle w:val="Tableformat"/>
              <w:rPr>
                <w:color w:val="auto"/>
                <w:sz w:val="22"/>
                <w:szCs w:val="22"/>
              </w:rPr>
            </w:pPr>
            <w:r w:rsidRPr="00953EC6">
              <w:rPr>
                <w:color w:val="auto"/>
                <w:sz w:val="22"/>
                <w:szCs w:val="22"/>
              </w:rPr>
              <w:t>Australian Capital Territory</w:t>
            </w:r>
          </w:p>
          <w:p w14:paraId="421DA221" w14:textId="77777777" w:rsidR="00FE1364" w:rsidRPr="00953EC6" w:rsidRDefault="00FE1364" w:rsidP="00334D6C">
            <w:pPr>
              <w:pStyle w:val="Tableformat"/>
              <w:rPr>
                <w:color w:val="auto"/>
                <w:sz w:val="22"/>
                <w:szCs w:val="22"/>
              </w:rPr>
            </w:pPr>
            <w:r w:rsidRPr="00953EC6">
              <w:rPr>
                <w:color w:val="auto"/>
                <w:sz w:val="22"/>
                <w:szCs w:val="22"/>
              </w:rPr>
              <w:t>Northern Territory</w:t>
            </w:r>
          </w:p>
        </w:tc>
      </w:tr>
      <w:tr w:rsidR="00FE1364" w:rsidRPr="00953EC6" w14:paraId="54467856" w14:textId="77777777" w:rsidTr="00334D6C">
        <w:tc>
          <w:tcPr>
            <w:tcW w:w="1550" w:type="dxa"/>
            <w:shd w:val="clear" w:color="auto" w:fill="auto"/>
          </w:tcPr>
          <w:p w14:paraId="3C9DC7F2" w14:textId="77777777" w:rsidR="00FE1364" w:rsidRPr="00953EC6" w:rsidRDefault="00FE1364" w:rsidP="00334D6C">
            <w:pPr>
              <w:pStyle w:val="Tableformat"/>
              <w:rPr>
                <w:color w:val="auto"/>
                <w:sz w:val="22"/>
                <w:szCs w:val="22"/>
              </w:rPr>
            </w:pPr>
            <w:r w:rsidRPr="00953EC6">
              <w:rPr>
                <w:color w:val="auto"/>
                <w:sz w:val="22"/>
                <w:szCs w:val="22"/>
              </w:rPr>
              <w:t>Effect on other agreements</w:t>
            </w:r>
          </w:p>
        </w:tc>
        <w:tc>
          <w:tcPr>
            <w:tcW w:w="8079" w:type="dxa"/>
            <w:shd w:val="clear" w:color="auto" w:fill="auto"/>
          </w:tcPr>
          <w:p w14:paraId="0C0C708D" w14:textId="77777777" w:rsidR="00FE1364" w:rsidRPr="00953EC6" w:rsidRDefault="00FE1364" w:rsidP="00334D6C">
            <w:pPr>
              <w:pStyle w:val="Tableformat"/>
              <w:rPr>
                <w:color w:val="auto"/>
                <w:sz w:val="22"/>
                <w:szCs w:val="22"/>
              </w:rPr>
            </w:pPr>
            <w:r w:rsidRPr="00953EC6">
              <w:rPr>
                <w:color w:val="auto"/>
                <w:sz w:val="22"/>
                <w:szCs w:val="22"/>
              </w:rPr>
              <w:t>The Project Agreement on Encouraging More Clinical Trials in Australia that commenced on 13 March 2018 is replaced by this Agreement and Schedule. This Schedule is expected to expire on 20 June 2021.</w:t>
            </w:r>
          </w:p>
        </w:tc>
      </w:tr>
      <w:tr w:rsidR="00FE1364" w:rsidRPr="00953EC6" w14:paraId="2D5E28FB" w14:textId="77777777" w:rsidTr="00334D6C">
        <w:tc>
          <w:tcPr>
            <w:tcW w:w="1550" w:type="dxa"/>
            <w:shd w:val="clear" w:color="auto" w:fill="auto"/>
          </w:tcPr>
          <w:p w14:paraId="2E834E0A" w14:textId="77777777" w:rsidR="00FE1364" w:rsidRPr="00953EC6" w:rsidRDefault="00FE1364" w:rsidP="00334D6C">
            <w:pPr>
              <w:pStyle w:val="Tableformat"/>
              <w:rPr>
                <w:color w:val="auto"/>
                <w:sz w:val="22"/>
                <w:szCs w:val="22"/>
              </w:rPr>
            </w:pPr>
            <w:r w:rsidRPr="00953EC6">
              <w:rPr>
                <w:color w:val="auto"/>
                <w:sz w:val="22"/>
                <w:szCs w:val="22"/>
              </w:rPr>
              <w:t>Purpose</w:t>
            </w:r>
          </w:p>
        </w:tc>
        <w:tc>
          <w:tcPr>
            <w:tcW w:w="8079" w:type="dxa"/>
            <w:shd w:val="clear" w:color="auto" w:fill="auto"/>
          </w:tcPr>
          <w:p w14:paraId="7E55A474" w14:textId="77777777" w:rsidR="00FE1364" w:rsidRPr="00953EC6" w:rsidRDefault="00FE1364" w:rsidP="00334D6C">
            <w:pPr>
              <w:pStyle w:val="Tableformat"/>
              <w:rPr>
                <w:color w:val="auto"/>
                <w:sz w:val="22"/>
                <w:szCs w:val="22"/>
              </w:rPr>
            </w:pPr>
            <w:r w:rsidRPr="00953EC6">
              <w:rPr>
                <w:color w:val="auto"/>
                <w:sz w:val="22"/>
                <w:szCs w:val="22"/>
              </w:rPr>
              <w:t>This Schedule will encourage more clinical trials in Australia by supporting:</w:t>
            </w:r>
          </w:p>
          <w:p w14:paraId="3692F9A4" w14:textId="77777777" w:rsidR="00FE1364" w:rsidRPr="00953EC6" w:rsidRDefault="00FE1364" w:rsidP="00334D6C">
            <w:pPr>
              <w:pStyle w:val="Tableformat"/>
              <w:numPr>
                <w:ilvl w:val="0"/>
                <w:numId w:val="7"/>
              </w:numPr>
              <w:rPr>
                <w:color w:val="auto"/>
                <w:sz w:val="22"/>
                <w:szCs w:val="22"/>
              </w:rPr>
            </w:pPr>
            <w:r w:rsidRPr="00953EC6">
              <w:rPr>
                <w:color w:val="auto"/>
                <w:sz w:val="22"/>
                <w:szCs w:val="22"/>
              </w:rPr>
              <w:t>the redesign of clinical trials systems, with a focus on the establishment of central coordination units to better organise clinical trials sites, streamline clinical trials processes and make it easier to conduct and participate in safe, high quality clinical trials; and new networks and partnerships;</w:t>
            </w:r>
          </w:p>
          <w:p w14:paraId="3F7FDA07" w14:textId="77777777" w:rsidR="00FE1364" w:rsidRPr="00953EC6" w:rsidRDefault="00FE1364" w:rsidP="00334D6C">
            <w:pPr>
              <w:pStyle w:val="Tableformat"/>
              <w:numPr>
                <w:ilvl w:val="0"/>
                <w:numId w:val="7"/>
              </w:numPr>
              <w:rPr>
                <w:color w:val="auto"/>
                <w:sz w:val="22"/>
                <w:szCs w:val="22"/>
              </w:rPr>
            </w:pPr>
            <w:r w:rsidRPr="00953EC6">
              <w:rPr>
                <w:color w:val="auto"/>
                <w:sz w:val="22"/>
                <w:szCs w:val="22"/>
              </w:rPr>
              <w:t xml:space="preserve"> new and enhanced clinical trial data collection and reporting;</w:t>
            </w:r>
          </w:p>
          <w:p w14:paraId="26DC0307" w14:textId="77777777" w:rsidR="00FE1364" w:rsidRPr="00953EC6" w:rsidRDefault="00FE1364" w:rsidP="00334D6C">
            <w:pPr>
              <w:pStyle w:val="Tableformat"/>
              <w:numPr>
                <w:ilvl w:val="0"/>
                <w:numId w:val="7"/>
              </w:numPr>
              <w:rPr>
                <w:color w:val="auto"/>
                <w:sz w:val="22"/>
                <w:szCs w:val="22"/>
              </w:rPr>
            </w:pPr>
            <w:r w:rsidRPr="00953EC6">
              <w:rPr>
                <w:color w:val="auto"/>
                <w:sz w:val="22"/>
                <w:szCs w:val="22"/>
              </w:rPr>
              <w:t xml:space="preserve">improvements to core hospital governance arrangements; and </w:t>
            </w:r>
          </w:p>
          <w:p w14:paraId="616CFE21" w14:textId="77777777" w:rsidR="00FE1364" w:rsidRPr="00953EC6" w:rsidRDefault="00FE1364" w:rsidP="00334D6C">
            <w:pPr>
              <w:pStyle w:val="Tableformat"/>
              <w:numPr>
                <w:ilvl w:val="0"/>
                <w:numId w:val="7"/>
              </w:numPr>
              <w:rPr>
                <w:color w:val="auto"/>
                <w:sz w:val="22"/>
                <w:szCs w:val="22"/>
              </w:rPr>
            </w:pPr>
            <w:r w:rsidRPr="00953EC6">
              <w:rPr>
                <w:color w:val="auto"/>
                <w:sz w:val="22"/>
                <w:szCs w:val="22"/>
              </w:rPr>
              <w:t>a consistent and cohesive national approach to the conduct of clinical trials in accordance with the Principles and agreed Priority Action Areas and the Revitalised Clinical Trials Agenda as endorsed by the Council of Australian Governments Health Council in March 2017.</w:t>
            </w:r>
          </w:p>
        </w:tc>
      </w:tr>
      <w:tr w:rsidR="00FE1364" w:rsidRPr="00953EC6" w14:paraId="53CA0365" w14:textId="77777777" w:rsidTr="00334D6C">
        <w:tc>
          <w:tcPr>
            <w:tcW w:w="1550" w:type="dxa"/>
            <w:shd w:val="clear" w:color="auto" w:fill="auto"/>
          </w:tcPr>
          <w:p w14:paraId="1056FBBB" w14:textId="77777777" w:rsidR="00FE1364" w:rsidRPr="00953EC6" w:rsidRDefault="00FE1364" w:rsidP="00334D6C">
            <w:pPr>
              <w:pStyle w:val="Tableformat"/>
              <w:rPr>
                <w:color w:val="auto"/>
                <w:sz w:val="22"/>
                <w:szCs w:val="22"/>
              </w:rPr>
            </w:pPr>
            <w:r w:rsidRPr="00953EC6">
              <w:rPr>
                <w:color w:val="auto"/>
                <w:sz w:val="22"/>
                <w:szCs w:val="22"/>
              </w:rPr>
              <w:lastRenderedPageBreak/>
              <w:t>Estimated financial contributions</w:t>
            </w:r>
          </w:p>
        </w:tc>
        <w:tc>
          <w:tcPr>
            <w:tcW w:w="8079" w:type="dxa"/>
            <w:shd w:val="clear" w:color="auto" w:fill="auto"/>
          </w:tcPr>
          <w:p w14:paraId="7403E08A" w14:textId="77777777" w:rsidR="00FE1364" w:rsidRPr="00953EC6" w:rsidRDefault="00FE1364" w:rsidP="00334D6C">
            <w:pPr>
              <w:pStyle w:val="Tableformat"/>
              <w:rPr>
                <w:color w:val="auto"/>
                <w:sz w:val="22"/>
                <w:szCs w:val="22"/>
              </w:rPr>
            </w:pPr>
            <w:r w:rsidRPr="00953EC6">
              <w:rPr>
                <w:noProof/>
                <w:color w:val="auto"/>
                <w:sz w:val="22"/>
                <w:szCs w:val="22"/>
                <w:lang w:val="en-AU"/>
              </w:rPr>
              <mc:AlternateContent>
                <mc:Choice Requires="wps">
                  <w:drawing>
                    <wp:anchor distT="45720" distB="45720" distL="114300" distR="114300" simplePos="0" relativeHeight="251663360" behindDoc="0" locked="0" layoutInCell="1" allowOverlap="1" wp14:anchorId="33FBAECE" wp14:editId="596DDF2A">
                      <wp:simplePos x="0" y="0"/>
                      <wp:positionH relativeFrom="column">
                        <wp:posOffset>-62230</wp:posOffset>
                      </wp:positionH>
                      <wp:positionV relativeFrom="paragraph">
                        <wp:posOffset>638175</wp:posOffset>
                      </wp:positionV>
                      <wp:extent cx="5133340" cy="379984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3799840"/>
                              </a:xfrm>
                              <a:prstGeom prst="rect">
                                <a:avLst/>
                              </a:prstGeom>
                              <a:solidFill>
                                <a:srgbClr val="FFFFFF"/>
                              </a:solidFill>
                              <a:ln w="9525">
                                <a:noFill/>
                                <a:miter lim="800000"/>
                                <a:headEnd/>
                                <a:tailEnd/>
                              </a:ln>
                            </wps:spPr>
                            <wps:txbx>
                              <w:txbxContent>
                                <w:tbl>
                                  <w:tblPr>
                                    <w:tblW w:w="0" w:type="auto"/>
                                    <w:tblLook w:val="01E0" w:firstRow="1" w:lastRow="1" w:firstColumn="1" w:lastColumn="1" w:noHBand="0" w:noVBand="0"/>
                                  </w:tblPr>
                                  <w:tblGrid>
                                    <w:gridCol w:w="2977"/>
                                    <w:gridCol w:w="1134"/>
                                    <w:gridCol w:w="1134"/>
                                  </w:tblGrid>
                                  <w:tr w:rsidR="00FE1364" w:rsidRPr="00262F37" w14:paraId="45D38F81" w14:textId="77777777" w:rsidTr="00304C81">
                                    <w:trPr>
                                      <w:cantSplit/>
                                    </w:trPr>
                                    <w:tc>
                                      <w:tcPr>
                                        <w:tcW w:w="2977" w:type="dxa"/>
                                        <w:tcBorders>
                                          <w:top w:val="single" w:sz="4" w:space="0" w:color="000080"/>
                                          <w:bottom w:val="single" w:sz="4" w:space="0" w:color="000080"/>
                                        </w:tcBorders>
                                      </w:tcPr>
                                      <w:p w14:paraId="349CCA9C" w14:textId="77777777" w:rsidR="00FE1364" w:rsidRPr="00262F37" w:rsidRDefault="00FE1364" w:rsidP="00304C81">
                                        <w:pPr>
                                          <w:keepNext/>
                                          <w:keepLines/>
                                          <w:spacing w:before="40" w:after="40"/>
                                          <w:ind w:left="-111"/>
                                          <w:rPr>
                                            <w:b/>
                                            <w:szCs w:val="21"/>
                                          </w:rPr>
                                        </w:pPr>
                                        <w:r>
                                          <w:rPr>
                                            <w:b/>
                                            <w:szCs w:val="21"/>
                                          </w:rPr>
                                          <w:t xml:space="preserve">Table 1 </w:t>
                                        </w:r>
                                        <w:r w:rsidRPr="00262F37">
                                          <w:rPr>
                                            <w:b/>
                                            <w:szCs w:val="21"/>
                                          </w:rPr>
                                          <w:t>($</w:t>
                                        </w:r>
                                        <w:r>
                                          <w:rPr>
                                            <w:b/>
                                            <w:szCs w:val="21"/>
                                          </w:rPr>
                                          <w:t xml:space="preserve"> million</w:t>
                                        </w:r>
                                        <w:r w:rsidRPr="00262F37">
                                          <w:rPr>
                                            <w:b/>
                                            <w:szCs w:val="21"/>
                                          </w:rPr>
                                          <w:t>)</w:t>
                                        </w:r>
                                      </w:p>
                                    </w:tc>
                                    <w:tc>
                                      <w:tcPr>
                                        <w:tcW w:w="1134" w:type="dxa"/>
                                        <w:tcBorders>
                                          <w:top w:val="single" w:sz="4" w:space="0" w:color="000080"/>
                                          <w:bottom w:val="single" w:sz="4" w:space="0" w:color="000080"/>
                                        </w:tcBorders>
                                      </w:tcPr>
                                      <w:p w14:paraId="7E158E45" w14:textId="77777777" w:rsidR="00FE1364" w:rsidRPr="00262F37" w:rsidRDefault="00FE1364" w:rsidP="00304C81">
                                        <w:pPr>
                                          <w:keepNext/>
                                          <w:keepLines/>
                                          <w:spacing w:before="40" w:after="40"/>
                                          <w:jc w:val="right"/>
                                          <w:rPr>
                                            <w:b/>
                                            <w:szCs w:val="21"/>
                                          </w:rPr>
                                        </w:pPr>
                                        <w:r w:rsidRPr="00262F37">
                                          <w:rPr>
                                            <w:b/>
                                            <w:szCs w:val="21"/>
                                          </w:rPr>
                                          <w:t>2020-21</w:t>
                                        </w:r>
                                      </w:p>
                                    </w:tc>
                                    <w:tc>
                                      <w:tcPr>
                                        <w:tcW w:w="1134" w:type="dxa"/>
                                        <w:tcBorders>
                                          <w:top w:val="single" w:sz="4" w:space="0" w:color="000080"/>
                                          <w:bottom w:val="single" w:sz="4" w:space="0" w:color="000080"/>
                                        </w:tcBorders>
                                      </w:tcPr>
                                      <w:p w14:paraId="1BFFF7D6" w14:textId="77777777" w:rsidR="00FE1364" w:rsidRPr="00262F37" w:rsidRDefault="00FE1364" w:rsidP="00304C81">
                                        <w:pPr>
                                          <w:keepNext/>
                                          <w:keepLines/>
                                          <w:spacing w:before="40" w:after="40"/>
                                          <w:jc w:val="right"/>
                                          <w:rPr>
                                            <w:b/>
                                            <w:szCs w:val="21"/>
                                          </w:rPr>
                                        </w:pPr>
                                        <w:r w:rsidRPr="00262F37">
                                          <w:rPr>
                                            <w:b/>
                                            <w:szCs w:val="21"/>
                                          </w:rPr>
                                          <w:t>Total</w:t>
                                        </w:r>
                                      </w:p>
                                    </w:tc>
                                  </w:tr>
                                  <w:tr w:rsidR="00FE1364" w:rsidRPr="00262F37" w14:paraId="65C223B1" w14:textId="77777777" w:rsidTr="00304C81">
                                    <w:trPr>
                                      <w:cantSplit/>
                                    </w:trPr>
                                    <w:tc>
                                      <w:tcPr>
                                        <w:tcW w:w="2977" w:type="dxa"/>
                                        <w:tcBorders>
                                          <w:top w:val="single" w:sz="4" w:space="0" w:color="000080"/>
                                        </w:tcBorders>
                                      </w:tcPr>
                                      <w:p w14:paraId="60351BA2" w14:textId="77777777" w:rsidR="00FE1364" w:rsidRPr="00262F37" w:rsidRDefault="00FE1364" w:rsidP="00304C81">
                                        <w:pPr>
                                          <w:keepNext/>
                                          <w:keepLines/>
                                          <w:spacing w:before="60" w:after="60"/>
                                          <w:ind w:left="-111"/>
                                          <w:rPr>
                                            <w:b/>
                                            <w:szCs w:val="21"/>
                                          </w:rPr>
                                        </w:pPr>
                                        <w:r w:rsidRPr="00262F37">
                                          <w:rPr>
                                            <w:b/>
                                            <w:szCs w:val="21"/>
                                          </w:rPr>
                                          <w:t>Estimated total budget</w:t>
                                        </w:r>
                                      </w:p>
                                    </w:tc>
                                    <w:tc>
                                      <w:tcPr>
                                        <w:tcW w:w="1134" w:type="dxa"/>
                                        <w:tcBorders>
                                          <w:top w:val="single" w:sz="4" w:space="0" w:color="000080"/>
                                        </w:tcBorders>
                                      </w:tcPr>
                                      <w:p w14:paraId="7071F289" w14:textId="77777777" w:rsidR="00FE1364" w:rsidRPr="00262F37" w:rsidRDefault="00FE1364" w:rsidP="00336F4A">
                                        <w:pPr>
                                          <w:keepNext/>
                                          <w:keepLines/>
                                          <w:spacing w:before="40" w:after="40"/>
                                          <w:jc w:val="right"/>
                                          <w:rPr>
                                            <w:b/>
                                            <w:szCs w:val="21"/>
                                          </w:rPr>
                                        </w:pPr>
                                        <w:r>
                                          <w:rPr>
                                            <w:b/>
                                            <w:szCs w:val="21"/>
                                          </w:rPr>
                                          <w:t>1.5</w:t>
                                        </w:r>
                                      </w:p>
                                    </w:tc>
                                    <w:tc>
                                      <w:tcPr>
                                        <w:tcW w:w="1134" w:type="dxa"/>
                                        <w:tcBorders>
                                          <w:top w:val="single" w:sz="4" w:space="0" w:color="000080"/>
                                        </w:tcBorders>
                                      </w:tcPr>
                                      <w:p w14:paraId="5E72660F" w14:textId="77777777" w:rsidR="00FE1364" w:rsidRPr="00262F37" w:rsidRDefault="00FE1364" w:rsidP="00336F4A">
                                        <w:pPr>
                                          <w:keepNext/>
                                          <w:keepLines/>
                                          <w:spacing w:before="40" w:after="40"/>
                                          <w:jc w:val="right"/>
                                          <w:rPr>
                                            <w:b/>
                                            <w:szCs w:val="21"/>
                                          </w:rPr>
                                        </w:pPr>
                                        <w:r>
                                          <w:rPr>
                                            <w:b/>
                                            <w:szCs w:val="21"/>
                                          </w:rPr>
                                          <w:t>1.5</w:t>
                                        </w:r>
                                      </w:p>
                                    </w:tc>
                                  </w:tr>
                                  <w:tr w:rsidR="00FE1364" w:rsidRPr="00262F37" w14:paraId="11BCC667" w14:textId="77777777" w:rsidTr="00304C81">
                                    <w:trPr>
                                      <w:cantSplit/>
                                    </w:trPr>
                                    <w:tc>
                                      <w:tcPr>
                                        <w:tcW w:w="2977" w:type="dxa"/>
                                      </w:tcPr>
                                      <w:p w14:paraId="63E019C3" w14:textId="77777777" w:rsidR="00FE1364" w:rsidRPr="00262F37" w:rsidRDefault="00FE1364" w:rsidP="00304C81">
                                        <w:pPr>
                                          <w:keepNext/>
                                          <w:keepLines/>
                                          <w:spacing w:before="60" w:after="60"/>
                                          <w:ind w:left="-111"/>
                                          <w:rPr>
                                            <w:szCs w:val="21"/>
                                          </w:rPr>
                                        </w:pPr>
                                        <w:r w:rsidRPr="00262F37">
                                          <w:rPr>
                                            <w:szCs w:val="21"/>
                                          </w:rPr>
                                          <w:t xml:space="preserve">Less estimated National Partnership Payments </w:t>
                                        </w:r>
                                      </w:p>
                                    </w:tc>
                                    <w:tc>
                                      <w:tcPr>
                                        <w:tcW w:w="1134" w:type="dxa"/>
                                      </w:tcPr>
                                      <w:p w14:paraId="27492D3A" w14:textId="77777777" w:rsidR="00FE1364" w:rsidRPr="00262F37" w:rsidRDefault="00FE1364" w:rsidP="00336F4A">
                                        <w:pPr>
                                          <w:keepNext/>
                                          <w:keepLines/>
                                          <w:spacing w:before="40" w:after="40"/>
                                          <w:jc w:val="right"/>
                                          <w:rPr>
                                            <w:szCs w:val="21"/>
                                          </w:rPr>
                                        </w:pPr>
                                        <w:r>
                                          <w:rPr>
                                            <w:szCs w:val="21"/>
                                          </w:rPr>
                                          <w:t>1.5</w:t>
                                        </w:r>
                                      </w:p>
                                    </w:tc>
                                    <w:tc>
                                      <w:tcPr>
                                        <w:tcW w:w="1134" w:type="dxa"/>
                                      </w:tcPr>
                                      <w:p w14:paraId="3D58C650" w14:textId="77777777" w:rsidR="00FE1364" w:rsidRPr="00262F37" w:rsidRDefault="00FE1364" w:rsidP="00304C81">
                                        <w:pPr>
                                          <w:keepNext/>
                                          <w:keepLines/>
                                          <w:spacing w:before="40" w:after="40"/>
                                          <w:jc w:val="right"/>
                                          <w:rPr>
                                            <w:szCs w:val="21"/>
                                          </w:rPr>
                                        </w:pPr>
                                        <w:r>
                                          <w:rPr>
                                            <w:szCs w:val="21"/>
                                          </w:rPr>
                                          <w:t>1.5</w:t>
                                        </w:r>
                                      </w:p>
                                    </w:tc>
                                  </w:tr>
                                  <w:tr w:rsidR="00FE1364" w:rsidRPr="00262F37" w14:paraId="4B9AD3AB" w14:textId="77777777" w:rsidTr="00304C81">
                                    <w:trPr>
                                      <w:cantSplit/>
                                    </w:trPr>
                                    <w:tc>
                                      <w:tcPr>
                                        <w:tcW w:w="2977" w:type="dxa"/>
                                      </w:tcPr>
                                      <w:p w14:paraId="12142102" w14:textId="77777777" w:rsidR="00FE1364" w:rsidRPr="00262F37" w:rsidRDefault="00FE1364" w:rsidP="00B67629">
                                        <w:pPr>
                                          <w:pStyle w:val="ListParagraph"/>
                                          <w:keepNext/>
                                          <w:keepLines/>
                                          <w:widowControl/>
                                          <w:numPr>
                                            <w:ilvl w:val="0"/>
                                            <w:numId w:val="9"/>
                                          </w:numPr>
                                          <w:spacing w:before="60" w:after="60"/>
                                          <w:rPr>
                                            <w:rFonts w:ascii="Corbel" w:hAnsi="Corbel"/>
                                            <w:szCs w:val="21"/>
                                          </w:rPr>
                                        </w:pPr>
                                        <w:r w:rsidRPr="00262F37">
                                          <w:rPr>
                                            <w:rFonts w:ascii="Corbel" w:hAnsi="Corbel"/>
                                            <w:szCs w:val="21"/>
                                          </w:rPr>
                                          <w:t>New South Wales</w:t>
                                        </w:r>
                                      </w:p>
                                    </w:tc>
                                    <w:tc>
                                      <w:tcPr>
                                        <w:tcW w:w="1134" w:type="dxa"/>
                                        <w:vAlign w:val="center"/>
                                      </w:tcPr>
                                      <w:p w14:paraId="2942F70F" w14:textId="77777777" w:rsidR="00FE1364" w:rsidRPr="00262F37" w:rsidRDefault="00FE1364" w:rsidP="00304C81">
                                        <w:pPr>
                                          <w:keepNext/>
                                          <w:keepLines/>
                                          <w:spacing w:before="40" w:after="40"/>
                                          <w:jc w:val="right"/>
                                          <w:rPr>
                                            <w:szCs w:val="21"/>
                                          </w:rPr>
                                        </w:pPr>
                                        <w:r>
                                          <w:rPr>
                                            <w:szCs w:val="21"/>
                                          </w:rPr>
                                          <w:t>0.30</w:t>
                                        </w:r>
                                      </w:p>
                                    </w:tc>
                                    <w:tc>
                                      <w:tcPr>
                                        <w:tcW w:w="1134" w:type="dxa"/>
                                        <w:vAlign w:val="center"/>
                                      </w:tcPr>
                                      <w:p w14:paraId="090CD02C" w14:textId="77777777" w:rsidR="00FE1364" w:rsidRPr="00262F37" w:rsidRDefault="00FE1364" w:rsidP="00304C81">
                                        <w:pPr>
                                          <w:keepNext/>
                                          <w:keepLines/>
                                          <w:spacing w:before="40" w:after="40"/>
                                          <w:jc w:val="right"/>
                                          <w:rPr>
                                            <w:szCs w:val="21"/>
                                          </w:rPr>
                                        </w:pPr>
                                        <w:r>
                                          <w:rPr>
                                            <w:szCs w:val="21"/>
                                          </w:rPr>
                                          <w:t>0.30</w:t>
                                        </w:r>
                                      </w:p>
                                    </w:tc>
                                  </w:tr>
                                  <w:tr w:rsidR="00FE1364" w:rsidRPr="00262F37" w14:paraId="307675A9" w14:textId="77777777" w:rsidTr="00304C81">
                                    <w:trPr>
                                      <w:cantSplit/>
                                    </w:trPr>
                                    <w:tc>
                                      <w:tcPr>
                                        <w:tcW w:w="2977" w:type="dxa"/>
                                      </w:tcPr>
                                      <w:p w14:paraId="0DB71CFE" w14:textId="77777777" w:rsidR="00FE1364" w:rsidRPr="00262F37" w:rsidRDefault="00FE1364" w:rsidP="00B67629">
                                        <w:pPr>
                                          <w:pStyle w:val="ListParagraph"/>
                                          <w:keepNext/>
                                          <w:keepLines/>
                                          <w:widowControl/>
                                          <w:numPr>
                                            <w:ilvl w:val="0"/>
                                            <w:numId w:val="9"/>
                                          </w:numPr>
                                          <w:spacing w:before="60" w:after="60"/>
                                          <w:rPr>
                                            <w:rFonts w:ascii="Corbel" w:hAnsi="Corbel"/>
                                            <w:szCs w:val="21"/>
                                          </w:rPr>
                                        </w:pPr>
                                        <w:r w:rsidRPr="00262F37">
                                          <w:rPr>
                                            <w:rFonts w:ascii="Corbel" w:hAnsi="Corbel"/>
                                            <w:szCs w:val="21"/>
                                          </w:rPr>
                                          <w:t>Victoria</w:t>
                                        </w:r>
                                      </w:p>
                                    </w:tc>
                                    <w:tc>
                                      <w:tcPr>
                                        <w:tcW w:w="1134" w:type="dxa"/>
                                        <w:vAlign w:val="center"/>
                                      </w:tcPr>
                                      <w:p w14:paraId="44DFF5E5" w14:textId="77777777" w:rsidR="00FE1364" w:rsidRPr="00262F37" w:rsidRDefault="00FE1364" w:rsidP="00304C81">
                                        <w:pPr>
                                          <w:keepNext/>
                                          <w:keepLines/>
                                          <w:spacing w:before="40" w:after="40"/>
                                          <w:jc w:val="right"/>
                                          <w:rPr>
                                            <w:szCs w:val="21"/>
                                          </w:rPr>
                                        </w:pPr>
                                        <w:r>
                                          <w:rPr>
                                            <w:szCs w:val="21"/>
                                          </w:rPr>
                                          <w:t>0.214</w:t>
                                        </w:r>
                                      </w:p>
                                    </w:tc>
                                    <w:tc>
                                      <w:tcPr>
                                        <w:tcW w:w="1134" w:type="dxa"/>
                                        <w:vAlign w:val="center"/>
                                      </w:tcPr>
                                      <w:p w14:paraId="5EE91FD1" w14:textId="77777777" w:rsidR="00FE1364" w:rsidRPr="00262F37" w:rsidRDefault="00FE1364" w:rsidP="00304C81">
                                        <w:pPr>
                                          <w:keepNext/>
                                          <w:keepLines/>
                                          <w:spacing w:before="40" w:after="40"/>
                                          <w:jc w:val="right"/>
                                          <w:rPr>
                                            <w:szCs w:val="21"/>
                                          </w:rPr>
                                        </w:pPr>
                                        <w:r>
                                          <w:rPr>
                                            <w:szCs w:val="21"/>
                                          </w:rPr>
                                          <w:t>0.214</w:t>
                                        </w:r>
                                      </w:p>
                                    </w:tc>
                                  </w:tr>
                                  <w:tr w:rsidR="00FE1364" w:rsidRPr="00262F37" w14:paraId="53E2FEA9" w14:textId="77777777" w:rsidTr="00304C81">
                                    <w:trPr>
                                      <w:cantSplit/>
                                    </w:trPr>
                                    <w:tc>
                                      <w:tcPr>
                                        <w:tcW w:w="2977" w:type="dxa"/>
                                      </w:tcPr>
                                      <w:p w14:paraId="4B8C9AFA" w14:textId="77777777" w:rsidR="00FE1364" w:rsidRPr="00262F37" w:rsidRDefault="00FE1364" w:rsidP="00B67629">
                                        <w:pPr>
                                          <w:pStyle w:val="ListParagraph"/>
                                          <w:keepNext/>
                                          <w:keepLines/>
                                          <w:widowControl/>
                                          <w:numPr>
                                            <w:ilvl w:val="0"/>
                                            <w:numId w:val="9"/>
                                          </w:numPr>
                                          <w:spacing w:before="60" w:after="60"/>
                                          <w:rPr>
                                            <w:rFonts w:ascii="Corbel" w:hAnsi="Corbel"/>
                                            <w:szCs w:val="21"/>
                                          </w:rPr>
                                        </w:pPr>
                                        <w:r w:rsidRPr="00262F37">
                                          <w:rPr>
                                            <w:rFonts w:ascii="Corbel" w:hAnsi="Corbel"/>
                                            <w:szCs w:val="21"/>
                                          </w:rPr>
                                          <w:t>Queensland</w:t>
                                        </w:r>
                                      </w:p>
                                    </w:tc>
                                    <w:tc>
                                      <w:tcPr>
                                        <w:tcW w:w="1134" w:type="dxa"/>
                                        <w:vAlign w:val="center"/>
                                      </w:tcPr>
                                      <w:p w14:paraId="6C2246B4" w14:textId="77777777" w:rsidR="00FE1364" w:rsidRPr="00262F37" w:rsidRDefault="00FE1364" w:rsidP="00304C81">
                                        <w:pPr>
                                          <w:keepNext/>
                                          <w:keepLines/>
                                          <w:spacing w:before="40" w:after="40"/>
                                          <w:jc w:val="right"/>
                                          <w:rPr>
                                            <w:szCs w:val="21"/>
                                          </w:rPr>
                                        </w:pPr>
                                        <w:r>
                                          <w:rPr>
                                            <w:szCs w:val="21"/>
                                          </w:rPr>
                                          <w:t>0.257</w:t>
                                        </w:r>
                                      </w:p>
                                    </w:tc>
                                    <w:tc>
                                      <w:tcPr>
                                        <w:tcW w:w="1134" w:type="dxa"/>
                                        <w:vAlign w:val="center"/>
                                      </w:tcPr>
                                      <w:p w14:paraId="79FF5814" w14:textId="77777777" w:rsidR="00FE1364" w:rsidRPr="00262F37" w:rsidRDefault="00FE1364" w:rsidP="00304C81">
                                        <w:pPr>
                                          <w:keepNext/>
                                          <w:keepLines/>
                                          <w:spacing w:before="40" w:after="40"/>
                                          <w:jc w:val="right"/>
                                          <w:rPr>
                                            <w:szCs w:val="21"/>
                                          </w:rPr>
                                        </w:pPr>
                                        <w:r>
                                          <w:rPr>
                                            <w:szCs w:val="21"/>
                                          </w:rPr>
                                          <w:t>0.257</w:t>
                                        </w:r>
                                      </w:p>
                                    </w:tc>
                                  </w:tr>
                                  <w:tr w:rsidR="00FE1364" w:rsidRPr="00262F37" w14:paraId="58CEB34B" w14:textId="77777777" w:rsidTr="00304C81">
                                    <w:trPr>
                                      <w:cantSplit/>
                                    </w:trPr>
                                    <w:tc>
                                      <w:tcPr>
                                        <w:tcW w:w="2977" w:type="dxa"/>
                                      </w:tcPr>
                                      <w:p w14:paraId="46507BED" w14:textId="77777777" w:rsidR="00FE1364" w:rsidRPr="00262F37" w:rsidRDefault="00FE1364" w:rsidP="00B67629">
                                        <w:pPr>
                                          <w:pStyle w:val="ListParagraph"/>
                                          <w:keepNext/>
                                          <w:keepLines/>
                                          <w:widowControl/>
                                          <w:numPr>
                                            <w:ilvl w:val="0"/>
                                            <w:numId w:val="9"/>
                                          </w:numPr>
                                          <w:spacing w:before="60" w:after="60"/>
                                          <w:rPr>
                                            <w:rFonts w:ascii="Corbel" w:hAnsi="Corbel"/>
                                            <w:szCs w:val="21"/>
                                          </w:rPr>
                                        </w:pPr>
                                        <w:r w:rsidRPr="00262F37">
                                          <w:rPr>
                                            <w:rFonts w:ascii="Corbel" w:hAnsi="Corbel"/>
                                            <w:szCs w:val="21"/>
                                          </w:rPr>
                                          <w:t>Western Australia</w:t>
                                        </w:r>
                                      </w:p>
                                    </w:tc>
                                    <w:tc>
                                      <w:tcPr>
                                        <w:tcW w:w="1134" w:type="dxa"/>
                                        <w:vAlign w:val="center"/>
                                      </w:tcPr>
                                      <w:p w14:paraId="18AF0778" w14:textId="77777777" w:rsidR="00FE1364" w:rsidRPr="00262F37" w:rsidRDefault="00FE1364" w:rsidP="00304C81">
                                        <w:pPr>
                                          <w:keepNext/>
                                          <w:keepLines/>
                                          <w:spacing w:before="40" w:after="40"/>
                                          <w:jc w:val="right"/>
                                          <w:rPr>
                                            <w:szCs w:val="21"/>
                                          </w:rPr>
                                        </w:pPr>
                                        <w:r>
                                          <w:rPr>
                                            <w:szCs w:val="21"/>
                                          </w:rPr>
                                          <w:t>0.214</w:t>
                                        </w:r>
                                      </w:p>
                                    </w:tc>
                                    <w:tc>
                                      <w:tcPr>
                                        <w:tcW w:w="1134" w:type="dxa"/>
                                        <w:vAlign w:val="center"/>
                                      </w:tcPr>
                                      <w:p w14:paraId="0DBE4E4E" w14:textId="77777777" w:rsidR="00FE1364" w:rsidRPr="00262F37" w:rsidRDefault="00FE1364" w:rsidP="00304C81">
                                        <w:pPr>
                                          <w:keepNext/>
                                          <w:keepLines/>
                                          <w:spacing w:before="40" w:after="40"/>
                                          <w:jc w:val="right"/>
                                          <w:rPr>
                                            <w:szCs w:val="21"/>
                                          </w:rPr>
                                        </w:pPr>
                                        <w:r>
                                          <w:rPr>
                                            <w:szCs w:val="21"/>
                                          </w:rPr>
                                          <w:t>0.214</w:t>
                                        </w:r>
                                      </w:p>
                                    </w:tc>
                                  </w:tr>
                                  <w:tr w:rsidR="00FE1364" w:rsidRPr="00262F37" w14:paraId="2F338069" w14:textId="77777777" w:rsidTr="00304C81">
                                    <w:trPr>
                                      <w:cantSplit/>
                                    </w:trPr>
                                    <w:tc>
                                      <w:tcPr>
                                        <w:tcW w:w="2977" w:type="dxa"/>
                                      </w:tcPr>
                                      <w:p w14:paraId="0CC11D7D" w14:textId="77777777" w:rsidR="00FE1364" w:rsidRPr="00262F37" w:rsidRDefault="00FE1364" w:rsidP="00B67629">
                                        <w:pPr>
                                          <w:pStyle w:val="ListParagraph"/>
                                          <w:keepNext/>
                                          <w:keepLines/>
                                          <w:widowControl/>
                                          <w:numPr>
                                            <w:ilvl w:val="0"/>
                                            <w:numId w:val="9"/>
                                          </w:numPr>
                                          <w:spacing w:before="60" w:after="60"/>
                                          <w:rPr>
                                            <w:rFonts w:ascii="Corbel" w:hAnsi="Corbel"/>
                                            <w:szCs w:val="21"/>
                                          </w:rPr>
                                        </w:pPr>
                                        <w:r w:rsidRPr="00262F37">
                                          <w:rPr>
                                            <w:rFonts w:ascii="Corbel" w:hAnsi="Corbel"/>
                                            <w:szCs w:val="21"/>
                                          </w:rPr>
                                          <w:t>South Australia</w:t>
                                        </w:r>
                                      </w:p>
                                    </w:tc>
                                    <w:tc>
                                      <w:tcPr>
                                        <w:tcW w:w="1134" w:type="dxa"/>
                                      </w:tcPr>
                                      <w:p w14:paraId="679504B2" w14:textId="77777777" w:rsidR="00FE1364" w:rsidRPr="00262F37" w:rsidRDefault="00FE1364" w:rsidP="00304C81">
                                        <w:pPr>
                                          <w:keepNext/>
                                          <w:keepLines/>
                                          <w:spacing w:before="40" w:after="40"/>
                                          <w:jc w:val="right"/>
                                          <w:rPr>
                                            <w:szCs w:val="21"/>
                                          </w:rPr>
                                        </w:pPr>
                                        <w:r>
                                          <w:rPr>
                                            <w:szCs w:val="21"/>
                                          </w:rPr>
                                          <w:t>0.145</w:t>
                                        </w:r>
                                      </w:p>
                                    </w:tc>
                                    <w:tc>
                                      <w:tcPr>
                                        <w:tcW w:w="1134" w:type="dxa"/>
                                      </w:tcPr>
                                      <w:p w14:paraId="5AE21B05" w14:textId="77777777" w:rsidR="00FE1364" w:rsidRPr="00262F37" w:rsidRDefault="00FE1364" w:rsidP="00304C81">
                                        <w:pPr>
                                          <w:keepNext/>
                                          <w:keepLines/>
                                          <w:spacing w:before="40" w:after="40"/>
                                          <w:jc w:val="right"/>
                                          <w:rPr>
                                            <w:szCs w:val="21"/>
                                          </w:rPr>
                                        </w:pPr>
                                        <w:r>
                                          <w:rPr>
                                            <w:szCs w:val="21"/>
                                          </w:rPr>
                                          <w:t>0.145</w:t>
                                        </w:r>
                                      </w:p>
                                    </w:tc>
                                  </w:tr>
                                  <w:tr w:rsidR="00FE1364" w:rsidRPr="00262F37" w14:paraId="369307D4" w14:textId="77777777" w:rsidTr="00304C81">
                                    <w:trPr>
                                      <w:cantSplit/>
                                    </w:trPr>
                                    <w:tc>
                                      <w:tcPr>
                                        <w:tcW w:w="2977" w:type="dxa"/>
                                      </w:tcPr>
                                      <w:p w14:paraId="65D1FDB4" w14:textId="77777777" w:rsidR="00FE1364" w:rsidRPr="00262F37" w:rsidRDefault="00FE1364" w:rsidP="00B67629">
                                        <w:pPr>
                                          <w:pStyle w:val="ListParagraph"/>
                                          <w:keepNext/>
                                          <w:keepLines/>
                                          <w:widowControl/>
                                          <w:numPr>
                                            <w:ilvl w:val="0"/>
                                            <w:numId w:val="9"/>
                                          </w:numPr>
                                          <w:spacing w:before="60" w:after="60"/>
                                          <w:rPr>
                                            <w:rFonts w:ascii="Corbel" w:hAnsi="Corbel"/>
                                            <w:szCs w:val="21"/>
                                          </w:rPr>
                                        </w:pPr>
                                        <w:r w:rsidRPr="00262F37">
                                          <w:rPr>
                                            <w:rFonts w:ascii="Corbel" w:hAnsi="Corbel"/>
                                            <w:szCs w:val="21"/>
                                          </w:rPr>
                                          <w:t>Tasmania</w:t>
                                        </w:r>
                                      </w:p>
                                    </w:tc>
                                    <w:tc>
                                      <w:tcPr>
                                        <w:tcW w:w="1134" w:type="dxa"/>
                                      </w:tcPr>
                                      <w:p w14:paraId="43FEE01F" w14:textId="77777777" w:rsidR="00FE1364" w:rsidRPr="00262F37" w:rsidRDefault="00FE1364" w:rsidP="00304C81">
                                        <w:pPr>
                                          <w:keepNext/>
                                          <w:keepLines/>
                                          <w:spacing w:before="40" w:after="40"/>
                                          <w:jc w:val="right"/>
                                          <w:rPr>
                                            <w:szCs w:val="21"/>
                                          </w:rPr>
                                        </w:pPr>
                                        <w:r>
                                          <w:rPr>
                                            <w:szCs w:val="21"/>
                                          </w:rPr>
                                          <w:t>0.072</w:t>
                                        </w:r>
                                      </w:p>
                                    </w:tc>
                                    <w:tc>
                                      <w:tcPr>
                                        <w:tcW w:w="1134" w:type="dxa"/>
                                      </w:tcPr>
                                      <w:p w14:paraId="23E8D729" w14:textId="77777777" w:rsidR="00FE1364" w:rsidRPr="00262F37" w:rsidRDefault="00FE1364" w:rsidP="00304C81">
                                        <w:pPr>
                                          <w:keepNext/>
                                          <w:keepLines/>
                                          <w:spacing w:before="40" w:after="40"/>
                                          <w:jc w:val="right"/>
                                          <w:rPr>
                                            <w:szCs w:val="21"/>
                                          </w:rPr>
                                        </w:pPr>
                                        <w:r>
                                          <w:rPr>
                                            <w:szCs w:val="21"/>
                                          </w:rPr>
                                          <w:t>0.072</w:t>
                                        </w:r>
                                      </w:p>
                                    </w:tc>
                                  </w:tr>
                                  <w:tr w:rsidR="00FE1364" w:rsidRPr="00262F37" w14:paraId="631DE3FE" w14:textId="77777777" w:rsidTr="00304C81">
                                    <w:trPr>
                                      <w:cantSplit/>
                                    </w:trPr>
                                    <w:tc>
                                      <w:tcPr>
                                        <w:tcW w:w="2977" w:type="dxa"/>
                                      </w:tcPr>
                                      <w:p w14:paraId="41A011E1" w14:textId="77777777" w:rsidR="00FE1364" w:rsidRPr="00262F37" w:rsidRDefault="00FE1364" w:rsidP="00B67629">
                                        <w:pPr>
                                          <w:pStyle w:val="ListParagraph"/>
                                          <w:keepNext/>
                                          <w:keepLines/>
                                          <w:widowControl/>
                                          <w:numPr>
                                            <w:ilvl w:val="0"/>
                                            <w:numId w:val="9"/>
                                          </w:numPr>
                                          <w:spacing w:before="60" w:after="60"/>
                                          <w:rPr>
                                            <w:rFonts w:ascii="Corbel" w:hAnsi="Corbel"/>
                                            <w:szCs w:val="21"/>
                                          </w:rPr>
                                        </w:pPr>
                                        <w:r w:rsidRPr="00262F37">
                                          <w:rPr>
                                            <w:rFonts w:ascii="Corbel" w:hAnsi="Corbel"/>
                                            <w:szCs w:val="21"/>
                                          </w:rPr>
                                          <w:t>Australian Capital Territory</w:t>
                                        </w:r>
                                      </w:p>
                                    </w:tc>
                                    <w:tc>
                                      <w:tcPr>
                                        <w:tcW w:w="1134" w:type="dxa"/>
                                        <w:vAlign w:val="center"/>
                                      </w:tcPr>
                                      <w:p w14:paraId="34DAB19E" w14:textId="77777777" w:rsidR="00FE1364" w:rsidRPr="00262F37" w:rsidRDefault="00FE1364" w:rsidP="00304C81">
                                        <w:pPr>
                                          <w:keepNext/>
                                          <w:keepLines/>
                                          <w:spacing w:before="40" w:after="40"/>
                                          <w:jc w:val="right"/>
                                          <w:rPr>
                                            <w:szCs w:val="21"/>
                                          </w:rPr>
                                        </w:pPr>
                                        <w:r>
                                          <w:t>0.153</w:t>
                                        </w:r>
                                      </w:p>
                                    </w:tc>
                                    <w:tc>
                                      <w:tcPr>
                                        <w:tcW w:w="1134" w:type="dxa"/>
                                        <w:vAlign w:val="center"/>
                                      </w:tcPr>
                                      <w:p w14:paraId="44DCBBD0" w14:textId="77777777" w:rsidR="00FE1364" w:rsidRPr="00262F37" w:rsidRDefault="00FE1364" w:rsidP="00304C81">
                                        <w:pPr>
                                          <w:keepNext/>
                                          <w:keepLines/>
                                          <w:spacing w:before="40" w:after="40"/>
                                          <w:jc w:val="right"/>
                                          <w:rPr>
                                            <w:szCs w:val="21"/>
                                          </w:rPr>
                                        </w:pPr>
                                        <w:r>
                                          <w:t>0.153</w:t>
                                        </w:r>
                                      </w:p>
                                    </w:tc>
                                  </w:tr>
                                  <w:tr w:rsidR="00FE1364" w:rsidRPr="00262F37" w14:paraId="55E609FA" w14:textId="77777777" w:rsidTr="00304C81">
                                    <w:trPr>
                                      <w:cantSplit/>
                                    </w:trPr>
                                    <w:tc>
                                      <w:tcPr>
                                        <w:tcW w:w="2977" w:type="dxa"/>
                                      </w:tcPr>
                                      <w:p w14:paraId="0CC0616A" w14:textId="77777777" w:rsidR="00FE1364" w:rsidRPr="00262F37" w:rsidRDefault="00FE1364" w:rsidP="00B67629">
                                        <w:pPr>
                                          <w:pStyle w:val="ListParagraph"/>
                                          <w:keepNext/>
                                          <w:keepLines/>
                                          <w:widowControl/>
                                          <w:numPr>
                                            <w:ilvl w:val="0"/>
                                            <w:numId w:val="9"/>
                                          </w:numPr>
                                          <w:spacing w:before="60" w:after="60"/>
                                          <w:rPr>
                                            <w:rFonts w:ascii="Corbel" w:hAnsi="Corbel"/>
                                            <w:szCs w:val="21"/>
                                          </w:rPr>
                                        </w:pPr>
                                        <w:r w:rsidRPr="00262F37">
                                          <w:rPr>
                                            <w:rFonts w:ascii="Corbel" w:hAnsi="Corbel"/>
                                            <w:szCs w:val="21"/>
                                          </w:rPr>
                                          <w:t>Northern Territory</w:t>
                                        </w:r>
                                      </w:p>
                                    </w:tc>
                                    <w:tc>
                                      <w:tcPr>
                                        <w:tcW w:w="1134" w:type="dxa"/>
                                        <w:vAlign w:val="center"/>
                                      </w:tcPr>
                                      <w:p w14:paraId="4B65E6B0" w14:textId="77777777" w:rsidR="00FE1364" w:rsidRPr="00262F37" w:rsidRDefault="00FE1364" w:rsidP="00304C81">
                                        <w:pPr>
                                          <w:keepNext/>
                                          <w:keepLines/>
                                          <w:spacing w:before="40" w:after="40"/>
                                          <w:jc w:val="right"/>
                                          <w:rPr>
                                            <w:szCs w:val="21"/>
                                          </w:rPr>
                                        </w:pPr>
                                        <w:r>
                                          <w:t>0.145</w:t>
                                        </w:r>
                                      </w:p>
                                    </w:tc>
                                    <w:tc>
                                      <w:tcPr>
                                        <w:tcW w:w="1134" w:type="dxa"/>
                                        <w:vAlign w:val="center"/>
                                      </w:tcPr>
                                      <w:p w14:paraId="1F4FDD35" w14:textId="77777777" w:rsidR="00FE1364" w:rsidRPr="00262F37" w:rsidRDefault="00FE1364" w:rsidP="00304C81">
                                        <w:pPr>
                                          <w:keepNext/>
                                          <w:keepLines/>
                                          <w:spacing w:before="40" w:after="40"/>
                                          <w:jc w:val="right"/>
                                          <w:rPr>
                                            <w:szCs w:val="21"/>
                                          </w:rPr>
                                        </w:pPr>
                                        <w:r>
                                          <w:t>0.145</w:t>
                                        </w:r>
                                      </w:p>
                                    </w:tc>
                                  </w:tr>
                                  <w:tr w:rsidR="00FE1364" w:rsidRPr="00262F37" w14:paraId="23748B4C" w14:textId="77777777" w:rsidTr="00304C81">
                                    <w:trPr>
                                      <w:cantSplit/>
                                    </w:trPr>
                                    <w:tc>
                                      <w:tcPr>
                                        <w:tcW w:w="2977" w:type="dxa"/>
                                        <w:tcBorders>
                                          <w:bottom w:val="single" w:sz="4" w:space="0" w:color="000080"/>
                                        </w:tcBorders>
                                      </w:tcPr>
                                      <w:p w14:paraId="75199FD9" w14:textId="77777777" w:rsidR="00FE1364" w:rsidRPr="00262F37" w:rsidRDefault="00FE1364" w:rsidP="00304C81">
                                        <w:pPr>
                                          <w:keepNext/>
                                          <w:keepLines/>
                                          <w:spacing w:before="40" w:after="40"/>
                                          <w:ind w:left="-111"/>
                                          <w:rPr>
                                            <w:szCs w:val="21"/>
                                            <w:vertAlign w:val="superscript"/>
                                          </w:rPr>
                                        </w:pPr>
                                        <w:r w:rsidRPr="00262F37">
                                          <w:rPr>
                                            <w:szCs w:val="21"/>
                                          </w:rPr>
                                          <w:t>Balance of non-Commonwealth contributions</w:t>
                                        </w:r>
                                        <w:r w:rsidRPr="00262F37">
                                          <w:rPr>
                                            <w:szCs w:val="21"/>
                                            <w:vertAlign w:val="superscript"/>
                                          </w:rPr>
                                          <w:t>(a)</w:t>
                                        </w:r>
                                      </w:p>
                                    </w:tc>
                                    <w:tc>
                                      <w:tcPr>
                                        <w:tcW w:w="1134" w:type="dxa"/>
                                        <w:tcBorders>
                                          <w:bottom w:val="single" w:sz="4" w:space="0" w:color="000080"/>
                                        </w:tcBorders>
                                      </w:tcPr>
                                      <w:p w14:paraId="7316347A" w14:textId="77777777" w:rsidR="00FE1364" w:rsidRPr="00262F37" w:rsidRDefault="00FE1364" w:rsidP="00304C81">
                                        <w:pPr>
                                          <w:keepNext/>
                                          <w:keepLines/>
                                          <w:spacing w:before="40" w:after="40"/>
                                          <w:jc w:val="right"/>
                                          <w:rPr>
                                            <w:szCs w:val="21"/>
                                          </w:rPr>
                                        </w:pPr>
                                        <w:r w:rsidRPr="00262F37">
                                          <w:rPr>
                                            <w:szCs w:val="21"/>
                                          </w:rPr>
                                          <w:t>0.0</w:t>
                                        </w:r>
                                      </w:p>
                                    </w:tc>
                                    <w:tc>
                                      <w:tcPr>
                                        <w:tcW w:w="1134" w:type="dxa"/>
                                        <w:tcBorders>
                                          <w:bottom w:val="single" w:sz="4" w:space="0" w:color="000080"/>
                                        </w:tcBorders>
                                      </w:tcPr>
                                      <w:p w14:paraId="35E814D9" w14:textId="77777777" w:rsidR="00FE1364" w:rsidRPr="00262F37" w:rsidRDefault="00FE1364" w:rsidP="00304C81">
                                        <w:pPr>
                                          <w:keepNext/>
                                          <w:keepLines/>
                                          <w:spacing w:before="40" w:after="40"/>
                                          <w:jc w:val="right"/>
                                          <w:rPr>
                                            <w:szCs w:val="21"/>
                                          </w:rPr>
                                        </w:pPr>
                                        <w:r w:rsidRPr="00262F37">
                                          <w:rPr>
                                            <w:szCs w:val="21"/>
                                          </w:rPr>
                                          <w:t>0.0</w:t>
                                        </w:r>
                                      </w:p>
                                    </w:tc>
                                  </w:tr>
                                </w:tbl>
                                <w:p w14:paraId="49109A81" w14:textId="77777777" w:rsidR="00FE1364" w:rsidRPr="00AE4592" w:rsidRDefault="00FE1364" w:rsidP="00FE1364">
                                  <w:pPr>
                                    <w:pStyle w:val="Normalnumbered"/>
                                    <w:numPr>
                                      <w:ilvl w:val="0"/>
                                      <w:numId w:val="0"/>
                                    </w:numPr>
                                    <w:spacing w:after="0" w:line="240" w:lineRule="auto"/>
                                    <w:rPr>
                                      <w:sz w:val="18"/>
                                      <w:szCs w:val="18"/>
                                    </w:rPr>
                                  </w:pPr>
                                  <w:r w:rsidRPr="00AE4592">
                                    <w:rPr>
                                      <w:sz w:val="18"/>
                                      <w:szCs w:val="18"/>
                                      <w:vertAlign w:val="superscript"/>
                                    </w:rPr>
                                    <w:t>(a)</w:t>
                                  </w:r>
                                  <w:r w:rsidRPr="00AE4592">
                                    <w:rPr>
                                      <w:sz w:val="18"/>
                                      <w:szCs w:val="18"/>
                                    </w:rPr>
                                    <w:t>States are not required to provide financial and in-kind contributions under the terms of this Agreement. However, as States are responsible for the provision of public hospital services, they allocate their own source funding and provide in-kind contributions accordingly, including in support of activities funded under this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BAECE" id="_x0000_t202" coordsize="21600,21600" o:spt="202" path="m,l,21600r21600,l21600,xe">
                      <v:stroke joinstyle="miter"/>
                      <v:path gradientshapeok="t" o:connecttype="rect"/>
                    </v:shapetype>
                    <v:shape id="Text Box 2" o:spid="_x0000_s1026" type="#_x0000_t202" style="position:absolute;margin-left:-4.9pt;margin-top:50.25pt;width:404.2pt;height:299.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" stroked="f">
                      <v:textbox>
                        <w:txbxContent>
                          <w:tbl>
                            <w:tblPr>
                              <w:tblW w:w="0" w:type="auto"/>
                              <w:tblLook w:val="01E0" w:firstRow="1" w:lastRow="1" w:firstColumn="1" w:lastColumn="1" w:noHBand="0" w:noVBand="0"/>
                            </w:tblPr>
                            <w:tblGrid>
                              <w:gridCol w:w="2977"/>
                              <w:gridCol w:w="1134"/>
                              <w:gridCol w:w="1134"/>
                            </w:tblGrid>
                            <w:tr w:rsidR="00FE1364" w:rsidRPr="00262F37" w14:paraId="45D38F81" w14:textId="77777777" w:rsidTr="00304C81">
                              <w:trPr>
                                <w:cantSplit/>
                              </w:trPr>
                              <w:tc>
                                <w:tcPr>
                                  <w:tcW w:w="2977" w:type="dxa"/>
                                  <w:tcBorders>
                                    <w:top w:val="single" w:sz="4" w:space="0" w:color="000080"/>
                                    <w:bottom w:val="single" w:sz="4" w:space="0" w:color="000080"/>
                                  </w:tcBorders>
                                </w:tcPr>
                                <w:p w14:paraId="349CCA9C" w14:textId="77777777" w:rsidR="00FE1364" w:rsidRPr="00262F37" w:rsidRDefault="00FE1364" w:rsidP="00304C81">
                                  <w:pPr>
                                    <w:keepNext/>
                                    <w:keepLines/>
                                    <w:spacing w:before="40" w:after="40"/>
                                    <w:ind w:left="-111"/>
                                    <w:rPr>
                                      <w:b/>
                                      <w:szCs w:val="21"/>
                                    </w:rPr>
                                  </w:pPr>
                                  <w:r>
                                    <w:rPr>
                                      <w:b/>
                                      <w:szCs w:val="21"/>
                                    </w:rPr>
                                    <w:t xml:space="preserve">Table 1 </w:t>
                                  </w:r>
                                  <w:r w:rsidRPr="00262F37">
                                    <w:rPr>
                                      <w:b/>
                                      <w:szCs w:val="21"/>
                                    </w:rPr>
                                    <w:t>($</w:t>
                                  </w:r>
                                  <w:r>
                                    <w:rPr>
                                      <w:b/>
                                      <w:szCs w:val="21"/>
                                    </w:rPr>
                                    <w:t xml:space="preserve"> million</w:t>
                                  </w:r>
                                  <w:r w:rsidRPr="00262F37">
                                    <w:rPr>
                                      <w:b/>
                                      <w:szCs w:val="21"/>
                                    </w:rPr>
                                    <w:t>)</w:t>
                                  </w:r>
                                </w:p>
                              </w:tc>
                              <w:tc>
                                <w:tcPr>
                                  <w:tcW w:w="1134" w:type="dxa"/>
                                  <w:tcBorders>
                                    <w:top w:val="single" w:sz="4" w:space="0" w:color="000080"/>
                                    <w:bottom w:val="single" w:sz="4" w:space="0" w:color="000080"/>
                                  </w:tcBorders>
                                </w:tcPr>
                                <w:p w14:paraId="7E158E45" w14:textId="77777777" w:rsidR="00FE1364" w:rsidRPr="00262F37" w:rsidRDefault="00FE1364" w:rsidP="00304C81">
                                  <w:pPr>
                                    <w:keepNext/>
                                    <w:keepLines/>
                                    <w:spacing w:before="40" w:after="40"/>
                                    <w:jc w:val="right"/>
                                    <w:rPr>
                                      <w:b/>
                                      <w:szCs w:val="21"/>
                                    </w:rPr>
                                  </w:pPr>
                                  <w:r w:rsidRPr="00262F37">
                                    <w:rPr>
                                      <w:b/>
                                      <w:szCs w:val="21"/>
                                    </w:rPr>
                                    <w:t>2020-21</w:t>
                                  </w:r>
                                </w:p>
                              </w:tc>
                              <w:tc>
                                <w:tcPr>
                                  <w:tcW w:w="1134" w:type="dxa"/>
                                  <w:tcBorders>
                                    <w:top w:val="single" w:sz="4" w:space="0" w:color="000080"/>
                                    <w:bottom w:val="single" w:sz="4" w:space="0" w:color="000080"/>
                                  </w:tcBorders>
                                </w:tcPr>
                                <w:p w14:paraId="1BFFF7D6" w14:textId="77777777" w:rsidR="00FE1364" w:rsidRPr="00262F37" w:rsidRDefault="00FE1364" w:rsidP="00304C81">
                                  <w:pPr>
                                    <w:keepNext/>
                                    <w:keepLines/>
                                    <w:spacing w:before="40" w:after="40"/>
                                    <w:jc w:val="right"/>
                                    <w:rPr>
                                      <w:b/>
                                      <w:szCs w:val="21"/>
                                    </w:rPr>
                                  </w:pPr>
                                  <w:r w:rsidRPr="00262F37">
                                    <w:rPr>
                                      <w:b/>
                                      <w:szCs w:val="21"/>
                                    </w:rPr>
                                    <w:t>Total</w:t>
                                  </w:r>
                                </w:p>
                              </w:tc>
                            </w:tr>
                            <w:tr w:rsidR="00FE1364" w:rsidRPr="00262F37" w14:paraId="65C223B1" w14:textId="77777777" w:rsidTr="00304C81">
                              <w:trPr>
                                <w:cantSplit/>
                              </w:trPr>
                              <w:tc>
                                <w:tcPr>
                                  <w:tcW w:w="2977" w:type="dxa"/>
                                  <w:tcBorders>
                                    <w:top w:val="single" w:sz="4" w:space="0" w:color="000080"/>
                                  </w:tcBorders>
                                </w:tcPr>
                                <w:p w14:paraId="60351BA2" w14:textId="77777777" w:rsidR="00FE1364" w:rsidRPr="00262F37" w:rsidRDefault="00FE1364" w:rsidP="00304C81">
                                  <w:pPr>
                                    <w:keepNext/>
                                    <w:keepLines/>
                                    <w:spacing w:before="60" w:after="60"/>
                                    <w:ind w:left="-111"/>
                                    <w:rPr>
                                      <w:b/>
                                      <w:szCs w:val="21"/>
                                    </w:rPr>
                                  </w:pPr>
                                  <w:r w:rsidRPr="00262F37">
                                    <w:rPr>
                                      <w:b/>
                                      <w:szCs w:val="21"/>
                                    </w:rPr>
                                    <w:t>Estimated total budget</w:t>
                                  </w:r>
                                </w:p>
                              </w:tc>
                              <w:tc>
                                <w:tcPr>
                                  <w:tcW w:w="1134" w:type="dxa"/>
                                  <w:tcBorders>
                                    <w:top w:val="single" w:sz="4" w:space="0" w:color="000080"/>
                                  </w:tcBorders>
                                </w:tcPr>
                                <w:p w14:paraId="7071F289" w14:textId="77777777" w:rsidR="00FE1364" w:rsidRPr="00262F37" w:rsidRDefault="00FE1364" w:rsidP="00336F4A">
                                  <w:pPr>
                                    <w:keepNext/>
                                    <w:keepLines/>
                                    <w:spacing w:before="40" w:after="40"/>
                                    <w:jc w:val="right"/>
                                    <w:rPr>
                                      <w:b/>
                                      <w:szCs w:val="21"/>
                                    </w:rPr>
                                  </w:pPr>
                                  <w:r>
                                    <w:rPr>
                                      <w:b/>
                                      <w:szCs w:val="21"/>
                                    </w:rPr>
                                    <w:t>1.5</w:t>
                                  </w:r>
                                </w:p>
                              </w:tc>
                              <w:tc>
                                <w:tcPr>
                                  <w:tcW w:w="1134" w:type="dxa"/>
                                  <w:tcBorders>
                                    <w:top w:val="single" w:sz="4" w:space="0" w:color="000080"/>
                                  </w:tcBorders>
                                </w:tcPr>
                                <w:p w14:paraId="5E72660F" w14:textId="77777777" w:rsidR="00FE1364" w:rsidRPr="00262F37" w:rsidRDefault="00FE1364" w:rsidP="00336F4A">
                                  <w:pPr>
                                    <w:keepNext/>
                                    <w:keepLines/>
                                    <w:spacing w:before="40" w:after="40"/>
                                    <w:jc w:val="right"/>
                                    <w:rPr>
                                      <w:b/>
                                      <w:szCs w:val="21"/>
                                    </w:rPr>
                                  </w:pPr>
                                  <w:r>
                                    <w:rPr>
                                      <w:b/>
                                      <w:szCs w:val="21"/>
                                    </w:rPr>
                                    <w:t>1.5</w:t>
                                  </w:r>
                                </w:p>
                              </w:tc>
                            </w:tr>
                            <w:tr w:rsidR="00FE1364" w:rsidRPr="00262F37" w14:paraId="11BCC667" w14:textId="77777777" w:rsidTr="00304C81">
                              <w:trPr>
                                <w:cantSplit/>
                              </w:trPr>
                              <w:tc>
                                <w:tcPr>
                                  <w:tcW w:w="2977" w:type="dxa"/>
                                </w:tcPr>
                                <w:p w14:paraId="63E019C3" w14:textId="77777777" w:rsidR="00FE1364" w:rsidRPr="00262F37" w:rsidRDefault="00FE1364" w:rsidP="00304C81">
                                  <w:pPr>
                                    <w:keepNext/>
                                    <w:keepLines/>
                                    <w:spacing w:before="60" w:after="60"/>
                                    <w:ind w:left="-111"/>
                                    <w:rPr>
                                      <w:szCs w:val="21"/>
                                    </w:rPr>
                                  </w:pPr>
                                  <w:r w:rsidRPr="00262F37">
                                    <w:rPr>
                                      <w:szCs w:val="21"/>
                                    </w:rPr>
                                    <w:t xml:space="preserve">Less estimated National Partnership Payments </w:t>
                                  </w:r>
                                </w:p>
                              </w:tc>
                              <w:tc>
                                <w:tcPr>
                                  <w:tcW w:w="1134" w:type="dxa"/>
                                </w:tcPr>
                                <w:p w14:paraId="27492D3A" w14:textId="77777777" w:rsidR="00FE1364" w:rsidRPr="00262F37" w:rsidRDefault="00FE1364" w:rsidP="00336F4A">
                                  <w:pPr>
                                    <w:keepNext/>
                                    <w:keepLines/>
                                    <w:spacing w:before="40" w:after="40"/>
                                    <w:jc w:val="right"/>
                                    <w:rPr>
                                      <w:szCs w:val="21"/>
                                    </w:rPr>
                                  </w:pPr>
                                  <w:r>
                                    <w:rPr>
                                      <w:szCs w:val="21"/>
                                    </w:rPr>
                                    <w:t>1.5</w:t>
                                  </w:r>
                                </w:p>
                              </w:tc>
                              <w:tc>
                                <w:tcPr>
                                  <w:tcW w:w="1134" w:type="dxa"/>
                                </w:tcPr>
                                <w:p w14:paraId="3D58C650" w14:textId="77777777" w:rsidR="00FE1364" w:rsidRPr="00262F37" w:rsidRDefault="00FE1364" w:rsidP="00304C81">
                                  <w:pPr>
                                    <w:keepNext/>
                                    <w:keepLines/>
                                    <w:spacing w:before="40" w:after="40"/>
                                    <w:jc w:val="right"/>
                                    <w:rPr>
                                      <w:szCs w:val="21"/>
                                    </w:rPr>
                                  </w:pPr>
                                  <w:r>
                                    <w:rPr>
                                      <w:szCs w:val="21"/>
                                    </w:rPr>
                                    <w:t>1.5</w:t>
                                  </w:r>
                                </w:p>
                              </w:tc>
                            </w:tr>
                            <w:tr w:rsidR="00FE1364" w:rsidRPr="00262F37" w14:paraId="4B9AD3AB" w14:textId="77777777" w:rsidTr="00304C81">
                              <w:trPr>
                                <w:cantSplit/>
                              </w:trPr>
                              <w:tc>
                                <w:tcPr>
                                  <w:tcW w:w="2977" w:type="dxa"/>
                                </w:tcPr>
                                <w:p w14:paraId="12142102" w14:textId="77777777" w:rsidR="00FE1364" w:rsidRPr="00262F37" w:rsidRDefault="00FE1364" w:rsidP="00B67629">
                                  <w:pPr>
                                    <w:pStyle w:val="ListParagraph"/>
                                    <w:keepNext/>
                                    <w:keepLines/>
                                    <w:widowControl/>
                                    <w:numPr>
                                      <w:ilvl w:val="0"/>
                                      <w:numId w:val="9"/>
                                    </w:numPr>
                                    <w:spacing w:before="60" w:after="60"/>
                                    <w:rPr>
                                      <w:rFonts w:ascii="Corbel" w:hAnsi="Corbel"/>
                                      <w:szCs w:val="21"/>
                                    </w:rPr>
                                  </w:pPr>
                                  <w:r w:rsidRPr="00262F37">
                                    <w:rPr>
                                      <w:rFonts w:ascii="Corbel" w:hAnsi="Corbel"/>
                                      <w:szCs w:val="21"/>
                                    </w:rPr>
                                    <w:t>New South Wales</w:t>
                                  </w:r>
                                </w:p>
                              </w:tc>
                              <w:tc>
                                <w:tcPr>
                                  <w:tcW w:w="1134" w:type="dxa"/>
                                  <w:vAlign w:val="center"/>
                                </w:tcPr>
                                <w:p w14:paraId="2942F70F" w14:textId="77777777" w:rsidR="00FE1364" w:rsidRPr="00262F37" w:rsidRDefault="00FE1364" w:rsidP="00304C81">
                                  <w:pPr>
                                    <w:keepNext/>
                                    <w:keepLines/>
                                    <w:spacing w:before="40" w:after="40"/>
                                    <w:jc w:val="right"/>
                                    <w:rPr>
                                      <w:szCs w:val="21"/>
                                    </w:rPr>
                                  </w:pPr>
                                  <w:r>
                                    <w:rPr>
                                      <w:szCs w:val="21"/>
                                    </w:rPr>
                                    <w:t>0.30</w:t>
                                  </w:r>
                                </w:p>
                              </w:tc>
                              <w:tc>
                                <w:tcPr>
                                  <w:tcW w:w="1134" w:type="dxa"/>
                                  <w:vAlign w:val="center"/>
                                </w:tcPr>
                                <w:p w14:paraId="090CD02C" w14:textId="77777777" w:rsidR="00FE1364" w:rsidRPr="00262F37" w:rsidRDefault="00FE1364" w:rsidP="00304C81">
                                  <w:pPr>
                                    <w:keepNext/>
                                    <w:keepLines/>
                                    <w:spacing w:before="40" w:after="40"/>
                                    <w:jc w:val="right"/>
                                    <w:rPr>
                                      <w:szCs w:val="21"/>
                                    </w:rPr>
                                  </w:pPr>
                                  <w:r>
                                    <w:rPr>
                                      <w:szCs w:val="21"/>
                                    </w:rPr>
                                    <w:t>0.30</w:t>
                                  </w:r>
                                </w:p>
                              </w:tc>
                            </w:tr>
                            <w:tr w:rsidR="00FE1364" w:rsidRPr="00262F37" w14:paraId="307675A9" w14:textId="77777777" w:rsidTr="00304C81">
                              <w:trPr>
                                <w:cantSplit/>
                              </w:trPr>
                              <w:tc>
                                <w:tcPr>
                                  <w:tcW w:w="2977" w:type="dxa"/>
                                </w:tcPr>
                                <w:p w14:paraId="0DB71CFE" w14:textId="77777777" w:rsidR="00FE1364" w:rsidRPr="00262F37" w:rsidRDefault="00FE1364" w:rsidP="00B67629">
                                  <w:pPr>
                                    <w:pStyle w:val="ListParagraph"/>
                                    <w:keepNext/>
                                    <w:keepLines/>
                                    <w:widowControl/>
                                    <w:numPr>
                                      <w:ilvl w:val="0"/>
                                      <w:numId w:val="9"/>
                                    </w:numPr>
                                    <w:spacing w:before="60" w:after="60"/>
                                    <w:rPr>
                                      <w:rFonts w:ascii="Corbel" w:hAnsi="Corbel"/>
                                      <w:szCs w:val="21"/>
                                    </w:rPr>
                                  </w:pPr>
                                  <w:r w:rsidRPr="00262F37">
                                    <w:rPr>
                                      <w:rFonts w:ascii="Corbel" w:hAnsi="Corbel"/>
                                      <w:szCs w:val="21"/>
                                    </w:rPr>
                                    <w:t>Victoria</w:t>
                                  </w:r>
                                </w:p>
                              </w:tc>
                              <w:tc>
                                <w:tcPr>
                                  <w:tcW w:w="1134" w:type="dxa"/>
                                  <w:vAlign w:val="center"/>
                                </w:tcPr>
                                <w:p w14:paraId="44DFF5E5" w14:textId="77777777" w:rsidR="00FE1364" w:rsidRPr="00262F37" w:rsidRDefault="00FE1364" w:rsidP="00304C81">
                                  <w:pPr>
                                    <w:keepNext/>
                                    <w:keepLines/>
                                    <w:spacing w:before="40" w:after="40"/>
                                    <w:jc w:val="right"/>
                                    <w:rPr>
                                      <w:szCs w:val="21"/>
                                    </w:rPr>
                                  </w:pPr>
                                  <w:r>
                                    <w:rPr>
                                      <w:szCs w:val="21"/>
                                    </w:rPr>
                                    <w:t>0.214</w:t>
                                  </w:r>
                                </w:p>
                              </w:tc>
                              <w:tc>
                                <w:tcPr>
                                  <w:tcW w:w="1134" w:type="dxa"/>
                                  <w:vAlign w:val="center"/>
                                </w:tcPr>
                                <w:p w14:paraId="5EE91FD1" w14:textId="77777777" w:rsidR="00FE1364" w:rsidRPr="00262F37" w:rsidRDefault="00FE1364" w:rsidP="00304C81">
                                  <w:pPr>
                                    <w:keepNext/>
                                    <w:keepLines/>
                                    <w:spacing w:before="40" w:after="40"/>
                                    <w:jc w:val="right"/>
                                    <w:rPr>
                                      <w:szCs w:val="21"/>
                                    </w:rPr>
                                  </w:pPr>
                                  <w:r>
                                    <w:rPr>
                                      <w:szCs w:val="21"/>
                                    </w:rPr>
                                    <w:t>0.214</w:t>
                                  </w:r>
                                </w:p>
                              </w:tc>
                            </w:tr>
                            <w:tr w:rsidR="00FE1364" w:rsidRPr="00262F37" w14:paraId="53E2FEA9" w14:textId="77777777" w:rsidTr="00304C81">
                              <w:trPr>
                                <w:cantSplit/>
                              </w:trPr>
                              <w:tc>
                                <w:tcPr>
                                  <w:tcW w:w="2977" w:type="dxa"/>
                                </w:tcPr>
                                <w:p w14:paraId="4B8C9AFA" w14:textId="77777777" w:rsidR="00FE1364" w:rsidRPr="00262F37" w:rsidRDefault="00FE1364" w:rsidP="00B67629">
                                  <w:pPr>
                                    <w:pStyle w:val="ListParagraph"/>
                                    <w:keepNext/>
                                    <w:keepLines/>
                                    <w:widowControl/>
                                    <w:numPr>
                                      <w:ilvl w:val="0"/>
                                      <w:numId w:val="9"/>
                                    </w:numPr>
                                    <w:spacing w:before="60" w:after="60"/>
                                    <w:rPr>
                                      <w:rFonts w:ascii="Corbel" w:hAnsi="Corbel"/>
                                      <w:szCs w:val="21"/>
                                    </w:rPr>
                                  </w:pPr>
                                  <w:r w:rsidRPr="00262F37">
                                    <w:rPr>
                                      <w:rFonts w:ascii="Corbel" w:hAnsi="Corbel"/>
                                      <w:szCs w:val="21"/>
                                    </w:rPr>
                                    <w:t>Queensland</w:t>
                                  </w:r>
                                </w:p>
                              </w:tc>
                              <w:tc>
                                <w:tcPr>
                                  <w:tcW w:w="1134" w:type="dxa"/>
                                  <w:vAlign w:val="center"/>
                                </w:tcPr>
                                <w:p w14:paraId="6C2246B4" w14:textId="77777777" w:rsidR="00FE1364" w:rsidRPr="00262F37" w:rsidRDefault="00FE1364" w:rsidP="00304C81">
                                  <w:pPr>
                                    <w:keepNext/>
                                    <w:keepLines/>
                                    <w:spacing w:before="40" w:after="40"/>
                                    <w:jc w:val="right"/>
                                    <w:rPr>
                                      <w:szCs w:val="21"/>
                                    </w:rPr>
                                  </w:pPr>
                                  <w:r>
                                    <w:rPr>
                                      <w:szCs w:val="21"/>
                                    </w:rPr>
                                    <w:t>0.257</w:t>
                                  </w:r>
                                </w:p>
                              </w:tc>
                              <w:tc>
                                <w:tcPr>
                                  <w:tcW w:w="1134" w:type="dxa"/>
                                  <w:vAlign w:val="center"/>
                                </w:tcPr>
                                <w:p w14:paraId="79FF5814" w14:textId="77777777" w:rsidR="00FE1364" w:rsidRPr="00262F37" w:rsidRDefault="00FE1364" w:rsidP="00304C81">
                                  <w:pPr>
                                    <w:keepNext/>
                                    <w:keepLines/>
                                    <w:spacing w:before="40" w:after="40"/>
                                    <w:jc w:val="right"/>
                                    <w:rPr>
                                      <w:szCs w:val="21"/>
                                    </w:rPr>
                                  </w:pPr>
                                  <w:r>
                                    <w:rPr>
                                      <w:szCs w:val="21"/>
                                    </w:rPr>
                                    <w:t>0.257</w:t>
                                  </w:r>
                                </w:p>
                              </w:tc>
                            </w:tr>
                            <w:tr w:rsidR="00FE1364" w:rsidRPr="00262F37" w14:paraId="58CEB34B" w14:textId="77777777" w:rsidTr="00304C81">
                              <w:trPr>
                                <w:cantSplit/>
                              </w:trPr>
                              <w:tc>
                                <w:tcPr>
                                  <w:tcW w:w="2977" w:type="dxa"/>
                                </w:tcPr>
                                <w:p w14:paraId="46507BED" w14:textId="77777777" w:rsidR="00FE1364" w:rsidRPr="00262F37" w:rsidRDefault="00FE1364" w:rsidP="00B67629">
                                  <w:pPr>
                                    <w:pStyle w:val="ListParagraph"/>
                                    <w:keepNext/>
                                    <w:keepLines/>
                                    <w:widowControl/>
                                    <w:numPr>
                                      <w:ilvl w:val="0"/>
                                      <w:numId w:val="9"/>
                                    </w:numPr>
                                    <w:spacing w:before="60" w:after="60"/>
                                    <w:rPr>
                                      <w:rFonts w:ascii="Corbel" w:hAnsi="Corbel"/>
                                      <w:szCs w:val="21"/>
                                    </w:rPr>
                                  </w:pPr>
                                  <w:r w:rsidRPr="00262F37">
                                    <w:rPr>
                                      <w:rFonts w:ascii="Corbel" w:hAnsi="Corbel"/>
                                      <w:szCs w:val="21"/>
                                    </w:rPr>
                                    <w:t>Western Australia</w:t>
                                  </w:r>
                                </w:p>
                              </w:tc>
                              <w:tc>
                                <w:tcPr>
                                  <w:tcW w:w="1134" w:type="dxa"/>
                                  <w:vAlign w:val="center"/>
                                </w:tcPr>
                                <w:p w14:paraId="18AF0778" w14:textId="77777777" w:rsidR="00FE1364" w:rsidRPr="00262F37" w:rsidRDefault="00FE1364" w:rsidP="00304C81">
                                  <w:pPr>
                                    <w:keepNext/>
                                    <w:keepLines/>
                                    <w:spacing w:before="40" w:after="40"/>
                                    <w:jc w:val="right"/>
                                    <w:rPr>
                                      <w:szCs w:val="21"/>
                                    </w:rPr>
                                  </w:pPr>
                                  <w:r>
                                    <w:rPr>
                                      <w:szCs w:val="21"/>
                                    </w:rPr>
                                    <w:t>0.214</w:t>
                                  </w:r>
                                </w:p>
                              </w:tc>
                              <w:tc>
                                <w:tcPr>
                                  <w:tcW w:w="1134" w:type="dxa"/>
                                  <w:vAlign w:val="center"/>
                                </w:tcPr>
                                <w:p w14:paraId="0DBE4E4E" w14:textId="77777777" w:rsidR="00FE1364" w:rsidRPr="00262F37" w:rsidRDefault="00FE1364" w:rsidP="00304C81">
                                  <w:pPr>
                                    <w:keepNext/>
                                    <w:keepLines/>
                                    <w:spacing w:before="40" w:after="40"/>
                                    <w:jc w:val="right"/>
                                    <w:rPr>
                                      <w:szCs w:val="21"/>
                                    </w:rPr>
                                  </w:pPr>
                                  <w:r>
                                    <w:rPr>
                                      <w:szCs w:val="21"/>
                                    </w:rPr>
                                    <w:t>0.214</w:t>
                                  </w:r>
                                </w:p>
                              </w:tc>
                            </w:tr>
                            <w:tr w:rsidR="00FE1364" w:rsidRPr="00262F37" w14:paraId="2F338069" w14:textId="77777777" w:rsidTr="00304C81">
                              <w:trPr>
                                <w:cantSplit/>
                              </w:trPr>
                              <w:tc>
                                <w:tcPr>
                                  <w:tcW w:w="2977" w:type="dxa"/>
                                </w:tcPr>
                                <w:p w14:paraId="0CC11D7D" w14:textId="77777777" w:rsidR="00FE1364" w:rsidRPr="00262F37" w:rsidRDefault="00FE1364" w:rsidP="00B67629">
                                  <w:pPr>
                                    <w:pStyle w:val="ListParagraph"/>
                                    <w:keepNext/>
                                    <w:keepLines/>
                                    <w:widowControl/>
                                    <w:numPr>
                                      <w:ilvl w:val="0"/>
                                      <w:numId w:val="9"/>
                                    </w:numPr>
                                    <w:spacing w:before="60" w:after="60"/>
                                    <w:rPr>
                                      <w:rFonts w:ascii="Corbel" w:hAnsi="Corbel"/>
                                      <w:szCs w:val="21"/>
                                    </w:rPr>
                                  </w:pPr>
                                  <w:r w:rsidRPr="00262F37">
                                    <w:rPr>
                                      <w:rFonts w:ascii="Corbel" w:hAnsi="Corbel"/>
                                      <w:szCs w:val="21"/>
                                    </w:rPr>
                                    <w:t>South Australia</w:t>
                                  </w:r>
                                </w:p>
                              </w:tc>
                              <w:tc>
                                <w:tcPr>
                                  <w:tcW w:w="1134" w:type="dxa"/>
                                </w:tcPr>
                                <w:p w14:paraId="679504B2" w14:textId="77777777" w:rsidR="00FE1364" w:rsidRPr="00262F37" w:rsidRDefault="00FE1364" w:rsidP="00304C81">
                                  <w:pPr>
                                    <w:keepNext/>
                                    <w:keepLines/>
                                    <w:spacing w:before="40" w:after="40"/>
                                    <w:jc w:val="right"/>
                                    <w:rPr>
                                      <w:szCs w:val="21"/>
                                    </w:rPr>
                                  </w:pPr>
                                  <w:r>
                                    <w:rPr>
                                      <w:szCs w:val="21"/>
                                    </w:rPr>
                                    <w:t>0.145</w:t>
                                  </w:r>
                                </w:p>
                              </w:tc>
                              <w:tc>
                                <w:tcPr>
                                  <w:tcW w:w="1134" w:type="dxa"/>
                                </w:tcPr>
                                <w:p w14:paraId="5AE21B05" w14:textId="77777777" w:rsidR="00FE1364" w:rsidRPr="00262F37" w:rsidRDefault="00FE1364" w:rsidP="00304C81">
                                  <w:pPr>
                                    <w:keepNext/>
                                    <w:keepLines/>
                                    <w:spacing w:before="40" w:after="40"/>
                                    <w:jc w:val="right"/>
                                    <w:rPr>
                                      <w:szCs w:val="21"/>
                                    </w:rPr>
                                  </w:pPr>
                                  <w:r>
                                    <w:rPr>
                                      <w:szCs w:val="21"/>
                                    </w:rPr>
                                    <w:t>0.145</w:t>
                                  </w:r>
                                </w:p>
                              </w:tc>
                            </w:tr>
                            <w:tr w:rsidR="00FE1364" w:rsidRPr="00262F37" w14:paraId="369307D4" w14:textId="77777777" w:rsidTr="00304C81">
                              <w:trPr>
                                <w:cantSplit/>
                              </w:trPr>
                              <w:tc>
                                <w:tcPr>
                                  <w:tcW w:w="2977" w:type="dxa"/>
                                </w:tcPr>
                                <w:p w14:paraId="65D1FDB4" w14:textId="77777777" w:rsidR="00FE1364" w:rsidRPr="00262F37" w:rsidRDefault="00FE1364" w:rsidP="00B67629">
                                  <w:pPr>
                                    <w:pStyle w:val="ListParagraph"/>
                                    <w:keepNext/>
                                    <w:keepLines/>
                                    <w:widowControl/>
                                    <w:numPr>
                                      <w:ilvl w:val="0"/>
                                      <w:numId w:val="9"/>
                                    </w:numPr>
                                    <w:spacing w:before="60" w:after="60"/>
                                    <w:rPr>
                                      <w:rFonts w:ascii="Corbel" w:hAnsi="Corbel"/>
                                      <w:szCs w:val="21"/>
                                    </w:rPr>
                                  </w:pPr>
                                  <w:r w:rsidRPr="00262F37">
                                    <w:rPr>
                                      <w:rFonts w:ascii="Corbel" w:hAnsi="Corbel"/>
                                      <w:szCs w:val="21"/>
                                    </w:rPr>
                                    <w:t>Tasmania</w:t>
                                  </w:r>
                                </w:p>
                              </w:tc>
                              <w:tc>
                                <w:tcPr>
                                  <w:tcW w:w="1134" w:type="dxa"/>
                                </w:tcPr>
                                <w:p w14:paraId="43FEE01F" w14:textId="77777777" w:rsidR="00FE1364" w:rsidRPr="00262F37" w:rsidRDefault="00FE1364" w:rsidP="00304C81">
                                  <w:pPr>
                                    <w:keepNext/>
                                    <w:keepLines/>
                                    <w:spacing w:before="40" w:after="40"/>
                                    <w:jc w:val="right"/>
                                    <w:rPr>
                                      <w:szCs w:val="21"/>
                                    </w:rPr>
                                  </w:pPr>
                                  <w:r>
                                    <w:rPr>
                                      <w:szCs w:val="21"/>
                                    </w:rPr>
                                    <w:t>0.072</w:t>
                                  </w:r>
                                </w:p>
                              </w:tc>
                              <w:tc>
                                <w:tcPr>
                                  <w:tcW w:w="1134" w:type="dxa"/>
                                </w:tcPr>
                                <w:p w14:paraId="23E8D729" w14:textId="77777777" w:rsidR="00FE1364" w:rsidRPr="00262F37" w:rsidRDefault="00FE1364" w:rsidP="00304C81">
                                  <w:pPr>
                                    <w:keepNext/>
                                    <w:keepLines/>
                                    <w:spacing w:before="40" w:after="40"/>
                                    <w:jc w:val="right"/>
                                    <w:rPr>
                                      <w:szCs w:val="21"/>
                                    </w:rPr>
                                  </w:pPr>
                                  <w:r>
                                    <w:rPr>
                                      <w:szCs w:val="21"/>
                                    </w:rPr>
                                    <w:t>0.072</w:t>
                                  </w:r>
                                </w:p>
                              </w:tc>
                            </w:tr>
                            <w:tr w:rsidR="00FE1364" w:rsidRPr="00262F37" w14:paraId="631DE3FE" w14:textId="77777777" w:rsidTr="00304C81">
                              <w:trPr>
                                <w:cantSplit/>
                              </w:trPr>
                              <w:tc>
                                <w:tcPr>
                                  <w:tcW w:w="2977" w:type="dxa"/>
                                </w:tcPr>
                                <w:p w14:paraId="41A011E1" w14:textId="77777777" w:rsidR="00FE1364" w:rsidRPr="00262F37" w:rsidRDefault="00FE1364" w:rsidP="00B67629">
                                  <w:pPr>
                                    <w:pStyle w:val="ListParagraph"/>
                                    <w:keepNext/>
                                    <w:keepLines/>
                                    <w:widowControl/>
                                    <w:numPr>
                                      <w:ilvl w:val="0"/>
                                      <w:numId w:val="9"/>
                                    </w:numPr>
                                    <w:spacing w:before="60" w:after="60"/>
                                    <w:rPr>
                                      <w:rFonts w:ascii="Corbel" w:hAnsi="Corbel"/>
                                      <w:szCs w:val="21"/>
                                    </w:rPr>
                                  </w:pPr>
                                  <w:r w:rsidRPr="00262F37">
                                    <w:rPr>
                                      <w:rFonts w:ascii="Corbel" w:hAnsi="Corbel"/>
                                      <w:szCs w:val="21"/>
                                    </w:rPr>
                                    <w:t>Australian Capital Territory</w:t>
                                  </w:r>
                                </w:p>
                              </w:tc>
                              <w:tc>
                                <w:tcPr>
                                  <w:tcW w:w="1134" w:type="dxa"/>
                                  <w:vAlign w:val="center"/>
                                </w:tcPr>
                                <w:p w14:paraId="34DAB19E" w14:textId="77777777" w:rsidR="00FE1364" w:rsidRPr="00262F37" w:rsidRDefault="00FE1364" w:rsidP="00304C81">
                                  <w:pPr>
                                    <w:keepNext/>
                                    <w:keepLines/>
                                    <w:spacing w:before="40" w:after="40"/>
                                    <w:jc w:val="right"/>
                                    <w:rPr>
                                      <w:szCs w:val="21"/>
                                    </w:rPr>
                                  </w:pPr>
                                  <w:r>
                                    <w:t>0.153</w:t>
                                  </w:r>
                                </w:p>
                              </w:tc>
                              <w:tc>
                                <w:tcPr>
                                  <w:tcW w:w="1134" w:type="dxa"/>
                                  <w:vAlign w:val="center"/>
                                </w:tcPr>
                                <w:p w14:paraId="44DCBBD0" w14:textId="77777777" w:rsidR="00FE1364" w:rsidRPr="00262F37" w:rsidRDefault="00FE1364" w:rsidP="00304C81">
                                  <w:pPr>
                                    <w:keepNext/>
                                    <w:keepLines/>
                                    <w:spacing w:before="40" w:after="40"/>
                                    <w:jc w:val="right"/>
                                    <w:rPr>
                                      <w:szCs w:val="21"/>
                                    </w:rPr>
                                  </w:pPr>
                                  <w:r>
                                    <w:t>0.153</w:t>
                                  </w:r>
                                </w:p>
                              </w:tc>
                            </w:tr>
                            <w:tr w:rsidR="00FE1364" w:rsidRPr="00262F37" w14:paraId="55E609FA" w14:textId="77777777" w:rsidTr="00304C81">
                              <w:trPr>
                                <w:cantSplit/>
                              </w:trPr>
                              <w:tc>
                                <w:tcPr>
                                  <w:tcW w:w="2977" w:type="dxa"/>
                                </w:tcPr>
                                <w:p w14:paraId="0CC0616A" w14:textId="77777777" w:rsidR="00FE1364" w:rsidRPr="00262F37" w:rsidRDefault="00FE1364" w:rsidP="00B67629">
                                  <w:pPr>
                                    <w:pStyle w:val="ListParagraph"/>
                                    <w:keepNext/>
                                    <w:keepLines/>
                                    <w:widowControl/>
                                    <w:numPr>
                                      <w:ilvl w:val="0"/>
                                      <w:numId w:val="9"/>
                                    </w:numPr>
                                    <w:spacing w:before="60" w:after="60"/>
                                    <w:rPr>
                                      <w:rFonts w:ascii="Corbel" w:hAnsi="Corbel"/>
                                      <w:szCs w:val="21"/>
                                    </w:rPr>
                                  </w:pPr>
                                  <w:r w:rsidRPr="00262F37">
                                    <w:rPr>
                                      <w:rFonts w:ascii="Corbel" w:hAnsi="Corbel"/>
                                      <w:szCs w:val="21"/>
                                    </w:rPr>
                                    <w:t>Northern Territory</w:t>
                                  </w:r>
                                </w:p>
                              </w:tc>
                              <w:tc>
                                <w:tcPr>
                                  <w:tcW w:w="1134" w:type="dxa"/>
                                  <w:vAlign w:val="center"/>
                                </w:tcPr>
                                <w:p w14:paraId="4B65E6B0" w14:textId="77777777" w:rsidR="00FE1364" w:rsidRPr="00262F37" w:rsidRDefault="00FE1364" w:rsidP="00304C81">
                                  <w:pPr>
                                    <w:keepNext/>
                                    <w:keepLines/>
                                    <w:spacing w:before="40" w:after="40"/>
                                    <w:jc w:val="right"/>
                                    <w:rPr>
                                      <w:szCs w:val="21"/>
                                    </w:rPr>
                                  </w:pPr>
                                  <w:r>
                                    <w:t>0.145</w:t>
                                  </w:r>
                                </w:p>
                              </w:tc>
                              <w:tc>
                                <w:tcPr>
                                  <w:tcW w:w="1134" w:type="dxa"/>
                                  <w:vAlign w:val="center"/>
                                </w:tcPr>
                                <w:p w14:paraId="1F4FDD35" w14:textId="77777777" w:rsidR="00FE1364" w:rsidRPr="00262F37" w:rsidRDefault="00FE1364" w:rsidP="00304C81">
                                  <w:pPr>
                                    <w:keepNext/>
                                    <w:keepLines/>
                                    <w:spacing w:before="40" w:after="40"/>
                                    <w:jc w:val="right"/>
                                    <w:rPr>
                                      <w:szCs w:val="21"/>
                                    </w:rPr>
                                  </w:pPr>
                                  <w:r>
                                    <w:t>0.145</w:t>
                                  </w:r>
                                </w:p>
                              </w:tc>
                            </w:tr>
                            <w:tr w:rsidR="00FE1364" w:rsidRPr="00262F37" w14:paraId="23748B4C" w14:textId="77777777" w:rsidTr="00304C81">
                              <w:trPr>
                                <w:cantSplit/>
                              </w:trPr>
                              <w:tc>
                                <w:tcPr>
                                  <w:tcW w:w="2977" w:type="dxa"/>
                                  <w:tcBorders>
                                    <w:bottom w:val="single" w:sz="4" w:space="0" w:color="000080"/>
                                  </w:tcBorders>
                                </w:tcPr>
                                <w:p w14:paraId="75199FD9" w14:textId="77777777" w:rsidR="00FE1364" w:rsidRPr="00262F37" w:rsidRDefault="00FE1364" w:rsidP="00304C81">
                                  <w:pPr>
                                    <w:keepNext/>
                                    <w:keepLines/>
                                    <w:spacing w:before="40" w:after="40"/>
                                    <w:ind w:left="-111"/>
                                    <w:rPr>
                                      <w:szCs w:val="21"/>
                                      <w:vertAlign w:val="superscript"/>
                                    </w:rPr>
                                  </w:pPr>
                                  <w:r w:rsidRPr="00262F37">
                                    <w:rPr>
                                      <w:szCs w:val="21"/>
                                    </w:rPr>
                                    <w:t>Balance of non-Commonwealth contributions</w:t>
                                  </w:r>
                                  <w:r w:rsidRPr="00262F37">
                                    <w:rPr>
                                      <w:szCs w:val="21"/>
                                      <w:vertAlign w:val="superscript"/>
                                    </w:rPr>
                                    <w:t>(a)</w:t>
                                  </w:r>
                                </w:p>
                              </w:tc>
                              <w:tc>
                                <w:tcPr>
                                  <w:tcW w:w="1134" w:type="dxa"/>
                                  <w:tcBorders>
                                    <w:bottom w:val="single" w:sz="4" w:space="0" w:color="000080"/>
                                  </w:tcBorders>
                                </w:tcPr>
                                <w:p w14:paraId="7316347A" w14:textId="77777777" w:rsidR="00FE1364" w:rsidRPr="00262F37" w:rsidRDefault="00FE1364" w:rsidP="00304C81">
                                  <w:pPr>
                                    <w:keepNext/>
                                    <w:keepLines/>
                                    <w:spacing w:before="40" w:after="40"/>
                                    <w:jc w:val="right"/>
                                    <w:rPr>
                                      <w:szCs w:val="21"/>
                                    </w:rPr>
                                  </w:pPr>
                                  <w:r w:rsidRPr="00262F37">
                                    <w:rPr>
                                      <w:szCs w:val="21"/>
                                    </w:rPr>
                                    <w:t>0.0</w:t>
                                  </w:r>
                                </w:p>
                              </w:tc>
                              <w:tc>
                                <w:tcPr>
                                  <w:tcW w:w="1134" w:type="dxa"/>
                                  <w:tcBorders>
                                    <w:bottom w:val="single" w:sz="4" w:space="0" w:color="000080"/>
                                  </w:tcBorders>
                                </w:tcPr>
                                <w:p w14:paraId="35E814D9" w14:textId="77777777" w:rsidR="00FE1364" w:rsidRPr="00262F37" w:rsidRDefault="00FE1364" w:rsidP="00304C81">
                                  <w:pPr>
                                    <w:keepNext/>
                                    <w:keepLines/>
                                    <w:spacing w:before="40" w:after="40"/>
                                    <w:jc w:val="right"/>
                                    <w:rPr>
                                      <w:szCs w:val="21"/>
                                    </w:rPr>
                                  </w:pPr>
                                  <w:r w:rsidRPr="00262F37">
                                    <w:rPr>
                                      <w:szCs w:val="21"/>
                                    </w:rPr>
                                    <w:t>0.0</w:t>
                                  </w:r>
                                </w:p>
                              </w:tc>
                            </w:tr>
                          </w:tbl>
                          <w:p w14:paraId="49109A81" w14:textId="77777777" w:rsidR="00FE1364" w:rsidRPr="00AE4592" w:rsidRDefault="00FE1364" w:rsidP="00FE1364">
                            <w:pPr>
                              <w:pStyle w:val="Normalnumbered"/>
                              <w:numPr>
                                <w:ilvl w:val="0"/>
                                <w:numId w:val="0"/>
                              </w:numPr>
                              <w:spacing w:after="0" w:line="240" w:lineRule="auto"/>
                              <w:rPr>
                                <w:sz w:val="18"/>
                                <w:szCs w:val="18"/>
                              </w:rPr>
                            </w:pPr>
                            <w:r w:rsidRPr="00AE4592">
                              <w:rPr>
                                <w:sz w:val="18"/>
                                <w:szCs w:val="18"/>
                                <w:vertAlign w:val="superscript"/>
                              </w:rPr>
                              <w:t>(a)</w:t>
                            </w:r>
                            <w:r w:rsidRPr="00AE4592">
                              <w:rPr>
                                <w:sz w:val="18"/>
                                <w:szCs w:val="18"/>
                              </w:rPr>
                              <w:t>States are not required to provide financial and in-kind contributions under the terms of this Agreement. However, as States are responsible for the provision of public hospital services, they allocate their own source funding and provide in-kind contributions accordingly, including in support of activities funded under this Agreement.</w:t>
                            </w:r>
                          </w:p>
                        </w:txbxContent>
                      </v:textbox>
                      <w10:wrap type="square"/>
                    </v:shape>
                  </w:pict>
                </mc:Fallback>
              </mc:AlternateContent>
            </w:r>
            <w:r w:rsidRPr="00953EC6">
              <w:rPr>
                <w:color w:val="auto"/>
                <w:sz w:val="22"/>
                <w:szCs w:val="22"/>
              </w:rPr>
              <w:t>The Commonwealth will provide an estimated total financial contribution to the States of $1,500,000 in respect of this Schedule, noting this does not include payments made prior to 1 July 2020 under the previous agreement.</w:t>
            </w:r>
          </w:p>
        </w:tc>
      </w:tr>
      <w:tr w:rsidR="00FE1364" w:rsidRPr="00953EC6" w14:paraId="39F55F91" w14:textId="77777777" w:rsidTr="00334D6C">
        <w:tc>
          <w:tcPr>
            <w:tcW w:w="1550" w:type="dxa"/>
            <w:shd w:val="clear" w:color="auto" w:fill="auto"/>
          </w:tcPr>
          <w:p w14:paraId="07F11DE0" w14:textId="77777777" w:rsidR="00FE1364" w:rsidRPr="00953EC6" w:rsidRDefault="00FE1364" w:rsidP="00334D6C">
            <w:pPr>
              <w:pStyle w:val="Tableformat"/>
              <w:rPr>
                <w:color w:val="auto"/>
                <w:sz w:val="22"/>
                <w:szCs w:val="22"/>
              </w:rPr>
            </w:pPr>
            <w:r w:rsidRPr="00953EC6">
              <w:rPr>
                <w:color w:val="auto"/>
                <w:sz w:val="22"/>
                <w:szCs w:val="22"/>
              </w:rPr>
              <w:t>Additional terms</w:t>
            </w:r>
          </w:p>
        </w:tc>
        <w:tc>
          <w:tcPr>
            <w:tcW w:w="8079" w:type="dxa"/>
            <w:shd w:val="clear" w:color="auto" w:fill="auto"/>
          </w:tcPr>
          <w:p w14:paraId="4813C83B" w14:textId="77777777" w:rsidR="00FE1364" w:rsidRPr="00953EC6" w:rsidRDefault="00FE1364" w:rsidP="00334D6C">
            <w:pPr>
              <w:pStyle w:val="Tableformat"/>
              <w:rPr>
                <w:noProof/>
                <w:color w:val="auto"/>
                <w:sz w:val="22"/>
                <w:szCs w:val="22"/>
              </w:rPr>
            </w:pPr>
            <w:r w:rsidRPr="00953EC6">
              <w:rPr>
                <w:noProof/>
                <w:color w:val="auto"/>
                <w:sz w:val="22"/>
                <w:szCs w:val="22"/>
              </w:rPr>
              <w:t xml:space="preserve">The Commonwealth and the states have agreed project plans that set out each party’s strategy for delivering on the outputs of the agreement. </w:t>
            </w:r>
          </w:p>
        </w:tc>
      </w:tr>
    </w:tbl>
    <w:p w14:paraId="1560193E" w14:textId="77777777" w:rsidR="00FE1364" w:rsidRDefault="00FE1364" w:rsidP="00FE1364">
      <w:pPr>
        <w:sectPr w:rsidR="00FE1364" w:rsidSect="00776D14">
          <w:headerReference w:type="first" r:id="rId13"/>
          <w:pgSz w:w="11906" w:h="16838" w:code="9"/>
          <w:pgMar w:top="1134" w:right="1134" w:bottom="993" w:left="1134" w:header="709" w:footer="709" w:gutter="0"/>
          <w:pgNumType w:chapStyle="9"/>
          <w:cols w:space="2373"/>
          <w:titlePg/>
          <w:docGrid w:linePitch="360"/>
        </w:sectPr>
      </w:pPr>
    </w:p>
    <w:tbl>
      <w:tblPr>
        <w:tblW w:w="5000" w:type="pct"/>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29"/>
        <w:gridCol w:w="7664"/>
        <w:gridCol w:w="1989"/>
        <w:gridCol w:w="1768"/>
      </w:tblGrid>
      <w:tr w:rsidR="00FE1364" w:rsidRPr="00953EC6" w14:paraId="1772FB01" w14:textId="77777777" w:rsidTr="00334D6C">
        <w:tc>
          <w:tcPr>
            <w:tcW w:w="14550" w:type="dxa"/>
            <w:gridSpan w:val="4"/>
            <w:shd w:val="clear" w:color="auto" w:fill="DEEAF6" w:themeFill="accent1" w:themeFillTint="33"/>
          </w:tcPr>
          <w:p w14:paraId="22B511A7" w14:textId="77777777" w:rsidR="00FE1364" w:rsidRPr="00953EC6" w:rsidRDefault="00FE1364" w:rsidP="00334D6C">
            <w:pPr>
              <w:pStyle w:val="Tableformat"/>
              <w:rPr>
                <w:b/>
                <w:color w:val="auto"/>
              </w:rPr>
            </w:pPr>
            <w:r w:rsidRPr="00953EC6">
              <w:rPr>
                <w:b/>
                <w:color w:val="auto"/>
              </w:rPr>
              <w:lastRenderedPageBreak/>
              <w:t>Table 2A: New South Wales – Performance requirements, reporting and payment summary</w:t>
            </w:r>
          </w:p>
        </w:tc>
      </w:tr>
      <w:tr w:rsidR="00FE1364" w:rsidRPr="00953EC6" w14:paraId="6E6B8F10" w14:textId="77777777" w:rsidTr="00334D6C">
        <w:trPr>
          <w:cantSplit/>
        </w:trPr>
        <w:tc>
          <w:tcPr>
            <w:tcW w:w="3129" w:type="dxa"/>
            <w:vMerge w:val="restart"/>
            <w:shd w:val="clear" w:color="auto" w:fill="F2F2F2" w:themeFill="background1" w:themeFillShade="F2"/>
          </w:tcPr>
          <w:p w14:paraId="311405D8" w14:textId="77777777" w:rsidR="00FE1364" w:rsidRPr="00953EC6" w:rsidRDefault="00FE1364" w:rsidP="00334D6C">
            <w:pPr>
              <w:pStyle w:val="Tableformat"/>
              <w:rPr>
                <w:b/>
                <w:color w:val="auto"/>
              </w:rPr>
            </w:pPr>
            <w:r w:rsidRPr="00953EC6">
              <w:rPr>
                <w:b/>
                <w:color w:val="auto"/>
              </w:rPr>
              <w:t>Output</w:t>
            </w:r>
          </w:p>
          <w:p w14:paraId="6830F6F3" w14:textId="77777777" w:rsidR="00FE1364" w:rsidRPr="00953EC6" w:rsidRDefault="00FE1364" w:rsidP="00334D6C">
            <w:pPr>
              <w:pStyle w:val="Tableformat"/>
              <w:rPr>
                <w:b/>
                <w:color w:val="auto"/>
              </w:rPr>
            </w:pPr>
          </w:p>
        </w:tc>
        <w:tc>
          <w:tcPr>
            <w:tcW w:w="7664" w:type="dxa"/>
            <w:shd w:val="clear" w:color="auto" w:fill="F2F2F2" w:themeFill="background1" w:themeFillShade="F2"/>
          </w:tcPr>
          <w:p w14:paraId="397EAD0E" w14:textId="77777777" w:rsidR="00FE1364" w:rsidRPr="00953EC6" w:rsidRDefault="00FE1364" w:rsidP="00334D6C">
            <w:pPr>
              <w:pStyle w:val="Tableformat"/>
              <w:rPr>
                <w:b/>
                <w:color w:val="auto"/>
              </w:rPr>
            </w:pPr>
            <w:r w:rsidRPr="00953EC6">
              <w:rPr>
                <w:b/>
                <w:color w:val="auto"/>
              </w:rPr>
              <w:t>Performance milestones</w:t>
            </w:r>
          </w:p>
        </w:tc>
        <w:tc>
          <w:tcPr>
            <w:tcW w:w="1989" w:type="dxa"/>
            <w:vMerge w:val="restart"/>
            <w:shd w:val="clear" w:color="auto" w:fill="F2F2F2" w:themeFill="background1" w:themeFillShade="F2"/>
          </w:tcPr>
          <w:p w14:paraId="4BC1D7B0" w14:textId="77777777" w:rsidR="00FE1364" w:rsidRPr="00953EC6" w:rsidRDefault="00FE1364" w:rsidP="00334D6C">
            <w:pPr>
              <w:pStyle w:val="Tableformat"/>
              <w:rPr>
                <w:b/>
                <w:color w:val="auto"/>
              </w:rPr>
            </w:pPr>
            <w:r w:rsidRPr="00953EC6">
              <w:rPr>
                <w:b/>
                <w:color w:val="auto"/>
              </w:rPr>
              <w:t>Report due</w:t>
            </w:r>
          </w:p>
        </w:tc>
        <w:tc>
          <w:tcPr>
            <w:tcW w:w="1768" w:type="dxa"/>
            <w:vMerge w:val="restart"/>
            <w:shd w:val="clear" w:color="auto" w:fill="F2F2F2" w:themeFill="background1" w:themeFillShade="F2"/>
          </w:tcPr>
          <w:p w14:paraId="667C6077" w14:textId="77777777" w:rsidR="00FE1364" w:rsidRPr="00953EC6" w:rsidRDefault="00FE1364" w:rsidP="00334D6C">
            <w:pPr>
              <w:pStyle w:val="Tableformat"/>
              <w:rPr>
                <w:b/>
                <w:color w:val="auto"/>
              </w:rPr>
            </w:pPr>
            <w:r w:rsidRPr="00953EC6">
              <w:rPr>
                <w:b/>
                <w:color w:val="auto"/>
              </w:rPr>
              <w:t>Payment</w:t>
            </w:r>
          </w:p>
          <w:p w14:paraId="4C8D93CA" w14:textId="77777777" w:rsidR="00FE1364" w:rsidRPr="00953EC6" w:rsidRDefault="00FE1364" w:rsidP="00334D6C">
            <w:pPr>
              <w:pStyle w:val="Tableformat"/>
              <w:rPr>
                <w:b/>
                <w:color w:val="auto"/>
              </w:rPr>
            </w:pPr>
          </w:p>
        </w:tc>
      </w:tr>
      <w:tr w:rsidR="00FE1364" w:rsidRPr="00953EC6" w14:paraId="2059F91F" w14:textId="77777777" w:rsidTr="00334D6C">
        <w:tc>
          <w:tcPr>
            <w:tcW w:w="3129" w:type="dxa"/>
            <w:vMerge/>
            <w:shd w:val="clear" w:color="auto" w:fill="F2F2F2" w:themeFill="background1" w:themeFillShade="F2"/>
          </w:tcPr>
          <w:p w14:paraId="2F5C3B1F" w14:textId="77777777" w:rsidR="00FE1364" w:rsidRPr="00953EC6" w:rsidRDefault="00FE1364" w:rsidP="00334D6C">
            <w:pPr>
              <w:pStyle w:val="Tableformat"/>
              <w:rPr>
                <w:b/>
                <w:color w:val="auto"/>
              </w:rPr>
            </w:pPr>
          </w:p>
        </w:tc>
        <w:tc>
          <w:tcPr>
            <w:tcW w:w="7664" w:type="dxa"/>
            <w:shd w:val="clear" w:color="auto" w:fill="F2F2F2" w:themeFill="background1" w:themeFillShade="F2"/>
          </w:tcPr>
          <w:p w14:paraId="0054D3BB" w14:textId="77777777" w:rsidR="00FE1364" w:rsidRPr="00953EC6" w:rsidRDefault="00FE1364" w:rsidP="00334D6C">
            <w:pPr>
              <w:pStyle w:val="Tableformat"/>
              <w:rPr>
                <w:b/>
                <w:color w:val="auto"/>
              </w:rPr>
            </w:pPr>
            <w:r w:rsidRPr="00953EC6">
              <w:rPr>
                <w:b/>
                <w:color w:val="auto"/>
                <w:sz w:val="23"/>
                <w:szCs w:val="23"/>
              </w:rPr>
              <w:t>2020-21</w:t>
            </w:r>
          </w:p>
        </w:tc>
        <w:tc>
          <w:tcPr>
            <w:tcW w:w="1989" w:type="dxa"/>
            <w:vMerge/>
            <w:shd w:val="clear" w:color="auto" w:fill="F2F2F2" w:themeFill="background1" w:themeFillShade="F2"/>
          </w:tcPr>
          <w:p w14:paraId="514B5AA4" w14:textId="77777777" w:rsidR="00FE1364" w:rsidRPr="00953EC6" w:rsidRDefault="00FE1364" w:rsidP="00334D6C">
            <w:pPr>
              <w:pStyle w:val="Tableformat"/>
              <w:rPr>
                <w:b/>
                <w:color w:val="auto"/>
              </w:rPr>
            </w:pPr>
          </w:p>
        </w:tc>
        <w:tc>
          <w:tcPr>
            <w:tcW w:w="1768" w:type="dxa"/>
            <w:vMerge/>
            <w:shd w:val="clear" w:color="auto" w:fill="F2F2F2" w:themeFill="background1" w:themeFillShade="F2"/>
          </w:tcPr>
          <w:p w14:paraId="52E117C6" w14:textId="77777777" w:rsidR="00FE1364" w:rsidRPr="00953EC6" w:rsidRDefault="00FE1364" w:rsidP="00334D6C">
            <w:pPr>
              <w:pStyle w:val="Tableformat"/>
              <w:rPr>
                <w:b/>
                <w:color w:val="auto"/>
              </w:rPr>
            </w:pPr>
          </w:p>
        </w:tc>
      </w:tr>
      <w:tr w:rsidR="00FE1364" w:rsidRPr="00953EC6" w14:paraId="7E0379A1" w14:textId="77777777" w:rsidTr="00334D6C">
        <w:tc>
          <w:tcPr>
            <w:tcW w:w="3129" w:type="dxa"/>
            <w:tcBorders>
              <w:top w:val="single" w:sz="8" w:space="0" w:color="4F81BD"/>
              <w:left w:val="single" w:sz="8" w:space="0" w:color="4F81BD"/>
              <w:bottom w:val="single" w:sz="8" w:space="0" w:color="4F81BD"/>
              <w:right w:val="single" w:sz="8" w:space="0" w:color="4F81BD"/>
            </w:tcBorders>
          </w:tcPr>
          <w:p w14:paraId="36B6ED35" w14:textId="77777777" w:rsidR="00FE1364" w:rsidRPr="00953EC6" w:rsidRDefault="00FE1364" w:rsidP="00334D6C">
            <w:pPr>
              <w:pStyle w:val="Milestonetable"/>
              <w:rPr>
                <w:color w:val="auto"/>
              </w:rPr>
            </w:pPr>
            <w:r w:rsidRPr="00953EC6">
              <w:rPr>
                <w:color w:val="auto"/>
              </w:rPr>
              <w:t>Establishing new and enhanced central coordination units or equivalent in accordance with the Council of Australian Governments Health Council Revitalised Clinical Trials Agenda.</w:t>
            </w:r>
          </w:p>
        </w:tc>
        <w:tc>
          <w:tcPr>
            <w:tcW w:w="7664" w:type="dxa"/>
            <w:tcBorders>
              <w:top w:val="single" w:sz="8" w:space="0" w:color="4F81BD"/>
              <w:left w:val="single" w:sz="8" w:space="0" w:color="4F81BD"/>
              <w:bottom w:val="single" w:sz="8" w:space="0" w:color="4F81BD"/>
              <w:right w:val="single" w:sz="8" w:space="0" w:color="4F81BD"/>
            </w:tcBorders>
            <w:shd w:val="clear" w:color="auto" w:fill="auto"/>
          </w:tcPr>
          <w:p w14:paraId="22B6E704" w14:textId="77777777" w:rsidR="00FE1364" w:rsidRPr="00953EC6" w:rsidRDefault="00FE1364" w:rsidP="00334D6C">
            <w:pPr>
              <w:rPr>
                <w:rFonts w:cs="Arial"/>
                <w:bCs/>
                <w:iCs/>
                <w:sz w:val="20"/>
              </w:rPr>
            </w:pPr>
            <w:r w:rsidRPr="00953EC6">
              <w:rPr>
                <w:rFonts w:cs="Arial"/>
                <w:bCs/>
                <w:iCs/>
                <w:sz w:val="20"/>
              </w:rPr>
              <w:t>Continue to implement three AHRTC CTCSPs and deliver consolidated priority expertise and/or programs as identified in CTCSP Activity Plans and NSW Progress Report, and agreed with the Commonwealth.</w:t>
            </w:r>
          </w:p>
          <w:p w14:paraId="5DC95958" w14:textId="77777777" w:rsidR="00FE1364" w:rsidRPr="00953EC6" w:rsidRDefault="00FE1364" w:rsidP="00334D6C">
            <w:pPr>
              <w:rPr>
                <w:rFonts w:cs="Arial"/>
                <w:bCs/>
                <w:iCs/>
                <w:sz w:val="20"/>
              </w:rPr>
            </w:pPr>
            <w:r w:rsidRPr="00953EC6">
              <w:rPr>
                <w:rFonts w:cs="Arial"/>
                <w:bCs/>
                <w:iCs/>
                <w:sz w:val="20"/>
              </w:rPr>
              <w:t>Complete formal analysis of trial activity compared to baseline (to be provided in 17-18 performance report and agreed with the Commonwealth) to demonstrate the impact of CTCSPs and support the business case for ongoing delivery as an effective and sustainable model</w:t>
            </w:r>
          </w:p>
          <w:p w14:paraId="10757D75" w14:textId="77777777" w:rsidR="00FE1364" w:rsidRPr="00953EC6" w:rsidRDefault="00FE1364" w:rsidP="00334D6C">
            <w:pPr>
              <w:pStyle w:val="Milestonetable"/>
              <w:rPr>
                <w:bCs/>
                <w:color w:val="auto"/>
              </w:rPr>
            </w:pPr>
            <w:r w:rsidRPr="00953EC6">
              <w:rPr>
                <w:bCs/>
                <w:color w:val="auto"/>
              </w:rPr>
              <w:t>Complete formal analysis of number of trials and trial sites with access to prioritised expertise and support services compared to baseline (to be provided in 17-18 performance report and agreed with the Commonwealth) to demonstrate the impact of CTCSPs and support the business case for ongoing delivery as an effective and sustainable model</w:t>
            </w:r>
          </w:p>
        </w:tc>
        <w:tc>
          <w:tcPr>
            <w:tcW w:w="1989" w:type="dxa"/>
            <w:vMerge w:val="restart"/>
            <w:tcBorders>
              <w:top w:val="single" w:sz="8" w:space="0" w:color="4F81BD"/>
              <w:left w:val="single" w:sz="8" w:space="0" w:color="4F81BD"/>
              <w:right w:val="single" w:sz="8" w:space="0" w:color="4F81BD"/>
            </w:tcBorders>
            <w:shd w:val="clear" w:color="auto" w:fill="auto"/>
          </w:tcPr>
          <w:p w14:paraId="065AA7FB" w14:textId="77777777" w:rsidR="00FE1364" w:rsidRPr="00953EC6" w:rsidRDefault="00FE1364" w:rsidP="00334D6C">
            <w:pPr>
              <w:pStyle w:val="Milestonetable"/>
              <w:rPr>
                <w:color w:val="auto"/>
              </w:rPr>
            </w:pPr>
            <w:r w:rsidRPr="00953EC6">
              <w:rPr>
                <w:color w:val="auto"/>
              </w:rPr>
              <w:t>15 May 2021</w:t>
            </w:r>
          </w:p>
        </w:tc>
        <w:tc>
          <w:tcPr>
            <w:tcW w:w="1768" w:type="dxa"/>
            <w:vMerge w:val="restart"/>
            <w:tcBorders>
              <w:top w:val="single" w:sz="8" w:space="0" w:color="4F81BD"/>
              <w:left w:val="single" w:sz="8" w:space="0" w:color="4F81BD"/>
              <w:right w:val="single" w:sz="8" w:space="0" w:color="4F81BD"/>
            </w:tcBorders>
            <w:shd w:val="clear" w:color="auto" w:fill="auto"/>
          </w:tcPr>
          <w:p w14:paraId="5EEAFDAE" w14:textId="77777777" w:rsidR="00FE1364" w:rsidRPr="00953EC6" w:rsidRDefault="00FE1364" w:rsidP="00334D6C">
            <w:pPr>
              <w:pStyle w:val="Milestonetable"/>
              <w:rPr>
                <w:color w:val="auto"/>
              </w:rPr>
            </w:pPr>
            <w:r w:rsidRPr="00953EC6">
              <w:rPr>
                <w:color w:val="auto"/>
              </w:rPr>
              <w:t>$300,020</w:t>
            </w:r>
          </w:p>
          <w:p w14:paraId="7812F092" w14:textId="77777777" w:rsidR="00FE1364" w:rsidRPr="00953EC6" w:rsidRDefault="00FE1364" w:rsidP="00334D6C">
            <w:pPr>
              <w:pStyle w:val="Milestonetable"/>
              <w:jc w:val="right"/>
              <w:rPr>
                <w:color w:val="auto"/>
              </w:rPr>
            </w:pPr>
          </w:p>
          <w:p w14:paraId="09A4149E" w14:textId="77777777" w:rsidR="00FE1364" w:rsidRPr="00953EC6" w:rsidRDefault="00FE1364" w:rsidP="00334D6C">
            <w:pPr>
              <w:pStyle w:val="Milestonetable"/>
              <w:jc w:val="right"/>
              <w:rPr>
                <w:color w:val="auto"/>
              </w:rPr>
            </w:pPr>
          </w:p>
          <w:p w14:paraId="76B7A35F" w14:textId="77777777" w:rsidR="00FE1364" w:rsidRPr="00953EC6" w:rsidRDefault="00FE1364" w:rsidP="00334D6C">
            <w:pPr>
              <w:pStyle w:val="Milestonetable"/>
              <w:jc w:val="right"/>
              <w:rPr>
                <w:color w:val="auto"/>
              </w:rPr>
            </w:pPr>
          </w:p>
        </w:tc>
      </w:tr>
      <w:tr w:rsidR="00FE1364" w:rsidRPr="00953EC6" w14:paraId="15071DFA" w14:textId="77777777" w:rsidTr="00334D6C">
        <w:tc>
          <w:tcPr>
            <w:tcW w:w="3129" w:type="dxa"/>
            <w:tcBorders>
              <w:top w:val="single" w:sz="8" w:space="0" w:color="4F81BD"/>
              <w:left w:val="single" w:sz="8" w:space="0" w:color="4F81BD"/>
              <w:bottom w:val="single" w:sz="8" w:space="0" w:color="4F81BD"/>
              <w:right w:val="single" w:sz="8" w:space="0" w:color="4F81BD"/>
            </w:tcBorders>
          </w:tcPr>
          <w:p w14:paraId="665E1B15" w14:textId="77777777" w:rsidR="00FE1364" w:rsidRPr="00953EC6" w:rsidRDefault="00FE1364" w:rsidP="00334D6C">
            <w:pPr>
              <w:pStyle w:val="Milestonetable"/>
              <w:rPr>
                <w:bCs/>
                <w:color w:val="auto"/>
              </w:rPr>
            </w:pPr>
            <w:r w:rsidRPr="00953EC6">
              <w:rPr>
                <w:color w:val="auto"/>
              </w:rPr>
              <w:t>Implementing new and enhanced clinical trial data collection and reporting to inform systems improvement with interoperability and data flow capability, and contribute to better sector knowledge, recruitment and overall sector performance, including through continued implementation and expansion of metrics and ongoing submission of data to the national data collection under the Framework for National Aggregate Statistics (NAS).</w:t>
            </w:r>
          </w:p>
        </w:tc>
        <w:tc>
          <w:tcPr>
            <w:tcW w:w="7664" w:type="dxa"/>
            <w:tcBorders>
              <w:top w:val="single" w:sz="8" w:space="0" w:color="4F81BD"/>
              <w:left w:val="single" w:sz="8" w:space="0" w:color="4F81BD"/>
              <w:bottom w:val="single" w:sz="8" w:space="0" w:color="4F81BD"/>
              <w:right w:val="single" w:sz="8" w:space="0" w:color="4F81BD"/>
            </w:tcBorders>
            <w:shd w:val="clear" w:color="auto" w:fill="auto"/>
          </w:tcPr>
          <w:p w14:paraId="4341EFBC" w14:textId="77777777" w:rsidR="00FE1364" w:rsidRPr="00953EC6" w:rsidRDefault="00FE1364" w:rsidP="00334D6C">
            <w:pPr>
              <w:pStyle w:val="Milestonetable"/>
              <w:rPr>
                <w:bCs/>
                <w:color w:val="auto"/>
              </w:rPr>
            </w:pPr>
            <w:r w:rsidRPr="00953EC6">
              <w:rPr>
                <w:bCs/>
                <w:color w:val="auto"/>
              </w:rPr>
              <w:t>Contribution of data to the expanded National Aggregate Statistics (NAS) 2020-21, as agreed by the Clinical Trials Project Reference Group (CTPRG).</w:t>
            </w:r>
          </w:p>
        </w:tc>
        <w:tc>
          <w:tcPr>
            <w:tcW w:w="1989" w:type="dxa"/>
            <w:vMerge/>
            <w:tcBorders>
              <w:left w:val="single" w:sz="8" w:space="0" w:color="4F81BD"/>
              <w:right w:val="single" w:sz="8" w:space="0" w:color="4F81BD"/>
            </w:tcBorders>
            <w:shd w:val="clear" w:color="auto" w:fill="auto"/>
          </w:tcPr>
          <w:p w14:paraId="5396E9D8" w14:textId="77777777" w:rsidR="00FE1364" w:rsidRPr="00953EC6" w:rsidRDefault="00FE1364" w:rsidP="00334D6C">
            <w:pPr>
              <w:pStyle w:val="Milestonetable"/>
              <w:rPr>
                <w:color w:val="auto"/>
              </w:rPr>
            </w:pPr>
          </w:p>
        </w:tc>
        <w:tc>
          <w:tcPr>
            <w:tcW w:w="1768" w:type="dxa"/>
            <w:vMerge/>
            <w:tcBorders>
              <w:left w:val="single" w:sz="8" w:space="0" w:color="4F81BD"/>
              <w:right w:val="single" w:sz="8" w:space="0" w:color="4F81BD"/>
            </w:tcBorders>
            <w:shd w:val="clear" w:color="auto" w:fill="auto"/>
          </w:tcPr>
          <w:p w14:paraId="5F95E88C" w14:textId="77777777" w:rsidR="00FE1364" w:rsidRPr="00953EC6" w:rsidRDefault="00FE1364" w:rsidP="00334D6C">
            <w:pPr>
              <w:pStyle w:val="Milestonetable"/>
              <w:jc w:val="right"/>
              <w:rPr>
                <w:color w:val="auto"/>
              </w:rPr>
            </w:pPr>
          </w:p>
        </w:tc>
      </w:tr>
      <w:tr w:rsidR="00FE1364" w:rsidRPr="00953EC6" w14:paraId="3A36085A" w14:textId="77777777" w:rsidTr="00334D6C">
        <w:tc>
          <w:tcPr>
            <w:tcW w:w="3129" w:type="dxa"/>
            <w:tcBorders>
              <w:top w:val="single" w:sz="8" w:space="0" w:color="4F81BD"/>
              <w:left w:val="single" w:sz="8" w:space="0" w:color="4F81BD"/>
              <w:bottom w:val="single" w:sz="8" w:space="0" w:color="4F81BD"/>
              <w:right w:val="single" w:sz="8" w:space="0" w:color="4F81BD"/>
            </w:tcBorders>
          </w:tcPr>
          <w:p w14:paraId="4D15AE80" w14:textId="77777777" w:rsidR="00FE1364" w:rsidRPr="00953EC6" w:rsidRDefault="00FE1364" w:rsidP="00334D6C">
            <w:pPr>
              <w:pStyle w:val="Milestonetable"/>
              <w:rPr>
                <w:bCs/>
                <w:color w:val="auto"/>
              </w:rPr>
            </w:pPr>
            <w:r w:rsidRPr="00953EC6">
              <w:rPr>
                <w:bCs/>
                <w:color w:val="auto"/>
              </w:rPr>
              <w:t>E</w:t>
            </w:r>
            <w:r w:rsidRPr="00953EC6">
              <w:rPr>
                <w:color w:val="auto"/>
              </w:rPr>
              <w:t>stablishing and maintaining new networks and partnerships within and between jurisdictions, clinical trial networks, communities of practice (eg. oncology, working with ATSI groups) and registries.</w:t>
            </w:r>
          </w:p>
        </w:tc>
        <w:tc>
          <w:tcPr>
            <w:tcW w:w="7664" w:type="dxa"/>
            <w:tcBorders>
              <w:top w:val="single" w:sz="8" w:space="0" w:color="4F81BD"/>
              <w:left w:val="single" w:sz="8" w:space="0" w:color="4F81BD"/>
              <w:bottom w:val="single" w:sz="8" w:space="0" w:color="4F81BD"/>
              <w:right w:val="single" w:sz="8" w:space="0" w:color="4F81BD"/>
            </w:tcBorders>
            <w:shd w:val="clear" w:color="auto" w:fill="auto"/>
          </w:tcPr>
          <w:p w14:paraId="53D4448F" w14:textId="77777777" w:rsidR="00FE1364" w:rsidRPr="00953EC6" w:rsidRDefault="00FE1364" w:rsidP="00334D6C">
            <w:pPr>
              <w:rPr>
                <w:rFonts w:cs="Arial"/>
                <w:bCs/>
                <w:iCs/>
                <w:sz w:val="20"/>
              </w:rPr>
            </w:pPr>
            <w:r w:rsidRPr="00953EC6">
              <w:rPr>
                <w:rFonts w:cs="Arial"/>
                <w:bCs/>
                <w:iCs/>
                <w:sz w:val="20"/>
              </w:rPr>
              <w:t>Continue to implement a shared clinical trial platform across the three AHRTCs, and complete overarching activities across AHRTCs that demonstrate improvement in clinical trial finance management, awareness and acceptance, availability and sharing of quality systems, as identified in CTCSP Activity Plans and NSW Progress Report, and agreed with the Commonwealth.</w:t>
            </w:r>
          </w:p>
          <w:p w14:paraId="1156F68C" w14:textId="77777777" w:rsidR="00FE1364" w:rsidRPr="00953EC6" w:rsidRDefault="00FE1364" w:rsidP="00334D6C">
            <w:pPr>
              <w:pStyle w:val="Milestonetable"/>
              <w:rPr>
                <w:bCs/>
                <w:color w:val="auto"/>
              </w:rPr>
            </w:pPr>
            <w:r w:rsidRPr="00953EC6">
              <w:rPr>
                <w:bCs/>
                <w:color w:val="auto"/>
              </w:rPr>
              <w:t>Complete analysis of increased interaction, collaboration and sharing of best practice and expertise across the Office for Health and Medical Research and the three AHRTCs compared to baseline (to be provided in 17-18 performance report) to demonstrate impact.</w:t>
            </w:r>
          </w:p>
        </w:tc>
        <w:tc>
          <w:tcPr>
            <w:tcW w:w="1989" w:type="dxa"/>
            <w:vMerge/>
            <w:tcBorders>
              <w:left w:val="single" w:sz="8" w:space="0" w:color="4F81BD"/>
              <w:right w:val="single" w:sz="8" w:space="0" w:color="4F81BD"/>
            </w:tcBorders>
            <w:shd w:val="clear" w:color="auto" w:fill="auto"/>
          </w:tcPr>
          <w:p w14:paraId="503D0F1B" w14:textId="77777777" w:rsidR="00FE1364" w:rsidRPr="00953EC6" w:rsidRDefault="00FE1364" w:rsidP="00334D6C">
            <w:pPr>
              <w:pStyle w:val="Milestonetable"/>
              <w:rPr>
                <w:color w:val="auto"/>
              </w:rPr>
            </w:pPr>
          </w:p>
        </w:tc>
        <w:tc>
          <w:tcPr>
            <w:tcW w:w="1768" w:type="dxa"/>
            <w:vMerge/>
            <w:tcBorders>
              <w:left w:val="single" w:sz="8" w:space="0" w:color="4F81BD"/>
              <w:right w:val="single" w:sz="8" w:space="0" w:color="4F81BD"/>
            </w:tcBorders>
            <w:shd w:val="clear" w:color="auto" w:fill="auto"/>
          </w:tcPr>
          <w:p w14:paraId="51796C21" w14:textId="77777777" w:rsidR="00FE1364" w:rsidRPr="00953EC6" w:rsidRDefault="00FE1364" w:rsidP="00334D6C">
            <w:pPr>
              <w:pStyle w:val="Milestonetable"/>
              <w:jc w:val="right"/>
              <w:rPr>
                <w:color w:val="auto"/>
              </w:rPr>
            </w:pPr>
          </w:p>
        </w:tc>
      </w:tr>
      <w:tr w:rsidR="00FE1364" w:rsidRPr="00953EC6" w14:paraId="1007987D" w14:textId="77777777" w:rsidTr="00334D6C">
        <w:tc>
          <w:tcPr>
            <w:tcW w:w="3129" w:type="dxa"/>
            <w:tcBorders>
              <w:top w:val="single" w:sz="8" w:space="0" w:color="4F81BD"/>
              <w:left w:val="single" w:sz="8" w:space="0" w:color="4F81BD"/>
              <w:bottom w:val="single" w:sz="8" w:space="0" w:color="4F81BD"/>
              <w:right w:val="single" w:sz="8" w:space="0" w:color="4F81BD"/>
            </w:tcBorders>
          </w:tcPr>
          <w:p w14:paraId="45EB40C8" w14:textId="77777777" w:rsidR="00FE1364" w:rsidRPr="00953EC6" w:rsidRDefault="00FE1364" w:rsidP="00334D6C">
            <w:pPr>
              <w:pStyle w:val="Milestonetable"/>
              <w:rPr>
                <w:color w:val="auto"/>
              </w:rPr>
            </w:pPr>
            <w:r w:rsidRPr="00953EC6">
              <w:rPr>
                <w:color w:val="auto"/>
              </w:rPr>
              <w:t>Embedding research and clinical trials processes into core hospital governance arrangements.</w:t>
            </w:r>
          </w:p>
        </w:tc>
        <w:tc>
          <w:tcPr>
            <w:tcW w:w="7664" w:type="dxa"/>
            <w:tcBorders>
              <w:top w:val="single" w:sz="8" w:space="0" w:color="4F81BD"/>
              <w:left w:val="single" w:sz="8" w:space="0" w:color="4F81BD"/>
              <w:bottom w:val="single" w:sz="8" w:space="0" w:color="4F81BD"/>
              <w:right w:val="single" w:sz="8" w:space="0" w:color="4F81BD"/>
            </w:tcBorders>
            <w:shd w:val="clear" w:color="auto" w:fill="auto"/>
          </w:tcPr>
          <w:p w14:paraId="6D211B8F" w14:textId="77777777" w:rsidR="00FE1364" w:rsidRPr="00953EC6" w:rsidRDefault="00FE1364" w:rsidP="00334D6C">
            <w:pPr>
              <w:pStyle w:val="Milestonetable"/>
              <w:rPr>
                <w:bCs/>
                <w:color w:val="auto"/>
              </w:rPr>
            </w:pPr>
            <w:r w:rsidRPr="00953EC6">
              <w:rPr>
                <w:bCs/>
                <w:color w:val="auto"/>
              </w:rPr>
              <w:t xml:space="preserve">Active engagement with CTPRG, Commonwealth and </w:t>
            </w:r>
            <w:r w:rsidRPr="00953EC6">
              <w:rPr>
                <w:color w:val="auto"/>
              </w:rPr>
              <w:t xml:space="preserve">Australian Commission on Safety and Quality in Health Care (ACSQHC) </w:t>
            </w:r>
            <w:r w:rsidRPr="00953EC6">
              <w:rPr>
                <w:bCs/>
                <w:color w:val="auto"/>
              </w:rPr>
              <w:t>to implement the national Clinical Trials Governance Framework.</w:t>
            </w:r>
          </w:p>
        </w:tc>
        <w:tc>
          <w:tcPr>
            <w:tcW w:w="1989" w:type="dxa"/>
            <w:vMerge/>
            <w:tcBorders>
              <w:left w:val="single" w:sz="8" w:space="0" w:color="4F81BD"/>
              <w:bottom w:val="single" w:sz="8" w:space="0" w:color="4F81BD"/>
              <w:right w:val="single" w:sz="8" w:space="0" w:color="4F81BD"/>
            </w:tcBorders>
            <w:shd w:val="clear" w:color="auto" w:fill="auto"/>
          </w:tcPr>
          <w:p w14:paraId="2A2B3429" w14:textId="77777777" w:rsidR="00FE1364" w:rsidRPr="00953EC6" w:rsidRDefault="00FE1364" w:rsidP="00334D6C">
            <w:pPr>
              <w:pStyle w:val="Milestonetable"/>
              <w:rPr>
                <w:color w:val="auto"/>
              </w:rPr>
            </w:pPr>
          </w:p>
        </w:tc>
        <w:tc>
          <w:tcPr>
            <w:tcW w:w="1768" w:type="dxa"/>
            <w:vMerge/>
            <w:tcBorders>
              <w:left w:val="single" w:sz="8" w:space="0" w:color="4F81BD"/>
              <w:bottom w:val="single" w:sz="8" w:space="0" w:color="4F81BD"/>
              <w:right w:val="single" w:sz="8" w:space="0" w:color="4F81BD"/>
            </w:tcBorders>
            <w:shd w:val="clear" w:color="auto" w:fill="auto"/>
          </w:tcPr>
          <w:p w14:paraId="567CE26F" w14:textId="77777777" w:rsidR="00FE1364" w:rsidRPr="00953EC6" w:rsidRDefault="00FE1364" w:rsidP="00334D6C">
            <w:pPr>
              <w:pStyle w:val="Milestonetable"/>
              <w:jc w:val="right"/>
              <w:rPr>
                <w:color w:val="auto"/>
              </w:rPr>
            </w:pPr>
          </w:p>
        </w:tc>
      </w:tr>
    </w:tbl>
    <w:p w14:paraId="0E71B6ED" w14:textId="77777777" w:rsidR="00FE1364" w:rsidRDefault="00FE1364" w:rsidP="00FE1364">
      <w:pPr>
        <w:tabs>
          <w:tab w:val="left" w:pos="3865"/>
        </w:tabs>
      </w:pPr>
      <w:r w:rsidRPr="00A829E7">
        <w:t xml:space="preserve">This schedule was agreed by the </w:t>
      </w:r>
      <w:r>
        <w:t xml:space="preserve">Commonwealth </w:t>
      </w:r>
      <w:r w:rsidRPr="00A829E7">
        <w:t>and</w:t>
      </w:r>
      <w:r>
        <w:t xml:space="preserve"> New South Wales </w:t>
      </w:r>
      <w:r w:rsidRPr="00A829E7">
        <w:t>when the overarching National Partnership</w:t>
      </w:r>
      <w:r>
        <w:t xml:space="preserve"> was signed.</w:t>
      </w:r>
    </w:p>
    <w:p w14:paraId="3B834876" w14:textId="77777777" w:rsidR="00FE1364" w:rsidRDefault="00FE1364" w:rsidP="00FE1364">
      <w:pPr>
        <w:tabs>
          <w:tab w:val="left" w:pos="3865"/>
        </w:tabs>
      </w:pPr>
    </w:p>
    <w:p w14:paraId="367FB0B5" w14:textId="77777777" w:rsidR="00FE1364" w:rsidRPr="00394F18" w:rsidRDefault="00FE1364" w:rsidP="00FE1364">
      <w:pPr>
        <w:tabs>
          <w:tab w:val="left" w:pos="3865"/>
        </w:tabs>
        <w:rPr>
          <w:b/>
        </w:rPr>
      </w:pPr>
      <w:r w:rsidRPr="00394F18">
        <w:rPr>
          <w:b/>
        </w:rPr>
        <w:t>NSW Project Plan summary</w:t>
      </w:r>
    </w:p>
    <w:p w14:paraId="5BAAE16D" w14:textId="77777777" w:rsidR="00FE1364" w:rsidRPr="00953EC6" w:rsidRDefault="00FE1364" w:rsidP="00FE1364">
      <w:pPr>
        <w:spacing w:before="80" w:after="80"/>
        <w:rPr>
          <w:rFonts w:cs="Arial"/>
          <w:iCs/>
        </w:rPr>
      </w:pPr>
      <w:r w:rsidRPr="00953EC6">
        <w:rPr>
          <w:rFonts w:cs="Arial"/>
          <w:iCs/>
        </w:rPr>
        <w:t>New South Wales will seed fund the New South Wales Australian Health Research Translation Centres (AHRTCs) to:</w:t>
      </w:r>
    </w:p>
    <w:p w14:paraId="4596EBFD" w14:textId="77777777" w:rsidR="00FE1364" w:rsidRPr="00953EC6" w:rsidRDefault="00FE1364" w:rsidP="00FE1364">
      <w:pPr>
        <w:pStyle w:val="Tableformat"/>
        <w:numPr>
          <w:ilvl w:val="0"/>
          <w:numId w:val="8"/>
        </w:numPr>
        <w:rPr>
          <w:color w:val="auto"/>
          <w:sz w:val="22"/>
          <w:szCs w:val="22"/>
        </w:rPr>
      </w:pPr>
      <w:r w:rsidRPr="00953EC6">
        <w:rPr>
          <w:color w:val="auto"/>
          <w:sz w:val="22"/>
          <w:szCs w:val="22"/>
        </w:rPr>
        <w:t>develop Clinical Trial Coordination and Support Platforms (CTCSPs) aligned with the Sydney Health Partners, the Sydney Partnership for Health, Education, Research and Enterprise (SPHERE) and NSW Regional Health Partners, and including metropolitan Local Health Districts (NHDs) and Specialty Health Networks (SHN);</w:t>
      </w:r>
    </w:p>
    <w:p w14:paraId="49E81723" w14:textId="77777777" w:rsidR="00FE1364" w:rsidRPr="00953EC6" w:rsidRDefault="00FE1364" w:rsidP="00FE1364">
      <w:pPr>
        <w:pStyle w:val="Tableformat"/>
        <w:numPr>
          <w:ilvl w:val="0"/>
          <w:numId w:val="8"/>
        </w:numPr>
        <w:rPr>
          <w:color w:val="auto"/>
          <w:sz w:val="22"/>
          <w:szCs w:val="22"/>
        </w:rPr>
      </w:pPr>
      <w:r w:rsidRPr="00953EC6">
        <w:rPr>
          <w:color w:val="auto"/>
          <w:sz w:val="22"/>
          <w:szCs w:val="22"/>
        </w:rPr>
        <w:t xml:space="preserve">provide facilitation services, via the CTCSPs, for sponsors, investigators, referrers, administrators and participants accessing and navigating trials; </w:t>
      </w:r>
    </w:p>
    <w:p w14:paraId="67CC6577" w14:textId="77777777" w:rsidR="00FE1364" w:rsidRPr="00953EC6" w:rsidRDefault="00FE1364" w:rsidP="00FE1364">
      <w:pPr>
        <w:pStyle w:val="Tableformat"/>
        <w:numPr>
          <w:ilvl w:val="0"/>
          <w:numId w:val="8"/>
        </w:numPr>
        <w:rPr>
          <w:color w:val="auto"/>
          <w:sz w:val="22"/>
          <w:szCs w:val="22"/>
        </w:rPr>
      </w:pPr>
      <w:r w:rsidRPr="00953EC6">
        <w:rPr>
          <w:color w:val="auto"/>
          <w:sz w:val="22"/>
          <w:szCs w:val="22"/>
        </w:rPr>
        <w:t>provide an overarching framework for research governance;</w:t>
      </w:r>
    </w:p>
    <w:p w14:paraId="275D7893" w14:textId="77777777" w:rsidR="00FE1364" w:rsidRPr="00953EC6" w:rsidRDefault="00FE1364" w:rsidP="00FE1364">
      <w:pPr>
        <w:pStyle w:val="Tableformat"/>
        <w:numPr>
          <w:ilvl w:val="0"/>
          <w:numId w:val="8"/>
        </w:numPr>
        <w:rPr>
          <w:color w:val="auto"/>
          <w:sz w:val="22"/>
          <w:szCs w:val="22"/>
        </w:rPr>
      </w:pPr>
      <w:r w:rsidRPr="00953EC6">
        <w:rPr>
          <w:color w:val="auto"/>
          <w:sz w:val="22"/>
          <w:szCs w:val="22"/>
        </w:rPr>
        <w:t xml:space="preserve">partner with investigators and their teams to ensure timely and efficient activation and execution of trials; </w:t>
      </w:r>
    </w:p>
    <w:p w14:paraId="47E759EC" w14:textId="77777777" w:rsidR="00FE1364" w:rsidRPr="00953EC6" w:rsidRDefault="00FE1364" w:rsidP="00FE1364">
      <w:pPr>
        <w:pStyle w:val="Tableformat"/>
        <w:numPr>
          <w:ilvl w:val="0"/>
          <w:numId w:val="8"/>
        </w:numPr>
        <w:rPr>
          <w:color w:val="auto"/>
          <w:sz w:val="22"/>
          <w:szCs w:val="22"/>
        </w:rPr>
      </w:pPr>
      <w:r w:rsidRPr="00953EC6">
        <w:rPr>
          <w:color w:val="auto"/>
          <w:sz w:val="22"/>
          <w:szCs w:val="22"/>
        </w:rPr>
        <w:t>develop shared infrastructure; and</w:t>
      </w:r>
    </w:p>
    <w:p w14:paraId="11718742" w14:textId="77777777" w:rsidR="00FE1364" w:rsidRPr="00953EC6" w:rsidRDefault="00FE1364" w:rsidP="00FE1364">
      <w:pPr>
        <w:pStyle w:val="Tableformat"/>
        <w:numPr>
          <w:ilvl w:val="0"/>
          <w:numId w:val="8"/>
        </w:numPr>
        <w:rPr>
          <w:color w:val="auto"/>
          <w:sz w:val="22"/>
          <w:szCs w:val="22"/>
        </w:rPr>
      </w:pPr>
      <w:r w:rsidRPr="00953EC6">
        <w:rPr>
          <w:color w:val="auto"/>
          <w:sz w:val="22"/>
          <w:szCs w:val="22"/>
        </w:rPr>
        <w:t>drive complementary improvement initiatives via LHDs in the areas of clinical trials start-up; costings; clinical trials management; and quality management to deliver specialist advice and support in key areas such as trial feasibility, financial and contractual arrangements, recruitment strategies and performance monitoring.</w:t>
      </w:r>
    </w:p>
    <w:p w14:paraId="4B5E9E42" w14:textId="77777777" w:rsidR="00FE1364" w:rsidRDefault="00FE1364" w:rsidP="00FE1364">
      <w: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09"/>
        <w:gridCol w:w="7813"/>
        <w:gridCol w:w="1929"/>
        <w:gridCol w:w="1699"/>
      </w:tblGrid>
      <w:tr w:rsidR="00FE1364" w:rsidRPr="00953EC6" w14:paraId="3A369413" w14:textId="77777777" w:rsidTr="00334D6C">
        <w:tc>
          <w:tcPr>
            <w:tcW w:w="14550" w:type="dxa"/>
            <w:gridSpan w:val="4"/>
            <w:shd w:val="clear" w:color="auto" w:fill="DEEAF6" w:themeFill="accent1" w:themeFillTint="33"/>
          </w:tcPr>
          <w:p w14:paraId="07EA150F" w14:textId="77777777" w:rsidR="00FE1364" w:rsidRPr="00953EC6" w:rsidRDefault="00FE1364" w:rsidP="00334D6C">
            <w:pPr>
              <w:pStyle w:val="Tableformat"/>
              <w:rPr>
                <w:b/>
                <w:color w:val="auto"/>
              </w:rPr>
            </w:pPr>
            <w:r w:rsidRPr="00953EC6">
              <w:rPr>
                <w:b/>
                <w:color w:val="auto"/>
              </w:rPr>
              <w:t>Table 2B: Victoria – Performance requirements, reporting and payment summary</w:t>
            </w:r>
          </w:p>
        </w:tc>
      </w:tr>
      <w:tr w:rsidR="00FE1364" w:rsidRPr="00953EC6" w14:paraId="79AFCCB1" w14:textId="77777777" w:rsidTr="00334D6C">
        <w:tc>
          <w:tcPr>
            <w:tcW w:w="3109" w:type="dxa"/>
            <w:vMerge w:val="restart"/>
            <w:shd w:val="clear" w:color="auto" w:fill="F2F2F2" w:themeFill="background1" w:themeFillShade="F2"/>
          </w:tcPr>
          <w:p w14:paraId="5ADB7C82" w14:textId="77777777" w:rsidR="00FE1364" w:rsidRPr="00953EC6" w:rsidRDefault="00FE1364" w:rsidP="00334D6C">
            <w:pPr>
              <w:pStyle w:val="Tableformat"/>
              <w:rPr>
                <w:b/>
                <w:color w:val="auto"/>
              </w:rPr>
            </w:pPr>
            <w:r w:rsidRPr="00953EC6">
              <w:rPr>
                <w:b/>
                <w:color w:val="auto"/>
              </w:rPr>
              <w:t>Output</w:t>
            </w:r>
          </w:p>
          <w:p w14:paraId="31447EBD" w14:textId="77777777" w:rsidR="00FE1364" w:rsidRPr="00953EC6" w:rsidRDefault="00FE1364" w:rsidP="00334D6C">
            <w:pPr>
              <w:pStyle w:val="Tableformat"/>
              <w:rPr>
                <w:b/>
                <w:color w:val="auto"/>
              </w:rPr>
            </w:pPr>
          </w:p>
        </w:tc>
        <w:tc>
          <w:tcPr>
            <w:tcW w:w="7813" w:type="dxa"/>
            <w:shd w:val="clear" w:color="auto" w:fill="F2F2F2" w:themeFill="background1" w:themeFillShade="F2"/>
          </w:tcPr>
          <w:p w14:paraId="2BBEE7A3" w14:textId="77777777" w:rsidR="00FE1364" w:rsidRPr="00953EC6" w:rsidRDefault="00FE1364" w:rsidP="00334D6C">
            <w:pPr>
              <w:pStyle w:val="Tableformat"/>
              <w:rPr>
                <w:b/>
                <w:color w:val="auto"/>
              </w:rPr>
            </w:pPr>
            <w:r w:rsidRPr="00953EC6">
              <w:rPr>
                <w:b/>
                <w:color w:val="auto"/>
              </w:rPr>
              <w:t>Performance milestones</w:t>
            </w:r>
          </w:p>
        </w:tc>
        <w:tc>
          <w:tcPr>
            <w:tcW w:w="1929" w:type="dxa"/>
            <w:vMerge w:val="restart"/>
            <w:shd w:val="clear" w:color="auto" w:fill="F2F2F2" w:themeFill="background1" w:themeFillShade="F2"/>
          </w:tcPr>
          <w:p w14:paraId="55C91CEC" w14:textId="77777777" w:rsidR="00FE1364" w:rsidRPr="00953EC6" w:rsidRDefault="00FE1364" w:rsidP="00334D6C">
            <w:pPr>
              <w:pStyle w:val="Tableformat"/>
              <w:rPr>
                <w:b/>
                <w:color w:val="auto"/>
              </w:rPr>
            </w:pPr>
            <w:r w:rsidRPr="00953EC6">
              <w:rPr>
                <w:b/>
                <w:color w:val="auto"/>
              </w:rPr>
              <w:t>Report due</w:t>
            </w:r>
          </w:p>
        </w:tc>
        <w:tc>
          <w:tcPr>
            <w:tcW w:w="1699" w:type="dxa"/>
            <w:vMerge w:val="restart"/>
            <w:shd w:val="clear" w:color="auto" w:fill="F2F2F2" w:themeFill="background1" w:themeFillShade="F2"/>
          </w:tcPr>
          <w:p w14:paraId="1F67793B" w14:textId="77777777" w:rsidR="00FE1364" w:rsidRPr="00953EC6" w:rsidRDefault="00FE1364" w:rsidP="00334D6C">
            <w:pPr>
              <w:pStyle w:val="Tableformat"/>
              <w:rPr>
                <w:b/>
                <w:color w:val="auto"/>
              </w:rPr>
            </w:pPr>
            <w:r w:rsidRPr="00953EC6">
              <w:rPr>
                <w:b/>
                <w:color w:val="auto"/>
              </w:rPr>
              <w:t>Payment</w:t>
            </w:r>
          </w:p>
          <w:p w14:paraId="5FA28AB3" w14:textId="77777777" w:rsidR="00FE1364" w:rsidRPr="00953EC6" w:rsidRDefault="00FE1364" w:rsidP="00334D6C">
            <w:pPr>
              <w:pStyle w:val="Tableformat"/>
              <w:rPr>
                <w:b/>
                <w:color w:val="auto"/>
              </w:rPr>
            </w:pPr>
          </w:p>
        </w:tc>
      </w:tr>
      <w:tr w:rsidR="00FE1364" w:rsidRPr="00953EC6" w14:paraId="69A43C71" w14:textId="77777777" w:rsidTr="00334D6C">
        <w:tc>
          <w:tcPr>
            <w:tcW w:w="3109" w:type="dxa"/>
            <w:vMerge/>
            <w:shd w:val="clear" w:color="auto" w:fill="F2F2F2" w:themeFill="background1" w:themeFillShade="F2"/>
          </w:tcPr>
          <w:p w14:paraId="684C9012" w14:textId="77777777" w:rsidR="00FE1364" w:rsidRPr="00953EC6" w:rsidRDefault="00FE1364" w:rsidP="00334D6C">
            <w:pPr>
              <w:pStyle w:val="Tableformat"/>
              <w:rPr>
                <w:b/>
                <w:color w:val="auto"/>
              </w:rPr>
            </w:pPr>
          </w:p>
        </w:tc>
        <w:tc>
          <w:tcPr>
            <w:tcW w:w="7813" w:type="dxa"/>
            <w:shd w:val="clear" w:color="auto" w:fill="F2F2F2" w:themeFill="background1" w:themeFillShade="F2"/>
          </w:tcPr>
          <w:p w14:paraId="5C3FE06C" w14:textId="77777777" w:rsidR="00FE1364" w:rsidRPr="00953EC6" w:rsidRDefault="00FE1364" w:rsidP="00334D6C">
            <w:pPr>
              <w:pStyle w:val="Tableformat"/>
              <w:rPr>
                <w:b/>
                <w:color w:val="auto"/>
              </w:rPr>
            </w:pPr>
            <w:r w:rsidRPr="00953EC6">
              <w:rPr>
                <w:b/>
                <w:color w:val="auto"/>
                <w:sz w:val="23"/>
                <w:szCs w:val="23"/>
              </w:rPr>
              <w:t>2020-21</w:t>
            </w:r>
          </w:p>
        </w:tc>
        <w:tc>
          <w:tcPr>
            <w:tcW w:w="1929" w:type="dxa"/>
            <w:vMerge/>
            <w:shd w:val="clear" w:color="auto" w:fill="F2F2F2" w:themeFill="background1" w:themeFillShade="F2"/>
          </w:tcPr>
          <w:p w14:paraId="19917FEE" w14:textId="77777777" w:rsidR="00FE1364" w:rsidRPr="00953EC6" w:rsidRDefault="00FE1364" w:rsidP="00334D6C">
            <w:pPr>
              <w:pStyle w:val="Tableformat"/>
              <w:rPr>
                <w:b/>
                <w:color w:val="auto"/>
              </w:rPr>
            </w:pPr>
          </w:p>
        </w:tc>
        <w:tc>
          <w:tcPr>
            <w:tcW w:w="1699" w:type="dxa"/>
            <w:vMerge/>
            <w:shd w:val="clear" w:color="auto" w:fill="F2F2F2" w:themeFill="background1" w:themeFillShade="F2"/>
          </w:tcPr>
          <w:p w14:paraId="7DE58820" w14:textId="77777777" w:rsidR="00FE1364" w:rsidRPr="00953EC6" w:rsidRDefault="00FE1364" w:rsidP="00334D6C">
            <w:pPr>
              <w:pStyle w:val="Tableformat"/>
              <w:rPr>
                <w:b/>
                <w:color w:val="auto"/>
              </w:rPr>
            </w:pPr>
          </w:p>
        </w:tc>
      </w:tr>
      <w:tr w:rsidR="00FE1364" w:rsidRPr="00953EC6" w14:paraId="2298D15A" w14:textId="77777777" w:rsidTr="00334D6C">
        <w:tc>
          <w:tcPr>
            <w:tcW w:w="3109" w:type="dxa"/>
            <w:tcBorders>
              <w:top w:val="single" w:sz="8" w:space="0" w:color="4F81BD"/>
              <w:left w:val="single" w:sz="8" w:space="0" w:color="4F81BD"/>
              <w:bottom w:val="single" w:sz="8" w:space="0" w:color="4F81BD"/>
              <w:right w:val="single" w:sz="8" w:space="0" w:color="4F81BD"/>
            </w:tcBorders>
          </w:tcPr>
          <w:p w14:paraId="5CAFAEF7" w14:textId="77777777" w:rsidR="00FE1364" w:rsidRPr="00953EC6" w:rsidRDefault="00FE1364" w:rsidP="00334D6C">
            <w:pPr>
              <w:pStyle w:val="Milestonetable"/>
              <w:rPr>
                <w:color w:val="auto"/>
              </w:rPr>
            </w:pPr>
            <w:r w:rsidRPr="00953EC6">
              <w:rPr>
                <w:color w:val="auto"/>
              </w:rPr>
              <w:t>Establishing new and enhanced central coordination units or equivalent in accordance with the Council of Australian Governments Health Council Revitalised Clinical Trials Agenda.</w:t>
            </w:r>
          </w:p>
        </w:tc>
        <w:tc>
          <w:tcPr>
            <w:tcW w:w="7813" w:type="dxa"/>
            <w:tcBorders>
              <w:top w:val="single" w:sz="8" w:space="0" w:color="4F81BD"/>
              <w:left w:val="single" w:sz="8" w:space="0" w:color="4F81BD"/>
              <w:bottom w:val="single" w:sz="8" w:space="0" w:color="4F81BD"/>
              <w:right w:val="single" w:sz="8" w:space="0" w:color="4F81BD"/>
            </w:tcBorders>
            <w:shd w:val="clear" w:color="auto" w:fill="auto"/>
          </w:tcPr>
          <w:p w14:paraId="5AD8137E" w14:textId="77777777" w:rsidR="00FE1364" w:rsidRPr="00953EC6" w:rsidRDefault="00FE1364" w:rsidP="00334D6C">
            <w:pPr>
              <w:pStyle w:val="Milestonetable"/>
              <w:rPr>
                <w:bCs/>
                <w:color w:val="auto"/>
              </w:rPr>
            </w:pPr>
            <w:r w:rsidRPr="00953EC6">
              <w:rPr>
                <w:color w:val="auto"/>
              </w:rPr>
              <w:t>Delivery of report on professional evaluation of the pilot studies, including proposed refinements to the model and planning for ongoing implementation.</w:t>
            </w:r>
          </w:p>
        </w:tc>
        <w:tc>
          <w:tcPr>
            <w:tcW w:w="1929" w:type="dxa"/>
            <w:vMerge w:val="restart"/>
            <w:tcBorders>
              <w:top w:val="single" w:sz="8" w:space="0" w:color="4F81BD"/>
              <w:left w:val="single" w:sz="8" w:space="0" w:color="4F81BD"/>
              <w:right w:val="single" w:sz="8" w:space="0" w:color="4F81BD"/>
            </w:tcBorders>
            <w:shd w:val="clear" w:color="auto" w:fill="auto"/>
          </w:tcPr>
          <w:p w14:paraId="2E70B9D7" w14:textId="77777777" w:rsidR="00FE1364" w:rsidRPr="00953EC6" w:rsidRDefault="00FE1364" w:rsidP="00334D6C">
            <w:pPr>
              <w:pStyle w:val="Milestonetable"/>
              <w:rPr>
                <w:color w:val="auto"/>
              </w:rPr>
            </w:pPr>
            <w:r w:rsidRPr="00953EC6">
              <w:rPr>
                <w:color w:val="auto"/>
              </w:rPr>
              <w:t>15 May 2021</w:t>
            </w:r>
          </w:p>
        </w:tc>
        <w:tc>
          <w:tcPr>
            <w:tcW w:w="1699" w:type="dxa"/>
            <w:vMerge w:val="restart"/>
            <w:tcBorders>
              <w:top w:val="single" w:sz="8" w:space="0" w:color="4F81BD"/>
              <w:left w:val="single" w:sz="8" w:space="0" w:color="4F81BD"/>
              <w:right w:val="single" w:sz="8" w:space="0" w:color="4F81BD"/>
            </w:tcBorders>
            <w:shd w:val="clear" w:color="auto" w:fill="auto"/>
          </w:tcPr>
          <w:p w14:paraId="35964A9E" w14:textId="77777777" w:rsidR="00FE1364" w:rsidRPr="00953EC6" w:rsidRDefault="00FE1364" w:rsidP="00334D6C">
            <w:pPr>
              <w:pStyle w:val="Milestonetable"/>
              <w:rPr>
                <w:color w:val="auto"/>
              </w:rPr>
            </w:pPr>
            <w:r w:rsidRPr="00953EC6">
              <w:rPr>
                <w:color w:val="auto"/>
              </w:rPr>
              <w:t>$214,300</w:t>
            </w:r>
          </w:p>
          <w:p w14:paraId="61B95D3F" w14:textId="77777777" w:rsidR="00FE1364" w:rsidRPr="00953EC6" w:rsidRDefault="00FE1364" w:rsidP="00334D6C">
            <w:pPr>
              <w:pStyle w:val="Milestonetable"/>
              <w:jc w:val="right"/>
              <w:rPr>
                <w:color w:val="auto"/>
              </w:rPr>
            </w:pPr>
          </w:p>
          <w:p w14:paraId="1F3B2F87" w14:textId="77777777" w:rsidR="00FE1364" w:rsidRPr="00953EC6" w:rsidRDefault="00FE1364" w:rsidP="00334D6C">
            <w:pPr>
              <w:pStyle w:val="Milestonetable"/>
              <w:jc w:val="right"/>
              <w:rPr>
                <w:color w:val="auto"/>
              </w:rPr>
            </w:pPr>
          </w:p>
          <w:p w14:paraId="3C9B0843" w14:textId="77777777" w:rsidR="00FE1364" w:rsidRPr="00953EC6" w:rsidRDefault="00FE1364" w:rsidP="00334D6C">
            <w:pPr>
              <w:pStyle w:val="Milestonetable"/>
              <w:jc w:val="right"/>
              <w:rPr>
                <w:color w:val="auto"/>
              </w:rPr>
            </w:pPr>
          </w:p>
        </w:tc>
      </w:tr>
      <w:tr w:rsidR="00FE1364" w:rsidRPr="00953EC6" w14:paraId="1396CC23" w14:textId="77777777" w:rsidTr="00334D6C">
        <w:tc>
          <w:tcPr>
            <w:tcW w:w="3109" w:type="dxa"/>
            <w:tcBorders>
              <w:top w:val="single" w:sz="8" w:space="0" w:color="4F81BD"/>
              <w:left w:val="single" w:sz="8" w:space="0" w:color="4F81BD"/>
              <w:bottom w:val="single" w:sz="8" w:space="0" w:color="4F81BD"/>
              <w:right w:val="single" w:sz="8" w:space="0" w:color="4F81BD"/>
            </w:tcBorders>
          </w:tcPr>
          <w:p w14:paraId="5BA42975" w14:textId="77777777" w:rsidR="00FE1364" w:rsidRPr="00953EC6" w:rsidRDefault="00FE1364" w:rsidP="00334D6C">
            <w:pPr>
              <w:pStyle w:val="Milestonetable"/>
              <w:rPr>
                <w:color w:val="auto"/>
              </w:rPr>
            </w:pPr>
            <w:r w:rsidRPr="00953EC6">
              <w:rPr>
                <w:color w:val="auto"/>
              </w:rPr>
              <w:t>Implementing new and enhanced clinical trial data collection and reporting to inform systems improvement with interoperability and data flow capability, and contribute to better sector knowledge, recruitment and overall sector performance, including through continued implementation and expansion of metrics and ongoing submission of data to the national data collection under the Framework for National Aggregate Statistics (NAS).</w:t>
            </w:r>
          </w:p>
        </w:tc>
        <w:tc>
          <w:tcPr>
            <w:tcW w:w="7813" w:type="dxa"/>
            <w:tcBorders>
              <w:top w:val="single" w:sz="8" w:space="0" w:color="4F81BD"/>
              <w:left w:val="single" w:sz="8" w:space="0" w:color="4F81BD"/>
              <w:bottom w:val="single" w:sz="8" w:space="0" w:color="4F81BD"/>
              <w:right w:val="single" w:sz="8" w:space="0" w:color="4F81BD"/>
            </w:tcBorders>
            <w:shd w:val="clear" w:color="auto" w:fill="auto"/>
          </w:tcPr>
          <w:p w14:paraId="43D75D72" w14:textId="77777777" w:rsidR="00FE1364" w:rsidRPr="00953EC6" w:rsidRDefault="00FE1364" w:rsidP="00334D6C">
            <w:pPr>
              <w:rPr>
                <w:sz w:val="20"/>
              </w:rPr>
            </w:pPr>
            <w:r w:rsidRPr="00953EC6">
              <w:rPr>
                <w:sz w:val="20"/>
              </w:rPr>
              <w:t>Full contribution of data to the expanded National Aggregate Statistics (NAS) 2020-21, as agreed by the Clinical Trials Project Reference Group (CTPRG)</w:t>
            </w:r>
          </w:p>
        </w:tc>
        <w:tc>
          <w:tcPr>
            <w:tcW w:w="1929" w:type="dxa"/>
            <w:vMerge/>
            <w:tcBorders>
              <w:left w:val="single" w:sz="8" w:space="0" w:color="4F81BD"/>
              <w:right w:val="single" w:sz="8" w:space="0" w:color="4F81BD"/>
            </w:tcBorders>
            <w:shd w:val="clear" w:color="auto" w:fill="auto"/>
          </w:tcPr>
          <w:p w14:paraId="3828C67E" w14:textId="77777777" w:rsidR="00FE1364" w:rsidRPr="00953EC6" w:rsidRDefault="00FE1364" w:rsidP="00334D6C">
            <w:pPr>
              <w:pStyle w:val="Milestonetable"/>
              <w:rPr>
                <w:color w:val="auto"/>
              </w:rPr>
            </w:pPr>
          </w:p>
        </w:tc>
        <w:tc>
          <w:tcPr>
            <w:tcW w:w="1699" w:type="dxa"/>
            <w:vMerge/>
            <w:tcBorders>
              <w:left w:val="single" w:sz="8" w:space="0" w:color="4F81BD"/>
              <w:right w:val="single" w:sz="8" w:space="0" w:color="4F81BD"/>
            </w:tcBorders>
            <w:shd w:val="clear" w:color="auto" w:fill="auto"/>
          </w:tcPr>
          <w:p w14:paraId="0F538EB7" w14:textId="77777777" w:rsidR="00FE1364" w:rsidRPr="00953EC6" w:rsidRDefault="00FE1364" w:rsidP="00334D6C">
            <w:pPr>
              <w:pStyle w:val="Milestonetable"/>
              <w:jc w:val="right"/>
              <w:rPr>
                <w:color w:val="auto"/>
              </w:rPr>
            </w:pPr>
          </w:p>
        </w:tc>
      </w:tr>
      <w:tr w:rsidR="00FE1364" w:rsidRPr="00953EC6" w14:paraId="4545B121" w14:textId="77777777" w:rsidTr="00334D6C">
        <w:tc>
          <w:tcPr>
            <w:tcW w:w="3109" w:type="dxa"/>
            <w:tcBorders>
              <w:top w:val="single" w:sz="8" w:space="0" w:color="4F81BD"/>
              <w:left w:val="single" w:sz="8" w:space="0" w:color="4F81BD"/>
              <w:bottom w:val="single" w:sz="8" w:space="0" w:color="4F81BD"/>
              <w:right w:val="single" w:sz="8" w:space="0" w:color="4F81BD"/>
            </w:tcBorders>
          </w:tcPr>
          <w:p w14:paraId="1B222366" w14:textId="77777777" w:rsidR="00FE1364" w:rsidRPr="00953EC6" w:rsidRDefault="00FE1364" w:rsidP="00334D6C">
            <w:pPr>
              <w:pStyle w:val="Milestonetable"/>
              <w:rPr>
                <w:color w:val="auto"/>
              </w:rPr>
            </w:pPr>
            <w:r w:rsidRPr="00953EC6">
              <w:rPr>
                <w:bCs/>
                <w:color w:val="auto"/>
              </w:rPr>
              <w:t>E</w:t>
            </w:r>
            <w:r w:rsidRPr="00953EC6">
              <w:rPr>
                <w:color w:val="auto"/>
              </w:rPr>
              <w:t>stablishing and maintaining new networks and partnerships within and between jurisdictions, clinical trial networks, communities of practice (eg. oncology, working with ATSI groups) and registries.</w:t>
            </w:r>
          </w:p>
        </w:tc>
        <w:tc>
          <w:tcPr>
            <w:tcW w:w="7813" w:type="dxa"/>
            <w:tcBorders>
              <w:top w:val="single" w:sz="8" w:space="0" w:color="4F81BD"/>
              <w:left w:val="single" w:sz="8" w:space="0" w:color="4F81BD"/>
              <w:bottom w:val="single" w:sz="8" w:space="0" w:color="4F81BD"/>
              <w:right w:val="single" w:sz="8" w:space="0" w:color="4F81BD"/>
            </w:tcBorders>
            <w:shd w:val="clear" w:color="auto" w:fill="auto"/>
          </w:tcPr>
          <w:p w14:paraId="07B4BAE1" w14:textId="77777777" w:rsidR="00FE1364" w:rsidRPr="00953EC6" w:rsidRDefault="00FE1364" w:rsidP="00334D6C">
            <w:pPr>
              <w:pStyle w:val="Milestonetable"/>
              <w:rPr>
                <w:bCs/>
                <w:color w:val="auto"/>
              </w:rPr>
            </w:pPr>
            <w:r w:rsidRPr="00953EC6">
              <w:rPr>
                <w:color w:val="auto"/>
              </w:rPr>
              <w:t>Active engagement of regional buddies in planning for ongoing implementation.</w:t>
            </w:r>
          </w:p>
        </w:tc>
        <w:tc>
          <w:tcPr>
            <w:tcW w:w="1929" w:type="dxa"/>
            <w:vMerge/>
            <w:tcBorders>
              <w:left w:val="single" w:sz="8" w:space="0" w:color="4F81BD"/>
              <w:right w:val="single" w:sz="8" w:space="0" w:color="4F81BD"/>
            </w:tcBorders>
            <w:shd w:val="clear" w:color="auto" w:fill="auto"/>
          </w:tcPr>
          <w:p w14:paraId="3B71ED68" w14:textId="77777777" w:rsidR="00FE1364" w:rsidRPr="00953EC6" w:rsidRDefault="00FE1364" w:rsidP="00334D6C">
            <w:pPr>
              <w:pStyle w:val="Milestonetable"/>
              <w:rPr>
                <w:color w:val="auto"/>
              </w:rPr>
            </w:pPr>
          </w:p>
        </w:tc>
        <w:tc>
          <w:tcPr>
            <w:tcW w:w="1699" w:type="dxa"/>
            <w:vMerge/>
            <w:tcBorders>
              <w:left w:val="single" w:sz="8" w:space="0" w:color="4F81BD"/>
              <w:right w:val="single" w:sz="8" w:space="0" w:color="4F81BD"/>
            </w:tcBorders>
            <w:shd w:val="clear" w:color="auto" w:fill="auto"/>
          </w:tcPr>
          <w:p w14:paraId="1CAD73F1" w14:textId="77777777" w:rsidR="00FE1364" w:rsidRPr="00953EC6" w:rsidRDefault="00FE1364" w:rsidP="00334D6C">
            <w:pPr>
              <w:pStyle w:val="Milestonetable"/>
              <w:jc w:val="right"/>
              <w:rPr>
                <w:color w:val="auto"/>
              </w:rPr>
            </w:pPr>
          </w:p>
        </w:tc>
      </w:tr>
      <w:tr w:rsidR="00FE1364" w:rsidRPr="00953EC6" w14:paraId="74054503" w14:textId="77777777" w:rsidTr="00334D6C">
        <w:tc>
          <w:tcPr>
            <w:tcW w:w="3109" w:type="dxa"/>
            <w:tcBorders>
              <w:top w:val="single" w:sz="8" w:space="0" w:color="4F81BD"/>
              <w:left w:val="single" w:sz="8" w:space="0" w:color="4F81BD"/>
              <w:bottom w:val="single" w:sz="8" w:space="0" w:color="4F81BD"/>
              <w:right w:val="single" w:sz="8" w:space="0" w:color="4F81BD"/>
            </w:tcBorders>
          </w:tcPr>
          <w:p w14:paraId="1DA90AE5" w14:textId="77777777" w:rsidR="00FE1364" w:rsidRPr="00953EC6" w:rsidRDefault="00FE1364" w:rsidP="00334D6C">
            <w:pPr>
              <w:pStyle w:val="Milestonetable"/>
              <w:rPr>
                <w:color w:val="auto"/>
              </w:rPr>
            </w:pPr>
            <w:r w:rsidRPr="00953EC6">
              <w:rPr>
                <w:color w:val="auto"/>
              </w:rPr>
              <w:t>Embedding research and clinical trials processes into core hospital governance arrangements.</w:t>
            </w:r>
          </w:p>
        </w:tc>
        <w:tc>
          <w:tcPr>
            <w:tcW w:w="7813" w:type="dxa"/>
            <w:tcBorders>
              <w:top w:val="single" w:sz="8" w:space="0" w:color="4F81BD"/>
              <w:left w:val="single" w:sz="8" w:space="0" w:color="4F81BD"/>
              <w:bottom w:val="single" w:sz="8" w:space="0" w:color="4F81BD"/>
              <w:right w:val="single" w:sz="8" w:space="0" w:color="4F81BD"/>
            </w:tcBorders>
            <w:shd w:val="clear" w:color="auto" w:fill="auto"/>
          </w:tcPr>
          <w:p w14:paraId="7913A6BD" w14:textId="77777777" w:rsidR="00FE1364" w:rsidRPr="00953EC6" w:rsidRDefault="00FE1364" w:rsidP="00334D6C">
            <w:pPr>
              <w:pStyle w:val="Milestonetable"/>
              <w:rPr>
                <w:bCs/>
                <w:color w:val="auto"/>
              </w:rPr>
            </w:pPr>
            <w:r w:rsidRPr="00953EC6">
              <w:rPr>
                <w:color w:val="auto"/>
              </w:rPr>
              <w:t>Active engagement with CTPRG, Commonwealth and the Australian Commission on Safety and Quality in Health Care (ACSQHC) to implement the national Clinical Trials Governance Framework.</w:t>
            </w:r>
          </w:p>
        </w:tc>
        <w:tc>
          <w:tcPr>
            <w:tcW w:w="1929" w:type="dxa"/>
            <w:vMerge/>
            <w:tcBorders>
              <w:left w:val="single" w:sz="8" w:space="0" w:color="4F81BD"/>
              <w:bottom w:val="single" w:sz="8" w:space="0" w:color="4F81BD"/>
              <w:right w:val="single" w:sz="8" w:space="0" w:color="4F81BD"/>
            </w:tcBorders>
            <w:shd w:val="clear" w:color="auto" w:fill="auto"/>
          </w:tcPr>
          <w:p w14:paraId="01F09FAB" w14:textId="77777777" w:rsidR="00FE1364" w:rsidRPr="00953EC6" w:rsidRDefault="00FE1364" w:rsidP="00334D6C">
            <w:pPr>
              <w:pStyle w:val="Milestonetable"/>
              <w:rPr>
                <w:color w:val="auto"/>
              </w:rPr>
            </w:pPr>
          </w:p>
        </w:tc>
        <w:tc>
          <w:tcPr>
            <w:tcW w:w="1699" w:type="dxa"/>
            <w:vMerge/>
            <w:tcBorders>
              <w:left w:val="single" w:sz="8" w:space="0" w:color="4F81BD"/>
              <w:bottom w:val="single" w:sz="8" w:space="0" w:color="4F81BD"/>
              <w:right w:val="single" w:sz="8" w:space="0" w:color="4F81BD"/>
            </w:tcBorders>
            <w:shd w:val="clear" w:color="auto" w:fill="auto"/>
          </w:tcPr>
          <w:p w14:paraId="072A121B" w14:textId="77777777" w:rsidR="00FE1364" w:rsidRPr="00953EC6" w:rsidRDefault="00FE1364" w:rsidP="00334D6C">
            <w:pPr>
              <w:pStyle w:val="Milestonetable"/>
              <w:jc w:val="right"/>
              <w:rPr>
                <w:color w:val="auto"/>
              </w:rPr>
            </w:pPr>
          </w:p>
        </w:tc>
      </w:tr>
    </w:tbl>
    <w:p w14:paraId="0935858F" w14:textId="77777777" w:rsidR="00FE1364" w:rsidRDefault="00FE1364" w:rsidP="00FE1364">
      <w:pPr>
        <w:tabs>
          <w:tab w:val="left" w:pos="3865"/>
        </w:tabs>
      </w:pPr>
      <w:r w:rsidRPr="00A829E7">
        <w:t xml:space="preserve">This schedule was agreed by the </w:t>
      </w:r>
      <w:r>
        <w:t xml:space="preserve">Commonwealth </w:t>
      </w:r>
      <w:r w:rsidRPr="00A829E7">
        <w:t>and</w:t>
      </w:r>
      <w:r>
        <w:t xml:space="preserve"> Victoria </w:t>
      </w:r>
      <w:r w:rsidRPr="00A829E7">
        <w:t>when the overarching National Partnership</w:t>
      </w:r>
      <w:r>
        <w:t xml:space="preserve"> was signed.</w:t>
      </w:r>
    </w:p>
    <w:p w14:paraId="655184DB" w14:textId="77777777" w:rsidR="00FE1364" w:rsidRDefault="00FE1364" w:rsidP="00FE1364">
      <w:pPr>
        <w:tabs>
          <w:tab w:val="left" w:pos="3865"/>
        </w:tabs>
      </w:pPr>
    </w:p>
    <w:p w14:paraId="0362B176" w14:textId="77777777" w:rsidR="00FE1364" w:rsidRPr="00394F18" w:rsidRDefault="00FE1364" w:rsidP="00FE1364">
      <w:pPr>
        <w:tabs>
          <w:tab w:val="left" w:pos="3865"/>
        </w:tabs>
        <w:rPr>
          <w:b/>
        </w:rPr>
      </w:pPr>
      <w:r w:rsidRPr="00394F18">
        <w:rPr>
          <w:b/>
        </w:rPr>
        <w:t>Victoria Project Plan summary</w:t>
      </w:r>
    </w:p>
    <w:p w14:paraId="7C3E9E8E" w14:textId="77777777" w:rsidR="00FE1364" w:rsidRPr="00394F18" w:rsidRDefault="00FE1364" w:rsidP="00FE1364">
      <w:pPr>
        <w:spacing w:before="80" w:after="80"/>
        <w:outlineLvl w:val="1"/>
        <w:rPr>
          <w:rFonts w:eastAsiaTheme="majorEastAsia" w:cs="Arial"/>
        </w:rPr>
      </w:pPr>
      <w:r w:rsidRPr="00394F18">
        <w:rPr>
          <w:rFonts w:cs="Arial"/>
          <w:iCs/>
        </w:rPr>
        <w:t>Victoria will expand the functions of its state-wide Coordinating Office for Clinical Trial Research (Coordinating Office (DHHS) that will:</w:t>
      </w:r>
    </w:p>
    <w:p w14:paraId="0955B19D" w14:textId="77777777" w:rsidR="00FE1364" w:rsidRPr="00394F18" w:rsidRDefault="00FE1364" w:rsidP="00FE1364">
      <w:pPr>
        <w:widowControl/>
        <w:numPr>
          <w:ilvl w:val="0"/>
          <w:numId w:val="10"/>
        </w:numPr>
        <w:spacing w:before="80" w:after="80"/>
        <w:outlineLvl w:val="1"/>
        <w:rPr>
          <w:rFonts w:eastAsiaTheme="majorEastAsia" w:cs="Arial"/>
          <w:iCs/>
        </w:rPr>
      </w:pPr>
      <w:r w:rsidRPr="00394F18">
        <w:rPr>
          <w:rFonts w:eastAsiaTheme="majorEastAsia" w:cs="Arial"/>
          <w:iCs/>
        </w:rPr>
        <w:t>provide a centralised ‘front door’ for trial sites and clinical trial units in 11 leading teaching hospitals and provide information and referral;</w:t>
      </w:r>
    </w:p>
    <w:p w14:paraId="378B899C" w14:textId="77777777" w:rsidR="00FE1364" w:rsidRPr="00394F18" w:rsidRDefault="00FE1364" w:rsidP="00FE1364">
      <w:pPr>
        <w:widowControl/>
        <w:numPr>
          <w:ilvl w:val="0"/>
          <w:numId w:val="10"/>
        </w:numPr>
        <w:spacing w:before="80" w:after="80"/>
        <w:outlineLvl w:val="1"/>
        <w:rPr>
          <w:rFonts w:eastAsiaTheme="majorEastAsia" w:cs="Arial"/>
          <w:iCs/>
        </w:rPr>
      </w:pPr>
      <w:r w:rsidRPr="00394F18">
        <w:rPr>
          <w:rFonts w:eastAsiaTheme="majorEastAsia" w:cs="Arial"/>
          <w:iCs/>
        </w:rPr>
        <w:t>work with a professional consulting service to develop a ‘model’ for central clinical trial units at the hospital level to serve as primary points of contact and centres of excellence in trial conduct, planning and support;</w:t>
      </w:r>
    </w:p>
    <w:p w14:paraId="7F2AFAA3" w14:textId="77777777" w:rsidR="00FE1364" w:rsidRPr="00394F18" w:rsidRDefault="00FE1364" w:rsidP="00FE1364">
      <w:pPr>
        <w:widowControl/>
        <w:numPr>
          <w:ilvl w:val="0"/>
          <w:numId w:val="10"/>
        </w:numPr>
        <w:spacing w:before="80" w:after="80"/>
        <w:outlineLvl w:val="1"/>
        <w:rPr>
          <w:rFonts w:eastAsiaTheme="majorEastAsia" w:cs="Arial"/>
          <w:iCs/>
        </w:rPr>
      </w:pPr>
      <w:r w:rsidRPr="00394F18">
        <w:rPr>
          <w:rFonts w:eastAsiaTheme="majorEastAsia" w:cs="Arial"/>
          <w:iCs/>
        </w:rPr>
        <w:t>establish a buddy system to partner primary points of contact with secondary hospitals in regional settings to ensure full geographic coverage, working collaboratively with the Department of Health and Human Services clinical and other networks, Safer Care Victoria, Monash Partners and Melbourne Partners;</w:t>
      </w:r>
    </w:p>
    <w:p w14:paraId="2EDE3EAB" w14:textId="77777777" w:rsidR="00FE1364" w:rsidRDefault="00FE1364" w:rsidP="00FE1364">
      <w:pPr>
        <w:widowControl/>
        <w:numPr>
          <w:ilvl w:val="0"/>
          <w:numId w:val="10"/>
        </w:numPr>
        <w:spacing w:before="80" w:after="80"/>
        <w:outlineLvl w:val="1"/>
        <w:rPr>
          <w:rFonts w:eastAsiaTheme="majorEastAsia"/>
        </w:rPr>
      </w:pPr>
      <w:r w:rsidRPr="00394F18">
        <w:rPr>
          <w:rFonts w:eastAsiaTheme="majorEastAsia" w:cs="Arial"/>
          <w:iCs/>
        </w:rPr>
        <w:t xml:space="preserve"> test two pilot sites and undertake a consultation process to inform final model development and a strategy for implementation and  full state-wide establishment once additional funding sources become available; and</w:t>
      </w:r>
    </w:p>
    <w:p w14:paraId="1F16FEEA" w14:textId="77777777" w:rsidR="00FE1364" w:rsidRPr="00394F18" w:rsidRDefault="00FE1364" w:rsidP="00FE1364">
      <w:pPr>
        <w:widowControl/>
        <w:numPr>
          <w:ilvl w:val="0"/>
          <w:numId w:val="10"/>
        </w:numPr>
        <w:spacing w:before="80" w:after="80"/>
        <w:outlineLvl w:val="1"/>
        <w:rPr>
          <w:rFonts w:eastAsiaTheme="majorEastAsia"/>
        </w:rPr>
      </w:pPr>
      <w:r w:rsidRPr="00394F18">
        <w:t>continue to enhance and expand clinical trials data capture and reporting capability at the central point of contact and state-wide levels, which will support continued participation in national data improvement efforts.</w:t>
      </w:r>
    </w:p>
    <w:p w14:paraId="503E13D9" w14:textId="77777777" w:rsidR="00FE1364" w:rsidRDefault="00FE1364" w:rsidP="00FE1364">
      <w: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09"/>
        <w:gridCol w:w="7813"/>
        <w:gridCol w:w="1929"/>
        <w:gridCol w:w="1699"/>
      </w:tblGrid>
      <w:tr w:rsidR="00FE1364" w:rsidRPr="00953EC6" w14:paraId="3B2E0891" w14:textId="77777777" w:rsidTr="00334D6C">
        <w:tc>
          <w:tcPr>
            <w:tcW w:w="14550" w:type="dxa"/>
            <w:gridSpan w:val="4"/>
            <w:shd w:val="clear" w:color="auto" w:fill="DEEAF6" w:themeFill="accent1" w:themeFillTint="33"/>
          </w:tcPr>
          <w:p w14:paraId="788C588D" w14:textId="77777777" w:rsidR="00FE1364" w:rsidRPr="00953EC6" w:rsidRDefault="00FE1364" w:rsidP="00334D6C">
            <w:pPr>
              <w:pStyle w:val="Tableformat"/>
              <w:rPr>
                <w:b/>
                <w:color w:val="auto"/>
              </w:rPr>
            </w:pPr>
            <w:r w:rsidRPr="00953EC6">
              <w:rPr>
                <w:b/>
                <w:color w:val="auto"/>
              </w:rPr>
              <w:t>Table 2C: Queensland – Performance requirements, reporting and payment summary</w:t>
            </w:r>
          </w:p>
        </w:tc>
      </w:tr>
      <w:tr w:rsidR="00FE1364" w:rsidRPr="00953EC6" w14:paraId="555C34F1" w14:textId="77777777" w:rsidTr="00334D6C">
        <w:tc>
          <w:tcPr>
            <w:tcW w:w="3109" w:type="dxa"/>
            <w:vMerge w:val="restart"/>
            <w:shd w:val="clear" w:color="auto" w:fill="F2F2F2" w:themeFill="background1" w:themeFillShade="F2"/>
          </w:tcPr>
          <w:p w14:paraId="700B7984" w14:textId="77777777" w:rsidR="00FE1364" w:rsidRPr="00953EC6" w:rsidRDefault="00FE1364" w:rsidP="00334D6C">
            <w:pPr>
              <w:pStyle w:val="Tableformat"/>
              <w:rPr>
                <w:b/>
                <w:color w:val="auto"/>
              </w:rPr>
            </w:pPr>
            <w:r w:rsidRPr="00953EC6">
              <w:rPr>
                <w:b/>
                <w:color w:val="auto"/>
              </w:rPr>
              <w:t>Output</w:t>
            </w:r>
          </w:p>
          <w:p w14:paraId="0341AACD" w14:textId="77777777" w:rsidR="00FE1364" w:rsidRPr="00953EC6" w:rsidRDefault="00FE1364" w:rsidP="00334D6C">
            <w:pPr>
              <w:pStyle w:val="Tableformat"/>
              <w:rPr>
                <w:b/>
                <w:color w:val="auto"/>
              </w:rPr>
            </w:pPr>
          </w:p>
        </w:tc>
        <w:tc>
          <w:tcPr>
            <w:tcW w:w="7813" w:type="dxa"/>
            <w:shd w:val="clear" w:color="auto" w:fill="F2F2F2" w:themeFill="background1" w:themeFillShade="F2"/>
          </w:tcPr>
          <w:p w14:paraId="0942390B" w14:textId="77777777" w:rsidR="00FE1364" w:rsidRPr="00953EC6" w:rsidRDefault="00FE1364" w:rsidP="00334D6C">
            <w:pPr>
              <w:pStyle w:val="Tableformat"/>
              <w:rPr>
                <w:b/>
                <w:color w:val="auto"/>
              </w:rPr>
            </w:pPr>
            <w:r w:rsidRPr="00953EC6">
              <w:rPr>
                <w:b/>
                <w:color w:val="auto"/>
              </w:rPr>
              <w:t>Performance milestones</w:t>
            </w:r>
          </w:p>
        </w:tc>
        <w:tc>
          <w:tcPr>
            <w:tcW w:w="1929" w:type="dxa"/>
            <w:vMerge w:val="restart"/>
            <w:shd w:val="clear" w:color="auto" w:fill="F2F2F2" w:themeFill="background1" w:themeFillShade="F2"/>
          </w:tcPr>
          <w:p w14:paraId="4C9301D0" w14:textId="77777777" w:rsidR="00FE1364" w:rsidRPr="00953EC6" w:rsidRDefault="00FE1364" w:rsidP="00334D6C">
            <w:pPr>
              <w:pStyle w:val="Tableformat"/>
              <w:rPr>
                <w:b/>
                <w:color w:val="auto"/>
              </w:rPr>
            </w:pPr>
            <w:r w:rsidRPr="00953EC6">
              <w:rPr>
                <w:b/>
                <w:color w:val="auto"/>
              </w:rPr>
              <w:t>Report due</w:t>
            </w:r>
          </w:p>
        </w:tc>
        <w:tc>
          <w:tcPr>
            <w:tcW w:w="1699" w:type="dxa"/>
            <w:vMerge w:val="restart"/>
            <w:shd w:val="clear" w:color="auto" w:fill="F2F2F2" w:themeFill="background1" w:themeFillShade="F2"/>
          </w:tcPr>
          <w:p w14:paraId="3EB9567B" w14:textId="77777777" w:rsidR="00FE1364" w:rsidRPr="00953EC6" w:rsidRDefault="00FE1364" w:rsidP="00334D6C">
            <w:pPr>
              <w:pStyle w:val="Tableformat"/>
              <w:rPr>
                <w:b/>
                <w:color w:val="auto"/>
              </w:rPr>
            </w:pPr>
            <w:r w:rsidRPr="00953EC6">
              <w:rPr>
                <w:b/>
                <w:color w:val="auto"/>
              </w:rPr>
              <w:t>Payment</w:t>
            </w:r>
          </w:p>
          <w:p w14:paraId="673773A3" w14:textId="77777777" w:rsidR="00FE1364" w:rsidRPr="00953EC6" w:rsidRDefault="00FE1364" w:rsidP="00334D6C">
            <w:pPr>
              <w:pStyle w:val="Tableformat"/>
              <w:rPr>
                <w:b/>
                <w:color w:val="auto"/>
              </w:rPr>
            </w:pPr>
          </w:p>
        </w:tc>
      </w:tr>
      <w:tr w:rsidR="00FE1364" w:rsidRPr="00953EC6" w14:paraId="60BCE468" w14:textId="77777777" w:rsidTr="00334D6C">
        <w:tc>
          <w:tcPr>
            <w:tcW w:w="3109" w:type="dxa"/>
            <w:vMerge/>
            <w:shd w:val="clear" w:color="auto" w:fill="F2F2F2" w:themeFill="background1" w:themeFillShade="F2"/>
          </w:tcPr>
          <w:p w14:paraId="4D67DDA3" w14:textId="77777777" w:rsidR="00FE1364" w:rsidRPr="00953EC6" w:rsidRDefault="00FE1364" w:rsidP="00334D6C">
            <w:pPr>
              <w:pStyle w:val="Tableformat"/>
              <w:rPr>
                <w:b/>
                <w:color w:val="auto"/>
              </w:rPr>
            </w:pPr>
          </w:p>
        </w:tc>
        <w:tc>
          <w:tcPr>
            <w:tcW w:w="7813" w:type="dxa"/>
            <w:shd w:val="clear" w:color="auto" w:fill="F2F2F2" w:themeFill="background1" w:themeFillShade="F2"/>
          </w:tcPr>
          <w:p w14:paraId="24AE991F" w14:textId="77777777" w:rsidR="00FE1364" w:rsidRPr="00953EC6" w:rsidRDefault="00FE1364" w:rsidP="00334D6C">
            <w:pPr>
              <w:pStyle w:val="Tableformat"/>
              <w:rPr>
                <w:b/>
                <w:color w:val="auto"/>
              </w:rPr>
            </w:pPr>
            <w:r w:rsidRPr="00953EC6">
              <w:rPr>
                <w:b/>
                <w:color w:val="auto"/>
                <w:sz w:val="23"/>
                <w:szCs w:val="23"/>
              </w:rPr>
              <w:t>2020-21</w:t>
            </w:r>
          </w:p>
        </w:tc>
        <w:tc>
          <w:tcPr>
            <w:tcW w:w="1929" w:type="dxa"/>
            <w:vMerge/>
            <w:shd w:val="clear" w:color="auto" w:fill="F2F2F2" w:themeFill="background1" w:themeFillShade="F2"/>
          </w:tcPr>
          <w:p w14:paraId="59350B1C" w14:textId="77777777" w:rsidR="00FE1364" w:rsidRPr="00953EC6" w:rsidRDefault="00FE1364" w:rsidP="00334D6C">
            <w:pPr>
              <w:pStyle w:val="Tableformat"/>
              <w:rPr>
                <w:b/>
                <w:color w:val="auto"/>
              </w:rPr>
            </w:pPr>
          </w:p>
        </w:tc>
        <w:tc>
          <w:tcPr>
            <w:tcW w:w="1699" w:type="dxa"/>
            <w:vMerge/>
            <w:shd w:val="clear" w:color="auto" w:fill="F2F2F2" w:themeFill="background1" w:themeFillShade="F2"/>
          </w:tcPr>
          <w:p w14:paraId="62F80AA2" w14:textId="77777777" w:rsidR="00FE1364" w:rsidRPr="00953EC6" w:rsidRDefault="00FE1364" w:rsidP="00334D6C">
            <w:pPr>
              <w:pStyle w:val="Tableformat"/>
              <w:rPr>
                <w:b/>
                <w:color w:val="auto"/>
              </w:rPr>
            </w:pPr>
          </w:p>
        </w:tc>
      </w:tr>
      <w:tr w:rsidR="00FE1364" w:rsidRPr="00953EC6" w14:paraId="3F379D33" w14:textId="77777777" w:rsidTr="00334D6C">
        <w:tc>
          <w:tcPr>
            <w:tcW w:w="3109" w:type="dxa"/>
            <w:tcBorders>
              <w:top w:val="single" w:sz="8" w:space="0" w:color="4F81BD"/>
              <w:left w:val="single" w:sz="8" w:space="0" w:color="4F81BD"/>
              <w:bottom w:val="single" w:sz="8" w:space="0" w:color="4F81BD"/>
              <w:right w:val="single" w:sz="8" w:space="0" w:color="4F81BD"/>
            </w:tcBorders>
          </w:tcPr>
          <w:p w14:paraId="499357C7" w14:textId="77777777" w:rsidR="00FE1364" w:rsidRPr="00953EC6" w:rsidRDefault="00FE1364" w:rsidP="00334D6C">
            <w:pPr>
              <w:pStyle w:val="Milestonetable"/>
              <w:rPr>
                <w:color w:val="auto"/>
              </w:rPr>
            </w:pPr>
            <w:r w:rsidRPr="00953EC6">
              <w:rPr>
                <w:color w:val="auto"/>
              </w:rPr>
              <w:t>Establishing new and enhanced central coordination units or equivalent in accordance with the Council of Australian Governments Health Council Revitalised Clinical Trials Agenda.</w:t>
            </w:r>
          </w:p>
        </w:tc>
        <w:tc>
          <w:tcPr>
            <w:tcW w:w="7813" w:type="dxa"/>
            <w:tcBorders>
              <w:top w:val="single" w:sz="8" w:space="0" w:color="4F81BD"/>
              <w:left w:val="single" w:sz="8" w:space="0" w:color="4F81BD"/>
              <w:bottom w:val="single" w:sz="8" w:space="0" w:color="4F81BD"/>
              <w:right w:val="single" w:sz="8" w:space="0" w:color="4F81BD"/>
            </w:tcBorders>
            <w:shd w:val="clear" w:color="auto" w:fill="auto"/>
          </w:tcPr>
          <w:p w14:paraId="349B39A5" w14:textId="77777777" w:rsidR="00FE1364" w:rsidRPr="00953EC6" w:rsidRDefault="00FE1364" w:rsidP="00334D6C">
            <w:pPr>
              <w:rPr>
                <w:sz w:val="20"/>
              </w:rPr>
            </w:pPr>
            <w:r w:rsidRPr="00953EC6">
              <w:rPr>
                <w:sz w:val="20"/>
              </w:rPr>
              <w:t>Completion of formal analysis of clinical trial activity compared to baseline (to be provided in 2017-18 performance report and agreed with the Commonwealth) to demonstrate the impact of the QCTCU on reducing the administrative load on trial sites and approval timeframes, to support the business case for, and delivery of, the QCTCU as an effective and sustainable model.</w:t>
            </w:r>
          </w:p>
          <w:p w14:paraId="41FF4C4D" w14:textId="77777777" w:rsidR="00FE1364" w:rsidRPr="00953EC6" w:rsidRDefault="00FE1364" w:rsidP="00334D6C">
            <w:pPr>
              <w:rPr>
                <w:sz w:val="20"/>
              </w:rPr>
            </w:pPr>
          </w:p>
          <w:p w14:paraId="7A1F0C3F" w14:textId="77777777" w:rsidR="00FE1364" w:rsidRPr="00953EC6" w:rsidRDefault="00FE1364" w:rsidP="00334D6C">
            <w:pPr>
              <w:pStyle w:val="Milestonetable"/>
              <w:rPr>
                <w:bCs/>
                <w:color w:val="auto"/>
              </w:rPr>
            </w:pPr>
            <w:r w:rsidRPr="00953EC6">
              <w:rPr>
                <w:color w:val="auto"/>
              </w:rPr>
              <w:t>Completion of forward planning based on outcomes of analysis and business case.</w:t>
            </w:r>
          </w:p>
        </w:tc>
        <w:tc>
          <w:tcPr>
            <w:tcW w:w="1929" w:type="dxa"/>
            <w:vMerge w:val="restart"/>
            <w:tcBorders>
              <w:top w:val="single" w:sz="8" w:space="0" w:color="4F81BD"/>
              <w:left w:val="single" w:sz="8" w:space="0" w:color="4F81BD"/>
              <w:right w:val="single" w:sz="8" w:space="0" w:color="4F81BD"/>
            </w:tcBorders>
            <w:shd w:val="clear" w:color="auto" w:fill="auto"/>
          </w:tcPr>
          <w:p w14:paraId="1425CAC5" w14:textId="77777777" w:rsidR="00FE1364" w:rsidRPr="00953EC6" w:rsidRDefault="00FE1364" w:rsidP="00334D6C">
            <w:pPr>
              <w:pStyle w:val="Milestonetable"/>
              <w:rPr>
                <w:color w:val="auto"/>
              </w:rPr>
            </w:pPr>
            <w:r w:rsidRPr="00953EC6">
              <w:rPr>
                <w:color w:val="auto"/>
              </w:rPr>
              <w:t>30 April 2021</w:t>
            </w:r>
          </w:p>
        </w:tc>
        <w:tc>
          <w:tcPr>
            <w:tcW w:w="1699" w:type="dxa"/>
            <w:vMerge w:val="restart"/>
            <w:tcBorders>
              <w:top w:val="single" w:sz="8" w:space="0" w:color="4F81BD"/>
              <w:left w:val="single" w:sz="8" w:space="0" w:color="4F81BD"/>
              <w:right w:val="single" w:sz="8" w:space="0" w:color="4F81BD"/>
            </w:tcBorders>
            <w:shd w:val="clear" w:color="auto" w:fill="auto"/>
          </w:tcPr>
          <w:p w14:paraId="08E0A10A" w14:textId="77777777" w:rsidR="00FE1364" w:rsidRPr="00953EC6" w:rsidRDefault="00FE1364" w:rsidP="00334D6C">
            <w:pPr>
              <w:pStyle w:val="Milestonetable"/>
              <w:rPr>
                <w:color w:val="auto"/>
              </w:rPr>
            </w:pPr>
            <w:r w:rsidRPr="00953EC6">
              <w:rPr>
                <w:color w:val="auto"/>
              </w:rPr>
              <w:t>$257,160</w:t>
            </w:r>
          </w:p>
          <w:p w14:paraId="2C8EBC53" w14:textId="77777777" w:rsidR="00FE1364" w:rsidRPr="00953EC6" w:rsidRDefault="00FE1364" w:rsidP="00334D6C">
            <w:pPr>
              <w:pStyle w:val="Milestonetable"/>
              <w:jc w:val="right"/>
              <w:rPr>
                <w:color w:val="auto"/>
              </w:rPr>
            </w:pPr>
          </w:p>
          <w:p w14:paraId="7ADB7EC3" w14:textId="77777777" w:rsidR="00FE1364" w:rsidRPr="00953EC6" w:rsidRDefault="00FE1364" w:rsidP="00334D6C">
            <w:pPr>
              <w:pStyle w:val="Milestonetable"/>
              <w:jc w:val="right"/>
              <w:rPr>
                <w:color w:val="auto"/>
              </w:rPr>
            </w:pPr>
          </w:p>
          <w:p w14:paraId="519AEB09" w14:textId="77777777" w:rsidR="00FE1364" w:rsidRPr="00953EC6" w:rsidRDefault="00FE1364" w:rsidP="00334D6C">
            <w:pPr>
              <w:pStyle w:val="Milestonetable"/>
              <w:jc w:val="right"/>
              <w:rPr>
                <w:color w:val="auto"/>
              </w:rPr>
            </w:pPr>
          </w:p>
        </w:tc>
      </w:tr>
      <w:tr w:rsidR="00FE1364" w:rsidRPr="00953EC6" w14:paraId="79417714" w14:textId="77777777" w:rsidTr="00334D6C">
        <w:tc>
          <w:tcPr>
            <w:tcW w:w="3109" w:type="dxa"/>
            <w:tcBorders>
              <w:top w:val="single" w:sz="8" w:space="0" w:color="4F81BD"/>
              <w:left w:val="single" w:sz="8" w:space="0" w:color="4F81BD"/>
              <w:bottom w:val="single" w:sz="8" w:space="0" w:color="4F81BD"/>
              <w:right w:val="single" w:sz="8" w:space="0" w:color="4F81BD"/>
            </w:tcBorders>
          </w:tcPr>
          <w:p w14:paraId="53967AB4" w14:textId="77777777" w:rsidR="00FE1364" w:rsidRPr="00953EC6" w:rsidRDefault="00FE1364" w:rsidP="00334D6C">
            <w:pPr>
              <w:pStyle w:val="Milestonetable"/>
              <w:rPr>
                <w:color w:val="auto"/>
              </w:rPr>
            </w:pPr>
            <w:r w:rsidRPr="00953EC6">
              <w:rPr>
                <w:color w:val="auto"/>
              </w:rPr>
              <w:t>Implementing new and enhanced clinical trial data collection and reporting to inform systems improvement with interoperability and data flow capability, and contribute to better sector knowledge, recruitment and overall sector performance, including through continued implementation and expansion of metrics and ongoing submission of data to the national data collection under the Framework for National Aggregate Statistics (NAS).</w:t>
            </w:r>
          </w:p>
        </w:tc>
        <w:tc>
          <w:tcPr>
            <w:tcW w:w="7813" w:type="dxa"/>
            <w:tcBorders>
              <w:top w:val="single" w:sz="8" w:space="0" w:color="4F81BD"/>
              <w:left w:val="single" w:sz="8" w:space="0" w:color="4F81BD"/>
              <w:bottom w:val="single" w:sz="8" w:space="0" w:color="4F81BD"/>
              <w:right w:val="single" w:sz="8" w:space="0" w:color="4F81BD"/>
            </w:tcBorders>
            <w:shd w:val="clear" w:color="auto" w:fill="auto"/>
          </w:tcPr>
          <w:p w14:paraId="4EEE28AD" w14:textId="77777777" w:rsidR="00FE1364" w:rsidRPr="00953EC6" w:rsidRDefault="00FE1364" w:rsidP="00334D6C">
            <w:pPr>
              <w:pStyle w:val="Milestonetable"/>
              <w:rPr>
                <w:bCs/>
                <w:color w:val="auto"/>
              </w:rPr>
            </w:pPr>
            <w:r w:rsidRPr="00953EC6">
              <w:rPr>
                <w:color w:val="auto"/>
              </w:rPr>
              <w:t xml:space="preserve">Full contribution of data to the expanded National Aggregate Statistics (NAS) 2020-21, as agreed by the </w:t>
            </w:r>
            <w:r w:rsidRPr="00953EC6">
              <w:rPr>
                <w:bCs/>
                <w:color w:val="auto"/>
              </w:rPr>
              <w:t>Clinical Trials Project Reference Group (</w:t>
            </w:r>
            <w:r w:rsidRPr="00953EC6">
              <w:rPr>
                <w:color w:val="auto"/>
              </w:rPr>
              <w:t>CTPRG).</w:t>
            </w:r>
          </w:p>
        </w:tc>
        <w:tc>
          <w:tcPr>
            <w:tcW w:w="1929" w:type="dxa"/>
            <w:vMerge/>
            <w:tcBorders>
              <w:left w:val="single" w:sz="8" w:space="0" w:color="4F81BD"/>
              <w:right w:val="single" w:sz="8" w:space="0" w:color="4F81BD"/>
            </w:tcBorders>
            <w:shd w:val="clear" w:color="auto" w:fill="auto"/>
          </w:tcPr>
          <w:p w14:paraId="219B5429" w14:textId="77777777" w:rsidR="00FE1364" w:rsidRPr="00953EC6" w:rsidRDefault="00FE1364" w:rsidP="00334D6C">
            <w:pPr>
              <w:pStyle w:val="Milestonetable"/>
              <w:rPr>
                <w:color w:val="auto"/>
              </w:rPr>
            </w:pPr>
          </w:p>
        </w:tc>
        <w:tc>
          <w:tcPr>
            <w:tcW w:w="1699" w:type="dxa"/>
            <w:vMerge/>
            <w:tcBorders>
              <w:left w:val="single" w:sz="8" w:space="0" w:color="4F81BD"/>
              <w:right w:val="single" w:sz="8" w:space="0" w:color="4F81BD"/>
            </w:tcBorders>
            <w:shd w:val="clear" w:color="auto" w:fill="auto"/>
          </w:tcPr>
          <w:p w14:paraId="5EF85E2B" w14:textId="77777777" w:rsidR="00FE1364" w:rsidRPr="00953EC6" w:rsidRDefault="00FE1364" w:rsidP="00334D6C">
            <w:pPr>
              <w:pStyle w:val="Milestonetable"/>
              <w:jc w:val="right"/>
              <w:rPr>
                <w:color w:val="auto"/>
              </w:rPr>
            </w:pPr>
          </w:p>
        </w:tc>
      </w:tr>
      <w:tr w:rsidR="00FE1364" w:rsidRPr="00953EC6" w14:paraId="7BBA916E" w14:textId="77777777" w:rsidTr="00334D6C">
        <w:tc>
          <w:tcPr>
            <w:tcW w:w="3109" w:type="dxa"/>
            <w:tcBorders>
              <w:top w:val="single" w:sz="8" w:space="0" w:color="4F81BD"/>
              <w:left w:val="single" w:sz="8" w:space="0" w:color="4F81BD"/>
              <w:bottom w:val="single" w:sz="8" w:space="0" w:color="4F81BD"/>
              <w:right w:val="single" w:sz="8" w:space="0" w:color="4F81BD"/>
            </w:tcBorders>
          </w:tcPr>
          <w:p w14:paraId="5F8223D7" w14:textId="77777777" w:rsidR="00FE1364" w:rsidRPr="00953EC6" w:rsidRDefault="00FE1364" w:rsidP="00334D6C">
            <w:pPr>
              <w:pStyle w:val="Milestonetable"/>
              <w:rPr>
                <w:color w:val="auto"/>
              </w:rPr>
            </w:pPr>
            <w:r w:rsidRPr="00953EC6">
              <w:rPr>
                <w:bCs/>
                <w:color w:val="auto"/>
              </w:rPr>
              <w:t>E</w:t>
            </w:r>
            <w:r w:rsidRPr="00953EC6">
              <w:rPr>
                <w:color w:val="auto"/>
              </w:rPr>
              <w:t>stablishing and maintaining new networks and partnerships within and between jurisdictions, clinical trial networks, communities of practice (eg. oncology, working with ATSI groups) and registries.</w:t>
            </w:r>
          </w:p>
        </w:tc>
        <w:tc>
          <w:tcPr>
            <w:tcW w:w="7813" w:type="dxa"/>
            <w:tcBorders>
              <w:top w:val="single" w:sz="8" w:space="0" w:color="4F81BD"/>
              <w:left w:val="single" w:sz="8" w:space="0" w:color="4F81BD"/>
              <w:bottom w:val="single" w:sz="8" w:space="0" w:color="4F81BD"/>
              <w:right w:val="single" w:sz="8" w:space="0" w:color="4F81BD"/>
            </w:tcBorders>
            <w:shd w:val="clear" w:color="auto" w:fill="auto"/>
          </w:tcPr>
          <w:p w14:paraId="1EA5C666" w14:textId="77777777" w:rsidR="00FE1364" w:rsidRPr="00953EC6" w:rsidRDefault="00FE1364" w:rsidP="00334D6C">
            <w:pPr>
              <w:pStyle w:val="Milestonetable"/>
              <w:rPr>
                <w:bCs/>
                <w:color w:val="auto"/>
              </w:rPr>
            </w:pPr>
            <w:r w:rsidRPr="00953EC6">
              <w:rPr>
                <w:color w:val="auto"/>
              </w:rPr>
              <w:t>Ongoing delivery of tele-trials model.</w:t>
            </w:r>
          </w:p>
        </w:tc>
        <w:tc>
          <w:tcPr>
            <w:tcW w:w="1929" w:type="dxa"/>
            <w:vMerge/>
            <w:tcBorders>
              <w:left w:val="single" w:sz="8" w:space="0" w:color="4F81BD"/>
              <w:right w:val="single" w:sz="8" w:space="0" w:color="4F81BD"/>
            </w:tcBorders>
            <w:shd w:val="clear" w:color="auto" w:fill="auto"/>
          </w:tcPr>
          <w:p w14:paraId="58B901FB" w14:textId="77777777" w:rsidR="00FE1364" w:rsidRPr="00953EC6" w:rsidRDefault="00FE1364" w:rsidP="00334D6C">
            <w:pPr>
              <w:pStyle w:val="Milestonetable"/>
              <w:rPr>
                <w:color w:val="auto"/>
              </w:rPr>
            </w:pPr>
          </w:p>
        </w:tc>
        <w:tc>
          <w:tcPr>
            <w:tcW w:w="1699" w:type="dxa"/>
            <w:vMerge/>
            <w:tcBorders>
              <w:left w:val="single" w:sz="8" w:space="0" w:color="4F81BD"/>
              <w:right w:val="single" w:sz="8" w:space="0" w:color="4F81BD"/>
            </w:tcBorders>
            <w:shd w:val="clear" w:color="auto" w:fill="auto"/>
          </w:tcPr>
          <w:p w14:paraId="4C8DEC99" w14:textId="77777777" w:rsidR="00FE1364" w:rsidRPr="00953EC6" w:rsidRDefault="00FE1364" w:rsidP="00334D6C">
            <w:pPr>
              <w:pStyle w:val="Milestonetable"/>
              <w:jc w:val="right"/>
              <w:rPr>
                <w:color w:val="auto"/>
              </w:rPr>
            </w:pPr>
          </w:p>
        </w:tc>
      </w:tr>
      <w:tr w:rsidR="00FE1364" w:rsidRPr="00953EC6" w14:paraId="06F21FB3" w14:textId="77777777" w:rsidTr="00334D6C">
        <w:tc>
          <w:tcPr>
            <w:tcW w:w="3109" w:type="dxa"/>
            <w:tcBorders>
              <w:top w:val="single" w:sz="8" w:space="0" w:color="4F81BD"/>
              <w:left w:val="single" w:sz="8" w:space="0" w:color="4F81BD"/>
              <w:bottom w:val="single" w:sz="8" w:space="0" w:color="4F81BD"/>
              <w:right w:val="single" w:sz="8" w:space="0" w:color="4F81BD"/>
            </w:tcBorders>
          </w:tcPr>
          <w:p w14:paraId="3F6A1FB9" w14:textId="77777777" w:rsidR="00FE1364" w:rsidRPr="00953EC6" w:rsidRDefault="00FE1364" w:rsidP="00334D6C">
            <w:pPr>
              <w:pStyle w:val="Milestonetable"/>
              <w:rPr>
                <w:color w:val="auto"/>
              </w:rPr>
            </w:pPr>
            <w:r w:rsidRPr="00953EC6">
              <w:rPr>
                <w:color w:val="auto"/>
              </w:rPr>
              <w:t>Embedding research and clinical trials processes into core hospital governance arrangements.</w:t>
            </w:r>
          </w:p>
        </w:tc>
        <w:tc>
          <w:tcPr>
            <w:tcW w:w="7813" w:type="dxa"/>
            <w:tcBorders>
              <w:top w:val="single" w:sz="8" w:space="0" w:color="4F81BD"/>
              <w:left w:val="single" w:sz="8" w:space="0" w:color="4F81BD"/>
              <w:bottom w:val="single" w:sz="8" w:space="0" w:color="4F81BD"/>
              <w:right w:val="single" w:sz="8" w:space="0" w:color="4F81BD"/>
            </w:tcBorders>
            <w:shd w:val="clear" w:color="auto" w:fill="auto"/>
          </w:tcPr>
          <w:p w14:paraId="654FD24C" w14:textId="77777777" w:rsidR="00FE1364" w:rsidRPr="00953EC6" w:rsidRDefault="00FE1364" w:rsidP="00334D6C">
            <w:pPr>
              <w:pStyle w:val="Milestonetable"/>
              <w:rPr>
                <w:bCs/>
                <w:color w:val="auto"/>
              </w:rPr>
            </w:pPr>
            <w:r w:rsidRPr="00953EC6">
              <w:rPr>
                <w:color w:val="auto"/>
              </w:rPr>
              <w:t>Active engagement with CTPRG, Commonwealth and Australian Commission on Safety and Quality in Health Care (ACSQHC) to implement the national Clinical Trials Governance Framework.</w:t>
            </w:r>
          </w:p>
        </w:tc>
        <w:tc>
          <w:tcPr>
            <w:tcW w:w="1929" w:type="dxa"/>
            <w:vMerge/>
            <w:tcBorders>
              <w:left w:val="single" w:sz="8" w:space="0" w:color="4F81BD"/>
              <w:bottom w:val="single" w:sz="8" w:space="0" w:color="4F81BD"/>
              <w:right w:val="single" w:sz="8" w:space="0" w:color="4F81BD"/>
            </w:tcBorders>
            <w:shd w:val="clear" w:color="auto" w:fill="auto"/>
          </w:tcPr>
          <w:p w14:paraId="4243A27F" w14:textId="77777777" w:rsidR="00FE1364" w:rsidRPr="00953EC6" w:rsidRDefault="00FE1364" w:rsidP="00334D6C">
            <w:pPr>
              <w:pStyle w:val="Milestonetable"/>
              <w:rPr>
                <w:color w:val="auto"/>
              </w:rPr>
            </w:pPr>
          </w:p>
        </w:tc>
        <w:tc>
          <w:tcPr>
            <w:tcW w:w="1699" w:type="dxa"/>
            <w:vMerge/>
            <w:tcBorders>
              <w:left w:val="single" w:sz="8" w:space="0" w:color="4F81BD"/>
              <w:bottom w:val="single" w:sz="8" w:space="0" w:color="4F81BD"/>
              <w:right w:val="single" w:sz="8" w:space="0" w:color="4F81BD"/>
            </w:tcBorders>
            <w:shd w:val="clear" w:color="auto" w:fill="auto"/>
          </w:tcPr>
          <w:p w14:paraId="37BDC9C3" w14:textId="77777777" w:rsidR="00FE1364" w:rsidRPr="00953EC6" w:rsidRDefault="00FE1364" w:rsidP="00334D6C">
            <w:pPr>
              <w:pStyle w:val="Milestonetable"/>
              <w:jc w:val="right"/>
              <w:rPr>
                <w:color w:val="auto"/>
              </w:rPr>
            </w:pPr>
          </w:p>
        </w:tc>
      </w:tr>
    </w:tbl>
    <w:p w14:paraId="11B6D20C" w14:textId="77777777" w:rsidR="00FE1364" w:rsidRDefault="00FE1364" w:rsidP="00FE1364">
      <w:pPr>
        <w:tabs>
          <w:tab w:val="left" w:pos="3865"/>
        </w:tabs>
      </w:pPr>
      <w:r w:rsidRPr="00A829E7">
        <w:t xml:space="preserve">This schedule was agreed by the </w:t>
      </w:r>
      <w:r>
        <w:t xml:space="preserve">Commonwealth </w:t>
      </w:r>
      <w:r w:rsidRPr="00A829E7">
        <w:t>and</w:t>
      </w:r>
      <w:r>
        <w:t xml:space="preserve"> Queensland </w:t>
      </w:r>
      <w:r w:rsidRPr="00A829E7">
        <w:t>when the overarching National Partnership</w:t>
      </w:r>
      <w:r>
        <w:t xml:space="preserve"> was signed.</w:t>
      </w:r>
    </w:p>
    <w:p w14:paraId="2DA4DCCB" w14:textId="77777777" w:rsidR="00FE1364" w:rsidRDefault="00FE1364" w:rsidP="00FE1364">
      <w:pPr>
        <w:tabs>
          <w:tab w:val="left" w:pos="3865"/>
        </w:tabs>
      </w:pPr>
    </w:p>
    <w:p w14:paraId="28B727B2" w14:textId="77777777" w:rsidR="00FE1364" w:rsidRPr="00953EC6" w:rsidRDefault="00FE1364" w:rsidP="00FE1364">
      <w:pPr>
        <w:tabs>
          <w:tab w:val="left" w:pos="3865"/>
        </w:tabs>
        <w:rPr>
          <w:b/>
        </w:rPr>
      </w:pPr>
      <w:r w:rsidRPr="00953EC6">
        <w:rPr>
          <w:b/>
        </w:rPr>
        <w:t>Queensland Project Plan summary</w:t>
      </w:r>
    </w:p>
    <w:p w14:paraId="157AAA3D" w14:textId="77777777" w:rsidR="00FE1364" w:rsidRPr="00953EC6" w:rsidRDefault="00FE1364" w:rsidP="00FE1364">
      <w:pPr>
        <w:pStyle w:val="Tableformat"/>
        <w:rPr>
          <w:iCs w:val="0"/>
          <w:color w:val="auto"/>
          <w:sz w:val="22"/>
          <w:szCs w:val="22"/>
        </w:rPr>
      </w:pPr>
      <w:r w:rsidRPr="00953EC6">
        <w:rPr>
          <w:iCs w:val="0"/>
          <w:color w:val="auto"/>
          <w:sz w:val="22"/>
          <w:szCs w:val="22"/>
        </w:rPr>
        <w:t>Queensland will establish a state-wide Queensland Clinical Trials Coordination Unit (the QCTCU) that will:</w:t>
      </w:r>
    </w:p>
    <w:p w14:paraId="1DE1A015" w14:textId="77777777" w:rsidR="00FE1364" w:rsidRPr="00953EC6" w:rsidRDefault="00FE1364" w:rsidP="00FE1364">
      <w:pPr>
        <w:pStyle w:val="Tableformat"/>
        <w:numPr>
          <w:ilvl w:val="0"/>
          <w:numId w:val="11"/>
        </w:numPr>
        <w:rPr>
          <w:iCs w:val="0"/>
          <w:color w:val="auto"/>
          <w:sz w:val="22"/>
          <w:szCs w:val="22"/>
        </w:rPr>
      </w:pPr>
      <w:r w:rsidRPr="00953EC6">
        <w:rPr>
          <w:iCs w:val="0"/>
          <w:color w:val="auto"/>
          <w:sz w:val="22"/>
          <w:szCs w:val="22"/>
        </w:rPr>
        <w:t>act as a central point of contact for sponsors, investigators, referrers and patients;</w:t>
      </w:r>
    </w:p>
    <w:p w14:paraId="73C708C3" w14:textId="77777777" w:rsidR="00FE1364" w:rsidRPr="00953EC6" w:rsidRDefault="00FE1364" w:rsidP="00FE1364">
      <w:pPr>
        <w:pStyle w:val="Tableformat"/>
        <w:numPr>
          <w:ilvl w:val="0"/>
          <w:numId w:val="11"/>
        </w:numPr>
        <w:rPr>
          <w:iCs w:val="0"/>
          <w:color w:val="auto"/>
          <w:sz w:val="22"/>
          <w:szCs w:val="22"/>
        </w:rPr>
      </w:pPr>
      <w:r w:rsidRPr="00953EC6">
        <w:rPr>
          <w:iCs w:val="0"/>
          <w:color w:val="auto"/>
          <w:sz w:val="22"/>
          <w:szCs w:val="22"/>
        </w:rPr>
        <w:t>include liaison points within Queensland Academic Health Translation Centres to develop networked clinical trial hubs across multiple Hospital and Health Services (HSS);</w:t>
      </w:r>
    </w:p>
    <w:p w14:paraId="35A81774" w14:textId="77777777" w:rsidR="00FE1364" w:rsidRPr="00953EC6" w:rsidRDefault="00FE1364" w:rsidP="00FE1364">
      <w:pPr>
        <w:pStyle w:val="Tableformat"/>
        <w:numPr>
          <w:ilvl w:val="0"/>
          <w:numId w:val="11"/>
        </w:numPr>
        <w:rPr>
          <w:iCs w:val="0"/>
          <w:color w:val="auto"/>
          <w:sz w:val="22"/>
          <w:szCs w:val="22"/>
        </w:rPr>
      </w:pPr>
      <w:r w:rsidRPr="00953EC6">
        <w:rPr>
          <w:iCs w:val="0"/>
          <w:color w:val="auto"/>
          <w:sz w:val="22"/>
          <w:szCs w:val="22"/>
        </w:rPr>
        <w:t>include a Clinical Trial Capability Project to measure Queensland’s baseline clinical trials capability, including identification of under-represented clinical areas and current public-private partnerships, and achievements and improvements as a result of introducing new clinical trials models in Queensland;</w:t>
      </w:r>
    </w:p>
    <w:p w14:paraId="0C98854D" w14:textId="77777777" w:rsidR="00FE1364" w:rsidRPr="00953EC6" w:rsidRDefault="00FE1364" w:rsidP="00FE1364">
      <w:pPr>
        <w:pStyle w:val="Tableformat"/>
        <w:numPr>
          <w:ilvl w:val="0"/>
          <w:numId w:val="11"/>
        </w:numPr>
        <w:rPr>
          <w:iCs w:val="0"/>
          <w:color w:val="auto"/>
          <w:sz w:val="22"/>
          <w:szCs w:val="22"/>
        </w:rPr>
      </w:pPr>
      <w:r w:rsidRPr="00953EC6">
        <w:rPr>
          <w:iCs w:val="0"/>
          <w:color w:val="auto"/>
          <w:sz w:val="22"/>
          <w:szCs w:val="22"/>
        </w:rPr>
        <w:t>deliver a Clinical Research Coordinator Workforce Strategy;</w:t>
      </w:r>
    </w:p>
    <w:p w14:paraId="523E8B60" w14:textId="77777777" w:rsidR="00FE1364" w:rsidRPr="00953EC6" w:rsidRDefault="00FE1364" w:rsidP="00FE1364">
      <w:pPr>
        <w:pStyle w:val="Tableformat"/>
        <w:numPr>
          <w:ilvl w:val="0"/>
          <w:numId w:val="11"/>
        </w:numPr>
        <w:rPr>
          <w:iCs w:val="0"/>
          <w:color w:val="auto"/>
          <w:sz w:val="22"/>
          <w:szCs w:val="22"/>
        </w:rPr>
      </w:pPr>
      <w:r w:rsidRPr="00953EC6">
        <w:rPr>
          <w:iCs w:val="0"/>
          <w:color w:val="auto"/>
          <w:sz w:val="22"/>
          <w:szCs w:val="22"/>
        </w:rPr>
        <w:t>support the application of common, streamlined clinical trial processes;</w:t>
      </w:r>
    </w:p>
    <w:p w14:paraId="4475C8C0" w14:textId="77777777" w:rsidR="00FE1364" w:rsidRPr="00953EC6" w:rsidRDefault="00FE1364" w:rsidP="00FE1364">
      <w:pPr>
        <w:pStyle w:val="Tableformat"/>
        <w:numPr>
          <w:ilvl w:val="0"/>
          <w:numId w:val="11"/>
        </w:numPr>
        <w:rPr>
          <w:iCs w:val="0"/>
          <w:color w:val="auto"/>
          <w:sz w:val="22"/>
          <w:szCs w:val="22"/>
        </w:rPr>
      </w:pPr>
      <w:r w:rsidRPr="00953EC6">
        <w:rPr>
          <w:iCs w:val="0"/>
          <w:color w:val="auto"/>
          <w:sz w:val="22"/>
          <w:szCs w:val="22"/>
        </w:rPr>
        <w:t>facilitate a coordinated and networked approach that also maximises clinical trials resource utilisation and participation; and</w:t>
      </w:r>
    </w:p>
    <w:p w14:paraId="75A356A6" w14:textId="77777777" w:rsidR="00FE1364" w:rsidRPr="00953EC6" w:rsidRDefault="00FE1364" w:rsidP="00FE1364">
      <w:pPr>
        <w:pStyle w:val="Tableformat"/>
        <w:numPr>
          <w:ilvl w:val="0"/>
          <w:numId w:val="11"/>
        </w:numPr>
        <w:rPr>
          <w:iCs w:val="0"/>
          <w:color w:val="auto"/>
          <w:sz w:val="22"/>
          <w:szCs w:val="22"/>
        </w:rPr>
      </w:pPr>
      <w:r w:rsidRPr="00953EC6">
        <w:rPr>
          <w:color w:val="auto"/>
          <w:sz w:val="22"/>
          <w:szCs w:val="22"/>
        </w:rPr>
        <w:t>implement a tele-trials model with satellite regional sites across Queensland, New South Wales and the Northern Territory to improve regional patient access to trials, with an initial focus on oncology.</w:t>
      </w:r>
    </w:p>
    <w:p w14:paraId="16400389" w14:textId="77777777" w:rsidR="00FE1364" w:rsidRDefault="00FE1364" w:rsidP="00FE1364">
      <w: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09"/>
        <w:gridCol w:w="7813"/>
        <w:gridCol w:w="1929"/>
        <w:gridCol w:w="1699"/>
      </w:tblGrid>
      <w:tr w:rsidR="00FE1364" w:rsidRPr="00953EC6" w14:paraId="5EAE722D" w14:textId="77777777" w:rsidTr="00334D6C">
        <w:tc>
          <w:tcPr>
            <w:tcW w:w="14550" w:type="dxa"/>
            <w:gridSpan w:val="4"/>
            <w:shd w:val="clear" w:color="auto" w:fill="DEEAF6" w:themeFill="accent1" w:themeFillTint="33"/>
          </w:tcPr>
          <w:p w14:paraId="30D46188" w14:textId="77777777" w:rsidR="00FE1364" w:rsidRPr="00953EC6" w:rsidRDefault="00FE1364" w:rsidP="00334D6C">
            <w:pPr>
              <w:pStyle w:val="Tableformat"/>
              <w:rPr>
                <w:b/>
                <w:color w:val="auto"/>
              </w:rPr>
            </w:pPr>
            <w:r w:rsidRPr="00953EC6">
              <w:rPr>
                <w:b/>
                <w:color w:val="auto"/>
              </w:rPr>
              <w:t>Table 2D: Western Australia – Performance requirements, reporting and payment summary</w:t>
            </w:r>
          </w:p>
        </w:tc>
      </w:tr>
      <w:tr w:rsidR="00FE1364" w:rsidRPr="00953EC6" w14:paraId="6F583D2C" w14:textId="77777777" w:rsidTr="00334D6C">
        <w:tc>
          <w:tcPr>
            <w:tcW w:w="3109" w:type="dxa"/>
            <w:vMerge w:val="restart"/>
            <w:shd w:val="clear" w:color="auto" w:fill="F2F2F2" w:themeFill="background1" w:themeFillShade="F2"/>
          </w:tcPr>
          <w:p w14:paraId="655F0508" w14:textId="77777777" w:rsidR="00FE1364" w:rsidRPr="00953EC6" w:rsidRDefault="00FE1364" w:rsidP="00334D6C">
            <w:pPr>
              <w:pStyle w:val="Tableformat"/>
              <w:rPr>
                <w:b/>
                <w:color w:val="auto"/>
              </w:rPr>
            </w:pPr>
            <w:r w:rsidRPr="00953EC6">
              <w:rPr>
                <w:b/>
                <w:color w:val="auto"/>
              </w:rPr>
              <w:t>Output</w:t>
            </w:r>
          </w:p>
          <w:p w14:paraId="0950F833" w14:textId="77777777" w:rsidR="00FE1364" w:rsidRPr="00953EC6" w:rsidRDefault="00FE1364" w:rsidP="00334D6C">
            <w:pPr>
              <w:pStyle w:val="Tableformat"/>
              <w:rPr>
                <w:b/>
                <w:color w:val="auto"/>
              </w:rPr>
            </w:pPr>
          </w:p>
        </w:tc>
        <w:tc>
          <w:tcPr>
            <w:tcW w:w="7813" w:type="dxa"/>
            <w:shd w:val="clear" w:color="auto" w:fill="F2F2F2" w:themeFill="background1" w:themeFillShade="F2"/>
          </w:tcPr>
          <w:p w14:paraId="024E6C69" w14:textId="77777777" w:rsidR="00FE1364" w:rsidRPr="00953EC6" w:rsidRDefault="00FE1364" w:rsidP="00334D6C">
            <w:pPr>
              <w:pStyle w:val="Tableformat"/>
              <w:rPr>
                <w:b/>
                <w:color w:val="auto"/>
              </w:rPr>
            </w:pPr>
            <w:r w:rsidRPr="00953EC6">
              <w:rPr>
                <w:b/>
                <w:color w:val="auto"/>
              </w:rPr>
              <w:t>Performance milestones</w:t>
            </w:r>
          </w:p>
        </w:tc>
        <w:tc>
          <w:tcPr>
            <w:tcW w:w="1929" w:type="dxa"/>
            <w:vMerge w:val="restart"/>
            <w:shd w:val="clear" w:color="auto" w:fill="F2F2F2" w:themeFill="background1" w:themeFillShade="F2"/>
          </w:tcPr>
          <w:p w14:paraId="15A1AE3F" w14:textId="77777777" w:rsidR="00FE1364" w:rsidRPr="00953EC6" w:rsidRDefault="00FE1364" w:rsidP="00334D6C">
            <w:pPr>
              <w:pStyle w:val="Tableformat"/>
              <w:rPr>
                <w:b/>
                <w:color w:val="auto"/>
              </w:rPr>
            </w:pPr>
            <w:r w:rsidRPr="00953EC6">
              <w:rPr>
                <w:b/>
                <w:color w:val="auto"/>
              </w:rPr>
              <w:t>Report due</w:t>
            </w:r>
          </w:p>
        </w:tc>
        <w:tc>
          <w:tcPr>
            <w:tcW w:w="1699" w:type="dxa"/>
            <w:vMerge w:val="restart"/>
            <w:shd w:val="clear" w:color="auto" w:fill="F2F2F2" w:themeFill="background1" w:themeFillShade="F2"/>
          </w:tcPr>
          <w:p w14:paraId="76A65FE8" w14:textId="77777777" w:rsidR="00FE1364" w:rsidRPr="00953EC6" w:rsidRDefault="00FE1364" w:rsidP="00334D6C">
            <w:pPr>
              <w:pStyle w:val="Tableformat"/>
              <w:rPr>
                <w:b/>
                <w:color w:val="auto"/>
              </w:rPr>
            </w:pPr>
            <w:r w:rsidRPr="00953EC6">
              <w:rPr>
                <w:b/>
                <w:color w:val="auto"/>
              </w:rPr>
              <w:t>Payment</w:t>
            </w:r>
          </w:p>
          <w:p w14:paraId="67BA40E3" w14:textId="77777777" w:rsidR="00FE1364" w:rsidRPr="00953EC6" w:rsidRDefault="00FE1364" w:rsidP="00334D6C">
            <w:pPr>
              <w:pStyle w:val="Tableformat"/>
              <w:rPr>
                <w:b/>
                <w:color w:val="auto"/>
              </w:rPr>
            </w:pPr>
          </w:p>
        </w:tc>
      </w:tr>
      <w:tr w:rsidR="00FE1364" w:rsidRPr="00953EC6" w14:paraId="1A6758D2" w14:textId="77777777" w:rsidTr="00334D6C">
        <w:tc>
          <w:tcPr>
            <w:tcW w:w="3109" w:type="dxa"/>
            <w:vMerge/>
            <w:shd w:val="clear" w:color="auto" w:fill="F2F2F2" w:themeFill="background1" w:themeFillShade="F2"/>
          </w:tcPr>
          <w:p w14:paraId="272FB2BA" w14:textId="77777777" w:rsidR="00FE1364" w:rsidRPr="00953EC6" w:rsidRDefault="00FE1364" w:rsidP="00334D6C">
            <w:pPr>
              <w:pStyle w:val="Tableformat"/>
              <w:rPr>
                <w:b/>
                <w:color w:val="auto"/>
              </w:rPr>
            </w:pPr>
          </w:p>
        </w:tc>
        <w:tc>
          <w:tcPr>
            <w:tcW w:w="7813" w:type="dxa"/>
            <w:shd w:val="clear" w:color="auto" w:fill="F2F2F2" w:themeFill="background1" w:themeFillShade="F2"/>
          </w:tcPr>
          <w:p w14:paraId="6BE85937" w14:textId="77777777" w:rsidR="00FE1364" w:rsidRPr="00953EC6" w:rsidRDefault="00FE1364" w:rsidP="00334D6C">
            <w:pPr>
              <w:pStyle w:val="Tableformat"/>
              <w:rPr>
                <w:b/>
                <w:color w:val="auto"/>
              </w:rPr>
            </w:pPr>
            <w:r w:rsidRPr="00953EC6">
              <w:rPr>
                <w:b/>
                <w:color w:val="auto"/>
                <w:sz w:val="23"/>
                <w:szCs w:val="23"/>
              </w:rPr>
              <w:t>2020-21</w:t>
            </w:r>
          </w:p>
        </w:tc>
        <w:tc>
          <w:tcPr>
            <w:tcW w:w="1929" w:type="dxa"/>
            <w:vMerge/>
            <w:shd w:val="clear" w:color="auto" w:fill="F2F2F2" w:themeFill="background1" w:themeFillShade="F2"/>
          </w:tcPr>
          <w:p w14:paraId="4BB39668" w14:textId="77777777" w:rsidR="00FE1364" w:rsidRPr="00953EC6" w:rsidRDefault="00FE1364" w:rsidP="00334D6C">
            <w:pPr>
              <w:pStyle w:val="Tableformat"/>
              <w:rPr>
                <w:b/>
                <w:color w:val="auto"/>
              </w:rPr>
            </w:pPr>
          </w:p>
        </w:tc>
        <w:tc>
          <w:tcPr>
            <w:tcW w:w="1699" w:type="dxa"/>
            <w:vMerge/>
            <w:shd w:val="clear" w:color="auto" w:fill="F2F2F2" w:themeFill="background1" w:themeFillShade="F2"/>
          </w:tcPr>
          <w:p w14:paraId="439DDE56" w14:textId="77777777" w:rsidR="00FE1364" w:rsidRPr="00953EC6" w:rsidRDefault="00FE1364" w:rsidP="00334D6C">
            <w:pPr>
              <w:pStyle w:val="Tableformat"/>
              <w:rPr>
                <w:b/>
                <w:color w:val="auto"/>
              </w:rPr>
            </w:pPr>
          </w:p>
        </w:tc>
      </w:tr>
      <w:tr w:rsidR="00FE1364" w:rsidRPr="00953EC6" w14:paraId="23F781E4" w14:textId="77777777" w:rsidTr="00334D6C">
        <w:tc>
          <w:tcPr>
            <w:tcW w:w="3109" w:type="dxa"/>
            <w:tcBorders>
              <w:top w:val="single" w:sz="8" w:space="0" w:color="4F81BD"/>
              <w:left w:val="single" w:sz="8" w:space="0" w:color="4F81BD"/>
              <w:bottom w:val="single" w:sz="8" w:space="0" w:color="4F81BD"/>
              <w:right w:val="single" w:sz="8" w:space="0" w:color="4F81BD"/>
            </w:tcBorders>
          </w:tcPr>
          <w:p w14:paraId="09C72006" w14:textId="77777777" w:rsidR="00FE1364" w:rsidRPr="00953EC6" w:rsidRDefault="00FE1364" w:rsidP="00334D6C">
            <w:pPr>
              <w:pStyle w:val="Milestonetable"/>
              <w:rPr>
                <w:color w:val="auto"/>
              </w:rPr>
            </w:pPr>
            <w:r w:rsidRPr="00953EC6">
              <w:rPr>
                <w:color w:val="auto"/>
              </w:rPr>
              <w:t>Establishing new and enhanced central coordination units or equivalent in accordance with the Council of Australian Governments Health Council Revitalised Clinical Trials Agenda.</w:t>
            </w:r>
          </w:p>
        </w:tc>
        <w:tc>
          <w:tcPr>
            <w:tcW w:w="7813" w:type="dxa"/>
            <w:tcBorders>
              <w:top w:val="single" w:sz="8" w:space="0" w:color="4F81BD"/>
              <w:left w:val="single" w:sz="8" w:space="0" w:color="4F81BD"/>
              <w:bottom w:val="single" w:sz="8" w:space="0" w:color="4F81BD"/>
              <w:right w:val="single" w:sz="8" w:space="0" w:color="4F81BD"/>
            </w:tcBorders>
            <w:shd w:val="clear" w:color="auto" w:fill="auto"/>
          </w:tcPr>
          <w:p w14:paraId="37242E58" w14:textId="77777777" w:rsidR="00FE1364" w:rsidRPr="00953EC6" w:rsidRDefault="00FE1364" w:rsidP="00334D6C">
            <w:pPr>
              <w:rPr>
                <w:sz w:val="20"/>
              </w:rPr>
            </w:pPr>
            <w:r w:rsidRPr="00953EC6">
              <w:rPr>
                <w:sz w:val="20"/>
              </w:rPr>
              <w:t>Delivery of final reports on effectiveness and sustainability of Clinical Trials and Data Management Centre (CTDMC) model, including CTDSM and CTLO roles as part of business case to substantiate continuation.</w:t>
            </w:r>
          </w:p>
          <w:p w14:paraId="0212A73C" w14:textId="77777777" w:rsidR="00FE1364" w:rsidRPr="00953EC6" w:rsidRDefault="00FE1364" w:rsidP="00334D6C">
            <w:pPr>
              <w:rPr>
                <w:sz w:val="20"/>
              </w:rPr>
            </w:pPr>
          </w:p>
          <w:p w14:paraId="20A6644B" w14:textId="77777777" w:rsidR="00FE1364" w:rsidRPr="00953EC6" w:rsidRDefault="00FE1364" w:rsidP="00334D6C">
            <w:pPr>
              <w:pStyle w:val="Milestonetable"/>
              <w:rPr>
                <w:bCs/>
                <w:color w:val="auto"/>
              </w:rPr>
            </w:pPr>
            <w:r w:rsidRPr="00953EC6">
              <w:rPr>
                <w:color w:val="auto"/>
              </w:rPr>
              <w:t>Agreements finalised by HSPs on continuation of CTLO roles.</w:t>
            </w:r>
          </w:p>
        </w:tc>
        <w:tc>
          <w:tcPr>
            <w:tcW w:w="1929" w:type="dxa"/>
            <w:vMerge w:val="restart"/>
            <w:tcBorders>
              <w:top w:val="single" w:sz="8" w:space="0" w:color="4F81BD"/>
              <w:left w:val="single" w:sz="8" w:space="0" w:color="4F81BD"/>
              <w:right w:val="single" w:sz="8" w:space="0" w:color="4F81BD"/>
            </w:tcBorders>
            <w:shd w:val="clear" w:color="auto" w:fill="auto"/>
          </w:tcPr>
          <w:p w14:paraId="2A624D45" w14:textId="77777777" w:rsidR="00FE1364" w:rsidRPr="00953EC6" w:rsidRDefault="00FE1364" w:rsidP="00334D6C">
            <w:pPr>
              <w:pStyle w:val="Milestonetable"/>
              <w:rPr>
                <w:color w:val="auto"/>
              </w:rPr>
            </w:pPr>
            <w:r w:rsidRPr="00953EC6">
              <w:rPr>
                <w:color w:val="auto"/>
              </w:rPr>
              <w:t>30 April 2021</w:t>
            </w:r>
          </w:p>
        </w:tc>
        <w:tc>
          <w:tcPr>
            <w:tcW w:w="1699" w:type="dxa"/>
            <w:vMerge w:val="restart"/>
            <w:tcBorders>
              <w:top w:val="single" w:sz="8" w:space="0" w:color="4F81BD"/>
              <w:left w:val="single" w:sz="8" w:space="0" w:color="4F81BD"/>
              <w:right w:val="single" w:sz="8" w:space="0" w:color="4F81BD"/>
            </w:tcBorders>
            <w:shd w:val="clear" w:color="auto" w:fill="auto"/>
          </w:tcPr>
          <w:p w14:paraId="183B0724" w14:textId="77777777" w:rsidR="00FE1364" w:rsidRPr="00953EC6" w:rsidRDefault="00FE1364" w:rsidP="00334D6C">
            <w:pPr>
              <w:pStyle w:val="Milestonetable"/>
              <w:rPr>
                <w:color w:val="auto"/>
              </w:rPr>
            </w:pPr>
            <w:r w:rsidRPr="00953EC6">
              <w:rPr>
                <w:color w:val="auto"/>
              </w:rPr>
              <w:t>$214,300</w:t>
            </w:r>
          </w:p>
          <w:p w14:paraId="2B8DB6F6" w14:textId="77777777" w:rsidR="00FE1364" w:rsidRPr="00953EC6" w:rsidRDefault="00FE1364" w:rsidP="00334D6C">
            <w:pPr>
              <w:pStyle w:val="Milestonetable"/>
              <w:jc w:val="right"/>
              <w:rPr>
                <w:color w:val="auto"/>
              </w:rPr>
            </w:pPr>
          </w:p>
          <w:p w14:paraId="76B0CEC2" w14:textId="77777777" w:rsidR="00FE1364" w:rsidRPr="00953EC6" w:rsidRDefault="00FE1364" w:rsidP="00334D6C">
            <w:pPr>
              <w:pStyle w:val="Milestonetable"/>
              <w:jc w:val="right"/>
              <w:rPr>
                <w:color w:val="auto"/>
              </w:rPr>
            </w:pPr>
          </w:p>
          <w:p w14:paraId="77F8EF0B" w14:textId="77777777" w:rsidR="00FE1364" w:rsidRPr="00953EC6" w:rsidRDefault="00FE1364" w:rsidP="00334D6C">
            <w:pPr>
              <w:pStyle w:val="Milestonetable"/>
              <w:jc w:val="right"/>
              <w:rPr>
                <w:color w:val="auto"/>
              </w:rPr>
            </w:pPr>
          </w:p>
        </w:tc>
      </w:tr>
      <w:tr w:rsidR="00FE1364" w:rsidRPr="00953EC6" w14:paraId="6AC3A30C" w14:textId="77777777" w:rsidTr="00334D6C">
        <w:tc>
          <w:tcPr>
            <w:tcW w:w="3109" w:type="dxa"/>
            <w:tcBorders>
              <w:top w:val="single" w:sz="8" w:space="0" w:color="4F81BD"/>
              <w:left w:val="single" w:sz="8" w:space="0" w:color="4F81BD"/>
              <w:bottom w:val="single" w:sz="8" w:space="0" w:color="4F81BD"/>
              <w:right w:val="single" w:sz="8" w:space="0" w:color="4F81BD"/>
            </w:tcBorders>
          </w:tcPr>
          <w:p w14:paraId="693EDC45" w14:textId="77777777" w:rsidR="00FE1364" w:rsidRPr="00953EC6" w:rsidRDefault="00FE1364" w:rsidP="00334D6C">
            <w:pPr>
              <w:pStyle w:val="Milestonetable"/>
              <w:rPr>
                <w:color w:val="auto"/>
              </w:rPr>
            </w:pPr>
            <w:r w:rsidRPr="00953EC6">
              <w:rPr>
                <w:color w:val="auto"/>
              </w:rPr>
              <w:t>Implementing new and enhanced clinical trial data collection and reporting to inform systems improvement with interoperability and data flow capability, and contribute to better sector knowledge, recruitment and overall sector performance, including through continued implementation and expansion of metrics and ongoing submission of data to the national data collection under the Framework for National Aggregate Statistics (NAS).</w:t>
            </w:r>
          </w:p>
        </w:tc>
        <w:tc>
          <w:tcPr>
            <w:tcW w:w="7813" w:type="dxa"/>
            <w:tcBorders>
              <w:top w:val="single" w:sz="8" w:space="0" w:color="4F81BD"/>
              <w:left w:val="single" w:sz="8" w:space="0" w:color="4F81BD"/>
              <w:bottom w:val="single" w:sz="8" w:space="0" w:color="4F81BD"/>
              <w:right w:val="single" w:sz="8" w:space="0" w:color="4F81BD"/>
            </w:tcBorders>
            <w:shd w:val="clear" w:color="auto" w:fill="auto"/>
          </w:tcPr>
          <w:p w14:paraId="2B95381B" w14:textId="77777777" w:rsidR="00FE1364" w:rsidRPr="00953EC6" w:rsidRDefault="00FE1364" w:rsidP="00334D6C">
            <w:pPr>
              <w:rPr>
                <w:sz w:val="20"/>
              </w:rPr>
            </w:pPr>
            <w:r w:rsidRPr="00953EC6">
              <w:rPr>
                <w:sz w:val="20"/>
              </w:rPr>
              <w:t>Full contribution of data to the expanded National Aggregate Statistics (NAS) 2020-21, as agreed by the Clinical Trials Project Reference Group (CTPRG).</w:t>
            </w:r>
          </w:p>
          <w:p w14:paraId="16963303" w14:textId="77777777" w:rsidR="00FE1364" w:rsidRPr="00953EC6" w:rsidRDefault="00FE1364" w:rsidP="00334D6C">
            <w:pPr>
              <w:pStyle w:val="Milestonetable"/>
              <w:rPr>
                <w:rFonts w:cs="Times New Roman"/>
                <w:iCs w:val="0"/>
                <w:color w:val="auto"/>
              </w:rPr>
            </w:pPr>
            <w:r w:rsidRPr="00953EC6">
              <w:rPr>
                <w:rFonts w:cs="Times New Roman"/>
                <w:iCs w:val="0"/>
                <w:color w:val="auto"/>
              </w:rPr>
              <w:t>Delivery of public searching capability for clinical trials in WA.</w:t>
            </w:r>
          </w:p>
        </w:tc>
        <w:tc>
          <w:tcPr>
            <w:tcW w:w="1929" w:type="dxa"/>
            <w:vMerge/>
            <w:tcBorders>
              <w:left w:val="single" w:sz="8" w:space="0" w:color="4F81BD"/>
              <w:right w:val="single" w:sz="8" w:space="0" w:color="4F81BD"/>
            </w:tcBorders>
            <w:shd w:val="clear" w:color="auto" w:fill="auto"/>
          </w:tcPr>
          <w:p w14:paraId="1B2FAD58" w14:textId="77777777" w:rsidR="00FE1364" w:rsidRPr="00953EC6" w:rsidRDefault="00FE1364" w:rsidP="00334D6C">
            <w:pPr>
              <w:pStyle w:val="Milestonetable"/>
              <w:rPr>
                <w:color w:val="auto"/>
              </w:rPr>
            </w:pPr>
          </w:p>
        </w:tc>
        <w:tc>
          <w:tcPr>
            <w:tcW w:w="1699" w:type="dxa"/>
            <w:vMerge/>
            <w:tcBorders>
              <w:left w:val="single" w:sz="8" w:space="0" w:color="4F81BD"/>
              <w:right w:val="single" w:sz="8" w:space="0" w:color="4F81BD"/>
            </w:tcBorders>
            <w:shd w:val="clear" w:color="auto" w:fill="auto"/>
          </w:tcPr>
          <w:p w14:paraId="0F19C5BD" w14:textId="77777777" w:rsidR="00FE1364" w:rsidRPr="00953EC6" w:rsidRDefault="00FE1364" w:rsidP="00334D6C">
            <w:pPr>
              <w:pStyle w:val="Milestonetable"/>
              <w:jc w:val="right"/>
              <w:rPr>
                <w:color w:val="auto"/>
              </w:rPr>
            </w:pPr>
          </w:p>
        </w:tc>
      </w:tr>
      <w:tr w:rsidR="00FE1364" w:rsidRPr="00953EC6" w14:paraId="6BBD0279" w14:textId="77777777" w:rsidTr="00334D6C">
        <w:trPr>
          <w:trHeight w:val="643"/>
        </w:trPr>
        <w:tc>
          <w:tcPr>
            <w:tcW w:w="3109" w:type="dxa"/>
            <w:tcBorders>
              <w:top w:val="single" w:sz="8" w:space="0" w:color="4F81BD"/>
              <w:left w:val="single" w:sz="8" w:space="0" w:color="4F81BD"/>
              <w:right w:val="single" w:sz="8" w:space="0" w:color="4F81BD"/>
            </w:tcBorders>
          </w:tcPr>
          <w:p w14:paraId="6E52F6D2" w14:textId="77777777" w:rsidR="00FE1364" w:rsidRPr="00953EC6" w:rsidRDefault="00FE1364" w:rsidP="00334D6C">
            <w:pPr>
              <w:pStyle w:val="Milestonetable"/>
              <w:rPr>
                <w:color w:val="auto"/>
              </w:rPr>
            </w:pPr>
            <w:r w:rsidRPr="00953EC6">
              <w:rPr>
                <w:color w:val="auto"/>
              </w:rPr>
              <w:t>Embedding research and clinical trials processes into core hospital governance arrangements.</w:t>
            </w:r>
          </w:p>
        </w:tc>
        <w:tc>
          <w:tcPr>
            <w:tcW w:w="7813" w:type="dxa"/>
            <w:tcBorders>
              <w:top w:val="single" w:sz="8" w:space="0" w:color="4F81BD"/>
              <w:left w:val="single" w:sz="8" w:space="0" w:color="4F81BD"/>
              <w:right w:val="single" w:sz="8" w:space="0" w:color="4F81BD"/>
            </w:tcBorders>
            <w:shd w:val="clear" w:color="auto" w:fill="auto"/>
          </w:tcPr>
          <w:p w14:paraId="7FD3D2F7" w14:textId="77777777" w:rsidR="00FE1364" w:rsidRPr="00953EC6" w:rsidRDefault="00FE1364" w:rsidP="00334D6C">
            <w:pPr>
              <w:pStyle w:val="Milestonetable"/>
              <w:rPr>
                <w:bCs/>
                <w:color w:val="auto"/>
              </w:rPr>
            </w:pPr>
            <w:r w:rsidRPr="00953EC6">
              <w:rPr>
                <w:color w:val="auto"/>
              </w:rPr>
              <w:t>Active engagement with CTPRG, Commonwealth and Australian Commission on Safety and Quality in Health Care (ACSQHC) to implement the Clinical Trials Governance Framework.</w:t>
            </w:r>
          </w:p>
        </w:tc>
        <w:tc>
          <w:tcPr>
            <w:tcW w:w="1929" w:type="dxa"/>
            <w:vMerge/>
            <w:tcBorders>
              <w:left w:val="single" w:sz="8" w:space="0" w:color="4F81BD"/>
              <w:right w:val="single" w:sz="8" w:space="0" w:color="4F81BD"/>
            </w:tcBorders>
            <w:shd w:val="clear" w:color="auto" w:fill="auto"/>
          </w:tcPr>
          <w:p w14:paraId="7C515785" w14:textId="77777777" w:rsidR="00FE1364" w:rsidRPr="00953EC6" w:rsidRDefault="00FE1364" w:rsidP="00334D6C">
            <w:pPr>
              <w:pStyle w:val="Milestonetable"/>
              <w:rPr>
                <w:color w:val="auto"/>
              </w:rPr>
            </w:pPr>
          </w:p>
        </w:tc>
        <w:tc>
          <w:tcPr>
            <w:tcW w:w="1699" w:type="dxa"/>
            <w:vMerge/>
            <w:tcBorders>
              <w:left w:val="single" w:sz="8" w:space="0" w:color="4F81BD"/>
              <w:right w:val="single" w:sz="8" w:space="0" w:color="4F81BD"/>
            </w:tcBorders>
            <w:shd w:val="clear" w:color="auto" w:fill="auto"/>
          </w:tcPr>
          <w:p w14:paraId="57978B04" w14:textId="77777777" w:rsidR="00FE1364" w:rsidRPr="00953EC6" w:rsidRDefault="00FE1364" w:rsidP="00334D6C">
            <w:pPr>
              <w:pStyle w:val="Milestonetable"/>
              <w:jc w:val="right"/>
              <w:rPr>
                <w:color w:val="auto"/>
              </w:rPr>
            </w:pPr>
          </w:p>
        </w:tc>
      </w:tr>
    </w:tbl>
    <w:p w14:paraId="4D14DCFC" w14:textId="77777777" w:rsidR="00FE1364" w:rsidRDefault="00FE1364" w:rsidP="00FE1364">
      <w:pPr>
        <w:tabs>
          <w:tab w:val="left" w:pos="3865"/>
        </w:tabs>
      </w:pPr>
      <w:r w:rsidRPr="00A829E7">
        <w:t xml:space="preserve">This schedule was agreed by the </w:t>
      </w:r>
      <w:r>
        <w:t xml:space="preserve">Commonwealth </w:t>
      </w:r>
      <w:r w:rsidRPr="00A829E7">
        <w:t>and</w:t>
      </w:r>
      <w:r>
        <w:t xml:space="preserve"> Western Australia </w:t>
      </w:r>
      <w:r w:rsidRPr="00A829E7">
        <w:t>when the overarching National Partnership</w:t>
      </w:r>
      <w:r>
        <w:t xml:space="preserve"> was signed.</w:t>
      </w:r>
    </w:p>
    <w:p w14:paraId="346E814B" w14:textId="77777777" w:rsidR="00FE1364" w:rsidRDefault="00FE1364" w:rsidP="00FE1364">
      <w:pPr>
        <w:tabs>
          <w:tab w:val="left" w:pos="3865"/>
        </w:tabs>
      </w:pPr>
    </w:p>
    <w:p w14:paraId="0E62FA9B" w14:textId="77777777" w:rsidR="00FE1364" w:rsidRDefault="00FE1364" w:rsidP="00FE1364">
      <w:pPr>
        <w:tabs>
          <w:tab w:val="left" w:pos="3865"/>
        </w:tabs>
      </w:pPr>
    </w:p>
    <w:p w14:paraId="0634D66B" w14:textId="77777777" w:rsidR="00FE1364" w:rsidRDefault="00FE1364" w:rsidP="00FE1364">
      <w:pPr>
        <w:tabs>
          <w:tab w:val="left" w:pos="3865"/>
        </w:tabs>
      </w:pPr>
    </w:p>
    <w:p w14:paraId="34126CA3" w14:textId="77777777" w:rsidR="00FE1364" w:rsidRDefault="00FE1364" w:rsidP="00FE1364">
      <w:pPr>
        <w:tabs>
          <w:tab w:val="left" w:pos="3865"/>
        </w:tabs>
      </w:pPr>
    </w:p>
    <w:p w14:paraId="41DE71AC" w14:textId="77777777" w:rsidR="00FE1364" w:rsidRDefault="00FE1364" w:rsidP="00FE1364">
      <w:pPr>
        <w:tabs>
          <w:tab w:val="left" w:pos="3865"/>
        </w:tabs>
      </w:pPr>
    </w:p>
    <w:p w14:paraId="0DBB9FC4" w14:textId="77777777" w:rsidR="00FE1364" w:rsidRDefault="00FE1364" w:rsidP="00FE1364">
      <w:pPr>
        <w:tabs>
          <w:tab w:val="left" w:pos="3865"/>
        </w:tabs>
      </w:pPr>
    </w:p>
    <w:p w14:paraId="71ECD23B" w14:textId="77777777" w:rsidR="00FE1364" w:rsidRPr="00953EC6" w:rsidRDefault="00FE1364" w:rsidP="00FE1364">
      <w:pPr>
        <w:tabs>
          <w:tab w:val="left" w:pos="3865"/>
        </w:tabs>
        <w:rPr>
          <w:b/>
        </w:rPr>
      </w:pPr>
      <w:r w:rsidRPr="00953EC6">
        <w:rPr>
          <w:b/>
        </w:rPr>
        <w:t>Western Australia Project Plan summary</w:t>
      </w:r>
    </w:p>
    <w:p w14:paraId="254A0BD5" w14:textId="77777777" w:rsidR="00FE1364" w:rsidRPr="00953EC6" w:rsidRDefault="00FE1364" w:rsidP="00FE1364">
      <w:pPr>
        <w:pStyle w:val="Normalnumbered"/>
        <w:numPr>
          <w:ilvl w:val="0"/>
          <w:numId w:val="0"/>
        </w:numPr>
        <w:tabs>
          <w:tab w:val="clear" w:pos="1418"/>
        </w:tabs>
        <w:spacing w:after="80"/>
        <w:ind w:left="28"/>
        <w:jc w:val="left"/>
        <w:rPr>
          <w:rFonts w:cs="Arial"/>
          <w:color w:val="auto"/>
          <w:sz w:val="22"/>
          <w:szCs w:val="22"/>
        </w:rPr>
      </w:pPr>
      <w:r w:rsidRPr="00953EC6">
        <w:rPr>
          <w:rFonts w:cs="Arial"/>
          <w:color w:val="auto"/>
          <w:sz w:val="22"/>
          <w:szCs w:val="22"/>
        </w:rPr>
        <w:t>Western Australia will enhance its state-wide Clinical Trials and Data Management Centre (CTDMC) that will:</w:t>
      </w:r>
    </w:p>
    <w:p w14:paraId="24B4C186" w14:textId="77777777" w:rsidR="00FE1364" w:rsidRPr="00953EC6" w:rsidRDefault="00FE1364" w:rsidP="00FE1364">
      <w:pPr>
        <w:pStyle w:val="Tableformat"/>
        <w:numPr>
          <w:ilvl w:val="0"/>
          <w:numId w:val="12"/>
        </w:numPr>
        <w:rPr>
          <w:iCs w:val="0"/>
          <w:color w:val="auto"/>
          <w:sz w:val="22"/>
          <w:szCs w:val="22"/>
        </w:rPr>
      </w:pPr>
      <w:r w:rsidRPr="00953EC6">
        <w:rPr>
          <w:iCs w:val="0"/>
          <w:color w:val="auto"/>
          <w:sz w:val="22"/>
          <w:szCs w:val="22"/>
        </w:rPr>
        <w:t>act as a central contact point and node for the conduct of national and international clinical trials, and provide new clinical trials patient data systems capability;</w:t>
      </w:r>
    </w:p>
    <w:p w14:paraId="4570EEAC" w14:textId="77777777" w:rsidR="00FE1364" w:rsidRPr="00953EC6" w:rsidRDefault="00FE1364" w:rsidP="00FE1364">
      <w:pPr>
        <w:pStyle w:val="Tableformat"/>
        <w:numPr>
          <w:ilvl w:val="0"/>
          <w:numId w:val="12"/>
        </w:numPr>
        <w:rPr>
          <w:iCs w:val="0"/>
          <w:color w:val="auto"/>
          <w:sz w:val="22"/>
          <w:szCs w:val="22"/>
        </w:rPr>
      </w:pPr>
      <w:r w:rsidRPr="00953EC6">
        <w:rPr>
          <w:iCs w:val="0"/>
          <w:color w:val="auto"/>
          <w:sz w:val="22"/>
          <w:szCs w:val="22"/>
        </w:rPr>
        <w:t>establish Clinical Trial Liaison Officers (CTLOs) within each of the four metropolitan public Health Service Providers (HSPs) to:</w:t>
      </w:r>
    </w:p>
    <w:p w14:paraId="188110C8" w14:textId="77777777" w:rsidR="00FE1364" w:rsidRPr="00953EC6" w:rsidRDefault="00FE1364" w:rsidP="00FE1364">
      <w:pPr>
        <w:pStyle w:val="Tableformat"/>
        <w:numPr>
          <w:ilvl w:val="2"/>
          <w:numId w:val="12"/>
        </w:numPr>
        <w:ind w:left="1023"/>
        <w:rPr>
          <w:iCs w:val="0"/>
          <w:color w:val="auto"/>
          <w:sz w:val="22"/>
          <w:szCs w:val="22"/>
        </w:rPr>
      </w:pPr>
      <w:r w:rsidRPr="00953EC6">
        <w:rPr>
          <w:iCs w:val="0"/>
          <w:color w:val="auto"/>
          <w:sz w:val="22"/>
          <w:szCs w:val="22"/>
        </w:rPr>
        <w:t>provide expert guidance and centralise support to individual hospitals to streamline processes;</w:t>
      </w:r>
    </w:p>
    <w:p w14:paraId="2A6D8965" w14:textId="77777777" w:rsidR="00FE1364" w:rsidRPr="00953EC6" w:rsidRDefault="00FE1364" w:rsidP="00FE1364">
      <w:pPr>
        <w:pStyle w:val="Tableformat"/>
        <w:numPr>
          <w:ilvl w:val="2"/>
          <w:numId w:val="12"/>
        </w:numPr>
        <w:ind w:left="1023"/>
        <w:rPr>
          <w:iCs w:val="0"/>
          <w:color w:val="auto"/>
          <w:sz w:val="22"/>
          <w:szCs w:val="22"/>
        </w:rPr>
      </w:pPr>
      <w:r w:rsidRPr="00953EC6">
        <w:rPr>
          <w:iCs w:val="0"/>
          <w:color w:val="auto"/>
          <w:sz w:val="22"/>
          <w:szCs w:val="22"/>
        </w:rPr>
        <w:t>guide financial and contractual management and patient recruitment; and</w:t>
      </w:r>
    </w:p>
    <w:p w14:paraId="473CBF22" w14:textId="77777777" w:rsidR="00FE1364" w:rsidRPr="00953EC6" w:rsidRDefault="00FE1364" w:rsidP="00FE1364">
      <w:pPr>
        <w:pStyle w:val="Tableformat"/>
        <w:numPr>
          <w:ilvl w:val="2"/>
          <w:numId w:val="12"/>
        </w:numPr>
        <w:ind w:left="1023"/>
        <w:rPr>
          <w:iCs w:val="0"/>
          <w:color w:val="auto"/>
          <w:sz w:val="22"/>
          <w:szCs w:val="22"/>
        </w:rPr>
      </w:pPr>
      <w:r w:rsidRPr="00953EC6">
        <w:rPr>
          <w:iCs w:val="0"/>
          <w:color w:val="auto"/>
          <w:sz w:val="22"/>
          <w:szCs w:val="22"/>
        </w:rPr>
        <w:t>support the efficient conduct, monitoring and reporting of trials; and</w:t>
      </w:r>
    </w:p>
    <w:p w14:paraId="007D5439" w14:textId="77777777" w:rsidR="00FE1364" w:rsidRPr="00953EC6" w:rsidRDefault="00FE1364" w:rsidP="00FE1364">
      <w:pPr>
        <w:pStyle w:val="Tableformat"/>
        <w:numPr>
          <w:ilvl w:val="2"/>
          <w:numId w:val="12"/>
        </w:numPr>
        <w:ind w:left="1023"/>
        <w:rPr>
          <w:iCs w:val="0"/>
          <w:color w:val="auto"/>
          <w:sz w:val="22"/>
          <w:szCs w:val="22"/>
        </w:rPr>
      </w:pPr>
      <w:r w:rsidRPr="00953EC6">
        <w:rPr>
          <w:iCs w:val="0"/>
          <w:color w:val="auto"/>
          <w:sz w:val="22"/>
          <w:szCs w:val="22"/>
        </w:rPr>
        <w:t>identify linkages across Health Service Providers and liaise with the state-wide CTDMC; and</w:t>
      </w:r>
    </w:p>
    <w:p w14:paraId="6314AC27" w14:textId="77777777" w:rsidR="00FE1364" w:rsidRPr="00394F18" w:rsidRDefault="00FE1364" w:rsidP="00FE1364">
      <w:pPr>
        <w:pStyle w:val="Tableformat"/>
        <w:numPr>
          <w:ilvl w:val="2"/>
          <w:numId w:val="12"/>
        </w:numPr>
        <w:ind w:left="1023"/>
        <w:rPr>
          <w:iCs w:val="0"/>
        </w:rPr>
      </w:pPr>
      <w:r w:rsidRPr="00953EC6">
        <w:rPr>
          <w:color w:val="auto"/>
          <w:sz w:val="22"/>
          <w:szCs w:val="22"/>
        </w:rPr>
        <w:t>expand functionality of the Western Australian Research Governance Service that will facilitate first-time participation in national streamlining and data collection and reporting efforts.</w:t>
      </w:r>
      <w: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534"/>
        <w:gridCol w:w="7388"/>
        <w:gridCol w:w="1929"/>
        <w:gridCol w:w="1699"/>
      </w:tblGrid>
      <w:tr w:rsidR="00FE1364" w:rsidRPr="00953EC6" w14:paraId="1BB12663" w14:textId="77777777" w:rsidTr="00334D6C">
        <w:tc>
          <w:tcPr>
            <w:tcW w:w="14550" w:type="dxa"/>
            <w:gridSpan w:val="4"/>
            <w:shd w:val="clear" w:color="auto" w:fill="DEEAF6" w:themeFill="accent1" w:themeFillTint="33"/>
          </w:tcPr>
          <w:p w14:paraId="2B1D3CC5" w14:textId="77777777" w:rsidR="00FE1364" w:rsidRPr="00953EC6" w:rsidRDefault="00FE1364" w:rsidP="00334D6C">
            <w:pPr>
              <w:pStyle w:val="Tableformat"/>
              <w:rPr>
                <w:b/>
                <w:color w:val="auto"/>
              </w:rPr>
            </w:pPr>
            <w:r w:rsidRPr="00953EC6">
              <w:rPr>
                <w:b/>
                <w:color w:val="auto"/>
              </w:rPr>
              <w:t>Table 2E: South Australia – Performance requirements, reporting and payment summary</w:t>
            </w:r>
          </w:p>
        </w:tc>
      </w:tr>
      <w:tr w:rsidR="00FE1364" w:rsidRPr="00953EC6" w14:paraId="1351921C" w14:textId="77777777" w:rsidTr="00334D6C">
        <w:tc>
          <w:tcPr>
            <w:tcW w:w="3534" w:type="dxa"/>
            <w:vMerge w:val="restart"/>
            <w:shd w:val="clear" w:color="auto" w:fill="F2F2F2" w:themeFill="background1" w:themeFillShade="F2"/>
          </w:tcPr>
          <w:p w14:paraId="761A6F1D" w14:textId="77777777" w:rsidR="00FE1364" w:rsidRPr="00953EC6" w:rsidRDefault="00FE1364" w:rsidP="00334D6C">
            <w:pPr>
              <w:pStyle w:val="Tableformat"/>
              <w:rPr>
                <w:b/>
                <w:color w:val="auto"/>
              </w:rPr>
            </w:pPr>
            <w:r w:rsidRPr="00953EC6">
              <w:rPr>
                <w:b/>
                <w:color w:val="auto"/>
              </w:rPr>
              <w:t>Output</w:t>
            </w:r>
          </w:p>
          <w:p w14:paraId="6F25B2DA" w14:textId="77777777" w:rsidR="00FE1364" w:rsidRPr="00953EC6" w:rsidRDefault="00FE1364" w:rsidP="00334D6C">
            <w:pPr>
              <w:pStyle w:val="Tableformat"/>
              <w:rPr>
                <w:b/>
                <w:color w:val="auto"/>
              </w:rPr>
            </w:pPr>
          </w:p>
        </w:tc>
        <w:tc>
          <w:tcPr>
            <w:tcW w:w="7388" w:type="dxa"/>
            <w:shd w:val="clear" w:color="auto" w:fill="F2F2F2" w:themeFill="background1" w:themeFillShade="F2"/>
          </w:tcPr>
          <w:p w14:paraId="144B5733" w14:textId="77777777" w:rsidR="00FE1364" w:rsidRPr="00953EC6" w:rsidRDefault="00FE1364" w:rsidP="00334D6C">
            <w:pPr>
              <w:pStyle w:val="Tableformat"/>
              <w:rPr>
                <w:b/>
                <w:color w:val="auto"/>
              </w:rPr>
            </w:pPr>
            <w:r w:rsidRPr="00953EC6">
              <w:rPr>
                <w:b/>
                <w:color w:val="auto"/>
              </w:rPr>
              <w:t>Performance milestones</w:t>
            </w:r>
          </w:p>
        </w:tc>
        <w:tc>
          <w:tcPr>
            <w:tcW w:w="1929" w:type="dxa"/>
            <w:vMerge w:val="restart"/>
            <w:shd w:val="clear" w:color="auto" w:fill="F2F2F2" w:themeFill="background1" w:themeFillShade="F2"/>
          </w:tcPr>
          <w:p w14:paraId="295CF8B3" w14:textId="77777777" w:rsidR="00FE1364" w:rsidRPr="00953EC6" w:rsidRDefault="00FE1364" w:rsidP="00334D6C">
            <w:pPr>
              <w:pStyle w:val="Tableformat"/>
              <w:rPr>
                <w:b/>
                <w:color w:val="auto"/>
              </w:rPr>
            </w:pPr>
            <w:r w:rsidRPr="00953EC6">
              <w:rPr>
                <w:b/>
                <w:color w:val="auto"/>
              </w:rPr>
              <w:t>Report due</w:t>
            </w:r>
          </w:p>
        </w:tc>
        <w:tc>
          <w:tcPr>
            <w:tcW w:w="1699" w:type="dxa"/>
            <w:vMerge w:val="restart"/>
            <w:shd w:val="clear" w:color="auto" w:fill="F2F2F2" w:themeFill="background1" w:themeFillShade="F2"/>
          </w:tcPr>
          <w:p w14:paraId="6EBDB534" w14:textId="77777777" w:rsidR="00FE1364" w:rsidRPr="00953EC6" w:rsidRDefault="00FE1364" w:rsidP="00334D6C">
            <w:pPr>
              <w:pStyle w:val="Tableformat"/>
              <w:rPr>
                <w:b/>
                <w:color w:val="auto"/>
              </w:rPr>
            </w:pPr>
            <w:r w:rsidRPr="00953EC6">
              <w:rPr>
                <w:b/>
                <w:color w:val="auto"/>
              </w:rPr>
              <w:t>Payment</w:t>
            </w:r>
          </w:p>
          <w:p w14:paraId="7EDD8559" w14:textId="77777777" w:rsidR="00FE1364" w:rsidRPr="00953EC6" w:rsidRDefault="00FE1364" w:rsidP="00334D6C">
            <w:pPr>
              <w:pStyle w:val="Tableformat"/>
              <w:rPr>
                <w:b/>
                <w:color w:val="auto"/>
              </w:rPr>
            </w:pPr>
          </w:p>
        </w:tc>
      </w:tr>
      <w:tr w:rsidR="00FE1364" w:rsidRPr="00953EC6" w14:paraId="037CC2F8" w14:textId="77777777" w:rsidTr="00334D6C">
        <w:tc>
          <w:tcPr>
            <w:tcW w:w="3534" w:type="dxa"/>
            <w:vMerge/>
            <w:shd w:val="clear" w:color="auto" w:fill="F2F2F2" w:themeFill="background1" w:themeFillShade="F2"/>
          </w:tcPr>
          <w:p w14:paraId="3B5EE981" w14:textId="77777777" w:rsidR="00FE1364" w:rsidRPr="00953EC6" w:rsidRDefault="00FE1364" w:rsidP="00334D6C">
            <w:pPr>
              <w:pStyle w:val="Tableformat"/>
              <w:rPr>
                <w:b/>
                <w:color w:val="auto"/>
              </w:rPr>
            </w:pPr>
          </w:p>
        </w:tc>
        <w:tc>
          <w:tcPr>
            <w:tcW w:w="7388" w:type="dxa"/>
            <w:shd w:val="clear" w:color="auto" w:fill="F2F2F2" w:themeFill="background1" w:themeFillShade="F2"/>
          </w:tcPr>
          <w:p w14:paraId="4330CF95" w14:textId="77777777" w:rsidR="00FE1364" w:rsidRPr="00953EC6" w:rsidRDefault="00FE1364" w:rsidP="00334D6C">
            <w:pPr>
              <w:pStyle w:val="Tableformat"/>
              <w:rPr>
                <w:b/>
                <w:color w:val="auto"/>
              </w:rPr>
            </w:pPr>
            <w:r w:rsidRPr="00953EC6">
              <w:rPr>
                <w:b/>
                <w:color w:val="auto"/>
                <w:sz w:val="23"/>
                <w:szCs w:val="23"/>
              </w:rPr>
              <w:t>2020-21</w:t>
            </w:r>
          </w:p>
        </w:tc>
        <w:tc>
          <w:tcPr>
            <w:tcW w:w="1929" w:type="dxa"/>
            <w:vMerge/>
            <w:shd w:val="clear" w:color="auto" w:fill="F2F2F2" w:themeFill="background1" w:themeFillShade="F2"/>
          </w:tcPr>
          <w:p w14:paraId="4298592D" w14:textId="77777777" w:rsidR="00FE1364" w:rsidRPr="00953EC6" w:rsidRDefault="00FE1364" w:rsidP="00334D6C">
            <w:pPr>
              <w:pStyle w:val="Tableformat"/>
              <w:rPr>
                <w:b/>
                <w:color w:val="auto"/>
              </w:rPr>
            </w:pPr>
          </w:p>
        </w:tc>
        <w:tc>
          <w:tcPr>
            <w:tcW w:w="1699" w:type="dxa"/>
            <w:vMerge/>
            <w:shd w:val="clear" w:color="auto" w:fill="F2F2F2" w:themeFill="background1" w:themeFillShade="F2"/>
          </w:tcPr>
          <w:p w14:paraId="69A1E937" w14:textId="77777777" w:rsidR="00FE1364" w:rsidRPr="00953EC6" w:rsidRDefault="00FE1364" w:rsidP="00334D6C">
            <w:pPr>
              <w:pStyle w:val="Tableformat"/>
              <w:rPr>
                <w:b/>
                <w:color w:val="auto"/>
              </w:rPr>
            </w:pPr>
          </w:p>
        </w:tc>
      </w:tr>
      <w:tr w:rsidR="00FE1364" w:rsidRPr="00953EC6" w14:paraId="16B8795A" w14:textId="77777777" w:rsidTr="00334D6C">
        <w:tc>
          <w:tcPr>
            <w:tcW w:w="3534" w:type="dxa"/>
            <w:tcBorders>
              <w:top w:val="single" w:sz="8" w:space="0" w:color="4F81BD"/>
              <w:left w:val="single" w:sz="8" w:space="0" w:color="4F81BD"/>
              <w:bottom w:val="single" w:sz="8" w:space="0" w:color="4F81BD"/>
              <w:right w:val="single" w:sz="8" w:space="0" w:color="4F81BD"/>
            </w:tcBorders>
          </w:tcPr>
          <w:p w14:paraId="64504B5B" w14:textId="77777777" w:rsidR="00FE1364" w:rsidRPr="00953EC6" w:rsidRDefault="00FE1364" w:rsidP="00334D6C">
            <w:pPr>
              <w:pStyle w:val="Milestonetable"/>
              <w:rPr>
                <w:color w:val="auto"/>
              </w:rPr>
            </w:pPr>
            <w:r w:rsidRPr="00953EC6">
              <w:rPr>
                <w:color w:val="auto"/>
              </w:rPr>
              <w:t>Establish new and enhanced central coordination unit in accordance with clause 8(a) of the Agreement.</w:t>
            </w:r>
          </w:p>
        </w:tc>
        <w:tc>
          <w:tcPr>
            <w:tcW w:w="7388" w:type="dxa"/>
            <w:tcBorders>
              <w:top w:val="single" w:sz="8" w:space="0" w:color="4F81BD"/>
              <w:left w:val="single" w:sz="8" w:space="0" w:color="4F81BD"/>
              <w:bottom w:val="single" w:sz="8" w:space="0" w:color="4F81BD"/>
              <w:right w:val="single" w:sz="8" w:space="0" w:color="4F81BD"/>
            </w:tcBorders>
            <w:shd w:val="clear" w:color="auto" w:fill="auto"/>
          </w:tcPr>
          <w:p w14:paraId="7767C2CA" w14:textId="77777777" w:rsidR="00FE1364" w:rsidRPr="00953EC6" w:rsidRDefault="00FE1364" w:rsidP="00334D6C">
            <w:pPr>
              <w:pStyle w:val="Milestonetable"/>
              <w:rPr>
                <w:bCs/>
                <w:color w:val="auto"/>
              </w:rPr>
            </w:pPr>
            <w:r w:rsidRPr="00953EC6">
              <w:rPr>
                <w:color w:val="auto"/>
              </w:rPr>
              <w:t>Completion of monitoring and evaluation activities to identify effectiveness of, and revisions to, the CTCU.</w:t>
            </w:r>
          </w:p>
        </w:tc>
        <w:tc>
          <w:tcPr>
            <w:tcW w:w="1929" w:type="dxa"/>
            <w:vMerge w:val="restart"/>
            <w:tcBorders>
              <w:top w:val="single" w:sz="8" w:space="0" w:color="4F81BD"/>
              <w:left w:val="single" w:sz="8" w:space="0" w:color="4F81BD"/>
              <w:right w:val="single" w:sz="8" w:space="0" w:color="4F81BD"/>
            </w:tcBorders>
            <w:shd w:val="clear" w:color="auto" w:fill="auto"/>
          </w:tcPr>
          <w:p w14:paraId="62A8AC54" w14:textId="77777777" w:rsidR="00FE1364" w:rsidRPr="00953EC6" w:rsidRDefault="00FE1364" w:rsidP="00334D6C">
            <w:pPr>
              <w:pStyle w:val="Milestonetable"/>
              <w:rPr>
                <w:color w:val="auto"/>
              </w:rPr>
            </w:pPr>
            <w:r w:rsidRPr="00953EC6">
              <w:rPr>
                <w:color w:val="auto"/>
              </w:rPr>
              <w:t>30 April 2021</w:t>
            </w:r>
          </w:p>
        </w:tc>
        <w:tc>
          <w:tcPr>
            <w:tcW w:w="1699" w:type="dxa"/>
            <w:vMerge w:val="restart"/>
            <w:tcBorders>
              <w:top w:val="single" w:sz="8" w:space="0" w:color="4F81BD"/>
              <w:left w:val="single" w:sz="8" w:space="0" w:color="4F81BD"/>
              <w:right w:val="single" w:sz="8" w:space="0" w:color="4F81BD"/>
            </w:tcBorders>
            <w:shd w:val="clear" w:color="auto" w:fill="auto"/>
          </w:tcPr>
          <w:p w14:paraId="7BE7F08C" w14:textId="77777777" w:rsidR="00FE1364" w:rsidRPr="00953EC6" w:rsidRDefault="00FE1364" w:rsidP="00334D6C">
            <w:pPr>
              <w:pStyle w:val="Milestonetable"/>
              <w:rPr>
                <w:color w:val="auto"/>
              </w:rPr>
            </w:pPr>
            <w:r w:rsidRPr="00953EC6">
              <w:rPr>
                <w:color w:val="auto"/>
              </w:rPr>
              <w:t>$144,653</w:t>
            </w:r>
          </w:p>
          <w:p w14:paraId="0C04297E" w14:textId="77777777" w:rsidR="00FE1364" w:rsidRPr="00953EC6" w:rsidRDefault="00FE1364" w:rsidP="00334D6C">
            <w:pPr>
              <w:pStyle w:val="Milestonetable"/>
              <w:jc w:val="right"/>
              <w:rPr>
                <w:color w:val="auto"/>
              </w:rPr>
            </w:pPr>
          </w:p>
        </w:tc>
      </w:tr>
      <w:tr w:rsidR="00FE1364" w:rsidRPr="00953EC6" w14:paraId="490AEEAC" w14:textId="77777777" w:rsidTr="00334D6C">
        <w:tc>
          <w:tcPr>
            <w:tcW w:w="3534" w:type="dxa"/>
            <w:tcBorders>
              <w:top w:val="single" w:sz="8" w:space="0" w:color="4F81BD"/>
              <w:left w:val="single" w:sz="8" w:space="0" w:color="4F81BD"/>
              <w:bottom w:val="single" w:sz="8" w:space="0" w:color="4F81BD"/>
              <w:right w:val="single" w:sz="8" w:space="0" w:color="4F81BD"/>
            </w:tcBorders>
          </w:tcPr>
          <w:p w14:paraId="3E143C79" w14:textId="77777777" w:rsidR="00FE1364" w:rsidRPr="00953EC6" w:rsidRDefault="00FE1364" w:rsidP="00334D6C">
            <w:pPr>
              <w:pStyle w:val="AlphaParagraph"/>
              <w:tabs>
                <w:tab w:val="clear" w:pos="0"/>
                <w:tab w:val="clear" w:pos="567"/>
                <w:tab w:val="clear" w:pos="1134"/>
              </w:tabs>
              <w:spacing w:after="0"/>
              <w:ind w:left="0" w:firstLine="0"/>
              <w:jc w:val="left"/>
              <w:rPr>
                <w:color w:val="auto"/>
                <w:sz w:val="20"/>
              </w:rPr>
            </w:pPr>
            <w:r w:rsidRPr="00953EC6">
              <w:rPr>
                <w:color w:val="auto"/>
                <w:sz w:val="20"/>
              </w:rPr>
              <w:t>Implement new and enhanced clinical trial data collection and reporting in accordance with clause 8(b) of the Agreement.</w:t>
            </w:r>
          </w:p>
        </w:tc>
        <w:tc>
          <w:tcPr>
            <w:tcW w:w="7388" w:type="dxa"/>
            <w:tcBorders>
              <w:top w:val="single" w:sz="8" w:space="0" w:color="4F81BD"/>
              <w:left w:val="single" w:sz="8" w:space="0" w:color="4F81BD"/>
              <w:bottom w:val="single" w:sz="8" w:space="0" w:color="4F81BD"/>
              <w:right w:val="single" w:sz="8" w:space="0" w:color="4F81BD"/>
            </w:tcBorders>
            <w:shd w:val="clear" w:color="auto" w:fill="auto"/>
          </w:tcPr>
          <w:p w14:paraId="2960D270" w14:textId="77777777" w:rsidR="00FE1364" w:rsidRPr="00953EC6" w:rsidRDefault="00FE1364" w:rsidP="00334D6C">
            <w:pPr>
              <w:pStyle w:val="Milestonetable"/>
              <w:rPr>
                <w:bCs/>
                <w:color w:val="auto"/>
              </w:rPr>
            </w:pPr>
            <w:r w:rsidRPr="00953EC6">
              <w:rPr>
                <w:color w:val="auto"/>
              </w:rPr>
              <w:t xml:space="preserve">Full contribution of data to the expanded </w:t>
            </w:r>
            <w:r w:rsidRPr="00953EC6">
              <w:rPr>
                <w:bCs/>
                <w:color w:val="auto"/>
              </w:rPr>
              <w:t>National Aggregate Statistics (NAS) 2020-21, as agreed by the Clinical Trials Project Reference Group (CTPRG).</w:t>
            </w:r>
          </w:p>
          <w:p w14:paraId="0275DC6C" w14:textId="77777777" w:rsidR="00FE1364" w:rsidRPr="00953EC6" w:rsidRDefault="00FE1364" w:rsidP="00334D6C">
            <w:pPr>
              <w:pStyle w:val="Milestonetable"/>
              <w:rPr>
                <w:color w:val="auto"/>
              </w:rPr>
            </w:pPr>
            <w:r w:rsidRPr="00953EC6">
              <w:rPr>
                <w:color w:val="auto"/>
              </w:rPr>
              <w:t>Delivery of monitoring and evaluation activities to identify user and stakeholder satisfaction with the new IT system</w:t>
            </w:r>
          </w:p>
          <w:p w14:paraId="7E95C484" w14:textId="77777777" w:rsidR="00FE1364" w:rsidRPr="00953EC6" w:rsidRDefault="00FE1364" w:rsidP="00334D6C">
            <w:pPr>
              <w:pStyle w:val="Milestonetable"/>
              <w:rPr>
                <w:color w:val="auto"/>
              </w:rPr>
            </w:pPr>
            <w:r w:rsidRPr="00953EC6">
              <w:rPr>
                <w:color w:val="auto"/>
              </w:rPr>
              <w:t xml:space="preserve">Establishment of the new system by all SA Human Research Ethics Committees (HRECs) and Research Governance Offices (RGOs) </w:t>
            </w:r>
            <w:r w:rsidRPr="00953EC6">
              <w:rPr>
                <w:i/>
                <w:color w:val="auto"/>
              </w:rPr>
              <w:t>at all identified sites.</w:t>
            </w:r>
          </w:p>
          <w:p w14:paraId="52A0FF61" w14:textId="77777777" w:rsidR="00FE1364" w:rsidRPr="00953EC6" w:rsidRDefault="00FE1364" w:rsidP="00334D6C">
            <w:pPr>
              <w:pStyle w:val="Milestonetable"/>
              <w:rPr>
                <w:color w:val="auto"/>
              </w:rPr>
            </w:pPr>
            <w:r w:rsidRPr="00953EC6">
              <w:rPr>
                <w:color w:val="auto"/>
              </w:rPr>
              <w:t>Delivery and distribution of approved and standardised clinical trial collection and reporting tools for the new system.</w:t>
            </w:r>
          </w:p>
          <w:p w14:paraId="05720DB9" w14:textId="77777777" w:rsidR="00FE1364" w:rsidRPr="00953EC6" w:rsidRDefault="00FE1364" w:rsidP="00334D6C">
            <w:pPr>
              <w:pStyle w:val="Milestonetable"/>
              <w:rPr>
                <w:bCs/>
                <w:color w:val="auto"/>
              </w:rPr>
            </w:pPr>
            <w:r w:rsidRPr="00953EC6">
              <w:rPr>
                <w:color w:val="auto"/>
              </w:rPr>
              <w:t>Delivery of monitoring and evaluation activities to identify user and stakeholder satisfaction with the new IT system.</w:t>
            </w:r>
          </w:p>
        </w:tc>
        <w:tc>
          <w:tcPr>
            <w:tcW w:w="1929" w:type="dxa"/>
            <w:vMerge/>
            <w:tcBorders>
              <w:left w:val="single" w:sz="8" w:space="0" w:color="4F81BD"/>
              <w:right w:val="single" w:sz="8" w:space="0" w:color="4F81BD"/>
            </w:tcBorders>
            <w:shd w:val="clear" w:color="auto" w:fill="auto"/>
          </w:tcPr>
          <w:p w14:paraId="038531C0" w14:textId="77777777" w:rsidR="00FE1364" w:rsidRPr="00953EC6" w:rsidRDefault="00FE1364" w:rsidP="00334D6C">
            <w:pPr>
              <w:pStyle w:val="Milestonetable"/>
              <w:rPr>
                <w:color w:val="auto"/>
              </w:rPr>
            </w:pPr>
          </w:p>
        </w:tc>
        <w:tc>
          <w:tcPr>
            <w:tcW w:w="1699" w:type="dxa"/>
            <w:vMerge/>
            <w:tcBorders>
              <w:left w:val="single" w:sz="8" w:space="0" w:color="4F81BD"/>
              <w:right w:val="single" w:sz="8" w:space="0" w:color="4F81BD"/>
            </w:tcBorders>
            <w:shd w:val="clear" w:color="auto" w:fill="auto"/>
          </w:tcPr>
          <w:p w14:paraId="27D2476D" w14:textId="77777777" w:rsidR="00FE1364" w:rsidRPr="00953EC6" w:rsidRDefault="00FE1364" w:rsidP="00334D6C">
            <w:pPr>
              <w:pStyle w:val="Milestonetable"/>
              <w:jc w:val="right"/>
              <w:rPr>
                <w:color w:val="auto"/>
              </w:rPr>
            </w:pPr>
          </w:p>
        </w:tc>
      </w:tr>
      <w:tr w:rsidR="00FE1364" w:rsidRPr="00953EC6" w14:paraId="4DD90688" w14:textId="77777777" w:rsidTr="00334D6C">
        <w:trPr>
          <w:trHeight w:val="633"/>
        </w:trPr>
        <w:tc>
          <w:tcPr>
            <w:tcW w:w="3534" w:type="dxa"/>
            <w:tcBorders>
              <w:top w:val="single" w:sz="8" w:space="0" w:color="4F81BD"/>
              <w:left w:val="single" w:sz="8" w:space="0" w:color="4F81BD"/>
              <w:bottom w:val="single" w:sz="8" w:space="0" w:color="4F81BD"/>
              <w:right w:val="single" w:sz="8" w:space="0" w:color="4F81BD"/>
            </w:tcBorders>
          </w:tcPr>
          <w:p w14:paraId="437320AA" w14:textId="77777777" w:rsidR="00FE1364" w:rsidRPr="00953EC6" w:rsidRDefault="00FE1364" w:rsidP="00334D6C">
            <w:pPr>
              <w:pStyle w:val="Milestonetable"/>
              <w:rPr>
                <w:color w:val="auto"/>
              </w:rPr>
            </w:pPr>
            <w:r w:rsidRPr="00953EC6">
              <w:rPr>
                <w:bCs/>
                <w:color w:val="auto"/>
              </w:rPr>
              <w:t>E</w:t>
            </w:r>
            <w:r w:rsidRPr="00953EC6">
              <w:rPr>
                <w:color w:val="auto"/>
              </w:rPr>
              <w:t>stablish and maintain new networks and partnerships in accordance with clause 8(c) of the Agreement.</w:t>
            </w:r>
          </w:p>
        </w:tc>
        <w:tc>
          <w:tcPr>
            <w:tcW w:w="7388" w:type="dxa"/>
            <w:tcBorders>
              <w:top w:val="single" w:sz="8" w:space="0" w:color="4F81BD"/>
              <w:left w:val="single" w:sz="8" w:space="0" w:color="4F81BD"/>
              <w:bottom w:val="single" w:sz="8" w:space="0" w:color="4F81BD"/>
              <w:right w:val="single" w:sz="8" w:space="0" w:color="4F81BD"/>
            </w:tcBorders>
            <w:shd w:val="clear" w:color="auto" w:fill="auto"/>
          </w:tcPr>
          <w:p w14:paraId="32B8EDFA" w14:textId="77777777" w:rsidR="00FE1364" w:rsidRPr="00953EC6" w:rsidRDefault="00FE1364" w:rsidP="00334D6C">
            <w:pPr>
              <w:pStyle w:val="Milestonetable"/>
              <w:rPr>
                <w:bCs/>
                <w:color w:val="auto"/>
              </w:rPr>
            </w:pPr>
            <w:r w:rsidRPr="00953EC6">
              <w:rPr>
                <w:color w:val="auto"/>
              </w:rPr>
              <w:t xml:space="preserve">Delivery of monitoring and evaluation activities to identify continued implementation of the </w:t>
            </w:r>
            <w:r w:rsidRPr="00953EC6">
              <w:rPr>
                <w:i/>
                <w:color w:val="auto"/>
              </w:rPr>
              <w:t>Research Focus Implementation Plan</w:t>
            </w:r>
            <w:r w:rsidRPr="00953EC6">
              <w:rPr>
                <w:color w:val="auto"/>
              </w:rPr>
              <w:t>.</w:t>
            </w:r>
          </w:p>
        </w:tc>
        <w:tc>
          <w:tcPr>
            <w:tcW w:w="1929" w:type="dxa"/>
            <w:vMerge/>
            <w:tcBorders>
              <w:left w:val="single" w:sz="8" w:space="0" w:color="4F81BD"/>
              <w:right w:val="single" w:sz="8" w:space="0" w:color="4F81BD"/>
            </w:tcBorders>
            <w:shd w:val="clear" w:color="auto" w:fill="auto"/>
          </w:tcPr>
          <w:p w14:paraId="7B8E6FF3" w14:textId="77777777" w:rsidR="00FE1364" w:rsidRPr="00953EC6" w:rsidRDefault="00FE1364" w:rsidP="00334D6C">
            <w:pPr>
              <w:pStyle w:val="Milestonetable"/>
              <w:rPr>
                <w:color w:val="auto"/>
              </w:rPr>
            </w:pPr>
          </w:p>
        </w:tc>
        <w:tc>
          <w:tcPr>
            <w:tcW w:w="1699" w:type="dxa"/>
            <w:vMerge/>
            <w:tcBorders>
              <w:left w:val="single" w:sz="8" w:space="0" w:color="4F81BD"/>
              <w:right w:val="single" w:sz="8" w:space="0" w:color="4F81BD"/>
            </w:tcBorders>
            <w:shd w:val="clear" w:color="auto" w:fill="auto"/>
          </w:tcPr>
          <w:p w14:paraId="2269BF35" w14:textId="77777777" w:rsidR="00FE1364" w:rsidRPr="00953EC6" w:rsidRDefault="00FE1364" w:rsidP="00334D6C">
            <w:pPr>
              <w:pStyle w:val="Milestonetable"/>
              <w:jc w:val="right"/>
              <w:rPr>
                <w:color w:val="auto"/>
              </w:rPr>
            </w:pPr>
          </w:p>
        </w:tc>
      </w:tr>
      <w:tr w:rsidR="00FE1364" w:rsidRPr="00953EC6" w14:paraId="06AB42A0" w14:textId="77777777" w:rsidTr="00334D6C">
        <w:trPr>
          <w:trHeight w:val="924"/>
        </w:trPr>
        <w:tc>
          <w:tcPr>
            <w:tcW w:w="3534" w:type="dxa"/>
            <w:tcBorders>
              <w:top w:val="single" w:sz="8" w:space="0" w:color="4F81BD"/>
              <w:left w:val="single" w:sz="8" w:space="0" w:color="4F81BD"/>
              <w:right w:val="single" w:sz="8" w:space="0" w:color="4F81BD"/>
            </w:tcBorders>
          </w:tcPr>
          <w:p w14:paraId="19DC64AD" w14:textId="77777777" w:rsidR="00FE1364" w:rsidRPr="00953EC6" w:rsidRDefault="00FE1364" w:rsidP="00334D6C">
            <w:pPr>
              <w:pStyle w:val="Milestonetable"/>
              <w:rPr>
                <w:color w:val="auto"/>
              </w:rPr>
            </w:pPr>
            <w:r w:rsidRPr="00953EC6">
              <w:rPr>
                <w:color w:val="auto"/>
              </w:rPr>
              <w:t>Embed researc</w:t>
            </w:r>
            <w:r>
              <w:rPr>
                <w:color w:val="auto"/>
              </w:rPr>
              <w:t>h and clinical trials processes</w:t>
            </w:r>
            <w:r w:rsidRPr="00953EC6">
              <w:rPr>
                <w:color w:val="auto"/>
              </w:rPr>
              <w:t xml:space="preserve"> in accordance with clause 8(d) of the Agreement.</w:t>
            </w:r>
          </w:p>
        </w:tc>
        <w:tc>
          <w:tcPr>
            <w:tcW w:w="7388" w:type="dxa"/>
            <w:tcBorders>
              <w:top w:val="single" w:sz="8" w:space="0" w:color="4F81BD"/>
              <w:left w:val="single" w:sz="8" w:space="0" w:color="4F81BD"/>
              <w:right w:val="single" w:sz="8" w:space="0" w:color="4F81BD"/>
            </w:tcBorders>
            <w:shd w:val="clear" w:color="auto" w:fill="auto"/>
          </w:tcPr>
          <w:p w14:paraId="370F0F73" w14:textId="77777777" w:rsidR="00FE1364" w:rsidRPr="00953EC6" w:rsidRDefault="00FE1364" w:rsidP="00334D6C">
            <w:pPr>
              <w:pStyle w:val="Milestonetable"/>
              <w:rPr>
                <w:bCs/>
                <w:color w:val="auto"/>
              </w:rPr>
            </w:pPr>
            <w:r w:rsidRPr="00953EC6">
              <w:rPr>
                <w:color w:val="auto"/>
              </w:rPr>
              <w:t>Active engagement with CTPRG, Commonwealth and Australian Commission on Safety and Quality in Health Care (ACSQHC) to implement the national Clinical Trials Governance Framework.</w:t>
            </w:r>
          </w:p>
        </w:tc>
        <w:tc>
          <w:tcPr>
            <w:tcW w:w="1929" w:type="dxa"/>
            <w:vMerge/>
            <w:tcBorders>
              <w:left w:val="single" w:sz="8" w:space="0" w:color="4F81BD"/>
              <w:right w:val="single" w:sz="8" w:space="0" w:color="4F81BD"/>
            </w:tcBorders>
            <w:shd w:val="clear" w:color="auto" w:fill="auto"/>
          </w:tcPr>
          <w:p w14:paraId="57D07702" w14:textId="77777777" w:rsidR="00FE1364" w:rsidRPr="00953EC6" w:rsidRDefault="00FE1364" w:rsidP="00334D6C">
            <w:pPr>
              <w:pStyle w:val="Milestonetable"/>
              <w:rPr>
                <w:color w:val="auto"/>
              </w:rPr>
            </w:pPr>
          </w:p>
        </w:tc>
        <w:tc>
          <w:tcPr>
            <w:tcW w:w="1699" w:type="dxa"/>
            <w:vMerge/>
            <w:tcBorders>
              <w:left w:val="single" w:sz="8" w:space="0" w:color="4F81BD"/>
              <w:right w:val="single" w:sz="8" w:space="0" w:color="4F81BD"/>
            </w:tcBorders>
            <w:shd w:val="clear" w:color="auto" w:fill="auto"/>
          </w:tcPr>
          <w:p w14:paraId="73726576" w14:textId="77777777" w:rsidR="00FE1364" w:rsidRPr="00953EC6" w:rsidRDefault="00FE1364" w:rsidP="00334D6C">
            <w:pPr>
              <w:pStyle w:val="Milestonetable"/>
              <w:jc w:val="right"/>
              <w:rPr>
                <w:color w:val="auto"/>
              </w:rPr>
            </w:pPr>
          </w:p>
        </w:tc>
      </w:tr>
    </w:tbl>
    <w:p w14:paraId="7327B72F" w14:textId="77777777" w:rsidR="00FE1364" w:rsidRDefault="00FE1364" w:rsidP="00FE1364">
      <w:pPr>
        <w:tabs>
          <w:tab w:val="left" w:pos="3865"/>
        </w:tabs>
      </w:pPr>
      <w:r w:rsidRPr="00A829E7">
        <w:t xml:space="preserve">This schedule was </w:t>
      </w:r>
      <w:r>
        <w:t xml:space="preserve">updated by </w:t>
      </w:r>
      <w:r w:rsidRPr="00A829E7">
        <w:t>agree</w:t>
      </w:r>
      <w:r>
        <w:t>ment</w:t>
      </w:r>
      <w:r w:rsidRPr="00A829E7">
        <w:t xml:space="preserve"> </w:t>
      </w:r>
      <w:r>
        <w:t>between</w:t>
      </w:r>
      <w:r w:rsidRPr="00A829E7">
        <w:t xml:space="preserve"> the </w:t>
      </w:r>
      <w:r>
        <w:t xml:space="preserve">Commonwealth </w:t>
      </w:r>
      <w:r w:rsidRPr="00A829E7">
        <w:t>and</w:t>
      </w:r>
      <w:r>
        <w:t xml:space="preserve"> South Australia in March 2020.</w:t>
      </w:r>
    </w:p>
    <w:p w14:paraId="55AB75B7" w14:textId="77777777" w:rsidR="00FE1364" w:rsidRPr="00953EC6" w:rsidRDefault="00FE1364" w:rsidP="00FE1364">
      <w:pPr>
        <w:tabs>
          <w:tab w:val="left" w:pos="3865"/>
        </w:tabs>
      </w:pPr>
    </w:p>
    <w:p w14:paraId="2DCFE032" w14:textId="77777777" w:rsidR="00FE1364" w:rsidRDefault="00FE1364" w:rsidP="00FE1364">
      <w:pPr>
        <w:rPr>
          <w:b/>
        </w:rPr>
        <w:sectPr w:rsidR="00FE1364" w:rsidSect="005E0A29">
          <w:footerReference w:type="even" r:id="rId14"/>
          <w:footerReference w:type="default" r:id="rId15"/>
          <w:footerReference w:type="first" r:id="rId16"/>
          <w:pgSz w:w="16838" w:h="11906" w:orient="landscape" w:code="9"/>
          <w:pgMar w:top="1134" w:right="1134" w:bottom="1134" w:left="1134" w:header="709" w:footer="709" w:gutter="0"/>
          <w:pgNumType w:chapStyle="9"/>
          <w:cols w:space="2373"/>
          <w:titlePg/>
          <w:docGrid w:linePitch="360"/>
        </w:sectPr>
      </w:pPr>
    </w:p>
    <w:p w14:paraId="1AD8BB87" w14:textId="77777777" w:rsidR="00FE1364" w:rsidRPr="00953EC6" w:rsidRDefault="00FE1364" w:rsidP="00FE1364">
      <w:pPr>
        <w:rPr>
          <w:b/>
        </w:rPr>
      </w:pPr>
      <w:r w:rsidRPr="00953EC6">
        <w:rPr>
          <w:b/>
        </w:rPr>
        <w:t>South Australia Project Plan summary</w:t>
      </w:r>
    </w:p>
    <w:p w14:paraId="079EE9F6" w14:textId="77777777" w:rsidR="00FE1364" w:rsidRPr="00953EC6" w:rsidRDefault="00FE1364" w:rsidP="00FE1364">
      <w:pPr>
        <w:pStyle w:val="Tableformat"/>
        <w:rPr>
          <w:iCs w:val="0"/>
          <w:color w:val="auto"/>
          <w:sz w:val="22"/>
          <w:szCs w:val="22"/>
        </w:rPr>
      </w:pPr>
      <w:r w:rsidRPr="00953EC6">
        <w:rPr>
          <w:iCs w:val="0"/>
          <w:color w:val="auto"/>
          <w:sz w:val="22"/>
          <w:szCs w:val="22"/>
        </w:rPr>
        <w:t>South Australia will establish a state-wide Clinical Trials Coordination Unit (the CTCU) that will:</w:t>
      </w:r>
    </w:p>
    <w:p w14:paraId="76823384" w14:textId="77777777" w:rsidR="00FE1364" w:rsidRPr="00953EC6" w:rsidRDefault="00FE1364" w:rsidP="00FE1364">
      <w:pPr>
        <w:pStyle w:val="Tableformat"/>
        <w:numPr>
          <w:ilvl w:val="0"/>
          <w:numId w:val="13"/>
        </w:numPr>
        <w:rPr>
          <w:iCs w:val="0"/>
          <w:color w:val="auto"/>
          <w:sz w:val="22"/>
          <w:szCs w:val="22"/>
        </w:rPr>
      </w:pPr>
      <w:r w:rsidRPr="00953EC6">
        <w:rPr>
          <w:iCs w:val="0"/>
          <w:color w:val="auto"/>
          <w:sz w:val="22"/>
          <w:szCs w:val="22"/>
        </w:rPr>
        <w:t>serve as a central point of contact for sponsors, researchers, coordinators and participants;</w:t>
      </w:r>
    </w:p>
    <w:p w14:paraId="7BFF5525" w14:textId="77777777" w:rsidR="00FE1364" w:rsidRPr="00953EC6" w:rsidRDefault="00FE1364" w:rsidP="00FE1364">
      <w:pPr>
        <w:pStyle w:val="Tableformat"/>
        <w:numPr>
          <w:ilvl w:val="0"/>
          <w:numId w:val="13"/>
        </w:numPr>
        <w:rPr>
          <w:iCs w:val="0"/>
          <w:color w:val="auto"/>
          <w:sz w:val="22"/>
          <w:szCs w:val="22"/>
        </w:rPr>
      </w:pPr>
      <w:r w:rsidRPr="00953EC6">
        <w:rPr>
          <w:iCs w:val="0"/>
          <w:color w:val="auto"/>
          <w:sz w:val="22"/>
          <w:szCs w:val="22"/>
        </w:rPr>
        <w:t>provide specialised support and advice services in key areas to improve efficiencies across sites;</w:t>
      </w:r>
    </w:p>
    <w:p w14:paraId="0D7278EF" w14:textId="77777777" w:rsidR="00FE1364" w:rsidRPr="00953EC6" w:rsidRDefault="00FE1364" w:rsidP="00FE1364">
      <w:pPr>
        <w:pStyle w:val="Tableformat"/>
        <w:numPr>
          <w:ilvl w:val="0"/>
          <w:numId w:val="13"/>
        </w:numPr>
        <w:rPr>
          <w:iCs w:val="0"/>
          <w:color w:val="auto"/>
          <w:sz w:val="22"/>
          <w:szCs w:val="22"/>
        </w:rPr>
      </w:pPr>
      <w:r w:rsidRPr="00953EC6">
        <w:rPr>
          <w:iCs w:val="0"/>
          <w:color w:val="auto"/>
          <w:sz w:val="22"/>
          <w:szCs w:val="22"/>
        </w:rPr>
        <w:t xml:space="preserve">develop a central web portal of key clinical trials information and activities in South Australia; </w:t>
      </w:r>
    </w:p>
    <w:p w14:paraId="7B96327A" w14:textId="77777777" w:rsidR="00FE1364" w:rsidRPr="00953EC6" w:rsidRDefault="00FE1364" w:rsidP="00FE1364">
      <w:pPr>
        <w:pStyle w:val="Tableformat"/>
        <w:numPr>
          <w:ilvl w:val="0"/>
          <w:numId w:val="13"/>
        </w:numPr>
        <w:rPr>
          <w:iCs w:val="0"/>
          <w:color w:val="auto"/>
          <w:sz w:val="22"/>
          <w:szCs w:val="22"/>
        </w:rPr>
      </w:pPr>
      <w:r w:rsidRPr="00953EC6">
        <w:rPr>
          <w:iCs w:val="0"/>
          <w:color w:val="auto"/>
          <w:sz w:val="22"/>
          <w:szCs w:val="22"/>
        </w:rPr>
        <w:t>implement a new research ethics and governance management system, with enhanced data collection and reporting capability that will support expanded metrics collection and ongoing participation in national improvement efforts; and</w:t>
      </w:r>
    </w:p>
    <w:p w14:paraId="4C1B615D" w14:textId="77777777" w:rsidR="00FE1364" w:rsidRPr="00394F18" w:rsidRDefault="00FE1364" w:rsidP="00FE1364">
      <w:pPr>
        <w:pStyle w:val="Tableformat"/>
        <w:numPr>
          <w:ilvl w:val="0"/>
          <w:numId w:val="13"/>
        </w:numPr>
        <w:rPr>
          <w:iCs w:val="0"/>
        </w:rPr>
      </w:pPr>
      <w:r w:rsidRPr="003F53EF">
        <w:rPr>
          <w:color w:val="auto"/>
          <w:sz w:val="22"/>
          <w:szCs w:val="22"/>
        </w:rPr>
        <w:t xml:space="preserve">work with key stakeholders including the South Australian Health and Medical Research Institute, the South Australian Academic Health Science and Translation </w:t>
      </w:r>
      <w:r w:rsidRPr="00953EC6">
        <w:rPr>
          <w:color w:val="auto"/>
          <w:sz w:val="22"/>
          <w:szCs w:val="22"/>
        </w:rPr>
        <w:t>Centre, the Clinical Research Committee, universities and Local Health Networks to embed a strategic, whole-of-system, consistent and streamlined approach to clinical trials in South Australia.</w:t>
      </w:r>
      <w:r w:rsidRPr="00953EC6">
        <w:rPr>
          <w:rFonts w:eastAsiaTheme="majorEastAsia"/>
          <w:color w:val="auto"/>
        </w:rPr>
        <w:t xml:space="preserve"> </w:t>
      </w:r>
      <w: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07"/>
        <w:gridCol w:w="7807"/>
        <w:gridCol w:w="1928"/>
        <w:gridCol w:w="1698"/>
      </w:tblGrid>
      <w:tr w:rsidR="00FE1364" w:rsidRPr="00953EC6" w14:paraId="45F16CDD" w14:textId="77777777" w:rsidTr="00334D6C">
        <w:tc>
          <w:tcPr>
            <w:tcW w:w="14550" w:type="dxa"/>
            <w:gridSpan w:val="4"/>
            <w:shd w:val="clear" w:color="auto" w:fill="DEEAF6" w:themeFill="accent1" w:themeFillTint="33"/>
          </w:tcPr>
          <w:p w14:paraId="51730E1E" w14:textId="77777777" w:rsidR="00FE1364" w:rsidRPr="00953EC6" w:rsidRDefault="00FE1364" w:rsidP="00334D6C">
            <w:pPr>
              <w:pStyle w:val="Tableformat"/>
              <w:rPr>
                <w:b/>
                <w:color w:val="auto"/>
              </w:rPr>
            </w:pPr>
            <w:r w:rsidRPr="00953EC6">
              <w:rPr>
                <w:b/>
                <w:color w:val="auto"/>
              </w:rPr>
              <w:t>Table 2F: Tasmania – Performance requirements, reporting and payment summary</w:t>
            </w:r>
          </w:p>
        </w:tc>
      </w:tr>
      <w:tr w:rsidR="00FE1364" w:rsidRPr="00953EC6" w14:paraId="66E2B2D5" w14:textId="77777777" w:rsidTr="00334D6C">
        <w:tc>
          <w:tcPr>
            <w:tcW w:w="3109" w:type="dxa"/>
            <w:vMerge w:val="restart"/>
            <w:shd w:val="clear" w:color="auto" w:fill="F2F2F2" w:themeFill="background1" w:themeFillShade="F2"/>
          </w:tcPr>
          <w:p w14:paraId="59EA3D90" w14:textId="77777777" w:rsidR="00FE1364" w:rsidRPr="00953EC6" w:rsidRDefault="00FE1364" w:rsidP="00334D6C">
            <w:pPr>
              <w:pStyle w:val="Tableformat"/>
              <w:rPr>
                <w:b/>
                <w:color w:val="auto"/>
              </w:rPr>
            </w:pPr>
            <w:r w:rsidRPr="00953EC6">
              <w:rPr>
                <w:b/>
                <w:color w:val="auto"/>
              </w:rPr>
              <w:t>Output</w:t>
            </w:r>
          </w:p>
          <w:p w14:paraId="0A48B101" w14:textId="77777777" w:rsidR="00FE1364" w:rsidRPr="00953EC6" w:rsidRDefault="00FE1364" w:rsidP="00334D6C">
            <w:pPr>
              <w:pStyle w:val="Tableformat"/>
              <w:rPr>
                <w:b/>
                <w:color w:val="auto"/>
              </w:rPr>
            </w:pPr>
          </w:p>
        </w:tc>
        <w:tc>
          <w:tcPr>
            <w:tcW w:w="7813" w:type="dxa"/>
            <w:shd w:val="clear" w:color="auto" w:fill="F2F2F2" w:themeFill="background1" w:themeFillShade="F2"/>
          </w:tcPr>
          <w:p w14:paraId="21BB3839" w14:textId="77777777" w:rsidR="00FE1364" w:rsidRPr="00953EC6" w:rsidRDefault="00FE1364" w:rsidP="00334D6C">
            <w:pPr>
              <w:pStyle w:val="Tableformat"/>
              <w:rPr>
                <w:b/>
                <w:color w:val="auto"/>
              </w:rPr>
            </w:pPr>
            <w:r w:rsidRPr="00953EC6">
              <w:rPr>
                <w:b/>
                <w:color w:val="auto"/>
              </w:rPr>
              <w:t>Performance milestones</w:t>
            </w:r>
          </w:p>
        </w:tc>
        <w:tc>
          <w:tcPr>
            <w:tcW w:w="1929" w:type="dxa"/>
            <w:vMerge w:val="restart"/>
            <w:shd w:val="clear" w:color="auto" w:fill="F2F2F2" w:themeFill="background1" w:themeFillShade="F2"/>
          </w:tcPr>
          <w:p w14:paraId="2668B9C7" w14:textId="77777777" w:rsidR="00FE1364" w:rsidRPr="00953EC6" w:rsidRDefault="00FE1364" w:rsidP="00334D6C">
            <w:pPr>
              <w:pStyle w:val="Tableformat"/>
              <w:rPr>
                <w:b/>
                <w:color w:val="auto"/>
              </w:rPr>
            </w:pPr>
            <w:r w:rsidRPr="00953EC6">
              <w:rPr>
                <w:b/>
                <w:color w:val="auto"/>
              </w:rPr>
              <w:t>Report due</w:t>
            </w:r>
          </w:p>
        </w:tc>
        <w:tc>
          <w:tcPr>
            <w:tcW w:w="1699" w:type="dxa"/>
            <w:vMerge w:val="restart"/>
            <w:shd w:val="clear" w:color="auto" w:fill="F2F2F2" w:themeFill="background1" w:themeFillShade="F2"/>
          </w:tcPr>
          <w:p w14:paraId="1AABBD52" w14:textId="77777777" w:rsidR="00FE1364" w:rsidRPr="00953EC6" w:rsidRDefault="00FE1364" w:rsidP="00334D6C">
            <w:pPr>
              <w:pStyle w:val="Tableformat"/>
              <w:rPr>
                <w:b/>
                <w:color w:val="auto"/>
              </w:rPr>
            </w:pPr>
            <w:r w:rsidRPr="00953EC6">
              <w:rPr>
                <w:b/>
                <w:color w:val="auto"/>
              </w:rPr>
              <w:t>Payment</w:t>
            </w:r>
          </w:p>
          <w:p w14:paraId="498AA4D7" w14:textId="77777777" w:rsidR="00FE1364" w:rsidRPr="00953EC6" w:rsidRDefault="00FE1364" w:rsidP="00334D6C">
            <w:pPr>
              <w:pStyle w:val="Tableformat"/>
              <w:rPr>
                <w:b/>
                <w:color w:val="auto"/>
              </w:rPr>
            </w:pPr>
          </w:p>
        </w:tc>
      </w:tr>
      <w:tr w:rsidR="00FE1364" w:rsidRPr="00953EC6" w14:paraId="703E41F3" w14:textId="77777777" w:rsidTr="00334D6C">
        <w:tc>
          <w:tcPr>
            <w:tcW w:w="3109" w:type="dxa"/>
            <w:vMerge/>
            <w:shd w:val="clear" w:color="auto" w:fill="F2F2F2" w:themeFill="background1" w:themeFillShade="F2"/>
          </w:tcPr>
          <w:p w14:paraId="21F37058" w14:textId="77777777" w:rsidR="00FE1364" w:rsidRPr="00953EC6" w:rsidRDefault="00FE1364" w:rsidP="00334D6C">
            <w:pPr>
              <w:pStyle w:val="Tableformat"/>
              <w:rPr>
                <w:b/>
                <w:color w:val="auto"/>
              </w:rPr>
            </w:pPr>
          </w:p>
        </w:tc>
        <w:tc>
          <w:tcPr>
            <w:tcW w:w="7813" w:type="dxa"/>
            <w:shd w:val="clear" w:color="auto" w:fill="F2F2F2" w:themeFill="background1" w:themeFillShade="F2"/>
          </w:tcPr>
          <w:p w14:paraId="1329A714" w14:textId="77777777" w:rsidR="00FE1364" w:rsidRPr="00953EC6" w:rsidRDefault="00FE1364" w:rsidP="00334D6C">
            <w:pPr>
              <w:pStyle w:val="Tableformat"/>
              <w:rPr>
                <w:b/>
                <w:color w:val="auto"/>
              </w:rPr>
            </w:pPr>
            <w:r w:rsidRPr="00953EC6">
              <w:rPr>
                <w:b/>
                <w:color w:val="auto"/>
                <w:sz w:val="23"/>
                <w:szCs w:val="23"/>
              </w:rPr>
              <w:t>2020-21</w:t>
            </w:r>
          </w:p>
        </w:tc>
        <w:tc>
          <w:tcPr>
            <w:tcW w:w="1929" w:type="dxa"/>
            <w:vMerge/>
            <w:shd w:val="clear" w:color="auto" w:fill="F2F2F2" w:themeFill="background1" w:themeFillShade="F2"/>
          </w:tcPr>
          <w:p w14:paraId="3FFB6C34" w14:textId="77777777" w:rsidR="00FE1364" w:rsidRPr="00953EC6" w:rsidRDefault="00FE1364" w:rsidP="00334D6C">
            <w:pPr>
              <w:pStyle w:val="Tableformat"/>
              <w:rPr>
                <w:b/>
                <w:color w:val="auto"/>
              </w:rPr>
            </w:pPr>
          </w:p>
        </w:tc>
        <w:tc>
          <w:tcPr>
            <w:tcW w:w="1699" w:type="dxa"/>
            <w:vMerge/>
            <w:shd w:val="clear" w:color="auto" w:fill="F2F2F2" w:themeFill="background1" w:themeFillShade="F2"/>
          </w:tcPr>
          <w:p w14:paraId="2B72DABD" w14:textId="77777777" w:rsidR="00FE1364" w:rsidRPr="00953EC6" w:rsidRDefault="00FE1364" w:rsidP="00334D6C">
            <w:pPr>
              <w:pStyle w:val="Tableformat"/>
              <w:rPr>
                <w:b/>
                <w:color w:val="auto"/>
              </w:rPr>
            </w:pPr>
          </w:p>
        </w:tc>
      </w:tr>
      <w:tr w:rsidR="00FE1364" w:rsidRPr="00953EC6" w14:paraId="3FF11F6B" w14:textId="77777777" w:rsidTr="00334D6C">
        <w:tc>
          <w:tcPr>
            <w:tcW w:w="3109" w:type="dxa"/>
            <w:tcBorders>
              <w:top w:val="single" w:sz="8" w:space="0" w:color="4F81BD"/>
              <w:left w:val="single" w:sz="8" w:space="0" w:color="4F81BD"/>
              <w:bottom w:val="single" w:sz="8" w:space="0" w:color="4F81BD"/>
              <w:right w:val="single" w:sz="8" w:space="0" w:color="4F81BD"/>
            </w:tcBorders>
          </w:tcPr>
          <w:p w14:paraId="1F74F773" w14:textId="77777777" w:rsidR="00FE1364" w:rsidRPr="00953EC6" w:rsidRDefault="00FE1364" w:rsidP="00334D6C">
            <w:pPr>
              <w:pStyle w:val="Milestonetable"/>
              <w:rPr>
                <w:color w:val="auto"/>
              </w:rPr>
            </w:pPr>
            <w:r w:rsidRPr="00953EC6">
              <w:rPr>
                <w:color w:val="auto"/>
              </w:rPr>
              <w:t>Establishing new and enhanced central coordination units or equivalent in accordance with the Council of Australian Governments Health Council Revitalised Clinical Trials Agenda.</w:t>
            </w:r>
          </w:p>
        </w:tc>
        <w:tc>
          <w:tcPr>
            <w:tcW w:w="7813" w:type="dxa"/>
            <w:tcBorders>
              <w:top w:val="single" w:sz="8" w:space="0" w:color="4F81BD"/>
              <w:left w:val="single" w:sz="8" w:space="0" w:color="4F81BD"/>
              <w:bottom w:val="single" w:sz="8" w:space="0" w:color="4F81BD"/>
              <w:right w:val="single" w:sz="8" w:space="0" w:color="4F81BD"/>
            </w:tcBorders>
            <w:shd w:val="clear" w:color="auto" w:fill="auto"/>
          </w:tcPr>
          <w:p w14:paraId="6545A71B" w14:textId="77777777" w:rsidR="00FE1364" w:rsidRPr="00953EC6" w:rsidRDefault="00FE1364" w:rsidP="00334D6C">
            <w:pPr>
              <w:pStyle w:val="Milestonetable"/>
              <w:rPr>
                <w:bCs/>
                <w:color w:val="auto"/>
              </w:rPr>
            </w:pPr>
            <w:r w:rsidRPr="00953EC6">
              <w:rPr>
                <w:color w:val="auto"/>
              </w:rPr>
              <w:t>Complete public (external) reporting against the Research Strategy.</w:t>
            </w:r>
          </w:p>
        </w:tc>
        <w:tc>
          <w:tcPr>
            <w:tcW w:w="1929" w:type="dxa"/>
            <w:vMerge w:val="restart"/>
            <w:tcBorders>
              <w:top w:val="single" w:sz="8" w:space="0" w:color="4F81BD"/>
              <w:left w:val="single" w:sz="8" w:space="0" w:color="4F81BD"/>
              <w:right w:val="single" w:sz="8" w:space="0" w:color="4F81BD"/>
            </w:tcBorders>
            <w:shd w:val="clear" w:color="auto" w:fill="auto"/>
          </w:tcPr>
          <w:p w14:paraId="3C2896B8" w14:textId="77777777" w:rsidR="00FE1364" w:rsidRPr="00953EC6" w:rsidRDefault="00FE1364" w:rsidP="00334D6C">
            <w:pPr>
              <w:pStyle w:val="Milestonetable"/>
              <w:rPr>
                <w:color w:val="auto"/>
              </w:rPr>
            </w:pPr>
            <w:r w:rsidRPr="00953EC6">
              <w:rPr>
                <w:color w:val="auto"/>
              </w:rPr>
              <w:t>15 May 2021</w:t>
            </w:r>
          </w:p>
        </w:tc>
        <w:tc>
          <w:tcPr>
            <w:tcW w:w="1699" w:type="dxa"/>
            <w:vMerge w:val="restart"/>
            <w:tcBorders>
              <w:top w:val="single" w:sz="8" w:space="0" w:color="4F81BD"/>
              <w:left w:val="single" w:sz="8" w:space="0" w:color="4F81BD"/>
              <w:right w:val="single" w:sz="8" w:space="0" w:color="4F81BD"/>
            </w:tcBorders>
            <w:shd w:val="clear" w:color="auto" w:fill="auto"/>
          </w:tcPr>
          <w:p w14:paraId="7C2AD77F" w14:textId="77777777" w:rsidR="00FE1364" w:rsidRPr="00953EC6" w:rsidRDefault="00FE1364" w:rsidP="00334D6C">
            <w:pPr>
              <w:pStyle w:val="Milestonetable"/>
              <w:rPr>
                <w:color w:val="auto"/>
              </w:rPr>
            </w:pPr>
            <w:r w:rsidRPr="00953EC6">
              <w:rPr>
                <w:color w:val="auto"/>
              </w:rPr>
              <w:t>$71,791</w:t>
            </w:r>
          </w:p>
          <w:p w14:paraId="129A2E5B" w14:textId="77777777" w:rsidR="00FE1364" w:rsidRPr="00953EC6" w:rsidRDefault="00FE1364" w:rsidP="00334D6C">
            <w:pPr>
              <w:pStyle w:val="Milestonetable"/>
              <w:jc w:val="right"/>
              <w:rPr>
                <w:color w:val="auto"/>
              </w:rPr>
            </w:pPr>
          </w:p>
        </w:tc>
      </w:tr>
      <w:tr w:rsidR="00FE1364" w:rsidRPr="00953EC6" w14:paraId="27810843" w14:textId="77777777" w:rsidTr="00334D6C">
        <w:tc>
          <w:tcPr>
            <w:tcW w:w="3109" w:type="dxa"/>
            <w:tcBorders>
              <w:top w:val="single" w:sz="8" w:space="0" w:color="4F81BD"/>
              <w:left w:val="single" w:sz="8" w:space="0" w:color="4F81BD"/>
              <w:bottom w:val="single" w:sz="8" w:space="0" w:color="4F81BD"/>
              <w:right w:val="single" w:sz="8" w:space="0" w:color="4F81BD"/>
            </w:tcBorders>
          </w:tcPr>
          <w:p w14:paraId="204F14DA" w14:textId="77777777" w:rsidR="00FE1364" w:rsidRPr="00953EC6" w:rsidRDefault="00FE1364" w:rsidP="00334D6C">
            <w:pPr>
              <w:pStyle w:val="Milestonetable"/>
              <w:rPr>
                <w:bCs/>
                <w:color w:val="auto"/>
              </w:rPr>
            </w:pPr>
            <w:r w:rsidRPr="00953EC6">
              <w:rPr>
                <w:color w:val="auto"/>
              </w:rPr>
              <w:t>Implementing new and enhanced clinical trial data collection and reporting to inform systems improvement with interoperability and data flow capability, and contribute to better sector knowledge, recruitment and overall sector performance, including through continued implementation and expansion of metrics and ongoing submission of data to the national data collection under the Framework for National Aggregate Statistics (NAS).</w:t>
            </w:r>
          </w:p>
        </w:tc>
        <w:tc>
          <w:tcPr>
            <w:tcW w:w="7813" w:type="dxa"/>
            <w:tcBorders>
              <w:top w:val="single" w:sz="8" w:space="0" w:color="4F81BD"/>
              <w:left w:val="single" w:sz="8" w:space="0" w:color="4F81BD"/>
              <w:bottom w:val="single" w:sz="8" w:space="0" w:color="4F81BD"/>
              <w:right w:val="single" w:sz="8" w:space="0" w:color="4F81BD"/>
            </w:tcBorders>
            <w:shd w:val="clear" w:color="auto" w:fill="auto"/>
          </w:tcPr>
          <w:p w14:paraId="14DFC5E4" w14:textId="77777777" w:rsidR="00FE1364" w:rsidRPr="00953EC6" w:rsidRDefault="00FE1364" w:rsidP="00334D6C">
            <w:pPr>
              <w:pStyle w:val="Milestonetable"/>
              <w:rPr>
                <w:bCs/>
                <w:color w:val="auto"/>
              </w:rPr>
            </w:pPr>
            <w:r w:rsidRPr="00953EC6">
              <w:rPr>
                <w:color w:val="auto"/>
              </w:rPr>
              <w:t xml:space="preserve">Full contribution of data to the expanded </w:t>
            </w:r>
            <w:r w:rsidRPr="00953EC6">
              <w:rPr>
                <w:bCs/>
                <w:color w:val="auto"/>
              </w:rPr>
              <w:t>National Aggregate Statistics (NAS) 2020-21, as agreed by the Clinical Trials Project Reference Group (CTPRG).</w:t>
            </w:r>
          </w:p>
        </w:tc>
        <w:tc>
          <w:tcPr>
            <w:tcW w:w="1929" w:type="dxa"/>
            <w:vMerge/>
            <w:tcBorders>
              <w:left w:val="single" w:sz="8" w:space="0" w:color="4F81BD"/>
              <w:right w:val="single" w:sz="8" w:space="0" w:color="4F81BD"/>
            </w:tcBorders>
            <w:shd w:val="clear" w:color="auto" w:fill="auto"/>
          </w:tcPr>
          <w:p w14:paraId="67B7755F" w14:textId="77777777" w:rsidR="00FE1364" w:rsidRPr="00953EC6" w:rsidRDefault="00FE1364" w:rsidP="00334D6C">
            <w:pPr>
              <w:pStyle w:val="Milestonetable"/>
              <w:rPr>
                <w:color w:val="auto"/>
              </w:rPr>
            </w:pPr>
          </w:p>
        </w:tc>
        <w:tc>
          <w:tcPr>
            <w:tcW w:w="1699" w:type="dxa"/>
            <w:vMerge/>
            <w:tcBorders>
              <w:left w:val="single" w:sz="8" w:space="0" w:color="4F81BD"/>
              <w:right w:val="single" w:sz="8" w:space="0" w:color="4F81BD"/>
            </w:tcBorders>
            <w:shd w:val="clear" w:color="auto" w:fill="auto"/>
          </w:tcPr>
          <w:p w14:paraId="041EAA89" w14:textId="77777777" w:rsidR="00FE1364" w:rsidRPr="00953EC6" w:rsidRDefault="00FE1364" w:rsidP="00334D6C">
            <w:pPr>
              <w:pStyle w:val="Milestonetable"/>
              <w:jc w:val="right"/>
              <w:rPr>
                <w:color w:val="auto"/>
              </w:rPr>
            </w:pPr>
          </w:p>
        </w:tc>
      </w:tr>
      <w:tr w:rsidR="00FE1364" w:rsidRPr="00953EC6" w14:paraId="5C4B17B9" w14:textId="77777777" w:rsidTr="00334D6C">
        <w:trPr>
          <w:trHeight w:val="633"/>
        </w:trPr>
        <w:tc>
          <w:tcPr>
            <w:tcW w:w="3109" w:type="dxa"/>
            <w:tcBorders>
              <w:top w:val="single" w:sz="8" w:space="0" w:color="4F81BD"/>
              <w:left w:val="single" w:sz="8" w:space="0" w:color="4F81BD"/>
              <w:bottom w:val="single" w:sz="8" w:space="0" w:color="4F81BD"/>
              <w:right w:val="single" w:sz="8" w:space="0" w:color="4F81BD"/>
            </w:tcBorders>
          </w:tcPr>
          <w:p w14:paraId="1C26B88D" w14:textId="77777777" w:rsidR="00FE1364" w:rsidRPr="00953EC6" w:rsidRDefault="00FE1364" w:rsidP="00334D6C">
            <w:pPr>
              <w:pStyle w:val="Milestonetable"/>
              <w:rPr>
                <w:bCs/>
                <w:color w:val="auto"/>
              </w:rPr>
            </w:pPr>
            <w:r w:rsidRPr="00953EC6">
              <w:rPr>
                <w:bCs/>
                <w:color w:val="auto"/>
              </w:rPr>
              <w:t>E</w:t>
            </w:r>
            <w:r w:rsidRPr="00953EC6">
              <w:rPr>
                <w:color w:val="auto"/>
              </w:rPr>
              <w:t>stablishing and maintaining new networks and partnerships within and between jurisdictions, clinical trial networks, communities of practice (eg. oncology, working with ATSI groups) and registries.</w:t>
            </w:r>
          </w:p>
        </w:tc>
        <w:tc>
          <w:tcPr>
            <w:tcW w:w="7813" w:type="dxa"/>
            <w:tcBorders>
              <w:top w:val="single" w:sz="8" w:space="0" w:color="4F81BD"/>
              <w:left w:val="single" w:sz="8" w:space="0" w:color="4F81BD"/>
              <w:bottom w:val="single" w:sz="8" w:space="0" w:color="4F81BD"/>
              <w:right w:val="single" w:sz="8" w:space="0" w:color="4F81BD"/>
            </w:tcBorders>
            <w:shd w:val="clear" w:color="auto" w:fill="auto"/>
          </w:tcPr>
          <w:p w14:paraId="1482B445" w14:textId="77777777" w:rsidR="00FE1364" w:rsidRPr="00953EC6" w:rsidRDefault="00FE1364" w:rsidP="00334D6C">
            <w:pPr>
              <w:pStyle w:val="Milestonetable"/>
              <w:rPr>
                <w:bCs/>
                <w:color w:val="auto"/>
              </w:rPr>
            </w:pPr>
            <w:r w:rsidRPr="00953EC6">
              <w:rPr>
                <w:color w:val="auto"/>
              </w:rPr>
              <w:t>Nil.</w:t>
            </w:r>
          </w:p>
        </w:tc>
        <w:tc>
          <w:tcPr>
            <w:tcW w:w="1929" w:type="dxa"/>
            <w:vMerge/>
            <w:tcBorders>
              <w:left w:val="single" w:sz="8" w:space="0" w:color="4F81BD"/>
              <w:right w:val="single" w:sz="8" w:space="0" w:color="4F81BD"/>
            </w:tcBorders>
            <w:shd w:val="clear" w:color="auto" w:fill="auto"/>
          </w:tcPr>
          <w:p w14:paraId="754A73A2" w14:textId="77777777" w:rsidR="00FE1364" w:rsidRPr="00953EC6" w:rsidRDefault="00FE1364" w:rsidP="00334D6C">
            <w:pPr>
              <w:pStyle w:val="Milestonetable"/>
              <w:rPr>
                <w:color w:val="auto"/>
              </w:rPr>
            </w:pPr>
          </w:p>
        </w:tc>
        <w:tc>
          <w:tcPr>
            <w:tcW w:w="1699" w:type="dxa"/>
            <w:vMerge/>
            <w:tcBorders>
              <w:left w:val="single" w:sz="8" w:space="0" w:color="4F81BD"/>
              <w:right w:val="single" w:sz="8" w:space="0" w:color="4F81BD"/>
            </w:tcBorders>
            <w:shd w:val="clear" w:color="auto" w:fill="auto"/>
          </w:tcPr>
          <w:p w14:paraId="44431360" w14:textId="77777777" w:rsidR="00FE1364" w:rsidRPr="00953EC6" w:rsidRDefault="00FE1364" w:rsidP="00334D6C">
            <w:pPr>
              <w:pStyle w:val="Milestonetable"/>
              <w:jc w:val="right"/>
              <w:rPr>
                <w:color w:val="auto"/>
              </w:rPr>
            </w:pPr>
          </w:p>
        </w:tc>
      </w:tr>
      <w:tr w:rsidR="00FE1364" w:rsidRPr="00953EC6" w14:paraId="7A9E9864" w14:textId="77777777" w:rsidTr="00334D6C">
        <w:trPr>
          <w:trHeight w:val="924"/>
        </w:trPr>
        <w:tc>
          <w:tcPr>
            <w:tcW w:w="3109" w:type="dxa"/>
            <w:tcBorders>
              <w:top w:val="single" w:sz="8" w:space="0" w:color="4F81BD"/>
              <w:left w:val="single" w:sz="8" w:space="0" w:color="4F81BD"/>
              <w:right w:val="single" w:sz="8" w:space="0" w:color="4F81BD"/>
            </w:tcBorders>
          </w:tcPr>
          <w:p w14:paraId="47DA09D8" w14:textId="77777777" w:rsidR="00FE1364" w:rsidRPr="00953EC6" w:rsidRDefault="00FE1364" w:rsidP="00334D6C">
            <w:pPr>
              <w:pStyle w:val="Milestonetable"/>
              <w:rPr>
                <w:bCs/>
                <w:color w:val="auto"/>
              </w:rPr>
            </w:pPr>
            <w:r w:rsidRPr="00953EC6">
              <w:rPr>
                <w:color w:val="auto"/>
              </w:rPr>
              <w:t>Embedding research and clinical trials processes into core hospital governance arrangements.</w:t>
            </w:r>
          </w:p>
        </w:tc>
        <w:tc>
          <w:tcPr>
            <w:tcW w:w="7813" w:type="dxa"/>
            <w:tcBorders>
              <w:top w:val="single" w:sz="8" w:space="0" w:color="4F81BD"/>
              <w:left w:val="single" w:sz="8" w:space="0" w:color="4F81BD"/>
              <w:right w:val="single" w:sz="8" w:space="0" w:color="4F81BD"/>
            </w:tcBorders>
            <w:shd w:val="clear" w:color="auto" w:fill="auto"/>
          </w:tcPr>
          <w:p w14:paraId="12B8840E" w14:textId="77777777" w:rsidR="00FE1364" w:rsidRPr="00953EC6" w:rsidRDefault="00FE1364" w:rsidP="00334D6C">
            <w:pPr>
              <w:pStyle w:val="Milestonetable"/>
              <w:rPr>
                <w:bCs/>
                <w:color w:val="auto"/>
              </w:rPr>
            </w:pPr>
            <w:r w:rsidRPr="00953EC6">
              <w:rPr>
                <w:color w:val="auto"/>
              </w:rPr>
              <w:t>Active engagement with CTPRG, Commonwealth and Australian Commission on Safety and Quality in Health Care (ACSQHC) to implement the national Clinical Trials Governance Framework.</w:t>
            </w:r>
          </w:p>
        </w:tc>
        <w:tc>
          <w:tcPr>
            <w:tcW w:w="1929" w:type="dxa"/>
            <w:vMerge/>
            <w:tcBorders>
              <w:left w:val="single" w:sz="8" w:space="0" w:color="4F81BD"/>
              <w:right w:val="single" w:sz="8" w:space="0" w:color="4F81BD"/>
            </w:tcBorders>
            <w:shd w:val="clear" w:color="auto" w:fill="auto"/>
          </w:tcPr>
          <w:p w14:paraId="4BAEC5BB" w14:textId="77777777" w:rsidR="00FE1364" w:rsidRPr="00953EC6" w:rsidRDefault="00FE1364" w:rsidP="00334D6C">
            <w:pPr>
              <w:pStyle w:val="Milestonetable"/>
              <w:rPr>
                <w:color w:val="auto"/>
              </w:rPr>
            </w:pPr>
          </w:p>
        </w:tc>
        <w:tc>
          <w:tcPr>
            <w:tcW w:w="1699" w:type="dxa"/>
            <w:vMerge/>
            <w:tcBorders>
              <w:left w:val="single" w:sz="8" w:space="0" w:color="4F81BD"/>
              <w:right w:val="single" w:sz="8" w:space="0" w:color="4F81BD"/>
            </w:tcBorders>
            <w:shd w:val="clear" w:color="auto" w:fill="auto"/>
          </w:tcPr>
          <w:p w14:paraId="0AE47D10" w14:textId="77777777" w:rsidR="00FE1364" w:rsidRPr="00953EC6" w:rsidRDefault="00FE1364" w:rsidP="00334D6C">
            <w:pPr>
              <w:pStyle w:val="Milestonetable"/>
              <w:jc w:val="right"/>
              <w:rPr>
                <w:color w:val="auto"/>
              </w:rPr>
            </w:pPr>
          </w:p>
        </w:tc>
      </w:tr>
    </w:tbl>
    <w:p w14:paraId="31491C68" w14:textId="77777777" w:rsidR="00FE1364" w:rsidRDefault="00FE1364" w:rsidP="00FE1364">
      <w:pPr>
        <w:tabs>
          <w:tab w:val="left" w:pos="3865"/>
        </w:tabs>
      </w:pPr>
      <w:r w:rsidRPr="00A829E7">
        <w:t xml:space="preserve">This schedule was agreed by the </w:t>
      </w:r>
      <w:r>
        <w:t xml:space="preserve">Commonwealth </w:t>
      </w:r>
      <w:r w:rsidRPr="00A829E7">
        <w:t>and</w:t>
      </w:r>
      <w:r>
        <w:t xml:space="preserve"> Tasmania </w:t>
      </w:r>
      <w:r w:rsidRPr="00A829E7">
        <w:t>when the overarching National Partnership</w:t>
      </w:r>
      <w:r>
        <w:t xml:space="preserve"> was signed.</w:t>
      </w:r>
    </w:p>
    <w:p w14:paraId="5CD380CB" w14:textId="77777777" w:rsidR="00FE1364" w:rsidRDefault="00FE1364" w:rsidP="00FE1364">
      <w:pPr>
        <w:tabs>
          <w:tab w:val="left" w:pos="3865"/>
        </w:tabs>
      </w:pPr>
    </w:p>
    <w:p w14:paraId="3900E2BC" w14:textId="77777777" w:rsidR="00FE1364" w:rsidRPr="00296E7E" w:rsidRDefault="00FE1364" w:rsidP="00FE1364">
      <w:pPr>
        <w:tabs>
          <w:tab w:val="left" w:pos="3865"/>
        </w:tabs>
        <w:rPr>
          <w:b/>
        </w:rPr>
      </w:pPr>
      <w:r w:rsidRPr="00296E7E">
        <w:rPr>
          <w:b/>
        </w:rPr>
        <w:t>Tasmania Project Plan summary</w:t>
      </w:r>
    </w:p>
    <w:p w14:paraId="72070ADB" w14:textId="77777777" w:rsidR="00FE1364" w:rsidRPr="00953EC6" w:rsidRDefault="00FE1364" w:rsidP="00FE1364">
      <w:pPr>
        <w:pStyle w:val="Tableformat"/>
        <w:rPr>
          <w:iCs w:val="0"/>
          <w:color w:val="auto"/>
          <w:sz w:val="22"/>
          <w:szCs w:val="22"/>
        </w:rPr>
      </w:pPr>
      <w:r w:rsidRPr="00953EC6">
        <w:rPr>
          <w:iCs w:val="0"/>
          <w:color w:val="auto"/>
          <w:sz w:val="22"/>
          <w:szCs w:val="22"/>
        </w:rPr>
        <w:t>Tasmania will establish and embed a state-wide Research Governance Office (RGO) within the Department of Health and Human Services (DHHS) that will:</w:t>
      </w:r>
    </w:p>
    <w:p w14:paraId="1338551E" w14:textId="77777777" w:rsidR="00FE1364" w:rsidRPr="00953EC6" w:rsidRDefault="00FE1364" w:rsidP="00FE1364">
      <w:pPr>
        <w:pStyle w:val="Tableformat"/>
        <w:numPr>
          <w:ilvl w:val="0"/>
          <w:numId w:val="14"/>
        </w:numPr>
        <w:rPr>
          <w:iCs w:val="0"/>
          <w:color w:val="auto"/>
          <w:sz w:val="22"/>
          <w:szCs w:val="22"/>
        </w:rPr>
      </w:pPr>
      <w:r w:rsidRPr="00953EC6">
        <w:rPr>
          <w:iCs w:val="0"/>
          <w:color w:val="auto"/>
          <w:sz w:val="22"/>
          <w:szCs w:val="22"/>
        </w:rPr>
        <w:t>function as a central point of contact for sponsors, researchers, participants, research institutes and other stakeholders supported by a Research Governance Framework and communication strategy;</w:t>
      </w:r>
    </w:p>
    <w:p w14:paraId="7326268E" w14:textId="77777777" w:rsidR="00FE1364" w:rsidRPr="00953EC6" w:rsidRDefault="00FE1364" w:rsidP="00FE1364">
      <w:pPr>
        <w:pStyle w:val="Tableformat"/>
        <w:numPr>
          <w:ilvl w:val="0"/>
          <w:numId w:val="14"/>
        </w:numPr>
        <w:rPr>
          <w:iCs w:val="0"/>
          <w:color w:val="auto"/>
          <w:sz w:val="22"/>
          <w:szCs w:val="22"/>
        </w:rPr>
      </w:pPr>
      <w:r w:rsidRPr="00953EC6">
        <w:rPr>
          <w:iCs w:val="0"/>
          <w:color w:val="auto"/>
          <w:sz w:val="22"/>
          <w:szCs w:val="22"/>
        </w:rPr>
        <w:t>build on Tasmania’s existing single ethical review process, and leverage off work that other jurisdictions have already undertaken, to develop a single system-wide Research Strategy and introduce unified processes across the state to improve system navigation, cohesion, streamlining and capacity;</w:t>
      </w:r>
    </w:p>
    <w:p w14:paraId="19A1FA71" w14:textId="77777777" w:rsidR="00FE1364" w:rsidRPr="00953EC6" w:rsidRDefault="00FE1364" w:rsidP="00FE1364">
      <w:pPr>
        <w:pStyle w:val="Tableformat"/>
        <w:numPr>
          <w:ilvl w:val="0"/>
          <w:numId w:val="14"/>
        </w:numPr>
        <w:rPr>
          <w:iCs w:val="0"/>
          <w:color w:val="auto"/>
          <w:sz w:val="22"/>
          <w:szCs w:val="22"/>
        </w:rPr>
      </w:pPr>
      <w:r w:rsidRPr="00953EC6">
        <w:rPr>
          <w:iCs w:val="0"/>
          <w:color w:val="auto"/>
          <w:sz w:val="22"/>
          <w:szCs w:val="22"/>
        </w:rPr>
        <w:t>develop and implement a state-wide Information and Communication Technology (ICT) platform that will enhance clinical trial data, provide research governance management and external reporting, and support efficient translation of research outcomes into practice improvement; and</w:t>
      </w:r>
    </w:p>
    <w:p w14:paraId="76118768" w14:textId="77777777" w:rsidR="00FE1364" w:rsidRPr="00953EC6" w:rsidRDefault="00FE1364" w:rsidP="00FE1364">
      <w:pPr>
        <w:pStyle w:val="Tableformat"/>
        <w:numPr>
          <w:ilvl w:val="0"/>
          <w:numId w:val="14"/>
        </w:numPr>
        <w:rPr>
          <w:iCs w:val="0"/>
          <w:color w:val="auto"/>
          <w:sz w:val="22"/>
          <w:szCs w:val="22"/>
        </w:rPr>
      </w:pPr>
      <w:r w:rsidRPr="00953EC6">
        <w:rPr>
          <w:color w:val="auto"/>
          <w:sz w:val="22"/>
          <w:szCs w:val="22"/>
        </w:rPr>
        <w:t>establish strategic linkages with Ambulance Tasmania, the Tasmania Health Service (THS), the University of Tasmania (UTAS), the Menzies Institute for Medical Research, the Clifford Craig Research Foundation and the Royal Hobart Hospital Research Foundation.</w:t>
      </w:r>
    </w:p>
    <w:p w14:paraId="19849021" w14:textId="77777777" w:rsidR="00FE1364" w:rsidRDefault="00FE1364" w:rsidP="00FE1364">
      <w: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07"/>
        <w:gridCol w:w="7807"/>
        <w:gridCol w:w="1928"/>
        <w:gridCol w:w="1698"/>
      </w:tblGrid>
      <w:tr w:rsidR="00FE1364" w:rsidRPr="00953EC6" w14:paraId="65F7AD13" w14:textId="77777777" w:rsidTr="00334D6C">
        <w:tc>
          <w:tcPr>
            <w:tcW w:w="14550" w:type="dxa"/>
            <w:gridSpan w:val="4"/>
            <w:shd w:val="clear" w:color="auto" w:fill="DEEAF6" w:themeFill="accent1" w:themeFillTint="33"/>
          </w:tcPr>
          <w:p w14:paraId="0D99F278" w14:textId="77777777" w:rsidR="00FE1364" w:rsidRPr="00953EC6" w:rsidRDefault="00FE1364" w:rsidP="00334D6C">
            <w:pPr>
              <w:pStyle w:val="Tableformat"/>
              <w:rPr>
                <w:b/>
                <w:color w:val="auto"/>
              </w:rPr>
            </w:pPr>
            <w:r w:rsidRPr="00953EC6">
              <w:rPr>
                <w:b/>
                <w:color w:val="auto"/>
              </w:rPr>
              <w:t>Table 2G: Australian Capital Territory – Performance requirements, reporting and payment summary</w:t>
            </w:r>
          </w:p>
        </w:tc>
      </w:tr>
      <w:tr w:rsidR="00FE1364" w:rsidRPr="00953EC6" w14:paraId="53D5A45A" w14:textId="77777777" w:rsidTr="00334D6C">
        <w:tc>
          <w:tcPr>
            <w:tcW w:w="3109" w:type="dxa"/>
            <w:vMerge w:val="restart"/>
            <w:shd w:val="clear" w:color="auto" w:fill="F2F2F2" w:themeFill="background1" w:themeFillShade="F2"/>
          </w:tcPr>
          <w:p w14:paraId="69B796AE" w14:textId="77777777" w:rsidR="00FE1364" w:rsidRPr="00953EC6" w:rsidRDefault="00FE1364" w:rsidP="00334D6C">
            <w:pPr>
              <w:pStyle w:val="Tableformat"/>
              <w:rPr>
                <w:b/>
                <w:color w:val="auto"/>
              </w:rPr>
            </w:pPr>
            <w:r w:rsidRPr="00953EC6">
              <w:rPr>
                <w:b/>
                <w:color w:val="auto"/>
              </w:rPr>
              <w:t>Output</w:t>
            </w:r>
          </w:p>
          <w:p w14:paraId="431C76D0" w14:textId="77777777" w:rsidR="00FE1364" w:rsidRPr="00953EC6" w:rsidRDefault="00FE1364" w:rsidP="00334D6C">
            <w:pPr>
              <w:pStyle w:val="Tableformat"/>
              <w:rPr>
                <w:b/>
                <w:color w:val="auto"/>
              </w:rPr>
            </w:pPr>
          </w:p>
        </w:tc>
        <w:tc>
          <w:tcPr>
            <w:tcW w:w="7813" w:type="dxa"/>
            <w:shd w:val="clear" w:color="auto" w:fill="F2F2F2" w:themeFill="background1" w:themeFillShade="F2"/>
          </w:tcPr>
          <w:p w14:paraId="3606EF17" w14:textId="77777777" w:rsidR="00FE1364" w:rsidRPr="00953EC6" w:rsidRDefault="00FE1364" w:rsidP="00334D6C">
            <w:pPr>
              <w:pStyle w:val="Tableformat"/>
              <w:rPr>
                <w:b/>
                <w:color w:val="auto"/>
              </w:rPr>
            </w:pPr>
            <w:r w:rsidRPr="00953EC6">
              <w:rPr>
                <w:b/>
                <w:color w:val="auto"/>
              </w:rPr>
              <w:t>Performance milestones</w:t>
            </w:r>
          </w:p>
        </w:tc>
        <w:tc>
          <w:tcPr>
            <w:tcW w:w="1929" w:type="dxa"/>
            <w:vMerge w:val="restart"/>
            <w:shd w:val="clear" w:color="auto" w:fill="F2F2F2" w:themeFill="background1" w:themeFillShade="F2"/>
          </w:tcPr>
          <w:p w14:paraId="430F23EA" w14:textId="77777777" w:rsidR="00FE1364" w:rsidRPr="00953EC6" w:rsidRDefault="00FE1364" w:rsidP="00334D6C">
            <w:pPr>
              <w:pStyle w:val="Tableformat"/>
              <w:rPr>
                <w:b/>
                <w:color w:val="auto"/>
              </w:rPr>
            </w:pPr>
            <w:r w:rsidRPr="00953EC6">
              <w:rPr>
                <w:b/>
                <w:color w:val="auto"/>
              </w:rPr>
              <w:t>Report due</w:t>
            </w:r>
          </w:p>
        </w:tc>
        <w:tc>
          <w:tcPr>
            <w:tcW w:w="1699" w:type="dxa"/>
            <w:vMerge w:val="restart"/>
            <w:shd w:val="clear" w:color="auto" w:fill="F2F2F2" w:themeFill="background1" w:themeFillShade="F2"/>
          </w:tcPr>
          <w:p w14:paraId="36E1AAB0" w14:textId="77777777" w:rsidR="00FE1364" w:rsidRPr="00953EC6" w:rsidRDefault="00FE1364" w:rsidP="00334D6C">
            <w:pPr>
              <w:pStyle w:val="Tableformat"/>
              <w:rPr>
                <w:b/>
                <w:color w:val="auto"/>
              </w:rPr>
            </w:pPr>
            <w:r w:rsidRPr="00953EC6">
              <w:rPr>
                <w:b/>
                <w:color w:val="auto"/>
              </w:rPr>
              <w:t>Payment</w:t>
            </w:r>
          </w:p>
          <w:p w14:paraId="0A5E043F" w14:textId="77777777" w:rsidR="00FE1364" w:rsidRPr="00953EC6" w:rsidRDefault="00FE1364" w:rsidP="00334D6C">
            <w:pPr>
              <w:pStyle w:val="Tableformat"/>
              <w:rPr>
                <w:b/>
                <w:color w:val="auto"/>
              </w:rPr>
            </w:pPr>
          </w:p>
        </w:tc>
      </w:tr>
      <w:tr w:rsidR="00FE1364" w:rsidRPr="00953EC6" w14:paraId="421E2022" w14:textId="77777777" w:rsidTr="00334D6C">
        <w:tc>
          <w:tcPr>
            <w:tcW w:w="3109" w:type="dxa"/>
            <w:vMerge/>
            <w:shd w:val="clear" w:color="auto" w:fill="F2F2F2" w:themeFill="background1" w:themeFillShade="F2"/>
          </w:tcPr>
          <w:p w14:paraId="460EE4C4" w14:textId="77777777" w:rsidR="00FE1364" w:rsidRPr="00953EC6" w:rsidRDefault="00FE1364" w:rsidP="00334D6C">
            <w:pPr>
              <w:pStyle w:val="Tableformat"/>
              <w:rPr>
                <w:b/>
                <w:color w:val="auto"/>
              </w:rPr>
            </w:pPr>
          </w:p>
        </w:tc>
        <w:tc>
          <w:tcPr>
            <w:tcW w:w="7813" w:type="dxa"/>
            <w:shd w:val="clear" w:color="auto" w:fill="F2F2F2" w:themeFill="background1" w:themeFillShade="F2"/>
          </w:tcPr>
          <w:p w14:paraId="446B0566" w14:textId="77777777" w:rsidR="00FE1364" w:rsidRPr="00953EC6" w:rsidRDefault="00FE1364" w:rsidP="00334D6C">
            <w:pPr>
              <w:pStyle w:val="Tableformat"/>
              <w:rPr>
                <w:b/>
                <w:color w:val="auto"/>
              </w:rPr>
            </w:pPr>
            <w:r w:rsidRPr="00953EC6">
              <w:rPr>
                <w:b/>
                <w:color w:val="auto"/>
                <w:sz w:val="23"/>
                <w:szCs w:val="23"/>
              </w:rPr>
              <w:t>2020-21</w:t>
            </w:r>
          </w:p>
        </w:tc>
        <w:tc>
          <w:tcPr>
            <w:tcW w:w="1929" w:type="dxa"/>
            <w:vMerge/>
            <w:shd w:val="clear" w:color="auto" w:fill="F2F2F2" w:themeFill="background1" w:themeFillShade="F2"/>
          </w:tcPr>
          <w:p w14:paraId="58BAFDDC" w14:textId="77777777" w:rsidR="00FE1364" w:rsidRPr="00953EC6" w:rsidRDefault="00FE1364" w:rsidP="00334D6C">
            <w:pPr>
              <w:pStyle w:val="Tableformat"/>
              <w:rPr>
                <w:b/>
                <w:color w:val="auto"/>
              </w:rPr>
            </w:pPr>
          </w:p>
        </w:tc>
        <w:tc>
          <w:tcPr>
            <w:tcW w:w="1699" w:type="dxa"/>
            <w:vMerge/>
            <w:shd w:val="clear" w:color="auto" w:fill="F2F2F2" w:themeFill="background1" w:themeFillShade="F2"/>
          </w:tcPr>
          <w:p w14:paraId="18A9B8AA" w14:textId="77777777" w:rsidR="00FE1364" w:rsidRPr="00953EC6" w:rsidRDefault="00FE1364" w:rsidP="00334D6C">
            <w:pPr>
              <w:pStyle w:val="Tableformat"/>
              <w:rPr>
                <w:b/>
                <w:color w:val="auto"/>
              </w:rPr>
            </w:pPr>
          </w:p>
        </w:tc>
      </w:tr>
      <w:tr w:rsidR="00FE1364" w:rsidRPr="00953EC6" w14:paraId="2747C28F" w14:textId="77777777" w:rsidTr="00334D6C">
        <w:tc>
          <w:tcPr>
            <w:tcW w:w="3109" w:type="dxa"/>
            <w:tcBorders>
              <w:top w:val="single" w:sz="8" w:space="0" w:color="4F81BD"/>
              <w:left w:val="single" w:sz="8" w:space="0" w:color="4F81BD"/>
              <w:bottom w:val="single" w:sz="8" w:space="0" w:color="4F81BD"/>
              <w:right w:val="single" w:sz="8" w:space="0" w:color="4F81BD"/>
            </w:tcBorders>
          </w:tcPr>
          <w:p w14:paraId="18C3920B" w14:textId="77777777" w:rsidR="00FE1364" w:rsidRPr="00953EC6" w:rsidRDefault="00FE1364" w:rsidP="00334D6C">
            <w:pPr>
              <w:pStyle w:val="Milestonetable"/>
              <w:rPr>
                <w:color w:val="auto"/>
              </w:rPr>
            </w:pPr>
            <w:r w:rsidRPr="00953EC6">
              <w:rPr>
                <w:color w:val="auto"/>
              </w:rPr>
              <w:t>Establishing new and enhanced central coordination units or equivalent in accordance with the Council of Australian Governments Health Council Revitalised Clinical Trials Agenda.</w:t>
            </w:r>
          </w:p>
        </w:tc>
        <w:tc>
          <w:tcPr>
            <w:tcW w:w="7813" w:type="dxa"/>
            <w:tcBorders>
              <w:top w:val="single" w:sz="8" w:space="0" w:color="4F81BD"/>
              <w:left w:val="single" w:sz="8" w:space="0" w:color="4F81BD"/>
              <w:bottom w:val="single" w:sz="8" w:space="0" w:color="4F81BD"/>
              <w:right w:val="single" w:sz="8" w:space="0" w:color="4F81BD"/>
            </w:tcBorders>
            <w:shd w:val="clear" w:color="auto" w:fill="auto"/>
          </w:tcPr>
          <w:p w14:paraId="21C673BC" w14:textId="77777777" w:rsidR="00FE1364" w:rsidRPr="00953EC6" w:rsidRDefault="00FE1364" w:rsidP="00334D6C">
            <w:pPr>
              <w:pStyle w:val="AlphaParagraph"/>
              <w:tabs>
                <w:tab w:val="clear" w:pos="0"/>
                <w:tab w:val="clear" w:pos="567"/>
                <w:tab w:val="clear" w:pos="1134"/>
                <w:tab w:val="left" w:pos="389"/>
                <w:tab w:val="left" w:pos="431"/>
              </w:tabs>
              <w:spacing w:after="120"/>
              <w:ind w:left="0" w:firstLine="0"/>
              <w:jc w:val="left"/>
              <w:rPr>
                <w:color w:val="auto"/>
                <w:sz w:val="20"/>
              </w:rPr>
            </w:pPr>
            <w:r w:rsidRPr="00953EC6">
              <w:rPr>
                <w:color w:val="auto"/>
                <w:sz w:val="20"/>
              </w:rPr>
              <w:t xml:space="preserve">Delivery of survey and review of Standard Operating Procedures (SOPs) for all ACT clinical trials, and update and publication of revised SOPs informed by review outcomes. </w:t>
            </w:r>
          </w:p>
          <w:p w14:paraId="5552AE90" w14:textId="77777777" w:rsidR="00FE1364" w:rsidRPr="00953EC6" w:rsidRDefault="00FE1364" w:rsidP="00334D6C">
            <w:pPr>
              <w:pStyle w:val="Milestonetable"/>
              <w:rPr>
                <w:bCs/>
                <w:color w:val="auto"/>
              </w:rPr>
            </w:pPr>
            <w:r w:rsidRPr="00953EC6">
              <w:rPr>
                <w:color w:val="auto"/>
              </w:rPr>
              <w:t>Signed agreements with all ACT CCT partners to enable centralised management and coordination of clinical trials within ACT.</w:t>
            </w:r>
          </w:p>
        </w:tc>
        <w:tc>
          <w:tcPr>
            <w:tcW w:w="1929" w:type="dxa"/>
            <w:vMerge w:val="restart"/>
            <w:tcBorders>
              <w:top w:val="single" w:sz="8" w:space="0" w:color="4F81BD"/>
              <w:left w:val="single" w:sz="8" w:space="0" w:color="4F81BD"/>
              <w:right w:val="single" w:sz="8" w:space="0" w:color="4F81BD"/>
            </w:tcBorders>
            <w:shd w:val="clear" w:color="auto" w:fill="auto"/>
          </w:tcPr>
          <w:p w14:paraId="5FFFBE26" w14:textId="77777777" w:rsidR="00FE1364" w:rsidRPr="00953EC6" w:rsidRDefault="00FE1364" w:rsidP="00334D6C">
            <w:pPr>
              <w:pStyle w:val="Milestonetable"/>
              <w:rPr>
                <w:color w:val="auto"/>
              </w:rPr>
            </w:pPr>
            <w:r w:rsidRPr="00953EC6">
              <w:rPr>
                <w:color w:val="auto"/>
              </w:rPr>
              <w:t>30 April 2021</w:t>
            </w:r>
          </w:p>
        </w:tc>
        <w:tc>
          <w:tcPr>
            <w:tcW w:w="1699" w:type="dxa"/>
            <w:vMerge w:val="restart"/>
            <w:tcBorders>
              <w:top w:val="single" w:sz="8" w:space="0" w:color="4F81BD"/>
              <w:left w:val="single" w:sz="8" w:space="0" w:color="4F81BD"/>
              <w:right w:val="single" w:sz="8" w:space="0" w:color="4F81BD"/>
            </w:tcBorders>
            <w:shd w:val="clear" w:color="auto" w:fill="auto"/>
          </w:tcPr>
          <w:p w14:paraId="712EB0F6" w14:textId="77777777" w:rsidR="00FE1364" w:rsidRPr="00953EC6" w:rsidRDefault="00FE1364" w:rsidP="00334D6C">
            <w:pPr>
              <w:pStyle w:val="Milestonetable"/>
              <w:rPr>
                <w:color w:val="auto"/>
              </w:rPr>
            </w:pPr>
            <w:r w:rsidRPr="00953EC6">
              <w:rPr>
                <w:color w:val="auto"/>
              </w:rPr>
              <w:t>$153,225</w:t>
            </w:r>
          </w:p>
        </w:tc>
      </w:tr>
      <w:tr w:rsidR="00FE1364" w:rsidRPr="00953EC6" w14:paraId="50CC64DF" w14:textId="77777777" w:rsidTr="00334D6C">
        <w:tc>
          <w:tcPr>
            <w:tcW w:w="3109" w:type="dxa"/>
            <w:tcBorders>
              <w:top w:val="single" w:sz="8" w:space="0" w:color="4F81BD"/>
              <w:left w:val="single" w:sz="8" w:space="0" w:color="4F81BD"/>
              <w:bottom w:val="single" w:sz="8" w:space="0" w:color="4F81BD"/>
              <w:right w:val="single" w:sz="8" w:space="0" w:color="4F81BD"/>
            </w:tcBorders>
          </w:tcPr>
          <w:p w14:paraId="06FF9EBA" w14:textId="77777777" w:rsidR="00FE1364" w:rsidRPr="00953EC6" w:rsidRDefault="00FE1364" w:rsidP="00334D6C">
            <w:pPr>
              <w:pStyle w:val="Milestonetable"/>
              <w:rPr>
                <w:bCs/>
                <w:color w:val="auto"/>
              </w:rPr>
            </w:pPr>
            <w:r w:rsidRPr="00953EC6">
              <w:rPr>
                <w:color w:val="auto"/>
              </w:rPr>
              <w:t>Implementing new and enhanced clinical trial data collection and reporting to inform systems improvement with interoperability and data flow capability, and contribute to better sector knowledge, recruitment and overall sector performance, including through continued implementation and expansion of metrics and ongoing submission of data to the national data collection under the Framework for National Aggregate Statistics (NAS).</w:t>
            </w:r>
          </w:p>
        </w:tc>
        <w:tc>
          <w:tcPr>
            <w:tcW w:w="7813" w:type="dxa"/>
            <w:tcBorders>
              <w:top w:val="single" w:sz="8" w:space="0" w:color="4F81BD"/>
              <w:left w:val="single" w:sz="8" w:space="0" w:color="4F81BD"/>
              <w:bottom w:val="single" w:sz="8" w:space="0" w:color="4F81BD"/>
              <w:right w:val="single" w:sz="8" w:space="0" w:color="4F81BD"/>
            </w:tcBorders>
            <w:shd w:val="clear" w:color="auto" w:fill="auto"/>
          </w:tcPr>
          <w:p w14:paraId="1778F095" w14:textId="77777777" w:rsidR="00FE1364" w:rsidRPr="00953EC6" w:rsidRDefault="00FE1364" w:rsidP="00334D6C">
            <w:pPr>
              <w:rPr>
                <w:rFonts w:cs="Arial"/>
                <w:iCs/>
                <w:sz w:val="20"/>
              </w:rPr>
            </w:pPr>
            <w:r w:rsidRPr="00953EC6">
              <w:rPr>
                <w:rFonts w:cs="Arial"/>
                <w:iCs/>
                <w:sz w:val="20"/>
              </w:rPr>
              <w:t>Full contribution of data to the expanded National Aggregate Statistics (NAS) 2020-21, as agreed by the Clinical Trials Project Reference Group (CTPRG).</w:t>
            </w:r>
          </w:p>
          <w:p w14:paraId="15B241A6" w14:textId="77777777" w:rsidR="00FE1364" w:rsidRPr="00953EC6" w:rsidRDefault="00FE1364" w:rsidP="00334D6C">
            <w:pPr>
              <w:pStyle w:val="Milestonetable"/>
              <w:rPr>
                <w:color w:val="auto"/>
              </w:rPr>
            </w:pPr>
            <w:r w:rsidRPr="00953EC6">
              <w:rPr>
                <w:color w:val="auto"/>
              </w:rPr>
              <w:t>NAS data requirements and automated reporting capability incorporated into innovative ICT system.</w:t>
            </w:r>
          </w:p>
        </w:tc>
        <w:tc>
          <w:tcPr>
            <w:tcW w:w="1929" w:type="dxa"/>
            <w:vMerge/>
            <w:tcBorders>
              <w:left w:val="single" w:sz="8" w:space="0" w:color="4F81BD"/>
              <w:right w:val="single" w:sz="8" w:space="0" w:color="4F81BD"/>
            </w:tcBorders>
            <w:shd w:val="clear" w:color="auto" w:fill="auto"/>
          </w:tcPr>
          <w:p w14:paraId="728D35A6" w14:textId="77777777" w:rsidR="00FE1364" w:rsidRPr="00953EC6" w:rsidRDefault="00FE1364" w:rsidP="00334D6C">
            <w:pPr>
              <w:pStyle w:val="Milestonetable"/>
              <w:rPr>
                <w:color w:val="auto"/>
              </w:rPr>
            </w:pPr>
          </w:p>
        </w:tc>
        <w:tc>
          <w:tcPr>
            <w:tcW w:w="1699" w:type="dxa"/>
            <w:vMerge/>
            <w:tcBorders>
              <w:left w:val="single" w:sz="8" w:space="0" w:color="4F81BD"/>
              <w:right w:val="single" w:sz="8" w:space="0" w:color="4F81BD"/>
            </w:tcBorders>
            <w:shd w:val="clear" w:color="auto" w:fill="auto"/>
          </w:tcPr>
          <w:p w14:paraId="2E5011EC" w14:textId="77777777" w:rsidR="00FE1364" w:rsidRPr="00953EC6" w:rsidRDefault="00FE1364" w:rsidP="00334D6C">
            <w:pPr>
              <w:pStyle w:val="Milestonetable"/>
              <w:jc w:val="right"/>
              <w:rPr>
                <w:color w:val="auto"/>
              </w:rPr>
            </w:pPr>
          </w:p>
        </w:tc>
      </w:tr>
      <w:tr w:rsidR="00FE1364" w:rsidRPr="00953EC6" w14:paraId="14F410CC" w14:textId="77777777" w:rsidTr="00334D6C">
        <w:trPr>
          <w:trHeight w:val="633"/>
        </w:trPr>
        <w:tc>
          <w:tcPr>
            <w:tcW w:w="3109" w:type="dxa"/>
            <w:tcBorders>
              <w:top w:val="single" w:sz="8" w:space="0" w:color="4F81BD"/>
              <w:left w:val="single" w:sz="8" w:space="0" w:color="4F81BD"/>
              <w:bottom w:val="single" w:sz="8" w:space="0" w:color="4F81BD"/>
              <w:right w:val="single" w:sz="8" w:space="0" w:color="4F81BD"/>
            </w:tcBorders>
          </w:tcPr>
          <w:p w14:paraId="4C46AC8E" w14:textId="77777777" w:rsidR="00FE1364" w:rsidRPr="00953EC6" w:rsidRDefault="00FE1364" w:rsidP="00334D6C">
            <w:pPr>
              <w:pStyle w:val="Milestonetable"/>
              <w:rPr>
                <w:bCs/>
                <w:color w:val="auto"/>
              </w:rPr>
            </w:pPr>
            <w:r w:rsidRPr="00953EC6">
              <w:rPr>
                <w:bCs/>
                <w:color w:val="auto"/>
              </w:rPr>
              <w:t>E</w:t>
            </w:r>
            <w:r w:rsidRPr="00953EC6">
              <w:rPr>
                <w:color w:val="auto"/>
              </w:rPr>
              <w:t>stablishing and maintaining new networks and partnerships within and between jurisdictions, clinical trial networks, communities of practice (eg. oncology, working with ATSI groups) and registries.</w:t>
            </w:r>
          </w:p>
        </w:tc>
        <w:tc>
          <w:tcPr>
            <w:tcW w:w="7813" w:type="dxa"/>
            <w:tcBorders>
              <w:top w:val="single" w:sz="8" w:space="0" w:color="4F81BD"/>
              <w:left w:val="single" w:sz="8" w:space="0" w:color="4F81BD"/>
              <w:bottom w:val="single" w:sz="8" w:space="0" w:color="4F81BD"/>
              <w:right w:val="single" w:sz="8" w:space="0" w:color="4F81BD"/>
            </w:tcBorders>
            <w:shd w:val="clear" w:color="auto" w:fill="auto"/>
          </w:tcPr>
          <w:p w14:paraId="4E56B2DB" w14:textId="77777777" w:rsidR="00FE1364" w:rsidRPr="00953EC6" w:rsidRDefault="00FE1364" w:rsidP="00334D6C">
            <w:pPr>
              <w:pStyle w:val="Milestonetable"/>
              <w:rPr>
                <w:bCs/>
                <w:color w:val="auto"/>
              </w:rPr>
            </w:pPr>
            <w:r w:rsidRPr="00953EC6">
              <w:rPr>
                <w:color w:val="auto"/>
              </w:rPr>
              <w:t>Nil.</w:t>
            </w:r>
          </w:p>
        </w:tc>
        <w:tc>
          <w:tcPr>
            <w:tcW w:w="1929" w:type="dxa"/>
            <w:vMerge/>
            <w:tcBorders>
              <w:left w:val="single" w:sz="8" w:space="0" w:color="4F81BD"/>
              <w:right w:val="single" w:sz="8" w:space="0" w:color="4F81BD"/>
            </w:tcBorders>
            <w:shd w:val="clear" w:color="auto" w:fill="auto"/>
          </w:tcPr>
          <w:p w14:paraId="6F184B48" w14:textId="77777777" w:rsidR="00FE1364" w:rsidRPr="00953EC6" w:rsidRDefault="00FE1364" w:rsidP="00334D6C">
            <w:pPr>
              <w:pStyle w:val="Milestonetable"/>
              <w:rPr>
                <w:color w:val="auto"/>
              </w:rPr>
            </w:pPr>
          </w:p>
        </w:tc>
        <w:tc>
          <w:tcPr>
            <w:tcW w:w="1699" w:type="dxa"/>
            <w:vMerge/>
            <w:tcBorders>
              <w:left w:val="single" w:sz="8" w:space="0" w:color="4F81BD"/>
              <w:right w:val="single" w:sz="8" w:space="0" w:color="4F81BD"/>
            </w:tcBorders>
            <w:shd w:val="clear" w:color="auto" w:fill="auto"/>
          </w:tcPr>
          <w:p w14:paraId="120CED30" w14:textId="77777777" w:rsidR="00FE1364" w:rsidRPr="00953EC6" w:rsidRDefault="00FE1364" w:rsidP="00334D6C">
            <w:pPr>
              <w:pStyle w:val="Milestonetable"/>
              <w:jc w:val="right"/>
              <w:rPr>
                <w:color w:val="auto"/>
              </w:rPr>
            </w:pPr>
          </w:p>
        </w:tc>
      </w:tr>
      <w:tr w:rsidR="00FE1364" w:rsidRPr="00953EC6" w14:paraId="23B504D3" w14:textId="77777777" w:rsidTr="00334D6C">
        <w:trPr>
          <w:trHeight w:val="924"/>
        </w:trPr>
        <w:tc>
          <w:tcPr>
            <w:tcW w:w="3109" w:type="dxa"/>
            <w:tcBorders>
              <w:top w:val="single" w:sz="8" w:space="0" w:color="4F81BD"/>
              <w:left w:val="single" w:sz="8" w:space="0" w:color="4F81BD"/>
              <w:right w:val="single" w:sz="8" w:space="0" w:color="4F81BD"/>
            </w:tcBorders>
          </w:tcPr>
          <w:p w14:paraId="72352B16" w14:textId="77777777" w:rsidR="00FE1364" w:rsidRPr="00953EC6" w:rsidRDefault="00FE1364" w:rsidP="00334D6C">
            <w:pPr>
              <w:pStyle w:val="Milestonetable"/>
              <w:rPr>
                <w:bCs/>
                <w:color w:val="auto"/>
              </w:rPr>
            </w:pPr>
            <w:r w:rsidRPr="00953EC6">
              <w:rPr>
                <w:color w:val="auto"/>
              </w:rPr>
              <w:t>Embedding research and clinical trials processes into core hospital governance arrangements.</w:t>
            </w:r>
          </w:p>
        </w:tc>
        <w:tc>
          <w:tcPr>
            <w:tcW w:w="7813" w:type="dxa"/>
            <w:tcBorders>
              <w:top w:val="single" w:sz="8" w:space="0" w:color="4F81BD"/>
              <w:left w:val="single" w:sz="8" w:space="0" w:color="4F81BD"/>
              <w:right w:val="single" w:sz="8" w:space="0" w:color="4F81BD"/>
            </w:tcBorders>
            <w:shd w:val="clear" w:color="auto" w:fill="auto"/>
          </w:tcPr>
          <w:p w14:paraId="7CC2E80B" w14:textId="77777777" w:rsidR="00FE1364" w:rsidRPr="00953EC6" w:rsidRDefault="00FE1364" w:rsidP="00334D6C">
            <w:pPr>
              <w:pStyle w:val="Milestonetable"/>
              <w:rPr>
                <w:bCs/>
                <w:color w:val="auto"/>
              </w:rPr>
            </w:pPr>
            <w:r w:rsidRPr="00953EC6">
              <w:rPr>
                <w:color w:val="auto"/>
              </w:rPr>
              <w:t>Active engagement with CTPRG, Commonwealth and Australian Commission on Safety and Quality in Health Care (ACSQHC) to implement the national Clinical Trials Governance Framework.</w:t>
            </w:r>
          </w:p>
        </w:tc>
        <w:tc>
          <w:tcPr>
            <w:tcW w:w="1929" w:type="dxa"/>
            <w:vMerge/>
            <w:tcBorders>
              <w:left w:val="single" w:sz="8" w:space="0" w:color="4F81BD"/>
              <w:right w:val="single" w:sz="8" w:space="0" w:color="4F81BD"/>
            </w:tcBorders>
            <w:shd w:val="clear" w:color="auto" w:fill="auto"/>
          </w:tcPr>
          <w:p w14:paraId="5C4CF457" w14:textId="77777777" w:rsidR="00FE1364" w:rsidRPr="00953EC6" w:rsidRDefault="00FE1364" w:rsidP="00334D6C">
            <w:pPr>
              <w:pStyle w:val="Milestonetable"/>
              <w:rPr>
                <w:color w:val="auto"/>
              </w:rPr>
            </w:pPr>
          </w:p>
        </w:tc>
        <w:tc>
          <w:tcPr>
            <w:tcW w:w="1699" w:type="dxa"/>
            <w:vMerge/>
            <w:tcBorders>
              <w:left w:val="single" w:sz="8" w:space="0" w:color="4F81BD"/>
              <w:right w:val="single" w:sz="8" w:space="0" w:color="4F81BD"/>
            </w:tcBorders>
            <w:shd w:val="clear" w:color="auto" w:fill="auto"/>
          </w:tcPr>
          <w:p w14:paraId="0F46A1AC" w14:textId="77777777" w:rsidR="00FE1364" w:rsidRPr="00953EC6" w:rsidRDefault="00FE1364" w:rsidP="00334D6C">
            <w:pPr>
              <w:pStyle w:val="Milestonetable"/>
              <w:jc w:val="right"/>
              <w:rPr>
                <w:color w:val="auto"/>
              </w:rPr>
            </w:pPr>
          </w:p>
        </w:tc>
      </w:tr>
    </w:tbl>
    <w:p w14:paraId="7286D51C" w14:textId="77777777" w:rsidR="00FE1364" w:rsidRDefault="00FE1364" w:rsidP="00FE1364">
      <w:pPr>
        <w:tabs>
          <w:tab w:val="left" w:pos="3865"/>
        </w:tabs>
      </w:pPr>
      <w:r w:rsidRPr="00A829E7">
        <w:t xml:space="preserve">This schedule was agreed by the </w:t>
      </w:r>
      <w:r>
        <w:t xml:space="preserve">Commonwealth </w:t>
      </w:r>
      <w:r w:rsidRPr="00A829E7">
        <w:t>and</w:t>
      </w:r>
      <w:r>
        <w:t xml:space="preserve"> the ACT </w:t>
      </w:r>
      <w:r w:rsidRPr="00A829E7">
        <w:t>when the overarching National Partnership</w:t>
      </w:r>
      <w:r>
        <w:t xml:space="preserve"> was signed.</w:t>
      </w:r>
    </w:p>
    <w:p w14:paraId="39AA97CC" w14:textId="77777777" w:rsidR="00FE1364" w:rsidRPr="00953EC6" w:rsidRDefault="00FE1364" w:rsidP="00FE1364">
      <w:pPr>
        <w:tabs>
          <w:tab w:val="left" w:pos="3865"/>
        </w:tabs>
      </w:pPr>
    </w:p>
    <w:p w14:paraId="608E3411" w14:textId="77777777" w:rsidR="00FE1364" w:rsidRPr="00953EC6" w:rsidRDefault="00FE1364" w:rsidP="00FE1364">
      <w:pPr>
        <w:tabs>
          <w:tab w:val="left" w:pos="3865"/>
        </w:tabs>
        <w:rPr>
          <w:b/>
        </w:rPr>
      </w:pPr>
      <w:r w:rsidRPr="00953EC6">
        <w:rPr>
          <w:b/>
        </w:rPr>
        <w:t>Australian Capital Territory Project Plan summary</w:t>
      </w:r>
    </w:p>
    <w:p w14:paraId="4A704A8A" w14:textId="77777777" w:rsidR="00FE1364" w:rsidRPr="00953EC6" w:rsidRDefault="00FE1364" w:rsidP="00FE1364">
      <w:pPr>
        <w:tabs>
          <w:tab w:val="left" w:pos="3865"/>
        </w:tabs>
      </w:pPr>
      <w:r w:rsidRPr="00953EC6">
        <w:t xml:space="preserve">The </w:t>
      </w:r>
      <w:r w:rsidRPr="00953EC6">
        <w:rPr>
          <w:rFonts w:eastAsiaTheme="majorEastAsia"/>
        </w:rPr>
        <w:t>Australian Capital Territory</w:t>
      </w:r>
      <w:r w:rsidRPr="00953EC6">
        <w:t xml:space="preserve"> will expand its recently established state-wide Centre for Clinical Trials (CCT) that will:</w:t>
      </w:r>
    </w:p>
    <w:p w14:paraId="50E86C38" w14:textId="77777777" w:rsidR="00FE1364" w:rsidRPr="00953EC6" w:rsidRDefault="00FE1364" w:rsidP="00FE1364">
      <w:pPr>
        <w:pStyle w:val="Tableformat"/>
        <w:numPr>
          <w:ilvl w:val="0"/>
          <w:numId w:val="15"/>
        </w:numPr>
        <w:rPr>
          <w:iCs w:val="0"/>
          <w:color w:val="auto"/>
          <w:sz w:val="22"/>
          <w:szCs w:val="22"/>
        </w:rPr>
      </w:pPr>
      <w:r w:rsidRPr="00953EC6">
        <w:rPr>
          <w:iCs w:val="0"/>
          <w:color w:val="auto"/>
          <w:sz w:val="22"/>
          <w:szCs w:val="22"/>
        </w:rPr>
        <w:t xml:space="preserve">act as a central point of contact for sponsors, researchers, coordinators and participants; </w:t>
      </w:r>
    </w:p>
    <w:p w14:paraId="7F8C833F" w14:textId="77777777" w:rsidR="00FE1364" w:rsidRPr="00953EC6" w:rsidRDefault="00FE1364" w:rsidP="00FE1364">
      <w:pPr>
        <w:pStyle w:val="Tableformat"/>
        <w:numPr>
          <w:ilvl w:val="0"/>
          <w:numId w:val="15"/>
        </w:numPr>
        <w:rPr>
          <w:iCs w:val="0"/>
          <w:color w:val="auto"/>
          <w:sz w:val="22"/>
          <w:szCs w:val="22"/>
        </w:rPr>
      </w:pPr>
      <w:r w:rsidRPr="00953EC6">
        <w:rPr>
          <w:iCs w:val="0"/>
          <w:color w:val="auto"/>
          <w:sz w:val="22"/>
          <w:szCs w:val="22"/>
        </w:rPr>
        <w:t xml:space="preserve">provide centralised support and coordination of all public sector clinical trials within ACT, including development of streamlined mechanisms to enable New South Wales (NSW) residents to participate in ACT based trials; </w:t>
      </w:r>
    </w:p>
    <w:p w14:paraId="4C93FF19" w14:textId="77777777" w:rsidR="00FE1364" w:rsidRPr="00953EC6" w:rsidRDefault="00FE1364" w:rsidP="00FE1364">
      <w:pPr>
        <w:pStyle w:val="Tableformat"/>
        <w:numPr>
          <w:ilvl w:val="0"/>
          <w:numId w:val="15"/>
        </w:numPr>
        <w:rPr>
          <w:iCs w:val="0"/>
          <w:color w:val="auto"/>
          <w:sz w:val="22"/>
          <w:szCs w:val="22"/>
        </w:rPr>
      </w:pPr>
      <w:r w:rsidRPr="00953EC6">
        <w:rPr>
          <w:iCs w:val="0"/>
          <w:color w:val="auto"/>
          <w:sz w:val="22"/>
          <w:szCs w:val="22"/>
        </w:rPr>
        <w:t>develop and implement an innovative Information and Communication Technology (ICT) platform that will enhance clinical trial data and recruitment capability, and support efficient translation of research outcomes into practice improvement; and</w:t>
      </w:r>
    </w:p>
    <w:p w14:paraId="64AE3B9F" w14:textId="77777777" w:rsidR="00FE1364" w:rsidRPr="00953EC6" w:rsidRDefault="00FE1364" w:rsidP="00FE1364">
      <w:pPr>
        <w:pStyle w:val="Tableformat"/>
        <w:numPr>
          <w:ilvl w:val="0"/>
          <w:numId w:val="15"/>
        </w:numPr>
        <w:rPr>
          <w:iCs w:val="0"/>
          <w:color w:val="auto"/>
          <w:sz w:val="22"/>
          <w:szCs w:val="22"/>
        </w:rPr>
      </w:pPr>
      <w:r w:rsidRPr="00953EC6">
        <w:rPr>
          <w:color w:val="auto"/>
          <w:sz w:val="22"/>
          <w:szCs w:val="22"/>
        </w:rPr>
        <w:t>introduce a research mentorship program for new and early career researchers to enhance capability and research activity within ACT.</w:t>
      </w:r>
    </w:p>
    <w:p w14:paraId="0B321EED" w14:textId="77777777" w:rsidR="00FE1364" w:rsidRDefault="00FE1364" w:rsidP="00FE1364">
      <w: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07"/>
        <w:gridCol w:w="7807"/>
        <w:gridCol w:w="1928"/>
        <w:gridCol w:w="1698"/>
      </w:tblGrid>
      <w:tr w:rsidR="00FE1364" w:rsidRPr="00953EC6" w14:paraId="52B78666" w14:textId="77777777" w:rsidTr="00334D6C">
        <w:tc>
          <w:tcPr>
            <w:tcW w:w="14550" w:type="dxa"/>
            <w:gridSpan w:val="4"/>
            <w:shd w:val="clear" w:color="auto" w:fill="DEEAF6" w:themeFill="accent1" w:themeFillTint="33"/>
          </w:tcPr>
          <w:p w14:paraId="1CD92D9C" w14:textId="77777777" w:rsidR="00FE1364" w:rsidRPr="00953EC6" w:rsidRDefault="00FE1364" w:rsidP="00334D6C">
            <w:pPr>
              <w:pStyle w:val="Tableformat"/>
              <w:rPr>
                <w:b/>
                <w:color w:val="auto"/>
              </w:rPr>
            </w:pPr>
            <w:r w:rsidRPr="00953EC6">
              <w:rPr>
                <w:b/>
                <w:color w:val="auto"/>
              </w:rPr>
              <w:t>Table 2H: Northern Territory – Performance requirements, reporting and payment summary</w:t>
            </w:r>
          </w:p>
        </w:tc>
      </w:tr>
      <w:tr w:rsidR="00FE1364" w:rsidRPr="00953EC6" w14:paraId="36505E7B" w14:textId="77777777" w:rsidTr="00334D6C">
        <w:tc>
          <w:tcPr>
            <w:tcW w:w="3109" w:type="dxa"/>
            <w:vMerge w:val="restart"/>
            <w:shd w:val="clear" w:color="auto" w:fill="F2F2F2" w:themeFill="background1" w:themeFillShade="F2"/>
          </w:tcPr>
          <w:p w14:paraId="65ABD0E4" w14:textId="77777777" w:rsidR="00FE1364" w:rsidRPr="00953EC6" w:rsidRDefault="00FE1364" w:rsidP="00334D6C">
            <w:pPr>
              <w:pStyle w:val="Tableformat"/>
              <w:rPr>
                <w:b/>
                <w:color w:val="auto"/>
              </w:rPr>
            </w:pPr>
            <w:r w:rsidRPr="00953EC6">
              <w:rPr>
                <w:b/>
                <w:color w:val="auto"/>
              </w:rPr>
              <w:t>Output</w:t>
            </w:r>
          </w:p>
          <w:p w14:paraId="0B79B2DE" w14:textId="77777777" w:rsidR="00FE1364" w:rsidRPr="00953EC6" w:rsidRDefault="00FE1364" w:rsidP="00334D6C">
            <w:pPr>
              <w:pStyle w:val="Tableformat"/>
              <w:rPr>
                <w:b/>
                <w:color w:val="auto"/>
              </w:rPr>
            </w:pPr>
          </w:p>
        </w:tc>
        <w:tc>
          <w:tcPr>
            <w:tcW w:w="7813" w:type="dxa"/>
            <w:shd w:val="clear" w:color="auto" w:fill="F2F2F2" w:themeFill="background1" w:themeFillShade="F2"/>
          </w:tcPr>
          <w:p w14:paraId="56CFA1AC" w14:textId="77777777" w:rsidR="00FE1364" w:rsidRPr="00953EC6" w:rsidRDefault="00FE1364" w:rsidP="00334D6C">
            <w:pPr>
              <w:pStyle w:val="Tableformat"/>
              <w:rPr>
                <w:b/>
                <w:color w:val="auto"/>
              </w:rPr>
            </w:pPr>
            <w:r w:rsidRPr="00953EC6">
              <w:rPr>
                <w:b/>
                <w:color w:val="auto"/>
              </w:rPr>
              <w:t>Performance milestones</w:t>
            </w:r>
          </w:p>
        </w:tc>
        <w:tc>
          <w:tcPr>
            <w:tcW w:w="1929" w:type="dxa"/>
            <w:vMerge w:val="restart"/>
            <w:shd w:val="clear" w:color="auto" w:fill="F2F2F2" w:themeFill="background1" w:themeFillShade="F2"/>
          </w:tcPr>
          <w:p w14:paraId="767A3812" w14:textId="77777777" w:rsidR="00FE1364" w:rsidRPr="00953EC6" w:rsidRDefault="00FE1364" w:rsidP="00334D6C">
            <w:pPr>
              <w:pStyle w:val="Tableformat"/>
              <w:rPr>
                <w:b/>
                <w:color w:val="auto"/>
              </w:rPr>
            </w:pPr>
            <w:r w:rsidRPr="00953EC6">
              <w:rPr>
                <w:b/>
                <w:color w:val="auto"/>
              </w:rPr>
              <w:t>Report due</w:t>
            </w:r>
          </w:p>
        </w:tc>
        <w:tc>
          <w:tcPr>
            <w:tcW w:w="1699" w:type="dxa"/>
            <w:vMerge w:val="restart"/>
            <w:shd w:val="clear" w:color="auto" w:fill="F2F2F2" w:themeFill="background1" w:themeFillShade="F2"/>
          </w:tcPr>
          <w:p w14:paraId="49C5FCA8" w14:textId="77777777" w:rsidR="00FE1364" w:rsidRPr="00953EC6" w:rsidRDefault="00FE1364" w:rsidP="00334D6C">
            <w:pPr>
              <w:pStyle w:val="Tableformat"/>
              <w:rPr>
                <w:b/>
                <w:color w:val="auto"/>
              </w:rPr>
            </w:pPr>
            <w:r w:rsidRPr="00953EC6">
              <w:rPr>
                <w:b/>
                <w:color w:val="auto"/>
              </w:rPr>
              <w:t>Payment</w:t>
            </w:r>
          </w:p>
          <w:p w14:paraId="4B7A8515" w14:textId="77777777" w:rsidR="00FE1364" w:rsidRPr="00953EC6" w:rsidRDefault="00FE1364" w:rsidP="00334D6C">
            <w:pPr>
              <w:pStyle w:val="Tableformat"/>
              <w:rPr>
                <w:b/>
                <w:color w:val="auto"/>
              </w:rPr>
            </w:pPr>
          </w:p>
        </w:tc>
      </w:tr>
      <w:tr w:rsidR="00FE1364" w:rsidRPr="00953EC6" w14:paraId="2D11739B" w14:textId="77777777" w:rsidTr="00334D6C">
        <w:tc>
          <w:tcPr>
            <w:tcW w:w="3109" w:type="dxa"/>
            <w:vMerge/>
            <w:shd w:val="clear" w:color="auto" w:fill="F2F2F2" w:themeFill="background1" w:themeFillShade="F2"/>
          </w:tcPr>
          <w:p w14:paraId="44456515" w14:textId="77777777" w:rsidR="00FE1364" w:rsidRPr="00953EC6" w:rsidRDefault="00FE1364" w:rsidP="00334D6C">
            <w:pPr>
              <w:pStyle w:val="Tableformat"/>
              <w:rPr>
                <w:b/>
                <w:color w:val="auto"/>
              </w:rPr>
            </w:pPr>
          </w:p>
        </w:tc>
        <w:tc>
          <w:tcPr>
            <w:tcW w:w="7813" w:type="dxa"/>
            <w:shd w:val="clear" w:color="auto" w:fill="F2F2F2" w:themeFill="background1" w:themeFillShade="F2"/>
          </w:tcPr>
          <w:p w14:paraId="3543ACA6" w14:textId="77777777" w:rsidR="00FE1364" w:rsidRPr="00953EC6" w:rsidRDefault="00FE1364" w:rsidP="00334D6C">
            <w:pPr>
              <w:pStyle w:val="Tableformat"/>
              <w:rPr>
                <w:b/>
                <w:color w:val="auto"/>
              </w:rPr>
            </w:pPr>
            <w:r w:rsidRPr="00953EC6">
              <w:rPr>
                <w:b/>
                <w:color w:val="auto"/>
                <w:sz w:val="23"/>
                <w:szCs w:val="23"/>
              </w:rPr>
              <w:t>2020-21</w:t>
            </w:r>
          </w:p>
        </w:tc>
        <w:tc>
          <w:tcPr>
            <w:tcW w:w="1929" w:type="dxa"/>
            <w:vMerge/>
            <w:shd w:val="clear" w:color="auto" w:fill="F2F2F2" w:themeFill="background1" w:themeFillShade="F2"/>
          </w:tcPr>
          <w:p w14:paraId="004323DE" w14:textId="77777777" w:rsidR="00FE1364" w:rsidRPr="00953EC6" w:rsidRDefault="00FE1364" w:rsidP="00334D6C">
            <w:pPr>
              <w:pStyle w:val="Tableformat"/>
              <w:rPr>
                <w:b/>
                <w:color w:val="auto"/>
              </w:rPr>
            </w:pPr>
          </w:p>
        </w:tc>
        <w:tc>
          <w:tcPr>
            <w:tcW w:w="1699" w:type="dxa"/>
            <w:vMerge/>
            <w:shd w:val="clear" w:color="auto" w:fill="F2F2F2" w:themeFill="background1" w:themeFillShade="F2"/>
          </w:tcPr>
          <w:p w14:paraId="2AC39AAC" w14:textId="77777777" w:rsidR="00FE1364" w:rsidRPr="00953EC6" w:rsidRDefault="00FE1364" w:rsidP="00334D6C">
            <w:pPr>
              <w:pStyle w:val="Tableformat"/>
              <w:rPr>
                <w:b/>
                <w:color w:val="auto"/>
              </w:rPr>
            </w:pPr>
          </w:p>
        </w:tc>
      </w:tr>
      <w:tr w:rsidR="00FE1364" w:rsidRPr="00953EC6" w14:paraId="30033110" w14:textId="77777777" w:rsidTr="00334D6C">
        <w:tc>
          <w:tcPr>
            <w:tcW w:w="3109" w:type="dxa"/>
            <w:tcBorders>
              <w:top w:val="single" w:sz="8" w:space="0" w:color="4F81BD"/>
              <w:left w:val="single" w:sz="8" w:space="0" w:color="4F81BD"/>
              <w:bottom w:val="single" w:sz="8" w:space="0" w:color="4F81BD"/>
              <w:right w:val="single" w:sz="8" w:space="0" w:color="4F81BD"/>
            </w:tcBorders>
          </w:tcPr>
          <w:p w14:paraId="118CCF3D" w14:textId="77777777" w:rsidR="00FE1364" w:rsidRPr="00953EC6" w:rsidRDefault="00FE1364" w:rsidP="00334D6C">
            <w:pPr>
              <w:pStyle w:val="Milestonetable"/>
              <w:rPr>
                <w:bCs/>
                <w:color w:val="auto"/>
              </w:rPr>
            </w:pPr>
            <w:r w:rsidRPr="00953EC6">
              <w:rPr>
                <w:color w:val="auto"/>
              </w:rPr>
              <w:t>Establishing new and enhanced central coordination units or equivalent in accordance with the Council of Australian Governments Health Council Revitalised Clinical Trials Agenda.</w:t>
            </w:r>
          </w:p>
        </w:tc>
        <w:tc>
          <w:tcPr>
            <w:tcW w:w="7813" w:type="dxa"/>
            <w:tcBorders>
              <w:top w:val="single" w:sz="8" w:space="0" w:color="4F81BD"/>
              <w:left w:val="single" w:sz="8" w:space="0" w:color="4F81BD"/>
              <w:bottom w:val="single" w:sz="8" w:space="0" w:color="4F81BD"/>
              <w:right w:val="single" w:sz="8" w:space="0" w:color="4F81BD"/>
            </w:tcBorders>
            <w:shd w:val="clear" w:color="auto" w:fill="auto"/>
          </w:tcPr>
          <w:p w14:paraId="61F7070A" w14:textId="77777777" w:rsidR="00FE1364" w:rsidRPr="00953EC6" w:rsidRDefault="00FE1364" w:rsidP="00334D6C">
            <w:pPr>
              <w:pStyle w:val="Milestonetable"/>
              <w:rPr>
                <w:bCs/>
                <w:color w:val="auto"/>
              </w:rPr>
            </w:pPr>
            <w:r w:rsidRPr="00953EC6">
              <w:rPr>
                <w:bCs/>
                <w:color w:val="auto"/>
              </w:rPr>
              <w:t>Complete a NT research needs assessment (including translational research), aligned with strategic priorities of the NT Department of Health and two Health Services.</w:t>
            </w:r>
          </w:p>
          <w:p w14:paraId="5CD5E718" w14:textId="77777777" w:rsidR="00FE1364" w:rsidRPr="00953EC6" w:rsidRDefault="00FE1364" w:rsidP="00334D6C">
            <w:pPr>
              <w:pStyle w:val="Milestonetable"/>
              <w:rPr>
                <w:bCs/>
                <w:color w:val="auto"/>
              </w:rPr>
            </w:pPr>
            <w:r w:rsidRPr="00953EC6">
              <w:rPr>
                <w:bCs/>
                <w:color w:val="auto"/>
              </w:rPr>
              <w:t>Complete monitoring and evaluation activities to identify impact, effectiveness of, and revisions to, the Northern Territory Clinical Trials Coordination Unit (NTCTCU), including coordination of the clinical trial pathway.</w:t>
            </w:r>
          </w:p>
        </w:tc>
        <w:tc>
          <w:tcPr>
            <w:tcW w:w="1929" w:type="dxa"/>
            <w:vMerge w:val="restart"/>
            <w:tcBorders>
              <w:top w:val="single" w:sz="8" w:space="0" w:color="4F81BD"/>
              <w:left w:val="single" w:sz="8" w:space="0" w:color="4F81BD"/>
              <w:right w:val="single" w:sz="8" w:space="0" w:color="4F81BD"/>
            </w:tcBorders>
            <w:shd w:val="clear" w:color="auto" w:fill="auto"/>
          </w:tcPr>
          <w:p w14:paraId="150F631B" w14:textId="77777777" w:rsidR="00FE1364" w:rsidRPr="00953EC6" w:rsidRDefault="00FE1364" w:rsidP="00334D6C">
            <w:pPr>
              <w:pStyle w:val="Milestonetable"/>
              <w:rPr>
                <w:color w:val="auto"/>
              </w:rPr>
            </w:pPr>
            <w:r w:rsidRPr="00953EC6">
              <w:rPr>
                <w:color w:val="auto"/>
              </w:rPr>
              <w:t>30 April 2021</w:t>
            </w:r>
          </w:p>
        </w:tc>
        <w:tc>
          <w:tcPr>
            <w:tcW w:w="1699" w:type="dxa"/>
            <w:vMerge w:val="restart"/>
            <w:tcBorders>
              <w:top w:val="single" w:sz="8" w:space="0" w:color="4F81BD"/>
              <w:left w:val="single" w:sz="8" w:space="0" w:color="4F81BD"/>
              <w:right w:val="single" w:sz="8" w:space="0" w:color="4F81BD"/>
            </w:tcBorders>
            <w:shd w:val="clear" w:color="auto" w:fill="auto"/>
          </w:tcPr>
          <w:p w14:paraId="0A59BF0E" w14:textId="77777777" w:rsidR="00FE1364" w:rsidRPr="00953EC6" w:rsidRDefault="00FE1364" w:rsidP="00334D6C">
            <w:pPr>
              <w:pStyle w:val="Milestonetable"/>
              <w:rPr>
                <w:color w:val="auto"/>
              </w:rPr>
            </w:pPr>
            <w:r w:rsidRPr="00953EC6">
              <w:rPr>
                <w:color w:val="auto"/>
              </w:rPr>
              <w:t>$144,553</w:t>
            </w:r>
          </w:p>
        </w:tc>
      </w:tr>
      <w:tr w:rsidR="00FE1364" w:rsidRPr="00953EC6" w14:paraId="06399046" w14:textId="77777777" w:rsidTr="00334D6C">
        <w:tc>
          <w:tcPr>
            <w:tcW w:w="3109" w:type="dxa"/>
            <w:tcBorders>
              <w:top w:val="single" w:sz="8" w:space="0" w:color="4F81BD"/>
              <w:left w:val="single" w:sz="8" w:space="0" w:color="4F81BD"/>
              <w:bottom w:val="single" w:sz="8" w:space="0" w:color="4F81BD"/>
              <w:right w:val="single" w:sz="8" w:space="0" w:color="4F81BD"/>
            </w:tcBorders>
          </w:tcPr>
          <w:p w14:paraId="057DF667" w14:textId="77777777" w:rsidR="00FE1364" w:rsidRPr="00953EC6" w:rsidRDefault="00FE1364" w:rsidP="00334D6C">
            <w:pPr>
              <w:pStyle w:val="Milestonetable"/>
              <w:rPr>
                <w:bCs/>
                <w:color w:val="auto"/>
              </w:rPr>
            </w:pPr>
            <w:r w:rsidRPr="00953EC6">
              <w:rPr>
                <w:color w:val="auto"/>
              </w:rPr>
              <w:t>Implementing new and enhanced clinical trial data collection and reporting to inform systems improvement with interoperability and data flow capability, and contribute to better sector knowledge, recruitment and overall sector performance, including through continued implementation and expansion of metrics and ongoing submission of data to the national data collection under the Framework for National Aggregate Statistics (NAS).</w:t>
            </w:r>
          </w:p>
        </w:tc>
        <w:tc>
          <w:tcPr>
            <w:tcW w:w="7813" w:type="dxa"/>
            <w:tcBorders>
              <w:top w:val="single" w:sz="8" w:space="0" w:color="4F81BD"/>
              <w:left w:val="single" w:sz="8" w:space="0" w:color="4F81BD"/>
              <w:bottom w:val="single" w:sz="8" w:space="0" w:color="4F81BD"/>
              <w:right w:val="single" w:sz="8" w:space="0" w:color="4F81BD"/>
            </w:tcBorders>
            <w:shd w:val="clear" w:color="auto" w:fill="auto"/>
          </w:tcPr>
          <w:p w14:paraId="4C627AC0" w14:textId="77777777" w:rsidR="00FE1364" w:rsidRPr="00953EC6" w:rsidRDefault="00FE1364" w:rsidP="00334D6C">
            <w:pPr>
              <w:pStyle w:val="Milestonetable"/>
              <w:rPr>
                <w:bCs/>
                <w:color w:val="auto"/>
              </w:rPr>
            </w:pPr>
            <w:r w:rsidRPr="00953EC6">
              <w:rPr>
                <w:bCs/>
                <w:color w:val="auto"/>
              </w:rPr>
              <w:t>Full contribution of data to the expanded NAS 2020-21, as agreed by the Clinical Trials  Project Reference Group (CTPRG).</w:t>
            </w:r>
          </w:p>
          <w:p w14:paraId="790BED77" w14:textId="77777777" w:rsidR="00FE1364" w:rsidRPr="00953EC6" w:rsidRDefault="00FE1364" w:rsidP="00334D6C">
            <w:pPr>
              <w:pStyle w:val="Milestonetable"/>
              <w:rPr>
                <w:bCs/>
                <w:color w:val="auto"/>
              </w:rPr>
            </w:pPr>
            <w:r w:rsidRPr="00953EC6">
              <w:rPr>
                <w:bCs/>
                <w:color w:val="auto"/>
              </w:rPr>
              <w:t>Capture data on recruitment as a proportion of all eligible patients.</w:t>
            </w:r>
          </w:p>
        </w:tc>
        <w:tc>
          <w:tcPr>
            <w:tcW w:w="1929" w:type="dxa"/>
            <w:vMerge/>
            <w:tcBorders>
              <w:left w:val="single" w:sz="8" w:space="0" w:color="4F81BD"/>
              <w:right w:val="single" w:sz="8" w:space="0" w:color="4F81BD"/>
            </w:tcBorders>
            <w:shd w:val="clear" w:color="auto" w:fill="auto"/>
          </w:tcPr>
          <w:p w14:paraId="59A1E6A4" w14:textId="77777777" w:rsidR="00FE1364" w:rsidRPr="00953EC6" w:rsidRDefault="00FE1364" w:rsidP="00334D6C">
            <w:pPr>
              <w:pStyle w:val="Milestonetable"/>
              <w:rPr>
                <w:color w:val="auto"/>
              </w:rPr>
            </w:pPr>
          </w:p>
        </w:tc>
        <w:tc>
          <w:tcPr>
            <w:tcW w:w="1699" w:type="dxa"/>
            <w:vMerge/>
            <w:tcBorders>
              <w:left w:val="single" w:sz="8" w:space="0" w:color="4F81BD"/>
              <w:right w:val="single" w:sz="8" w:space="0" w:color="4F81BD"/>
            </w:tcBorders>
            <w:shd w:val="clear" w:color="auto" w:fill="auto"/>
          </w:tcPr>
          <w:p w14:paraId="3319F786" w14:textId="77777777" w:rsidR="00FE1364" w:rsidRPr="00953EC6" w:rsidRDefault="00FE1364" w:rsidP="00334D6C">
            <w:pPr>
              <w:pStyle w:val="Milestonetable"/>
              <w:jc w:val="right"/>
              <w:rPr>
                <w:color w:val="auto"/>
              </w:rPr>
            </w:pPr>
          </w:p>
        </w:tc>
      </w:tr>
      <w:tr w:rsidR="00FE1364" w:rsidRPr="00953EC6" w14:paraId="28F8B22F" w14:textId="77777777" w:rsidTr="00334D6C">
        <w:trPr>
          <w:trHeight w:val="633"/>
        </w:trPr>
        <w:tc>
          <w:tcPr>
            <w:tcW w:w="3109" w:type="dxa"/>
            <w:tcBorders>
              <w:top w:val="single" w:sz="8" w:space="0" w:color="4F81BD"/>
              <w:left w:val="single" w:sz="8" w:space="0" w:color="4F81BD"/>
              <w:bottom w:val="single" w:sz="8" w:space="0" w:color="4F81BD"/>
              <w:right w:val="single" w:sz="8" w:space="0" w:color="4F81BD"/>
            </w:tcBorders>
          </w:tcPr>
          <w:p w14:paraId="69607092" w14:textId="77777777" w:rsidR="00FE1364" w:rsidRPr="00953EC6" w:rsidRDefault="00FE1364" w:rsidP="00334D6C">
            <w:pPr>
              <w:pStyle w:val="Milestonetable"/>
              <w:rPr>
                <w:bCs/>
                <w:color w:val="auto"/>
              </w:rPr>
            </w:pPr>
            <w:r w:rsidRPr="00953EC6">
              <w:rPr>
                <w:bCs/>
                <w:color w:val="auto"/>
              </w:rPr>
              <w:t>E</w:t>
            </w:r>
            <w:r w:rsidRPr="00953EC6">
              <w:rPr>
                <w:color w:val="auto"/>
              </w:rPr>
              <w:t>stablishing and maintaining new networks and partnerships within and between jurisdictions, clinical trial networks, communities of practice (eg. oncology, working with ATSI groups) and registries.</w:t>
            </w:r>
          </w:p>
        </w:tc>
        <w:tc>
          <w:tcPr>
            <w:tcW w:w="7813" w:type="dxa"/>
            <w:tcBorders>
              <w:top w:val="single" w:sz="8" w:space="0" w:color="4F81BD"/>
              <w:left w:val="single" w:sz="8" w:space="0" w:color="4F81BD"/>
              <w:bottom w:val="single" w:sz="8" w:space="0" w:color="4F81BD"/>
              <w:right w:val="single" w:sz="8" w:space="0" w:color="4F81BD"/>
            </w:tcBorders>
            <w:shd w:val="clear" w:color="auto" w:fill="auto"/>
          </w:tcPr>
          <w:p w14:paraId="33CB7226" w14:textId="77777777" w:rsidR="00FE1364" w:rsidRPr="00953EC6" w:rsidRDefault="00FE1364" w:rsidP="00334D6C">
            <w:pPr>
              <w:pStyle w:val="Milestonetable"/>
              <w:rPr>
                <w:bCs/>
                <w:color w:val="auto"/>
              </w:rPr>
            </w:pPr>
            <w:r w:rsidRPr="00953EC6">
              <w:rPr>
                <w:bCs/>
                <w:color w:val="auto"/>
              </w:rPr>
              <w:t>Finalise agreement between NT, Queensland and Western Australia to attract and support Northern Australian clinical trials that seek to address public health priorities and areas of significant disease burden that contribute to the continuing gap in life expectancy between non-Indigenous and Indigenous Australians.</w:t>
            </w:r>
          </w:p>
          <w:p w14:paraId="1EE6DEDE" w14:textId="77777777" w:rsidR="00FE1364" w:rsidRPr="00953EC6" w:rsidRDefault="00FE1364" w:rsidP="00334D6C">
            <w:pPr>
              <w:pStyle w:val="Milestonetable"/>
              <w:rPr>
                <w:bCs/>
                <w:color w:val="auto"/>
              </w:rPr>
            </w:pPr>
            <w:r w:rsidRPr="00953EC6">
              <w:rPr>
                <w:bCs/>
                <w:color w:val="auto"/>
              </w:rPr>
              <w:t>Completion of NTCTCU’s NT research needs assessment and evaluation, with recommendations for sustainable research structures that meet population needs.</w:t>
            </w:r>
          </w:p>
        </w:tc>
        <w:tc>
          <w:tcPr>
            <w:tcW w:w="1929" w:type="dxa"/>
            <w:vMerge/>
            <w:tcBorders>
              <w:left w:val="single" w:sz="8" w:space="0" w:color="4F81BD"/>
              <w:right w:val="single" w:sz="8" w:space="0" w:color="4F81BD"/>
            </w:tcBorders>
            <w:shd w:val="clear" w:color="auto" w:fill="auto"/>
          </w:tcPr>
          <w:p w14:paraId="1A00B3EE" w14:textId="77777777" w:rsidR="00FE1364" w:rsidRPr="00953EC6" w:rsidRDefault="00FE1364" w:rsidP="00334D6C">
            <w:pPr>
              <w:pStyle w:val="Milestonetable"/>
              <w:rPr>
                <w:color w:val="auto"/>
              </w:rPr>
            </w:pPr>
          </w:p>
        </w:tc>
        <w:tc>
          <w:tcPr>
            <w:tcW w:w="1699" w:type="dxa"/>
            <w:vMerge/>
            <w:tcBorders>
              <w:left w:val="single" w:sz="8" w:space="0" w:color="4F81BD"/>
              <w:right w:val="single" w:sz="8" w:space="0" w:color="4F81BD"/>
            </w:tcBorders>
            <w:shd w:val="clear" w:color="auto" w:fill="auto"/>
          </w:tcPr>
          <w:p w14:paraId="28037DAA" w14:textId="77777777" w:rsidR="00FE1364" w:rsidRPr="00953EC6" w:rsidRDefault="00FE1364" w:rsidP="00334D6C">
            <w:pPr>
              <w:pStyle w:val="Milestonetable"/>
              <w:jc w:val="right"/>
              <w:rPr>
                <w:color w:val="auto"/>
              </w:rPr>
            </w:pPr>
          </w:p>
        </w:tc>
      </w:tr>
      <w:tr w:rsidR="00FE1364" w:rsidRPr="00953EC6" w14:paraId="2F9D7687" w14:textId="77777777" w:rsidTr="00334D6C">
        <w:trPr>
          <w:trHeight w:val="546"/>
        </w:trPr>
        <w:tc>
          <w:tcPr>
            <w:tcW w:w="3109" w:type="dxa"/>
            <w:tcBorders>
              <w:top w:val="single" w:sz="8" w:space="0" w:color="4F81BD"/>
              <w:left w:val="single" w:sz="8" w:space="0" w:color="4F81BD"/>
              <w:right w:val="single" w:sz="8" w:space="0" w:color="4F81BD"/>
            </w:tcBorders>
          </w:tcPr>
          <w:p w14:paraId="67D87D3A" w14:textId="77777777" w:rsidR="00FE1364" w:rsidRPr="00953EC6" w:rsidRDefault="00FE1364" w:rsidP="00334D6C">
            <w:pPr>
              <w:pStyle w:val="Milestonetable"/>
              <w:rPr>
                <w:bCs/>
                <w:color w:val="auto"/>
              </w:rPr>
            </w:pPr>
            <w:r w:rsidRPr="00953EC6">
              <w:rPr>
                <w:color w:val="auto"/>
              </w:rPr>
              <w:t>Embedding research and clinical trials processes into core hospital governance arrangements.</w:t>
            </w:r>
          </w:p>
        </w:tc>
        <w:tc>
          <w:tcPr>
            <w:tcW w:w="7813" w:type="dxa"/>
            <w:tcBorders>
              <w:top w:val="single" w:sz="8" w:space="0" w:color="4F81BD"/>
              <w:left w:val="single" w:sz="8" w:space="0" w:color="4F81BD"/>
              <w:right w:val="single" w:sz="8" w:space="0" w:color="4F81BD"/>
            </w:tcBorders>
            <w:shd w:val="clear" w:color="auto" w:fill="auto"/>
          </w:tcPr>
          <w:p w14:paraId="77491733" w14:textId="77777777" w:rsidR="00FE1364" w:rsidRPr="00953EC6" w:rsidRDefault="00FE1364" w:rsidP="00334D6C">
            <w:pPr>
              <w:pStyle w:val="Milestonetable"/>
              <w:rPr>
                <w:bCs/>
                <w:color w:val="auto"/>
              </w:rPr>
            </w:pPr>
            <w:r w:rsidRPr="00953EC6">
              <w:rPr>
                <w:bCs/>
                <w:color w:val="auto"/>
              </w:rPr>
              <w:t xml:space="preserve">Active engagement with CTPRG, Commonwealth and </w:t>
            </w:r>
            <w:r w:rsidRPr="00953EC6">
              <w:rPr>
                <w:color w:val="auto"/>
              </w:rPr>
              <w:t xml:space="preserve">Australian Commission on Safety and Quality in Health Care (ACSQHC) </w:t>
            </w:r>
            <w:r w:rsidRPr="00953EC6">
              <w:rPr>
                <w:bCs/>
                <w:color w:val="auto"/>
              </w:rPr>
              <w:t>to implement the national Clinical Trials Governance Framework.</w:t>
            </w:r>
          </w:p>
        </w:tc>
        <w:tc>
          <w:tcPr>
            <w:tcW w:w="1929" w:type="dxa"/>
            <w:vMerge/>
            <w:tcBorders>
              <w:left w:val="single" w:sz="8" w:space="0" w:color="4F81BD"/>
              <w:right w:val="single" w:sz="8" w:space="0" w:color="4F81BD"/>
            </w:tcBorders>
            <w:shd w:val="clear" w:color="auto" w:fill="auto"/>
          </w:tcPr>
          <w:p w14:paraId="4A0BE667" w14:textId="77777777" w:rsidR="00FE1364" w:rsidRPr="00953EC6" w:rsidRDefault="00FE1364" w:rsidP="00334D6C">
            <w:pPr>
              <w:pStyle w:val="Milestonetable"/>
              <w:rPr>
                <w:color w:val="auto"/>
              </w:rPr>
            </w:pPr>
          </w:p>
        </w:tc>
        <w:tc>
          <w:tcPr>
            <w:tcW w:w="1699" w:type="dxa"/>
            <w:vMerge/>
            <w:tcBorders>
              <w:left w:val="single" w:sz="8" w:space="0" w:color="4F81BD"/>
              <w:right w:val="single" w:sz="8" w:space="0" w:color="4F81BD"/>
            </w:tcBorders>
            <w:shd w:val="clear" w:color="auto" w:fill="auto"/>
          </w:tcPr>
          <w:p w14:paraId="4592E664" w14:textId="77777777" w:rsidR="00FE1364" w:rsidRPr="00953EC6" w:rsidRDefault="00FE1364" w:rsidP="00334D6C">
            <w:pPr>
              <w:pStyle w:val="Milestonetable"/>
              <w:jc w:val="right"/>
              <w:rPr>
                <w:color w:val="auto"/>
              </w:rPr>
            </w:pPr>
          </w:p>
        </w:tc>
      </w:tr>
    </w:tbl>
    <w:p w14:paraId="46D8D79C" w14:textId="77777777" w:rsidR="00FE1364" w:rsidRDefault="00FE1364" w:rsidP="00FE1364">
      <w:pPr>
        <w:tabs>
          <w:tab w:val="left" w:pos="3865"/>
        </w:tabs>
      </w:pPr>
      <w:r w:rsidRPr="00A829E7">
        <w:t xml:space="preserve">This schedule was agreed by the </w:t>
      </w:r>
      <w:r>
        <w:t xml:space="preserve">Commonwealth </w:t>
      </w:r>
      <w:r w:rsidRPr="00A829E7">
        <w:t>and</w:t>
      </w:r>
      <w:r>
        <w:t xml:space="preserve"> the NT </w:t>
      </w:r>
      <w:r w:rsidRPr="00A829E7">
        <w:t>when the overarching National Partnership</w:t>
      </w:r>
      <w:r>
        <w:t xml:space="preserve"> was signed.</w:t>
      </w:r>
    </w:p>
    <w:p w14:paraId="07D448DA" w14:textId="77777777" w:rsidR="00FE1364" w:rsidRDefault="00FE1364" w:rsidP="00FE1364">
      <w:pPr>
        <w:tabs>
          <w:tab w:val="left" w:pos="3865"/>
        </w:tabs>
      </w:pPr>
    </w:p>
    <w:p w14:paraId="75FB8A1D" w14:textId="77777777" w:rsidR="00FE1364" w:rsidRPr="00953EC6" w:rsidRDefault="00FE1364" w:rsidP="00FE1364">
      <w:pPr>
        <w:tabs>
          <w:tab w:val="left" w:pos="3865"/>
        </w:tabs>
        <w:rPr>
          <w:b/>
        </w:rPr>
      </w:pPr>
      <w:r w:rsidRPr="00953EC6">
        <w:rPr>
          <w:b/>
        </w:rPr>
        <w:t>The Northern Territory Project Plan summary</w:t>
      </w:r>
    </w:p>
    <w:p w14:paraId="4DEE8035" w14:textId="77777777" w:rsidR="00FE1364" w:rsidRPr="00953EC6" w:rsidRDefault="00FE1364" w:rsidP="00FE1364">
      <w:pPr>
        <w:pStyle w:val="Tableformat"/>
        <w:rPr>
          <w:iCs w:val="0"/>
          <w:color w:val="auto"/>
          <w:sz w:val="22"/>
          <w:szCs w:val="22"/>
        </w:rPr>
      </w:pPr>
      <w:r w:rsidRPr="00953EC6">
        <w:rPr>
          <w:iCs w:val="0"/>
          <w:color w:val="auto"/>
          <w:sz w:val="22"/>
          <w:szCs w:val="22"/>
        </w:rPr>
        <w:t>Northern Territory will consolidate and expand existing functions to establish a central point of contact (unit) for clinical trial sponsors, researchers, coordinators and participants that will:</w:t>
      </w:r>
    </w:p>
    <w:p w14:paraId="51B94CE4" w14:textId="77777777" w:rsidR="00FE1364" w:rsidRPr="00953EC6" w:rsidRDefault="00FE1364" w:rsidP="00FE1364">
      <w:pPr>
        <w:pStyle w:val="Tableformat"/>
        <w:numPr>
          <w:ilvl w:val="0"/>
          <w:numId w:val="16"/>
        </w:numPr>
        <w:rPr>
          <w:iCs w:val="0"/>
          <w:color w:val="auto"/>
          <w:sz w:val="22"/>
          <w:szCs w:val="22"/>
        </w:rPr>
      </w:pPr>
      <w:r w:rsidRPr="00953EC6">
        <w:rPr>
          <w:iCs w:val="0"/>
          <w:color w:val="auto"/>
          <w:sz w:val="22"/>
          <w:szCs w:val="22"/>
        </w:rPr>
        <w:t xml:space="preserve">provide a single point of application for research ethics and site specific approvals; </w:t>
      </w:r>
    </w:p>
    <w:p w14:paraId="4CC7A649" w14:textId="77777777" w:rsidR="00FE1364" w:rsidRPr="00953EC6" w:rsidRDefault="00FE1364" w:rsidP="00FE1364">
      <w:pPr>
        <w:pStyle w:val="Tableformat"/>
        <w:numPr>
          <w:ilvl w:val="0"/>
          <w:numId w:val="16"/>
        </w:numPr>
        <w:rPr>
          <w:iCs w:val="0"/>
          <w:color w:val="auto"/>
          <w:sz w:val="22"/>
          <w:szCs w:val="22"/>
        </w:rPr>
      </w:pPr>
      <w:r w:rsidRPr="00953EC6">
        <w:rPr>
          <w:iCs w:val="0"/>
          <w:color w:val="auto"/>
          <w:sz w:val="22"/>
          <w:szCs w:val="22"/>
        </w:rPr>
        <w:t>provide a centralised source of advice and facilitate the introduction of standard operating procedures across all Northern Territory Department of Health sites, informed by strong Indigenous leadership, to support and encourage best practice and culturally appropriate research and recruitment, including for vulnerable populations;</w:t>
      </w:r>
    </w:p>
    <w:p w14:paraId="22432818" w14:textId="77777777" w:rsidR="00FE1364" w:rsidRPr="00953EC6" w:rsidRDefault="00FE1364" w:rsidP="00FE1364">
      <w:pPr>
        <w:pStyle w:val="Tableformat"/>
        <w:numPr>
          <w:ilvl w:val="0"/>
          <w:numId w:val="16"/>
        </w:numPr>
        <w:rPr>
          <w:iCs w:val="0"/>
          <w:color w:val="auto"/>
          <w:sz w:val="22"/>
          <w:szCs w:val="22"/>
        </w:rPr>
      </w:pPr>
      <w:r w:rsidRPr="00953EC6">
        <w:rPr>
          <w:iCs w:val="0"/>
          <w:color w:val="auto"/>
          <w:sz w:val="22"/>
          <w:szCs w:val="22"/>
        </w:rPr>
        <w:t>enhance clinical information systems and Information and Communication Technology (ICT) capability to assist clinical trial recruitment, and to facilitate NT participation in ongoing national reporting and streamlining activities; and</w:t>
      </w:r>
    </w:p>
    <w:p w14:paraId="0565F7F0" w14:textId="77777777" w:rsidR="00FE1364" w:rsidRPr="00953EC6" w:rsidRDefault="00FE1364" w:rsidP="00FE1364">
      <w:pPr>
        <w:pStyle w:val="Tableformat"/>
        <w:numPr>
          <w:ilvl w:val="0"/>
          <w:numId w:val="16"/>
        </w:numPr>
        <w:rPr>
          <w:iCs w:val="0"/>
          <w:color w:val="auto"/>
          <w:sz w:val="22"/>
          <w:szCs w:val="22"/>
        </w:rPr>
      </w:pPr>
      <w:r w:rsidRPr="00953EC6">
        <w:rPr>
          <w:color w:val="auto"/>
          <w:sz w:val="22"/>
          <w:szCs w:val="22"/>
        </w:rPr>
        <w:t>work with comparable units in Queensland and Western Australia to establish a formal partnership arrangement to attract and support Northern Australia clinical trials, drawing on existing expertise in key research institutions and national clinical trials networks to inform and encourage high-quality national and international trials.</w:t>
      </w:r>
    </w:p>
    <w:p w14:paraId="33E57626" w14:textId="77777777" w:rsidR="00FE1364" w:rsidRDefault="00FE1364" w:rsidP="00FE1364">
      <w:pPr>
        <w:widowControl/>
        <w:spacing w:after="160" w:line="259" w:lineRule="auto"/>
      </w:pPr>
    </w:p>
    <w:sectPr w:rsidR="00FE1364" w:rsidSect="00D255A1">
      <w:headerReference w:type="default" r:id="rId17"/>
      <w:pgSz w:w="16840" w:h="11910" w:orient="landscape"/>
      <w:pgMar w:top="1020" w:right="1400" w:bottom="1020" w:left="880" w:header="1170" w:footer="690" w:gutter="0"/>
      <w:pgNumType w:start="3"/>
      <w:cols w:space="2373"/>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C5B53" w14:textId="77777777" w:rsidR="00FE1364" w:rsidRDefault="00FE1364" w:rsidP="00FE1364">
      <w:r>
        <w:separator/>
      </w:r>
    </w:p>
  </w:endnote>
  <w:endnote w:type="continuationSeparator" w:id="0">
    <w:p w14:paraId="23091831" w14:textId="77777777" w:rsidR="00FE1364" w:rsidRDefault="00FE1364" w:rsidP="00FE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Zapf Dingbats"/>
    <w:panose1 w:val="00000000000000000000"/>
    <w:charset w:val="02"/>
    <w:family w:val="decorative"/>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366F0" w14:textId="77777777" w:rsidR="00FE1364" w:rsidRDefault="00FE1364">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76C15" w14:textId="77777777" w:rsidR="00FE1364" w:rsidRDefault="00FE1364" w:rsidP="00304C8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964137"/>
      <w:docPartObj>
        <w:docPartGallery w:val="Page Numbers (Bottom of Page)"/>
        <w:docPartUnique/>
      </w:docPartObj>
    </w:sdtPr>
    <w:sdtEndPr/>
    <w:sdtContent>
      <w:sdt>
        <w:sdtPr>
          <w:id w:val="-720443282"/>
          <w:docPartObj>
            <w:docPartGallery w:val="Page Numbers (Top of Page)"/>
            <w:docPartUnique/>
          </w:docPartObj>
        </w:sdtPr>
        <w:sdtEndPr/>
        <w:sdtContent>
          <w:p w14:paraId="6769BDB4" w14:textId="77777777" w:rsidR="00FE1364" w:rsidRPr="00CA24B0" w:rsidRDefault="00C23342" w:rsidP="00304C81">
            <w:pPr>
              <w:pStyle w:val="Footer"/>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AEE59" w14:textId="77777777" w:rsidR="00FE1364" w:rsidRDefault="00FE1364" w:rsidP="00FE1364">
      <w:r>
        <w:separator/>
      </w:r>
    </w:p>
  </w:footnote>
  <w:footnote w:type="continuationSeparator" w:id="0">
    <w:p w14:paraId="6326787D" w14:textId="77777777" w:rsidR="00FE1364" w:rsidRDefault="00FE1364" w:rsidP="00FE1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80D5B" w14:textId="77777777" w:rsidR="00FE1364" w:rsidRDefault="00FE13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79E59" w14:textId="77777777" w:rsidR="00C363D4" w:rsidRPr="00E82B87" w:rsidRDefault="00C23342" w:rsidP="00304C81">
    <w:pPr>
      <w:jc w:val="center"/>
      <w:rPr>
        <w:color w:val="FF0000"/>
      </w:rPr>
    </w:pPr>
  </w:p>
  <w:p w14:paraId="073272F5" w14:textId="77777777" w:rsidR="00C363D4" w:rsidRDefault="00C23342">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9B3"/>
    <w:multiLevelType w:val="hybridMultilevel"/>
    <w:tmpl w:val="3D1609BC"/>
    <w:lvl w:ilvl="0" w:tplc="4190A9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621274"/>
    <w:multiLevelType w:val="hybridMultilevel"/>
    <w:tmpl w:val="F15E34C6"/>
    <w:lvl w:ilvl="0" w:tplc="4190A9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85228B"/>
    <w:multiLevelType w:val="hybridMultilevel"/>
    <w:tmpl w:val="E264A4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303F5E"/>
    <w:multiLevelType w:val="hybridMultilevel"/>
    <w:tmpl w:val="3182A2C2"/>
    <w:lvl w:ilvl="0" w:tplc="8774DC8A">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4" w15:restartNumberingAfterBreak="0">
    <w:nsid w:val="13E850D5"/>
    <w:multiLevelType w:val="hybridMultilevel"/>
    <w:tmpl w:val="7682E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0A6350"/>
    <w:multiLevelType w:val="hybridMultilevel"/>
    <w:tmpl w:val="DBAAC236"/>
    <w:lvl w:ilvl="0" w:tplc="0682EC1C">
      <w:start w:val="1"/>
      <w:numFmt w:val="lowerLetter"/>
      <w:lvlText w:val="(%1)"/>
      <w:lvlJc w:val="left"/>
      <w:pPr>
        <w:ind w:left="720" w:hanging="360"/>
      </w:pPr>
      <w:rPr>
        <w:rFonts w:hint="default"/>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C25F7E"/>
    <w:multiLevelType w:val="hybridMultilevel"/>
    <w:tmpl w:val="76FC28A2"/>
    <w:lvl w:ilvl="0" w:tplc="3EC09768">
      <w:numFmt w:val="bullet"/>
      <w:lvlText w:val=""/>
      <w:lvlJc w:val="left"/>
      <w:pPr>
        <w:ind w:left="829" w:hanging="360"/>
      </w:pPr>
      <w:rPr>
        <w:rFonts w:ascii="Symbol" w:eastAsia="Corbel" w:hAnsi="Symbol" w:cs="Corbel" w:hint="default"/>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7" w15:restartNumberingAfterBreak="0">
    <w:nsid w:val="1B8E5A3B"/>
    <w:multiLevelType w:val="hybridMultilevel"/>
    <w:tmpl w:val="81D2C80A"/>
    <w:lvl w:ilvl="0" w:tplc="0C090019">
      <w:start w:val="1"/>
      <w:numFmt w:val="lowerLetter"/>
      <w:lvlText w:val="%1."/>
      <w:lvlJc w:val="left"/>
      <w:pPr>
        <w:ind w:left="832" w:hanging="360"/>
      </w:pPr>
    </w:lvl>
    <w:lvl w:ilvl="1" w:tplc="0C090019" w:tentative="1">
      <w:start w:val="1"/>
      <w:numFmt w:val="lowerLetter"/>
      <w:lvlText w:val="%2."/>
      <w:lvlJc w:val="left"/>
      <w:pPr>
        <w:ind w:left="1552" w:hanging="360"/>
      </w:pPr>
    </w:lvl>
    <w:lvl w:ilvl="2" w:tplc="0C09001B" w:tentative="1">
      <w:start w:val="1"/>
      <w:numFmt w:val="lowerRoman"/>
      <w:lvlText w:val="%3."/>
      <w:lvlJc w:val="right"/>
      <w:pPr>
        <w:ind w:left="2272" w:hanging="180"/>
      </w:pPr>
    </w:lvl>
    <w:lvl w:ilvl="3" w:tplc="0C09000F" w:tentative="1">
      <w:start w:val="1"/>
      <w:numFmt w:val="decimal"/>
      <w:lvlText w:val="%4."/>
      <w:lvlJc w:val="left"/>
      <w:pPr>
        <w:ind w:left="2992" w:hanging="360"/>
      </w:pPr>
    </w:lvl>
    <w:lvl w:ilvl="4" w:tplc="0C090019" w:tentative="1">
      <w:start w:val="1"/>
      <w:numFmt w:val="lowerLetter"/>
      <w:lvlText w:val="%5."/>
      <w:lvlJc w:val="left"/>
      <w:pPr>
        <w:ind w:left="3712" w:hanging="360"/>
      </w:pPr>
    </w:lvl>
    <w:lvl w:ilvl="5" w:tplc="0C09001B" w:tentative="1">
      <w:start w:val="1"/>
      <w:numFmt w:val="lowerRoman"/>
      <w:lvlText w:val="%6."/>
      <w:lvlJc w:val="right"/>
      <w:pPr>
        <w:ind w:left="4432" w:hanging="180"/>
      </w:pPr>
    </w:lvl>
    <w:lvl w:ilvl="6" w:tplc="0C09000F" w:tentative="1">
      <w:start w:val="1"/>
      <w:numFmt w:val="decimal"/>
      <w:lvlText w:val="%7."/>
      <w:lvlJc w:val="left"/>
      <w:pPr>
        <w:ind w:left="5152" w:hanging="360"/>
      </w:pPr>
    </w:lvl>
    <w:lvl w:ilvl="7" w:tplc="0C090019" w:tentative="1">
      <w:start w:val="1"/>
      <w:numFmt w:val="lowerLetter"/>
      <w:lvlText w:val="%8."/>
      <w:lvlJc w:val="left"/>
      <w:pPr>
        <w:ind w:left="5872" w:hanging="360"/>
      </w:pPr>
    </w:lvl>
    <w:lvl w:ilvl="8" w:tplc="0C09001B" w:tentative="1">
      <w:start w:val="1"/>
      <w:numFmt w:val="lowerRoman"/>
      <w:lvlText w:val="%9."/>
      <w:lvlJc w:val="right"/>
      <w:pPr>
        <w:ind w:left="6592" w:hanging="180"/>
      </w:pPr>
    </w:lvl>
  </w:abstractNum>
  <w:abstractNum w:abstractNumId="8" w15:restartNumberingAfterBreak="0">
    <w:nsid w:val="2DB4062F"/>
    <w:multiLevelType w:val="hybridMultilevel"/>
    <w:tmpl w:val="BC1877CE"/>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9" w15:restartNumberingAfterBreak="0">
    <w:nsid w:val="328B3D39"/>
    <w:multiLevelType w:val="hybridMultilevel"/>
    <w:tmpl w:val="652836B2"/>
    <w:lvl w:ilvl="0" w:tplc="B3BA57A6">
      <w:start w:val="1"/>
      <w:numFmt w:val="bullet"/>
      <w:pStyle w:val="Normalnumbered"/>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37741F65"/>
    <w:multiLevelType w:val="hybridMultilevel"/>
    <w:tmpl w:val="2A9CFAE6"/>
    <w:lvl w:ilvl="0" w:tplc="F5901E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563653"/>
    <w:multiLevelType w:val="hybridMultilevel"/>
    <w:tmpl w:val="6082B35C"/>
    <w:lvl w:ilvl="0" w:tplc="6B8435B0">
      <w:start w:val="1"/>
      <w:numFmt w:val="lowerLetter"/>
      <w:lvlText w:val="(%1)"/>
      <w:lvlJc w:val="left"/>
      <w:pPr>
        <w:ind w:left="720" w:hanging="360"/>
      </w:pPr>
      <w:rPr>
        <w:rFonts w:ascii="Corbel" w:eastAsia="Times New Roman" w:hAnsi="Corbe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9F6263"/>
    <w:multiLevelType w:val="hybridMultilevel"/>
    <w:tmpl w:val="9A0A1648"/>
    <w:lvl w:ilvl="0" w:tplc="660EB7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4" w15:restartNumberingAfterBreak="0">
    <w:nsid w:val="49F33BAA"/>
    <w:multiLevelType w:val="hybridMultilevel"/>
    <w:tmpl w:val="A7667244"/>
    <w:lvl w:ilvl="0" w:tplc="0C09000F">
      <w:start w:val="1"/>
      <w:numFmt w:val="decimal"/>
      <w:lvlText w:val="%1."/>
      <w:lvlJc w:val="left"/>
      <w:pPr>
        <w:ind w:left="720" w:hanging="360"/>
      </w:pPr>
      <w:rPr>
        <w:rFonts w:hint="default"/>
      </w:rPr>
    </w:lvl>
    <w:lvl w:ilvl="1" w:tplc="149C10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E90419"/>
    <w:multiLevelType w:val="multilevel"/>
    <w:tmpl w:val="C9AE9C20"/>
    <w:lvl w:ilvl="0">
      <w:start w:val="1"/>
      <w:numFmt w:val="decimal"/>
      <w:lvlText w:val="A%1"/>
      <w:lvlJc w:val="left"/>
      <w:pPr>
        <w:tabs>
          <w:tab w:val="num" w:pos="567"/>
        </w:tabs>
        <w:ind w:left="567" w:hanging="567"/>
      </w:pPr>
      <w:rPr>
        <w:rFonts w:cs="Times New Roman" w:hint="default"/>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6" w15:restartNumberingAfterBreak="0">
    <w:nsid w:val="4B2D471A"/>
    <w:multiLevelType w:val="hybridMultilevel"/>
    <w:tmpl w:val="8C8E8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8" w15:restartNumberingAfterBreak="0">
    <w:nsid w:val="4F007B3B"/>
    <w:multiLevelType w:val="hybridMultilevel"/>
    <w:tmpl w:val="97D41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9E2B4C"/>
    <w:multiLevelType w:val="hybridMultilevel"/>
    <w:tmpl w:val="3D1609BC"/>
    <w:lvl w:ilvl="0" w:tplc="4190A9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748"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6C7725"/>
    <w:multiLevelType w:val="hybridMultilevel"/>
    <w:tmpl w:val="2B7A2FBE"/>
    <w:lvl w:ilvl="0" w:tplc="0C090019">
      <w:start w:val="1"/>
      <w:numFmt w:val="lowerLetter"/>
      <w:lvlText w:val="%1."/>
      <w:lvlJc w:val="left"/>
      <w:pPr>
        <w:ind w:left="1996" w:hanging="360"/>
      </w:pPr>
      <w:rPr>
        <w:rFonts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1" w15:restartNumberingAfterBreak="0">
    <w:nsid w:val="69CD1ECF"/>
    <w:multiLevelType w:val="hybridMultilevel"/>
    <w:tmpl w:val="A9EE83D6"/>
    <w:lvl w:ilvl="0" w:tplc="CBF28E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9C058A"/>
    <w:multiLevelType w:val="hybridMultilevel"/>
    <w:tmpl w:val="83AE4F1C"/>
    <w:lvl w:ilvl="0" w:tplc="F2E866C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F223DE4"/>
    <w:multiLevelType w:val="hybridMultilevel"/>
    <w:tmpl w:val="8774F112"/>
    <w:lvl w:ilvl="0" w:tplc="660EB7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797D762E"/>
    <w:multiLevelType w:val="hybridMultilevel"/>
    <w:tmpl w:val="5AE46984"/>
    <w:lvl w:ilvl="0" w:tplc="660EB7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E222F4D"/>
    <w:multiLevelType w:val="hybridMultilevel"/>
    <w:tmpl w:val="F15E34C6"/>
    <w:lvl w:ilvl="0" w:tplc="4190A9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E4207EB"/>
    <w:multiLevelType w:val="hybridMultilevel"/>
    <w:tmpl w:val="C09CD67E"/>
    <w:lvl w:ilvl="0" w:tplc="149C10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A825A1"/>
    <w:multiLevelType w:val="hybridMultilevel"/>
    <w:tmpl w:val="F15E34C6"/>
    <w:lvl w:ilvl="0" w:tplc="4190A9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3"/>
  </w:num>
  <w:num w:numId="3">
    <w:abstractNumId w:val="15"/>
  </w:num>
  <w:num w:numId="4">
    <w:abstractNumId w:val="6"/>
  </w:num>
  <w:num w:numId="5">
    <w:abstractNumId w:val="18"/>
  </w:num>
  <w:num w:numId="6">
    <w:abstractNumId w:val="9"/>
  </w:num>
  <w:num w:numId="7">
    <w:abstractNumId w:val="28"/>
  </w:num>
  <w:num w:numId="8">
    <w:abstractNumId w:val="1"/>
  </w:num>
  <w:num w:numId="9">
    <w:abstractNumId w:val="3"/>
  </w:num>
  <w:num w:numId="10">
    <w:abstractNumId w:val="26"/>
  </w:num>
  <w:num w:numId="11">
    <w:abstractNumId w:val="0"/>
  </w:num>
  <w:num w:numId="12">
    <w:abstractNumId w:val="19"/>
  </w:num>
  <w:num w:numId="13">
    <w:abstractNumId w:val="5"/>
  </w:num>
  <w:num w:numId="14">
    <w:abstractNumId w:val="23"/>
  </w:num>
  <w:num w:numId="15">
    <w:abstractNumId w:val="25"/>
  </w:num>
  <w:num w:numId="16">
    <w:abstractNumId w:val="11"/>
  </w:num>
  <w:num w:numId="17">
    <w:abstractNumId w:val="21"/>
  </w:num>
  <w:num w:numId="18">
    <w:abstractNumId w:val="17"/>
  </w:num>
  <w:num w:numId="19">
    <w:abstractNumId w:val="12"/>
  </w:num>
  <w:num w:numId="20">
    <w:abstractNumId w:val="14"/>
  </w:num>
  <w:num w:numId="21">
    <w:abstractNumId w:val="27"/>
  </w:num>
  <w:num w:numId="22">
    <w:abstractNumId w:val="4"/>
  </w:num>
  <w:num w:numId="23">
    <w:abstractNumId w:val="2"/>
  </w:num>
  <w:num w:numId="24">
    <w:abstractNumId w:val="10"/>
  </w:num>
  <w:num w:numId="25">
    <w:abstractNumId w:val="20"/>
  </w:num>
  <w:num w:numId="26">
    <w:abstractNumId w:val="7"/>
  </w:num>
  <w:num w:numId="27">
    <w:abstractNumId w:val="16"/>
  </w:num>
  <w:num w:numId="28">
    <w:abstractNumId w:val="2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64"/>
    <w:rsid w:val="00C23342"/>
    <w:rsid w:val="00F47D2B"/>
    <w:rsid w:val="00FE13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584B"/>
  <w15:chartTrackingRefBased/>
  <w15:docId w15:val="{4717A603-6597-4F1D-B1A6-CB1C4A46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1364"/>
    <w:pPr>
      <w:widowControl w:val="0"/>
      <w:spacing w:after="0" w:line="240" w:lineRule="auto"/>
    </w:pPr>
    <w:rPr>
      <w:lang w:val="en-US"/>
    </w:rPr>
  </w:style>
  <w:style w:type="paragraph" w:styleId="Heading1">
    <w:name w:val="heading 1"/>
    <w:basedOn w:val="Normal"/>
    <w:next w:val="Normal"/>
    <w:link w:val="Heading1Char"/>
    <w:uiPriority w:val="9"/>
    <w:qFormat/>
    <w:rsid w:val="00FE1364"/>
    <w:pPr>
      <w:keepNext/>
      <w:widowControl/>
      <w:spacing w:before="480" w:after="180"/>
      <w:outlineLvl w:val="0"/>
    </w:pPr>
    <w:rPr>
      <w:rFonts w:ascii="Consolas" w:eastAsia="Times New Roman" w:hAnsi="Consolas" w:cs="Arial"/>
      <w:bCs/>
      <w:caps/>
      <w:color w:val="3D4B67"/>
      <w:kern w:val="32"/>
      <w:sz w:val="32"/>
      <w:szCs w:val="36"/>
      <w:lang w:val="en-AU" w:eastAsia="en-AU"/>
    </w:rPr>
  </w:style>
  <w:style w:type="paragraph" w:styleId="Heading2">
    <w:name w:val="heading 2"/>
    <w:basedOn w:val="Normal"/>
    <w:next w:val="Normal"/>
    <w:link w:val="Heading2Char"/>
    <w:uiPriority w:val="9"/>
    <w:semiHidden/>
    <w:unhideWhenUsed/>
    <w:qFormat/>
    <w:rsid w:val="00FE136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FE1364"/>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qFormat/>
    <w:rsid w:val="00FE1364"/>
    <w:pPr>
      <w:keepNext/>
      <w:widowControl/>
      <w:spacing w:after="60"/>
      <w:jc w:val="right"/>
      <w:outlineLvl w:val="8"/>
    </w:pPr>
    <w:rPr>
      <w:rFonts w:ascii="Corbel" w:eastAsia="Times New Roman" w:hAnsi="Corbel" w:cs="Arial"/>
      <w:color w:val="833C0B" w:themeColor="accent2" w:themeShade="80"/>
      <w:sz w:val="32"/>
      <w:szCs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364"/>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
    <w:semiHidden/>
    <w:rsid w:val="00FE1364"/>
    <w:rPr>
      <w:rFonts w:asciiTheme="majorHAnsi" w:eastAsiaTheme="majorEastAsia" w:hAnsiTheme="majorHAnsi" w:cstheme="majorBidi"/>
      <w:color w:val="2E74B5" w:themeColor="accent1" w:themeShade="BF"/>
      <w:sz w:val="26"/>
      <w:szCs w:val="26"/>
      <w:lang w:val="en-US"/>
    </w:rPr>
  </w:style>
  <w:style w:type="character" w:customStyle="1" w:styleId="Heading6Char">
    <w:name w:val="Heading 6 Char"/>
    <w:basedOn w:val="DefaultParagraphFont"/>
    <w:link w:val="Heading6"/>
    <w:uiPriority w:val="9"/>
    <w:semiHidden/>
    <w:rsid w:val="00FE1364"/>
    <w:rPr>
      <w:rFonts w:asciiTheme="majorHAnsi" w:eastAsiaTheme="majorEastAsia" w:hAnsiTheme="majorHAnsi" w:cstheme="majorBidi"/>
      <w:color w:val="1F4D78" w:themeColor="accent1" w:themeShade="7F"/>
      <w:lang w:val="en-US"/>
    </w:rPr>
  </w:style>
  <w:style w:type="character" w:customStyle="1" w:styleId="Heading9Char">
    <w:name w:val="Heading 9 Char"/>
    <w:basedOn w:val="DefaultParagraphFont"/>
    <w:link w:val="Heading9"/>
    <w:uiPriority w:val="9"/>
    <w:rsid w:val="00FE1364"/>
    <w:rPr>
      <w:rFonts w:ascii="Corbel" w:eastAsia="Times New Roman" w:hAnsi="Corbel" w:cs="Arial"/>
      <w:color w:val="833C0B" w:themeColor="accent2" w:themeShade="80"/>
      <w:sz w:val="32"/>
      <w:szCs w:val="32"/>
      <w:lang w:eastAsia="en-AU"/>
    </w:rPr>
  </w:style>
  <w:style w:type="paragraph" w:styleId="BodyText">
    <w:name w:val="Body Text"/>
    <w:basedOn w:val="Normal"/>
    <w:link w:val="BodyTextChar"/>
    <w:uiPriority w:val="1"/>
    <w:qFormat/>
    <w:rsid w:val="00FE1364"/>
    <w:pPr>
      <w:spacing w:before="39"/>
      <w:ind w:left="112"/>
    </w:pPr>
    <w:rPr>
      <w:rFonts w:ascii="Corbel" w:eastAsia="Corbel" w:hAnsi="Corbel"/>
      <w:sz w:val="23"/>
      <w:szCs w:val="23"/>
    </w:rPr>
  </w:style>
  <w:style w:type="character" w:customStyle="1" w:styleId="BodyTextChar">
    <w:name w:val="Body Text Char"/>
    <w:basedOn w:val="DefaultParagraphFont"/>
    <w:link w:val="BodyText"/>
    <w:uiPriority w:val="1"/>
    <w:rsid w:val="00FE1364"/>
    <w:rPr>
      <w:rFonts w:ascii="Corbel" w:eastAsia="Corbel" w:hAnsi="Corbel"/>
      <w:sz w:val="23"/>
      <w:szCs w:val="23"/>
      <w:lang w:val="en-US"/>
    </w:rPr>
  </w:style>
  <w:style w:type="paragraph" w:customStyle="1" w:styleId="TableParagraph">
    <w:name w:val="Table Paragraph"/>
    <w:basedOn w:val="Normal"/>
    <w:uiPriority w:val="1"/>
    <w:qFormat/>
    <w:rsid w:val="00FE1364"/>
  </w:style>
  <w:style w:type="paragraph" w:styleId="Footer">
    <w:name w:val="footer"/>
    <w:basedOn w:val="Normal"/>
    <w:link w:val="FooterChar"/>
    <w:uiPriority w:val="99"/>
    <w:unhideWhenUsed/>
    <w:rsid w:val="00FE1364"/>
    <w:pPr>
      <w:tabs>
        <w:tab w:val="center" w:pos="4513"/>
        <w:tab w:val="right" w:pos="9026"/>
      </w:tabs>
    </w:pPr>
  </w:style>
  <w:style w:type="character" w:customStyle="1" w:styleId="FooterChar">
    <w:name w:val="Footer Char"/>
    <w:basedOn w:val="DefaultParagraphFont"/>
    <w:link w:val="Footer"/>
    <w:uiPriority w:val="99"/>
    <w:rsid w:val="00FE1364"/>
    <w:rPr>
      <w:lang w:val="en-US"/>
    </w:rPr>
  </w:style>
  <w:style w:type="character" w:styleId="CommentReference">
    <w:name w:val="annotation reference"/>
    <w:basedOn w:val="DefaultParagraphFont"/>
    <w:uiPriority w:val="99"/>
    <w:semiHidden/>
    <w:unhideWhenUsed/>
    <w:rsid w:val="00FE1364"/>
    <w:rPr>
      <w:sz w:val="16"/>
      <w:szCs w:val="16"/>
    </w:rPr>
  </w:style>
  <w:style w:type="paragraph" w:styleId="CommentText">
    <w:name w:val="annotation text"/>
    <w:basedOn w:val="Normal"/>
    <w:link w:val="CommentTextChar"/>
    <w:uiPriority w:val="99"/>
    <w:semiHidden/>
    <w:unhideWhenUsed/>
    <w:rsid w:val="00FE1364"/>
    <w:rPr>
      <w:sz w:val="20"/>
      <w:szCs w:val="20"/>
    </w:rPr>
  </w:style>
  <w:style w:type="character" w:customStyle="1" w:styleId="CommentTextChar">
    <w:name w:val="Comment Text Char"/>
    <w:basedOn w:val="DefaultParagraphFont"/>
    <w:link w:val="CommentText"/>
    <w:uiPriority w:val="99"/>
    <w:semiHidden/>
    <w:rsid w:val="00FE1364"/>
    <w:rPr>
      <w:sz w:val="20"/>
      <w:szCs w:val="20"/>
      <w:lang w:val="en-US"/>
    </w:rPr>
  </w:style>
  <w:style w:type="paragraph" w:styleId="BalloonText">
    <w:name w:val="Balloon Text"/>
    <w:basedOn w:val="Normal"/>
    <w:link w:val="BalloonTextChar"/>
    <w:uiPriority w:val="99"/>
    <w:semiHidden/>
    <w:unhideWhenUsed/>
    <w:rsid w:val="00FE13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364"/>
    <w:rPr>
      <w:rFonts w:ascii="Segoe UI" w:hAnsi="Segoe UI" w:cs="Segoe UI"/>
      <w:sz w:val="18"/>
      <w:szCs w:val="18"/>
      <w:lang w:val="en-US"/>
    </w:rPr>
  </w:style>
  <w:style w:type="paragraph" w:customStyle="1" w:styleId="FooterEven">
    <w:name w:val="Footer Even"/>
    <w:basedOn w:val="Footer"/>
    <w:rsid w:val="00FE1364"/>
    <w:pPr>
      <w:widowControl/>
      <w:tabs>
        <w:tab w:val="clear" w:pos="4513"/>
        <w:tab w:val="clear" w:pos="9026"/>
      </w:tabs>
    </w:pPr>
    <w:rPr>
      <w:rFonts w:ascii="Corbel" w:eastAsia="Times New Roman" w:hAnsi="Corbel" w:cs="Times New Roman"/>
      <w:color w:val="3D4B67"/>
      <w:sz w:val="18"/>
      <w:szCs w:val="20"/>
      <w:lang w:val="en-AU" w:eastAsia="en-AU"/>
    </w:rPr>
  </w:style>
  <w:style w:type="paragraph" w:styleId="Header">
    <w:name w:val="header"/>
    <w:basedOn w:val="Normal"/>
    <w:link w:val="HeaderChar"/>
    <w:uiPriority w:val="99"/>
    <w:rsid w:val="00FE1364"/>
    <w:pPr>
      <w:keepNext/>
      <w:widowControl/>
    </w:pPr>
    <w:rPr>
      <w:rFonts w:ascii="Corbel" w:eastAsia="Times New Roman" w:hAnsi="Corbel" w:cs="Times New Roman"/>
      <w:color w:val="3D4B67"/>
      <w:sz w:val="18"/>
      <w:szCs w:val="20"/>
      <w:lang w:val="en-AU" w:eastAsia="en-AU"/>
    </w:rPr>
  </w:style>
  <w:style w:type="character" w:customStyle="1" w:styleId="HeaderChar">
    <w:name w:val="Header Char"/>
    <w:basedOn w:val="DefaultParagraphFont"/>
    <w:link w:val="Header"/>
    <w:uiPriority w:val="99"/>
    <w:rsid w:val="00FE1364"/>
    <w:rPr>
      <w:rFonts w:ascii="Corbel" w:eastAsia="Times New Roman" w:hAnsi="Corbel" w:cs="Times New Roman"/>
      <w:color w:val="3D4B67"/>
      <w:sz w:val="18"/>
      <w:szCs w:val="20"/>
      <w:lang w:eastAsia="en-AU"/>
    </w:rPr>
  </w:style>
  <w:style w:type="paragraph" w:customStyle="1" w:styleId="HeaderOdd">
    <w:name w:val="Header Odd"/>
    <w:basedOn w:val="Header"/>
    <w:rsid w:val="00FE1364"/>
    <w:pPr>
      <w:jc w:val="right"/>
    </w:pPr>
  </w:style>
  <w:style w:type="paragraph" w:customStyle="1" w:styleId="ScheduleStartNnumber">
    <w:name w:val="ScheduleStartNnumber"/>
    <w:rsid w:val="00FE1364"/>
    <w:pPr>
      <w:numPr>
        <w:numId w:val="2"/>
      </w:numPr>
      <w:spacing w:after="0" w:line="240" w:lineRule="auto"/>
    </w:pPr>
    <w:rPr>
      <w:rFonts w:ascii="Consolas" w:eastAsia="Times New Roman" w:hAnsi="Consolas" w:cs="Arial"/>
      <w:bCs/>
      <w:vanish/>
      <w:color w:val="000000"/>
      <w:kern w:val="32"/>
      <w:sz w:val="12"/>
      <w:szCs w:val="36"/>
      <w:lang w:eastAsia="en-AU"/>
    </w:rPr>
  </w:style>
  <w:style w:type="paragraph" w:styleId="Subtitle">
    <w:name w:val="Subtitle"/>
    <w:basedOn w:val="Normal"/>
    <w:link w:val="SubtitleChar"/>
    <w:uiPriority w:val="11"/>
    <w:qFormat/>
    <w:rsid w:val="00FE1364"/>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FE1364"/>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FE1364"/>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FE1364"/>
    <w:rPr>
      <w:rFonts w:ascii="Corbel" w:eastAsia="Times New Roman" w:hAnsi="Corbel" w:cs="Times New Roman"/>
      <w:color w:val="3D4B67"/>
      <w:sz w:val="40"/>
      <w:szCs w:val="40"/>
      <w:lang w:eastAsia="ja-JP"/>
    </w:rPr>
  </w:style>
  <w:style w:type="paragraph" w:customStyle="1" w:styleId="ScheduleNumberedPara">
    <w:name w:val="ScheduleNumberedPara"/>
    <w:basedOn w:val="Normal"/>
    <w:link w:val="ScheduleNumberedParaChar"/>
    <w:rsid w:val="00FE1364"/>
    <w:pPr>
      <w:widowControl/>
      <w:numPr>
        <w:ilvl w:val="1"/>
        <w:numId w:val="2"/>
      </w:numPr>
      <w:tabs>
        <w:tab w:val="num" w:pos="2268"/>
      </w:tabs>
      <w:spacing w:after="240" w:line="260" w:lineRule="exact"/>
      <w:jc w:val="both"/>
    </w:pPr>
    <w:rPr>
      <w:rFonts w:ascii="Corbel" w:eastAsia="Times New Roman" w:hAnsi="Corbel" w:cs="Times New Roman"/>
      <w:color w:val="000000"/>
      <w:sz w:val="23"/>
      <w:szCs w:val="20"/>
      <w:lang w:val="en-AU" w:eastAsia="en-AU"/>
    </w:rPr>
  </w:style>
  <w:style w:type="character" w:customStyle="1" w:styleId="ScheduleNumberedParaChar">
    <w:name w:val="ScheduleNumberedPara Char"/>
    <w:link w:val="ScheduleNumberedPara"/>
    <w:locked/>
    <w:rsid w:val="00FE1364"/>
    <w:rPr>
      <w:rFonts w:ascii="Corbel" w:eastAsia="Times New Roman" w:hAnsi="Corbel" w:cs="Times New Roman"/>
      <w:color w:val="000000"/>
      <w:sz w:val="23"/>
      <w:szCs w:val="20"/>
      <w:lang w:eastAsia="en-AU"/>
    </w:rPr>
  </w:style>
  <w:style w:type="paragraph" w:customStyle="1" w:styleId="Paragraphnumbering">
    <w:name w:val="Paragraph numbering"/>
    <w:basedOn w:val="Normal"/>
    <w:link w:val="ParagraphnumberingChar"/>
    <w:qFormat/>
    <w:rsid w:val="00FE1364"/>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FE1364"/>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FE1364"/>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FE1364"/>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FE1364"/>
    <w:pPr>
      <w:spacing w:before="60" w:after="60"/>
    </w:pPr>
    <w:rPr>
      <w:sz w:val="20"/>
      <w:szCs w:val="20"/>
    </w:rPr>
  </w:style>
  <w:style w:type="character" w:customStyle="1" w:styleId="MilestonetableChar">
    <w:name w:val="Milestone table Char"/>
    <w:basedOn w:val="TableformatChar"/>
    <w:link w:val="Milestonetable"/>
    <w:rsid w:val="00FE1364"/>
    <w:rPr>
      <w:rFonts w:ascii="Corbel" w:eastAsia="Times New Roman" w:hAnsi="Corbel" w:cs="Arial"/>
      <w:iCs/>
      <w:color w:val="2E74B5" w:themeColor="accent1" w:themeShade="BF"/>
      <w:sz w:val="20"/>
      <w:szCs w:val="20"/>
      <w:lang w:val="en-US" w:eastAsia="en-AU"/>
    </w:rPr>
  </w:style>
  <w:style w:type="paragraph" w:styleId="ListParagraph">
    <w:name w:val="List Paragraph"/>
    <w:basedOn w:val="Normal"/>
    <w:uiPriority w:val="1"/>
    <w:qFormat/>
    <w:rsid w:val="00FE1364"/>
  </w:style>
  <w:style w:type="paragraph" w:customStyle="1" w:styleId="AlphaParagraph">
    <w:name w:val="Alpha Paragraph"/>
    <w:basedOn w:val="Normal"/>
    <w:link w:val="AlphaParagraphCharChar"/>
    <w:rsid w:val="00FE1364"/>
    <w:pPr>
      <w:widowControl/>
      <w:tabs>
        <w:tab w:val="num" w:pos="0"/>
        <w:tab w:val="num" w:pos="567"/>
        <w:tab w:val="num" w:pos="1134"/>
      </w:tabs>
      <w:spacing w:after="240" w:line="260" w:lineRule="exact"/>
      <w:ind w:left="567" w:hanging="567"/>
      <w:jc w:val="both"/>
    </w:pPr>
    <w:rPr>
      <w:rFonts w:ascii="Corbel" w:eastAsia="Times New Roman" w:hAnsi="Corbel" w:cs="Times New Roman"/>
      <w:color w:val="000000"/>
      <w:sz w:val="23"/>
      <w:szCs w:val="20"/>
      <w:lang w:val="en-AU" w:eastAsia="en-AU"/>
    </w:rPr>
  </w:style>
  <w:style w:type="paragraph" w:customStyle="1" w:styleId="Normalnumbered">
    <w:name w:val="Normal numbered"/>
    <w:basedOn w:val="Normal"/>
    <w:link w:val="NormalnumberedChar"/>
    <w:rsid w:val="00FE1364"/>
    <w:pPr>
      <w:widowControl/>
      <w:numPr>
        <w:numId w:val="6"/>
      </w:numPr>
      <w:tabs>
        <w:tab w:val="num" w:pos="1418"/>
      </w:tabs>
      <w:spacing w:after="240" w:line="260" w:lineRule="exact"/>
      <w:jc w:val="both"/>
    </w:pPr>
    <w:rPr>
      <w:rFonts w:ascii="Corbel" w:eastAsia="Times New Roman" w:hAnsi="Corbel" w:cs="Times New Roman"/>
      <w:color w:val="000000"/>
      <w:sz w:val="23"/>
      <w:szCs w:val="20"/>
      <w:lang w:val="en-AU" w:eastAsia="en-AU"/>
    </w:rPr>
  </w:style>
  <w:style w:type="character" w:customStyle="1" w:styleId="NormalnumberedChar">
    <w:name w:val="Normal numbered Char"/>
    <w:link w:val="Normalnumbered"/>
    <w:locked/>
    <w:rsid w:val="00FE1364"/>
    <w:rPr>
      <w:rFonts w:ascii="Corbel" w:eastAsia="Times New Roman" w:hAnsi="Corbel" w:cs="Times New Roman"/>
      <w:color w:val="000000"/>
      <w:sz w:val="23"/>
      <w:szCs w:val="20"/>
      <w:lang w:eastAsia="en-AU"/>
    </w:rPr>
  </w:style>
  <w:style w:type="character" w:customStyle="1" w:styleId="AlphaParagraphCharChar">
    <w:name w:val="Alpha Paragraph Char Char"/>
    <w:link w:val="AlphaParagraph"/>
    <w:locked/>
    <w:rsid w:val="00FE1364"/>
    <w:rPr>
      <w:rFonts w:ascii="Corbel" w:eastAsia="Times New Roman" w:hAnsi="Corbel" w:cs="Times New Roman"/>
      <w:color w:val="000000"/>
      <w:sz w:val="23"/>
      <w:szCs w:val="20"/>
      <w:lang w:eastAsia="en-AU"/>
    </w:rPr>
  </w:style>
  <w:style w:type="paragraph" w:customStyle="1" w:styleId="ChartandTableFootnoteAlpha">
    <w:name w:val="Chart and Table Footnote Alpha"/>
    <w:rsid w:val="00FE1364"/>
    <w:pPr>
      <w:numPr>
        <w:numId w:val="18"/>
      </w:numPr>
      <w:spacing w:after="0" w:line="240" w:lineRule="auto"/>
      <w:jc w:val="both"/>
    </w:pPr>
    <w:rPr>
      <w:rFonts w:ascii="Arial" w:eastAsia="Times New Roman" w:hAnsi="Arial" w:cs="Times New Roman"/>
      <w:color w:val="000000"/>
      <w:sz w:val="16"/>
      <w:szCs w:val="16"/>
      <w:lang w:eastAsia="en-AU"/>
    </w:rPr>
  </w:style>
  <w:style w:type="paragraph" w:styleId="FootnoteText">
    <w:name w:val="footnote text"/>
    <w:basedOn w:val="Normal"/>
    <w:link w:val="FootnoteTextChar"/>
    <w:uiPriority w:val="99"/>
    <w:semiHidden/>
    <w:unhideWhenUsed/>
    <w:rsid w:val="00FE1364"/>
    <w:rPr>
      <w:sz w:val="20"/>
      <w:szCs w:val="20"/>
    </w:rPr>
  </w:style>
  <w:style w:type="character" w:customStyle="1" w:styleId="FootnoteTextChar">
    <w:name w:val="Footnote Text Char"/>
    <w:basedOn w:val="DefaultParagraphFont"/>
    <w:link w:val="FootnoteText"/>
    <w:uiPriority w:val="99"/>
    <w:semiHidden/>
    <w:rsid w:val="00FE1364"/>
    <w:rPr>
      <w:sz w:val="20"/>
      <w:szCs w:val="20"/>
      <w:lang w:val="en-US"/>
    </w:rPr>
  </w:style>
  <w:style w:type="character" w:styleId="FootnoteReference">
    <w:name w:val="footnote reference"/>
    <w:basedOn w:val="DefaultParagraphFont"/>
    <w:uiPriority w:val="99"/>
    <w:semiHidden/>
    <w:unhideWhenUsed/>
    <w:rsid w:val="00FE13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2020FG-64-86424</_dlc_DocId>
    <_dlc_DocIdUrl xmlns="0f563589-9cf9-4143-b1eb-fb0534803d38">
      <Url>http://tweb/sites/fg/csrd/_layouts/15/DocIdRedir.aspx?ID=2020FG-64-86424</Url>
      <Description>2020FG-64-86424</Description>
    </_dlc_DocIdUrl>
  </documentManagement>
</p:propertie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5338" ma:contentTypeDescription=" " ma:contentTypeScope="" ma:versionID="b3505bcc6dcea6f7ec62401924db05ca">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9C048-CAC4-4B4B-9BFB-A3D4204021A7}">
  <ds:schemaRefs>
    <ds:schemaRef ds:uri="office.server.policy"/>
  </ds:schemaRefs>
</ds:datastoreItem>
</file>

<file path=customXml/itemProps2.xml><?xml version="1.0" encoding="utf-8"?>
<ds:datastoreItem xmlns:ds="http://schemas.openxmlformats.org/officeDocument/2006/customXml" ds:itemID="{03F830D2-B7C7-48C3-A09D-A3803ECE2310}">
  <ds:schemaRefs>
    <ds:schemaRef ds:uri="http://schemas.microsoft.com/sharepoint/events"/>
  </ds:schemaRefs>
</ds:datastoreItem>
</file>

<file path=customXml/itemProps3.xml><?xml version="1.0" encoding="utf-8"?>
<ds:datastoreItem xmlns:ds="http://schemas.openxmlformats.org/officeDocument/2006/customXml" ds:itemID="{AC18C0C9-A893-4452-B3AE-C7DD9D6C0E71}">
  <ds:schemaRef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0FE9B5A-FD0C-4631-B35B-069DA4B25207}">
  <ds:schemaRefs>
    <ds:schemaRef ds:uri="Microsoft.SharePoint.Taxonomy.ContentTypeSync"/>
  </ds:schemaRefs>
</ds:datastoreItem>
</file>

<file path=customXml/itemProps5.xml><?xml version="1.0" encoding="utf-8"?>
<ds:datastoreItem xmlns:ds="http://schemas.openxmlformats.org/officeDocument/2006/customXml" ds:itemID="{D01B0304-E63F-4499-B7E9-D126303A2DD4}">
  <ds:schemaRefs>
    <ds:schemaRef ds:uri="http://schemas.microsoft.com/sharepoint/v3/contenttype/forms"/>
  </ds:schemaRefs>
</ds:datastoreItem>
</file>

<file path=customXml/itemProps6.xml><?xml version="1.0" encoding="utf-8"?>
<ds:datastoreItem xmlns:ds="http://schemas.openxmlformats.org/officeDocument/2006/customXml" ds:itemID="{E297E145-1537-494E-B531-747B6D27AA3C}"/>
</file>

<file path=docProps/app.xml><?xml version="1.0" encoding="utf-8"?>
<Properties xmlns="http://schemas.openxmlformats.org/officeDocument/2006/extended-properties" xmlns:vt="http://schemas.openxmlformats.org/officeDocument/2006/docPropsVTypes">
  <Template>Normal.dotm</Template>
  <TotalTime>1</TotalTime>
  <Pages>18</Pages>
  <Words>3999</Words>
  <Characters>22796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26742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Kim</dc:creator>
  <cp:keywords/>
  <dc:description/>
  <cp:lastModifiedBy>Nieuwenhuize, Holly</cp:lastModifiedBy>
  <cp:revision>2</cp:revision>
  <dcterms:created xsi:type="dcterms:W3CDTF">2020-09-01T00:04:00Z</dcterms:created>
  <dcterms:modified xsi:type="dcterms:W3CDTF">2020-09-01T00:04:00Z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HPRMSecurityCaveat">
    <vt:lpwstr/>
  </property>
  <property fmtid="{D5CDD505-2E9C-101B-9397-08002B2CF9AE}" pid="4" name="ESearchTags">
    <vt:lpwstr/>
  </property>
  <property fmtid="{D5CDD505-2E9C-101B-9397-08002B2CF9AE}" pid="5" name="HPRMSecurityLevel">
    <vt:lpwstr>32;#OFFICIAL|11463c70-78df-4e3b-b0ff-f66cd3cb26ec</vt:lpwstr>
  </property>
  <property fmtid="{D5CDD505-2E9C-101B-9397-08002B2CF9AE}" pid="6" name="PMC.ESearch.TagGeneratedTime">
    <vt:lpwstr>2020-07-10T16:52:20</vt:lpwstr>
  </property>
  <property fmtid="{D5CDD505-2E9C-101B-9397-08002B2CF9AE}" pid="7" name="_dlc_DocIdItemGuid">
    <vt:lpwstr>3bb8603c-80ee-4c9e-b293-307b0fe5f671</vt:lpwstr>
  </property>
  <property fmtid="{D5CDD505-2E9C-101B-9397-08002B2CF9AE}" pid="8" name="TSYRecordClass">
    <vt:lpwstr>2;#TSY RA-8748 - Retain as national archives|243f2231-dbfc-4282-b24a-c9b768286bd0</vt:lpwstr>
  </property>
  <property fmtid="{D5CDD505-2E9C-101B-9397-08002B2CF9AE}" pid="9" name="RecordPoint_WorkflowType">
    <vt:lpwstr>ActiveSubmitStub</vt:lpwstr>
  </property>
  <property fmtid="{D5CDD505-2E9C-101B-9397-08002B2CF9AE}" pid="10" name="RecordPoint_ActiveItemListId">
    <vt:lpwstr>{4435c73b-6585-4bc2-a76a-5d21b1a02e06}</vt:lpwstr>
  </property>
  <property fmtid="{D5CDD505-2E9C-101B-9397-08002B2CF9AE}" pid="11" name="RecordPoint_ActiveItemUniqueId">
    <vt:lpwstr>{3bb8603c-80ee-4c9e-b293-307b0fe5f671}</vt:lpwstr>
  </property>
  <property fmtid="{D5CDD505-2E9C-101B-9397-08002B2CF9AE}" pid="12" name="RecordPoint_ActiveItemWebId">
    <vt:lpwstr>{a4589788-615f-4b8b-8296-7f9f6dfbab44}</vt:lpwstr>
  </property>
  <property fmtid="{D5CDD505-2E9C-101B-9397-08002B2CF9AE}" pid="13" name="RecordPoint_ActiveItemSiteId">
    <vt:lpwstr>{a3a280d1-e8f1-4ce7-94f0-aaa2322da0dd}</vt:lpwstr>
  </property>
  <property fmtid="{D5CDD505-2E9C-101B-9397-08002B2CF9AE}" pid="14" name="RecordPoint_SubmissionDate">
    <vt:lpwstr/>
  </property>
  <property fmtid="{D5CDD505-2E9C-101B-9397-08002B2CF9AE}" pid="15" name="RecordPoint_RecordNumberSubmitted">
    <vt:lpwstr>R0002301988</vt:lpwstr>
  </property>
  <property fmtid="{D5CDD505-2E9C-101B-9397-08002B2CF9AE}" pid="16" name="RecordPoint_ActiveItemMoved">
    <vt:lpwstr/>
  </property>
  <property fmtid="{D5CDD505-2E9C-101B-9397-08002B2CF9AE}" pid="17" name="RecordPoint_RecordFormat">
    <vt:lpwstr/>
  </property>
  <property fmtid="{D5CDD505-2E9C-101B-9397-08002B2CF9AE}" pid="18" name="RecordPoint_SubmissionCompleted">
    <vt:lpwstr>2020-10-29T18:02:45.1927903+11:00</vt:lpwstr>
  </property>
</Properties>
</file>