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F2" w:rsidRPr="006D7FF2" w:rsidRDefault="00590C23" w:rsidP="009B49E8">
      <w:pPr>
        <w:pStyle w:val="Subtitle"/>
        <w:jc w:val="right"/>
      </w:pPr>
      <w:r>
        <w:t>ACT</w:t>
      </w:r>
    </w:p>
    <w:p w:rsidR="00626601" w:rsidRPr="00A17D70" w:rsidRDefault="00590C23" w:rsidP="00626601">
      <w:pPr>
        <w:pStyle w:val="Title"/>
      </w:pPr>
      <w:r w:rsidRPr="00BC7895">
        <w:t>ACT</w:t>
      </w:r>
      <w:r w:rsidR="00626601" w:rsidRPr="00A17D70">
        <w:t xml:space="preserve"> </w:t>
      </w:r>
      <w:r w:rsidR="00A87A89">
        <w:t xml:space="preserve">Project </w:t>
      </w:r>
      <w:r w:rsidR="00626601" w:rsidRPr="00A17D70">
        <w:t>Plan</w:t>
      </w:r>
      <w:r w:rsidR="00896A94">
        <w:t xml:space="preserve"> 2017-18</w:t>
      </w:r>
      <w:r w:rsidR="00626601" w:rsidRPr="00A17D70">
        <w:t xml:space="preserve"> </w:t>
      </w:r>
    </w:p>
    <w:p w:rsidR="00803E80" w:rsidRDefault="00626601" w:rsidP="009B49E8">
      <w:pPr>
        <w:pStyle w:val="Subtitle"/>
      </w:pPr>
      <w:r w:rsidRPr="00A17D70">
        <w:t>National Partnership agreement on</w:t>
      </w:r>
      <w:r w:rsidR="00A87A89">
        <w:t xml:space="preserve"> Homelessness</w:t>
      </w:r>
      <w:r w:rsidR="006D7FF2">
        <w:t>: Schedule a</w:t>
      </w:r>
    </w:p>
    <w:p w:rsidR="00626601" w:rsidRDefault="00626601" w:rsidP="00626601">
      <w:pPr>
        <w:pStyle w:val="Heading1"/>
      </w:pPr>
      <w:r w:rsidRPr="00041625">
        <w:t>Pr</w:t>
      </w:r>
      <w:r w:rsidRPr="00A17D70">
        <w:t>el</w:t>
      </w:r>
      <w:r w:rsidRPr="00041625">
        <w:t>iminaries</w:t>
      </w:r>
    </w:p>
    <w:p w:rsidR="00FF1B47" w:rsidRPr="004A492D" w:rsidRDefault="00FF1B47" w:rsidP="009B49E8"/>
    <w:p w:rsidR="00626601" w:rsidRPr="00041625" w:rsidRDefault="00626601" w:rsidP="00626601">
      <w:pPr>
        <w:pStyle w:val="Normalnumbered"/>
        <w:spacing w:after="240" w:line="260" w:lineRule="exact"/>
        <w:rPr>
          <w:szCs w:val="23"/>
        </w:rPr>
      </w:pPr>
      <w:r w:rsidRPr="00041625">
        <w:rPr>
          <w:szCs w:val="23"/>
        </w:rPr>
        <w:t xml:space="preserve">This </w:t>
      </w:r>
      <w:r w:rsidR="00A87A89">
        <w:rPr>
          <w:szCs w:val="23"/>
        </w:rPr>
        <w:t xml:space="preserve">Project </w:t>
      </w:r>
      <w:r w:rsidRPr="00041625">
        <w:rPr>
          <w:szCs w:val="23"/>
        </w:rPr>
        <w:t xml:space="preserve">Plan is a schedule to the National Partnership Agreement on </w:t>
      </w:r>
      <w:r w:rsidR="00A87A89">
        <w:rPr>
          <w:szCs w:val="23"/>
        </w:rPr>
        <w:t>Homelessness</w:t>
      </w:r>
      <w:r w:rsidRPr="00041625">
        <w:rPr>
          <w:szCs w:val="23"/>
        </w:rPr>
        <w:t xml:space="preserve"> </w:t>
      </w:r>
      <w:r w:rsidR="007966C4">
        <w:rPr>
          <w:szCs w:val="23"/>
        </w:rPr>
        <w:t>(</w:t>
      </w:r>
      <w:r w:rsidR="00DB30C6">
        <w:rPr>
          <w:szCs w:val="23"/>
        </w:rPr>
        <w:t>the Agreement</w:t>
      </w:r>
      <w:r w:rsidR="007966C4">
        <w:rPr>
          <w:szCs w:val="23"/>
        </w:rPr>
        <w:t xml:space="preserve">) </w:t>
      </w:r>
      <w:r w:rsidRPr="00041625">
        <w:rPr>
          <w:szCs w:val="23"/>
        </w:rPr>
        <w:t>and should be read in conjunction with that Agreement.</w:t>
      </w:r>
    </w:p>
    <w:p w:rsidR="00626601" w:rsidRPr="00041625" w:rsidRDefault="00626601" w:rsidP="00626601">
      <w:pPr>
        <w:pStyle w:val="Heading1"/>
      </w:pPr>
      <w:r w:rsidRPr="00041625">
        <w:t xml:space="preserve">Terms of this </w:t>
      </w:r>
      <w:r w:rsidR="00275AC5">
        <w:t>Project</w:t>
      </w:r>
      <w:r w:rsidR="00275AC5" w:rsidRPr="00041625">
        <w:t xml:space="preserve"> </w:t>
      </w:r>
      <w:r w:rsidRPr="00041625">
        <w:t>Plan</w:t>
      </w:r>
      <w:r w:rsidRPr="00041625">
        <w:tab/>
      </w:r>
    </w:p>
    <w:p w:rsidR="00626601" w:rsidRPr="003E230C" w:rsidRDefault="00626601" w:rsidP="00626601"/>
    <w:p w:rsidR="00626601" w:rsidRPr="00041625" w:rsidRDefault="00626601" w:rsidP="009B49E8">
      <w:pPr>
        <w:pStyle w:val="Normalnumbered"/>
        <w:keepLines/>
        <w:spacing w:after="240" w:line="260" w:lineRule="exact"/>
        <w:rPr>
          <w:szCs w:val="23"/>
        </w:rPr>
      </w:pPr>
      <w:r w:rsidRPr="00041625">
        <w:rPr>
          <w:szCs w:val="23"/>
        </w:rPr>
        <w:t xml:space="preserve">This </w:t>
      </w:r>
      <w:r w:rsidR="00275AC5">
        <w:rPr>
          <w:szCs w:val="23"/>
        </w:rPr>
        <w:t>Project</w:t>
      </w:r>
      <w:r w:rsidRPr="00041625">
        <w:rPr>
          <w:szCs w:val="23"/>
        </w:rPr>
        <w:t xml:space="preserve"> Plan will commence </w:t>
      </w:r>
      <w:r w:rsidR="00275AC5">
        <w:rPr>
          <w:szCs w:val="23"/>
        </w:rPr>
        <w:t>on 1 July 201</w:t>
      </w:r>
      <w:r w:rsidR="007C7951">
        <w:rPr>
          <w:szCs w:val="23"/>
        </w:rPr>
        <w:t>7</w:t>
      </w:r>
      <w:r w:rsidR="00275AC5">
        <w:rPr>
          <w:szCs w:val="23"/>
        </w:rPr>
        <w:t xml:space="preserve"> </w:t>
      </w:r>
      <w:r w:rsidR="006D2873">
        <w:rPr>
          <w:szCs w:val="23"/>
        </w:rPr>
        <w:t xml:space="preserve">or when </w:t>
      </w:r>
      <w:r w:rsidR="00275AC5">
        <w:rPr>
          <w:szCs w:val="23"/>
        </w:rPr>
        <w:t>it is agreed between the Commonwealth of Australia, represented by the Minister for Social Services</w:t>
      </w:r>
      <w:r w:rsidR="00275AC5" w:rsidRPr="00BC7895">
        <w:rPr>
          <w:szCs w:val="23"/>
        </w:rPr>
        <w:t xml:space="preserve">, and </w:t>
      </w:r>
      <w:r w:rsidR="00EC1529" w:rsidRPr="00BC7895">
        <w:rPr>
          <w:szCs w:val="23"/>
        </w:rPr>
        <w:t>the Australian Capital Territory (ACT)</w:t>
      </w:r>
      <w:r w:rsidR="00275AC5" w:rsidRPr="00BC7895">
        <w:rPr>
          <w:szCs w:val="23"/>
        </w:rPr>
        <w:t xml:space="preserve">, represented by the Minister for </w:t>
      </w:r>
      <w:r w:rsidR="00EC1529" w:rsidRPr="00BC7895">
        <w:rPr>
          <w:szCs w:val="23"/>
        </w:rPr>
        <w:t>Housing</w:t>
      </w:r>
      <w:r w:rsidR="00483A6B">
        <w:rPr>
          <w:szCs w:val="23"/>
        </w:rPr>
        <w:t xml:space="preserve"> and Suburban Development, </w:t>
      </w:r>
      <w:r w:rsidR="00483A6B" w:rsidRPr="00BC7895">
        <w:rPr>
          <w:szCs w:val="23"/>
        </w:rPr>
        <w:t>whichever</w:t>
      </w:r>
      <w:r w:rsidR="006D2873">
        <w:rPr>
          <w:szCs w:val="23"/>
        </w:rPr>
        <w:t xml:space="preserve"> is the later, and will cease on completion or termination of the Agreement</w:t>
      </w:r>
      <w:r w:rsidR="00275AC5">
        <w:rPr>
          <w:szCs w:val="23"/>
        </w:rPr>
        <w:t xml:space="preserve">.  </w:t>
      </w:r>
    </w:p>
    <w:p w:rsidR="00A817C9" w:rsidRPr="006D2873" w:rsidRDefault="00CD449D" w:rsidP="006D2873">
      <w:pPr>
        <w:pStyle w:val="Normalnumbered"/>
        <w:keepLines/>
        <w:spacing w:after="240" w:line="260" w:lineRule="exact"/>
        <w:rPr>
          <w:szCs w:val="23"/>
        </w:rPr>
      </w:pPr>
      <w:r>
        <w:rPr>
          <w:szCs w:val="23"/>
        </w:rPr>
        <w:t>As a schedule to the Agreement</w:t>
      </w:r>
      <w:r w:rsidR="00A817C9" w:rsidRPr="00041625">
        <w:rPr>
          <w:szCs w:val="23"/>
        </w:rPr>
        <w:t xml:space="preserve">, the purpose of this </w:t>
      </w:r>
      <w:r w:rsidR="00A817C9">
        <w:rPr>
          <w:szCs w:val="23"/>
        </w:rPr>
        <w:t>Project</w:t>
      </w:r>
      <w:r w:rsidR="00A817C9" w:rsidRPr="00041625">
        <w:rPr>
          <w:szCs w:val="23"/>
        </w:rPr>
        <w:t xml:space="preserve"> Plan is to provide the public with an indication of</w:t>
      </w:r>
      <w:r w:rsidR="00A817C9">
        <w:rPr>
          <w:szCs w:val="23"/>
        </w:rPr>
        <w:t xml:space="preserve"> how </w:t>
      </w:r>
      <w:r w:rsidR="00382A05">
        <w:rPr>
          <w:szCs w:val="23"/>
        </w:rPr>
        <w:t>frontline homelessness services are</w:t>
      </w:r>
      <w:r w:rsidR="00A817C9" w:rsidRPr="00041625">
        <w:rPr>
          <w:szCs w:val="23"/>
        </w:rPr>
        <w:t xml:space="preserve"> intended to be delivered and </w:t>
      </w:r>
      <w:r w:rsidR="00A817C9" w:rsidRPr="00BC7895">
        <w:rPr>
          <w:szCs w:val="23"/>
        </w:rPr>
        <w:t xml:space="preserve">demonstrate </w:t>
      </w:r>
      <w:r w:rsidR="00EC1529" w:rsidRPr="00BC7895">
        <w:rPr>
          <w:szCs w:val="23"/>
        </w:rPr>
        <w:t>the ACT</w:t>
      </w:r>
      <w:r w:rsidR="00A817C9" w:rsidRPr="00BC7895">
        <w:rPr>
          <w:szCs w:val="23"/>
        </w:rPr>
        <w:t xml:space="preserve">’s capacity </w:t>
      </w:r>
      <w:r w:rsidRPr="00BC7895">
        <w:rPr>
          <w:szCs w:val="23"/>
        </w:rPr>
        <w:t>to achieve</w:t>
      </w:r>
      <w:r>
        <w:rPr>
          <w:szCs w:val="23"/>
        </w:rPr>
        <w:t xml:space="preserve"> the outcomes of the Agreement</w:t>
      </w:r>
      <w:r w:rsidR="00A817C9" w:rsidRPr="00041625">
        <w:rPr>
          <w:szCs w:val="23"/>
        </w:rPr>
        <w:t>.</w:t>
      </w:r>
    </w:p>
    <w:p w:rsidR="00382A05" w:rsidRPr="00382A05" w:rsidRDefault="00111171" w:rsidP="009B49E8">
      <w:pPr>
        <w:pStyle w:val="Normalnumbered"/>
        <w:keepLines/>
        <w:spacing w:after="240" w:line="260" w:lineRule="exact"/>
      </w:pPr>
      <w:r w:rsidRPr="00382A05">
        <w:rPr>
          <w:szCs w:val="23"/>
        </w:rPr>
        <w:t>This Project Plan will co</w:t>
      </w:r>
      <w:r w:rsidR="003A214A">
        <w:rPr>
          <w:szCs w:val="23"/>
        </w:rPr>
        <w:t>ver the one year period from 1 July 2017 to 30 June 2018.</w:t>
      </w:r>
    </w:p>
    <w:p w:rsidR="00382A05" w:rsidRPr="006D2873" w:rsidRDefault="00382A05" w:rsidP="00382A05">
      <w:pPr>
        <w:pStyle w:val="Normalnumbered"/>
        <w:keepLines/>
        <w:spacing w:after="240" w:line="260" w:lineRule="exact"/>
        <w:rPr>
          <w:szCs w:val="23"/>
        </w:rPr>
      </w:pPr>
      <w:r>
        <w:rPr>
          <w:szCs w:val="23"/>
        </w:rPr>
        <w:t>This Project Plan may be varied in a</w:t>
      </w:r>
      <w:r w:rsidR="009D4BD4">
        <w:rPr>
          <w:szCs w:val="23"/>
        </w:rPr>
        <w:t xml:space="preserve">ccordance with </w:t>
      </w:r>
      <w:r w:rsidR="00896A94">
        <w:rPr>
          <w:szCs w:val="23"/>
        </w:rPr>
        <w:t>clauses 23, 47, 49 and 50.</w:t>
      </w:r>
    </w:p>
    <w:p w:rsidR="009B49E8" w:rsidRDefault="009B49E8" w:rsidP="009B49E8">
      <w:pPr>
        <w:pStyle w:val="Normalnumbered"/>
        <w:numPr>
          <w:ilvl w:val="0"/>
          <w:numId w:val="0"/>
        </w:numPr>
        <w:ind w:left="567" w:hanging="567"/>
      </w:pPr>
      <w:r>
        <w:br w:type="page"/>
      </w:r>
    </w:p>
    <w:p w:rsidR="00233E90" w:rsidRDefault="00233E90" w:rsidP="009B49E8">
      <w:pPr>
        <w:pStyle w:val="Heading1"/>
      </w:pPr>
    </w:p>
    <w:p w:rsidR="001C40F8" w:rsidRDefault="00564313" w:rsidP="009B49E8">
      <w:pPr>
        <w:pStyle w:val="Heading1"/>
      </w:pPr>
      <w:r>
        <w:t>part</w:t>
      </w:r>
      <w:r w:rsidR="006D330C">
        <w:t xml:space="preserve"> one</w:t>
      </w:r>
      <w:r w:rsidR="00803E80">
        <w:t xml:space="preserve">: </w:t>
      </w:r>
      <w:r w:rsidR="00943BE5">
        <w:t xml:space="preserve">strategic </w:t>
      </w:r>
      <w:r w:rsidR="00803E80">
        <w:t>overview of implementation</w:t>
      </w:r>
      <w:r>
        <w:t xml:space="preserve"> strategy</w:t>
      </w:r>
      <w:r w:rsidR="000C7134">
        <w:t xml:space="preserve"> </w:t>
      </w:r>
    </w:p>
    <w:p w:rsidR="005C09A8" w:rsidRPr="009B49E8" w:rsidRDefault="005C09A8" w:rsidP="009B49E8">
      <w:pPr>
        <w:pStyle w:val="Heading3"/>
        <w:rPr>
          <w:b w:val="0"/>
          <w:color w:val="000000" w:themeColor="text1"/>
        </w:rPr>
      </w:pPr>
      <w:r w:rsidRPr="001D7750">
        <w:t xml:space="preserve">Table </w:t>
      </w:r>
      <w:r>
        <w:t>1</w:t>
      </w:r>
      <w:r w:rsidRPr="001D7750">
        <w:t xml:space="preserve">: </w:t>
      </w:r>
      <w:r w:rsidR="000C7134" w:rsidRPr="009B49E8">
        <w:t>S</w:t>
      </w:r>
      <w:r w:rsidR="003D55E2" w:rsidRPr="001D7750">
        <w:t>trategic</w:t>
      </w:r>
      <w:r w:rsidR="003D55E2">
        <w:t xml:space="preserve"> overview of </w:t>
      </w:r>
      <w:r>
        <w:t>implementation</w:t>
      </w:r>
    </w:p>
    <w:tbl>
      <w:tblPr>
        <w:tblStyle w:val="TableGrid"/>
        <w:tblW w:w="9854" w:type="dxa"/>
        <w:jc w:val="center"/>
        <w:tblLook w:val="04A0" w:firstRow="1" w:lastRow="0" w:firstColumn="1" w:lastColumn="0" w:noHBand="0" w:noVBand="1"/>
      </w:tblPr>
      <w:tblGrid>
        <w:gridCol w:w="306"/>
        <w:gridCol w:w="9548"/>
      </w:tblGrid>
      <w:tr w:rsidR="000C7134" w:rsidTr="00B23AFC">
        <w:trPr>
          <w:trHeight w:val="1034"/>
          <w:jc w:val="center"/>
        </w:trPr>
        <w:tc>
          <w:tcPr>
            <w:tcW w:w="9854" w:type="dxa"/>
            <w:gridSpan w:val="2"/>
          </w:tcPr>
          <w:p w:rsidR="000C7134" w:rsidRPr="009B49E8" w:rsidRDefault="000C7134" w:rsidP="00BA2065">
            <w:pPr>
              <w:pStyle w:val="Heading2"/>
              <w:keepNext w:val="0"/>
              <w:numPr>
                <w:ilvl w:val="0"/>
                <w:numId w:val="3"/>
              </w:numPr>
              <w:outlineLvl w:val="1"/>
              <w:rPr>
                <w:sz w:val="24"/>
              </w:rPr>
            </w:pPr>
            <w:r>
              <w:rPr>
                <w:sz w:val="24"/>
              </w:rPr>
              <w:t>What is the relev</w:t>
            </w:r>
            <w:r w:rsidR="00CB70D7">
              <w:rPr>
                <w:sz w:val="24"/>
              </w:rPr>
              <w:t xml:space="preserve">ant context </w:t>
            </w:r>
            <w:r w:rsidR="00CB70D7" w:rsidRPr="00BC7895">
              <w:rPr>
                <w:sz w:val="24"/>
              </w:rPr>
              <w:t xml:space="preserve">for </w:t>
            </w:r>
            <w:r w:rsidR="00B914F6" w:rsidRPr="00BC7895">
              <w:rPr>
                <w:sz w:val="24"/>
              </w:rPr>
              <w:t>the ACT</w:t>
            </w:r>
            <w:r w:rsidR="00A817C9" w:rsidRPr="00BC7895">
              <w:rPr>
                <w:sz w:val="24"/>
              </w:rPr>
              <w:t>, including</w:t>
            </w:r>
            <w:r w:rsidR="00A817C9">
              <w:rPr>
                <w:sz w:val="24"/>
              </w:rPr>
              <w:t xml:space="preserve"> any reform directions being taken to improve homelessness outcomes</w:t>
            </w:r>
            <w:r w:rsidR="00CB70D7">
              <w:rPr>
                <w:sz w:val="24"/>
              </w:rPr>
              <w:t>?</w:t>
            </w:r>
          </w:p>
        </w:tc>
      </w:tr>
      <w:tr w:rsidR="000C7134" w:rsidTr="0034094A">
        <w:trPr>
          <w:trHeight w:val="11423"/>
          <w:jc w:val="center"/>
        </w:trPr>
        <w:tc>
          <w:tcPr>
            <w:tcW w:w="9854" w:type="dxa"/>
            <w:gridSpan w:val="2"/>
          </w:tcPr>
          <w:p w:rsidR="001D4C32" w:rsidRDefault="00BC7895" w:rsidP="00377A03">
            <w:pPr>
              <w:pStyle w:val="Normalnumbered"/>
              <w:numPr>
                <w:ilvl w:val="0"/>
                <w:numId w:val="0"/>
              </w:numPr>
              <w:spacing w:after="120"/>
              <w:ind w:left="567" w:firstLine="32"/>
            </w:pPr>
            <w:r>
              <w:t>ACT Government expenditure on specialist homelessn</w:t>
            </w:r>
            <w:r w:rsidR="00896A94">
              <w:t>ess se</w:t>
            </w:r>
            <w:r w:rsidR="007B6B1E">
              <w:t xml:space="preserve">rvices is estimated to be </w:t>
            </w:r>
            <w:r w:rsidR="007B6B1E">
              <w:br/>
              <w:t>$20.</w:t>
            </w:r>
            <w:r w:rsidR="00D27C67">
              <w:t>3</w:t>
            </w:r>
            <w:r w:rsidR="009F14A0">
              <w:t xml:space="preserve"> million in 201</w:t>
            </w:r>
            <w:r w:rsidR="00E31334">
              <w:t>7</w:t>
            </w:r>
            <w:r w:rsidR="009F14A0">
              <w:t>-1</w:t>
            </w:r>
            <w:r w:rsidR="00E31334">
              <w:t>8</w:t>
            </w:r>
            <w:r>
              <w:t xml:space="preserve">.  </w:t>
            </w:r>
            <w:r w:rsidR="007638BD">
              <w:t>NPAH funding is an important</w:t>
            </w:r>
            <w:r w:rsidR="00D87184">
              <w:t xml:space="preserve"> component of this expenditure as it is </w:t>
            </w:r>
            <w:r w:rsidR="007638BD">
              <w:t xml:space="preserve">used to address service gaps. </w:t>
            </w:r>
            <w:r>
              <w:t xml:space="preserve"> </w:t>
            </w:r>
          </w:p>
          <w:p w:rsidR="00BC7895" w:rsidRPr="00BC7895" w:rsidRDefault="00BC7895" w:rsidP="00377A03">
            <w:pPr>
              <w:pStyle w:val="Normalnumbered"/>
              <w:numPr>
                <w:ilvl w:val="0"/>
                <w:numId w:val="0"/>
              </w:numPr>
              <w:spacing w:after="120"/>
              <w:ind w:left="567" w:firstLine="32"/>
            </w:pPr>
            <w:r w:rsidRPr="00BC7895">
              <w:t>The ACT Govern</w:t>
            </w:r>
            <w:r w:rsidR="00896A94">
              <w:t xml:space="preserve">ment’s Better Services Framework </w:t>
            </w:r>
            <w:r w:rsidRPr="00BC7895">
              <w:t xml:space="preserve">provides the </w:t>
            </w:r>
            <w:r w:rsidR="00233E90">
              <w:t>structure</w:t>
            </w:r>
            <w:r w:rsidRPr="00BC7895">
              <w:t xml:space="preserve"> for integrated service delivery in the ACT</w:t>
            </w:r>
            <w:r w:rsidR="00233E90">
              <w:t xml:space="preserve"> and it ensures </w:t>
            </w:r>
            <w:r w:rsidRPr="00BC7895">
              <w:t>that people receive the right support, at the right time</w:t>
            </w:r>
            <w:r w:rsidR="00233E90">
              <w:t>, and for</w:t>
            </w:r>
            <w:r w:rsidRPr="00BC7895">
              <w:t xml:space="preserve"> the right duratio</w:t>
            </w:r>
            <w:r w:rsidR="00896A94">
              <w:t xml:space="preserve">n.  The Better Services Framework supports </w:t>
            </w:r>
            <w:r w:rsidRPr="00BC7895">
              <w:t>the delivery of ACT Government re</w:t>
            </w:r>
            <w:r w:rsidR="002A7423">
              <w:t xml:space="preserve">form priorities, including </w:t>
            </w:r>
            <w:r w:rsidRPr="00BC7895">
              <w:t>the N</w:t>
            </w:r>
            <w:r w:rsidR="002905CF">
              <w:t xml:space="preserve">ational </w:t>
            </w:r>
            <w:r w:rsidRPr="00BC7895">
              <w:t>D</w:t>
            </w:r>
            <w:r w:rsidR="002905CF">
              <w:t xml:space="preserve">isability </w:t>
            </w:r>
            <w:r w:rsidRPr="00BC7895">
              <w:t>I</w:t>
            </w:r>
            <w:r w:rsidR="002905CF">
              <w:t xml:space="preserve">nsurance </w:t>
            </w:r>
            <w:r w:rsidRPr="00BC7895">
              <w:t>S</w:t>
            </w:r>
            <w:r w:rsidR="002905CF">
              <w:t>cheme</w:t>
            </w:r>
            <w:r w:rsidRPr="00BC7895">
              <w:t>, new models of social investment</w:t>
            </w:r>
            <w:r w:rsidR="00233E90">
              <w:t>,</w:t>
            </w:r>
            <w:r w:rsidRPr="00BC7895">
              <w:t xml:space="preserve"> and </w:t>
            </w:r>
            <w:r w:rsidR="00BF6F99">
              <w:t>the Safer Families Package</w:t>
            </w:r>
            <w:r w:rsidRPr="00BC7895">
              <w:t>.</w:t>
            </w:r>
            <w:r w:rsidR="00BF6F99">
              <w:t xml:space="preserve"> </w:t>
            </w:r>
            <w:r w:rsidRPr="00BC7895">
              <w:t xml:space="preserve"> </w:t>
            </w:r>
            <w:r w:rsidR="00896A94">
              <w:t>In the ACT social housing and homelessness s</w:t>
            </w:r>
            <w:r w:rsidR="00BF6F99">
              <w:t>ervices work together with</w:t>
            </w:r>
            <w:r w:rsidR="00896A94">
              <w:t xml:space="preserve"> mainstream </w:t>
            </w:r>
            <w:r w:rsidR="00963217">
              <w:t>services to provide a</w:t>
            </w:r>
            <w:r w:rsidR="001778EB">
              <w:t xml:space="preserve"> </w:t>
            </w:r>
            <w:r w:rsidRPr="00BC7895">
              <w:t>person-centred</w:t>
            </w:r>
            <w:r w:rsidR="00233E90">
              <w:t>,</w:t>
            </w:r>
            <w:r w:rsidRPr="00BC7895">
              <w:t xml:space="preserve"> </w:t>
            </w:r>
            <w:r w:rsidR="00E67061">
              <w:t>support</w:t>
            </w:r>
            <w:r w:rsidRPr="00BC7895">
              <w:t xml:space="preserve"> focussed</w:t>
            </w:r>
            <w:r w:rsidR="001778EB">
              <w:t xml:space="preserve"> </w:t>
            </w:r>
            <w:r w:rsidR="002A7423">
              <w:t>approach</w:t>
            </w:r>
            <w:r w:rsidR="002A7423" w:rsidRPr="00BC7895">
              <w:t xml:space="preserve"> to</w:t>
            </w:r>
            <w:r w:rsidR="001778EB">
              <w:t xml:space="preserve"> </w:t>
            </w:r>
            <w:r w:rsidRPr="00BC7895">
              <w:t xml:space="preserve">building the strength and capacity of families and individuals. </w:t>
            </w:r>
            <w:r w:rsidR="00D93D82">
              <w:t>A</w:t>
            </w:r>
            <w:r w:rsidR="00D12914">
              <w:t> </w:t>
            </w:r>
            <w:r w:rsidR="00D93D82">
              <w:t>specialist homelessness services program of review and co-design</w:t>
            </w:r>
            <w:r w:rsidR="001F04B7">
              <w:t xml:space="preserve"> process</w:t>
            </w:r>
            <w:r w:rsidR="00D93D82">
              <w:t xml:space="preserve"> </w:t>
            </w:r>
            <w:r w:rsidR="001F04B7">
              <w:t>led by Housing ACT</w:t>
            </w:r>
            <w:r w:rsidR="00963217">
              <w:t xml:space="preserve"> in 2016</w:t>
            </w:r>
            <w:r w:rsidR="00D93D82">
              <w:t xml:space="preserve"> positioned the</w:t>
            </w:r>
            <w:r w:rsidR="001F04B7">
              <w:t xml:space="preserve"> specialist homelessness sector as a secondary intervention provider within the Better Services </w:t>
            </w:r>
            <w:r w:rsidR="00BF6F99">
              <w:t>Framework</w:t>
            </w:r>
            <w:r w:rsidR="002A7423">
              <w:t>. This</w:t>
            </w:r>
            <w:r w:rsidR="00D55D33">
              <w:t xml:space="preserve"> ensures that people experiencing homelessness receive an improved risk and needs assessment and increased suppo</w:t>
            </w:r>
            <w:r w:rsidR="00233E90">
              <w:t xml:space="preserve">rt </w:t>
            </w:r>
            <w:r w:rsidR="00D12914">
              <w:t xml:space="preserve">while </w:t>
            </w:r>
            <w:r w:rsidR="00233E90">
              <w:t>sustaining their tenancies</w:t>
            </w:r>
            <w:r w:rsidR="00D55D33">
              <w:t xml:space="preserve"> with more flexibility in </w:t>
            </w:r>
            <w:r w:rsidR="002A7423">
              <w:t>allocation</w:t>
            </w:r>
            <w:r w:rsidR="00D55D33">
              <w:t>, maximised use of accommodation and better management of transition.</w:t>
            </w:r>
          </w:p>
          <w:p w:rsidR="00BF6F99" w:rsidRDefault="00BF6F99" w:rsidP="00BF6F99">
            <w:pPr>
              <w:pStyle w:val="Normalnumbered"/>
              <w:numPr>
                <w:ilvl w:val="0"/>
                <w:numId w:val="0"/>
              </w:numPr>
              <w:spacing w:after="120"/>
              <w:ind w:left="567" w:hanging="567"/>
            </w:pPr>
            <w:r>
              <w:tab/>
            </w:r>
            <w:r w:rsidR="007638BD">
              <w:t xml:space="preserve">The Commonwealth focus on domestic violence </w:t>
            </w:r>
            <w:r w:rsidR="009F14A0">
              <w:t xml:space="preserve">through homelessness service delivery represents a </w:t>
            </w:r>
            <w:r w:rsidR="002905CF">
              <w:t>small proportion</w:t>
            </w:r>
            <w:r w:rsidR="009F14A0">
              <w:t xml:space="preserve"> of the ACT</w:t>
            </w:r>
            <w:r w:rsidR="002905CF">
              <w:t xml:space="preserve"> Government</w:t>
            </w:r>
            <w:r w:rsidR="009F14A0">
              <w:t>’s spending</w:t>
            </w:r>
            <w:r w:rsidR="002905CF">
              <w:t xml:space="preserve"> in this area</w:t>
            </w:r>
            <w:r w:rsidR="009F14A0">
              <w:t xml:space="preserve">.  </w:t>
            </w:r>
            <w:r w:rsidRPr="00081654">
              <w:t xml:space="preserve">The </w:t>
            </w:r>
            <w:r w:rsidR="008A1C7C">
              <w:t xml:space="preserve">ACT Government’s Safer Families Package of $21.42 million </w:t>
            </w:r>
            <w:r w:rsidRPr="00081654">
              <w:t xml:space="preserve">reflects the ACT Government’s commitment to the Second Implementation Plan for the ACT Prevention of Violence against Women and Children Strategy 2011-2017. Building on the work already done, the Office of the Coordinator General for Family Safety </w:t>
            </w:r>
            <w:r w:rsidR="008A1C7C">
              <w:t xml:space="preserve">is </w:t>
            </w:r>
            <w:r w:rsidRPr="00081654">
              <w:t>lead</w:t>
            </w:r>
            <w:r w:rsidR="008A1C7C">
              <w:t>ing a</w:t>
            </w:r>
            <w:r w:rsidRPr="00081654">
              <w:t xml:space="preserve"> whole-of-government effort to improve outcomes for women and children affected by domestic and family violence.  </w:t>
            </w:r>
            <w:r w:rsidR="008A1C7C">
              <w:t xml:space="preserve">Included </w:t>
            </w:r>
            <w:r w:rsidRPr="00081654">
              <w:t>in the Safer Families package is funding for the Domestic Violence Crisis Service and Canberra Rape Crisis Centre, translating and interpreting services for family violence specialist services, a brokerage and bond fund to assist victims with immediate expenses</w:t>
            </w:r>
            <w:r w:rsidR="00D12914">
              <w:t>.</w:t>
            </w:r>
            <w:r>
              <w:t xml:space="preserve"> </w:t>
            </w:r>
          </w:p>
          <w:p w:rsidR="00A07A5E" w:rsidRDefault="00BF6F99" w:rsidP="00D27C67">
            <w:pPr>
              <w:pStyle w:val="Normalnumbered"/>
              <w:numPr>
                <w:ilvl w:val="0"/>
                <w:numId w:val="0"/>
              </w:numPr>
              <w:spacing w:after="120"/>
              <w:ind w:left="567"/>
            </w:pPr>
            <w:r>
              <w:t xml:space="preserve">In addition to the </w:t>
            </w:r>
            <w:r w:rsidR="00D27C67">
              <w:t>$21.42 million</w:t>
            </w:r>
            <w:r w:rsidR="00A07A5E">
              <w:t xml:space="preserve"> </w:t>
            </w:r>
            <w:r>
              <w:t xml:space="preserve">Safer Families Package, </w:t>
            </w:r>
            <w:r w:rsidR="008A1C7C">
              <w:t xml:space="preserve">roughly </w:t>
            </w:r>
            <w:r>
              <w:t>$4.</w:t>
            </w:r>
            <w:r w:rsidR="00D27C67">
              <w:t>6</w:t>
            </w:r>
            <w:r>
              <w:t xml:space="preserve"> million</w:t>
            </w:r>
            <w:r w:rsidR="0034094A">
              <w:t xml:space="preserve"> (</w:t>
            </w:r>
            <w:r w:rsidR="008A1C7C">
              <w:t>2017-18</w:t>
            </w:r>
            <w:r w:rsidR="0034094A">
              <w:t>)</w:t>
            </w:r>
            <w:r>
              <w:t xml:space="preserve"> of ACT homelessness funding is specifically targeted to women (with or </w:t>
            </w:r>
            <w:r w:rsidR="004C6D9B">
              <w:t>without children) for accommoda</w:t>
            </w:r>
            <w:r>
              <w:t>tion and specialist support</w:t>
            </w:r>
            <w:r w:rsidR="00D27C67">
              <w:t xml:space="preserve">.  </w:t>
            </w:r>
          </w:p>
          <w:p w:rsidR="00BF6F99" w:rsidRPr="00B23AFC" w:rsidRDefault="00D27C67" w:rsidP="00D12914">
            <w:pPr>
              <w:pStyle w:val="Normalnumbered"/>
              <w:numPr>
                <w:ilvl w:val="0"/>
                <w:numId w:val="0"/>
              </w:numPr>
              <w:spacing w:after="120"/>
              <w:ind w:left="567"/>
            </w:pPr>
            <w:r>
              <w:t xml:space="preserve">Another $590,000 (2017-18) is provided to the Domestic Violence Crisis Service for </w:t>
            </w:r>
            <w:r w:rsidR="00D12914" w:rsidRPr="00081654">
              <w:t>Room4Change</w:t>
            </w:r>
            <w:r w:rsidR="00D12914">
              <w:t>, an</w:t>
            </w:r>
            <w:r w:rsidR="00D12914" w:rsidRPr="00081654">
              <w:t xml:space="preserve"> innovative</w:t>
            </w:r>
            <w:r w:rsidR="00D12914">
              <w:t xml:space="preserve"> therapeutic r</w:t>
            </w:r>
            <w:r w:rsidR="00D12914" w:rsidRPr="00081654">
              <w:t>esidential behaviour change program for men who use violence.</w:t>
            </w:r>
            <w:r w:rsidR="00D12914">
              <w:t xml:space="preserve">  </w:t>
            </w:r>
            <w:r w:rsidR="00A07A5E">
              <w:t>This program that actively supports women and children who have been subjected to domestic or family violence to remain safely in the family home.</w:t>
            </w:r>
          </w:p>
        </w:tc>
      </w:tr>
      <w:tr w:rsidR="000C7134" w:rsidTr="00BA2065">
        <w:trPr>
          <w:trHeight w:val="744"/>
          <w:jc w:val="center"/>
        </w:trPr>
        <w:tc>
          <w:tcPr>
            <w:tcW w:w="9854" w:type="dxa"/>
            <w:gridSpan w:val="2"/>
          </w:tcPr>
          <w:p w:rsidR="000C7134" w:rsidRPr="00A817C9" w:rsidRDefault="00CB70D7" w:rsidP="00BA2065">
            <w:pPr>
              <w:pStyle w:val="Heading2"/>
              <w:keepNext w:val="0"/>
              <w:numPr>
                <w:ilvl w:val="0"/>
                <w:numId w:val="3"/>
              </w:numPr>
              <w:outlineLvl w:val="1"/>
              <w:rPr>
                <w:sz w:val="24"/>
              </w:rPr>
            </w:pPr>
            <w:r>
              <w:rPr>
                <w:sz w:val="24"/>
              </w:rPr>
              <w:lastRenderedPageBreak/>
              <w:t xml:space="preserve">What </w:t>
            </w:r>
            <w:r w:rsidR="00753AC3">
              <w:rPr>
                <w:sz w:val="24"/>
              </w:rPr>
              <w:t xml:space="preserve">frontline </w:t>
            </w:r>
            <w:r>
              <w:rPr>
                <w:sz w:val="24"/>
              </w:rPr>
              <w:t>s</w:t>
            </w:r>
            <w:r w:rsidR="000C7134" w:rsidRPr="001B75F0">
              <w:rPr>
                <w:sz w:val="24"/>
              </w:rPr>
              <w:t xml:space="preserve">ervices or programmes </w:t>
            </w:r>
            <w:r w:rsidRPr="00BC7895">
              <w:rPr>
                <w:sz w:val="24"/>
              </w:rPr>
              <w:t>will</w:t>
            </w:r>
            <w:r w:rsidR="000C7134" w:rsidRPr="00BC7895">
              <w:rPr>
                <w:sz w:val="24"/>
              </w:rPr>
              <w:t xml:space="preserve"> </w:t>
            </w:r>
            <w:r w:rsidR="005045C1" w:rsidRPr="00BC7895">
              <w:rPr>
                <w:sz w:val="24"/>
              </w:rPr>
              <w:t xml:space="preserve">the ACT </w:t>
            </w:r>
            <w:r w:rsidR="000C7134" w:rsidRPr="00BC7895">
              <w:rPr>
                <w:sz w:val="24"/>
              </w:rPr>
              <w:t>deliver</w:t>
            </w:r>
            <w:r w:rsidR="000C7134" w:rsidRPr="001B75F0">
              <w:rPr>
                <w:sz w:val="24"/>
              </w:rPr>
              <w:t xml:space="preserve"> </w:t>
            </w:r>
            <w:r w:rsidR="008C11C9" w:rsidRPr="001B75F0">
              <w:rPr>
                <w:sz w:val="24"/>
              </w:rPr>
              <w:t xml:space="preserve">in </w:t>
            </w:r>
            <w:r w:rsidR="008C11C9">
              <w:rPr>
                <w:sz w:val="24"/>
              </w:rPr>
              <w:t>2017</w:t>
            </w:r>
            <w:r w:rsidR="006D35B6">
              <w:rPr>
                <w:sz w:val="24"/>
              </w:rPr>
              <w:t>-</w:t>
            </w:r>
            <w:r w:rsidR="000C7134" w:rsidRPr="001B75F0">
              <w:rPr>
                <w:sz w:val="24"/>
              </w:rPr>
              <w:t>1</w:t>
            </w:r>
            <w:r w:rsidR="004C76BE">
              <w:rPr>
                <w:sz w:val="24"/>
              </w:rPr>
              <w:t>8</w:t>
            </w:r>
            <w:r w:rsidR="000C7134" w:rsidRPr="001B75F0">
              <w:rPr>
                <w:sz w:val="24"/>
              </w:rPr>
              <w:t xml:space="preserve"> to meet the outcomes of the Agreement</w:t>
            </w:r>
            <w:r w:rsidR="00C26ECE">
              <w:rPr>
                <w:sz w:val="24"/>
              </w:rPr>
              <w:t>?</w:t>
            </w:r>
          </w:p>
        </w:tc>
      </w:tr>
      <w:tr w:rsidR="00EC1529" w:rsidTr="00BA2065">
        <w:trPr>
          <w:trHeight w:val="1500"/>
          <w:jc w:val="center"/>
        </w:trPr>
        <w:tc>
          <w:tcPr>
            <w:tcW w:w="9854" w:type="dxa"/>
            <w:gridSpan w:val="2"/>
          </w:tcPr>
          <w:p w:rsidR="00BC7895" w:rsidRDefault="00BC7895" w:rsidP="0034094A">
            <w:pPr>
              <w:pStyle w:val="Normalnumbered"/>
              <w:numPr>
                <w:ilvl w:val="0"/>
                <w:numId w:val="0"/>
              </w:numPr>
              <w:tabs>
                <w:tab w:val="left" w:pos="310"/>
              </w:tabs>
              <w:spacing w:before="120" w:after="120"/>
              <w:ind w:left="310"/>
            </w:pPr>
            <w:r w:rsidRPr="007638BD">
              <w:t xml:space="preserve">The ACT supports the </w:t>
            </w:r>
            <w:r w:rsidR="0034094A">
              <w:t xml:space="preserve">Commonwealth’s </w:t>
            </w:r>
            <w:r w:rsidRPr="007638BD">
              <w:t>priori</w:t>
            </w:r>
            <w:r w:rsidR="00233E90">
              <w:t>ty focus on initiatives that</w:t>
            </w:r>
            <w:r w:rsidRPr="007638BD">
              <w:t xml:space="preserve"> address domestic violence </w:t>
            </w:r>
            <w:r w:rsidR="002905CF">
              <w:t xml:space="preserve">and youth </w:t>
            </w:r>
            <w:r w:rsidR="007638BD" w:rsidRPr="007638BD">
              <w:t>homelessness in N</w:t>
            </w:r>
            <w:r w:rsidR="0034094A">
              <w:t>ational Partnership Agreement on Homelessness</w:t>
            </w:r>
            <w:r w:rsidR="002905CF">
              <w:t xml:space="preserve">.  The ACT also supports the continuing focus on services </w:t>
            </w:r>
            <w:r w:rsidR="00DB076E">
              <w:t xml:space="preserve">designed </w:t>
            </w:r>
            <w:r w:rsidR="002905CF">
              <w:t xml:space="preserve">to address a </w:t>
            </w:r>
            <w:r w:rsidR="00DB076E">
              <w:t>range</w:t>
            </w:r>
            <w:r w:rsidR="002905CF">
              <w:t xml:space="preserve"> of factors contributing to homelessness</w:t>
            </w:r>
            <w:r w:rsidR="00DB076E">
              <w:t xml:space="preserve"> in the Territory</w:t>
            </w:r>
            <w:r w:rsidR="002905CF">
              <w:t>.</w:t>
            </w:r>
          </w:p>
          <w:p w:rsidR="0034094A" w:rsidRPr="007638BD" w:rsidRDefault="0034094A" w:rsidP="0034094A">
            <w:pPr>
              <w:pStyle w:val="Normalnumbered"/>
              <w:numPr>
                <w:ilvl w:val="0"/>
                <w:numId w:val="0"/>
              </w:numPr>
              <w:spacing w:before="120" w:after="120"/>
              <w:ind w:left="310"/>
            </w:pPr>
            <w:r>
              <w:t>In 2017-18, the ACT Government will deliver the following services to meet the outcomes of the Agreement:</w:t>
            </w:r>
          </w:p>
          <w:p w:rsidR="00233E90" w:rsidRPr="007638BD" w:rsidRDefault="00233E90" w:rsidP="00233E90">
            <w:pPr>
              <w:pStyle w:val="Normalnumbered"/>
              <w:numPr>
                <w:ilvl w:val="0"/>
                <w:numId w:val="4"/>
              </w:numPr>
              <w:spacing w:after="60"/>
              <w:ind w:left="714" w:hanging="357"/>
            </w:pPr>
            <w:r w:rsidRPr="007638BD">
              <w:t>Sustaining Tenancies Service</w:t>
            </w:r>
            <w:r>
              <w:t>: I</w:t>
            </w:r>
            <w:r w:rsidRPr="007638BD">
              <w:t>ntensive case management and early intervention targeted at those at risk of losing their housing and becoming homeless.</w:t>
            </w:r>
          </w:p>
          <w:p w:rsidR="00233E90" w:rsidRDefault="00233E90" w:rsidP="00233E90">
            <w:pPr>
              <w:pStyle w:val="Normalnumbered"/>
              <w:numPr>
                <w:ilvl w:val="0"/>
                <w:numId w:val="4"/>
              </w:numPr>
              <w:spacing w:after="60"/>
              <w:ind w:left="714" w:hanging="357"/>
            </w:pPr>
            <w:r>
              <w:t xml:space="preserve">Heira Domestic Violence Supported Accommodation </w:t>
            </w:r>
            <w:r w:rsidRPr="007638BD">
              <w:t>Program</w:t>
            </w:r>
            <w:r>
              <w:t>: A</w:t>
            </w:r>
            <w:r w:rsidRPr="007638BD">
              <w:t xml:space="preserve">ccommodation and </w:t>
            </w:r>
            <w:r>
              <w:t>support</w:t>
            </w:r>
            <w:r w:rsidRPr="007638BD">
              <w:t xml:space="preserve"> for women experiencing domestic violence.</w:t>
            </w:r>
          </w:p>
          <w:p w:rsidR="00233E90" w:rsidRPr="007638BD" w:rsidRDefault="00233E90" w:rsidP="00233E90">
            <w:pPr>
              <w:pStyle w:val="Normalnumbered"/>
              <w:numPr>
                <w:ilvl w:val="0"/>
                <w:numId w:val="4"/>
              </w:numPr>
              <w:spacing w:after="60"/>
              <w:ind w:left="714" w:hanging="357"/>
            </w:pPr>
            <w:r w:rsidRPr="007638BD">
              <w:t xml:space="preserve">The </w:t>
            </w:r>
            <w:r>
              <w:t>Managed Accommodation Program: A</w:t>
            </w:r>
            <w:r w:rsidRPr="007638BD">
              <w:t xml:space="preserve">ccommodation and support for single men </w:t>
            </w:r>
            <w:r>
              <w:t>exiting the corrections system</w:t>
            </w:r>
            <w:r w:rsidRPr="007638BD">
              <w:t xml:space="preserve">. </w:t>
            </w:r>
          </w:p>
          <w:p w:rsidR="00233E90" w:rsidRDefault="00233E90" w:rsidP="00233E90">
            <w:pPr>
              <w:pStyle w:val="Normalnumbered"/>
              <w:numPr>
                <w:ilvl w:val="0"/>
                <w:numId w:val="4"/>
              </w:numPr>
              <w:spacing w:after="60"/>
              <w:ind w:left="714" w:hanging="357"/>
            </w:pPr>
            <w:r w:rsidRPr="007638BD">
              <w:t xml:space="preserve">Our Place: Youth Integrated Education Accommodation </w:t>
            </w:r>
            <w:r>
              <w:t>program providing</w:t>
            </w:r>
            <w:r w:rsidRPr="007638BD">
              <w:t xml:space="preserve"> </w:t>
            </w:r>
            <w:r>
              <w:t xml:space="preserve">accommodation and </w:t>
            </w:r>
            <w:r w:rsidRPr="007638BD">
              <w:t>support for young people to engage in education and training.</w:t>
            </w:r>
          </w:p>
          <w:p w:rsidR="00EC1529" w:rsidRPr="007638BD" w:rsidRDefault="007C7951" w:rsidP="00BA2065">
            <w:pPr>
              <w:pStyle w:val="Normalnumbered"/>
              <w:numPr>
                <w:ilvl w:val="0"/>
                <w:numId w:val="4"/>
              </w:numPr>
              <w:spacing w:after="60"/>
              <w:ind w:left="714" w:hanging="357"/>
            </w:pPr>
            <w:r>
              <w:t>OneLink</w:t>
            </w:r>
            <w:r w:rsidR="00EC1529" w:rsidRPr="007638BD">
              <w:t xml:space="preserve"> (Central </w:t>
            </w:r>
            <w:r>
              <w:t>Access</w:t>
            </w:r>
            <w:r w:rsidR="001E2999">
              <w:t xml:space="preserve"> Point): Central information and access point for the ACT Specialist Homelessness Sector.</w:t>
            </w:r>
          </w:p>
          <w:p w:rsidR="00EC1529" w:rsidRPr="007638BD" w:rsidRDefault="00EC1529" w:rsidP="00BA2065">
            <w:pPr>
              <w:pStyle w:val="Normalnumbered"/>
              <w:numPr>
                <w:ilvl w:val="0"/>
                <w:numId w:val="4"/>
              </w:numPr>
              <w:spacing w:after="60"/>
              <w:ind w:left="714" w:hanging="357"/>
            </w:pPr>
            <w:r w:rsidRPr="007638BD">
              <w:t>Street to Home: Assertive engagement for people experiencing chronic homelessness (particularly rough sleepers) helping them to re-engage with support services to establish and sustain a successful tenancy.</w:t>
            </w:r>
          </w:p>
          <w:p w:rsidR="003A44AE" w:rsidRPr="00A11A37" w:rsidRDefault="00233E90" w:rsidP="003A44AE">
            <w:pPr>
              <w:pStyle w:val="Normalnumbered"/>
              <w:numPr>
                <w:ilvl w:val="0"/>
                <w:numId w:val="4"/>
              </w:numPr>
              <w:spacing w:after="60"/>
              <w:ind w:left="714" w:hanging="357"/>
            </w:pPr>
            <w:r>
              <w:t xml:space="preserve">The Head Lease Program: </w:t>
            </w:r>
            <w:r w:rsidR="00A11A37">
              <w:t>Specialised support for public housing tenants</w:t>
            </w:r>
            <w:r w:rsidR="004D003A">
              <w:t xml:space="preserve"> at risk of eviction</w:t>
            </w:r>
            <w:r w:rsidR="00A11A37">
              <w:t xml:space="preserve"> to manage and sustain their tenancies.</w:t>
            </w:r>
          </w:p>
          <w:p w:rsidR="00B46A17" w:rsidRDefault="00B46A17" w:rsidP="00BA2065">
            <w:pPr>
              <w:pStyle w:val="Normalnumbered"/>
              <w:numPr>
                <w:ilvl w:val="0"/>
                <w:numId w:val="4"/>
              </w:numPr>
              <w:spacing w:after="60"/>
              <w:ind w:left="714" w:hanging="357"/>
            </w:pPr>
            <w:r>
              <w:t>Beryl Women Inc: Accommodation and support for women in need of immediate safety due to domestic or family violence.</w:t>
            </w:r>
          </w:p>
          <w:p w:rsidR="00EC1529" w:rsidRPr="00233E90" w:rsidRDefault="00B46A17" w:rsidP="00233E90">
            <w:pPr>
              <w:pStyle w:val="Normalnumbered"/>
              <w:numPr>
                <w:ilvl w:val="0"/>
                <w:numId w:val="4"/>
              </w:numPr>
              <w:spacing w:after="60"/>
              <w:ind w:left="714" w:hanging="357"/>
            </w:pPr>
            <w:r>
              <w:t>Doris Women’s Refuge: Accommodation and support for women in need of immediate safety due to domestic or family violence.</w:t>
            </w:r>
          </w:p>
        </w:tc>
      </w:tr>
      <w:tr w:rsidR="000C7134" w:rsidTr="00BA2065">
        <w:trPr>
          <w:trHeight w:val="565"/>
          <w:jc w:val="center"/>
        </w:trPr>
        <w:tc>
          <w:tcPr>
            <w:tcW w:w="9854" w:type="dxa"/>
            <w:gridSpan w:val="2"/>
          </w:tcPr>
          <w:p w:rsidR="004D003A" w:rsidRPr="004D003A" w:rsidRDefault="00CB70D7" w:rsidP="004D003A">
            <w:pPr>
              <w:pStyle w:val="Heading2"/>
              <w:keepNext w:val="0"/>
              <w:numPr>
                <w:ilvl w:val="0"/>
                <w:numId w:val="3"/>
              </w:numPr>
              <w:outlineLvl w:val="1"/>
              <w:rPr>
                <w:sz w:val="24"/>
              </w:rPr>
            </w:pPr>
            <w:r>
              <w:rPr>
                <w:sz w:val="24"/>
              </w:rPr>
              <w:t xml:space="preserve">How </w:t>
            </w:r>
            <w:r w:rsidRPr="00BC7895">
              <w:rPr>
                <w:sz w:val="24"/>
              </w:rPr>
              <w:t xml:space="preserve">will </w:t>
            </w:r>
            <w:r w:rsidR="001814BD" w:rsidRPr="00BC7895">
              <w:rPr>
                <w:sz w:val="24"/>
              </w:rPr>
              <w:t>the ACT</w:t>
            </w:r>
            <w:r w:rsidR="000C7134" w:rsidRPr="00BC7895">
              <w:rPr>
                <w:sz w:val="24"/>
              </w:rPr>
              <w:t xml:space="preserve"> focus on</w:t>
            </w:r>
            <w:r w:rsidRPr="00BC7895">
              <w:rPr>
                <w:sz w:val="24"/>
              </w:rPr>
              <w:t xml:space="preserve"> the</w:t>
            </w:r>
            <w:r>
              <w:rPr>
                <w:sz w:val="24"/>
              </w:rPr>
              <w:t xml:space="preserve"> priority outputs</w:t>
            </w:r>
            <w:r w:rsidR="00EA784E">
              <w:rPr>
                <w:sz w:val="24"/>
              </w:rPr>
              <w:t xml:space="preserve">, including where this will draw on </w:t>
            </w:r>
            <w:r w:rsidR="008533F6">
              <w:rPr>
                <w:sz w:val="24"/>
              </w:rPr>
              <w:t>any new or current innovative</w:t>
            </w:r>
            <w:r w:rsidR="00EA784E">
              <w:rPr>
                <w:sz w:val="24"/>
              </w:rPr>
              <w:t xml:space="preserve"> approaches</w:t>
            </w:r>
            <w:r w:rsidR="000C7134" w:rsidRPr="009B49E8">
              <w:rPr>
                <w:sz w:val="24"/>
              </w:rPr>
              <w:t>?</w:t>
            </w:r>
          </w:p>
        </w:tc>
      </w:tr>
      <w:tr w:rsidR="000C7134" w:rsidTr="00A11A37">
        <w:trPr>
          <w:trHeight w:val="134"/>
          <w:jc w:val="center"/>
        </w:trPr>
        <w:tc>
          <w:tcPr>
            <w:tcW w:w="9854" w:type="dxa"/>
            <w:gridSpan w:val="2"/>
          </w:tcPr>
          <w:p w:rsidR="00DB294B" w:rsidRDefault="0094525E" w:rsidP="004D003A">
            <w:pPr>
              <w:pStyle w:val="Normalnumbered"/>
              <w:numPr>
                <w:ilvl w:val="0"/>
                <w:numId w:val="0"/>
              </w:numPr>
              <w:spacing w:after="120"/>
              <w:ind w:left="567" w:firstLine="32"/>
            </w:pPr>
            <w:r w:rsidRPr="007638BD">
              <w:t>The ACT</w:t>
            </w:r>
            <w:r w:rsidR="007238FB" w:rsidRPr="007638BD">
              <w:t xml:space="preserve"> will address the </w:t>
            </w:r>
            <w:r w:rsidR="00965D9A">
              <w:t xml:space="preserve">Commonwealth’s </w:t>
            </w:r>
            <w:r w:rsidR="007238FB" w:rsidRPr="007638BD">
              <w:t>domestic and family violence prio</w:t>
            </w:r>
            <w:r w:rsidR="00DB294B">
              <w:t xml:space="preserve">rity by allocating funding to three </w:t>
            </w:r>
            <w:r w:rsidR="007238FB" w:rsidRPr="007638BD">
              <w:t xml:space="preserve">well established and effective accommodation and </w:t>
            </w:r>
            <w:r w:rsidR="00797E93">
              <w:t xml:space="preserve">support </w:t>
            </w:r>
            <w:r w:rsidR="007238FB" w:rsidRPr="007638BD">
              <w:t>service</w:t>
            </w:r>
            <w:r w:rsidR="00797E93">
              <w:t>s</w:t>
            </w:r>
            <w:r w:rsidR="007238FB" w:rsidRPr="007638BD">
              <w:t xml:space="preserve"> for wo</w:t>
            </w:r>
            <w:r w:rsidR="0070036B">
              <w:t xml:space="preserve">men </w:t>
            </w:r>
            <w:r w:rsidR="00797E93">
              <w:t xml:space="preserve">escaping </w:t>
            </w:r>
            <w:r w:rsidR="0070036B">
              <w:t>domestic violence</w:t>
            </w:r>
            <w:r w:rsidR="00DB294B">
              <w:t>:</w:t>
            </w:r>
          </w:p>
          <w:p w:rsidR="0094525E" w:rsidRDefault="005832B4" w:rsidP="004D003A">
            <w:pPr>
              <w:pStyle w:val="Normalnumbered"/>
              <w:numPr>
                <w:ilvl w:val="0"/>
                <w:numId w:val="16"/>
              </w:numPr>
              <w:spacing w:after="120"/>
              <w:ind w:left="883" w:hanging="284"/>
            </w:pPr>
            <w:r>
              <w:t>Heira</w:t>
            </w:r>
            <w:r w:rsidR="0070036B" w:rsidRPr="0070036B">
              <w:t xml:space="preserve"> </w:t>
            </w:r>
            <w:r>
              <w:t>Domestic Violence</w:t>
            </w:r>
            <w:r w:rsidR="0070036B" w:rsidRPr="0070036B">
              <w:t xml:space="preserve"> </w:t>
            </w:r>
            <w:r>
              <w:t xml:space="preserve">Supported Accommodation Program </w:t>
            </w:r>
            <w:r w:rsidR="0070036B" w:rsidRPr="0070036B">
              <w:t>provides</w:t>
            </w:r>
            <w:r w:rsidR="00096A15">
              <w:t xml:space="preserve"> </w:t>
            </w:r>
            <w:r w:rsidR="0070036B" w:rsidRPr="0070036B">
              <w:t>accommodation, case management and support includ</w:t>
            </w:r>
            <w:r w:rsidR="00541096">
              <w:t>ing</w:t>
            </w:r>
            <w:r w:rsidR="0070036B" w:rsidRPr="0070036B">
              <w:t xml:space="preserve"> advocacy, referrals and help with safety planning</w:t>
            </w:r>
            <w:r w:rsidR="00541096">
              <w:t xml:space="preserve">.  Assistance </w:t>
            </w:r>
            <w:r w:rsidR="0070036B" w:rsidRPr="0070036B">
              <w:t xml:space="preserve">may include </w:t>
            </w:r>
            <w:r w:rsidR="002508C5">
              <w:t xml:space="preserve">help to: </w:t>
            </w:r>
            <w:r w:rsidR="0070036B" w:rsidRPr="0070036B">
              <w:t>access legal orders</w:t>
            </w:r>
            <w:r w:rsidR="002508C5">
              <w:t>;</w:t>
            </w:r>
            <w:r w:rsidR="0070036B" w:rsidRPr="0070036B">
              <w:t xml:space="preserve"> </w:t>
            </w:r>
            <w:r w:rsidR="002508C5">
              <w:t>address immigration issues;</w:t>
            </w:r>
            <w:r w:rsidR="00541096">
              <w:t xml:space="preserve"> </w:t>
            </w:r>
            <w:r w:rsidR="002508C5">
              <w:t xml:space="preserve">budget; </w:t>
            </w:r>
            <w:r w:rsidR="0070036B" w:rsidRPr="0070036B">
              <w:t>build a community support network</w:t>
            </w:r>
            <w:r w:rsidR="002508C5">
              <w:t>;</w:t>
            </w:r>
            <w:r w:rsidR="0070036B" w:rsidRPr="0070036B">
              <w:t xml:space="preserve"> </w:t>
            </w:r>
            <w:r w:rsidR="002508C5">
              <w:t xml:space="preserve">and </w:t>
            </w:r>
            <w:r w:rsidR="0070036B" w:rsidRPr="0070036B">
              <w:t>obtain independent</w:t>
            </w:r>
            <w:r w:rsidR="002508C5">
              <w:t>,</w:t>
            </w:r>
            <w:r w:rsidR="00797E93">
              <w:t xml:space="preserve"> stable accommodation;</w:t>
            </w:r>
          </w:p>
          <w:p w:rsidR="00797E93" w:rsidRDefault="00797E93" w:rsidP="004D003A">
            <w:pPr>
              <w:pStyle w:val="Normalnumbered"/>
              <w:numPr>
                <w:ilvl w:val="0"/>
                <w:numId w:val="16"/>
              </w:numPr>
              <w:spacing w:after="120"/>
              <w:ind w:left="883" w:hanging="284"/>
            </w:pPr>
            <w:r>
              <w:t>Beryl Women Inc supports women (with or without accompanying children) who are in need of immediate safety due to domestic or family violence; and</w:t>
            </w:r>
          </w:p>
          <w:p w:rsidR="00797E93" w:rsidRDefault="00797E93" w:rsidP="004D003A">
            <w:pPr>
              <w:pStyle w:val="Normalnumbered"/>
              <w:numPr>
                <w:ilvl w:val="0"/>
                <w:numId w:val="16"/>
              </w:numPr>
              <w:spacing w:after="120"/>
              <w:ind w:left="883" w:hanging="284"/>
            </w:pPr>
            <w:r>
              <w:t>Doris Women’s Refuge supports women (with or without accompanying children) who are in need of immediate safety due to domestic or family violence.</w:t>
            </w:r>
          </w:p>
          <w:p w:rsidR="00D45083" w:rsidRPr="004D003A" w:rsidRDefault="007238FB" w:rsidP="004D003A">
            <w:pPr>
              <w:pStyle w:val="Normalnumbered"/>
              <w:numPr>
                <w:ilvl w:val="0"/>
                <w:numId w:val="0"/>
              </w:numPr>
              <w:spacing w:after="120"/>
              <w:ind w:left="567"/>
            </w:pPr>
            <w:r w:rsidRPr="007638BD">
              <w:t xml:space="preserve">The </w:t>
            </w:r>
            <w:r w:rsidR="00965D9A">
              <w:t xml:space="preserve">Commonwealth’s </w:t>
            </w:r>
            <w:r w:rsidRPr="007638BD">
              <w:t xml:space="preserve">youth priority will be met through </w:t>
            </w:r>
            <w:r w:rsidR="00797E93">
              <w:t xml:space="preserve">continued funding of Our Place </w:t>
            </w:r>
            <w:r w:rsidRPr="007638BD">
              <w:t>which support</w:t>
            </w:r>
            <w:r w:rsidR="00974D8B">
              <w:t>s</w:t>
            </w:r>
            <w:r w:rsidRPr="007638BD">
              <w:t xml:space="preserve"> young people </w:t>
            </w:r>
            <w:r w:rsidR="00EE3CD6">
              <w:t>who have experienced, or been at risk of,</w:t>
            </w:r>
            <w:r w:rsidRPr="007638BD">
              <w:t xml:space="preserve"> homelessness</w:t>
            </w:r>
            <w:r w:rsidR="00974D8B">
              <w:t xml:space="preserve">. </w:t>
            </w:r>
            <w:r w:rsidR="00974D8B" w:rsidRPr="0045227D">
              <w:rPr>
                <w:sz w:val="20"/>
                <w:szCs w:val="20"/>
              </w:rPr>
              <w:t xml:space="preserve"> </w:t>
            </w:r>
            <w:r w:rsidR="00974D8B" w:rsidRPr="00974D8B">
              <w:t xml:space="preserve">The </w:t>
            </w:r>
            <w:r w:rsidR="00EE3CD6">
              <w:t>p</w:t>
            </w:r>
            <w:r w:rsidR="00974D8B" w:rsidRPr="00974D8B">
              <w:t>rogram</w:t>
            </w:r>
            <w:r w:rsidR="00974D8B">
              <w:t xml:space="preserve"> </w:t>
            </w:r>
            <w:r w:rsidR="00974D8B" w:rsidRPr="00974D8B">
              <w:t>provide</w:t>
            </w:r>
            <w:r w:rsidR="00B54D76">
              <w:t>s</w:t>
            </w:r>
            <w:r w:rsidR="00974D8B" w:rsidRPr="00974D8B">
              <w:t xml:space="preserve"> an integrated service delivery response to young people</w:t>
            </w:r>
            <w:r w:rsidR="00797E93">
              <w:t xml:space="preserve"> aged 16-25</w:t>
            </w:r>
            <w:r w:rsidR="00974D8B" w:rsidRPr="00974D8B">
              <w:t xml:space="preserve">, </w:t>
            </w:r>
            <w:r w:rsidR="00CA1906">
              <w:t xml:space="preserve">through supported accommodation and </w:t>
            </w:r>
            <w:r w:rsidR="00974D8B" w:rsidRPr="00974D8B">
              <w:t>case management, to ensure they remain engaged in education or training.</w:t>
            </w:r>
            <w:r w:rsidR="00EE3CD6">
              <w:t xml:space="preserve"> Young people must be </w:t>
            </w:r>
            <w:r w:rsidR="00CA1906">
              <w:t>studying (</w:t>
            </w:r>
            <w:r w:rsidR="00A11A37">
              <w:t>e.g.</w:t>
            </w:r>
            <w:r w:rsidR="00CA1906">
              <w:t xml:space="preserve"> at school, university or</w:t>
            </w:r>
            <w:r w:rsidR="00EE3CD6">
              <w:t xml:space="preserve"> </w:t>
            </w:r>
            <w:r w:rsidR="00965D9A">
              <w:t>TAFE</w:t>
            </w:r>
            <w:r w:rsidR="00CA1906">
              <w:t>)</w:t>
            </w:r>
            <w:r w:rsidR="00EE3CD6">
              <w:t xml:space="preserve"> or undertaking an </w:t>
            </w:r>
            <w:r w:rsidR="00CA1906">
              <w:t xml:space="preserve">apprenticeship </w:t>
            </w:r>
            <w:r w:rsidR="00EE3CD6">
              <w:t>to access the program</w:t>
            </w:r>
            <w:r w:rsidR="004D003A">
              <w:t>.</w:t>
            </w:r>
          </w:p>
        </w:tc>
      </w:tr>
      <w:tr w:rsidR="00A54AD1" w:rsidTr="00BA2065">
        <w:trPr>
          <w:trHeight w:val="1118"/>
          <w:jc w:val="center"/>
        </w:trPr>
        <w:tc>
          <w:tcPr>
            <w:tcW w:w="9854" w:type="dxa"/>
            <w:gridSpan w:val="2"/>
          </w:tcPr>
          <w:p w:rsidR="00A54AD1" w:rsidRPr="00864429" w:rsidRDefault="00A54AD1" w:rsidP="00BA2065">
            <w:pPr>
              <w:pStyle w:val="Heading2"/>
              <w:keepNext w:val="0"/>
              <w:numPr>
                <w:ilvl w:val="0"/>
                <w:numId w:val="3"/>
              </w:numPr>
              <w:outlineLvl w:val="1"/>
              <w:rPr>
                <w:sz w:val="24"/>
              </w:rPr>
            </w:pPr>
            <w:r w:rsidRPr="00A54AD1">
              <w:rPr>
                <w:sz w:val="24"/>
              </w:rPr>
              <w:lastRenderedPageBreak/>
              <w:t>Which geographical area</w:t>
            </w:r>
            <w:r w:rsidRPr="00864429">
              <w:rPr>
                <w:sz w:val="24"/>
              </w:rPr>
              <w:t xml:space="preserve">(s) will </w:t>
            </w:r>
            <w:r w:rsidR="00B6594A" w:rsidRPr="00BC7895">
              <w:rPr>
                <w:sz w:val="24"/>
              </w:rPr>
              <w:t>the ACT</w:t>
            </w:r>
            <w:r w:rsidRPr="00BC7895">
              <w:rPr>
                <w:sz w:val="24"/>
              </w:rPr>
              <w:t xml:space="preserve"> prioritise</w:t>
            </w:r>
            <w:r w:rsidRPr="00A54AD1">
              <w:rPr>
                <w:sz w:val="24"/>
              </w:rPr>
              <w:t xml:space="preserve"> in  201</w:t>
            </w:r>
            <w:r w:rsidR="004C76BE">
              <w:rPr>
                <w:sz w:val="24"/>
              </w:rPr>
              <w:t>7</w:t>
            </w:r>
            <w:r w:rsidRPr="00A54AD1">
              <w:rPr>
                <w:sz w:val="24"/>
              </w:rPr>
              <w:t>-1</w:t>
            </w:r>
            <w:r w:rsidR="004C76BE">
              <w:rPr>
                <w:sz w:val="24"/>
              </w:rPr>
              <w:t>8</w:t>
            </w:r>
            <w:r w:rsidRPr="00A54AD1">
              <w:rPr>
                <w:sz w:val="24"/>
              </w:rPr>
              <w:t xml:space="preserve"> when considering </w:t>
            </w:r>
            <w:r w:rsidR="00427FAE">
              <w:rPr>
                <w:sz w:val="24"/>
              </w:rPr>
              <w:t>allocation of funding to</w:t>
            </w:r>
            <w:r w:rsidRPr="00864429">
              <w:rPr>
                <w:sz w:val="24"/>
              </w:rPr>
              <w:t xml:space="preserve"> the priority outputs listed at clause 1</w:t>
            </w:r>
            <w:r w:rsidR="00C817D8">
              <w:rPr>
                <w:sz w:val="24"/>
              </w:rPr>
              <w:t>5</w:t>
            </w:r>
            <w:r w:rsidRPr="00864429">
              <w:rPr>
                <w:sz w:val="24"/>
              </w:rPr>
              <w:t>(a), 1</w:t>
            </w:r>
            <w:r w:rsidR="00C817D8">
              <w:rPr>
                <w:sz w:val="24"/>
              </w:rPr>
              <w:t>5</w:t>
            </w:r>
            <w:r w:rsidRPr="00864429">
              <w:rPr>
                <w:sz w:val="24"/>
              </w:rPr>
              <w:t>(b) and 1</w:t>
            </w:r>
            <w:r w:rsidR="00C817D8">
              <w:rPr>
                <w:sz w:val="24"/>
              </w:rPr>
              <w:t>5</w:t>
            </w:r>
            <w:r w:rsidRPr="00864429">
              <w:rPr>
                <w:sz w:val="24"/>
              </w:rPr>
              <w:t>(c) of the Agreement, and what services are being provided to these areas?</w:t>
            </w:r>
          </w:p>
        </w:tc>
      </w:tr>
      <w:tr w:rsidR="00A54AD1" w:rsidTr="00BA2065">
        <w:trPr>
          <w:trHeight w:val="1125"/>
          <w:jc w:val="center"/>
        </w:trPr>
        <w:tc>
          <w:tcPr>
            <w:tcW w:w="9854" w:type="dxa"/>
            <w:gridSpan w:val="2"/>
          </w:tcPr>
          <w:p w:rsidR="00591364" w:rsidRDefault="00591364" w:rsidP="00377A03">
            <w:pPr>
              <w:pStyle w:val="Normalnumbered"/>
              <w:numPr>
                <w:ilvl w:val="0"/>
                <w:numId w:val="0"/>
              </w:numPr>
              <w:spacing w:before="120" w:after="120"/>
              <w:ind w:left="567" w:firstLine="32"/>
            </w:pPr>
            <w:r w:rsidRPr="007638BD">
              <w:t xml:space="preserve">There are no geographical areas in the Territory where significant need has been identified, that requires specific allocation of </w:t>
            </w:r>
            <w:r w:rsidR="00241408">
              <w:t xml:space="preserve">NPAH </w:t>
            </w:r>
            <w:r w:rsidRPr="007638BD">
              <w:t>funding for the priority outputs.</w:t>
            </w:r>
            <w:r>
              <w:t xml:space="preserve">  </w:t>
            </w:r>
          </w:p>
          <w:p w:rsidR="009B1465" w:rsidRDefault="00591364" w:rsidP="00377A03">
            <w:pPr>
              <w:pStyle w:val="Normalnumbered"/>
              <w:numPr>
                <w:ilvl w:val="0"/>
                <w:numId w:val="0"/>
              </w:numPr>
              <w:spacing w:before="120" w:after="120"/>
              <w:ind w:left="567" w:firstLine="32"/>
            </w:pPr>
            <w:r>
              <w:t>Previous analysis has shown the Socio-economic Indexes for Individuals (SEIFI) provides a better measure of relative socio-economic disadvantage in Canberra than</w:t>
            </w:r>
            <w:r w:rsidR="00241408">
              <w:t xml:space="preserve"> the area based measure SEIFA. </w:t>
            </w:r>
            <w:r>
              <w:t>This is because the ACT has one of the highest proportions of ‘diverse’ suburbs, where some of the most advantaged and disadvantaged individuals l</w:t>
            </w:r>
            <w:r w:rsidR="00241408">
              <w:t xml:space="preserve">ive in the same neighbourhood. </w:t>
            </w:r>
            <w:r>
              <w:t>Instead of ‘averaging out’</w:t>
            </w:r>
            <w:r w:rsidR="00241408">
              <w:t xml:space="preserve"> the disadvantage in a defined area</w:t>
            </w:r>
            <w:r>
              <w:t>,</w:t>
            </w:r>
            <w:r w:rsidR="00241408">
              <w:t xml:space="preserve"> the SEIFI measure reveals </w:t>
            </w:r>
            <w:r>
              <w:t xml:space="preserve">small pockets of disadvantage across the </w:t>
            </w:r>
            <w:r w:rsidR="00241408">
              <w:t>ACT. As a s</w:t>
            </w:r>
            <w:r>
              <w:t xml:space="preserve">mall </w:t>
            </w:r>
            <w:r w:rsidRPr="007638BD">
              <w:t xml:space="preserve">jurisdiction with </w:t>
            </w:r>
            <w:r>
              <w:t xml:space="preserve">dispersed pockets of disadvantage, </w:t>
            </w:r>
            <w:r w:rsidR="00241408">
              <w:t xml:space="preserve">specialist homelessness services </w:t>
            </w:r>
            <w:r>
              <w:t xml:space="preserve">have not been established on the basis of </w:t>
            </w:r>
            <w:r w:rsidR="00241408">
              <w:t xml:space="preserve">disadvantaged </w:t>
            </w:r>
            <w:r>
              <w:t>geographical areas</w:t>
            </w:r>
            <w:r w:rsidR="009B1465">
              <w:t>, as may occur in larger jurisdictions</w:t>
            </w:r>
            <w:r>
              <w:t xml:space="preserve">. </w:t>
            </w:r>
          </w:p>
          <w:p w:rsidR="00F53915" w:rsidRPr="00241408" w:rsidRDefault="009B1465" w:rsidP="00377A03">
            <w:pPr>
              <w:pStyle w:val="Normalnumbered"/>
              <w:numPr>
                <w:ilvl w:val="0"/>
                <w:numId w:val="0"/>
              </w:numPr>
              <w:spacing w:before="120" w:after="120"/>
              <w:ind w:left="567" w:firstLine="32"/>
            </w:pPr>
            <w:r>
              <w:t>Everyone living</w:t>
            </w:r>
            <w:r w:rsidRPr="007638BD">
              <w:t xml:space="preserve"> in </w:t>
            </w:r>
            <w:r>
              <w:t>the ACT has access to s</w:t>
            </w:r>
            <w:r w:rsidRPr="007638BD">
              <w:t xml:space="preserve">pecialist homelessness services </w:t>
            </w:r>
            <w:r>
              <w:t xml:space="preserve">through the extensive public transport network. </w:t>
            </w:r>
            <w:r w:rsidR="00241408">
              <w:t>All NPAH services listed in Table 2 below provide coverage across ACT postcodes: 2600-2612; 2614-2618; 2620; 2900-2906; 2911-2914.</w:t>
            </w:r>
            <w:r w:rsidR="00197400" w:rsidRPr="007638BD">
              <w:t xml:space="preserve">   </w:t>
            </w:r>
          </w:p>
        </w:tc>
      </w:tr>
      <w:tr w:rsidR="00A54AD1" w:rsidRPr="00660FB4" w:rsidTr="00BA2065">
        <w:trPr>
          <w:trHeight w:val="549"/>
          <w:jc w:val="center"/>
        </w:trPr>
        <w:tc>
          <w:tcPr>
            <w:tcW w:w="9854" w:type="dxa"/>
            <w:gridSpan w:val="2"/>
          </w:tcPr>
          <w:p w:rsidR="00A54AD1" w:rsidRPr="00660FB4" w:rsidRDefault="00A54AD1" w:rsidP="00BA2065">
            <w:pPr>
              <w:pStyle w:val="Heading2"/>
              <w:keepNext w:val="0"/>
              <w:numPr>
                <w:ilvl w:val="0"/>
                <w:numId w:val="3"/>
              </w:numPr>
              <w:outlineLvl w:val="1"/>
              <w:rPr>
                <w:sz w:val="24"/>
              </w:rPr>
            </w:pPr>
            <w:r w:rsidRPr="00660FB4">
              <w:rPr>
                <w:sz w:val="24"/>
              </w:rPr>
              <w:t xml:space="preserve">Broadly, what level of </w:t>
            </w:r>
            <w:r>
              <w:rPr>
                <w:sz w:val="24"/>
              </w:rPr>
              <w:t xml:space="preserve">NPAH </w:t>
            </w:r>
            <w:r w:rsidRPr="00660FB4">
              <w:rPr>
                <w:sz w:val="24"/>
              </w:rPr>
              <w:t xml:space="preserve">funding </w:t>
            </w:r>
            <w:r w:rsidRPr="009F14A0">
              <w:rPr>
                <w:sz w:val="24"/>
              </w:rPr>
              <w:t xml:space="preserve">does </w:t>
            </w:r>
            <w:r w:rsidR="00B6594A" w:rsidRPr="009F14A0">
              <w:rPr>
                <w:sz w:val="24"/>
              </w:rPr>
              <w:t>the ACT</w:t>
            </w:r>
            <w:r w:rsidRPr="009F14A0">
              <w:rPr>
                <w:sz w:val="24"/>
              </w:rPr>
              <w:t xml:space="preserve"> expect to </w:t>
            </w:r>
            <w:r w:rsidR="00FD0557" w:rsidRPr="009F14A0">
              <w:rPr>
                <w:sz w:val="24"/>
              </w:rPr>
              <w:t>allocate</w:t>
            </w:r>
            <w:r w:rsidR="00FD0557">
              <w:rPr>
                <w:sz w:val="24"/>
              </w:rPr>
              <w:t xml:space="preserve"> </w:t>
            </w:r>
            <w:r>
              <w:rPr>
                <w:sz w:val="24"/>
              </w:rPr>
              <w:t xml:space="preserve">to </w:t>
            </w:r>
            <w:r w:rsidRPr="00660FB4">
              <w:rPr>
                <w:sz w:val="24"/>
              </w:rPr>
              <w:t xml:space="preserve">domestic and family violence, and youth homelessness </w:t>
            </w:r>
            <w:r w:rsidR="001E2999" w:rsidRPr="00660FB4">
              <w:rPr>
                <w:sz w:val="24"/>
              </w:rPr>
              <w:t>in 2017</w:t>
            </w:r>
            <w:r w:rsidRPr="00660FB4">
              <w:rPr>
                <w:sz w:val="24"/>
              </w:rPr>
              <w:t>-1</w:t>
            </w:r>
            <w:r w:rsidR="007C7951">
              <w:rPr>
                <w:sz w:val="24"/>
              </w:rPr>
              <w:t>8</w:t>
            </w:r>
          </w:p>
        </w:tc>
      </w:tr>
      <w:tr w:rsidR="00A54AD1" w:rsidRPr="00660FB4" w:rsidTr="007C7951">
        <w:trPr>
          <w:trHeight w:val="812"/>
          <w:jc w:val="center"/>
        </w:trPr>
        <w:tc>
          <w:tcPr>
            <w:tcW w:w="306" w:type="dxa"/>
          </w:tcPr>
          <w:p w:rsidR="00831F1E" w:rsidRPr="001814BD" w:rsidRDefault="00831F1E" w:rsidP="0070036B">
            <w:pPr>
              <w:pStyle w:val="Normalnumbered"/>
              <w:numPr>
                <w:ilvl w:val="0"/>
                <w:numId w:val="0"/>
              </w:numPr>
              <w:ind w:left="567" w:hanging="567"/>
              <w:rPr>
                <w:color w:val="1903BD"/>
                <w:sz w:val="24"/>
              </w:rPr>
            </w:pPr>
          </w:p>
        </w:tc>
        <w:tc>
          <w:tcPr>
            <w:tcW w:w="9548" w:type="dxa"/>
          </w:tcPr>
          <w:p w:rsidR="0070036B" w:rsidRDefault="00A54AD1" w:rsidP="00C97562">
            <w:pPr>
              <w:pStyle w:val="Normalnumbered"/>
              <w:numPr>
                <w:ilvl w:val="0"/>
                <w:numId w:val="0"/>
              </w:numPr>
              <w:ind w:left="927" w:hanging="567"/>
            </w:pPr>
            <w:r w:rsidRPr="00660FB4">
              <w:rPr>
                <w:sz w:val="24"/>
              </w:rPr>
              <w:t>201</w:t>
            </w:r>
            <w:r w:rsidR="007C7951">
              <w:rPr>
                <w:sz w:val="24"/>
              </w:rPr>
              <w:t>7</w:t>
            </w:r>
            <w:r w:rsidRPr="00660FB4">
              <w:rPr>
                <w:sz w:val="24"/>
              </w:rPr>
              <w:t>-1</w:t>
            </w:r>
            <w:r w:rsidR="007C7951">
              <w:rPr>
                <w:sz w:val="24"/>
              </w:rPr>
              <w:t>8</w:t>
            </w:r>
            <w:r w:rsidRPr="00660FB4">
              <w:rPr>
                <w:sz w:val="24"/>
              </w:rPr>
              <w:t>:</w:t>
            </w:r>
            <w:r w:rsidR="001D7926">
              <w:rPr>
                <w:sz w:val="24"/>
              </w:rPr>
              <w:t xml:space="preserve"> </w:t>
            </w:r>
            <w:r w:rsidR="002E10E7">
              <w:t>$9</w:t>
            </w:r>
            <w:r w:rsidR="00A71DAD">
              <w:t xml:space="preserve">94,870 </w:t>
            </w:r>
            <w:r w:rsidR="0070036B">
              <w:t>(</w:t>
            </w:r>
            <w:r w:rsidR="002E10E7">
              <w:t>3</w:t>
            </w:r>
            <w:r w:rsidR="00C817D8">
              <w:t>2</w:t>
            </w:r>
            <w:r w:rsidR="00A71DAD">
              <w:t>%</w:t>
            </w:r>
            <w:r w:rsidR="0070036B">
              <w:t xml:space="preserve">) </w:t>
            </w:r>
            <w:r w:rsidR="001814BD" w:rsidRPr="007638BD">
              <w:t>direct allocation</w:t>
            </w:r>
            <w:r w:rsidR="00831F1E" w:rsidRPr="007638BD">
              <w:t xml:space="preserve"> to</w:t>
            </w:r>
            <w:r w:rsidR="0070036B">
              <w:t>:</w:t>
            </w:r>
            <w:r w:rsidR="00831F1E" w:rsidRPr="007638BD">
              <w:t xml:space="preserve"> </w:t>
            </w:r>
          </w:p>
          <w:p w:rsidR="0070036B" w:rsidRDefault="000E7528" w:rsidP="0070036B">
            <w:pPr>
              <w:pStyle w:val="Normalnumbered"/>
              <w:numPr>
                <w:ilvl w:val="0"/>
                <w:numId w:val="6"/>
              </w:numPr>
            </w:pPr>
            <w:r>
              <w:t xml:space="preserve">Heira Domestic Violence Supported Accommodation Program </w:t>
            </w:r>
            <w:r w:rsidR="0070036B">
              <w:t>($340,926)</w:t>
            </w:r>
            <w:r>
              <w:t>;</w:t>
            </w:r>
            <w:r w:rsidR="0070036B">
              <w:t xml:space="preserve"> </w:t>
            </w:r>
            <w:r w:rsidR="00831F1E" w:rsidRPr="007638BD">
              <w:t xml:space="preserve"> </w:t>
            </w:r>
          </w:p>
          <w:p w:rsidR="003E472D" w:rsidRDefault="002E10E7" w:rsidP="0070036B">
            <w:pPr>
              <w:pStyle w:val="Normalnumbered"/>
              <w:numPr>
                <w:ilvl w:val="0"/>
                <w:numId w:val="6"/>
              </w:numPr>
            </w:pPr>
            <w:r>
              <w:t>Beryl Women Inc ($100,000);</w:t>
            </w:r>
          </w:p>
          <w:p w:rsidR="002E10E7" w:rsidRDefault="003E472D" w:rsidP="0070036B">
            <w:pPr>
              <w:pStyle w:val="Normalnumbered"/>
              <w:numPr>
                <w:ilvl w:val="0"/>
                <w:numId w:val="6"/>
              </w:numPr>
            </w:pPr>
            <w:r>
              <w:t>Doris Women’s Refuge ($100,000); and</w:t>
            </w:r>
          </w:p>
          <w:p w:rsidR="003E472D" w:rsidRDefault="003E472D" w:rsidP="003E472D">
            <w:pPr>
              <w:pStyle w:val="Normalnumbered"/>
              <w:numPr>
                <w:ilvl w:val="0"/>
                <w:numId w:val="6"/>
              </w:numPr>
            </w:pPr>
            <w:r w:rsidRPr="007638BD">
              <w:t>Our Place</w:t>
            </w:r>
            <w:r>
              <w:t xml:space="preserve"> ($453,944).</w:t>
            </w:r>
          </w:p>
          <w:p w:rsidR="00A56EDF" w:rsidRDefault="00A56EDF" w:rsidP="00A56EDF">
            <w:pPr>
              <w:pStyle w:val="Normalnumbered"/>
              <w:numPr>
                <w:ilvl w:val="0"/>
                <w:numId w:val="0"/>
              </w:numPr>
              <w:ind w:left="567" w:hanging="567"/>
            </w:pPr>
          </w:p>
          <w:p w:rsidR="003E472D" w:rsidRDefault="003E472D" w:rsidP="00C97562">
            <w:pPr>
              <w:pStyle w:val="Normalnumbered"/>
              <w:numPr>
                <w:ilvl w:val="0"/>
                <w:numId w:val="0"/>
              </w:numPr>
              <w:ind w:left="431"/>
            </w:pPr>
            <w:r>
              <w:t>The 2017-18 NPAH increases the ACT Government’s commitment to domestic and family violence and youth</w:t>
            </w:r>
            <w:r w:rsidR="00A56EDF">
              <w:t xml:space="preserve"> </w:t>
            </w:r>
            <w:r w:rsidR="00233E90">
              <w:t xml:space="preserve">homelessness in </w:t>
            </w:r>
            <w:r>
              <w:t>2015-17 NPAH from 28% to 33%.</w:t>
            </w:r>
          </w:p>
          <w:p w:rsidR="00831F1E" w:rsidRPr="003E472D" w:rsidRDefault="00831F1E" w:rsidP="003E472D">
            <w:pPr>
              <w:pStyle w:val="Normalnumbered"/>
              <w:numPr>
                <w:ilvl w:val="0"/>
                <w:numId w:val="0"/>
              </w:numPr>
            </w:pPr>
          </w:p>
        </w:tc>
      </w:tr>
      <w:tr w:rsidR="00A54AD1" w:rsidRPr="009F14A0" w:rsidTr="00BA2065">
        <w:trPr>
          <w:trHeight w:val="549"/>
          <w:jc w:val="center"/>
        </w:trPr>
        <w:tc>
          <w:tcPr>
            <w:tcW w:w="9854" w:type="dxa"/>
            <w:gridSpan w:val="2"/>
          </w:tcPr>
          <w:p w:rsidR="00A54AD1" w:rsidRPr="009F14A0" w:rsidRDefault="00A54AD1" w:rsidP="00BA2065">
            <w:pPr>
              <w:pStyle w:val="Heading2"/>
              <w:keepNext w:val="0"/>
              <w:numPr>
                <w:ilvl w:val="0"/>
                <w:numId w:val="3"/>
              </w:numPr>
              <w:outlineLvl w:val="1"/>
              <w:rPr>
                <w:sz w:val="24"/>
              </w:rPr>
            </w:pPr>
            <w:r w:rsidRPr="009F14A0">
              <w:rPr>
                <w:sz w:val="24"/>
              </w:rPr>
              <w:t xml:space="preserve">What is the expected level of </w:t>
            </w:r>
            <w:r w:rsidR="00103E0F" w:rsidRPr="009F14A0">
              <w:rPr>
                <w:sz w:val="24"/>
              </w:rPr>
              <w:t>homelessness service delivery expenditure for</w:t>
            </w:r>
            <w:r w:rsidR="00B6594A" w:rsidRPr="009F14A0">
              <w:rPr>
                <w:sz w:val="24"/>
              </w:rPr>
              <w:t xml:space="preserve"> the</w:t>
            </w:r>
            <w:r w:rsidR="00103E0F" w:rsidRPr="009F14A0">
              <w:rPr>
                <w:sz w:val="24"/>
              </w:rPr>
              <w:t xml:space="preserve"> </w:t>
            </w:r>
            <w:r w:rsidR="00B6594A" w:rsidRPr="009F14A0">
              <w:rPr>
                <w:sz w:val="24"/>
              </w:rPr>
              <w:t>ACT</w:t>
            </w:r>
            <w:r w:rsidR="00103E0F" w:rsidRPr="009F14A0">
              <w:rPr>
                <w:sz w:val="24"/>
              </w:rPr>
              <w:t xml:space="preserve"> </w:t>
            </w:r>
            <w:r w:rsidRPr="009F14A0">
              <w:rPr>
                <w:sz w:val="24"/>
              </w:rPr>
              <w:t xml:space="preserve">under the NPAH </w:t>
            </w:r>
            <w:r w:rsidR="002E10E7">
              <w:rPr>
                <w:sz w:val="24"/>
              </w:rPr>
              <w:t xml:space="preserve">in </w:t>
            </w:r>
            <w:r w:rsidRPr="009F14A0">
              <w:rPr>
                <w:sz w:val="24"/>
              </w:rPr>
              <w:t>201</w:t>
            </w:r>
            <w:r w:rsidR="007C7951">
              <w:rPr>
                <w:sz w:val="24"/>
              </w:rPr>
              <w:t>7</w:t>
            </w:r>
            <w:r w:rsidRPr="009F14A0">
              <w:rPr>
                <w:sz w:val="24"/>
              </w:rPr>
              <w:t>-1</w:t>
            </w:r>
            <w:r w:rsidR="007C7951">
              <w:rPr>
                <w:sz w:val="24"/>
              </w:rPr>
              <w:t>8</w:t>
            </w:r>
            <w:r w:rsidRPr="009F14A0">
              <w:rPr>
                <w:sz w:val="24"/>
              </w:rPr>
              <w:t>?</w:t>
            </w:r>
          </w:p>
        </w:tc>
      </w:tr>
      <w:tr w:rsidR="00A54AD1" w:rsidTr="00F81077">
        <w:trPr>
          <w:trHeight w:val="581"/>
          <w:jc w:val="center"/>
        </w:trPr>
        <w:tc>
          <w:tcPr>
            <w:tcW w:w="306" w:type="dxa"/>
          </w:tcPr>
          <w:p w:rsidR="00A54AD1" w:rsidRPr="006D0A9F" w:rsidRDefault="00A54AD1" w:rsidP="00057FC5">
            <w:pPr>
              <w:pStyle w:val="Normalnumbered"/>
              <w:keepLines/>
              <w:numPr>
                <w:ilvl w:val="0"/>
                <w:numId w:val="0"/>
              </w:numPr>
              <w:spacing w:after="240" w:line="260" w:lineRule="exact"/>
              <w:ind w:left="567" w:hanging="567"/>
              <w:jc w:val="both"/>
              <w:rPr>
                <w:sz w:val="24"/>
              </w:rPr>
            </w:pPr>
          </w:p>
        </w:tc>
        <w:tc>
          <w:tcPr>
            <w:tcW w:w="9548" w:type="dxa"/>
          </w:tcPr>
          <w:p w:rsidR="0052457C" w:rsidRDefault="00F81077">
            <w:pPr>
              <w:pStyle w:val="Normalnumbered"/>
              <w:keepLines/>
              <w:numPr>
                <w:ilvl w:val="0"/>
                <w:numId w:val="0"/>
              </w:numPr>
              <w:spacing w:after="240" w:line="260" w:lineRule="exact"/>
              <w:ind w:left="567" w:hanging="136"/>
              <w:jc w:val="both"/>
            </w:pPr>
            <w:r>
              <w:t>2017-18 Total</w:t>
            </w:r>
            <w:r w:rsidR="00233E90">
              <w:t>: $3.10 million in matched Commonwealth and ACT Government contributions</w:t>
            </w:r>
            <w:r>
              <w:t xml:space="preserve"> (</w:t>
            </w:r>
            <w:r w:rsidRPr="008A1C7C">
              <w:t>including SACS award</w:t>
            </w:r>
            <w:r>
              <w:t>)</w:t>
            </w:r>
          </w:p>
        </w:tc>
      </w:tr>
    </w:tbl>
    <w:p w:rsidR="005C09A8" w:rsidRDefault="005C09A8" w:rsidP="001C40F8">
      <w:pPr>
        <w:pStyle w:val="Heading2"/>
        <w:sectPr w:rsidR="005C09A8" w:rsidSect="00D45083">
          <w:headerReference w:type="even" r:id="rId8"/>
          <w:headerReference w:type="default" r:id="rId9"/>
          <w:footerReference w:type="even" r:id="rId10"/>
          <w:footerReference w:type="default" r:id="rId11"/>
          <w:headerReference w:type="first" r:id="rId12"/>
          <w:footerReference w:type="first" r:id="rId13"/>
          <w:pgSz w:w="11906" w:h="16838" w:code="9"/>
          <w:pgMar w:top="851" w:right="1440" w:bottom="166" w:left="1440" w:header="624" w:footer="0" w:gutter="0"/>
          <w:pgNumType w:start="1"/>
          <w:cols w:space="708"/>
          <w:docGrid w:linePitch="360"/>
        </w:sectPr>
      </w:pPr>
    </w:p>
    <w:p w:rsidR="00803E80" w:rsidRDefault="00564313" w:rsidP="009B49E8">
      <w:pPr>
        <w:pStyle w:val="Heading1"/>
      </w:pPr>
      <w:r>
        <w:lastRenderedPageBreak/>
        <w:t xml:space="preserve">part </w:t>
      </w:r>
      <w:r w:rsidR="006D330C">
        <w:t>two</w:t>
      </w:r>
      <w:r>
        <w:t>:</w:t>
      </w:r>
      <w:r w:rsidR="00803E80">
        <w:t xml:space="preserve"> </w:t>
      </w:r>
      <w:r w:rsidR="006D330C">
        <w:t xml:space="preserve">IMPLEMENTATION </w:t>
      </w:r>
      <w:r w:rsidR="00803E80">
        <w:t xml:space="preserve">INFORMATION FOR </w:t>
      </w:r>
      <w:r w:rsidR="006D330C">
        <w:t>INITIATIVEs</w:t>
      </w:r>
      <w:r w:rsidR="00D97BD4">
        <w:t xml:space="preserve">, </w:t>
      </w:r>
      <w:r w:rsidR="006D330C">
        <w:t xml:space="preserve">and </w:t>
      </w:r>
      <w:r w:rsidR="00D97BD4">
        <w:t xml:space="preserve">Expected </w:t>
      </w:r>
      <w:r w:rsidR="006D330C">
        <w:t>reporting</w:t>
      </w:r>
    </w:p>
    <w:p w:rsidR="00626601" w:rsidRDefault="00626601" w:rsidP="00626601">
      <w:pPr>
        <w:pStyle w:val="Heading3"/>
      </w:pPr>
      <w:r w:rsidRPr="00A17D70">
        <w:t xml:space="preserve">Table </w:t>
      </w:r>
      <w:r w:rsidR="001C40F8">
        <w:t>2</w:t>
      </w:r>
      <w:r w:rsidRPr="00A17D70">
        <w:t xml:space="preserve">: </w:t>
      </w:r>
      <w:r w:rsidR="00F7766D">
        <w:t>Description of initiatives including services funding under each initiative</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6"/>
        <w:gridCol w:w="1547"/>
        <w:gridCol w:w="4235"/>
        <w:gridCol w:w="1129"/>
        <w:gridCol w:w="2821"/>
        <w:gridCol w:w="985"/>
        <w:gridCol w:w="988"/>
        <w:gridCol w:w="1129"/>
        <w:gridCol w:w="1556"/>
      </w:tblGrid>
      <w:tr w:rsidR="0070695D" w:rsidRPr="00F7766D" w:rsidTr="0070695D">
        <w:trPr>
          <w:cantSplit/>
          <w:trHeight w:val="2210"/>
        </w:trPr>
        <w:tc>
          <w:tcPr>
            <w:tcW w:w="107" w:type="pct"/>
            <w:shd w:val="clear" w:color="auto" w:fill="E6E6E6"/>
          </w:tcPr>
          <w:p w:rsidR="0070695D" w:rsidRPr="00F7766D" w:rsidRDefault="0070695D" w:rsidP="00426F7D">
            <w:pPr>
              <w:rPr>
                <w:b/>
              </w:rPr>
            </w:pPr>
          </w:p>
        </w:tc>
        <w:tc>
          <w:tcPr>
            <w:tcW w:w="526" w:type="pct"/>
            <w:shd w:val="clear" w:color="auto" w:fill="E6E6E6"/>
          </w:tcPr>
          <w:p w:rsidR="0070695D" w:rsidRPr="00FB204B" w:rsidRDefault="0070695D" w:rsidP="00F7766D">
            <w:pPr>
              <w:rPr>
                <w:b/>
                <w:sz w:val="18"/>
                <w:szCs w:val="18"/>
              </w:rPr>
            </w:pPr>
            <w:r w:rsidRPr="00FB204B">
              <w:rPr>
                <w:b/>
                <w:sz w:val="18"/>
                <w:szCs w:val="18"/>
              </w:rPr>
              <w:t>*Initiative Title</w:t>
            </w:r>
          </w:p>
        </w:tc>
        <w:tc>
          <w:tcPr>
            <w:tcW w:w="1440" w:type="pct"/>
            <w:shd w:val="clear" w:color="auto" w:fill="E6E6E6"/>
          </w:tcPr>
          <w:p w:rsidR="0070695D" w:rsidRPr="00FB204B" w:rsidRDefault="0070695D" w:rsidP="00590C23">
            <w:pPr>
              <w:rPr>
                <w:b/>
                <w:sz w:val="18"/>
                <w:szCs w:val="18"/>
              </w:rPr>
            </w:pPr>
            <w:r w:rsidRPr="00FB204B">
              <w:rPr>
                <w:b/>
                <w:sz w:val="18"/>
                <w:szCs w:val="18"/>
              </w:rPr>
              <w:t>Short description of Initiative</w:t>
            </w:r>
          </w:p>
        </w:tc>
        <w:tc>
          <w:tcPr>
            <w:tcW w:w="384" w:type="pct"/>
            <w:shd w:val="clear" w:color="auto" w:fill="E6E6E6"/>
          </w:tcPr>
          <w:p w:rsidR="0070695D" w:rsidRPr="00FB204B" w:rsidRDefault="0070695D" w:rsidP="00715A12">
            <w:pPr>
              <w:rPr>
                <w:b/>
                <w:sz w:val="18"/>
                <w:szCs w:val="18"/>
              </w:rPr>
            </w:pPr>
            <w:r w:rsidRPr="00FB204B">
              <w:rPr>
                <w:b/>
                <w:sz w:val="18"/>
                <w:szCs w:val="18"/>
              </w:rPr>
              <w:t xml:space="preserve">Output/s addressed (refer to Clause </w:t>
            </w:r>
            <w:r>
              <w:rPr>
                <w:b/>
                <w:sz w:val="18"/>
                <w:szCs w:val="18"/>
              </w:rPr>
              <w:t>15</w:t>
            </w:r>
            <w:r w:rsidRPr="00FB204B">
              <w:rPr>
                <w:b/>
                <w:sz w:val="18"/>
                <w:szCs w:val="18"/>
              </w:rPr>
              <w:t xml:space="preserve"> of NP)</w:t>
            </w:r>
          </w:p>
        </w:tc>
        <w:tc>
          <w:tcPr>
            <w:tcW w:w="959" w:type="pct"/>
            <w:shd w:val="clear" w:color="auto" w:fill="E6E6E6"/>
          </w:tcPr>
          <w:p w:rsidR="0070695D" w:rsidRPr="00FB204B" w:rsidRDefault="0070695D">
            <w:pPr>
              <w:rPr>
                <w:b/>
                <w:sz w:val="18"/>
                <w:szCs w:val="18"/>
              </w:rPr>
            </w:pPr>
            <w:r w:rsidRPr="00FB204B">
              <w:rPr>
                <w:b/>
                <w:sz w:val="18"/>
                <w:szCs w:val="18"/>
              </w:rPr>
              <w:t>Name of Service Provider/s</w:t>
            </w:r>
          </w:p>
        </w:tc>
        <w:tc>
          <w:tcPr>
            <w:tcW w:w="335" w:type="pct"/>
            <w:shd w:val="clear" w:color="auto" w:fill="E6E6E6"/>
          </w:tcPr>
          <w:p w:rsidR="0070695D" w:rsidRPr="00FB204B" w:rsidRDefault="0070695D" w:rsidP="005C3A49">
            <w:pPr>
              <w:rPr>
                <w:b/>
                <w:sz w:val="18"/>
                <w:szCs w:val="18"/>
              </w:rPr>
            </w:pPr>
            <w:r w:rsidRPr="00FB204B">
              <w:rPr>
                <w:b/>
                <w:sz w:val="18"/>
                <w:szCs w:val="18"/>
              </w:rPr>
              <w:t>In-scope for SHSC – Yes/No</w:t>
            </w:r>
          </w:p>
        </w:tc>
        <w:tc>
          <w:tcPr>
            <w:tcW w:w="336" w:type="pct"/>
            <w:shd w:val="clear" w:color="auto" w:fill="E6E6E6"/>
          </w:tcPr>
          <w:p w:rsidR="0070695D" w:rsidRPr="00FB204B" w:rsidRDefault="0070695D" w:rsidP="00F025A1">
            <w:pPr>
              <w:rPr>
                <w:b/>
                <w:sz w:val="18"/>
                <w:szCs w:val="18"/>
              </w:rPr>
            </w:pPr>
            <w:r w:rsidRPr="00FB204B">
              <w:rPr>
                <w:b/>
                <w:sz w:val="18"/>
                <w:szCs w:val="18"/>
              </w:rPr>
              <w:t>Seeking Exemption – Yes/No</w:t>
            </w:r>
          </w:p>
        </w:tc>
        <w:tc>
          <w:tcPr>
            <w:tcW w:w="384" w:type="pct"/>
            <w:shd w:val="clear" w:color="auto" w:fill="E6E6E6"/>
          </w:tcPr>
          <w:p w:rsidR="0070695D" w:rsidRPr="00FB204B" w:rsidRDefault="0070695D" w:rsidP="006034F5">
            <w:pPr>
              <w:rPr>
                <w:b/>
                <w:sz w:val="18"/>
                <w:szCs w:val="18"/>
              </w:rPr>
            </w:pPr>
            <w:r w:rsidRPr="00FB204B">
              <w:rPr>
                <w:b/>
                <w:sz w:val="18"/>
                <w:szCs w:val="18"/>
              </w:rPr>
              <w:t>***</w:t>
            </w:r>
          </w:p>
          <w:p w:rsidR="0070695D" w:rsidRPr="00FB204B" w:rsidRDefault="0070695D" w:rsidP="00442999">
            <w:pPr>
              <w:rPr>
                <w:b/>
                <w:sz w:val="18"/>
                <w:szCs w:val="18"/>
              </w:rPr>
            </w:pPr>
            <w:r w:rsidRPr="00FB204B">
              <w:rPr>
                <w:b/>
                <w:sz w:val="18"/>
                <w:szCs w:val="18"/>
              </w:rPr>
              <w:t>Exemption Granted by C’wealth</w:t>
            </w:r>
            <w:r w:rsidRPr="00FB204B">
              <w:rPr>
                <w:b/>
                <w:sz w:val="18"/>
                <w:szCs w:val="18"/>
              </w:rPr>
              <w:br/>
              <w:t>– Yes/No</w:t>
            </w:r>
          </w:p>
        </w:tc>
        <w:tc>
          <w:tcPr>
            <w:tcW w:w="529" w:type="pct"/>
            <w:shd w:val="clear" w:color="auto" w:fill="E6E6E6"/>
          </w:tcPr>
          <w:p w:rsidR="0070695D" w:rsidRPr="00FB204B" w:rsidRDefault="0070695D" w:rsidP="008346B7">
            <w:pPr>
              <w:rPr>
                <w:b/>
                <w:sz w:val="18"/>
                <w:szCs w:val="18"/>
              </w:rPr>
            </w:pPr>
            <w:r w:rsidRPr="00FB204B">
              <w:rPr>
                <w:b/>
                <w:sz w:val="18"/>
                <w:szCs w:val="18"/>
              </w:rPr>
              <w:t>Requirement for SHSC exempt services and services not in scope: Estimated yearly number of clients to be assisted by service</w:t>
            </w:r>
          </w:p>
        </w:tc>
      </w:tr>
      <w:tr w:rsidR="0070695D" w:rsidRPr="000A72D2" w:rsidTr="0070695D">
        <w:trPr>
          <w:cantSplit/>
          <w:trHeight w:val="278"/>
        </w:trPr>
        <w:tc>
          <w:tcPr>
            <w:tcW w:w="107" w:type="pct"/>
          </w:tcPr>
          <w:p w:rsidR="0070695D" w:rsidRPr="000A72D2" w:rsidRDefault="0070695D" w:rsidP="00FC1204">
            <w:pPr>
              <w:jc w:val="center"/>
            </w:pPr>
            <w:r>
              <w:t>1</w:t>
            </w:r>
          </w:p>
        </w:tc>
        <w:tc>
          <w:tcPr>
            <w:tcW w:w="526" w:type="pct"/>
          </w:tcPr>
          <w:p w:rsidR="0070695D" w:rsidRPr="0045227D" w:rsidRDefault="0070695D" w:rsidP="00FC1204">
            <w:pPr>
              <w:rPr>
                <w:sz w:val="20"/>
                <w:szCs w:val="20"/>
              </w:rPr>
            </w:pPr>
            <w:r w:rsidRPr="0045227D">
              <w:rPr>
                <w:sz w:val="20"/>
                <w:szCs w:val="20"/>
              </w:rPr>
              <w:t xml:space="preserve"> Supportive Tenancy Service (STS)</w:t>
            </w:r>
          </w:p>
        </w:tc>
        <w:tc>
          <w:tcPr>
            <w:tcW w:w="1440" w:type="pct"/>
          </w:tcPr>
          <w:p w:rsidR="0070695D" w:rsidRPr="0045227D" w:rsidRDefault="0070695D" w:rsidP="00FC1204">
            <w:pPr>
              <w:rPr>
                <w:sz w:val="20"/>
                <w:szCs w:val="20"/>
              </w:rPr>
            </w:pPr>
            <w:r w:rsidRPr="0045227D">
              <w:rPr>
                <w:sz w:val="20"/>
                <w:szCs w:val="20"/>
              </w:rPr>
              <w:t>Th</w:t>
            </w:r>
            <w:r>
              <w:rPr>
                <w:sz w:val="20"/>
                <w:szCs w:val="20"/>
              </w:rPr>
              <w:t>is</w:t>
            </w:r>
            <w:r w:rsidRPr="0045227D">
              <w:rPr>
                <w:sz w:val="20"/>
                <w:szCs w:val="20"/>
              </w:rPr>
              <w:t xml:space="preserve"> </w:t>
            </w:r>
            <w:r>
              <w:rPr>
                <w:sz w:val="20"/>
                <w:szCs w:val="20"/>
              </w:rPr>
              <w:t>service</w:t>
            </w:r>
            <w:r w:rsidRPr="0045227D">
              <w:rPr>
                <w:sz w:val="20"/>
                <w:szCs w:val="20"/>
              </w:rPr>
              <w:t xml:space="preserve"> provides intensive case management for over 700 clients across a range of tenures, including social housing, private rental and home ownership. The service has a strong focus on early intervention</w:t>
            </w:r>
            <w:r>
              <w:rPr>
                <w:sz w:val="20"/>
                <w:szCs w:val="20"/>
              </w:rPr>
              <w:t xml:space="preserve"> and is</w:t>
            </w:r>
            <w:r w:rsidRPr="0045227D">
              <w:rPr>
                <w:sz w:val="20"/>
                <w:szCs w:val="20"/>
              </w:rPr>
              <w:t xml:space="preserve"> targeted at those at risk of losing their housing and becoming homeless.</w:t>
            </w:r>
          </w:p>
          <w:p w:rsidR="0070695D" w:rsidRPr="0045227D" w:rsidRDefault="0070695D" w:rsidP="00FC1204">
            <w:pPr>
              <w:rPr>
                <w:sz w:val="20"/>
                <w:szCs w:val="20"/>
              </w:rPr>
            </w:pPr>
          </w:p>
        </w:tc>
        <w:tc>
          <w:tcPr>
            <w:tcW w:w="384" w:type="pct"/>
          </w:tcPr>
          <w:p w:rsidR="0070695D" w:rsidRPr="0045227D" w:rsidRDefault="0070695D" w:rsidP="00FC1204">
            <w:pPr>
              <w:rPr>
                <w:sz w:val="20"/>
                <w:szCs w:val="20"/>
              </w:rPr>
            </w:pPr>
            <w:r>
              <w:rPr>
                <w:sz w:val="20"/>
                <w:szCs w:val="20"/>
              </w:rPr>
              <w:t>15(k</w:t>
            </w:r>
            <w:r w:rsidRPr="0045227D">
              <w:rPr>
                <w:sz w:val="20"/>
                <w:szCs w:val="20"/>
              </w:rPr>
              <w:t xml:space="preserve">) </w:t>
            </w:r>
          </w:p>
          <w:p w:rsidR="0070695D" w:rsidRPr="0045227D" w:rsidRDefault="0070695D" w:rsidP="00FC1204">
            <w:pPr>
              <w:rPr>
                <w:sz w:val="20"/>
                <w:szCs w:val="20"/>
              </w:rPr>
            </w:pPr>
          </w:p>
        </w:tc>
        <w:tc>
          <w:tcPr>
            <w:tcW w:w="959" w:type="pct"/>
          </w:tcPr>
          <w:p w:rsidR="0070695D" w:rsidRPr="0045227D" w:rsidRDefault="0070695D" w:rsidP="004B2D0B">
            <w:pPr>
              <w:rPr>
                <w:sz w:val="20"/>
                <w:szCs w:val="20"/>
              </w:rPr>
            </w:pPr>
            <w:r w:rsidRPr="0045227D">
              <w:rPr>
                <w:sz w:val="20"/>
                <w:szCs w:val="20"/>
              </w:rPr>
              <w:t>Woden Community Service in partnership w</w:t>
            </w:r>
            <w:r>
              <w:rPr>
                <w:sz w:val="20"/>
                <w:szCs w:val="20"/>
              </w:rPr>
              <w:t>ith Belconnen Community Service</w:t>
            </w:r>
            <w:r w:rsidRPr="0045227D">
              <w:rPr>
                <w:sz w:val="20"/>
                <w:szCs w:val="20"/>
              </w:rPr>
              <w:t xml:space="preserve"> and the</w:t>
            </w:r>
            <w:r>
              <w:rPr>
                <w:sz w:val="20"/>
                <w:szCs w:val="20"/>
              </w:rPr>
              <w:t xml:space="preserve"> Young Women’s Christian Association</w:t>
            </w:r>
          </w:p>
        </w:tc>
        <w:tc>
          <w:tcPr>
            <w:tcW w:w="335" w:type="pct"/>
          </w:tcPr>
          <w:p w:rsidR="0070695D" w:rsidRPr="0045227D" w:rsidRDefault="0070695D" w:rsidP="00FC1204">
            <w:pPr>
              <w:jc w:val="center"/>
              <w:rPr>
                <w:sz w:val="20"/>
                <w:szCs w:val="20"/>
              </w:rPr>
            </w:pPr>
            <w:r w:rsidRPr="0045227D">
              <w:rPr>
                <w:sz w:val="20"/>
                <w:szCs w:val="20"/>
              </w:rPr>
              <w:t>Yes</w:t>
            </w:r>
          </w:p>
        </w:tc>
        <w:tc>
          <w:tcPr>
            <w:tcW w:w="336" w:type="pct"/>
          </w:tcPr>
          <w:p w:rsidR="0070695D" w:rsidRPr="0045227D" w:rsidRDefault="0070695D" w:rsidP="00FC1204">
            <w:pPr>
              <w:jc w:val="center"/>
              <w:rPr>
                <w:sz w:val="20"/>
                <w:szCs w:val="20"/>
              </w:rPr>
            </w:pPr>
            <w:r w:rsidRPr="0045227D">
              <w:rPr>
                <w:sz w:val="20"/>
                <w:szCs w:val="20"/>
              </w:rPr>
              <w:t>No</w:t>
            </w:r>
          </w:p>
        </w:tc>
        <w:tc>
          <w:tcPr>
            <w:tcW w:w="384" w:type="pct"/>
          </w:tcPr>
          <w:p w:rsidR="0070695D" w:rsidRPr="0045227D" w:rsidRDefault="0070695D" w:rsidP="00FC1204">
            <w:pPr>
              <w:jc w:val="center"/>
              <w:rPr>
                <w:sz w:val="20"/>
                <w:szCs w:val="20"/>
              </w:rPr>
            </w:pPr>
            <w:r w:rsidRPr="0045227D">
              <w:rPr>
                <w:sz w:val="20"/>
                <w:szCs w:val="20"/>
              </w:rPr>
              <w:t>NA</w:t>
            </w:r>
          </w:p>
        </w:tc>
        <w:tc>
          <w:tcPr>
            <w:tcW w:w="529" w:type="pct"/>
          </w:tcPr>
          <w:p w:rsidR="0070695D" w:rsidRPr="0045227D" w:rsidRDefault="0070695D" w:rsidP="00FC1204">
            <w:pPr>
              <w:jc w:val="center"/>
              <w:rPr>
                <w:sz w:val="20"/>
                <w:szCs w:val="20"/>
              </w:rPr>
            </w:pPr>
            <w:r w:rsidRPr="0045227D">
              <w:rPr>
                <w:sz w:val="20"/>
                <w:szCs w:val="20"/>
              </w:rPr>
              <w:t>NA</w:t>
            </w:r>
          </w:p>
        </w:tc>
      </w:tr>
      <w:tr w:rsidR="0070695D" w:rsidRPr="000A72D2" w:rsidTr="0070695D">
        <w:trPr>
          <w:cantSplit/>
          <w:trHeight w:val="278"/>
        </w:trPr>
        <w:tc>
          <w:tcPr>
            <w:tcW w:w="107" w:type="pct"/>
          </w:tcPr>
          <w:p w:rsidR="0070695D" w:rsidRDefault="0070695D" w:rsidP="00FC1204">
            <w:pPr>
              <w:jc w:val="center"/>
            </w:pPr>
            <w:r>
              <w:t>2</w:t>
            </w:r>
          </w:p>
        </w:tc>
        <w:tc>
          <w:tcPr>
            <w:tcW w:w="526" w:type="pct"/>
          </w:tcPr>
          <w:p w:rsidR="0070695D" w:rsidRPr="0045227D" w:rsidRDefault="0070695D" w:rsidP="00FC1204">
            <w:pPr>
              <w:rPr>
                <w:sz w:val="20"/>
                <w:szCs w:val="20"/>
              </w:rPr>
            </w:pPr>
            <w:r>
              <w:rPr>
                <w:sz w:val="20"/>
                <w:szCs w:val="20"/>
              </w:rPr>
              <w:t xml:space="preserve">Heira Domestic Violence Supported Accommodation Program - </w:t>
            </w:r>
            <w:r w:rsidRPr="00D23774">
              <w:rPr>
                <w:i/>
                <w:sz w:val="20"/>
                <w:szCs w:val="20"/>
              </w:rPr>
              <w:t>Heira</w:t>
            </w:r>
          </w:p>
        </w:tc>
        <w:tc>
          <w:tcPr>
            <w:tcW w:w="1440" w:type="pct"/>
          </w:tcPr>
          <w:p w:rsidR="0070695D" w:rsidRPr="0045227D" w:rsidRDefault="0070695D" w:rsidP="00F448EE">
            <w:pPr>
              <w:rPr>
                <w:sz w:val="20"/>
                <w:szCs w:val="20"/>
              </w:rPr>
            </w:pPr>
            <w:r>
              <w:rPr>
                <w:sz w:val="20"/>
                <w:szCs w:val="20"/>
              </w:rPr>
              <w:t>This service</w:t>
            </w:r>
            <w:r w:rsidRPr="00EC2222">
              <w:rPr>
                <w:sz w:val="20"/>
                <w:szCs w:val="20"/>
              </w:rPr>
              <w:t xml:space="preserve"> provides </w:t>
            </w:r>
            <w:r>
              <w:rPr>
                <w:sz w:val="20"/>
                <w:szCs w:val="20"/>
              </w:rPr>
              <w:t xml:space="preserve">accommodation, </w:t>
            </w:r>
            <w:r w:rsidRPr="00EC2222">
              <w:rPr>
                <w:sz w:val="20"/>
                <w:szCs w:val="20"/>
              </w:rPr>
              <w:t xml:space="preserve">case </w:t>
            </w:r>
            <w:r>
              <w:rPr>
                <w:sz w:val="20"/>
                <w:szCs w:val="20"/>
              </w:rPr>
              <w:t xml:space="preserve">management </w:t>
            </w:r>
            <w:r w:rsidRPr="00EC2222">
              <w:rPr>
                <w:sz w:val="20"/>
                <w:szCs w:val="20"/>
              </w:rPr>
              <w:t xml:space="preserve">and support </w:t>
            </w:r>
            <w:r>
              <w:rPr>
                <w:sz w:val="20"/>
                <w:szCs w:val="20"/>
              </w:rPr>
              <w:t xml:space="preserve">to </w:t>
            </w:r>
            <w:r w:rsidRPr="00EC2222">
              <w:rPr>
                <w:sz w:val="20"/>
                <w:szCs w:val="20"/>
              </w:rPr>
              <w:t xml:space="preserve">women </w:t>
            </w:r>
            <w:r>
              <w:rPr>
                <w:sz w:val="20"/>
                <w:szCs w:val="20"/>
              </w:rPr>
              <w:t xml:space="preserve">escaping domestic violence. Support includes </w:t>
            </w:r>
            <w:r w:rsidRPr="00EC2222">
              <w:rPr>
                <w:sz w:val="20"/>
                <w:szCs w:val="20"/>
              </w:rPr>
              <w:t>advocacy, referral</w:t>
            </w:r>
            <w:r>
              <w:rPr>
                <w:sz w:val="20"/>
                <w:szCs w:val="20"/>
              </w:rPr>
              <w:t>s</w:t>
            </w:r>
            <w:r w:rsidRPr="00EC2222">
              <w:rPr>
                <w:sz w:val="20"/>
                <w:szCs w:val="20"/>
              </w:rPr>
              <w:t xml:space="preserve"> </w:t>
            </w:r>
            <w:r>
              <w:rPr>
                <w:sz w:val="20"/>
                <w:szCs w:val="20"/>
              </w:rPr>
              <w:t>and help</w:t>
            </w:r>
            <w:r w:rsidRPr="00EC2222">
              <w:rPr>
                <w:sz w:val="20"/>
                <w:szCs w:val="20"/>
              </w:rPr>
              <w:t xml:space="preserve"> with safety planning</w:t>
            </w:r>
            <w:r>
              <w:rPr>
                <w:sz w:val="20"/>
                <w:szCs w:val="20"/>
              </w:rPr>
              <w:t>.</w:t>
            </w:r>
            <w:r w:rsidRPr="00EC2222">
              <w:rPr>
                <w:sz w:val="20"/>
                <w:szCs w:val="20"/>
              </w:rPr>
              <w:t xml:space="preserve"> </w:t>
            </w:r>
          </w:p>
        </w:tc>
        <w:tc>
          <w:tcPr>
            <w:tcW w:w="384" w:type="pct"/>
          </w:tcPr>
          <w:p w:rsidR="0070695D" w:rsidRPr="0045227D" w:rsidRDefault="0070695D" w:rsidP="007862BB">
            <w:pPr>
              <w:rPr>
                <w:sz w:val="20"/>
                <w:szCs w:val="20"/>
              </w:rPr>
            </w:pPr>
            <w:r>
              <w:rPr>
                <w:sz w:val="20"/>
                <w:szCs w:val="20"/>
              </w:rPr>
              <w:t xml:space="preserve">15(a) </w:t>
            </w:r>
          </w:p>
        </w:tc>
        <w:tc>
          <w:tcPr>
            <w:tcW w:w="959" w:type="pct"/>
          </w:tcPr>
          <w:p w:rsidR="0070695D" w:rsidRPr="0045227D" w:rsidRDefault="0070695D" w:rsidP="00FB204B">
            <w:pPr>
              <w:rPr>
                <w:sz w:val="20"/>
                <w:szCs w:val="20"/>
              </w:rPr>
            </w:pPr>
            <w:r>
              <w:rPr>
                <w:sz w:val="20"/>
                <w:szCs w:val="20"/>
              </w:rPr>
              <w:t>Toora Women Inc</w:t>
            </w:r>
          </w:p>
        </w:tc>
        <w:tc>
          <w:tcPr>
            <w:tcW w:w="335" w:type="pct"/>
          </w:tcPr>
          <w:p w:rsidR="0070695D" w:rsidRPr="0045227D" w:rsidRDefault="0070695D" w:rsidP="00FC1204">
            <w:pPr>
              <w:jc w:val="center"/>
              <w:rPr>
                <w:sz w:val="20"/>
                <w:szCs w:val="20"/>
              </w:rPr>
            </w:pPr>
            <w:r>
              <w:rPr>
                <w:sz w:val="20"/>
                <w:szCs w:val="20"/>
              </w:rPr>
              <w:t>Yes</w:t>
            </w:r>
          </w:p>
        </w:tc>
        <w:tc>
          <w:tcPr>
            <w:tcW w:w="336" w:type="pct"/>
          </w:tcPr>
          <w:p w:rsidR="0070695D" w:rsidRPr="0045227D" w:rsidRDefault="0070695D" w:rsidP="00FC1204">
            <w:pPr>
              <w:jc w:val="center"/>
              <w:rPr>
                <w:sz w:val="20"/>
                <w:szCs w:val="20"/>
              </w:rPr>
            </w:pPr>
            <w:r>
              <w:rPr>
                <w:sz w:val="20"/>
                <w:szCs w:val="20"/>
              </w:rPr>
              <w:t>No</w:t>
            </w:r>
          </w:p>
        </w:tc>
        <w:tc>
          <w:tcPr>
            <w:tcW w:w="384" w:type="pct"/>
          </w:tcPr>
          <w:p w:rsidR="0070695D" w:rsidRPr="0045227D" w:rsidRDefault="0070695D" w:rsidP="00FC1204">
            <w:pPr>
              <w:jc w:val="center"/>
              <w:rPr>
                <w:sz w:val="20"/>
                <w:szCs w:val="20"/>
              </w:rPr>
            </w:pPr>
            <w:r>
              <w:rPr>
                <w:sz w:val="20"/>
                <w:szCs w:val="20"/>
              </w:rPr>
              <w:t>NA</w:t>
            </w:r>
          </w:p>
        </w:tc>
        <w:tc>
          <w:tcPr>
            <w:tcW w:w="529" w:type="pct"/>
          </w:tcPr>
          <w:p w:rsidR="0070695D" w:rsidRPr="0045227D" w:rsidRDefault="0070695D" w:rsidP="00FC1204">
            <w:pPr>
              <w:jc w:val="center"/>
              <w:rPr>
                <w:sz w:val="20"/>
                <w:szCs w:val="20"/>
              </w:rPr>
            </w:pPr>
            <w:r>
              <w:rPr>
                <w:sz w:val="20"/>
                <w:szCs w:val="20"/>
              </w:rPr>
              <w:t>NA</w:t>
            </w:r>
          </w:p>
        </w:tc>
      </w:tr>
      <w:tr w:rsidR="0070695D" w:rsidRPr="000A72D2" w:rsidTr="0070695D">
        <w:trPr>
          <w:cantSplit/>
          <w:trHeight w:val="291"/>
        </w:trPr>
        <w:tc>
          <w:tcPr>
            <w:tcW w:w="107" w:type="pct"/>
          </w:tcPr>
          <w:p w:rsidR="0070695D" w:rsidRPr="000A72D2" w:rsidRDefault="0070695D" w:rsidP="00FC1204">
            <w:pPr>
              <w:jc w:val="center"/>
            </w:pPr>
            <w:r>
              <w:t>3</w:t>
            </w:r>
          </w:p>
        </w:tc>
        <w:tc>
          <w:tcPr>
            <w:tcW w:w="526" w:type="pct"/>
          </w:tcPr>
          <w:p w:rsidR="0070695D" w:rsidRPr="0045227D" w:rsidRDefault="0070695D" w:rsidP="00C4385E">
            <w:pPr>
              <w:rPr>
                <w:sz w:val="20"/>
              </w:rPr>
            </w:pPr>
            <w:r w:rsidRPr="0045227D">
              <w:rPr>
                <w:sz w:val="20"/>
                <w:szCs w:val="20"/>
              </w:rPr>
              <w:t>M</w:t>
            </w:r>
            <w:r>
              <w:rPr>
                <w:sz w:val="20"/>
                <w:szCs w:val="20"/>
              </w:rPr>
              <w:t>anaged</w:t>
            </w:r>
            <w:r w:rsidRPr="0045227D">
              <w:rPr>
                <w:sz w:val="20"/>
                <w:szCs w:val="20"/>
              </w:rPr>
              <w:t xml:space="preserve"> Accommodation </w:t>
            </w:r>
            <w:r>
              <w:rPr>
                <w:sz w:val="20"/>
                <w:szCs w:val="20"/>
              </w:rPr>
              <w:t>Program</w:t>
            </w:r>
            <w:r w:rsidRPr="0045227D">
              <w:rPr>
                <w:sz w:val="20"/>
                <w:szCs w:val="20"/>
              </w:rPr>
              <w:t xml:space="preserve"> (MA</w:t>
            </w:r>
            <w:r>
              <w:rPr>
                <w:sz w:val="20"/>
                <w:szCs w:val="20"/>
              </w:rPr>
              <w:t>P</w:t>
            </w:r>
            <w:r w:rsidRPr="0045227D">
              <w:rPr>
                <w:sz w:val="20"/>
                <w:szCs w:val="20"/>
              </w:rPr>
              <w:t>)</w:t>
            </w:r>
          </w:p>
        </w:tc>
        <w:tc>
          <w:tcPr>
            <w:tcW w:w="1440" w:type="pct"/>
          </w:tcPr>
          <w:p w:rsidR="0070695D" w:rsidRPr="0045227D" w:rsidRDefault="0070695D" w:rsidP="002F4AF5">
            <w:pPr>
              <w:rPr>
                <w:sz w:val="20"/>
              </w:rPr>
            </w:pPr>
            <w:r>
              <w:rPr>
                <w:sz w:val="20"/>
                <w:szCs w:val="20"/>
              </w:rPr>
              <w:t>This service</w:t>
            </w:r>
            <w:r w:rsidRPr="0045227D">
              <w:rPr>
                <w:sz w:val="20"/>
                <w:szCs w:val="20"/>
              </w:rPr>
              <w:t xml:space="preserve"> provides accommodation</w:t>
            </w:r>
            <w:r>
              <w:rPr>
                <w:sz w:val="20"/>
                <w:szCs w:val="20"/>
              </w:rPr>
              <w:t xml:space="preserve">, case management </w:t>
            </w:r>
            <w:r w:rsidRPr="0045227D">
              <w:rPr>
                <w:sz w:val="20"/>
                <w:szCs w:val="20"/>
              </w:rPr>
              <w:t xml:space="preserve">and support </w:t>
            </w:r>
            <w:r>
              <w:rPr>
                <w:sz w:val="20"/>
                <w:szCs w:val="20"/>
              </w:rPr>
              <w:t>for</w:t>
            </w:r>
            <w:r w:rsidRPr="0045227D">
              <w:rPr>
                <w:sz w:val="20"/>
                <w:szCs w:val="20"/>
              </w:rPr>
              <w:t xml:space="preserve"> up to </w:t>
            </w:r>
            <w:r>
              <w:rPr>
                <w:sz w:val="20"/>
                <w:szCs w:val="20"/>
              </w:rPr>
              <w:t>15</w:t>
            </w:r>
            <w:r w:rsidRPr="0045227D">
              <w:rPr>
                <w:sz w:val="20"/>
                <w:szCs w:val="20"/>
              </w:rPr>
              <w:t xml:space="preserve"> single men </w:t>
            </w:r>
            <w:r>
              <w:rPr>
                <w:sz w:val="20"/>
                <w:szCs w:val="20"/>
              </w:rPr>
              <w:t>exiting the ACT corrections system</w:t>
            </w:r>
            <w:r w:rsidRPr="0045227D">
              <w:rPr>
                <w:sz w:val="20"/>
                <w:szCs w:val="20"/>
              </w:rPr>
              <w:t xml:space="preserve">. Key outcomes of the program include securing and maintaining long-term accommodation, improving basic living skills, addressing complex health and substance abuse issues, and re-engaging with their families and communities. </w:t>
            </w:r>
          </w:p>
        </w:tc>
        <w:tc>
          <w:tcPr>
            <w:tcW w:w="384" w:type="pct"/>
          </w:tcPr>
          <w:p w:rsidR="0070695D" w:rsidRPr="0045227D" w:rsidRDefault="0070695D" w:rsidP="002F4AF5">
            <w:pPr>
              <w:rPr>
                <w:sz w:val="20"/>
              </w:rPr>
            </w:pPr>
            <w:r>
              <w:rPr>
                <w:sz w:val="20"/>
                <w:szCs w:val="20"/>
              </w:rPr>
              <w:t xml:space="preserve">15(i) </w:t>
            </w:r>
          </w:p>
        </w:tc>
        <w:tc>
          <w:tcPr>
            <w:tcW w:w="959" w:type="pct"/>
          </w:tcPr>
          <w:p w:rsidR="0070695D" w:rsidRPr="0045227D" w:rsidRDefault="0070695D" w:rsidP="00FC1204">
            <w:pPr>
              <w:rPr>
                <w:sz w:val="20"/>
              </w:rPr>
            </w:pPr>
          </w:p>
        </w:tc>
        <w:tc>
          <w:tcPr>
            <w:tcW w:w="335" w:type="pct"/>
          </w:tcPr>
          <w:p w:rsidR="0070695D" w:rsidRPr="0045227D" w:rsidRDefault="0070695D" w:rsidP="00FC1204">
            <w:pPr>
              <w:jc w:val="center"/>
              <w:rPr>
                <w:sz w:val="20"/>
              </w:rPr>
            </w:pPr>
            <w:r w:rsidRPr="0045227D">
              <w:rPr>
                <w:sz w:val="20"/>
              </w:rPr>
              <w:t>Yes</w:t>
            </w:r>
          </w:p>
        </w:tc>
        <w:tc>
          <w:tcPr>
            <w:tcW w:w="336" w:type="pct"/>
          </w:tcPr>
          <w:p w:rsidR="0070695D" w:rsidRPr="0045227D" w:rsidRDefault="0070695D" w:rsidP="00FC1204">
            <w:pPr>
              <w:jc w:val="center"/>
              <w:rPr>
                <w:sz w:val="20"/>
              </w:rPr>
            </w:pPr>
            <w:r w:rsidRPr="0045227D">
              <w:rPr>
                <w:sz w:val="20"/>
              </w:rPr>
              <w:t>No</w:t>
            </w:r>
          </w:p>
        </w:tc>
        <w:tc>
          <w:tcPr>
            <w:tcW w:w="384" w:type="pct"/>
          </w:tcPr>
          <w:p w:rsidR="0070695D" w:rsidRPr="0045227D" w:rsidRDefault="0070695D" w:rsidP="00FC1204">
            <w:pPr>
              <w:jc w:val="center"/>
              <w:rPr>
                <w:sz w:val="20"/>
              </w:rPr>
            </w:pPr>
            <w:r w:rsidRPr="0045227D">
              <w:rPr>
                <w:sz w:val="20"/>
              </w:rPr>
              <w:t>NA</w:t>
            </w:r>
          </w:p>
        </w:tc>
        <w:tc>
          <w:tcPr>
            <w:tcW w:w="529" w:type="pct"/>
          </w:tcPr>
          <w:p w:rsidR="0070695D" w:rsidRPr="0045227D" w:rsidRDefault="0070695D" w:rsidP="00FC1204">
            <w:pPr>
              <w:jc w:val="center"/>
              <w:rPr>
                <w:sz w:val="20"/>
              </w:rPr>
            </w:pPr>
            <w:r w:rsidRPr="0045227D">
              <w:rPr>
                <w:sz w:val="20"/>
              </w:rPr>
              <w:t>NA</w:t>
            </w:r>
          </w:p>
        </w:tc>
      </w:tr>
      <w:tr w:rsidR="0070695D" w:rsidRPr="000A72D2" w:rsidTr="0070695D">
        <w:trPr>
          <w:cantSplit/>
          <w:trHeight w:val="278"/>
        </w:trPr>
        <w:tc>
          <w:tcPr>
            <w:tcW w:w="107" w:type="pct"/>
          </w:tcPr>
          <w:p w:rsidR="0070695D" w:rsidRPr="000A72D2" w:rsidRDefault="0070695D" w:rsidP="00FC1204">
            <w:pPr>
              <w:jc w:val="center"/>
            </w:pPr>
            <w:r>
              <w:lastRenderedPageBreak/>
              <w:t>4</w:t>
            </w:r>
          </w:p>
        </w:tc>
        <w:tc>
          <w:tcPr>
            <w:tcW w:w="526" w:type="pct"/>
          </w:tcPr>
          <w:p w:rsidR="0070695D" w:rsidRPr="0045227D" w:rsidRDefault="0070695D" w:rsidP="00FC1204">
            <w:pPr>
              <w:rPr>
                <w:sz w:val="20"/>
                <w:szCs w:val="20"/>
              </w:rPr>
            </w:pPr>
            <w:r w:rsidRPr="0045227D">
              <w:rPr>
                <w:sz w:val="20"/>
                <w:szCs w:val="20"/>
              </w:rPr>
              <w:t>Youth Integrated Education and Accommodation Program – ‘Our Place’</w:t>
            </w:r>
          </w:p>
        </w:tc>
        <w:tc>
          <w:tcPr>
            <w:tcW w:w="1440" w:type="pct"/>
          </w:tcPr>
          <w:p w:rsidR="0070695D" w:rsidRPr="0045227D" w:rsidRDefault="0070695D" w:rsidP="00EE3CD6">
            <w:pPr>
              <w:rPr>
                <w:sz w:val="20"/>
                <w:szCs w:val="20"/>
              </w:rPr>
            </w:pPr>
            <w:r>
              <w:rPr>
                <w:iCs/>
                <w:sz w:val="20"/>
                <w:szCs w:val="20"/>
              </w:rPr>
              <w:t>This service</w:t>
            </w:r>
            <w:r w:rsidRPr="0045227D">
              <w:rPr>
                <w:sz w:val="20"/>
                <w:szCs w:val="20"/>
              </w:rPr>
              <w:t xml:space="preserve"> </w:t>
            </w:r>
            <w:r>
              <w:rPr>
                <w:sz w:val="20"/>
                <w:szCs w:val="20"/>
              </w:rPr>
              <w:t>provides</w:t>
            </w:r>
            <w:r w:rsidRPr="0045227D">
              <w:rPr>
                <w:sz w:val="20"/>
                <w:szCs w:val="20"/>
              </w:rPr>
              <w:t xml:space="preserve"> a robust and innovative response to youth homelessness</w:t>
            </w:r>
            <w:r>
              <w:rPr>
                <w:sz w:val="20"/>
                <w:szCs w:val="20"/>
              </w:rPr>
              <w:t>, incorporating elements of the Foyer model</w:t>
            </w:r>
            <w:r w:rsidRPr="0045227D">
              <w:rPr>
                <w:sz w:val="20"/>
                <w:szCs w:val="20"/>
              </w:rPr>
              <w:t xml:space="preserve">. The </w:t>
            </w:r>
            <w:r>
              <w:rPr>
                <w:sz w:val="20"/>
                <w:szCs w:val="20"/>
              </w:rPr>
              <w:t>program</w:t>
            </w:r>
            <w:r w:rsidRPr="0045227D">
              <w:rPr>
                <w:sz w:val="20"/>
                <w:szCs w:val="20"/>
              </w:rPr>
              <w:t xml:space="preserve"> provide</w:t>
            </w:r>
            <w:r>
              <w:rPr>
                <w:sz w:val="20"/>
                <w:szCs w:val="20"/>
              </w:rPr>
              <w:t>s</w:t>
            </w:r>
            <w:r w:rsidRPr="0045227D">
              <w:rPr>
                <w:sz w:val="20"/>
                <w:szCs w:val="20"/>
              </w:rPr>
              <w:t xml:space="preserve"> an integrated service delivery</w:t>
            </w:r>
            <w:r>
              <w:rPr>
                <w:sz w:val="20"/>
                <w:szCs w:val="20"/>
              </w:rPr>
              <w:t xml:space="preserve"> response to young people up to age 21, through supported accommodation and case management, to ensure they remain engaged in education or training for a min of 25 hrs per week.</w:t>
            </w:r>
            <w:r w:rsidRPr="0045227D">
              <w:rPr>
                <w:sz w:val="20"/>
                <w:szCs w:val="20"/>
              </w:rPr>
              <w:t xml:space="preserve"> </w:t>
            </w:r>
          </w:p>
        </w:tc>
        <w:tc>
          <w:tcPr>
            <w:tcW w:w="384" w:type="pct"/>
          </w:tcPr>
          <w:p w:rsidR="0070695D" w:rsidRPr="0045227D" w:rsidRDefault="0070695D" w:rsidP="002F4AF5">
            <w:pPr>
              <w:rPr>
                <w:sz w:val="20"/>
                <w:szCs w:val="20"/>
              </w:rPr>
            </w:pPr>
            <w:r>
              <w:rPr>
                <w:sz w:val="20"/>
                <w:szCs w:val="20"/>
              </w:rPr>
              <w:t>15</w:t>
            </w:r>
            <w:r w:rsidRPr="0045227D">
              <w:rPr>
                <w:sz w:val="20"/>
                <w:szCs w:val="20"/>
              </w:rPr>
              <w:t>(</w:t>
            </w:r>
            <w:r>
              <w:rPr>
                <w:sz w:val="20"/>
                <w:szCs w:val="20"/>
              </w:rPr>
              <w:t>b</w:t>
            </w:r>
            <w:r w:rsidRPr="0045227D">
              <w:rPr>
                <w:sz w:val="20"/>
                <w:szCs w:val="20"/>
              </w:rPr>
              <w:t xml:space="preserve">) </w:t>
            </w:r>
          </w:p>
        </w:tc>
        <w:tc>
          <w:tcPr>
            <w:tcW w:w="959" w:type="pct"/>
          </w:tcPr>
          <w:p w:rsidR="0070695D" w:rsidRPr="0045227D" w:rsidRDefault="0070695D" w:rsidP="007A3541">
            <w:pPr>
              <w:rPr>
                <w:sz w:val="20"/>
                <w:szCs w:val="20"/>
              </w:rPr>
            </w:pPr>
            <w:r w:rsidRPr="0045227D">
              <w:rPr>
                <w:sz w:val="20"/>
                <w:szCs w:val="20"/>
              </w:rPr>
              <w:t xml:space="preserve">Barnardos and Anglicare. </w:t>
            </w:r>
          </w:p>
        </w:tc>
        <w:tc>
          <w:tcPr>
            <w:tcW w:w="335" w:type="pct"/>
          </w:tcPr>
          <w:p w:rsidR="0070695D" w:rsidRPr="0045227D" w:rsidRDefault="0070695D" w:rsidP="00FC1204">
            <w:pPr>
              <w:jc w:val="center"/>
              <w:rPr>
                <w:sz w:val="20"/>
              </w:rPr>
            </w:pPr>
            <w:r w:rsidRPr="0045227D">
              <w:rPr>
                <w:sz w:val="20"/>
              </w:rPr>
              <w:t>Yes</w:t>
            </w:r>
          </w:p>
        </w:tc>
        <w:tc>
          <w:tcPr>
            <w:tcW w:w="336" w:type="pct"/>
          </w:tcPr>
          <w:p w:rsidR="0070695D" w:rsidRPr="0045227D" w:rsidRDefault="0070695D" w:rsidP="00FC1204">
            <w:pPr>
              <w:jc w:val="center"/>
              <w:rPr>
                <w:sz w:val="20"/>
              </w:rPr>
            </w:pPr>
            <w:r w:rsidRPr="0045227D">
              <w:rPr>
                <w:sz w:val="20"/>
              </w:rPr>
              <w:t>No</w:t>
            </w:r>
          </w:p>
        </w:tc>
        <w:tc>
          <w:tcPr>
            <w:tcW w:w="384" w:type="pct"/>
          </w:tcPr>
          <w:p w:rsidR="0070695D" w:rsidRPr="0045227D" w:rsidRDefault="0070695D" w:rsidP="00FC1204">
            <w:pPr>
              <w:jc w:val="center"/>
              <w:rPr>
                <w:sz w:val="20"/>
              </w:rPr>
            </w:pPr>
            <w:r w:rsidRPr="0045227D">
              <w:rPr>
                <w:sz w:val="20"/>
              </w:rPr>
              <w:t>NA</w:t>
            </w:r>
          </w:p>
        </w:tc>
        <w:tc>
          <w:tcPr>
            <w:tcW w:w="529" w:type="pct"/>
          </w:tcPr>
          <w:p w:rsidR="0070695D" w:rsidRPr="0045227D" w:rsidRDefault="0070695D" w:rsidP="00FC1204">
            <w:pPr>
              <w:jc w:val="center"/>
              <w:rPr>
                <w:sz w:val="20"/>
              </w:rPr>
            </w:pPr>
            <w:r w:rsidRPr="0045227D">
              <w:rPr>
                <w:sz w:val="20"/>
              </w:rPr>
              <w:t>NA</w:t>
            </w:r>
          </w:p>
        </w:tc>
      </w:tr>
      <w:tr w:rsidR="0070695D" w:rsidRPr="000A72D2" w:rsidTr="0070695D">
        <w:trPr>
          <w:cantSplit/>
          <w:trHeight w:val="291"/>
        </w:trPr>
        <w:tc>
          <w:tcPr>
            <w:tcW w:w="107" w:type="pct"/>
          </w:tcPr>
          <w:p w:rsidR="0070695D" w:rsidRDefault="0070695D" w:rsidP="00FC1204">
            <w:pPr>
              <w:jc w:val="center"/>
            </w:pPr>
            <w:r>
              <w:t>5</w:t>
            </w:r>
          </w:p>
        </w:tc>
        <w:tc>
          <w:tcPr>
            <w:tcW w:w="526" w:type="pct"/>
          </w:tcPr>
          <w:p w:rsidR="0070695D" w:rsidRPr="0045227D" w:rsidRDefault="0070695D" w:rsidP="00FC1204">
            <w:pPr>
              <w:rPr>
                <w:sz w:val="20"/>
              </w:rPr>
            </w:pPr>
            <w:r>
              <w:rPr>
                <w:sz w:val="20"/>
                <w:szCs w:val="20"/>
              </w:rPr>
              <w:t>OneLink</w:t>
            </w:r>
            <w:r w:rsidRPr="0045227D">
              <w:rPr>
                <w:sz w:val="20"/>
                <w:szCs w:val="20"/>
              </w:rPr>
              <w:t xml:space="preserve"> (Central </w:t>
            </w:r>
            <w:r>
              <w:rPr>
                <w:sz w:val="20"/>
                <w:szCs w:val="20"/>
              </w:rPr>
              <w:t>Access Point</w:t>
            </w:r>
            <w:r w:rsidRPr="0045227D">
              <w:rPr>
                <w:sz w:val="20"/>
                <w:szCs w:val="20"/>
              </w:rPr>
              <w:t>)</w:t>
            </w:r>
          </w:p>
        </w:tc>
        <w:tc>
          <w:tcPr>
            <w:tcW w:w="1440" w:type="pct"/>
          </w:tcPr>
          <w:p w:rsidR="0070695D" w:rsidRPr="0045227D" w:rsidRDefault="0070695D" w:rsidP="00FB204B">
            <w:pPr>
              <w:rPr>
                <w:sz w:val="20"/>
                <w:szCs w:val="20"/>
              </w:rPr>
            </w:pPr>
            <w:r>
              <w:rPr>
                <w:sz w:val="20"/>
                <w:szCs w:val="20"/>
              </w:rPr>
              <w:t>This Service is the central information/access point for the ACT Specialist Homelessness Sector from 1 July 2016.</w:t>
            </w:r>
          </w:p>
        </w:tc>
        <w:tc>
          <w:tcPr>
            <w:tcW w:w="384" w:type="pct"/>
          </w:tcPr>
          <w:p w:rsidR="0070695D" w:rsidRPr="0045227D" w:rsidRDefault="0070695D" w:rsidP="00FC11E6">
            <w:pPr>
              <w:rPr>
                <w:sz w:val="20"/>
                <w:szCs w:val="20"/>
              </w:rPr>
            </w:pPr>
            <w:r>
              <w:rPr>
                <w:sz w:val="20"/>
                <w:szCs w:val="20"/>
              </w:rPr>
              <w:t>15</w:t>
            </w:r>
            <w:r w:rsidRPr="0045227D">
              <w:rPr>
                <w:sz w:val="20"/>
                <w:szCs w:val="20"/>
              </w:rPr>
              <w:t>(</w:t>
            </w:r>
            <w:r>
              <w:rPr>
                <w:sz w:val="20"/>
                <w:szCs w:val="20"/>
              </w:rPr>
              <w:t>l</w:t>
            </w:r>
            <w:r w:rsidRPr="0045227D">
              <w:rPr>
                <w:sz w:val="20"/>
                <w:szCs w:val="20"/>
              </w:rPr>
              <w:t xml:space="preserve">) </w:t>
            </w:r>
          </w:p>
        </w:tc>
        <w:tc>
          <w:tcPr>
            <w:tcW w:w="959" w:type="pct"/>
          </w:tcPr>
          <w:p w:rsidR="0070695D" w:rsidRDefault="0070695D" w:rsidP="00FC1204">
            <w:pPr>
              <w:rPr>
                <w:sz w:val="20"/>
                <w:szCs w:val="20"/>
              </w:rPr>
            </w:pPr>
          </w:p>
          <w:p w:rsidR="0070695D" w:rsidRPr="0045227D" w:rsidRDefault="0070695D" w:rsidP="007F0141">
            <w:pPr>
              <w:rPr>
                <w:sz w:val="20"/>
                <w:szCs w:val="20"/>
              </w:rPr>
            </w:pPr>
            <w:r>
              <w:rPr>
                <w:sz w:val="20"/>
                <w:szCs w:val="20"/>
              </w:rPr>
              <w:t>Woden Community Service</w:t>
            </w:r>
          </w:p>
        </w:tc>
        <w:tc>
          <w:tcPr>
            <w:tcW w:w="335" w:type="pct"/>
          </w:tcPr>
          <w:p w:rsidR="0070695D" w:rsidRPr="0045227D" w:rsidRDefault="0070695D" w:rsidP="00FC1204">
            <w:pPr>
              <w:jc w:val="center"/>
              <w:rPr>
                <w:sz w:val="20"/>
              </w:rPr>
            </w:pPr>
            <w:r w:rsidRPr="0045227D">
              <w:rPr>
                <w:sz w:val="20"/>
              </w:rPr>
              <w:t>Yes</w:t>
            </w:r>
          </w:p>
        </w:tc>
        <w:tc>
          <w:tcPr>
            <w:tcW w:w="336" w:type="pct"/>
          </w:tcPr>
          <w:p w:rsidR="0070695D" w:rsidRPr="0045227D" w:rsidRDefault="0070695D" w:rsidP="00FC1204">
            <w:pPr>
              <w:jc w:val="center"/>
              <w:rPr>
                <w:sz w:val="20"/>
              </w:rPr>
            </w:pPr>
            <w:r w:rsidRPr="0045227D">
              <w:rPr>
                <w:sz w:val="20"/>
              </w:rPr>
              <w:t>No</w:t>
            </w:r>
          </w:p>
        </w:tc>
        <w:tc>
          <w:tcPr>
            <w:tcW w:w="384" w:type="pct"/>
          </w:tcPr>
          <w:p w:rsidR="0070695D" w:rsidRPr="0045227D" w:rsidRDefault="0070695D" w:rsidP="00FC1204">
            <w:pPr>
              <w:jc w:val="center"/>
              <w:rPr>
                <w:sz w:val="20"/>
              </w:rPr>
            </w:pPr>
            <w:r w:rsidRPr="0045227D">
              <w:rPr>
                <w:sz w:val="20"/>
              </w:rPr>
              <w:t>NA</w:t>
            </w:r>
          </w:p>
        </w:tc>
        <w:tc>
          <w:tcPr>
            <w:tcW w:w="529" w:type="pct"/>
          </w:tcPr>
          <w:p w:rsidR="0070695D" w:rsidRPr="0045227D" w:rsidRDefault="0070695D" w:rsidP="00FC1204">
            <w:pPr>
              <w:jc w:val="center"/>
              <w:rPr>
                <w:sz w:val="20"/>
              </w:rPr>
            </w:pPr>
            <w:r w:rsidRPr="0045227D">
              <w:rPr>
                <w:sz w:val="20"/>
              </w:rPr>
              <w:t>NA</w:t>
            </w:r>
          </w:p>
        </w:tc>
      </w:tr>
      <w:tr w:rsidR="0070695D" w:rsidRPr="000A72D2" w:rsidTr="0070695D">
        <w:trPr>
          <w:cantSplit/>
          <w:trHeight w:val="77"/>
        </w:trPr>
        <w:tc>
          <w:tcPr>
            <w:tcW w:w="107" w:type="pct"/>
          </w:tcPr>
          <w:p w:rsidR="0070695D" w:rsidRDefault="0070695D" w:rsidP="00FC1204">
            <w:pPr>
              <w:jc w:val="center"/>
            </w:pPr>
            <w:r>
              <w:t>6</w:t>
            </w:r>
          </w:p>
        </w:tc>
        <w:tc>
          <w:tcPr>
            <w:tcW w:w="526" w:type="pct"/>
          </w:tcPr>
          <w:p w:rsidR="0070695D" w:rsidRPr="0045227D" w:rsidRDefault="0070695D" w:rsidP="00FC1204">
            <w:pPr>
              <w:rPr>
                <w:rFonts w:cs="Arial"/>
                <w:sz w:val="20"/>
                <w:szCs w:val="20"/>
              </w:rPr>
            </w:pPr>
            <w:r w:rsidRPr="0045227D">
              <w:rPr>
                <w:rFonts w:cs="Arial"/>
                <w:sz w:val="20"/>
                <w:szCs w:val="20"/>
              </w:rPr>
              <w:t>Street to Home</w:t>
            </w:r>
          </w:p>
          <w:p w:rsidR="0070695D" w:rsidRPr="0045227D" w:rsidRDefault="0070695D" w:rsidP="00FC1204">
            <w:pPr>
              <w:rPr>
                <w:sz w:val="20"/>
              </w:rPr>
            </w:pPr>
          </w:p>
        </w:tc>
        <w:tc>
          <w:tcPr>
            <w:tcW w:w="1440" w:type="pct"/>
          </w:tcPr>
          <w:p w:rsidR="0070695D" w:rsidRPr="0045227D" w:rsidRDefault="0070695D" w:rsidP="005B11C1">
            <w:pPr>
              <w:rPr>
                <w:sz w:val="20"/>
                <w:szCs w:val="20"/>
              </w:rPr>
            </w:pPr>
            <w:r w:rsidRPr="0045227D">
              <w:rPr>
                <w:sz w:val="20"/>
                <w:szCs w:val="20"/>
              </w:rPr>
              <w:t>Th</w:t>
            </w:r>
            <w:r>
              <w:rPr>
                <w:sz w:val="20"/>
                <w:szCs w:val="20"/>
              </w:rPr>
              <w:t>is service</w:t>
            </w:r>
            <w:r w:rsidRPr="0045227D">
              <w:rPr>
                <w:sz w:val="20"/>
                <w:szCs w:val="20"/>
              </w:rPr>
              <w:t xml:space="preserve"> assertively engage</w:t>
            </w:r>
            <w:r>
              <w:rPr>
                <w:sz w:val="20"/>
                <w:szCs w:val="20"/>
              </w:rPr>
              <w:t>s</w:t>
            </w:r>
            <w:r w:rsidRPr="0045227D">
              <w:rPr>
                <w:sz w:val="20"/>
                <w:szCs w:val="20"/>
              </w:rPr>
              <w:t xml:space="preserve"> people experiencing chronic homelessness (particularly 'rough sleepers'), helping them to re-engage with support services to establish and sustain a successful tenancy. </w:t>
            </w:r>
          </w:p>
        </w:tc>
        <w:tc>
          <w:tcPr>
            <w:tcW w:w="384" w:type="pct"/>
          </w:tcPr>
          <w:p w:rsidR="0070695D" w:rsidRPr="0045227D" w:rsidRDefault="0070695D" w:rsidP="0058615E">
            <w:pPr>
              <w:rPr>
                <w:sz w:val="20"/>
                <w:szCs w:val="20"/>
              </w:rPr>
            </w:pPr>
            <w:r>
              <w:rPr>
                <w:sz w:val="20"/>
                <w:szCs w:val="20"/>
              </w:rPr>
              <w:t>15</w:t>
            </w:r>
            <w:r w:rsidRPr="0045227D">
              <w:rPr>
                <w:sz w:val="20"/>
                <w:szCs w:val="20"/>
              </w:rPr>
              <w:t>(h)</w:t>
            </w:r>
          </w:p>
        </w:tc>
        <w:tc>
          <w:tcPr>
            <w:tcW w:w="959" w:type="pct"/>
          </w:tcPr>
          <w:p w:rsidR="0070695D" w:rsidRPr="0045227D" w:rsidRDefault="0070695D" w:rsidP="00FC1204">
            <w:pPr>
              <w:rPr>
                <w:sz w:val="20"/>
                <w:szCs w:val="20"/>
              </w:rPr>
            </w:pPr>
            <w:r w:rsidRPr="0045227D">
              <w:rPr>
                <w:sz w:val="20"/>
                <w:szCs w:val="20"/>
              </w:rPr>
              <w:t>St Vincent De Paul</w:t>
            </w:r>
          </w:p>
        </w:tc>
        <w:tc>
          <w:tcPr>
            <w:tcW w:w="335" w:type="pct"/>
          </w:tcPr>
          <w:p w:rsidR="0070695D" w:rsidRPr="0045227D" w:rsidRDefault="0070695D" w:rsidP="00FC1204">
            <w:pPr>
              <w:jc w:val="center"/>
              <w:rPr>
                <w:sz w:val="20"/>
              </w:rPr>
            </w:pPr>
            <w:r w:rsidRPr="0045227D">
              <w:rPr>
                <w:sz w:val="20"/>
              </w:rPr>
              <w:t>Yes</w:t>
            </w:r>
          </w:p>
        </w:tc>
        <w:tc>
          <w:tcPr>
            <w:tcW w:w="336" w:type="pct"/>
          </w:tcPr>
          <w:p w:rsidR="0070695D" w:rsidRPr="0045227D" w:rsidRDefault="0070695D" w:rsidP="00FC1204">
            <w:pPr>
              <w:jc w:val="center"/>
              <w:rPr>
                <w:sz w:val="20"/>
              </w:rPr>
            </w:pPr>
            <w:r w:rsidRPr="0045227D">
              <w:rPr>
                <w:sz w:val="20"/>
              </w:rPr>
              <w:t>No</w:t>
            </w:r>
          </w:p>
        </w:tc>
        <w:tc>
          <w:tcPr>
            <w:tcW w:w="384" w:type="pct"/>
          </w:tcPr>
          <w:p w:rsidR="0070695D" w:rsidRPr="0045227D" w:rsidRDefault="0070695D" w:rsidP="00FC1204">
            <w:pPr>
              <w:jc w:val="center"/>
              <w:rPr>
                <w:sz w:val="20"/>
              </w:rPr>
            </w:pPr>
            <w:r w:rsidRPr="0045227D">
              <w:rPr>
                <w:sz w:val="20"/>
              </w:rPr>
              <w:t>NA</w:t>
            </w:r>
          </w:p>
        </w:tc>
        <w:tc>
          <w:tcPr>
            <w:tcW w:w="529" w:type="pct"/>
          </w:tcPr>
          <w:p w:rsidR="0070695D" w:rsidRPr="0045227D" w:rsidRDefault="0070695D" w:rsidP="00FC1204">
            <w:pPr>
              <w:jc w:val="center"/>
              <w:rPr>
                <w:sz w:val="20"/>
              </w:rPr>
            </w:pPr>
            <w:r w:rsidRPr="0045227D">
              <w:rPr>
                <w:sz w:val="20"/>
              </w:rPr>
              <w:t>NA</w:t>
            </w:r>
          </w:p>
        </w:tc>
      </w:tr>
      <w:tr w:rsidR="0070695D" w:rsidRPr="000A72D2" w:rsidTr="0070695D">
        <w:trPr>
          <w:cantSplit/>
          <w:trHeight w:val="2211"/>
        </w:trPr>
        <w:tc>
          <w:tcPr>
            <w:tcW w:w="107" w:type="pct"/>
          </w:tcPr>
          <w:p w:rsidR="0070695D" w:rsidRDefault="0070695D" w:rsidP="00FC1204">
            <w:pPr>
              <w:jc w:val="center"/>
            </w:pPr>
            <w:r>
              <w:t>7</w:t>
            </w:r>
          </w:p>
        </w:tc>
        <w:tc>
          <w:tcPr>
            <w:tcW w:w="526" w:type="pct"/>
          </w:tcPr>
          <w:p w:rsidR="0070695D" w:rsidRPr="0045227D" w:rsidRDefault="0070695D" w:rsidP="00FC1204">
            <w:pPr>
              <w:rPr>
                <w:rFonts w:cs="Arial"/>
                <w:sz w:val="20"/>
                <w:szCs w:val="20"/>
              </w:rPr>
            </w:pPr>
            <w:r>
              <w:rPr>
                <w:sz w:val="20"/>
                <w:szCs w:val="20"/>
              </w:rPr>
              <w:t>The Head Lease Program</w:t>
            </w:r>
          </w:p>
        </w:tc>
        <w:tc>
          <w:tcPr>
            <w:tcW w:w="1440" w:type="pct"/>
          </w:tcPr>
          <w:p w:rsidR="0070695D" w:rsidRDefault="0070695D" w:rsidP="00FC1204">
            <w:pPr>
              <w:rPr>
                <w:sz w:val="20"/>
                <w:szCs w:val="20"/>
              </w:rPr>
            </w:pPr>
            <w:r>
              <w:rPr>
                <w:sz w:val="20"/>
                <w:szCs w:val="20"/>
              </w:rPr>
              <w:t xml:space="preserve">This program supports public housing tenants at risk of eviction who require specialised support to manage and sustain their tenancy. </w:t>
            </w:r>
          </w:p>
          <w:p w:rsidR="0070695D" w:rsidRPr="0045227D" w:rsidRDefault="0070695D" w:rsidP="00FC1204">
            <w:pPr>
              <w:rPr>
                <w:sz w:val="20"/>
                <w:szCs w:val="20"/>
              </w:rPr>
            </w:pPr>
          </w:p>
        </w:tc>
        <w:tc>
          <w:tcPr>
            <w:tcW w:w="384" w:type="pct"/>
          </w:tcPr>
          <w:p w:rsidR="0070695D" w:rsidRPr="0045227D" w:rsidRDefault="0070695D" w:rsidP="00FC1204">
            <w:pPr>
              <w:rPr>
                <w:sz w:val="20"/>
                <w:szCs w:val="20"/>
              </w:rPr>
            </w:pPr>
            <w:r>
              <w:rPr>
                <w:sz w:val="20"/>
                <w:szCs w:val="20"/>
              </w:rPr>
              <w:t>15</w:t>
            </w:r>
            <w:r w:rsidRPr="0045227D">
              <w:rPr>
                <w:sz w:val="20"/>
                <w:szCs w:val="20"/>
              </w:rPr>
              <w:t>(</w:t>
            </w:r>
            <w:r>
              <w:rPr>
                <w:sz w:val="20"/>
                <w:szCs w:val="20"/>
              </w:rPr>
              <w:t>d</w:t>
            </w:r>
            <w:r w:rsidRPr="0045227D">
              <w:rPr>
                <w:sz w:val="20"/>
                <w:szCs w:val="20"/>
              </w:rPr>
              <w:t xml:space="preserve">) </w:t>
            </w:r>
          </w:p>
          <w:p w:rsidR="0070695D" w:rsidRPr="0045227D" w:rsidRDefault="0070695D" w:rsidP="00FC1204">
            <w:pPr>
              <w:rPr>
                <w:sz w:val="20"/>
                <w:szCs w:val="20"/>
              </w:rPr>
            </w:pPr>
            <w:r>
              <w:rPr>
                <w:sz w:val="20"/>
                <w:szCs w:val="20"/>
              </w:rPr>
              <w:t>15(g</w:t>
            </w:r>
            <w:r w:rsidRPr="0045227D">
              <w:rPr>
                <w:sz w:val="20"/>
                <w:szCs w:val="20"/>
              </w:rPr>
              <w:t xml:space="preserve">) </w:t>
            </w:r>
          </w:p>
          <w:p w:rsidR="0070695D" w:rsidRPr="0045227D" w:rsidRDefault="0070695D" w:rsidP="0058615E">
            <w:pPr>
              <w:rPr>
                <w:sz w:val="20"/>
                <w:szCs w:val="20"/>
              </w:rPr>
            </w:pPr>
            <w:r>
              <w:rPr>
                <w:sz w:val="20"/>
                <w:szCs w:val="20"/>
              </w:rPr>
              <w:t>11(k</w:t>
            </w:r>
            <w:r w:rsidRPr="0045227D">
              <w:rPr>
                <w:sz w:val="20"/>
                <w:szCs w:val="20"/>
              </w:rPr>
              <w:t xml:space="preserve">) </w:t>
            </w:r>
          </w:p>
        </w:tc>
        <w:tc>
          <w:tcPr>
            <w:tcW w:w="959" w:type="pct"/>
          </w:tcPr>
          <w:p w:rsidR="0070695D" w:rsidRPr="0045227D" w:rsidRDefault="0070695D" w:rsidP="00FC1204">
            <w:pPr>
              <w:rPr>
                <w:b/>
                <w:sz w:val="20"/>
                <w:szCs w:val="20"/>
              </w:rPr>
            </w:pPr>
            <w:r w:rsidRPr="0045227D">
              <w:rPr>
                <w:b/>
                <w:sz w:val="20"/>
                <w:szCs w:val="20"/>
              </w:rPr>
              <w:t xml:space="preserve">Current Head Lease- </w:t>
            </w:r>
          </w:p>
          <w:p w:rsidR="0070695D" w:rsidRDefault="0070695D" w:rsidP="00FC1204">
            <w:pPr>
              <w:rPr>
                <w:sz w:val="20"/>
                <w:szCs w:val="20"/>
              </w:rPr>
            </w:pPr>
            <w:bookmarkStart w:id="0" w:name="_GoBack"/>
            <w:bookmarkEnd w:id="0"/>
            <w:r>
              <w:rPr>
                <w:sz w:val="20"/>
                <w:szCs w:val="20"/>
              </w:rPr>
              <w:t>Barnardos</w:t>
            </w:r>
          </w:p>
          <w:p w:rsidR="0070695D" w:rsidRPr="0045227D" w:rsidRDefault="0070695D" w:rsidP="00FC1204">
            <w:pPr>
              <w:rPr>
                <w:sz w:val="20"/>
                <w:szCs w:val="20"/>
              </w:rPr>
            </w:pPr>
            <w:r>
              <w:rPr>
                <w:sz w:val="20"/>
                <w:szCs w:val="20"/>
              </w:rPr>
              <w:t>EveryMan</w:t>
            </w:r>
            <w:r w:rsidRPr="0045227D">
              <w:rPr>
                <w:sz w:val="20"/>
                <w:szCs w:val="20"/>
              </w:rPr>
              <w:t xml:space="preserve"> </w:t>
            </w:r>
          </w:p>
          <w:p w:rsidR="0070695D" w:rsidRDefault="0070695D" w:rsidP="00FC1204">
            <w:pPr>
              <w:rPr>
                <w:sz w:val="20"/>
                <w:szCs w:val="20"/>
              </w:rPr>
            </w:pPr>
            <w:r w:rsidRPr="0045227D">
              <w:rPr>
                <w:sz w:val="20"/>
                <w:szCs w:val="20"/>
              </w:rPr>
              <w:t>Toora</w:t>
            </w:r>
          </w:p>
          <w:p w:rsidR="0070695D" w:rsidRDefault="0070695D" w:rsidP="00FC1204">
            <w:pPr>
              <w:rPr>
                <w:sz w:val="20"/>
                <w:szCs w:val="20"/>
              </w:rPr>
            </w:pPr>
            <w:r>
              <w:rPr>
                <w:sz w:val="20"/>
                <w:szCs w:val="20"/>
              </w:rPr>
              <w:t xml:space="preserve">St Vincent de Paul </w:t>
            </w:r>
          </w:p>
          <w:p w:rsidR="0070695D" w:rsidRPr="0045227D" w:rsidRDefault="0070695D" w:rsidP="00FC1204">
            <w:pPr>
              <w:rPr>
                <w:sz w:val="20"/>
                <w:szCs w:val="20"/>
              </w:rPr>
            </w:pPr>
            <w:r>
              <w:rPr>
                <w:sz w:val="20"/>
                <w:szCs w:val="20"/>
              </w:rPr>
              <w:t>Catholic Care</w:t>
            </w:r>
          </w:p>
          <w:p w:rsidR="0070695D" w:rsidRPr="0045227D" w:rsidRDefault="0070695D" w:rsidP="00FC1204">
            <w:pPr>
              <w:rPr>
                <w:sz w:val="20"/>
                <w:szCs w:val="20"/>
              </w:rPr>
            </w:pPr>
          </w:p>
        </w:tc>
        <w:tc>
          <w:tcPr>
            <w:tcW w:w="335" w:type="pct"/>
          </w:tcPr>
          <w:p w:rsidR="0070695D" w:rsidRPr="0045227D" w:rsidRDefault="0070695D" w:rsidP="00FC1204">
            <w:pPr>
              <w:jc w:val="center"/>
              <w:rPr>
                <w:sz w:val="20"/>
              </w:rPr>
            </w:pPr>
            <w:r w:rsidRPr="0045227D">
              <w:rPr>
                <w:sz w:val="20"/>
              </w:rPr>
              <w:t>Yes</w:t>
            </w:r>
          </w:p>
        </w:tc>
        <w:tc>
          <w:tcPr>
            <w:tcW w:w="336" w:type="pct"/>
          </w:tcPr>
          <w:p w:rsidR="0070695D" w:rsidRPr="0045227D" w:rsidRDefault="0070695D" w:rsidP="00FC1204">
            <w:pPr>
              <w:jc w:val="center"/>
              <w:rPr>
                <w:sz w:val="20"/>
              </w:rPr>
            </w:pPr>
            <w:r w:rsidRPr="0045227D">
              <w:rPr>
                <w:sz w:val="20"/>
              </w:rPr>
              <w:t>No</w:t>
            </w:r>
          </w:p>
        </w:tc>
        <w:tc>
          <w:tcPr>
            <w:tcW w:w="384" w:type="pct"/>
          </w:tcPr>
          <w:p w:rsidR="0070695D" w:rsidRPr="0045227D" w:rsidRDefault="0070695D" w:rsidP="00FC1204">
            <w:pPr>
              <w:jc w:val="center"/>
              <w:rPr>
                <w:sz w:val="20"/>
              </w:rPr>
            </w:pPr>
            <w:r w:rsidRPr="0045227D">
              <w:rPr>
                <w:sz w:val="20"/>
              </w:rPr>
              <w:t>NA</w:t>
            </w:r>
          </w:p>
        </w:tc>
        <w:tc>
          <w:tcPr>
            <w:tcW w:w="529" w:type="pct"/>
          </w:tcPr>
          <w:p w:rsidR="0070695D" w:rsidRPr="0045227D" w:rsidRDefault="0070695D" w:rsidP="00FC1204">
            <w:pPr>
              <w:jc w:val="center"/>
              <w:rPr>
                <w:sz w:val="20"/>
              </w:rPr>
            </w:pPr>
            <w:r w:rsidRPr="0045227D">
              <w:rPr>
                <w:sz w:val="20"/>
              </w:rPr>
              <w:t>NA</w:t>
            </w:r>
          </w:p>
        </w:tc>
      </w:tr>
      <w:tr w:rsidR="0070695D" w:rsidRPr="000A72D2" w:rsidDel="0058615E" w:rsidTr="0070695D">
        <w:trPr>
          <w:cantSplit/>
          <w:trHeight w:val="77"/>
        </w:trPr>
        <w:tc>
          <w:tcPr>
            <w:tcW w:w="107" w:type="pct"/>
          </w:tcPr>
          <w:p w:rsidR="0070695D" w:rsidDel="0058615E" w:rsidRDefault="0070695D" w:rsidP="00414038">
            <w:pPr>
              <w:jc w:val="center"/>
            </w:pPr>
            <w:r>
              <w:t>8</w:t>
            </w:r>
          </w:p>
        </w:tc>
        <w:tc>
          <w:tcPr>
            <w:tcW w:w="526" w:type="pct"/>
          </w:tcPr>
          <w:p w:rsidR="0070695D" w:rsidRPr="00D352C2" w:rsidDel="0058615E" w:rsidRDefault="0070695D" w:rsidP="00414038">
            <w:pPr>
              <w:pStyle w:val="ListBullet"/>
              <w:widowControl w:val="0"/>
              <w:tabs>
                <w:tab w:val="clear" w:pos="0"/>
                <w:tab w:val="clear" w:pos="567"/>
                <w:tab w:val="clear" w:pos="927"/>
              </w:tabs>
              <w:spacing w:after="60"/>
              <w:ind w:left="0" w:firstLine="0"/>
              <w:rPr>
                <w:rFonts w:ascii="Corbel" w:hAnsi="Corbel"/>
                <w:sz w:val="20"/>
                <w:szCs w:val="20"/>
              </w:rPr>
            </w:pPr>
            <w:r w:rsidRPr="004F414C">
              <w:rPr>
                <w:rFonts w:asciiTheme="minorHAnsi" w:hAnsiTheme="minorHAnsi"/>
                <w:sz w:val="20"/>
                <w:szCs w:val="20"/>
              </w:rPr>
              <w:t>Beryl Women Inc</w:t>
            </w:r>
          </w:p>
        </w:tc>
        <w:tc>
          <w:tcPr>
            <w:tcW w:w="1440" w:type="pct"/>
          </w:tcPr>
          <w:p w:rsidR="0070695D" w:rsidRPr="00D352C2" w:rsidDel="0058615E" w:rsidRDefault="0070695D" w:rsidP="00414038">
            <w:pPr>
              <w:pStyle w:val="ListBullet"/>
              <w:widowControl w:val="0"/>
              <w:tabs>
                <w:tab w:val="clear" w:pos="0"/>
                <w:tab w:val="clear" w:pos="567"/>
                <w:tab w:val="clear" w:pos="927"/>
              </w:tabs>
              <w:spacing w:after="60"/>
              <w:ind w:left="0" w:firstLine="0"/>
              <w:rPr>
                <w:rFonts w:ascii="Corbel" w:hAnsi="Corbel"/>
                <w:sz w:val="20"/>
                <w:szCs w:val="20"/>
              </w:rPr>
            </w:pPr>
            <w:r>
              <w:rPr>
                <w:rFonts w:asciiTheme="minorHAnsi" w:hAnsiTheme="minorHAnsi"/>
                <w:sz w:val="20"/>
                <w:szCs w:val="20"/>
              </w:rPr>
              <w:t>This service is a w</w:t>
            </w:r>
            <w:r w:rsidRPr="004F414C">
              <w:rPr>
                <w:rFonts w:asciiTheme="minorHAnsi" w:hAnsiTheme="minorHAnsi"/>
                <w:sz w:val="20"/>
                <w:szCs w:val="20"/>
              </w:rPr>
              <w:t xml:space="preserve">omen’s refuge.  </w:t>
            </w:r>
            <w:r>
              <w:rPr>
                <w:rFonts w:asciiTheme="minorHAnsi" w:hAnsiTheme="minorHAnsi"/>
                <w:sz w:val="20"/>
                <w:szCs w:val="20"/>
              </w:rPr>
              <w:t>The service supports</w:t>
            </w:r>
            <w:r w:rsidRPr="004F414C">
              <w:rPr>
                <w:rFonts w:asciiTheme="minorHAnsi" w:hAnsiTheme="minorHAnsi"/>
                <w:sz w:val="20"/>
                <w:szCs w:val="20"/>
              </w:rPr>
              <w:t xml:space="preserve"> women (with</w:t>
            </w:r>
            <w:r>
              <w:rPr>
                <w:rFonts w:asciiTheme="minorHAnsi" w:hAnsiTheme="minorHAnsi"/>
                <w:sz w:val="20"/>
                <w:szCs w:val="20"/>
              </w:rPr>
              <w:t>/</w:t>
            </w:r>
            <w:r w:rsidRPr="004F414C">
              <w:rPr>
                <w:rFonts w:asciiTheme="minorHAnsi" w:hAnsiTheme="minorHAnsi"/>
                <w:sz w:val="20"/>
                <w:szCs w:val="20"/>
              </w:rPr>
              <w:t>without accompanying children) who are in need of immediate safety due to domestic or family violence.</w:t>
            </w:r>
          </w:p>
        </w:tc>
        <w:tc>
          <w:tcPr>
            <w:tcW w:w="384" w:type="pct"/>
          </w:tcPr>
          <w:p w:rsidR="0070695D" w:rsidRDefault="0070695D" w:rsidP="00414038">
            <w:pPr>
              <w:pStyle w:val="ListBullet"/>
              <w:widowControl w:val="0"/>
              <w:tabs>
                <w:tab w:val="clear" w:pos="0"/>
                <w:tab w:val="clear" w:pos="567"/>
                <w:tab w:val="clear" w:pos="927"/>
              </w:tabs>
              <w:spacing w:after="60"/>
              <w:ind w:left="0" w:firstLine="0"/>
              <w:rPr>
                <w:rFonts w:asciiTheme="minorHAnsi" w:hAnsiTheme="minorHAnsi"/>
                <w:sz w:val="20"/>
                <w:szCs w:val="20"/>
              </w:rPr>
            </w:pPr>
            <w:r>
              <w:rPr>
                <w:rFonts w:asciiTheme="minorHAnsi" w:hAnsiTheme="minorHAnsi"/>
                <w:sz w:val="20"/>
                <w:szCs w:val="20"/>
              </w:rPr>
              <w:t>15</w:t>
            </w:r>
            <w:r w:rsidRPr="004F414C">
              <w:rPr>
                <w:rFonts w:asciiTheme="minorHAnsi" w:hAnsiTheme="minorHAnsi"/>
                <w:sz w:val="20"/>
                <w:szCs w:val="20"/>
              </w:rPr>
              <w:t>(a)</w:t>
            </w:r>
          </w:p>
          <w:p w:rsidR="0070695D" w:rsidRPr="00D352C2" w:rsidDel="0058615E" w:rsidRDefault="0070695D" w:rsidP="00414038">
            <w:pPr>
              <w:pStyle w:val="ListBullet"/>
              <w:widowControl w:val="0"/>
              <w:tabs>
                <w:tab w:val="clear" w:pos="0"/>
                <w:tab w:val="clear" w:pos="567"/>
                <w:tab w:val="clear" w:pos="927"/>
              </w:tabs>
              <w:spacing w:after="60"/>
              <w:ind w:left="0" w:firstLine="0"/>
              <w:rPr>
                <w:rFonts w:ascii="Corbel" w:hAnsi="Corbel"/>
                <w:sz w:val="20"/>
                <w:szCs w:val="20"/>
              </w:rPr>
            </w:pPr>
            <w:r>
              <w:rPr>
                <w:rFonts w:asciiTheme="minorHAnsi" w:hAnsiTheme="minorHAnsi"/>
                <w:sz w:val="20"/>
                <w:szCs w:val="20"/>
              </w:rPr>
              <w:t>15(c)</w:t>
            </w:r>
          </w:p>
        </w:tc>
        <w:tc>
          <w:tcPr>
            <w:tcW w:w="959" w:type="pct"/>
          </w:tcPr>
          <w:p w:rsidR="0070695D" w:rsidRPr="00D352C2" w:rsidDel="0058615E" w:rsidRDefault="0070695D" w:rsidP="00414038">
            <w:pPr>
              <w:pStyle w:val="ListBullet"/>
              <w:widowControl w:val="0"/>
              <w:tabs>
                <w:tab w:val="clear" w:pos="0"/>
                <w:tab w:val="clear" w:pos="567"/>
                <w:tab w:val="clear" w:pos="927"/>
              </w:tabs>
              <w:spacing w:after="60"/>
              <w:ind w:left="0" w:firstLine="0"/>
              <w:rPr>
                <w:rFonts w:ascii="Corbel" w:hAnsi="Corbel"/>
                <w:sz w:val="20"/>
                <w:szCs w:val="20"/>
              </w:rPr>
            </w:pPr>
            <w:r>
              <w:rPr>
                <w:rFonts w:ascii="Corbel" w:hAnsi="Corbel"/>
                <w:sz w:val="20"/>
                <w:szCs w:val="20"/>
              </w:rPr>
              <w:t>Beryl Women Inc</w:t>
            </w:r>
          </w:p>
        </w:tc>
        <w:tc>
          <w:tcPr>
            <w:tcW w:w="335" w:type="pct"/>
          </w:tcPr>
          <w:p w:rsidR="0070695D" w:rsidRPr="00D352C2" w:rsidDel="0058615E" w:rsidRDefault="0070695D" w:rsidP="00414038">
            <w:pPr>
              <w:pStyle w:val="ListBullet"/>
              <w:widowControl w:val="0"/>
              <w:tabs>
                <w:tab w:val="clear" w:pos="0"/>
                <w:tab w:val="clear" w:pos="567"/>
                <w:tab w:val="clear" w:pos="927"/>
              </w:tabs>
              <w:spacing w:after="60"/>
              <w:ind w:left="0" w:firstLine="0"/>
              <w:jc w:val="center"/>
              <w:rPr>
                <w:rFonts w:ascii="Corbel" w:hAnsi="Corbel"/>
                <w:sz w:val="20"/>
                <w:szCs w:val="20"/>
              </w:rPr>
            </w:pPr>
            <w:r>
              <w:rPr>
                <w:rFonts w:ascii="Corbel" w:hAnsi="Corbel"/>
                <w:sz w:val="20"/>
                <w:szCs w:val="20"/>
              </w:rPr>
              <w:t>Yes</w:t>
            </w:r>
          </w:p>
        </w:tc>
        <w:tc>
          <w:tcPr>
            <w:tcW w:w="336" w:type="pct"/>
          </w:tcPr>
          <w:p w:rsidR="0070695D" w:rsidRPr="00D352C2" w:rsidDel="0058615E" w:rsidRDefault="0070695D" w:rsidP="00414038">
            <w:pPr>
              <w:pStyle w:val="ListBullet"/>
              <w:widowControl w:val="0"/>
              <w:tabs>
                <w:tab w:val="clear" w:pos="0"/>
                <w:tab w:val="clear" w:pos="567"/>
                <w:tab w:val="clear" w:pos="927"/>
              </w:tabs>
              <w:spacing w:after="60"/>
              <w:ind w:left="0" w:firstLine="0"/>
              <w:jc w:val="center"/>
              <w:rPr>
                <w:rFonts w:ascii="Corbel" w:hAnsi="Corbel"/>
                <w:sz w:val="20"/>
                <w:szCs w:val="20"/>
              </w:rPr>
            </w:pPr>
            <w:r>
              <w:rPr>
                <w:rFonts w:ascii="Corbel" w:hAnsi="Corbel"/>
                <w:sz w:val="20"/>
                <w:szCs w:val="20"/>
              </w:rPr>
              <w:t>No</w:t>
            </w:r>
          </w:p>
        </w:tc>
        <w:tc>
          <w:tcPr>
            <w:tcW w:w="384" w:type="pct"/>
          </w:tcPr>
          <w:p w:rsidR="0070695D" w:rsidDel="0058615E" w:rsidRDefault="0070695D" w:rsidP="00414038">
            <w:pPr>
              <w:pStyle w:val="ListBullet"/>
              <w:widowControl w:val="0"/>
              <w:tabs>
                <w:tab w:val="clear" w:pos="0"/>
                <w:tab w:val="clear" w:pos="567"/>
                <w:tab w:val="clear" w:pos="927"/>
              </w:tabs>
              <w:spacing w:after="60"/>
              <w:ind w:left="0" w:firstLine="0"/>
              <w:jc w:val="center"/>
              <w:rPr>
                <w:rFonts w:ascii="Corbel" w:hAnsi="Corbel"/>
                <w:sz w:val="20"/>
                <w:szCs w:val="20"/>
              </w:rPr>
            </w:pPr>
            <w:r>
              <w:rPr>
                <w:rFonts w:ascii="Corbel" w:hAnsi="Corbel"/>
                <w:sz w:val="20"/>
                <w:szCs w:val="20"/>
              </w:rPr>
              <w:t>NA</w:t>
            </w:r>
          </w:p>
        </w:tc>
        <w:tc>
          <w:tcPr>
            <w:tcW w:w="529" w:type="pct"/>
          </w:tcPr>
          <w:p w:rsidR="0070695D" w:rsidDel="0058615E" w:rsidRDefault="0070695D" w:rsidP="00FB7DFF">
            <w:pPr>
              <w:pStyle w:val="ListBullet"/>
              <w:widowControl w:val="0"/>
              <w:tabs>
                <w:tab w:val="clear" w:pos="0"/>
                <w:tab w:val="clear" w:pos="567"/>
                <w:tab w:val="clear" w:pos="927"/>
              </w:tabs>
              <w:spacing w:after="60"/>
              <w:ind w:left="0" w:firstLine="0"/>
              <w:jc w:val="center"/>
              <w:rPr>
                <w:rFonts w:ascii="Corbel" w:hAnsi="Corbel"/>
                <w:sz w:val="20"/>
                <w:szCs w:val="20"/>
              </w:rPr>
            </w:pPr>
            <w:r>
              <w:rPr>
                <w:rFonts w:ascii="Corbel" w:hAnsi="Corbel"/>
                <w:sz w:val="20"/>
                <w:szCs w:val="20"/>
              </w:rPr>
              <w:t>NA</w:t>
            </w:r>
          </w:p>
        </w:tc>
      </w:tr>
      <w:tr w:rsidR="0070695D" w:rsidRPr="000A72D2" w:rsidDel="0058615E" w:rsidTr="0070695D">
        <w:trPr>
          <w:cantSplit/>
          <w:trHeight w:val="77"/>
        </w:trPr>
        <w:tc>
          <w:tcPr>
            <w:tcW w:w="107" w:type="pct"/>
          </w:tcPr>
          <w:p w:rsidR="0070695D" w:rsidDel="0058615E" w:rsidRDefault="0070695D" w:rsidP="00414038">
            <w:pPr>
              <w:jc w:val="center"/>
            </w:pPr>
            <w:r>
              <w:t>9</w:t>
            </w:r>
          </w:p>
        </w:tc>
        <w:tc>
          <w:tcPr>
            <w:tcW w:w="526" w:type="pct"/>
          </w:tcPr>
          <w:p w:rsidR="0070695D" w:rsidRPr="004F414C" w:rsidRDefault="0070695D" w:rsidP="00414038">
            <w:pPr>
              <w:pStyle w:val="ListBullet"/>
              <w:widowControl w:val="0"/>
              <w:tabs>
                <w:tab w:val="clear" w:pos="0"/>
                <w:tab w:val="clear" w:pos="567"/>
                <w:tab w:val="clear" w:pos="927"/>
              </w:tabs>
              <w:spacing w:after="60"/>
              <w:ind w:left="0" w:firstLine="0"/>
              <w:rPr>
                <w:rFonts w:asciiTheme="minorHAnsi" w:hAnsiTheme="minorHAnsi"/>
                <w:sz w:val="20"/>
                <w:szCs w:val="20"/>
              </w:rPr>
            </w:pPr>
            <w:r>
              <w:rPr>
                <w:rFonts w:asciiTheme="minorHAnsi" w:hAnsiTheme="minorHAnsi"/>
                <w:sz w:val="20"/>
                <w:szCs w:val="20"/>
              </w:rPr>
              <w:t>Doris Women’s Refuge</w:t>
            </w:r>
          </w:p>
        </w:tc>
        <w:tc>
          <w:tcPr>
            <w:tcW w:w="1440" w:type="pct"/>
          </w:tcPr>
          <w:p w:rsidR="0070695D" w:rsidRDefault="0070695D" w:rsidP="00414038">
            <w:pPr>
              <w:pStyle w:val="ListBullet"/>
              <w:widowControl w:val="0"/>
              <w:tabs>
                <w:tab w:val="clear" w:pos="0"/>
                <w:tab w:val="clear" w:pos="567"/>
                <w:tab w:val="clear" w:pos="927"/>
              </w:tabs>
              <w:spacing w:after="60"/>
              <w:ind w:left="0" w:firstLine="0"/>
              <w:rPr>
                <w:rFonts w:asciiTheme="minorHAnsi" w:hAnsiTheme="minorHAnsi"/>
                <w:sz w:val="20"/>
                <w:szCs w:val="20"/>
              </w:rPr>
            </w:pPr>
            <w:r>
              <w:rPr>
                <w:rFonts w:asciiTheme="minorHAnsi" w:hAnsiTheme="minorHAnsi"/>
                <w:sz w:val="20"/>
                <w:szCs w:val="20"/>
              </w:rPr>
              <w:t>This service is a w</w:t>
            </w:r>
            <w:r w:rsidRPr="004F414C">
              <w:rPr>
                <w:rFonts w:asciiTheme="minorHAnsi" w:hAnsiTheme="minorHAnsi"/>
                <w:sz w:val="20"/>
                <w:szCs w:val="20"/>
              </w:rPr>
              <w:t xml:space="preserve">omen’s refuge.  </w:t>
            </w:r>
            <w:r>
              <w:rPr>
                <w:rFonts w:asciiTheme="minorHAnsi" w:hAnsiTheme="minorHAnsi"/>
                <w:sz w:val="20"/>
                <w:szCs w:val="20"/>
              </w:rPr>
              <w:t>The service s</w:t>
            </w:r>
            <w:r w:rsidRPr="004F414C">
              <w:rPr>
                <w:rFonts w:asciiTheme="minorHAnsi" w:hAnsiTheme="minorHAnsi"/>
                <w:sz w:val="20"/>
                <w:szCs w:val="20"/>
              </w:rPr>
              <w:t>upport</w:t>
            </w:r>
            <w:r>
              <w:rPr>
                <w:rFonts w:asciiTheme="minorHAnsi" w:hAnsiTheme="minorHAnsi"/>
                <w:sz w:val="20"/>
                <w:szCs w:val="20"/>
              </w:rPr>
              <w:t xml:space="preserve">s </w:t>
            </w:r>
            <w:r w:rsidRPr="004F414C">
              <w:rPr>
                <w:rFonts w:asciiTheme="minorHAnsi" w:hAnsiTheme="minorHAnsi"/>
                <w:sz w:val="20"/>
                <w:szCs w:val="20"/>
              </w:rPr>
              <w:t>women (with</w:t>
            </w:r>
            <w:r>
              <w:rPr>
                <w:rFonts w:asciiTheme="minorHAnsi" w:hAnsiTheme="minorHAnsi"/>
                <w:sz w:val="20"/>
                <w:szCs w:val="20"/>
              </w:rPr>
              <w:t>/</w:t>
            </w:r>
            <w:r w:rsidRPr="004F414C">
              <w:rPr>
                <w:rFonts w:asciiTheme="minorHAnsi" w:hAnsiTheme="minorHAnsi"/>
                <w:sz w:val="20"/>
                <w:szCs w:val="20"/>
              </w:rPr>
              <w:t>without accompanying children) who are in need of immediate safety due to domestic or family violence.</w:t>
            </w:r>
          </w:p>
        </w:tc>
        <w:tc>
          <w:tcPr>
            <w:tcW w:w="384" w:type="pct"/>
          </w:tcPr>
          <w:p w:rsidR="0070695D" w:rsidRDefault="0070695D" w:rsidP="00414038">
            <w:pPr>
              <w:pStyle w:val="ListBullet"/>
              <w:widowControl w:val="0"/>
              <w:tabs>
                <w:tab w:val="clear" w:pos="0"/>
                <w:tab w:val="clear" w:pos="567"/>
                <w:tab w:val="clear" w:pos="927"/>
              </w:tabs>
              <w:spacing w:after="60"/>
              <w:ind w:left="0" w:firstLine="0"/>
              <w:rPr>
                <w:rFonts w:asciiTheme="minorHAnsi" w:hAnsiTheme="minorHAnsi"/>
                <w:sz w:val="20"/>
                <w:szCs w:val="20"/>
              </w:rPr>
            </w:pPr>
            <w:r>
              <w:rPr>
                <w:rFonts w:asciiTheme="minorHAnsi" w:hAnsiTheme="minorHAnsi"/>
                <w:sz w:val="20"/>
                <w:szCs w:val="20"/>
              </w:rPr>
              <w:t>15(a)</w:t>
            </w:r>
          </w:p>
          <w:p w:rsidR="0070695D" w:rsidRPr="004F414C" w:rsidRDefault="0070695D" w:rsidP="00414038">
            <w:pPr>
              <w:pStyle w:val="ListBullet"/>
              <w:widowControl w:val="0"/>
              <w:tabs>
                <w:tab w:val="clear" w:pos="0"/>
                <w:tab w:val="clear" w:pos="567"/>
                <w:tab w:val="clear" w:pos="927"/>
              </w:tabs>
              <w:spacing w:after="60"/>
              <w:ind w:left="0" w:firstLine="0"/>
              <w:rPr>
                <w:rFonts w:asciiTheme="minorHAnsi" w:hAnsiTheme="minorHAnsi"/>
                <w:sz w:val="20"/>
                <w:szCs w:val="20"/>
              </w:rPr>
            </w:pPr>
            <w:r>
              <w:rPr>
                <w:rFonts w:asciiTheme="minorHAnsi" w:hAnsiTheme="minorHAnsi"/>
                <w:sz w:val="20"/>
                <w:szCs w:val="20"/>
              </w:rPr>
              <w:t>15 (c)</w:t>
            </w:r>
          </w:p>
        </w:tc>
        <w:tc>
          <w:tcPr>
            <w:tcW w:w="959" w:type="pct"/>
          </w:tcPr>
          <w:p w:rsidR="0070695D" w:rsidRDefault="0070695D" w:rsidP="00D45083">
            <w:pPr>
              <w:pStyle w:val="ListBullet"/>
              <w:widowControl w:val="0"/>
              <w:tabs>
                <w:tab w:val="clear" w:pos="0"/>
                <w:tab w:val="clear" w:pos="567"/>
                <w:tab w:val="clear" w:pos="927"/>
              </w:tabs>
              <w:spacing w:after="60"/>
              <w:ind w:left="0" w:firstLine="0"/>
              <w:rPr>
                <w:rFonts w:ascii="Corbel" w:hAnsi="Corbel"/>
                <w:sz w:val="20"/>
                <w:szCs w:val="20"/>
              </w:rPr>
            </w:pPr>
            <w:r>
              <w:rPr>
                <w:rFonts w:ascii="Corbel" w:hAnsi="Corbel"/>
                <w:sz w:val="20"/>
                <w:szCs w:val="20"/>
              </w:rPr>
              <w:t xml:space="preserve">Doris Women’s Refuge </w:t>
            </w:r>
          </w:p>
        </w:tc>
        <w:tc>
          <w:tcPr>
            <w:tcW w:w="335" w:type="pct"/>
          </w:tcPr>
          <w:p w:rsidR="0070695D" w:rsidRDefault="0070695D" w:rsidP="00414038">
            <w:pPr>
              <w:pStyle w:val="ListBullet"/>
              <w:widowControl w:val="0"/>
              <w:tabs>
                <w:tab w:val="clear" w:pos="0"/>
                <w:tab w:val="clear" w:pos="567"/>
                <w:tab w:val="clear" w:pos="927"/>
              </w:tabs>
              <w:spacing w:after="60"/>
              <w:ind w:left="0" w:firstLine="0"/>
              <w:jc w:val="center"/>
              <w:rPr>
                <w:rFonts w:ascii="Corbel" w:hAnsi="Corbel"/>
                <w:sz w:val="20"/>
                <w:szCs w:val="20"/>
              </w:rPr>
            </w:pPr>
            <w:r>
              <w:rPr>
                <w:rFonts w:ascii="Corbel" w:hAnsi="Corbel"/>
                <w:sz w:val="20"/>
                <w:szCs w:val="20"/>
              </w:rPr>
              <w:t>Yes</w:t>
            </w:r>
          </w:p>
        </w:tc>
        <w:tc>
          <w:tcPr>
            <w:tcW w:w="336" w:type="pct"/>
          </w:tcPr>
          <w:p w:rsidR="0070695D" w:rsidRDefault="0070695D" w:rsidP="00414038">
            <w:pPr>
              <w:pStyle w:val="ListBullet"/>
              <w:widowControl w:val="0"/>
              <w:tabs>
                <w:tab w:val="clear" w:pos="0"/>
                <w:tab w:val="clear" w:pos="567"/>
                <w:tab w:val="clear" w:pos="927"/>
              </w:tabs>
              <w:spacing w:after="60"/>
              <w:ind w:left="0" w:firstLine="0"/>
              <w:jc w:val="center"/>
              <w:rPr>
                <w:rFonts w:ascii="Corbel" w:hAnsi="Corbel"/>
                <w:sz w:val="20"/>
                <w:szCs w:val="20"/>
              </w:rPr>
            </w:pPr>
            <w:r>
              <w:rPr>
                <w:rFonts w:ascii="Corbel" w:hAnsi="Corbel"/>
                <w:sz w:val="20"/>
                <w:szCs w:val="20"/>
              </w:rPr>
              <w:t>No</w:t>
            </w:r>
          </w:p>
        </w:tc>
        <w:tc>
          <w:tcPr>
            <w:tcW w:w="384" w:type="pct"/>
          </w:tcPr>
          <w:p w:rsidR="0070695D" w:rsidRDefault="0070695D" w:rsidP="00414038">
            <w:pPr>
              <w:pStyle w:val="ListBullet"/>
              <w:widowControl w:val="0"/>
              <w:tabs>
                <w:tab w:val="clear" w:pos="0"/>
                <w:tab w:val="clear" w:pos="567"/>
                <w:tab w:val="clear" w:pos="927"/>
              </w:tabs>
              <w:spacing w:after="60"/>
              <w:ind w:left="0" w:firstLine="0"/>
              <w:jc w:val="center"/>
              <w:rPr>
                <w:rFonts w:ascii="Corbel" w:hAnsi="Corbel"/>
                <w:sz w:val="20"/>
                <w:szCs w:val="20"/>
              </w:rPr>
            </w:pPr>
            <w:r>
              <w:rPr>
                <w:rFonts w:ascii="Corbel" w:hAnsi="Corbel"/>
                <w:sz w:val="20"/>
                <w:szCs w:val="20"/>
              </w:rPr>
              <w:t>NA</w:t>
            </w:r>
          </w:p>
        </w:tc>
        <w:tc>
          <w:tcPr>
            <w:tcW w:w="529" w:type="pct"/>
          </w:tcPr>
          <w:p w:rsidR="0070695D" w:rsidRDefault="0070695D" w:rsidP="00FB7DFF">
            <w:pPr>
              <w:pStyle w:val="ListBullet"/>
              <w:widowControl w:val="0"/>
              <w:tabs>
                <w:tab w:val="clear" w:pos="0"/>
                <w:tab w:val="clear" w:pos="567"/>
                <w:tab w:val="clear" w:pos="927"/>
              </w:tabs>
              <w:spacing w:after="60"/>
              <w:ind w:left="0" w:firstLine="0"/>
              <w:jc w:val="center"/>
              <w:rPr>
                <w:rFonts w:ascii="Corbel" w:hAnsi="Corbel"/>
                <w:sz w:val="20"/>
                <w:szCs w:val="20"/>
              </w:rPr>
            </w:pPr>
            <w:r>
              <w:rPr>
                <w:rFonts w:ascii="Corbel" w:hAnsi="Corbel"/>
                <w:sz w:val="20"/>
                <w:szCs w:val="20"/>
              </w:rPr>
              <w:t>NA</w:t>
            </w:r>
          </w:p>
        </w:tc>
      </w:tr>
    </w:tbl>
    <w:p w:rsidR="001A59E5" w:rsidRPr="008A1C7C" w:rsidRDefault="00FA4618" w:rsidP="00426F7D">
      <w:pPr>
        <w:spacing w:before="120"/>
        <w:rPr>
          <w:b/>
          <w:sz w:val="22"/>
          <w:szCs w:val="22"/>
        </w:rPr>
      </w:pPr>
      <w:r w:rsidRPr="008A1C7C">
        <w:rPr>
          <w:b/>
          <w:sz w:val="22"/>
          <w:szCs w:val="22"/>
        </w:rPr>
        <w:t xml:space="preserve">*Please note: Initiatives can have numerous programs or projects with different service providers that are delivering specific shared outcomes with time and cost constraints. </w:t>
      </w:r>
    </w:p>
    <w:p w:rsidR="001A59E5" w:rsidRDefault="00FA4618" w:rsidP="00F7766D">
      <w:r w:rsidRPr="008A1C7C">
        <w:rPr>
          <w:b/>
          <w:sz w:val="22"/>
          <w:szCs w:val="22"/>
        </w:rPr>
        <w:t>**Please note: The Commonwealth acknowledges that funding allocated to addressing domestic and family violence, and youth homelessness may span across outputs other than the priority outputs listed at 1</w:t>
      </w:r>
      <w:r w:rsidR="00C817D8" w:rsidRPr="008A1C7C">
        <w:rPr>
          <w:b/>
          <w:sz w:val="22"/>
          <w:szCs w:val="22"/>
        </w:rPr>
        <w:t>5</w:t>
      </w:r>
      <w:r w:rsidRPr="008A1C7C">
        <w:rPr>
          <w:b/>
          <w:sz w:val="22"/>
          <w:szCs w:val="22"/>
        </w:rPr>
        <w:t xml:space="preserve"> (a), 1</w:t>
      </w:r>
      <w:r w:rsidR="00C817D8" w:rsidRPr="008A1C7C">
        <w:rPr>
          <w:b/>
          <w:sz w:val="22"/>
          <w:szCs w:val="22"/>
        </w:rPr>
        <w:t>5</w:t>
      </w:r>
      <w:r w:rsidRPr="008A1C7C">
        <w:rPr>
          <w:b/>
          <w:sz w:val="22"/>
          <w:szCs w:val="22"/>
        </w:rPr>
        <w:t xml:space="preserve"> (b) and 1</w:t>
      </w:r>
      <w:r w:rsidR="00C817D8" w:rsidRPr="008A1C7C">
        <w:rPr>
          <w:b/>
          <w:sz w:val="22"/>
          <w:szCs w:val="22"/>
        </w:rPr>
        <w:t>5</w:t>
      </w:r>
      <w:r w:rsidRPr="008A1C7C">
        <w:rPr>
          <w:b/>
          <w:sz w:val="22"/>
          <w:szCs w:val="22"/>
        </w:rPr>
        <w:t xml:space="preserve"> (c) of the Agreement.</w:t>
      </w:r>
      <w:r w:rsidRPr="008A1C7C">
        <w:rPr>
          <w:b/>
          <w:sz w:val="22"/>
          <w:szCs w:val="22"/>
        </w:rPr>
        <w:br/>
      </w:r>
      <w:r w:rsidRPr="008A1C7C">
        <w:rPr>
          <w:b/>
          <w:sz w:val="22"/>
          <w:szCs w:val="22"/>
        </w:rPr>
        <w:lastRenderedPageBreak/>
        <w:t>***Please note: Where an exemption has been granted by the Commonwealth under the 201</w:t>
      </w:r>
      <w:r w:rsidR="008A1C7C" w:rsidRPr="008A1C7C">
        <w:rPr>
          <w:b/>
          <w:sz w:val="22"/>
          <w:szCs w:val="22"/>
        </w:rPr>
        <w:t>5</w:t>
      </w:r>
      <w:r w:rsidRPr="008A1C7C">
        <w:rPr>
          <w:b/>
          <w:sz w:val="22"/>
          <w:szCs w:val="22"/>
        </w:rPr>
        <w:t>-1</w:t>
      </w:r>
      <w:r w:rsidR="008A1C7C" w:rsidRPr="008A1C7C">
        <w:rPr>
          <w:b/>
          <w:sz w:val="22"/>
          <w:szCs w:val="22"/>
        </w:rPr>
        <w:t>7</w:t>
      </w:r>
      <w:r w:rsidRPr="008A1C7C">
        <w:rPr>
          <w:b/>
          <w:sz w:val="22"/>
          <w:szCs w:val="22"/>
        </w:rPr>
        <w:t xml:space="preserve"> NPAH and this is sought again, the jurisdiction should indicate in this column that this has been granted by the Commonwealth (unless significant changes to the circumstances of the Service Provider have occurred).</w:t>
      </w:r>
      <w:r w:rsidRPr="008A1C7C">
        <w:rPr>
          <w:b/>
          <w:sz w:val="22"/>
          <w:szCs w:val="22"/>
        </w:rPr>
        <w:br/>
        <w:t>****Please note: Address and service coverage area, and NPAH funding information columns (including funding allocated to priority outputs) will not be made publicly available.</w:t>
      </w:r>
      <w:r w:rsidR="001A59E5">
        <w:rPr>
          <w:b/>
        </w:rPr>
        <w:t xml:space="preserve"> </w:t>
      </w:r>
    </w:p>
    <w:p w:rsidR="001A59E5" w:rsidRDefault="001A59E5" w:rsidP="00F7766D">
      <w:pPr>
        <w:sectPr w:rsidR="001A59E5" w:rsidSect="005B11C1">
          <w:pgSz w:w="16838" w:h="11906" w:orient="landscape" w:code="9"/>
          <w:pgMar w:top="1021" w:right="907" w:bottom="1021" w:left="1021" w:header="624" w:footer="624" w:gutter="0"/>
          <w:pgNumType w:start="1"/>
          <w:cols w:space="708"/>
          <w:docGrid w:linePitch="360"/>
        </w:sectPr>
      </w:pPr>
    </w:p>
    <w:p w:rsidR="001B56C8" w:rsidRDefault="001B56C8" w:rsidP="009B49E8">
      <w:pPr>
        <w:pStyle w:val="ListParagraph"/>
      </w:pPr>
    </w:p>
    <w:p w:rsidR="00BA3F25" w:rsidRDefault="00BA3F25" w:rsidP="00466476">
      <w:pPr>
        <w:pStyle w:val="Normalnumbered"/>
        <w:numPr>
          <w:ilvl w:val="0"/>
          <w:numId w:val="0"/>
        </w:numPr>
        <w:rPr>
          <w:highlight w:val="yellow"/>
        </w:rPr>
      </w:pPr>
    </w:p>
    <w:p w:rsidR="00BA3F25" w:rsidRPr="00A17D70" w:rsidRDefault="006D35B6" w:rsidP="00BA3F25">
      <w:pPr>
        <w:pStyle w:val="Heading2"/>
      </w:pPr>
      <w:r>
        <w:t>Expected reports, reviews or evaluations</w:t>
      </w:r>
    </w:p>
    <w:p w:rsidR="006D35B6" w:rsidRPr="009B49E8" w:rsidRDefault="00116629" w:rsidP="009B49E8">
      <w:pPr>
        <w:pStyle w:val="Heading3"/>
        <w:tabs>
          <w:tab w:val="left" w:pos="6795"/>
        </w:tabs>
        <w:rPr>
          <w:rFonts w:ascii="Corbel" w:hAnsi="Corbel"/>
          <w:b w:val="0"/>
          <w:bCs/>
          <w:iCs/>
          <w:color w:val="auto"/>
          <w:szCs w:val="24"/>
        </w:rPr>
      </w:pPr>
      <w:r w:rsidRPr="009B49E8">
        <w:rPr>
          <w:rFonts w:ascii="Corbel" w:hAnsi="Corbel"/>
          <w:b w:val="0"/>
          <w:bCs/>
          <w:iCs/>
          <w:color w:val="auto"/>
          <w:szCs w:val="24"/>
        </w:rPr>
        <w:t xml:space="preserve">In accordance with </w:t>
      </w:r>
      <w:r>
        <w:rPr>
          <w:rFonts w:ascii="Corbel" w:hAnsi="Corbel"/>
          <w:b w:val="0"/>
          <w:bCs/>
          <w:iCs/>
          <w:color w:val="auto"/>
          <w:szCs w:val="24"/>
        </w:rPr>
        <w:t>clause 30(a)</w:t>
      </w:r>
      <w:r w:rsidRPr="009B49E8">
        <w:rPr>
          <w:rFonts w:ascii="Corbel" w:hAnsi="Corbel"/>
          <w:b w:val="0"/>
          <w:bCs/>
          <w:iCs/>
          <w:color w:val="auto"/>
          <w:szCs w:val="24"/>
        </w:rPr>
        <w:t xml:space="preserve"> and </w:t>
      </w:r>
      <w:r>
        <w:rPr>
          <w:rFonts w:ascii="Corbel" w:hAnsi="Corbel"/>
          <w:b w:val="0"/>
          <w:bCs/>
          <w:iCs/>
          <w:color w:val="auto"/>
          <w:szCs w:val="24"/>
        </w:rPr>
        <w:t>31</w:t>
      </w:r>
      <w:r w:rsidRPr="009B49E8">
        <w:rPr>
          <w:rFonts w:ascii="Corbel" w:hAnsi="Corbel"/>
          <w:b w:val="0"/>
          <w:bCs/>
          <w:iCs/>
          <w:color w:val="auto"/>
          <w:szCs w:val="24"/>
        </w:rPr>
        <w:t xml:space="preserve"> of the Agreement, a</w:t>
      </w:r>
      <w:r>
        <w:rPr>
          <w:rFonts w:ascii="Corbel" w:hAnsi="Corbel"/>
          <w:b w:val="0"/>
          <w:bCs/>
          <w:iCs/>
          <w:color w:val="auto"/>
          <w:szCs w:val="24"/>
        </w:rPr>
        <w:t xml:space="preserve"> final update</w:t>
      </w:r>
      <w:r w:rsidR="00D407B6" w:rsidRPr="009B49E8">
        <w:rPr>
          <w:rFonts w:ascii="Corbel" w:hAnsi="Corbel"/>
          <w:b w:val="0"/>
          <w:bCs/>
          <w:iCs/>
          <w:color w:val="auto"/>
          <w:szCs w:val="24"/>
        </w:rPr>
        <w:t xml:space="preserve"> is to be provided to the Commonwealth based on the monitoring and assessment of progress against this Project Plan, and any evaluations and reviews of services and outputs delivered.  D</w:t>
      </w:r>
      <w:r w:rsidR="006D35B6" w:rsidRPr="009B49E8">
        <w:rPr>
          <w:rFonts w:ascii="Corbel" w:hAnsi="Corbel"/>
          <w:b w:val="0"/>
          <w:bCs/>
          <w:iCs/>
          <w:color w:val="auto"/>
          <w:szCs w:val="24"/>
        </w:rPr>
        <w:t xml:space="preserve">etails of </w:t>
      </w:r>
      <w:r w:rsidR="00D407B6" w:rsidRPr="009B49E8">
        <w:rPr>
          <w:rFonts w:ascii="Corbel" w:hAnsi="Corbel"/>
          <w:b w:val="0"/>
          <w:bCs/>
          <w:iCs/>
          <w:color w:val="auto"/>
          <w:szCs w:val="24"/>
        </w:rPr>
        <w:t xml:space="preserve">any </w:t>
      </w:r>
      <w:r w:rsidR="006D35B6" w:rsidRPr="009B49E8">
        <w:rPr>
          <w:rFonts w:ascii="Corbel" w:hAnsi="Corbel"/>
          <w:b w:val="0"/>
          <w:bCs/>
          <w:iCs/>
          <w:color w:val="auto"/>
          <w:szCs w:val="24"/>
        </w:rPr>
        <w:t>expected reports, reviews or evaluations of initiatives are</w:t>
      </w:r>
      <w:r w:rsidR="00D407B6" w:rsidRPr="009B49E8">
        <w:rPr>
          <w:rFonts w:ascii="Corbel" w:hAnsi="Corbel"/>
          <w:b w:val="0"/>
          <w:bCs/>
          <w:iCs/>
          <w:color w:val="auto"/>
          <w:szCs w:val="24"/>
        </w:rPr>
        <w:t xml:space="preserve"> to be listed </w:t>
      </w:r>
      <w:r w:rsidR="006D35B6" w:rsidRPr="009B49E8">
        <w:rPr>
          <w:rFonts w:ascii="Corbel" w:hAnsi="Corbel"/>
          <w:b w:val="0"/>
          <w:bCs/>
          <w:iCs/>
          <w:color w:val="auto"/>
          <w:szCs w:val="24"/>
        </w:rPr>
        <w:t xml:space="preserve">in Table 3.  </w:t>
      </w:r>
    </w:p>
    <w:p w:rsidR="00BA3F25" w:rsidRPr="00A17D70" w:rsidRDefault="00BA3F25" w:rsidP="00BA3F25">
      <w:pPr>
        <w:pStyle w:val="Heading3"/>
      </w:pPr>
      <w:r>
        <w:t xml:space="preserve">Table </w:t>
      </w:r>
      <w:r w:rsidR="00C4684C">
        <w:t>3</w:t>
      </w:r>
      <w:r w:rsidRPr="00A17D70">
        <w:t xml:space="preserve">: </w:t>
      </w:r>
      <w:r>
        <w:t xml:space="preserve">List of information expected to contribute to </w:t>
      </w:r>
      <w:r w:rsidR="00EA784E">
        <w:t xml:space="preserve">the final </w:t>
      </w:r>
      <w:r>
        <w:t>update to the Commonwealth.</w:t>
      </w:r>
    </w:p>
    <w:p w:rsidR="00BA3F25" w:rsidRDefault="00BA3F25" w:rsidP="00466476">
      <w:pPr>
        <w:pStyle w:val="Normalnumbered"/>
        <w:numPr>
          <w:ilvl w:val="0"/>
          <w:numId w:val="0"/>
        </w:numPr>
        <w:rPr>
          <w:highlight w:val="yellow"/>
        </w:rPr>
      </w:pPr>
    </w:p>
    <w:tbl>
      <w:tblPr>
        <w:tblStyle w:val="TableGrid"/>
        <w:tblW w:w="0" w:type="auto"/>
        <w:tblLook w:val="04A0" w:firstRow="1" w:lastRow="0" w:firstColumn="1" w:lastColumn="0" w:noHBand="0" w:noVBand="1"/>
      </w:tblPr>
      <w:tblGrid>
        <w:gridCol w:w="839"/>
        <w:gridCol w:w="4961"/>
        <w:gridCol w:w="3013"/>
      </w:tblGrid>
      <w:tr w:rsidR="00EA784E" w:rsidTr="00864429">
        <w:trPr>
          <w:trHeight w:val="567"/>
        </w:trPr>
        <w:tc>
          <w:tcPr>
            <w:tcW w:w="839" w:type="dxa"/>
            <w:shd w:val="clear" w:color="auto" w:fill="D9D9D9" w:themeFill="background1" w:themeFillShade="D9"/>
          </w:tcPr>
          <w:p w:rsidR="00EA784E" w:rsidRPr="009B49E8" w:rsidRDefault="00EA784E" w:rsidP="009B49E8">
            <w:pPr>
              <w:rPr>
                <w:b/>
              </w:rPr>
            </w:pPr>
            <w:r w:rsidRPr="009B49E8">
              <w:rPr>
                <w:b/>
              </w:rPr>
              <w:t>Item no.</w:t>
            </w:r>
          </w:p>
        </w:tc>
        <w:tc>
          <w:tcPr>
            <w:tcW w:w="4961" w:type="dxa"/>
            <w:shd w:val="clear" w:color="auto" w:fill="D9D9D9" w:themeFill="background1" w:themeFillShade="D9"/>
          </w:tcPr>
          <w:p w:rsidR="00EA784E" w:rsidRPr="009B49E8" w:rsidRDefault="00EA784E" w:rsidP="009B49E8">
            <w:pPr>
              <w:rPr>
                <w:b/>
              </w:rPr>
            </w:pPr>
            <w:r w:rsidRPr="009B49E8">
              <w:rPr>
                <w:b/>
              </w:rPr>
              <w:t xml:space="preserve">Short description of </w:t>
            </w:r>
            <w:r>
              <w:rPr>
                <w:b/>
              </w:rPr>
              <w:t xml:space="preserve">expected </w:t>
            </w:r>
            <w:r w:rsidRPr="009B49E8">
              <w:rPr>
                <w:b/>
              </w:rPr>
              <w:t>item</w:t>
            </w:r>
          </w:p>
        </w:tc>
        <w:tc>
          <w:tcPr>
            <w:tcW w:w="3013" w:type="dxa"/>
            <w:shd w:val="clear" w:color="auto" w:fill="D9D9D9" w:themeFill="background1" w:themeFillShade="D9"/>
          </w:tcPr>
          <w:p w:rsidR="00EA784E" w:rsidRPr="009B49E8" w:rsidRDefault="00EA784E" w:rsidP="009B49E8">
            <w:pPr>
              <w:rPr>
                <w:b/>
              </w:rPr>
            </w:pPr>
            <w:r w:rsidRPr="009B49E8">
              <w:rPr>
                <w:b/>
              </w:rPr>
              <w:t>Expected timeframe</w:t>
            </w:r>
          </w:p>
        </w:tc>
      </w:tr>
      <w:tr w:rsidR="00EA784E" w:rsidRPr="00BA3F25" w:rsidTr="00864429">
        <w:trPr>
          <w:trHeight w:val="277"/>
        </w:trPr>
        <w:tc>
          <w:tcPr>
            <w:tcW w:w="839" w:type="dxa"/>
          </w:tcPr>
          <w:p w:rsidR="00EA784E" w:rsidRPr="009B49E8" w:rsidRDefault="00EA784E" w:rsidP="009B49E8">
            <w:pPr>
              <w:pStyle w:val="Normalnumbered"/>
              <w:numPr>
                <w:ilvl w:val="0"/>
                <w:numId w:val="0"/>
              </w:numPr>
              <w:jc w:val="center"/>
            </w:pPr>
            <w:r w:rsidRPr="009B49E8">
              <w:t>1</w:t>
            </w:r>
          </w:p>
        </w:tc>
        <w:tc>
          <w:tcPr>
            <w:tcW w:w="4961" w:type="dxa"/>
          </w:tcPr>
          <w:p w:rsidR="00EA784E" w:rsidRPr="009B49E8" w:rsidRDefault="002E10E7" w:rsidP="002E10E7">
            <w:pPr>
              <w:pStyle w:val="Normalnumbered"/>
              <w:numPr>
                <w:ilvl w:val="0"/>
                <w:numId w:val="0"/>
              </w:numPr>
            </w:pPr>
            <w:r>
              <w:t xml:space="preserve">Common Ground </w:t>
            </w:r>
            <w:r w:rsidR="007E0795">
              <w:t>Evaluation – The Common Ground Canberra, a new purpose built 40 unit dwelling was funded through the 2013-14 NPAH Development Fund and private sector and community donations. The 50 per cent mix of formerly homeless tenants and 50 per cent of tenants able to pay affordable rent has created a normalised environment for people who have been cycling in and out of homelessness. The support p</w:t>
            </w:r>
            <w:r w:rsidR="00020CF0">
              <w:t>rovided to maintain their tenancy and improve</w:t>
            </w:r>
            <w:r w:rsidR="007E0795">
              <w:t xml:space="preserve"> living skills</w:t>
            </w:r>
            <w:r w:rsidR="00020CF0">
              <w:t xml:space="preserve"> has enabled tenants’ capacity building and fuller participation in the social and economic life of the community.</w:t>
            </w:r>
          </w:p>
        </w:tc>
        <w:tc>
          <w:tcPr>
            <w:tcW w:w="3013" w:type="dxa"/>
          </w:tcPr>
          <w:p w:rsidR="00EA784E" w:rsidRPr="009B49E8" w:rsidRDefault="00594662" w:rsidP="00F90413">
            <w:pPr>
              <w:pStyle w:val="Normalnumbered"/>
              <w:numPr>
                <w:ilvl w:val="0"/>
                <w:numId w:val="0"/>
              </w:numPr>
            </w:pPr>
            <w:r>
              <w:t>201</w:t>
            </w:r>
            <w:r w:rsidR="002E10E7">
              <w:t>7</w:t>
            </w:r>
          </w:p>
        </w:tc>
      </w:tr>
    </w:tbl>
    <w:p w:rsidR="00225302" w:rsidRDefault="00225302" w:rsidP="0070695D">
      <w:pPr>
        <w:pStyle w:val="Normalnumbered"/>
        <w:numPr>
          <w:ilvl w:val="0"/>
          <w:numId w:val="0"/>
        </w:numPr>
        <w:sectPr w:rsidR="00225302" w:rsidSect="00590C23">
          <w:pgSz w:w="11906" w:h="16838" w:code="9"/>
          <w:pgMar w:top="851" w:right="1440" w:bottom="1021" w:left="1440" w:header="624" w:footer="624" w:gutter="0"/>
          <w:pgNumType w:start="1"/>
          <w:cols w:space="708"/>
          <w:docGrid w:linePitch="360"/>
        </w:sectPr>
      </w:pPr>
    </w:p>
    <w:p w:rsidR="00735E7A" w:rsidRDefault="00735E7A" w:rsidP="0070695D">
      <w:pPr>
        <w:pStyle w:val="Normalnumbered"/>
        <w:numPr>
          <w:ilvl w:val="0"/>
          <w:numId w:val="0"/>
        </w:numPr>
      </w:pPr>
    </w:p>
    <w:sectPr w:rsidR="00735E7A" w:rsidSect="00590C23">
      <w:pgSz w:w="11906" w:h="16838" w:code="9"/>
      <w:pgMar w:top="851" w:right="1440" w:bottom="1021" w:left="1440"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C67" w:rsidRDefault="00D27C67">
      <w:r>
        <w:separator/>
      </w:r>
    </w:p>
  </w:endnote>
  <w:endnote w:type="continuationSeparator" w:id="0">
    <w:p w:rsidR="00D27C67" w:rsidRDefault="00D2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67" w:rsidRDefault="00D27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327666"/>
      <w:docPartObj>
        <w:docPartGallery w:val="Page Numbers (Bottom of Page)"/>
        <w:docPartUnique/>
      </w:docPartObj>
    </w:sdtPr>
    <w:sdtEndPr>
      <w:rPr>
        <w:noProof/>
      </w:rPr>
    </w:sdtEndPr>
    <w:sdtContent>
      <w:p w:rsidR="00D27C67" w:rsidRDefault="007069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27C67" w:rsidRDefault="00D27C67" w:rsidP="00905CA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67" w:rsidRDefault="00D27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C67" w:rsidRDefault="00D27C67">
      <w:r>
        <w:separator/>
      </w:r>
    </w:p>
  </w:footnote>
  <w:footnote w:type="continuationSeparator" w:id="0">
    <w:p w:rsidR="00D27C67" w:rsidRDefault="00D27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67" w:rsidRDefault="00D27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67" w:rsidRDefault="00D27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67" w:rsidRDefault="00D27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A4F"/>
    <w:multiLevelType w:val="hybridMultilevel"/>
    <w:tmpl w:val="56B4C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1F22D0"/>
    <w:multiLevelType w:val="hybridMultilevel"/>
    <w:tmpl w:val="93F4A2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700C2B"/>
    <w:multiLevelType w:val="hybridMultilevel"/>
    <w:tmpl w:val="3018909A"/>
    <w:lvl w:ilvl="0" w:tplc="C0C625EC">
      <w:start w:val="1"/>
      <w:numFmt w:val="bullet"/>
      <w:lvlText w:val=""/>
      <w:lvlJc w:val="left"/>
      <w:pPr>
        <w:tabs>
          <w:tab w:val="num" w:pos="360"/>
        </w:tabs>
        <w:ind w:left="360" w:hanging="360"/>
      </w:pPr>
      <w:rPr>
        <w:rFonts w:ascii="Symbol" w:hAnsi="Symbol" w:hint="default"/>
        <w:color w:val="auto"/>
        <w:sz w:val="24"/>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36214B9"/>
    <w:multiLevelType w:val="hybridMultilevel"/>
    <w:tmpl w:val="97B0AAF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24963544"/>
    <w:multiLevelType w:val="hybridMultilevel"/>
    <w:tmpl w:val="4A700F60"/>
    <w:lvl w:ilvl="0" w:tplc="0010D560">
      <w:start w:val="2015"/>
      <w:numFmt w:val="bullet"/>
      <w:lvlText w:val="-"/>
      <w:lvlJc w:val="left"/>
      <w:pPr>
        <w:ind w:left="1080" w:hanging="360"/>
      </w:pPr>
      <w:rPr>
        <w:rFonts w:ascii="Corbel" w:eastAsia="Times New Roman" w:hAnsi="Corbe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7391E70"/>
    <w:multiLevelType w:val="multilevel"/>
    <w:tmpl w:val="AEF6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7615B"/>
    <w:multiLevelType w:val="hybridMultilevel"/>
    <w:tmpl w:val="46D6C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8" w15:restartNumberingAfterBreak="0">
    <w:nsid w:val="72CE0739"/>
    <w:multiLevelType w:val="hybridMultilevel"/>
    <w:tmpl w:val="B0486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854AAC"/>
    <w:multiLevelType w:val="hybridMultilevel"/>
    <w:tmpl w:val="7C681816"/>
    <w:lvl w:ilvl="0" w:tplc="A76EBCC0">
      <w:start w:val="1"/>
      <w:numFmt w:val="decimal"/>
      <w:pStyle w:val="Normalnumbered"/>
      <w:lvlText w:val="%1."/>
      <w:lvlJc w:val="left"/>
      <w:pPr>
        <w:tabs>
          <w:tab w:val="num" w:pos="567"/>
        </w:tabs>
        <w:ind w:left="567" w:hanging="567"/>
      </w:pPr>
      <w:rPr>
        <w:rFonts w:cs="Times New Roman" w:hint="default"/>
      </w:rPr>
    </w:lvl>
    <w:lvl w:ilvl="1" w:tplc="460E12AA">
      <w:start w:val="1"/>
      <w:numFmt w:val="lowerRoman"/>
      <w:lvlText w:val="%2."/>
      <w:lvlJc w:val="right"/>
      <w:pPr>
        <w:tabs>
          <w:tab w:val="num" w:pos="1353"/>
        </w:tabs>
        <w:ind w:left="1353" w:hanging="360"/>
      </w:pPr>
      <w:rPr>
        <w:i/>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1"/>
  </w:num>
  <w:num w:numId="4">
    <w:abstractNumId w:val="0"/>
  </w:num>
  <w:num w:numId="5">
    <w:abstractNumId w:val="6"/>
  </w:num>
  <w:num w:numId="6">
    <w:abstractNumId w:val="4"/>
  </w:num>
  <w:num w:numId="7">
    <w:abstractNumId w:val="5"/>
  </w:num>
  <w:num w:numId="8">
    <w:abstractNumId w:val="9"/>
  </w:num>
  <w:num w:numId="9">
    <w:abstractNumId w:val="9"/>
  </w:num>
  <w:num w:numId="10">
    <w:abstractNumId w:val="9"/>
  </w:num>
  <w:num w:numId="11">
    <w:abstractNumId w:val="9"/>
  </w:num>
  <w:num w:numId="12">
    <w:abstractNumId w:val="2"/>
  </w:num>
  <w:num w:numId="13">
    <w:abstractNumId w:val="9"/>
  </w:num>
  <w:num w:numId="14">
    <w:abstractNumId w:val="3"/>
  </w:num>
  <w:num w:numId="15">
    <w:abstractNumId w:val="9"/>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01"/>
    <w:rsid w:val="00001B09"/>
    <w:rsid w:val="00004F0F"/>
    <w:rsid w:val="00020CF0"/>
    <w:rsid w:val="00021011"/>
    <w:rsid w:val="00022A5E"/>
    <w:rsid w:val="000237C6"/>
    <w:rsid w:val="00025E52"/>
    <w:rsid w:val="00031502"/>
    <w:rsid w:val="0003169E"/>
    <w:rsid w:val="00053A80"/>
    <w:rsid w:val="00057FC5"/>
    <w:rsid w:val="000621D5"/>
    <w:rsid w:val="0007008C"/>
    <w:rsid w:val="000713FC"/>
    <w:rsid w:val="00071F32"/>
    <w:rsid w:val="00080B05"/>
    <w:rsid w:val="00081654"/>
    <w:rsid w:val="0008324C"/>
    <w:rsid w:val="000926E9"/>
    <w:rsid w:val="00096455"/>
    <w:rsid w:val="00096A15"/>
    <w:rsid w:val="000B3A0E"/>
    <w:rsid w:val="000B3F75"/>
    <w:rsid w:val="000C6ECF"/>
    <w:rsid w:val="000C7134"/>
    <w:rsid w:val="000D38F0"/>
    <w:rsid w:val="000E05A0"/>
    <w:rsid w:val="000E5A4C"/>
    <w:rsid w:val="000E7528"/>
    <w:rsid w:val="000F127D"/>
    <w:rsid w:val="000F62AB"/>
    <w:rsid w:val="00103E0F"/>
    <w:rsid w:val="00110066"/>
    <w:rsid w:val="00111171"/>
    <w:rsid w:val="00111FD7"/>
    <w:rsid w:val="00116629"/>
    <w:rsid w:val="00132D3C"/>
    <w:rsid w:val="00137E23"/>
    <w:rsid w:val="00143D34"/>
    <w:rsid w:val="00156A2F"/>
    <w:rsid w:val="00160C8B"/>
    <w:rsid w:val="00162B64"/>
    <w:rsid w:val="00163654"/>
    <w:rsid w:val="00172810"/>
    <w:rsid w:val="001778EB"/>
    <w:rsid w:val="00177F10"/>
    <w:rsid w:val="001800B3"/>
    <w:rsid w:val="0018134F"/>
    <w:rsid w:val="001814BD"/>
    <w:rsid w:val="0018380A"/>
    <w:rsid w:val="00193104"/>
    <w:rsid w:val="00197400"/>
    <w:rsid w:val="001A59E5"/>
    <w:rsid w:val="001B001D"/>
    <w:rsid w:val="001B335C"/>
    <w:rsid w:val="001B56C8"/>
    <w:rsid w:val="001B6C73"/>
    <w:rsid w:val="001C40F8"/>
    <w:rsid w:val="001D4C32"/>
    <w:rsid w:val="001D7750"/>
    <w:rsid w:val="001D7926"/>
    <w:rsid w:val="001E1FF0"/>
    <w:rsid w:val="001E2999"/>
    <w:rsid w:val="001E6441"/>
    <w:rsid w:val="001F04B7"/>
    <w:rsid w:val="001F0506"/>
    <w:rsid w:val="001F1C45"/>
    <w:rsid w:val="001F4182"/>
    <w:rsid w:val="00201848"/>
    <w:rsid w:val="00221774"/>
    <w:rsid w:val="00225302"/>
    <w:rsid w:val="00227957"/>
    <w:rsid w:val="00233E90"/>
    <w:rsid w:val="00237AEE"/>
    <w:rsid w:val="00241408"/>
    <w:rsid w:val="00243CF1"/>
    <w:rsid w:val="002508C5"/>
    <w:rsid w:val="0025343D"/>
    <w:rsid w:val="0025365C"/>
    <w:rsid w:val="0025369A"/>
    <w:rsid w:val="00260EA0"/>
    <w:rsid w:val="0026104B"/>
    <w:rsid w:val="002631F5"/>
    <w:rsid w:val="002734EC"/>
    <w:rsid w:val="00275AC5"/>
    <w:rsid w:val="00286BBD"/>
    <w:rsid w:val="002905CF"/>
    <w:rsid w:val="002A7423"/>
    <w:rsid w:val="002B39B4"/>
    <w:rsid w:val="002B3D10"/>
    <w:rsid w:val="002B621F"/>
    <w:rsid w:val="002B7217"/>
    <w:rsid w:val="002B7D74"/>
    <w:rsid w:val="002C75C5"/>
    <w:rsid w:val="002D1549"/>
    <w:rsid w:val="002D4A67"/>
    <w:rsid w:val="002E037E"/>
    <w:rsid w:val="002E10E7"/>
    <w:rsid w:val="002E3CC1"/>
    <w:rsid w:val="002F4AF5"/>
    <w:rsid w:val="0030148E"/>
    <w:rsid w:val="00306ECE"/>
    <w:rsid w:val="00307892"/>
    <w:rsid w:val="00321206"/>
    <w:rsid w:val="00322AFA"/>
    <w:rsid w:val="00335055"/>
    <w:rsid w:val="0033763E"/>
    <w:rsid w:val="0034094A"/>
    <w:rsid w:val="00353749"/>
    <w:rsid w:val="00354234"/>
    <w:rsid w:val="00354946"/>
    <w:rsid w:val="00365CD3"/>
    <w:rsid w:val="00377A03"/>
    <w:rsid w:val="00382A05"/>
    <w:rsid w:val="003865B0"/>
    <w:rsid w:val="003960A3"/>
    <w:rsid w:val="003A214A"/>
    <w:rsid w:val="003A370E"/>
    <w:rsid w:val="003A44AE"/>
    <w:rsid w:val="003A6535"/>
    <w:rsid w:val="003C06EE"/>
    <w:rsid w:val="003C5590"/>
    <w:rsid w:val="003C74F5"/>
    <w:rsid w:val="003D504B"/>
    <w:rsid w:val="003D55E2"/>
    <w:rsid w:val="003D5C98"/>
    <w:rsid w:val="003E472D"/>
    <w:rsid w:val="003E6E75"/>
    <w:rsid w:val="00400711"/>
    <w:rsid w:val="00411AF5"/>
    <w:rsid w:val="00412DD9"/>
    <w:rsid w:val="00413477"/>
    <w:rsid w:val="00414038"/>
    <w:rsid w:val="00424DD2"/>
    <w:rsid w:val="00426F7D"/>
    <w:rsid w:val="00427FAE"/>
    <w:rsid w:val="00442999"/>
    <w:rsid w:val="004552EF"/>
    <w:rsid w:val="00466476"/>
    <w:rsid w:val="00467740"/>
    <w:rsid w:val="00471DB6"/>
    <w:rsid w:val="0047280B"/>
    <w:rsid w:val="00477086"/>
    <w:rsid w:val="0048200C"/>
    <w:rsid w:val="00483A6B"/>
    <w:rsid w:val="00486E21"/>
    <w:rsid w:val="00497AC9"/>
    <w:rsid w:val="004A492D"/>
    <w:rsid w:val="004A4DB7"/>
    <w:rsid w:val="004B0D67"/>
    <w:rsid w:val="004B2D0B"/>
    <w:rsid w:val="004C6D9B"/>
    <w:rsid w:val="004C76BE"/>
    <w:rsid w:val="004D003A"/>
    <w:rsid w:val="004D437D"/>
    <w:rsid w:val="004E5CA3"/>
    <w:rsid w:val="004F10C3"/>
    <w:rsid w:val="004F3712"/>
    <w:rsid w:val="005045C1"/>
    <w:rsid w:val="00507BBD"/>
    <w:rsid w:val="00514F0A"/>
    <w:rsid w:val="00522B2C"/>
    <w:rsid w:val="0052457C"/>
    <w:rsid w:val="005273F5"/>
    <w:rsid w:val="00541096"/>
    <w:rsid w:val="00555717"/>
    <w:rsid w:val="00562B43"/>
    <w:rsid w:val="00564313"/>
    <w:rsid w:val="00564B74"/>
    <w:rsid w:val="00565C93"/>
    <w:rsid w:val="00570C7B"/>
    <w:rsid w:val="005773B0"/>
    <w:rsid w:val="005832B4"/>
    <w:rsid w:val="00585A27"/>
    <w:rsid w:val="0058615E"/>
    <w:rsid w:val="00590C23"/>
    <w:rsid w:val="00591364"/>
    <w:rsid w:val="00594662"/>
    <w:rsid w:val="005A46EC"/>
    <w:rsid w:val="005B11C1"/>
    <w:rsid w:val="005B25F6"/>
    <w:rsid w:val="005C09A8"/>
    <w:rsid w:val="005C2F09"/>
    <w:rsid w:val="005C3A49"/>
    <w:rsid w:val="005C4368"/>
    <w:rsid w:val="005D65CC"/>
    <w:rsid w:val="005F0FB3"/>
    <w:rsid w:val="005F1047"/>
    <w:rsid w:val="006034F5"/>
    <w:rsid w:val="00604CA5"/>
    <w:rsid w:val="00605DBA"/>
    <w:rsid w:val="00610030"/>
    <w:rsid w:val="00613DC5"/>
    <w:rsid w:val="0061514B"/>
    <w:rsid w:val="006151B5"/>
    <w:rsid w:val="00626601"/>
    <w:rsid w:val="00632F2A"/>
    <w:rsid w:val="00633241"/>
    <w:rsid w:val="00646876"/>
    <w:rsid w:val="00652FD0"/>
    <w:rsid w:val="006579C0"/>
    <w:rsid w:val="00664C1E"/>
    <w:rsid w:val="00680B3B"/>
    <w:rsid w:val="00681E89"/>
    <w:rsid w:val="0069018C"/>
    <w:rsid w:val="00692A7C"/>
    <w:rsid w:val="0069344E"/>
    <w:rsid w:val="00697460"/>
    <w:rsid w:val="00697563"/>
    <w:rsid w:val="006B6F12"/>
    <w:rsid w:val="006B7B79"/>
    <w:rsid w:val="006C122C"/>
    <w:rsid w:val="006D2873"/>
    <w:rsid w:val="006D330C"/>
    <w:rsid w:val="006D35B6"/>
    <w:rsid w:val="006D6A9D"/>
    <w:rsid w:val="006D7FF2"/>
    <w:rsid w:val="006E1581"/>
    <w:rsid w:val="006E79E0"/>
    <w:rsid w:val="006F183B"/>
    <w:rsid w:val="0070036B"/>
    <w:rsid w:val="0070695D"/>
    <w:rsid w:val="00715A12"/>
    <w:rsid w:val="00716DAE"/>
    <w:rsid w:val="007222D7"/>
    <w:rsid w:val="007238FB"/>
    <w:rsid w:val="0072735E"/>
    <w:rsid w:val="00735E7A"/>
    <w:rsid w:val="00753AC3"/>
    <w:rsid w:val="0075458F"/>
    <w:rsid w:val="00754DA8"/>
    <w:rsid w:val="00755C9F"/>
    <w:rsid w:val="00756609"/>
    <w:rsid w:val="00757B7B"/>
    <w:rsid w:val="00760BB8"/>
    <w:rsid w:val="00761198"/>
    <w:rsid w:val="007638BD"/>
    <w:rsid w:val="00765780"/>
    <w:rsid w:val="00771371"/>
    <w:rsid w:val="00772191"/>
    <w:rsid w:val="0078384E"/>
    <w:rsid w:val="00783AB6"/>
    <w:rsid w:val="007859DD"/>
    <w:rsid w:val="007862BB"/>
    <w:rsid w:val="007966C4"/>
    <w:rsid w:val="00797B6C"/>
    <w:rsid w:val="00797E93"/>
    <w:rsid w:val="007A3541"/>
    <w:rsid w:val="007A70D2"/>
    <w:rsid w:val="007A7B95"/>
    <w:rsid w:val="007B28B3"/>
    <w:rsid w:val="007B34AC"/>
    <w:rsid w:val="007B6B1E"/>
    <w:rsid w:val="007C1DB4"/>
    <w:rsid w:val="007C2CBC"/>
    <w:rsid w:val="007C3247"/>
    <w:rsid w:val="007C7951"/>
    <w:rsid w:val="007E0795"/>
    <w:rsid w:val="007E100E"/>
    <w:rsid w:val="007E4EE1"/>
    <w:rsid w:val="007F0141"/>
    <w:rsid w:val="007F3EB5"/>
    <w:rsid w:val="00803E80"/>
    <w:rsid w:val="00811AA6"/>
    <w:rsid w:val="00815BF3"/>
    <w:rsid w:val="00824C63"/>
    <w:rsid w:val="00831F1E"/>
    <w:rsid w:val="008346B7"/>
    <w:rsid w:val="00841BA9"/>
    <w:rsid w:val="008533F6"/>
    <w:rsid w:val="008536BF"/>
    <w:rsid w:val="00864429"/>
    <w:rsid w:val="0089112D"/>
    <w:rsid w:val="00896A94"/>
    <w:rsid w:val="008A1C7C"/>
    <w:rsid w:val="008B0611"/>
    <w:rsid w:val="008B0A7C"/>
    <w:rsid w:val="008C11C9"/>
    <w:rsid w:val="008C400C"/>
    <w:rsid w:val="008E001E"/>
    <w:rsid w:val="008E25A1"/>
    <w:rsid w:val="008E61A5"/>
    <w:rsid w:val="008F4016"/>
    <w:rsid w:val="00905CA1"/>
    <w:rsid w:val="00931DFE"/>
    <w:rsid w:val="0093476A"/>
    <w:rsid w:val="00943BE5"/>
    <w:rsid w:val="0094525E"/>
    <w:rsid w:val="009561F1"/>
    <w:rsid w:val="00963217"/>
    <w:rsid w:val="00965D9A"/>
    <w:rsid w:val="00966143"/>
    <w:rsid w:val="00974D8B"/>
    <w:rsid w:val="009840C6"/>
    <w:rsid w:val="009A671B"/>
    <w:rsid w:val="009B1465"/>
    <w:rsid w:val="009B49E8"/>
    <w:rsid w:val="009D250B"/>
    <w:rsid w:val="009D4440"/>
    <w:rsid w:val="009D4BD4"/>
    <w:rsid w:val="009D7F6F"/>
    <w:rsid w:val="009E008A"/>
    <w:rsid w:val="009E2E0D"/>
    <w:rsid w:val="009E755F"/>
    <w:rsid w:val="009F0A31"/>
    <w:rsid w:val="009F0CF9"/>
    <w:rsid w:val="009F14A0"/>
    <w:rsid w:val="009F3268"/>
    <w:rsid w:val="00A07A5E"/>
    <w:rsid w:val="00A11A37"/>
    <w:rsid w:val="00A2734A"/>
    <w:rsid w:val="00A422FF"/>
    <w:rsid w:val="00A4305D"/>
    <w:rsid w:val="00A54AD1"/>
    <w:rsid w:val="00A55409"/>
    <w:rsid w:val="00A56EDF"/>
    <w:rsid w:val="00A64425"/>
    <w:rsid w:val="00A6646D"/>
    <w:rsid w:val="00A71DAD"/>
    <w:rsid w:val="00A7684E"/>
    <w:rsid w:val="00A817C9"/>
    <w:rsid w:val="00A81820"/>
    <w:rsid w:val="00A87A89"/>
    <w:rsid w:val="00A92F6B"/>
    <w:rsid w:val="00AA0D7E"/>
    <w:rsid w:val="00AA44BB"/>
    <w:rsid w:val="00AA5E5B"/>
    <w:rsid w:val="00AB1C55"/>
    <w:rsid w:val="00AB37E7"/>
    <w:rsid w:val="00AC207D"/>
    <w:rsid w:val="00AD0073"/>
    <w:rsid w:val="00AD17F2"/>
    <w:rsid w:val="00AD44FE"/>
    <w:rsid w:val="00AE1CFE"/>
    <w:rsid w:val="00AE29CC"/>
    <w:rsid w:val="00AE53A8"/>
    <w:rsid w:val="00B053BC"/>
    <w:rsid w:val="00B12AAB"/>
    <w:rsid w:val="00B15F15"/>
    <w:rsid w:val="00B23AFC"/>
    <w:rsid w:val="00B30656"/>
    <w:rsid w:val="00B36307"/>
    <w:rsid w:val="00B37B95"/>
    <w:rsid w:val="00B420D7"/>
    <w:rsid w:val="00B435C7"/>
    <w:rsid w:val="00B46A17"/>
    <w:rsid w:val="00B54D76"/>
    <w:rsid w:val="00B56A51"/>
    <w:rsid w:val="00B6594A"/>
    <w:rsid w:val="00B703F7"/>
    <w:rsid w:val="00B722B4"/>
    <w:rsid w:val="00B763E8"/>
    <w:rsid w:val="00B7701F"/>
    <w:rsid w:val="00B802A8"/>
    <w:rsid w:val="00B80C97"/>
    <w:rsid w:val="00B914F6"/>
    <w:rsid w:val="00B95315"/>
    <w:rsid w:val="00B96C2E"/>
    <w:rsid w:val="00BA2065"/>
    <w:rsid w:val="00BA3F25"/>
    <w:rsid w:val="00BC1BEF"/>
    <w:rsid w:val="00BC2BB5"/>
    <w:rsid w:val="00BC7895"/>
    <w:rsid w:val="00BD065D"/>
    <w:rsid w:val="00BD382B"/>
    <w:rsid w:val="00BD607F"/>
    <w:rsid w:val="00BF6F99"/>
    <w:rsid w:val="00BF75C7"/>
    <w:rsid w:val="00C167E9"/>
    <w:rsid w:val="00C16D88"/>
    <w:rsid w:val="00C21033"/>
    <w:rsid w:val="00C26ECE"/>
    <w:rsid w:val="00C27ADF"/>
    <w:rsid w:val="00C35887"/>
    <w:rsid w:val="00C4385E"/>
    <w:rsid w:val="00C4684C"/>
    <w:rsid w:val="00C51470"/>
    <w:rsid w:val="00C775F7"/>
    <w:rsid w:val="00C817D8"/>
    <w:rsid w:val="00C858D0"/>
    <w:rsid w:val="00C90B78"/>
    <w:rsid w:val="00C96A66"/>
    <w:rsid w:val="00C97562"/>
    <w:rsid w:val="00CA1906"/>
    <w:rsid w:val="00CA7B01"/>
    <w:rsid w:val="00CB461C"/>
    <w:rsid w:val="00CB70D7"/>
    <w:rsid w:val="00CB7A6F"/>
    <w:rsid w:val="00CC53D1"/>
    <w:rsid w:val="00CC7281"/>
    <w:rsid w:val="00CD413B"/>
    <w:rsid w:val="00CD449D"/>
    <w:rsid w:val="00CE6B0B"/>
    <w:rsid w:val="00D12914"/>
    <w:rsid w:val="00D1449F"/>
    <w:rsid w:val="00D23774"/>
    <w:rsid w:val="00D27C67"/>
    <w:rsid w:val="00D312A5"/>
    <w:rsid w:val="00D407B6"/>
    <w:rsid w:val="00D43527"/>
    <w:rsid w:val="00D45083"/>
    <w:rsid w:val="00D47030"/>
    <w:rsid w:val="00D52784"/>
    <w:rsid w:val="00D55D33"/>
    <w:rsid w:val="00D82B84"/>
    <w:rsid w:val="00D87184"/>
    <w:rsid w:val="00D87512"/>
    <w:rsid w:val="00D92D2E"/>
    <w:rsid w:val="00D93D82"/>
    <w:rsid w:val="00D97BD4"/>
    <w:rsid w:val="00DA3A23"/>
    <w:rsid w:val="00DA5207"/>
    <w:rsid w:val="00DB076E"/>
    <w:rsid w:val="00DB1EAA"/>
    <w:rsid w:val="00DB294B"/>
    <w:rsid w:val="00DB30C6"/>
    <w:rsid w:val="00DB6465"/>
    <w:rsid w:val="00DB682B"/>
    <w:rsid w:val="00DB6DAF"/>
    <w:rsid w:val="00DD3749"/>
    <w:rsid w:val="00DD6E0A"/>
    <w:rsid w:val="00DD7F02"/>
    <w:rsid w:val="00DF1753"/>
    <w:rsid w:val="00E07197"/>
    <w:rsid w:val="00E11FA3"/>
    <w:rsid w:val="00E173A9"/>
    <w:rsid w:val="00E31334"/>
    <w:rsid w:val="00E326BD"/>
    <w:rsid w:val="00E411B0"/>
    <w:rsid w:val="00E44D7D"/>
    <w:rsid w:val="00E520AD"/>
    <w:rsid w:val="00E67061"/>
    <w:rsid w:val="00E71E8A"/>
    <w:rsid w:val="00E74C4F"/>
    <w:rsid w:val="00E85E05"/>
    <w:rsid w:val="00E90B9A"/>
    <w:rsid w:val="00EA13B8"/>
    <w:rsid w:val="00EA21E7"/>
    <w:rsid w:val="00EA532D"/>
    <w:rsid w:val="00EA784E"/>
    <w:rsid w:val="00EB5F67"/>
    <w:rsid w:val="00EC1529"/>
    <w:rsid w:val="00EC2222"/>
    <w:rsid w:val="00ED0DCB"/>
    <w:rsid w:val="00ED0E21"/>
    <w:rsid w:val="00ED3C4F"/>
    <w:rsid w:val="00EE0628"/>
    <w:rsid w:val="00EE3CD6"/>
    <w:rsid w:val="00EE59E7"/>
    <w:rsid w:val="00EF18CF"/>
    <w:rsid w:val="00EF5A56"/>
    <w:rsid w:val="00EF67DD"/>
    <w:rsid w:val="00EF6B99"/>
    <w:rsid w:val="00F025A1"/>
    <w:rsid w:val="00F12C88"/>
    <w:rsid w:val="00F1396B"/>
    <w:rsid w:val="00F216CB"/>
    <w:rsid w:val="00F24302"/>
    <w:rsid w:val="00F4058D"/>
    <w:rsid w:val="00F448EE"/>
    <w:rsid w:val="00F53915"/>
    <w:rsid w:val="00F62E7C"/>
    <w:rsid w:val="00F64972"/>
    <w:rsid w:val="00F67CEF"/>
    <w:rsid w:val="00F7766D"/>
    <w:rsid w:val="00F81077"/>
    <w:rsid w:val="00F83D5A"/>
    <w:rsid w:val="00F8694F"/>
    <w:rsid w:val="00F90413"/>
    <w:rsid w:val="00FA23A5"/>
    <w:rsid w:val="00FA4618"/>
    <w:rsid w:val="00FB204B"/>
    <w:rsid w:val="00FB7DFF"/>
    <w:rsid w:val="00FC0329"/>
    <w:rsid w:val="00FC11E6"/>
    <w:rsid w:val="00FC1204"/>
    <w:rsid w:val="00FC2AAC"/>
    <w:rsid w:val="00FD0557"/>
    <w:rsid w:val="00FE50C2"/>
    <w:rsid w:val="00FE60CD"/>
    <w:rsid w:val="00FF1B47"/>
    <w:rsid w:val="00FF42B3"/>
    <w:rsid w:val="00FF64A5"/>
    <w:rsid w:val="00FF6B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B2DB4F"/>
  <w15:docId w15:val="{29EF9EC9-D951-4E30-B097-F0EF7AA5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82"/>
    <w:pPr>
      <w:spacing w:after="0" w:line="240" w:lineRule="auto"/>
    </w:pPr>
    <w:rPr>
      <w:rFonts w:ascii="Corbel" w:eastAsia="Times New Roman" w:hAnsi="Corbel" w:cs="Times New Roman"/>
      <w:color w:val="000000" w:themeColor="text1"/>
      <w:sz w:val="23"/>
      <w:szCs w:val="24"/>
      <w:lang w:eastAsia="en-AU"/>
    </w:rPr>
  </w:style>
  <w:style w:type="paragraph" w:styleId="Heading1">
    <w:name w:val="heading 1"/>
    <w:basedOn w:val="Normal"/>
    <w:next w:val="Normal"/>
    <w:link w:val="Heading1Char"/>
    <w:uiPriority w:val="9"/>
    <w:qFormat/>
    <w:rsid w:val="00626601"/>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626601"/>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626601"/>
    <w:pPr>
      <w:keepNext/>
      <w:spacing w:before="240" w:after="240"/>
      <w:outlineLvl w:val="2"/>
    </w:pPr>
    <w:rPr>
      <w:rFonts w:ascii="Consolas" w:hAnsi="Consolas"/>
      <w:b/>
      <w:color w:val="3D4B6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601"/>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9"/>
    <w:rsid w:val="00626601"/>
    <w:rPr>
      <w:rFonts w:ascii="Corbel" w:eastAsia="Times New Roman" w:hAnsi="Corbel" w:cs="Arial"/>
      <w:b/>
      <w:bCs/>
      <w:iCs/>
      <w:color w:val="3D4B67"/>
      <w:sz w:val="29"/>
      <w:szCs w:val="28"/>
      <w:lang w:eastAsia="en-AU"/>
    </w:rPr>
  </w:style>
  <w:style w:type="character" w:customStyle="1" w:styleId="Heading3Char">
    <w:name w:val="Heading 3 Char"/>
    <w:basedOn w:val="DefaultParagraphFont"/>
    <w:link w:val="Heading3"/>
    <w:uiPriority w:val="99"/>
    <w:rsid w:val="00626601"/>
    <w:rPr>
      <w:rFonts w:ascii="Consolas" w:eastAsia="Times New Roman" w:hAnsi="Consolas" w:cs="Times New Roman"/>
      <w:b/>
      <w:color w:val="3D4B67"/>
      <w:sz w:val="23"/>
      <w:szCs w:val="20"/>
      <w:lang w:eastAsia="en-AU"/>
    </w:rPr>
  </w:style>
  <w:style w:type="paragraph" w:styleId="Footer">
    <w:name w:val="footer"/>
    <w:basedOn w:val="Normal"/>
    <w:link w:val="FooterChar"/>
    <w:uiPriority w:val="99"/>
    <w:rsid w:val="00626601"/>
    <w:pPr>
      <w:tabs>
        <w:tab w:val="center" w:pos="4513"/>
        <w:tab w:val="right" w:pos="9026"/>
      </w:tabs>
    </w:pPr>
  </w:style>
  <w:style w:type="character" w:customStyle="1" w:styleId="FooterChar">
    <w:name w:val="Footer Char"/>
    <w:basedOn w:val="DefaultParagraphFont"/>
    <w:link w:val="Footer"/>
    <w:uiPriority w:val="99"/>
    <w:rsid w:val="00626601"/>
    <w:rPr>
      <w:rFonts w:ascii="Corbel" w:eastAsia="Times New Roman" w:hAnsi="Corbel" w:cs="Times New Roman"/>
      <w:color w:val="000000" w:themeColor="text1"/>
      <w:sz w:val="23"/>
      <w:szCs w:val="24"/>
      <w:lang w:eastAsia="en-AU"/>
    </w:rPr>
  </w:style>
  <w:style w:type="paragraph" w:customStyle="1" w:styleId="AlphaParagraph">
    <w:name w:val="Alpha Paragraph"/>
    <w:basedOn w:val="Normal"/>
    <w:link w:val="AlphaParagraphCharChar"/>
    <w:rsid w:val="00626601"/>
    <w:pPr>
      <w:numPr>
        <w:numId w:val="1"/>
      </w:numPr>
      <w:spacing w:after="240" w:line="260" w:lineRule="exact"/>
      <w:ind w:left="1134" w:hanging="567"/>
      <w:jc w:val="both"/>
    </w:pPr>
    <w:rPr>
      <w:rFonts w:cs="Corbel"/>
      <w:color w:val="000000"/>
      <w:szCs w:val="23"/>
    </w:rPr>
  </w:style>
  <w:style w:type="paragraph" w:styleId="Subtitle">
    <w:name w:val="Subtitle"/>
    <w:basedOn w:val="Normal"/>
    <w:link w:val="SubtitleChar"/>
    <w:uiPriority w:val="99"/>
    <w:qFormat/>
    <w:rsid w:val="00626601"/>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rsid w:val="00626601"/>
    <w:rPr>
      <w:rFonts w:ascii="Consolas" w:eastAsia="Times New Roman" w:hAnsi="Consolas" w:cs="Consolas"/>
      <w:b/>
      <w:bCs/>
      <w:caps/>
      <w:color w:val="C7823E"/>
      <w:spacing w:val="50"/>
      <w:sz w:val="23"/>
      <w:szCs w:val="24"/>
      <w:lang w:eastAsia="ja-JP"/>
    </w:rPr>
  </w:style>
  <w:style w:type="paragraph" w:styleId="Title">
    <w:name w:val="Title"/>
    <w:basedOn w:val="Normal"/>
    <w:next w:val="Subtitle"/>
    <w:link w:val="TitleChar"/>
    <w:uiPriority w:val="99"/>
    <w:qFormat/>
    <w:rsid w:val="00626601"/>
    <w:rPr>
      <w:rFonts w:cs="Corbel"/>
      <w:color w:val="3D4B67"/>
      <w:sz w:val="72"/>
      <w:szCs w:val="72"/>
      <w:lang w:eastAsia="ja-JP"/>
    </w:rPr>
  </w:style>
  <w:style w:type="character" w:customStyle="1" w:styleId="TitleChar">
    <w:name w:val="Title Char"/>
    <w:basedOn w:val="DefaultParagraphFont"/>
    <w:link w:val="Title"/>
    <w:uiPriority w:val="99"/>
    <w:rsid w:val="00626601"/>
    <w:rPr>
      <w:rFonts w:ascii="Corbel" w:eastAsia="Times New Roman" w:hAnsi="Corbel" w:cs="Corbel"/>
      <w:color w:val="3D4B67"/>
      <w:sz w:val="72"/>
      <w:szCs w:val="72"/>
      <w:lang w:eastAsia="ja-JP"/>
    </w:rPr>
  </w:style>
  <w:style w:type="character" w:customStyle="1" w:styleId="AlphaParagraphCharChar">
    <w:name w:val="Alpha Paragraph Char Char"/>
    <w:basedOn w:val="DefaultParagraphFont"/>
    <w:link w:val="AlphaParagraph"/>
    <w:locked/>
    <w:rsid w:val="00626601"/>
    <w:rPr>
      <w:rFonts w:ascii="Corbel" w:eastAsia="Times New Roman" w:hAnsi="Corbel" w:cs="Corbel"/>
      <w:color w:val="000000"/>
      <w:sz w:val="23"/>
      <w:szCs w:val="23"/>
      <w:lang w:eastAsia="en-AU"/>
    </w:rPr>
  </w:style>
  <w:style w:type="paragraph" w:customStyle="1" w:styleId="Normalnumbered">
    <w:name w:val="Normal numbered"/>
    <w:basedOn w:val="Normal"/>
    <w:link w:val="NormalnumberedChar"/>
    <w:rsid w:val="00626601"/>
    <w:pPr>
      <w:numPr>
        <w:numId w:val="2"/>
      </w:numPr>
    </w:pPr>
  </w:style>
  <w:style w:type="paragraph" w:customStyle="1" w:styleId="TableText">
    <w:name w:val="Table Text"/>
    <w:basedOn w:val="Normal"/>
    <w:uiPriority w:val="99"/>
    <w:rsid w:val="00626601"/>
    <w:pPr>
      <w:spacing w:before="60" w:after="60"/>
    </w:pPr>
    <w:rPr>
      <w:rFonts w:ascii="Arial" w:hAnsi="Arial" w:cs="Arial"/>
      <w:spacing w:val="4"/>
      <w:sz w:val="18"/>
      <w:szCs w:val="18"/>
      <w:lang w:eastAsia="en-US"/>
    </w:rPr>
  </w:style>
  <w:style w:type="character" w:customStyle="1" w:styleId="NormalnumberedChar">
    <w:name w:val="Normal numbered Char"/>
    <w:basedOn w:val="DefaultParagraphFont"/>
    <w:link w:val="Normalnumbered"/>
    <w:locked/>
    <w:rsid w:val="00626601"/>
    <w:rPr>
      <w:rFonts w:ascii="Corbel" w:eastAsia="Times New Roman" w:hAnsi="Corbel" w:cs="Times New Roman"/>
      <w:color w:val="000000" w:themeColor="text1"/>
      <w:sz w:val="23"/>
      <w:szCs w:val="24"/>
      <w:lang w:eastAsia="en-AU"/>
    </w:rPr>
  </w:style>
  <w:style w:type="paragraph" w:styleId="BalloonText">
    <w:name w:val="Balloon Text"/>
    <w:basedOn w:val="Normal"/>
    <w:link w:val="BalloonTextChar"/>
    <w:uiPriority w:val="99"/>
    <w:semiHidden/>
    <w:unhideWhenUsed/>
    <w:rsid w:val="00A87A89"/>
    <w:rPr>
      <w:rFonts w:ascii="Tahoma" w:hAnsi="Tahoma" w:cs="Tahoma"/>
      <w:sz w:val="16"/>
      <w:szCs w:val="16"/>
    </w:rPr>
  </w:style>
  <w:style w:type="character" w:customStyle="1" w:styleId="BalloonTextChar">
    <w:name w:val="Balloon Text Char"/>
    <w:basedOn w:val="DefaultParagraphFont"/>
    <w:link w:val="BalloonText"/>
    <w:uiPriority w:val="99"/>
    <w:semiHidden/>
    <w:rsid w:val="00A87A89"/>
    <w:rPr>
      <w:rFonts w:ascii="Tahoma" w:eastAsia="Times New Roman" w:hAnsi="Tahoma" w:cs="Tahoma"/>
      <w:color w:val="000000" w:themeColor="text1"/>
      <w:sz w:val="16"/>
      <w:szCs w:val="16"/>
      <w:lang w:eastAsia="en-AU"/>
    </w:rPr>
  </w:style>
  <w:style w:type="paragraph" w:styleId="ListParagraph">
    <w:name w:val="List Paragraph"/>
    <w:basedOn w:val="Normal"/>
    <w:uiPriority w:val="34"/>
    <w:qFormat/>
    <w:rsid w:val="00562B43"/>
    <w:pPr>
      <w:ind w:left="720"/>
      <w:contextualSpacing/>
    </w:pPr>
  </w:style>
  <w:style w:type="paragraph" w:styleId="Revision">
    <w:name w:val="Revision"/>
    <w:hidden/>
    <w:uiPriority w:val="99"/>
    <w:semiHidden/>
    <w:rsid w:val="009E755F"/>
    <w:pPr>
      <w:spacing w:after="0" w:line="240" w:lineRule="auto"/>
    </w:pPr>
    <w:rPr>
      <w:rFonts w:ascii="Corbel" w:eastAsia="Times New Roman" w:hAnsi="Corbel" w:cs="Times New Roman"/>
      <w:color w:val="000000" w:themeColor="text1"/>
      <w:sz w:val="23"/>
      <w:szCs w:val="24"/>
      <w:lang w:eastAsia="en-AU"/>
    </w:rPr>
  </w:style>
  <w:style w:type="character" w:styleId="BookTitle">
    <w:name w:val="Book Title"/>
    <w:uiPriority w:val="33"/>
    <w:qFormat/>
    <w:rsid w:val="00225302"/>
    <w:rPr>
      <w:i/>
      <w:iCs/>
      <w:smallCaps/>
      <w:spacing w:val="5"/>
    </w:rPr>
  </w:style>
  <w:style w:type="paragraph" w:styleId="Header">
    <w:name w:val="header"/>
    <w:basedOn w:val="Normal"/>
    <w:link w:val="HeaderChar"/>
    <w:uiPriority w:val="99"/>
    <w:unhideWhenUsed/>
    <w:rsid w:val="00905CA1"/>
    <w:pPr>
      <w:tabs>
        <w:tab w:val="center" w:pos="4513"/>
        <w:tab w:val="right" w:pos="9026"/>
      </w:tabs>
    </w:pPr>
  </w:style>
  <w:style w:type="character" w:customStyle="1" w:styleId="HeaderChar">
    <w:name w:val="Header Char"/>
    <w:basedOn w:val="DefaultParagraphFont"/>
    <w:link w:val="Header"/>
    <w:uiPriority w:val="99"/>
    <w:rsid w:val="00905CA1"/>
    <w:rPr>
      <w:rFonts w:ascii="Corbel" w:eastAsia="Times New Roman" w:hAnsi="Corbel" w:cs="Times New Roman"/>
      <w:color w:val="000000" w:themeColor="text1"/>
      <w:sz w:val="23"/>
      <w:szCs w:val="24"/>
      <w:lang w:eastAsia="en-AU"/>
    </w:rPr>
  </w:style>
  <w:style w:type="character" w:styleId="CommentReference">
    <w:name w:val="annotation reference"/>
    <w:basedOn w:val="DefaultParagraphFont"/>
    <w:uiPriority w:val="99"/>
    <w:semiHidden/>
    <w:unhideWhenUsed/>
    <w:rsid w:val="00260EA0"/>
    <w:rPr>
      <w:sz w:val="16"/>
      <w:szCs w:val="16"/>
    </w:rPr>
  </w:style>
  <w:style w:type="paragraph" w:styleId="CommentText">
    <w:name w:val="annotation text"/>
    <w:basedOn w:val="Normal"/>
    <w:link w:val="CommentTextChar"/>
    <w:uiPriority w:val="99"/>
    <w:semiHidden/>
    <w:unhideWhenUsed/>
    <w:rsid w:val="00260EA0"/>
    <w:rPr>
      <w:sz w:val="20"/>
      <w:szCs w:val="20"/>
    </w:rPr>
  </w:style>
  <w:style w:type="character" w:customStyle="1" w:styleId="CommentTextChar">
    <w:name w:val="Comment Text Char"/>
    <w:basedOn w:val="DefaultParagraphFont"/>
    <w:link w:val="CommentText"/>
    <w:uiPriority w:val="99"/>
    <w:semiHidden/>
    <w:rsid w:val="00260EA0"/>
    <w:rPr>
      <w:rFonts w:ascii="Corbel" w:eastAsia="Times New Roman" w:hAnsi="Corbel" w:cs="Times New Roman"/>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260EA0"/>
    <w:rPr>
      <w:b/>
      <w:bCs/>
    </w:rPr>
  </w:style>
  <w:style w:type="character" w:customStyle="1" w:styleId="CommentSubjectChar">
    <w:name w:val="Comment Subject Char"/>
    <w:basedOn w:val="CommentTextChar"/>
    <w:link w:val="CommentSubject"/>
    <w:uiPriority w:val="99"/>
    <w:semiHidden/>
    <w:rsid w:val="00260EA0"/>
    <w:rPr>
      <w:rFonts w:ascii="Corbel" w:eastAsia="Times New Roman" w:hAnsi="Corbel" w:cs="Times New Roman"/>
      <w:b/>
      <w:bCs/>
      <w:color w:val="000000" w:themeColor="text1"/>
      <w:sz w:val="20"/>
      <w:szCs w:val="20"/>
      <w:lang w:eastAsia="en-AU"/>
    </w:rPr>
  </w:style>
  <w:style w:type="table" w:styleId="TableGrid">
    <w:name w:val="Table Grid"/>
    <w:basedOn w:val="TableNormal"/>
    <w:uiPriority w:val="59"/>
    <w:rsid w:val="00BA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26104B"/>
    <w:pPr>
      <w:tabs>
        <w:tab w:val="num" w:pos="0"/>
        <w:tab w:val="num" w:pos="283"/>
        <w:tab w:val="num" w:pos="567"/>
        <w:tab w:val="num" w:pos="927"/>
      </w:tabs>
      <w:spacing w:after="40"/>
      <w:ind w:left="567" w:hanging="567"/>
    </w:pPr>
    <w:rPr>
      <w:rFonts w:ascii="Palatino Linotype" w:eastAsia="Calibri" w:hAnsi="Palatino Linotype"/>
      <w:color w:val="auto"/>
      <w:sz w:val="22"/>
      <w:szCs w:val="22"/>
      <w:lang w:eastAsia="en-US"/>
    </w:rPr>
  </w:style>
  <w:style w:type="character" w:customStyle="1" w:styleId="apple-converted-space">
    <w:name w:val="apple-converted-space"/>
    <w:basedOn w:val="DefaultParagraphFont"/>
    <w:rsid w:val="00EC2222"/>
  </w:style>
  <w:style w:type="character" w:styleId="Emphasis">
    <w:name w:val="Emphasis"/>
    <w:basedOn w:val="DefaultParagraphFont"/>
    <w:uiPriority w:val="20"/>
    <w:qFormat/>
    <w:rsid w:val="00306ECE"/>
    <w:rPr>
      <w:i/>
      <w:iCs/>
    </w:rPr>
  </w:style>
  <w:style w:type="character" w:styleId="Strong">
    <w:name w:val="Strong"/>
    <w:basedOn w:val="DefaultParagraphFont"/>
    <w:uiPriority w:val="22"/>
    <w:qFormat/>
    <w:rsid w:val="00D92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18185">
      <w:bodyDiv w:val="1"/>
      <w:marLeft w:val="0"/>
      <w:marRight w:val="0"/>
      <w:marTop w:val="0"/>
      <w:marBottom w:val="0"/>
      <w:divBdr>
        <w:top w:val="none" w:sz="0" w:space="0" w:color="auto"/>
        <w:left w:val="none" w:sz="0" w:space="0" w:color="auto"/>
        <w:bottom w:val="none" w:sz="0" w:space="0" w:color="auto"/>
        <w:right w:val="none" w:sz="0" w:space="0" w:color="auto"/>
      </w:divBdr>
    </w:div>
    <w:div w:id="920915079">
      <w:bodyDiv w:val="1"/>
      <w:marLeft w:val="0"/>
      <w:marRight w:val="0"/>
      <w:marTop w:val="0"/>
      <w:marBottom w:val="0"/>
      <w:divBdr>
        <w:top w:val="none" w:sz="0" w:space="0" w:color="auto"/>
        <w:left w:val="none" w:sz="0" w:space="0" w:color="auto"/>
        <w:bottom w:val="none" w:sz="0" w:space="0" w:color="auto"/>
        <w:right w:val="none" w:sz="0" w:space="0" w:color="auto"/>
      </w:divBdr>
    </w:div>
    <w:div w:id="1127041428">
      <w:bodyDiv w:val="1"/>
      <w:marLeft w:val="0"/>
      <w:marRight w:val="0"/>
      <w:marTop w:val="0"/>
      <w:marBottom w:val="0"/>
      <w:divBdr>
        <w:top w:val="none" w:sz="0" w:space="0" w:color="auto"/>
        <w:left w:val="none" w:sz="0" w:space="0" w:color="auto"/>
        <w:bottom w:val="none" w:sz="0" w:space="0" w:color="auto"/>
        <w:right w:val="none" w:sz="0" w:space="0" w:color="auto"/>
      </w:divBdr>
    </w:div>
    <w:div w:id="1621909386">
      <w:bodyDiv w:val="1"/>
      <w:marLeft w:val="0"/>
      <w:marRight w:val="0"/>
      <w:marTop w:val="0"/>
      <w:marBottom w:val="0"/>
      <w:divBdr>
        <w:top w:val="none" w:sz="0" w:space="0" w:color="auto"/>
        <w:left w:val="none" w:sz="0" w:space="0" w:color="auto"/>
        <w:bottom w:val="none" w:sz="0" w:space="0" w:color="auto"/>
        <w:right w:val="none" w:sz="0" w:space="0" w:color="auto"/>
      </w:divBdr>
    </w:div>
    <w:div w:id="16431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5096" ma:contentTypeDescription=" " ma:contentTypeScope="" ma:versionID="01b15ef2f8b41caa2377143d117072b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IconOverlay xmlns="http://schemas.microsoft.com/sharepoint/v4" xsi:nil="true"/>
    <_dlc_DocId xmlns="0f563589-9cf9-4143-b1eb-fb0534803d38">2021FG-64-90947</_dlc_DocId>
    <TaxCatchAll xmlns="0f563589-9cf9-4143-b1eb-fb0534803d38">
      <Value>2</Value>
    </TaxCatchAll>
    <_dlc_DocIdUrl xmlns="0f563589-9cf9-4143-b1eb-fb0534803d38">
      <Url>http://tweb/sites/fg/csrd/_layouts/15/DocIdRedir.aspx?ID=2021FG-64-90947</Url>
      <Description>2021FG-64-90947</Description>
    </_dlc_DocIdUrl>
  </documentManagement>
</p:properties>
</file>

<file path=customXml/itemProps1.xml><?xml version="1.0" encoding="utf-8"?>
<ds:datastoreItem xmlns:ds="http://schemas.openxmlformats.org/officeDocument/2006/customXml" ds:itemID="{5C37D6A5-EA7A-46A7-BA22-C6CA346F0D03}">
  <ds:schemaRefs>
    <ds:schemaRef ds:uri="http://schemas.openxmlformats.org/officeDocument/2006/bibliography"/>
  </ds:schemaRefs>
</ds:datastoreItem>
</file>

<file path=customXml/itemProps2.xml><?xml version="1.0" encoding="utf-8"?>
<ds:datastoreItem xmlns:ds="http://schemas.openxmlformats.org/officeDocument/2006/customXml" ds:itemID="{7F507A70-B36A-479D-A4CB-74D305C0ABBE}"/>
</file>

<file path=customXml/itemProps3.xml><?xml version="1.0" encoding="utf-8"?>
<ds:datastoreItem xmlns:ds="http://schemas.openxmlformats.org/officeDocument/2006/customXml" ds:itemID="{AE945FA6-BCDF-4295-9DE7-B81BBFBC367F}"/>
</file>

<file path=customXml/itemProps4.xml><?xml version="1.0" encoding="utf-8"?>
<ds:datastoreItem xmlns:ds="http://schemas.openxmlformats.org/officeDocument/2006/customXml" ds:itemID="{BA1BE8F3-77DD-4816-A646-1D8238CE23D5}"/>
</file>

<file path=customXml/itemProps5.xml><?xml version="1.0" encoding="utf-8"?>
<ds:datastoreItem xmlns:ds="http://schemas.openxmlformats.org/officeDocument/2006/customXml" ds:itemID="{864F5DAF-FC92-4E0B-BB1D-23C72E48955E}"/>
</file>

<file path=customXml/itemProps6.xml><?xml version="1.0" encoding="utf-8"?>
<ds:datastoreItem xmlns:ds="http://schemas.openxmlformats.org/officeDocument/2006/customXml" ds:itemID="{9EDF2693-3087-4C59-91A4-C41C1DF10A37}"/>
</file>

<file path=customXml/itemProps7.xml><?xml version="1.0" encoding="utf-8"?>
<ds:datastoreItem xmlns:ds="http://schemas.openxmlformats.org/officeDocument/2006/customXml" ds:itemID="{39C7A8AC-CEEC-431D-9CC1-D999980454BF}"/>
</file>

<file path=docProps/app.xml><?xml version="1.0" encoding="utf-8"?>
<Properties xmlns="http://schemas.openxmlformats.org/officeDocument/2006/extended-properties" xmlns:vt="http://schemas.openxmlformats.org/officeDocument/2006/docPropsVTypes">
  <Template>Normal</Template>
  <TotalTime>0</TotalTime>
  <Pages>9</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TWEDDELL, Katrina</dc:creator>
  <cp:lastModifiedBy>LILJAK, Richard</cp:lastModifiedBy>
  <cp:revision>2</cp:revision>
  <cp:lastPrinted>2017-06-29T07:06:00Z</cp:lastPrinted>
  <dcterms:created xsi:type="dcterms:W3CDTF">2017-10-09T00:58:00Z</dcterms:created>
  <dcterms:modified xsi:type="dcterms:W3CDTF">2017-10-09T00:58:00Z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08602b63-09cd-4e7d-b2c8-7fa35668aa69</vt:lpwstr>
  </property>
  <property fmtid="{D5CDD505-2E9C-101B-9397-08002B2CF9AE}" pid="4" name="ContentTypeId">
    <vt:lpwstr>0x010100348D01E61E107C4DA4B97E380EA20D47005CDF45B49E80F24CAD80DFC012154DA9</vt:lpwstr>
  </property>
  <property fmtid="{D5CDD505-2E9C-101B-9397-08002B2CF9AE}" pid="5" name="TSYRecordClass">
    <vt:lpwstr>2;#TSY RA-8748 - Retain as national archives|243f2231-dbfc-4282-b24a-c9b768286bd0</vt:lpwstr>
  </property>
</Properties>
</file>