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B2B6D" w14:textId="77777777" w:rsidR="00577605" w:rsidRPr="006879D3" w:rsidRDefault="007F02E9" w:rsidP="007006BF">
      <w:pPr>
        <w:pStyle w:val="Heading9"/>
        <w:tabs>
          <w:tab w:val="left" w:pos="1740"/>
          <w:tab w:val="right" w:pos="9923"/>
        </w:tabs>
      </w:pPr>
      <w:r>
        <w:tab/>
      </w:r>
      <w:r w:rsidR="00577605" w:rsidRPr="006879D3">
        <w:t>Schedule A</w:t>
      </w:r>
    </w:p>
    <w:p w14:paraId="0D7DBE8E" w14:textId="77777777" w:rsidR="00577605" w:rsidRPr="006879D3" w:rsidRDefault="00C1081A" w:rsidP="00577605">
      <w:pPr>
        <w:pStyle w:val="Title"/>
      </w:pPr>
      <w:r w:rsidRPr="006879D3">
        <w:t>South Australia</w:t>
      </w:r>
    </w:p>
    <w:p w14:paraId="2C040BC7" w14:textId="77777777" w:rsidR="00577605" w:rsidRPr="006879D3" w:rsidRDefault="003545D2" w:rsidP="00577605">
      <w:pPr>
        <w:pStyle w:val="Subtitle"/>
      </w:pPr>
      <w:r w:rsidRPr="006879D3">
        <w:t xml:space="preserve">National </w:t>
      </w:r>
      <w:r w:rsidR="00577605" w:rsidRPr="006879D3">
        <w:t>P</w:t>
      </w:r>
      <w:r w:rsidRPr="006879D3">
        <w:t>artnership on</w:t>
      </w:r>
      <w:r w:rsidR="00577605" w:rsidRPr="006879D3">
        <w:t xml:space="preserve"> </w:t>
      </w:r>
      <w:r w:rsidRPr="006879D3">
        <w:t>the Skilling Australians Fund</w:t>
      </w:r>
    </w:p>
    <w:p w14:paraId="3244A1FE" w14:textId="77777777" w:rsidR="00577605" w:rsidRPr="006879D3" w:rsidRDefault="00577605" w:rsidP="00577605">
      <w:pPr>
        <w:pStyle w:val="Heading1"/>
        <w:spacing w:before="240"/>
      </w:pPr>
      <w:r w:rsidRPr="006879D3">
        <w:t>Part 1 – Preliminaries</w:t>
      </w:r>
    </w:p>
    <w:p w14:paraId="0E0758CE" w14:textId="77777777" w:rsidR="00577605" w:rsidRPr="006879D3" w:rsidRDefault="00577605" w:rsidP="005C1DB5">
      <w:pPr>
        <w:pStyle w:val="ScheduleNumberedPara"/>
        <w:numPr>
          <w:ilvl w:val="1"/>
          <w:numId w:val="1"/>
        </w:numPr>
        <w:tabs>
          <w:tab w:val="num" w:pos="2268"/>
        </w:tabs>
        <w:jc w:val="left"/>
      </w:pPr>
      <w:bookmarkStart w:id="0" w:name="PART_2:_FORMALITIES"/>
      <w:bookmarkStart w:id="1" w:name="PART_3:_FINANCIAL_ARRANGEMENTS"/>
      <w:bookmarkStart w:id="2" w:name="PART_1:_PRELIMINARIES"/>
      <w:bookmarkEnd w:id="0"/>
      <w:bookmarkEnd w:id="1"/>
      <w:bookmarkEnd w:id="2"/>
      <w:r w:rsidRPr="006879D3">
        <w:t xml:space="preserve">This Schedule has been developed in accordance with clause </w:t>
      </w:r>
      <w:r w:rsidR="003545D2" w:rsidRPr="006879D3">
        <w:t>2</w:t>
      </w:r>
      <w:r w:rsidR="001924C4" w:rsidRPr="006879D3">
        <w:t>2</w:t>
      </w:r>
      <w:r w:rsidRPr="006879D3">
        <w:t xml:space="preserve"> of the Agreement.</w:t>
      </w:r>
    </w:p>
    <w:p w14:paraId="4AE68DE8" w14:textId="77777777" w:rsidR="00577605" w:rsidRPr="006879D3" w:rsidRDefault="001924C4" w:rsidP="005C1DB5">
      <w:pPr>
        <w:pStyle w:val="ScheduleNumberedPara"/>
        <w:numPr>
          <w:ilvl w:val="0"/>
          <w:numId w:val="2"/>
        </w:numPr>
        <w:ind w:left="1134" w:hanging="567"/>
        <w:jc w:val="left"/>
      </w:pPr>
      <w:r w:rsidRPr="006879D3">
        <w:t>It</w:t>
      </w:r>
      <w:r w:rsidR="00577605" w:rsidRPr="006879D3">
        <w:t xml:space="preserve"> will commence as soon as it is agreed between the Commonwealth and </w:t>
      </w:r>
      <w:r w:rsidR="00C1081A" w:rsidRPr="006879D3">
        <w:t>South Australia</w:t>
      </w:r>
      <w:r w:rsidR="00577605" w:rsidRPr="006879D3">
        <w:t xml:space="preserve"> and expire on 30 June </w:t>
      </w:r>
      <w:r w:rsidR="00A01BA6" w:rsidRPr="006879D3">
        <w:t>2022</w:t>
      </w:r>
      <w:r w:rsidR="00577605" w:rsidRPr="006879D3">
        <w:t xml:space="preserve"> or on completion of agreed projects, including final performance reporting and processing of final payments against milestones.</w:t>
      </w:r>
    </w:p>
    <w:p w14:paraId="09DEEA88" w14:textId="77777777" w:rsidR="00A01BA6" w:rsidRPr="006879D3" w:rsidRDefault="001924C4" w:rsidP="005C1DB5">
      <w:pPr>
        <w:pStyle w:val="ScheduleNumberedPara"/>
        <w:numPr>
          <w:ilvl w:val="0"/>
          <w:numId w:val="2"/>
        </w:numPr>
        <w:ind w:left="1134" w:hanging="567"/>
        <w:jc w:val="left"/>
      </w:pPr>
      <w:r w:rsidRPr="006879D3">
        <w:t>It</w:t>
      </w:r>
      <w:r w:rsidR="00A01BA6" w:rsidRPr="006879D3">
        <w:t xml:space="preserve"> may be</w:t>
      </w:r>
      <w:r w:rsidRPr="006879D3">
        <w:t xml:space="preserve"> amended in accordance with clause</w:t>
      </w:r>
      <w:r w:rsidR="00F8379B">
        <w:t>s 50 and</w:t>
      </w:r>
      <w:r w:rsidRPr="006879D3">
        <w:t xml:space="preserve"> 54 of the Agreement</w:t>
      </w:r>
      <w:r w:rsidR="00A01BA6" w:rsidRPr="006879D3">
        <w:t>.</w:t>
      </w:r>
    </w:p>
    <w:p w14:paraId="47D81070" w14:textId="77777777" w:rsidR="00B04F09" w:rsidRPr="006879D3" w:rsidRDefault="00B04F09" w:rsidP="00B04F09">
      <w:pPr>
        <w:pStyle w:val="Heading1"/>
        <w:spacing w:before="240"/>
      </w:pPr>
      <w:r w:rsidRPr="006879D3">
        <w:t>PART 2 – Agreed Baselines and Benchmarks</w:t>
      </w:r>
    </w:p>
    <w:p w14:paraId="46FB78E5" w14:textId="77777777" w:rsidR="007227AB" w:rsidRPr="007227AB" w:rsidRDefault="007227AB" w:rsidP="00D40047">
      <w:pPr>
        <w:pStyle w:val="ScheduleNumberedPara"/>
        <w:rPr>
          <w:b/>
        </w:rPr>
      </w:pPr>
      <w:r w:rsidRPr="007227AB">
        <w:rPr>
          <w:b/>
        </w:rPr>
        <w:t>B</w:t>
      </w:r>
      <w:r w:rsidR="00090B53">
        <w:rPr>
          <w:b/>
        </w:rPr>
        <w:t>udget b</w:t>
      </w:r>
      <w:r w:rsidRPr="007227AB">
        <w:rPr>
          <w:b/>
        </w:rPr>
        <w:t xml:space="preserve">enchmark </w:t>
      </w:r>
    </w:p>
    <w:p w14:paraId="3859CBB9" w14:textId="301D105B" w:rsidR="002C232B" w:rsidRDefault="00985C48" w:rsidP="005C1DB5">
      <w:pPr>
        <w:pStyle w:val="ScheduleNumberedPara"/>
        <w:numPr>
          <w:ilvl w:val="1"/>
          <w:numId w:val="1"/>
        </w:numPr>
        <w:tabs>
          <w:tab w:val="num" w:pos="2268"/>
        </w:tabs>
        <w:jc w:val="left"/>
      </w:pPr>
      <w:r w:rsidRPr="006879D3">
        <w:t xml:space="preserve">In accordance with clauses </w:t>
      </w:r>
      <w:r w:rsidR="00DB0B15" w:rsidRPr="006879D3">
        <w:t>2</w:t>
      </w:r>
      <w:r w:rsidR="001D6C01" w:rsidRPr="006879D3">
        <w:t>3</w:t>
      </w:r>
      <w:r w:rsidR="00DB0B15" w:rsidRPr="006879D3">
        <w:t xml:space="preserve">(a) and </w:t>
      </w:r>
      <w:r w:rsidRPr="006879D3">
        <w:t>3</w:t>
      </w:r>
      <w:r w:rsidR="00DB0B15" w:rsidRPr="006879D3">
        <w:t>8</w:t>
      </w:r>
      <w:r w:rsidRPr="006879D3">
        <w:t>-</w:t>
      </w:r>
      <w:r w:rsidR="00DB0B15" w:rsidRPr="006879D3">
        <w:t>40 of the Agreement</w:t>
      </w:r>
      <w:r w:rsidRPr="006879D3">
        <w:t xml:space="preserve">, </w:t>
      </w:r>
      <w:r w:rsidR="00C1081A" w:rsidRPr="006879D3">
        <w:t>South Australia</w:t>
      </w:r>
      <w:r w:rsidR="001D6C01" w:rsidRPr="006879D3">
        <w:t>’s</w:t>
      </w:r>
      <w:r w:rsidRPr="006879D3">
        <w:t xml:space="preserve"> </w:t>
      </w:r>
      <w:r w:rsidR="00DD53BB" w:rsidRPr="006879D3">
        <w:t xml:space="preserve">agreed </w:t>
      </w:r>
      <w:r w:rsidRPr="006879D3">
        <w:t xml:space="preserve">budget benchmark </w:t>
      </w:r>
      <w:r w:rsidR="004876C5" w:rsidRPr="006879D3">
        <w:t xml:space="preserve">is </w:t>
      </w:r>
      <w:r w:rsidR="004876C5">
        <w:t>$143.0</w:t>
      </w:r>
      <w:r w:rsidR="004876C5" w:rsidRPr="006879D3">
        <w:t> million</w:t>
      </w:r>
      <w:r w:rsidR="002C232B">
        <w:t>, to</w:t>
      </w:r>
      <w:r w:rsidR="00234377" w:rsidRPr="006879D3">
        <w:t xml:space="preserve"> be adjusted each year to include </w:t>
      </w:r>
      <w:r w:rsidR="009B737C">
        <w:t xml:space="preserve">an </w:t>
      </w:r>
      <w:r w:rsidR="00234377" w:rsidRPr="006879D3">
        <w:t xml:space="preserve">annual Skilling Australians Fund payment from the Commonwealth. </w:t>
      </w:r>
    </w:p>
    <w:p w14:paraId="67E94C93" w14:textId="77777777" w:rsidR="001D6C01" w:rsidRPr="006879D3" w:rsidRDefault="00480586" w:rsidP="005C1DB5">
      <w:pPr>
        <w:pStyle w:val="ScheduleNumberedPara"/>
        <w:numPr>
          <w:ilvl w:val="0"/>
          <w:numId w:val="3"/>
        </w:numPr>
        <w:ind w:left="1134" w:hanging="567"/>
        <w:jc w:val="left"/>
      </w:pPr>
      <w:r w:rsidRPr="006879D3">
        <w:t xml:space="preserve">The </w:t>
      </w:r>
      <w:r w:rsidR="00090B53">
        <w:t>b</w:t>
      </w:r>
      <w:r w:rsidRPr="006879D3">
        <w:t xml:space="preserve">udget </w:t>
      </w:r>
      <w:r w:rsidR="00090B53">
        <w:t>b</w:t>
      </w:r>
      <w:r w:rsidRPr="006879D3">
        <w:t xml:space="preserve">enchmark </w:t>
      </w:r>
      <w:r w:rsidR="001D6C01" w:rsidRPr="006879D3">
        <w:t>has the following constituent parts:</w:t>
      </w:r>
    </w:p>
    <w:p w14:paraId="7C2B9178" w14:textId="77777777" w:rsidR="001D6C01" w:rsidRPr="006879D3" w:rsidRDefault="001D6C01" w:rsidP="005C1DB5">
      <w:pPr>
        <w:pStyle w:val="ScheduleNumberedPara"/>
        <w:numPr>
          <w:ilvl w:val="1"/>
          <w:numId w:val="41"/>
        </w:numPr>
        <w:ind w:left="1560" w:hanging="142"/>
        <w:jc w:val="left"/>
      </w:pPr>
      <w:r w:rsidRPr="006879D3">
        <w:t>the 2016-17 estimated result</w:t>
      </w:r>
      <w:r w:rsidR="00E73717" w:rsidRPr="006879D3">
        <w:t>,</w:t>
      </w:r>
      <w:r w:rsidRPr="006879D3">
        <w:t xml:space="preserve"> published in the Department of State Development’s (DSD) 2017-18 budget papers for employment and skills formation</w:t>
      </w:r>
    </w:p>
    <w:p w14:paraId="2E78A247" w14:textId="77777777" w:rsidR="001D6C01" w:rsidRPr="006879D3" w:rsidRDefault="001D6C01" w:rsidP="005C1DB5">
      <w:pPr>
        <w:pStyle w:val="ScheduleNumberedPara"/>
        <w:numPr>
          <w:ilvl w:val="1"/>
          <w:numId w:val="41"/>
        </w:numPr>
        <w:ind w:left="1560" w:hanging="142"/>
        <w:jc w:val="left"/>
      </w:pPr>
      <w:r w:rsidRPr="006879D3">
        <w:t>excludes non-VET related expenditure, including higher education, depreciation, non-VET employment programs, and non-VET corporate overheads</w:t>
      </w:r>
    </w:p>
    <w:p w14:paraId="64F65708" w14:textId="645CD057" w:rsidR="001D6C01" w:rsidRPr="006879D3" w:rsidRDefault="000556E8" w:rsidP="005C1DB5">
      <w:pPr>
        <w:pStyle w:val="ScheduleNumberedPara"/>
        <w:numPr>
          <w:ilvl w:val="1"/>
          <w:numId w:val="41"/>
        </w:numPr>
        <w:ind w:left="1560" w:hanging="142"/>
        <w:jc w:val="left"/>
      </w:pPr>
      <w:r w:rsidRPr="006879D3">
        <w:t xml:space="preserve">makes </w:t>
      </w:r>
      <w:r w:rsidR="001D6C01" w:rsidRPr="006879D3">
        <w:t>a series of one-off adjustments to ensure the comparability of information over financial years as a result of costs related to excess st</w:t>
      </w:r>
      <w:r w:rsidR="002C232B">
        <w:t>aff and separation packages</w:t>
      </w:r>
      <w:r w:rsidR="004876C5">
        <w:t xml:space="preserve"> and the </w:t>
      </w:r>
      <w:r w:rsidR="004876C5" w:rsidRPr="006879D3">
        <w:t>sale and leaseback of TAFE SA campuses part way through 2016-17,</w:t>
      </w:r>
      <w:r w:rsidR="004876C5">
        <w:t xml:space="preserve"> then removed resulting in reduced expenditure for </w:t>
      </w:r>
      <w:r w:rsidR="009043D6">
        <w:t xml:space="preserve">the South Australia </w:t>
      </w:r>
      <w:r w:rsidR="004876C5">
        <w:t xml:space="preserve"> following the sale of campuses to TAFE SA during 2019-20, effectively eliminated rental arrangements</w:t>
      </w:r>
      <w:r w:rsidR="007162C5">
        <w:t xml:space="preserve"> going forward</w:t>
      </w:r>
      <w:r w:rsidR="004876C5">
        <w:t>.</w:t>
      </w:r>
    </w:p>
    <w:p w14:paraId="5975B48F" w14:textId="77777777" w:rsidR="001D6C01" w:rsidRPr="006879D3" w:rsidRDefault="001D6C01" w:rsidP="005C1DB5">
      <w:pPr>
        <w:pStyle w:val="ScheduleNumberedPara"/>
        <w:numPr>
          <w:ilvl w:val="1"/>
          <w:numId w:val="41"/>
        </w:numPr>
        <w:ind w:left="1560" w:hanging="142"/>
        <w:jc w:val="left"/>
      </w:pPr>
      <w:r w:rsidRPr="006879D3">
        <w:t xml:space="preserve">excludes expenditure attributable </w:t>
      </w:r>
      <w:r w:rsidR="00B84959" w:rsidRPr="006879D3">
        <w:t xml:space="preserve">to revenue from </w:t>
      </w:r>
      <w:r w:rsidRPr="006879D3">
        <w:t xml:space="preserve">the National Agreement on Skills and Workforce Development.  </w:t>
      </w:r>
    </w:p>
    <w:p w14:paraId="139CA5F2" w14:textId="77777777" w:rsidR="007227AB" w:rsidRPr="007227AB" w:rsidRDefault="007227AB" w:rsidP="009A1C15">
      <w:pPr>
        <w:pStyle w:val="ScheduleNumberedPara"/>
        <w:rPr>
          <w:b/>
        </w:rPr>
      </w:pPr>
      <w:r w:rsidRPr="007227AB">
        <w:rPr>
          <w:b/>
        </w:rPr>
        <w:t>Baseline commencements</w:t>
      </w:r>
    </w:p>
    <w:p w14:paraId="7B970024" w14:textId="57B17744" w:rsidR="00985C48" w:rsidRDefault="00985C48" w:rsidP="005C1DB5">
      <w:pPr>
        <w:pStyle w:val="ScheduleNumberedPara"/>
        <w:numPr>
          <w:ilvl w:val="1"/>
          <w:numId w:val="1"/>
        </w:numPr>
        <w:tabs>
          <w:tab w:val="num" w:pos="2268"/>
        </w:tabs>
        <w:jc w:val="left"/>
      </w:pPr>
      <w:r w:rsidRPr="006879D3">
        <w:t xml:space="preserve">In accordance with clause </w:t>
      </w:r>
      <w:r w:rsidR="00426CC9" w:rsidRPr="006879D3">
        <w:t>23(c)</w:t>
      </w:r>
      <w:r w:rsidRPr="006879D3">
        <w:t xml:space="preserve">, </w:t>
      </w:r>
      <w:r w:rsidR="001D6C01" w:rsidRPr="006879D3">
        <w:t>South Australia’s</w:t>
      </w:r>
      <w:r w:rsidRPr="006879D3">
        <w:t xml:space="preserve"> </w:t>
      </w:r>
      <w:r w:rsidR="00DD53BB" w:rsidRPr="006879D3">
        <w:t xml:space="preserve">agreed </w:t>
      </w:r>
      <w:r w:rsidRPr="006879D3">
        <w:t>baseline</w:t>
      </w:r>
      <w:r w:rsidR="002C232B">
        <w:t xml:space="preserve"> for</w:t>
      </w:r>
      <w:r w:rsidRPr="006879D3">
        <w:t xml:space="preserve"> existing training activity</w:t>
      </w:r>
      <w:r w:rsidR="00090B53">
        <w:t xml:space="preserve"> (baseline commencements)</w:t>
      </w:r>
      <w:r w:rsidRPr="006879D3">
        <w:t xml:space="preserve"> is</w:t>
      </w:r>
      <w:r w:rsidR="00090B53">
        <w:t xml:space="preserve"> based on </w:t>
      </w:r>
      <w:r w:rsidR="004875A0">
        <w:t xml:space="preserve">the 2016–17 financial year and </w:t>
      </w:r>
      <w:r w:rsidR="009B737C">
        <w:t>i</w:t>
      </w:r>
      <w:r w:rsidR="00090B53">
        <w:t>s</w:t>
      </w:r>
      <w:r w:rsidR="002C232B">
        <w:t xml:space="preserve"> in</w:t>
      </w:r>
      <w:r w:rsidR="00CB57E6">
        <w:t xml:space="preserve"> Table 1</w:t>
      </w:r>
      <w:r w:rsidR="00DE41EF">
        <w:t>, which has been adjusted for the 2020-21 and 2021-22 to account for the impact of the COVID-19 pandemic.</w:t>
      </w:r>
    </w:p>
    <w:p w14:paraId="6AED4D00" w14:textId="77777777" w:rsidR="00D21008" w:rsidRDefault="00D21008">
      <w:pPr>
        <w:spacing w:after="200" w:line="276" w:lineRule="auto"/>
        <w:jc w:val="left"/>
        <w:rPr>
          <w:b/>
        </w:rPr>
      </w:pPr>
      <w:r>
        <w:rPr>
          <w:b/>
        </w:rPr>
        <w:br w:type="page"/>
      </w:r>
    </w:p>
    <w:p w14:paraId="2CAFF6CE" w14:textId="77777777" w:rsidR="00CB57E6" w:rsidRPr="00070886" w:rsidRDefault="00CB57E6" w:rsidP="00F8379B">
      <w:pPr>
        <w:pStyle w:val="ScheduleNumberedPara"/>
      </w:pPr>
      <w:r w:rsidRPr="00070886">
        <w:lastRenderedPageBreak/>
        <w:t>Table 1: Baseline commencements</w:t>
      </w:r>
    </w:p>
    <w:tbl>
      <w:tblPr>
        <w:tblW w:w="8931" w:type="dxa"/>
        <w:tblLayout w:type="fixed"/>
        <w:tblLook w:val="01E0" w:firstRow="1" w:lastRow="1" w:firstColumn="1" w:lastColumn="1" w:noHBand="0" w:noVBand="0"/>
      </w:tblPr>
      <w:tblGrid>
        <w:gridCol w:w="4111"/>
        <w:gridCol w:w="4820"/>
      </w:tblGrid>
      <w:tr w:rsidR="002B34BE" w:rsidRPr="006879D3" w14:paraId="0AE61D2C" w14:textId="77777777" w:rsidTr="00FB5633">
        <w:trPr>
          <w:cantSplit/>
          <w:trHeight w:val="380"/>
        </w:trPr>
        <w:tc>
          <w:tcPr>
            <w:tcW w:w="4111" w:type="dxa"/>
            <w:tcBorders>
              <w:top w:val="single" w:sz="4" w:space="0" w:color="auto"/>
            </w:tcBorders>
          </w:tcPr>
          <w:p w14:paraId="759C15C6" w14:textId="77777777" w:rsidR="002B34BE" w:rsidRPr="006879D3" w:rsidRDefault="002C232B" w:rsidP="002C232B">
            <w:pPr>
              <w:keepNext/>
              <w:keepLines/>
              <w:spacing w:before="40" w:after="40"/>
              <w:jc w:val="left"/>
              <w:rPr>
                <w:b/>
                <w:sz w:val="18"/>
                <w:szCs w:val="18"/>
              </w:rPr>
            </w:pPr>
            <w:r>
              <w:rPr>
                <w:b/>
                <w:sz w:val="18"/>
                <w:szCs w:val="18"/>
              </w:rPr>
              <w:t xml:space="preserve">Training </w:t>
            </w:r>
            <w:r w:rsidR="004875A0">
              <w:rPr>
                <w:b/>
                <w:sz w:val="18"/>
                <w:szCs w:val="18"/>
              </w:rPr>
              <w:t>a</w:t>
            </w:r>
            <w:r>
              <w:rPr>
                <w:b/>
                <w:sz w:val="18"/>
                <w:szCs w:val="18"/>
              </w:rPr>
              <w:t xml:space="preserve">ctivity </w:t>
            </w:r>
            <w:r w:rsidR="00546945">
              <w:rPr>
                <w:b/>
                <w:sz w:val="18"/>
                <w:szCs w:val="18"/>
              </w:rPr>
              <w:t>type</w:t>
            </w:r>
          </w:p>
        </w:tc>
        <w:tc>
          <w:tcPr>
            <w:tcW w:w="4820" w:type="dxa"/>
            <w:tcBorders>
              <w:top w:val="single" w:sz="4" w:space="0" w:color="auto"/>
              <w:bottom w:val="single" w:sz="4" w:space="0" w:color="auto"/>
            </w:tcBorders>
          </w:tcPr>
          <w:p w14:paraId="7FFC3E11" w14:textId="77777777" w:rsidR="002B34BE" w:rsidRPr="002C232B" w:rsidRDefault="002B34BE" w:rsidP="0027095D">
            <w:pPr>
              <w:keepNext/>
              <w:keepLines/>
              <w:spacing w:before="40" w:after="40"/>
              <w:jc w:val="right"/>
              <w:rPr>
                <w:b/>
                <w:sz w:val="18"/>
                <w:szCs w:val="18"/>
              </w:rPr>
            </w:pPr>
            <w:r w:rsidRPr="002C232B">
              <w:rPr>
                <w:b/>
                <w:sz w:val="18"/>
                <w:szCs w:val="18"/>
              </w:rPr>
              <w:t>Baseline</w:t>
            </w:r>
            <w:r w:rsidR="00546945" w:rsidRPr="002C232B">
              <w:rPr>
                <w:b/>
                <w:sz w:val="18"/>
                <w:szCs w:val="18"/>
              </w:rPr>
              <w:t xml:space="preserve"> - commencements</w:t>
            </w:r>
          </w:p>
        </w:tc>
      </w:tr>
      <w:tr w:rsidR="00CE1D62" w:rsidRPr="006879D3" w14:paraId="462DE695" w14:textId="77777777" w:rsidTr="00FB5633">
        <w:trPr>
          <w:cantSplit/>
          <w:trHeight w:val="380"/>
        </w:trPr>
        <w:tc>
          <w:tcPr>
            <w:tcW w:w="4111" w:type="dxa"/>
          </w:tcPr>
          <w:p w14:paraId="38F9D25D" w14:textId="77777777" w:rsidR="00CE1D62" w:rsidRPr="006879D3" w:rsidRDefault="00CE1D62" w:rsidP="0027095D">
            <w:pPr>
              <w:keepNext/>
              <w:keepLines/>
              <w:spacing w:before="40" w:after="40"/>
              <w:jc w:val="left"/>
              <w:rPr>
                <w:b/>
                <w:sz w:val="18"/>
                <w:szCs w:val="18"/>
              </w:rPr>
            </w:pPr>
            <w:r w:rsidRPr="006879D3">
              <w:rPr>
                <w:b/>
                <w:sz w:val="18"/>
                <w:szCs w:val="18"/>
              </w:rPr>
              <w:t>Total</w:t>
            </w:r>
          </w:p>
        </w:tc>
        <w:tc>
          <w:tcPr>
            <w:tcW w:w="4820" w:type="dxa"/>
            <w:tcBorders>
              <w:top w:val="single" w:sz="4" w:space="0" w:color="auto"/>
              <w:bottom w:val="single" w:sz="4" w:space="0" w:color="auto"/>
            </w:tcBorders>
          </w:tcPr>
          <w:p w14:paraId="63080829" w14:textId="55FF872B" w:rsidR="00CE1D62" w:rsidRPr="006879D3" w:rsidRDefault="00F31EE2" w:rsidP="0027095D">
            <w:pPr>
              <w:keepNext/>
              <w:keepLines/>
              <w:spacing w:before="40" w:after="40"/>
              <w:jc w:val="right"/>
              <w:rPr>
                <w:b/>
                <w:sz w:val="18"/>
                <w:szCs w:val="18"/>
              </w:rPr>
            </w:pPr>
            <w:r>
              <w:rPr>
                <w:b/>
                <w:sz w:val="18"/>
                <w:szCs w:val="18"/>
              </w:rPr>
              <w:t>8406</w:t>
            </w:r>
          </w:p>
        </w:tc>
      </w:tr>
      <w:tr w:rsidR="002B34BE" w:rsidRPr="006879D3" w14:paraId="07B0FCDF" w14:textId="77777777" w:rsidTr="00FB5633">
        <w:trPr>
          <w:cantSplit/>
          <w:trHeight w:val="380"/>
        </w:trPr>
        <w:tc>
          <w:tcPr>
            <w:tcW w:w="4111" w:type="dxa"/>
            <w:vAlign w:val="center"/>
          </w:tcPr>
          <w:p w14:paraId="69F3CC3A" w14:textId="77777777" w:rsidR="002B34BE" w:rsidRPr="006879D3" w:rsidRDefault="00CE1D62" w:rsidP="00E84E4F">
            <w:pPr>
              <w:keepNext/>
              <w:keepLines/>
              <w:spacing w:before="60" w:after="60"/>
              <w:ind w:left="176" w:hanging="176"/>
              <w:jc w:val="left"/>
              <w:rPr>
                <w:sz w:val="18"/>
                <w:szCs w:val="18"/>
              </w:rPr>
            </w:pPr>
            <w:r w:rsidRPr="006879D3">
              <w:rPr>
                <w:sz w:val="18"/>
                <w:szCs w:val="18"/>
              </w:rPr>
              <w:tab/>
            </w:r>
            <w:r w:rsidR="002B34BE" w:rsidRPr="006879D3">
              <w:rPr>
                <w:sz w:val="18"/>
                <w:szCs w:val="18"/>
              </w:rPr>
              <w:t>Apprenticeships/</w:t>
            </w:r>
            <w:r w:rsidR="002C232B">
              <w:rPr>
                <w:sz w:val="18"/>
                <w:szCs w:val="18"/>
              </w:rPr>
              <w:t>t</w:t>
            </w:r>
            <w:r w:rsidR="002B34BE" w:rsidRPr="006879D3">
              <w:rPr>
                <w:sz w:val="18"/>
                <w:szCs w:val="18"/>
              </w:rPr>
              <w:t>raineeships</w:t>
            </w:r>
          </w:p>
        </w:tc>
        <w:tc>
          <w:tcPr>
            <w:tcW w:w="4820" w:type="dxa"/>
            <w:tcBorders>
              <w:top w:val="single" w:sz="4" w:space="0" w:color="auto"/>
              <w:bottom w:val="single" w:sz="4" w:space="0" w:color="auto"/>
            </w:tcBorders>
          </w:tcPr>
          <w:p w14:paraId="48EEAEB4" w14:textId="3346E1C6" w:rsidR="002B34BE" w:rsidRPr="006879D3" w:rsidRDefault="008E27F6" w:rsidP="0027095D">
            <w:pPr>
              <w:keepNext/>
              <w:keepLines/>
              <w:spacing w:before="40" w:after="40"/>
              <w:jc w:val="right"/>
              <w:rPr>
                <w:sz w:val="18"/>
                <w:szCs w:val="18"/>
              </w:rPr>
            </w:pPr>
            <w:r>
              <w:rPr>
                <w:sz w:val="18"/>
                <w:szCs w:val="18"/>
              </w:rPr>
              <w:t>6276</w:t>
            </w:r>
          </w:p>
        </w:tc>
      </w:tr>
      <w:tr w:rsidR="002B34BE" w:rsidRPr="006879D3" w14:paraId="0B49D04D" w14:textId="77777777" w:rsidTr="00FB5633">
        <w:trPr>
          <w:cantSplit/>
          <w:trHeight w:val="380"/>
        </w:trPr>
        <w:tc>
          <w:tcPr>
            <w:tcW w:w="4111" w:type="dxa"/>
            <w:vAlign w:val="center"/>
          </w:tcPr>
          <w:p w14:paraId="2BE1A372" w14:textId="77777777" w:rsidR="002B34BE" w:rsidRPr="006879D3" w:rsidRDefault="00CE1D62" w:rsidP="00E84E4F">
            <w:pPr>
              <w:keepNext/>
              <w:keepLines/>
              <w:spacing w:before="60" w:after="60"/>
              <w:ind w:left="176" w:hanging="176"/>
              <w:jc w:val="left"/>
              <w:rPr>
                <w:sz w:val="18"/>
                <w:szCs w:val="18"/>
              </w:rPr>
            </w:pPr>
            <w:r w:rsidRPr="006879D3">
              <w:rPr>
                <w:sz w:val="18"/>
                <w:szCs w:val="18"/>
              </w:rPr>
              <w:tab/>
            </w:r>
            <w:r w:rsidR="002B34BE" w:rsidRPr="006879D3">
              <w:rPr>
                <w:sz w:val="18"/>
                <w:szCs w:val="18"/>
              </w:rPr>
              <w:t>Pre-apprenticeships/traineeships</w:t>
            </w:r>
          </w:p>
        </w:tc>
        <w:tc>
          <w:tcPr>
            <w:tcW w:w="4820" w:type="dxa"/>
            <w:tcBorders>
              <w:top w:val="single" w:sz="4" w:space="0" w:color="auto"/>
              <w:bottom w:val="single" w:sz="4" w:space="0" w:color="auto"/>
            </w:tcBorders>
          </w:tcPr>
          <w:p w14:paraId="0A481B3E" w14:textId="4ECAF1E2" w:rsidR="002B34BE" w:rsidRPr="006879D3" w:rsidRDefault="0036690D" w:rsidP="0027095D">
            <w:pPr>
              <w:keepNext/>
              <w:keepLines/>
              <w:spacing w:before="40" w:after="40"/>
              <w:jc w:val="right"/>
              <w:rPr>
                <w:sz w:val="18"/>
                <w:szCs w:val="18"/>
              </w:rPr>
            </w:pPr>
            <w:r w:rsidRPr="006879D3">
              <w:rPr>
                <w:sz w:val="18"/>
                <w:szCs w:val="18"/>
              </w:rPr>
              <w:t>2078</w:t>
            </w:r>
          </w:p>
        </w:tc>
      </w:tr>
      <w:tr w:rsidR="002B34BE" w:rsidRPr="006879D3" w14:paraId="3EE40586" w14:textId="77777777" w:rsidTr="00FB5633">
        <w:trPr>
          <w:cantSplit/>
          <w:trHeight w:val="380"/>
        </w:trPr>
        <w:tc>
          <w:tcPr>
            <w:tcW w:w="4111" w:type="dxa"/>
            <w:tcBorders>
              <w:bottom w:val="single" w:sz="4" w:space="0" w:color="auto"/>
            </w:tcBorders>
            <w:vAlign w:val="center"/>
          </w:tcPr>
          <w:p w14:paraId="29C8C4FC" w14:textId="77777777" w:rsidR="002B34BE" w:rsidRPr="006879D3" w:rsidRDefault="00CE1D62" w:rsidP="00E84E4F">
            <w:pPr>
              <w:keepNext/>
              <w:keepLines/>
              <w:spacing w:before="40" w:after="40"/>
              <w:ind w:left="176" w:hanging="176"/>
              <w:jc w:val="left"/>
              <w:rPr>
                <w:sz w:val="18"/>
                <w:szCs w:val="18"/>
              </w:rPr>
            </w:pPr>
            <w:r w:rsidRPr="006879D3">
              <w:rPr>
                <w:sz w:val="18"/>
                <w:szCs w:val="18"/>
              </w:rPr>
              <w:tab/>
            </w:r>
            <w:r w:rsidR="001D6C01" w:rsidRPr="006879D3">
              <w:rPr>
                <w:sz w:val="18"/>
                <w:szCs w:val="18"/>
              </w:rPr>
              <w:t>Higher apprenticeships</w:t>
            </w:r>
          </w:p>
        </w:tc>
        <w:tc>
          <w:tcPr>
            <w:tcW w:w="4820" w:type="dxa"/>
            <w:tcBorders>
              <w:top w:val="single" w:sz="4" w:space="0" w:color="auto"/>
              <w:bottom w:val="single" w:sz="4" w:space="0" w:color="auto"/>
            </w:tcBorders>
          </w:tcPr>
          <w:p w14:paraId="1639B511" w14:textId="5AAE3A73" w:rsidR="002B34BE" w:rsidRPr="006879D3" w:rsidRDefault="00A45467" w:rsidP="0027095D">
            <w:pPr>
              <w:keepNext/>
              <w:keepLines/>
              <w:spacing w:before="40" w:after="40"/>
              <w:jc w:val="right"/>
              <w:rPr>
                <w:sz w:val="18"/>
                <w:szCs w:val="18"/>
              </w:rPr>
            </w:pPr>
            <w:r w:rsidRPr="006879D3">
              <w:rPr>
                <w:sz w:val="18"/>
                <w:szCs w:val="18"/>
              </w:rPr>
              <w:t>5</w:t>
            </w:r>
            <w:r w:rsidR="00A70C66" w:rsidRPr="006879D3">
              <w:rPr>
                <w:sz w:val="18"/>
                <w:szCs w:val="18"/>
              </w:rPr>
              <w:t>2</w:t>
            </w:r>
          </w:p>
        </w:tc>
      </w:tr>
    </w:tbl>
    <w:p w14:paraId="4CB4AFEF" w14:textId="77777777" w:rsidR="00090B53" w:rsidRPr="006879D3" w:rsidRDefault="00090B53" w:rsidP="005C1DB5">
      <w:pPr>
        <w:pStyle w:val="ScheduleNumberedPara"/>
        <w:numPr>
          <w:ilvl w:val="0"/>
          <w:numId w:val="6"/>
        </w:numPr>
        <w:spacing w:before="120"/>
        <w:ind w:left="1134" w:hanging="567"/>
        <w:jc w:val="left"/>
      </w:pPr>
      <w:r w:rsidRPr="006879D3">
        <w:t xml:space="preserve">The scope of South Australia’s agreed baseline commencements </w:t>
      </w:r>
      <w:proofErr w:type="gramStart"/>
      <w:r w:rsidR="009A0760">
        <w:t>are</w:t>
      </w:r>
      <w:proofErr w:type="gramEnd"/>
      <w:r w:rsidR="009A0760">
        <w:t xml:space="preserve"> </w:t>
      </w:r>
      <w:r w:rsidRPr="006879D3">
        <w:t>defined in Attachment A</w:t>
      </w:r>
      <w:r>
        <w:t xml:space="preserve"> and</w:t>
      </w:r>
      <w:r w:rsidR="004875A0">
        <w:t>,</w:t>
      </w:r>
      <w:r w:rsidR="00CB57E6">
        <w:t xml:space="preserve"> if required</w:t>
      </w:r>
      <w:r w:rsidR="002C232B">
        <w:t>,</w:t>
      </w:r>
      <w:r w:rsidR="00CB57E6">
        <w:t xml:space="preserve"> </w:t>
      </w:r>
      <w:r w:rsidRPr="006879D3">
        <w:t xml:space="preserve">subject to annual review </w:t>
      </w:r>
      <w:r>
        <w:t>with</w:t>
      </w:r>
      <w:r w:rsidRPr="006879D3">
        <w:t xml:space="preserve"> the Commonwealth to redefine the scope of the agreed baseline</w:t>
      </w:r>
      <w:r>
        <w:t>.</w:t>
      </w:r>
      <w:r w:rsidRPr="006879D3">
        <w:t xml:space="preserve">  </w:t>
      </w:r>
    </w:p>
    <w:p w14:paraId="4ACE3DE3" w14:textId="106AF61A" w:rsidR="00090B53" w:rsidRPr="00090B53" w:rsidRDefault="00090B53" w:rsidP="00090B53">
      <w:pPr>
        <w:pStyle w:val="ScheduleNumberedPara"/>
        <w:rPr>
          <w:b/>
        </w:rPr>
      </w:pPr>
      <w:r w:rsidRPr="00090B53">
        <w:rPr>
          <w:b/>
        </w:rPr>
        <w:t>Additional commencement</w:t>
      </w:r>
      <w:r w:rsidR="008E2512">
        <w:rPr>
          <w:b/>
        </w:rPr>
        <w:t xml:space="preserve"> target</w:t>
      </w:r>
      <w:r w:rsidR="00D21008">
        <w:rPr>
          <w:b/>
        </w:rPr>
        <w:t>s</w:t>
      </w:r>
      <w:r w:rsidR="002C232B">
        <w:rPr>
          <w:b/>
        </w:rPr>
        <w:t xml:space="preserve"> </w:t>
      </w:r>
    </w:p>
    <w:p w14:paraId="6529140A" w14:textId="77777777" w:rsidR="007475DA" w:rsidRDefault="00CF07BB" w:rsidP="005C1DB5">
      <w:pPr>
        <w:pStyle w:val="ScheduleNumberedPara"/>
        <w:numPr>
          <w:ilvl w:val="1"/>
          <w:numId w:val="1"/>
        </w:numPr>
        <w:tabs>
          <w:tab w:val="num" w:pos="2268"/>
        </w:tabs>
        <w:jc w:val="left"/>
      </w:pPr>
      <w:r w:rsidRPr="006879D3">
        <w:t xml:space="preserve">In accordance with clause </w:t>
      </w:r>
      <w:r w:rsidR="001D6C01" w:rsidRPr="006879D3">
        <w:t>23(d)</w:t>
      </w:r>
      <w:r w:rsidRPr="006879D3">
        <w:t xml:space="preserve">, </w:t>
      </w:r>
      <w:r w:rsidR="001D6C01" w:rsidRPr="006879D3">
        <w:t>South Australia’s</w:t>
      </w:r>
      <w:r w:rsidRPr="006879D3">
        <w:t xml:space="preserve"> agreed targets for </w:t>
      </w:r>
      <w:r w:rsidR="00B84959" w:rsidRPr="006879D3">
        <w:t xml:space="preserve">additional </w:t>
      </w:r>
      <w:r w:rsidR="00090B53">
        <w:t xml:space="preserve">training activity (additional </w:t>
      </w:r>
      <w:r w:rsidRPr="006879D3">
        <w:t>commencements</w:t>
      </w:r>
      <w:r w:rsidR="00090B53">
        <w:t xml:space="preserve">) over the </w:t>
      </w:r>
      <w:r w:rsidR="007475DA">
        <w:t>term</w:t>
      </w:r>
      <w:r w:rsidR="00090B53">
        <w:t xml:space="preserve"> of the </w:t>
      </w:r>
      <w:r w:rsidR="002C232B">
        <w:t>Agreement</w:t>
      </w:r>
      <w:r w:rsidRPr="006879D3">
        <w:t xml:space="preserve"> </w:t>
      </w:r>
      <w:r w:rsidR="00546945">
        <w:t xml:space="preserve">(2018–19 </w:t>
      </w:r>
      <w:r w:rsidR="004875A0">
        <w:t>to</w:t>
      </w:r>
      <w:r w:rsidR="00546945">
        <w:t xml:space="preserve"> 2021–22) </w:t>
      </w:r>
      <w:r w:rsidR="008A0C05">
        <w:t xml:space="preserve">are </w:t>
      </w:r>
      <w:r w:rsidR="002C232B">
        <w:t>in Table 2.</w:t>
      </w:r>
    </w:p>
    <w:p w14:paraId="73F2B705" w14:textId="77777777" w:rsidR="007475DA" w:rsidRPr="00070886" w:rsidRDefault="007475DA" w:rsidP="00F8379B">
      <w:pPr>
        <w:pStyle w:val="ScheduleNumberedPara"/>
      </w:pPr>
      <w:r w:rsidRPr="00070886">
        <w:t>Table</w:t>
      </w:r>
      <w:r w:rsidR="00093402" w:rsidRPr="00070886">
        <w:t xml:space="preserve"> 2: Additional commencement targets</w:t>
      </w:r>
      <w:r w:rsidRPr="00070886">
        <w:t xml:space="preserve"> </w:t>
      </w:r>
    </w:p>
    <w:tbl>
      <w:tblPr>
        <w:tblW w:w="0" w:type="auto"/>
        <w:tblLayout w:type="fixed"/>
        <w:tblLook w:val="01E0" w:firstRow="1" w:lastRow="1" w:firstColumn="1" w:lastColumn="1" w:noHBand="0" w:noVBand="0"/>
      </w:tblPr>
      <w:tblGrid>
        <w:gridCol w:w="4111"/>
        <w:gridCol w:w="4820"/>
      </w:tblGrid>
      <w:tr w:rsidR="00CF07BB" w:rsidRPr="006879D3" w14:paraId="00558BFB" w14:textId="77777777" w:rsidTr="00FB5633">
        <w:trPr>
          <w:cantSplit/>
          <w:trHeight w:val="380"/>
        </w:trPr>
        <w:tc>
          <w:tcPr>
            <w:tcW w:w="4111" w:type="dxa"/>
            <w:tcBorders>
              <w:top w:val="single" w:sz="4" w:space="0" w:color="auto"/>
            </w:tcBorders>
          </w:tcPr>
          <w:p w14:paraId="41643087" w14:textId="77777777" w:rsidR="00CF07BB" w:rsidRPr="006879D3" w:rsidRDefault="002C232B" w:rsidP="002C232B">
            <w:pPr>
              <w:keepNext/>
              <w:keepLines/>
              <w:spacing w:before="40" w:after="40"/>
              <w:jc w:val="left"/>
              <w:rPr>
                <w:b/>
                <w:sz w:val="18"/>
                <w:szCs w:val="18"/>
              </w:rPr>
            </w:pPr>
            <w:r>
              <w:rPr>
                <w:b/>
                <w:sz w:val="18"/>
                <w:szCs w:val="18"/>
              </w:rPr>
              <w:t xml:space="preserve">Training </w:t>
            </w:r>
            <w:r w:rsidR="00704B75">
              <w:rPr>
                <w:b/>
                <w:sz w:val="18"/>
                <w:szCs w:val="18"/>
              </w:rPr>
              <w:t>a</w:t>
            </w:r>
            <w:r>
              <w:rPr>
                <w:b/>
                <w:sz w:val="18"/>
                <w:szCs w:val="18"/>
              </w:rPr>
              <w:t>ctivity</w:t>
            </w:r>
            <w:r w:rsidR="00546945">
              <w:rPr>
                <w:b/>
                <w:sz w:val="18"/>
                <w:szCs w:val="18"/>
              </w:rPr>
              <w:t xml:space="preserve"> type</w:t>
            </w:r>
          </w:p>
        </w:tc>
        <w:tc>
          <w:tcPr>
            <w:tcW w:w="4820" w:type="dxa"/>
            <w:tcBorders>
              <w:top w:val="single" w:sz="4" w:space="0" w:color="auto"/>
              <w:bottom w:val="single" w:sz="4" w:space="0" w:color="auto"/>
            </w:tcBorders>
          </w:tcPr>
          <w:p w14:paraId="3BA692AB" w14:textId="77777777" w:rsidR="00CF07BB" w:rsidRPr="002C232B" w:rsidRDefault="00CF07BB" w:rsidP="00090B53">
            <w:pPr>
              <w:keepNext/>
              <w:keepLines/>
              <w:spacing w:before="40" w:after="40"/>
              <w:jc w:val="right"/>
              <w:rPr>
                <w:b/>
                <w:sz w:val="18"/>
                <w:szCs w:val="18"/>
              </w:rPr>
            </w:pPr>
            <w:r w:rsidRPr="002C232B">
              <w:rPr>
                <w:b/>
                <w:sz w:val="18"/>
                <w:szCs w:val="18"/>
              </w:rPr>
              <w:t xml:space="preserve">Estimated </w:t>
            </w:r>
            <w:r w:rsidR="00090B53" w:rsidRPr="002C232B">
              <w:rPr>
                <w:b/>
                <w:sz w:val="18"/>
                <w:szCs w:val="18"/>
              </w:rPr>
              <w:t xml:space="preserve">targets </w:t>
            </w:r>
            <w:r w:rsidR="00546945" w:rsidRPr="002C232B">
              <w:rPr>
                <w:b/>
                <w:sz w:val="18"/>
                <w:szCs w:val="18"/>
              </w:rPr>
              <w:t>- commencements</w:t>
            </w:r>
          </w:p>
        </w:tc>
      </w:tr>
      <w:tr w:rsidR="00A45467" w:rsidRPr="008E27F6" w14:paraId="5398937C" w14:textId="77777777" w:rsidTr="00FB5633">
        <w:trPr>
          <w:cantSplit/>
          <w:trHeight w:val="380"/>
        </w:trPr>
        <w:tc>
          <w:tcPr>
            <w:tcW w:w="4111" w:type="dxa"/>
            <w:vAlign w:val="center"/>
          </w:tcPr>
          <w:p w14:paraId="6CE7D833" w14:textId="77777777" w:rsidR="00A45467" w:rsidRPr="006879D3" w:rsidRDefault="00A45467" w:rsidP="0027095D">
            <w:pPr>
              <w:keepNext/>
              <w:keepLines/>
              <w:spacing w:before="60" w:after="60"/>
              <w:ind w:left="318" w:hanging="318"/>
              <w:jc w:val="left"/>
              <w:rPr>
                <w:b/>
                <w:sz w:val="18"/>
                <w:szCs w:val="18"/>
              </w:rPr>
            </w:pPr>
            <w:r w:rsidRPr="006879D3">
              <w:rPr>
                <w:b/>
                <w:sz w:val="18"/>
                <w:szCs w:val="18"/>
              </w:rPr>
              <w:t>Total</w:t>
            </w:r>
          </w:p>
        </w:tc>
        <w:tc>
          <w:tcPr>
            <w:tcW w:w="4820" w:type="dxa"/>
            <w:tcBorders>
              <w:top w:val="single" w:sz="4" w:space="0" w:color="auto"/>
              <w:bottom w:val="single" w:sz="4" w:space="0" w:color="auto"/>
            </w:tcBorders>
          </w:tcPr>
          <w:p w14:paraId="155E0954" w14:textId="3D3E46D6" w:rsidR="00A45467" w:rsidRPr="00A91AB9" w:rsidRDefault="00BB2013" w:rsidP="0027095D">
            <w:pPr>
              <w:keepNext/>
              <w:keepLines/>
              <w:spacing w:before="40" w:after="40"/>
              <w:jc w:val="right"/>
              <w:rPr>
                <w:b/>
                <w:sz w:val="18"/>
                <w:szCs w:val="18"/>
              </w:rPr>
            </w:pPr>
            <w:r>
              <w:rPr>
                <w:b/>
                <w:sz w:val="18"/>
                <w:szCs w:val="18"/>
              </w:rPr>
              <w:t xml:space="preserve">  </w:t>
            </w:r>
            <w:r w:rsidR="00606717">
              <w:rPr>
                <w:b/>
                <w:sz w:val="18"/>
                <w:szCs w:val="18"/>
              </w:rPr>
              <w:t>10,506</w:t>
            </w:r>
          </w:p>
        </w:tc>
      </w:tr>
      <w:tr w:rsidR="00CF07BB" w:rsidRPr="008E27F6" w14:paraId="311B42BA" w14:textId="77777777" w:rsidTr="00FB5633">
        <w:trPr>
          <w:cantSplit/>
          <w:trHeight w:val="380"/>
        </w:trPr>
        <w:tc>
          <w:tcPr>
            <w:tcW w:w="4111" w:type="dxa"/>
            <w:vAlign w:val="center"/>
          </w:tcPr>
          <w:p w14:paraId="1F5EF030" w14:textId="77777777" w:rsidR="00CF07BB" w:rsidRPr="006879D3" w:rsidRDefault="00CF07BB" w:rsidP="0027095D">
            <w:pPr>
              <w:keepNext/>
              <w:keepLines/>
              <w:spacing w:before="60" w:after="60"/>
              <w:ind w:left="318" w:hanging="318"/>
              <w:jc w:val="left"/>
              <w:rPr>
                <w:sz w:val="18"/>
                <w:szCs w:val="18"/>
              </w:rPr>
            </w:pPr>
            <w:r w:rsidRPr="006879D3">
              <w:rPr>
                <w:sz w:val="18"/>
                <w:szCs w:val="18"/>
              </w:rPr>
              <w:tab/>
              <w:t>Apprenticeships/</w:t>
            </w:r>
            <w:r w:rsidR="002C232B">
              <w:rPr>
                <w:sz w:val="18"/>
                <w:szCs w:val="18"/>
              </w:rPr>
              <w:t>t</w:t>
            </w:r>
            <w:r w:rsidRPr="006879D3">
              <w:rPr>
                <w:sz w:val="18"/>
                <w:szCs w:val="18"/>
              </w:rPr>
              <w:t>raineeships</w:t>
            </w:r>
          </w:p>
        </w:tc>
        <w:tc>
          <w:tcPr>
            <w:tcW w:w="4820" w:type="dxa"/>
            <w:tcBorders>
              <w:top w:val="single" w:sz="4" w:space="0" w:color="auto"/>
              <w:bottom w:val="single" w:sz="4" w:space="0" w:color="auto"/>
            </w:tcBorders>
          </w:tcPr>
          <w:p w14:paraId="183129BF" w14:textId="193056D0" w:rsidR="00CF07BB" w:rsidRPr="00A91AB9" w:rsidRDefault="00BB2013" w:rsidP="007227AB">
            <w:pPr>
              <w:keepNext/>
              <w:keepLines/>
              <w:spacing w:before="40" w:after="40"/>
              <w:jc w:val="right"/>
              <w:rPr>
                <w:sz w:val="18"/>
                <w:szCs w:val="18"/>
              </w:rPr>
            </w:pPr>
            <w:r>
              <w:rPr>
                <w:sz w:val="18"/>
                <w:szCs w:val="18"/>
              </w:rPr>
              <w:t xml:space="preserve">  </w:t>
            </w:r>
            <w:r w:rsidR="00606717">
              <w:rPr>
                <w:sz w:val="18"/>
                <w:szCs w:val="18"/>
              </w:rPr>
              <w:t>7,926</w:t>
            </w:r>
          </w:p>
        </w:tc>
      </w:tr>
      <w:tr w:rsidR="00CF07BB" w:rsidRPr="008E27F6" w14:paraId="54BA6877" w14:textId="77777777" w:rsidTr="00FB5633">
        <w:trPr>
          <w:cantSplit/>
          <w:trHeight w:val="380"/>
        </w:trPr>
        <w:tc>
          <w:tcPr>
            <w:tcW w:w="4111" w:type="dxa"/>
            <w:vAlign w:val="center"/>
          </w:tcPr>
          <w:p w14:paraId="7DDBB834" w14:textId="77777777" w:rsidR="00CF07BB" w:rsidRPr="006879D3" w:rsidRDefault="00CF07BB" w:rsidP="0027095D">
            <w:pPr>
              <w:keepNext/>
              <w:keepLines/>
              <w:spacing w:before="60" w:after="60"/>
              <w:ind w:left="318" w:hanging="318"/>
              <w:jc w:val="left"/>
              <w:rPr>
                <w:sz w:val="18"/>
                <w:szCs w:val="18"/>
              </w:rPr>
            </w:pPr>
            <w:r w:rsidRPr="006879D3">
              <w:rPr>
                <w:sz w:val="18"/>
                <w:szCs w:val="18"/>
              </w:rPr>
              <w:tab/>
              <w:t>Pre-apprenticeships/traineeships</w:t>
            </w:r>
          </w:p>
        </w:tc>
        <w:tc>
          <w:tcPr>
            <w:tcW w:w="4820" w:type="dxa"/>
            <w:tcBorders>
              <w:top w:val="single" w:sz="4" w:space="0" w:color="auto"/>
              <w:bottom w:val="single" w:sz="4" w:space="0" w:color="auto"/>
            </w:tcBorders>
          </w:tcPr>
          <w:p w14:paraId="71368C89" w14:textId="6E7F1F95" w:rsidR="00CF07BB" w:rsidRPr="00A91AB9" w:rsidRDefault="00BB2013" w:rsidP="007227AB">
            <w:pPr>
              <w:keepNext/>
              <w:keepLines/>
              <w:spacing w:before="40" w:after="40"/>
              <w:jc w:val="right"/>
              <w:rPr>
                <w:sz w:val="18"/>
                <w:szCs w:val="18"/>
              </w:rPr>
            </w:pPr>
            <w:r>
              <w:rPr>
                <w:sz w:val="18"/>
                <w:szCs w:val="18"/>
              </w:rPr>
              <w:t xml:space="preserve">  </w:t>
            </w:r>
            <w:r w:rsidR="00606717">
              <w:rPr>
                <w:sz w:val="18"/>
                <w:szCs w:val="18"/>
              </w:rPr>
              <w:t>1,842</w:t>
            </w:r>
          </w:p>
        </w:tc>
      </w:tr>
      <w:tr w:rsidR="00CF07BB" w:rsidRPr="008E27F6" w14:paraId="624FED85" w14:textId="77777777" w:rsidTr="00FB5633">
        <w:trPr>
          <w:cantSplit/>
          <w:trHeight w:val="380"/>
        </w:trPr>
        <w:tc>
          <w:tcPr>
            <w:tcW w:w="4111" w:type="dxa"/>
            <w:tcBorders>
              <w:bottom w:val="single" w:sz="4" w:space="0" w:color="auto"/>
            </w:tcBorders>
            <w:vAlign w:val="center"/>
          </w:tcPr>
          <w:p w14:paraId="0E469173" w14:textId="77777777" w:rsidR="00CF07BB" w:rsidRPr="006879D3" w:rsidRDefault="00CF07BB" w:rsidP="0027095D">
            <w:pPr>
              <w:keepNext/>
              <w:keepLines/>
              <w:spacing w:before="40" w:after="40"/>
              <w:ind w:left="318" w:hanging="318"/>
              <w:jc w:val="left"/>
              <w:rPr>
                <w:sz w:val="18"/>
                <w:szCs w:val="18"/>
              </w:rPr>
            </w:pPr>
            <w:r w:rsidRPr="006879D3">
              <w:rPr>
                <w:sz w:val="18"/>
                <w:szCs w:val="18"/>
              </w:rPr>
              <w:tab/>
            </w:r>
            <w:r w:rsidR="00A45467" w:rsidRPr="006879D3">
              <w:rPr>
                <w:sz w:val="18"/>
                <w:szCs w:val="18"/>
              </w:rPr>
              <w:t>Higher apprenticeships</w:t>
            </w:r>
          </w:p>
        </w:tc>
        <w:tc>
          <w:tcPr>
            <w:tcW w:w="4820" w:type="dxa"/>
            <w:tcBorders>
              <w:top w:val="single" w:sz="4" w:space="0" w:color="auto"/>
              <w:bottom w:val="single" w:sz="4" w:space="0" w:color="auto"/>
            </w:tcBorders>
          </w:tcPr>
          <w:p w14:paraId="444691B0" w14:textId="3164B0D1" w:rsidR="00CF07BB" w:rsidRPr="00A91AB9" w:rsidRDefault="00BB2013" w:rsidP="007227AB">
            <w:pPr>
              <w:keepNext/>
              <w:keepLines/>
              <w:spacing w:before="40" w:after="40"/>
              <w:jc w:val="right"/>
              <w:rPr>
                <w:sz w:val="18"/>
                <w:szCs w:val="18"/>
              </w:rPr>
            </w:pPr>
            <w:r>
              <w:rPr>
                <w:sz w:val="18"/>
                <w:szCs w:val="18"/>
              </w:rPr>
              <w:t xml:space="preserve">  </w:t>
            </w:r>
            <w:r w:rsidR="00606717">
              <w:rPr>
                <w:sz w:val="18"/>
                <w:szCs w:val="18"/>
              </w:rPr>
              <w:t>73</w:t>
            </w:r>
            <w:r w:rsidR="00A74F0F">
              <w:rPr>
                <w:sz w:val="18"/>
                <w:szCs w:val="18"/>
              </w:rPr>
              <w:t>8</w:t>
            </w:r>
          </w:p>
        </w:tc>
      </w:tr>
    </w:tbl>
    <w:p w14:paraId="2F57E654" w14:textId="77777777" w:rsidR="00090B53" w:rsidRDefault="00090B53" w:rsidP="005C1DB5">
      <w:pPr>
        <w:pStyle w:val="ScheduleNumberedPara"/>
        <w:numPr>
          <w:ilvl w:val="2"/>
          <w:numId w:val="7"/>
        </w:numPr>
        <w:tabs>
          <w:tab w:val="clear" w:pos="1593"/>
          <w:tab w:val="num" w:pos="1134"/>
          <w:tab w:val="num" w:pos="2268"/>
        </w:tabs>
        <w:spacing w:before="240"/>
        <w:ind w:left="1134" w:hanging="567"/>
        <w:jc w:val="left"/>
      </w:pPr>
      <w:r>
        <w:t>The scope of South Australia’s agreed targets for additional commencements</w:t>
      </w:r>
      <w:r w:rsidR="00704B75">
        <w:t>,</w:t>
      </w:r>
      <w:r>
        <w:t xml:space="preserve"> are defined in Attachment A and</w:t>
      </w:r>
      <w:r w:rsidR="007A5FAA">
        <w:t>,</w:t>
      </w:r>
      <w:r>
        <w:t xml:space="preserve"> </w:t>
      </w:r>
      <w:r w:rsidR="000F6EC4">
        <w:t>i</w:t>
      </w:r>
      <w:r w:rsidR="007A5FAA">
        <w:t>f required,</w:t>
      </w:r>
      <w:r w:rsidR="000F6EC4">
        <w:t xml:space="preserve"> </w:t>
      </w:r>
      <w:r w:rsidR="002C232B">
        <w:t xml:space="preserve">subject </w:t>
      </w:r>
      <w:r>
        <w:t>to annual review with the Commonwealth to redefine the scope of the agreed targets.</w:t>
      </w:r>
    </w:p>
    <w:p w14:paraId="5A2BE447" w14:textId="77777777" w:rsidR="00A45467" w:rsidRDefault="00A45467" w:rsidP="005C1DB5">
      <w:pPr>
        <w:pStyle w:val="ScheduleNumberedPara"/>
        <w:numPr>
          <w:ilvl w:val="2"/>
          <w:numId w:val="7"/>
        </w:numPr>
        <w:tabs>
          <w:tab w:val="clear" w:pos="1593"/>
          <w:tab w:val="num" w:pos="1134"/>
          <w:tab w:val="num" w:pos="2268"/>
        </w:tabs>
        <w:spacing w:before="240"/>
        <w:ind w:left="1134" w:hanging="567"/>
        <w:jc w:val="left"/>
      </w:pPr>
      <w:r w:rsidRPr="006879D3">
        <w:t xml:space="preserve">The number of </w:t>
      </w:r>
      <w:r w:rsidR="00090B53">
        <w:t xml:space="preserve">additional </w:t>
      </w:r>
      <w:r w:rsidR="00B84959" w:rsidRPr="006879D3">
        <w:t xml:space="preserve">commencements for </w:t>
      </w:r>
      <w:r w:rsidRPr="006879D3">
        <w:t xml:space="preserve">training with similar characteristics </w:t>
      </w:r>
      <w:r w:rsidR="00090B53">
        <w:t xml:space="preserve">(like activity) </w:t>
      </w:r>
      <w:r w:rsidRPr="006879D3">
        <w:t>to an apprenticeship or traineeship that contribute</w:t>
      </w:r>
      <w:r w:rsidR="00B84959" w:rsidRPr="006879D3">
        <w:t>s</w:t>
      </w:r>
      <w:r w:rsidRPr="006879D3">
        <w:t xml:space="preserve"> to </w:t>
      </w:r>
      <w:r w:rsidR="007A5FAA">
        <w:t xml:space="preserve">the </w:t>
      </w:r>
      <w:r w:rsidRPr="006879D3">
        <w:t xml:space="preserve">achievement of the </w:t>
      </w:r>
      <w:r w:rsidR="00485123">
        <w:t xml:space="preserve">total performance benchmark </w:t>
      </w:r>
      <w:r w:rsidR="007A5FAA">
        <w:t>is</w:t>
      </w:r>
      <w:r w:rsidRPr="006879D3">
        <w:t xml:space="preserve"> capped </w:t>
      </w:r>
      <w:r w:rsidR="007E5906">
        <w:t>as outlined in Attachment A</w:t>
      </w:r>
      <w:r w:rsidRPr="006879D3">
        <w:t xml:space="preserve">.  </w:t>
      </w:r>
    </w:p>
    <w:p w14:paraId="60E167BC" w14:textId="77777777" w:rsidR="00577605" w:rsidRPr="006879D3" w:rsidRDefault="00042B78" w:rsidP="003A5BC6">
      <w:pPr>
        <w:pStyle w:val="Heading1"/>
        <w:spacing w:before="240"/>
      </w:pPr>
      <w:r w:rsidRPr="006879D3">
        <w:t>Part 3</w:t>
      </w:r>
      <w:r w:rsidR="00577605" w:rsidRPr="006879D3">
        <w:t xml:space="preserve"> – Project</w:t>
      </w:r>
      <w:r w:rsidR="00314742" w:rsidRPr="006879D3">
        <w:t>s</w:t>
      </w:r>
    </w:p>
    <w:p w14:paraId="42557F5F" w14:textId="77777777" w:rsidR="00577605" w:rsidRPr="006879D3" w:rsidRDefault="00577605" w:rsidP="005C1DB5">
      <w:pPr>
        <w:pStyle w:val="ScheduleNumberedPara"/>
        <w:numPr>
          <w:ilvl w:val="1"/>
          <w:numId w:val="1"/>
        </w:numPr>
        <w:tabs>
          <w:tab w:val="num" w:pos="2268"/>
        </w:tabs>
        <w:jc w:val="left"/>
      </w:pPr>
      <w:bookmarkStart w:id="3" w:name="PART_4:_PROJECT_MILESTONES,_REPORTING_AN"/>
      <w:bookmarkEnd w:id="3"/>
      <w:r w:rsidRPr="006879D3">
        <w:t xml:space="preserve">The following project will be delivered by </w:t>
      </w:r>
      <w:r w:rsidR="000556E8" w:rsidRPr="006879D3">
        <w:t>South Australia</w:t>
      </w:r>
      <w:r w:rsidR="007A5FAA">
        <w:t xml:space="preserve"> from</w:t>
      </w:r>
      <w:r w:rsidRPr="006879D3">
        <w:t xml:space="preserve"> </w:t>
      </w:r>
      <w:r w:rsidR="000556E8" w:rsidRPr="006879D3">
        <w:t>2018</w:t>
      </w:r>
      <w:r w:rsidR="007A5FAA">
        <w:t>-19</w:t>
      </w:r>
      <w:r w:rsidR="000556E8" w:rsidRPr="006879D3">
        <w:t xml:space="preserve"> </w:t>
      </w:r>
      <w:r w:rsidR="00D9250A">
        <w:t>through to</w:t>
      </w:r>
      <w:r w:rsidR="00D7127F">
        <w:t xml:space="preserve"> </w:t>
      </w:r>
      <w:r w:rsidR="000556E8" w:rsidRPr="006879D3">
        <w:t>20</w:t>
      </w:r>
      <w:r w:rsidR="007A5FAA">
        <w:t>21-</w:t>
      </w:r>
      <w:r w:rsidR="000556E8" w:rsidRPr="006879D3">
        <w:t>22</w:t>
      </w:r>
      <w:r w:rsidR="003C5297" w:rsidRPr="006879D3">
        <w:t>, in accordance with clause 11 of the Agreement</w:t>
      </w:r>
      <w:r w:rsidRPr="006879D3">
        <w:t>.</w:t>
      </w:r>
      <w:r w:rsidR="00C2688A" w:rsidRPr="00C2688A">
        <w:t xml:space="preserve"> </w:t>
      </w:r>
    </w:p>
    <w:p w14:paraId="650444D0" w14:textId="77777777" w:rsidR="000A623A" w:rsidRPr="00947BC4" w:rsidRDefault="000556E8" w:rsidP="005C1DB5">
      <w:pPr>
        <w:pStyle w:val="ScheduleNumberedPara"/>
        <w:numPr>
          <w:ilvl w:val="2"/>
          <w:numId w:val="39"/>
        </w:numPr>
        <w:tabs>
          <w:tab w:val="clear" w:pos="1593"/>
          <w:tab w:val="num" w:pos="1134"/>
        </w:tabs>
        <w:spacing w:before="240"/>
        <w:ind w:left="1134" w:hanging="605"/>
        <w:jc w:val="left"/>
      </w:pPr>
      <w:r w:rsidRPr="00D7127F">
        <w:t>Project 1: Skilling South Australia Initiative</w:t>
      </w:r>
      <w:r w:rsidR="00A70C66" w:rsidRPr="00D7127F">
        <w:t xml:space="preserve"> (1 July 2018 to 30 June </w:t>
      </w:r>
      <w:r w:rsidR="007B4BBF" w:rsidRPr="00D7127F">
        <w:t>2022</w:t>
      </w:r>
      <w:r w:rsidR="00A70C66" w:rsidRPr="00D7127F">
        <w:t>)</w:t>
      </w:r>
    </w:p>
    <w:p w14:paraId="6FD0CF94" w14:textId="77777777" w:rsidR="00D7127F" w:rsidRDefault="00D7127F" w:rsidP="005C1DB5">
      <w:pPr>
        <w:pStyle w:val="ScheduleNumberedPara"/>
        <w:spacing w:before="240"/>
        <w:ind w:left="529"/>
        <w:jc w:val="left"/>
      </w:pPr>
      <w:r w:rsidRPr="00526ABF">
        <w:t xml:space="preserve">South Australia </w:t>
      </w:r>
      <w:r>
        <w:t xml:space="preserve">will </w:t>
      </w:r>
      <w:r w:rsidR="00A509A5">
        <w:t>address</w:t>
      </w:r>
      <w:r>
        <w:t xml:space="preserve"> demand for apprenticeships and traineeships and increase the supply of training in priority areas with the Skilling South Australia Initiative - a four year project</w:t>
      </w:r>
      <w:r w:rsidRPr="00526ABF">
        <w:t xml:space="preserve"> to reform the vocational education and training (VET) market to meet future demands, shift perceptions of VET</w:t>
      </w:r>
      <w:r>
        <w:t xml:space="preserve">, </w:t>
      </w:r>
      <w:r w:rsidR="00693F04">
        <w:t xml:space="preserve">and </w:t>
      </w:r>
      <w:r w:rsidRPr="00526ABF">
        <w:t xml:space="preserve">pilot </w:t>
      </w:r>
      <w:r>
        <w:t xml:space="preserve">and embed </w:t>
      </w:r>
      <w:r w:rsidRPr="00526ABF">
        <w:t xml:space="preserve">new models of training delivery that lead to sustainable </w:t>
      </w:r>
      <w:r w:rsidR="00A509A5">
        <w:t xml:space="preserve">skilled </w:t>
      </w:r>
      <w:r w:rsidRPr="00526ABF">
        <w:t>careers</w:t>
      </w:r>
      <w:r w:rsidR="00FD0DE1">
        <w:t>,</w:t>
      </w:r>
      <w:r w:rsidR="00693F04">
        <w:t xml:space="preserve"> meet industry need</w:t>
      </w:r>
      <w:r w:rsidR="00483258">
        <w:t xml:space="preserve"> </w:t>
      </w:r>
      <w:r w:rsidR="00FD0DE1">
        <w:t xml:space="preserve">and </w:t>
      </w:r>
      <w:r w:rsidR="00483258">
        <w:t xml:space="preserve">support the </w:t>
      </w:r>
      <w:r w:rsidR="00331D17">
        <w:t>S</w:t>
      </w:r>
      <w:r w:rsidR="00483258">
        <w:t>tate’s economy</w:t>
      </w:r>
      <w:r w:rsidR="00693F04">
        <w:t>.</w:t>
      </w:r>
    </w:p>
    <w:p w14:paraId="38B84FCF" w14:textId="24B943B1" w:rsidR="00522589" w:rsidRPr="006879D3" w:rsidRDefault="00522589" w:rsidP="005C1DB5">
      <w:pPr>
        <w:pStyle w:val="ScheduleNumberedPara"/>
        <w:spacing w:after="120"/>
        <w:ind w:left="529"/>
        <w:jc w:val="left"/>
      </w:pPr>
      <w:r w:rsidRPr="006879D3">
        <w:t>Skilling South Australia</w:t>
      </w:r>
      <w:r w:rsidR="00B97080">
        <w:t>’s range of</w:t>
      </w:r>
      <w:r w:rsidRPr="006879D3">
        <w:t xml:space="preserve"> </w:t>
      </w:r>
      <w:r w:rsidR="00FA2941">
        <w:t>measures</w:t>
      </w:r>
      <w:r w:rsidR="00770555">
        <w:t xml:space="preserve">, as set out in the </w:t>
      </w:r>
      <w:r w:rsidR="00F8379B">
        <w:t>milestones</w:t>
      </w:r>
      <w:r w:rsidR="00770555">
        <w:t>,</w:t>
      </w:r>
      <w:r w:rsidR="00FA2941">
        <w:t xml:space="preserve"> are</w:t>
      </w:r>
      <w:r w:rsidR="00A109C8">
        <w:t xml:space="preserve"> designed to</w:t>
      </w:r>
      <w:r w:rsidR="00124B8D">
        <w:t xml:space="preserve"> support </w:t>
      </w:r>
      <w:r w:rsidR="00B42EB3">
        <w:t xml:space="preserve">employer, industry and </w:t>
      </w:r>
      <w:r w:rsidR="002E3124">
        <w:t>VET sector</w:t>
      </w:r>
      <w:r w:rsidR="000A2A81">
        <w:t xml:space="preserve"> </w:t>
      </w:r>
      <w:r w:rsidR="00124B8D">
        <w:t>recovery</w:t>
      </w:r>
      <w:r w:rsidR="009B7328">
        <w:t xml:space="preserve"> </w:t>
      </w:r>
      <w:r w:rsidR="00124B8D">
        <w:t>and</w:t>
      </w:r>
      <w:r w:rsidRPr="006879D3">
        <w:t xml:space="preserve"> </w:t>
      </w:r>
      <w:r w:rsidR="00FB5EFD">
        <w:t xml:space="preserve">further build and improve the </w:t>
      </w:r>
      <w:r w:rsidR="00844AFC">
        <w:t>S</w:t>
      </w:r>
      <w:r w:rsidR="00FB5EFD">
        <w:t>tate’s training system</w:t>
      </w:r>
      <w:r w:rsidR="001055D4">
        <w:t xml:space="preserve">, </w:t>
      </w:r>
      <w:r w:rsidRPr="006879D3">
        <w:t>deliver</w:t>
      </w:r>
      <w:r w:rsidR="00DE6D11">
        <w:t>ing</w:t>
      </w:r>
      <w:r w:rsidRPr="006879D3">
        <w:t xml:space="preserve"> more training in priority areas; </w:t>
      </w:r>
      <w:r w:rsidR="00735529">
        <w:t>provid</w:t>
      </w:r>
      <w:r w:rsidR="00F8379B">
        <w:t>ing</w:t>
      </w:r>
      <w:r w:rsidR="00735529">
        <w:t xml:space="preserve"> </w:t>
      </w:r>
      <w:r w:rsidRPr="006879D3">
        <w:t>targeted, customised supports and incentives for prospective apprentices, trainee</w:t>
      </w:r>
      <w:r w:rsidR="00A509A5">
        <w:t xml:space="preserve">s, </w:t>
      </w:r>
      <w:r w:rsidRPr="006879D3">
        <w:t>employers</w:t>
      </w:r>
      <w:r w:rsidR="00A509A5">
        <w:t xml:space="preserve"> and providers</w:t>
      </w:r>
      <w:r w:rsidRPr="006879D3">
        <w:t>; and</w:t>
      </w:r>
      <w:r w:rsidR="00F8379B">
        <w:t xml:space="preserve"> </w:t>
      </w:r>
      <w:r w:rsidR="00E2098B">
        <w:t>build</w:t>
      </w:r>
      <w:r w:rsidR="00F8379B">
        <w:t>ing</w:t>
      </w:r>
      <w:r w:rsidR="00E2098B">
        <w:t xml:space="preserve"> capacity</w:t>
      </w:r>
      <w:r w:rsidR="00A509A5">
        <w:t xml:space="preserve">, </w:t>
      </w:r>
      <w:r w:rsidR="00397F30">
        <w:lastRenderedPageBreak/>
        <w:t>partnering with stakeholders</w:t>
      </w:r>
      <w:r w:rsidRPr="006879D3">
        <w:t xml:space="preserve"> to co-design and build tailored </w:t>
      </w:r>
      <w:r w:rsidR="00A509A5">
        <w:t xml:space="preserve">approaches </w:t>
      </w:r>
      <w:r w:rsidRPr="006879D3">
        <w:t>to meet specific workforce needs</w:t>
      </w:r>
      <w:r w:rsidR="00F0703B">
        <w:t xml:space="preserve"> </w:t>
      </w:r>
      <w:r w:rsidRPr="006879D3">
        <w:t xml:space="preserve">at business or industry sector level. </w:t>
      </w:r>
    </w:p>
    <w:p w14:paraId="11DA9989" w14:textId="77777777" w:rsidR="00522589" w:rsidRDefault="00522589" w:rsidP="005C1DB5">
      <w:pPr>
        <w:pStyle w:val="ScheduleNumberedPara"/>
        <w:spacing w:after="120"/>
        <w:ind w:firstLine="529"/>
        <w:jc w:val="left"/>
      </w:pPr>
    </w:p>
    <w:p w14:paraId="0A40CE60" w14:textId="77777777" w:rsidR="00372848" w:rsidRPr="006879D3" w:rsidRDefault="00372848" w:rsidP="005C1DB5">
      <w:pPr>
        <w:pStyle w:val="ScheduleNumberedPara"/>
        <w:spacing w:after="120"/>
        <w:ind w:firstLine="529"/>
        <w:jc w:val="left"/>
      </w:pPr>
      <w:r w:rsidRPr="006879D3">
        <w:t>These measures focus on</w:t>
      </w:r>
      <w:r w:rsidR="00012D7D" w:rsidRPr="006879D3">
        <w:t>:</w:t>
      </w:r>
    </w:p>
    <w:p w14:paraId="7339F5CA" w14:textId="7266A48E" w:rsidR="005324EB" w:rsidRPr="00D9250A" w:rsidRDefault="00070886" w:rsidP="005C1DB5">
      <w:pPr>
        <w:pStyle w:val="ScheduleNumberedPara"/>
        <w:numPr>
          <w:ilvl w:val="0"/>
          <w:numId w:val="42"/>
        </w:numPr>
        <w:ind w:left="1418" w:hanging="284"/>
        <w:jc w:val="left"/>
      </w:pPr>
      <w:r>
        <w:t xml:space="preserve">Industry and employer support: </w:t>
      </w:r>
      <w:r w:rsidR="00E113B1">
        <w:t xml:space="preserve">industry sector </w:t>
      </w:r>
      <w:r w:rsidR="009F4D82">
        <w:t>plans</w:t>
      </w:r>
      <w:r w:rsidR="008E70C8">
        <w:t>,</w:t>
      </w:r>
      <w:r w:rsidR="00E113B1">
        <w:t xml:space="preserve"> </w:t>
      </w:r>
      <w:r w:rsidR="00372848" w:rsidRPr="00D9250A">
        <w:t>a</w:t>
      </w:r>
      <w:r w:rsidR="002661EA">
        <w:t xml:space="preserve">n </w:t>
      </w:r>
      <w:r w:rsidR="00372848" w:rsidRPr="00D9250A">
        <w:t xml:space="preserve">advisory service for employers and students, additional support </w:t>
      </w:r>
      <w:r w:rsidR="00B30751" w:rsidRPr="00D9250A">
        <w:t>for first time employers</w:t>
      </w:r>
      <w:r w:rsidR="005F4573">
        <w:t xml:space="preserve"> and small business</w:t>
      </w:r>
      <w:r w:rsidR="00B30751" w:rsidRPr="00D9250A">
        <w:t xml:space="preserve">, targeted </w:t>
      </w:r>
      <w:r w:rsidR="00372848" w:rsidRPr="00D9250A">
        <w:t xml:space="preserve">incentives </w:t>
      </w:r>
      <w:r w:rsidR="00A57C9C">
        <w:t xml:space="preserve">and customised support </w:t>
      </w:r>
      <w:r w:rsidR="00372848" w:rsidRPr="00D9250A">
        <w:t>for employers</w:t>
      </w:r>
      <w:r w:rsidR="00192A52">
        <w:t>,</w:t>
      </w:r>
      <w:r w:rsidR="00372848" w:rsidRPr="00D9250A">
        <w:t xml:space="preserve"> industries</w:t>
      </w:r>
      <w:r w:rsidR="00192A52">
        <w:t xml:space="preserve"> and regions</w:t>
      </w:r>
      <w:r w:rsidR="00372848" w:rsidRPr="00D9250A">
        <w:t xml:space="preserve">, and additional funding </w:t>
      </w:r>
      <w:r w:rsidR="00D9316D">
        <w:t>to support</w:t>
      </w:r>
      <w:r w:rsidR="00372848" w:rsidRPr="00D9250A">
        <w:t xml:space="preserve"> Group Training Organisations</w:t>
      </w:r>
      <w:r w:rsidR="00D9316D">
        <w:t xml:space="preserve"> </w:t>
      </w:r>
      <w:r w:rsidR="00A57C9C">
        <w:t xml:space="preserve">to </w:t>
      </w:r>
      <w:r w:rsidR="00D9316D">
        <w:t>grow</w:t>
      </w:r>
      <w:r w:rsidR="00372848" w:rsidRPr="00D9250A">
        <w:t>.</w:t>
      </w:r>
    </w:p>
    <w:p w14:paraId="11973A13" w14:textId="541E7048" w:rsidR="000177FC" w:rsidRPr="00D9250A" w:rsidRDefault="00070886" w:rsidP="005C1DB5">
      <w:pPr>
        <w:pStyle w:val="ScheduleNumberedPara"/>
        <w:numPr>
          <w:ilvl w:val="0"/>
          <w:numId w:val="42"/>
        </w:numPr>
        <w:ind w:left="1418" w:hanging="284"/>
        <w:jc w:val="left"/>
      </w:pPr>
      <w:r>
        <w:t xml:space="preserve">Student support: </w:t>
      </w:r>
      <w:r w:rsidR="000177FC" w:rsidRPr="00D9250A">
        <w:t xml:space="preserve">Increased student support through improved career </w:t>
      </w:r>
      <w:r w:rsidR="00033460">
        <w:t>information</w:t>
      </w:r>
      <w:r w:rsidR="00B30751" w:rsidRPr="00D9250A">
        <w:t>,</w:t>
      </w:r>
      <w:r w:rsidR="000177FC" w:rsidRPr="00D9250A">
        <w:t xml:space="preserve"> </w:t>
      </w:r>
      <w:r w:rsidR="00B30751" w:rsidRPr="00D9250A">
        <w:t xml:space="preserve">learner </w:t>
      </w:r>
      <w:r w:rsidR="000177FC" w:rsidRPr="00D9250A">
        <w:t>support services</w:t>
      </w:r>
      <w:r w:rsidR="00B30751" w:rsidRPr="00D9250A">
        <w:t xml:space="preserve">, </w:t>
      </w:r>
      <w:r w:rsidR="00222485">
        <w:t>targeted incentives and customised support</w:t>
      </w:r>
      <w:r w:rsidR="00B30751" w:rsidRPr="00D9250A">
        <w:t xml:space="preserve"> </w:t>
      </w:r>
      <w:r w:rsidR="007164B9">
        <w:t>including region and cohort specific initiatives,</w:t>
      </w:r>
      <w:r w:rsidR="00B30751" w:rsidRPr="00D9250A">
        <w:t xml:space="preserve"> </w:t>
      </w:r>
      <w:r w:rsidR="00945E4E">
        <w:t xml:space="preserve">tailored cross-industry </w:t>
      </w:r>
      <w:r w:rsidR="00FD3EC9">
        <w:t xml:space="preserve">mentoring </w:t>
      </w:r>
      <w:r w:rsidR="00B30751" w:rsidRPr="00D9250A">
        <w:t>and additional</w:t>
      </w:r>
      <w:r w:rsidR="000177FC" w:rsidRPr="00D9250A">
        <w:t xml:space="preserve"> financial support for accommodation, </w:t>
      </w:r>
      <w:proofErr w:type="gramStart"/>
      <w:r w:rsidR="000177FC" w:rsidRPr="00D9250A">
        <w:t>travel</w:t>
      </w:r>
      <w:proofErr w:type="gramEnd"/>
      <w:r w:rsidR="000177FC" w:rsidRPr="00D9250A">
        <w:t xml:space="preserve"> and </w:t>
      </w:r>
      <w:r w:rsidR="00B30751" w:rsidRPr="00D9250A">
        <w:t>equipment</w:t>
      </w:r>
      <w:r w:rsidR="000177FC" w:rsidRPr="00D9250A">
        <w:t>.</w:t>
      </w:r>
    </w:p>
    <w:p w14:paraId="719BAFC2" w14:textId="77777777" w:rsidR="00FB5633" w:rsidRDefault="00070886" w:rsidP="005C1DB5">
      <w:pPr>
        <w:pStyle w:val="ScheduleNumberedPara"/>
        <w:numPr>
          <w:ilvl w:val="0"/>
          <w:numId w:val="42"/>
        </w:numPr>
        <w:ind w:left="1418" w:hanging="284"/>
        <w:jc w:val="left"/>
      </w:pPr>
      <w:r>
        <w:t xml:space="preserve">Training support: </w:t>
      </w:r>
      <w:r w:rsidR="00B30751" w:rsidRPr="00D9250A">
        <w:t>More subsidised courses, greater access for non-Government training providers, tailored project funding</w:t>
      </w:r>
      <w:r w:rsidR="00131509">
        <w:t xml:space="preserve"> and </w:t>
      </w:r>
      <w:r w:rsidR="00045203">
        <w:t>VET provider and market development activ</w:t>
      </w:r>
      <w:r w:rsidR="004D5411">
        <w:t>ities.</w:t>
      </w:r>
    </w:p>
    <w:p w14:paraId="7CB2A2E7" w14:textId="19DB68F9" w:rsidR="00FB5633" w:rsidRDefault="00070886" w:rsidP="005C1DB5">
      <w:pPr>
        <w:pStyle w:val="ScheduleNumberedPara"/>
        <w:numPr>
          <w:ilvl w:val="0"/>
          <w:numId w:val="42"/>
        </w:numPr>
        <w:ind w:left="1418" w:hanging="284"/>
        <w:jc w:val="left"/>
      </w:pPr>
      <w:r>
        <w:t xml:space="preserve">System development: </w:t>
      </w:r>
      <w:r w:rsidR="000177FC" w:rsidRPr="00D9250A">
        <w:t>System</w:t>
      </w:r>
      <w:r w:rsidR="000177FC" w:rsidRPr="006879D3">
        <w:t xml:space="preserve"> development such as a </w:t>
      </w:r>
      <w:r w:rsidR="002661EA">
        <w:t xml:space="preserve">multifaceted </w:t>
      </w:r>
      <w:r w:rsidR="000177FC" w:rsidRPr="006879D3">
        <w:t xml:space="preserve">marketing campaign, reducing regulatory burden </w:t>
      </w:r>
      <w:r w:rsidR="004D5411">
        <w:t>for</w:t>
      </w:r>
      <w:r w:rsidR="000177FC" w:rsidRPr="006879D3">
        <w:t xml:space="preserve"> employers, </w:t>
      </w:r>
      <w:proofErr w:type="gramStart"/>
      <w:r w:rsidR="00B30751" w:rsidRPr="006879D3">
        <w:t>signature</w:t>
      </w:r>
      <w:proofErr w:type="gramEnd"/>
      <w:r w:rsidR="002661EA">
        <w:t xml:space="preserve"> and strategic</w:t>
      </w:r>
      <w:r w:rsidR="00B30751" w:rsidRPr="006879D3">
        <w:t xml:space="preserve"> projects, </w:t>
      </w:r>
      <w:r w:rsidR="002661EA" w:rsidRPr="00DD248C">
        <w:t>establishing and partnering</w:t>
      </w:r>
      <w:r w:rsidR="00B24535" w:rsidRPr="00DD248C">
        <w:t xml:space="preserve"> with </w:t>
      </w:r>
      <w:r w:rsidR="000177FC" w:rsidRPr="00DD248C">
        <w:t>Industry Skills Councils</w:t>
      </w:r>
      <w:r w:rsidR="000177FC" w:rsidRPr="006879D3">
        <w:t xml:space="preserve">, </w:t>
      </w:r>
      <w:r w:rsidR="00B30751" w:rsidRPr="006879D3">
        <w:t xml:space="preserve">and </w:t>
      </w:r>
      <w:r w:rsidR="000177FC" w:rsidRPr="006879D3">
        <w:t>strengthen</w:t>
      </w:r>
      <w:r w:rsidR="00B30751" w:rsidRPr="006879D3">
        <w:t>ing</w:t>
      </w:r>
      <w:r w:rsidR="000177FC" w:rsidRPr="006879D3">
        <w:t xml:space="preserve"> policy to support</w:t>
      </w:r>
      <w:r w:rsidR="002661EA">
        <w:t xml:space="preserve"> businesses</w:t>
      </w:r>
      <w:r w:rsidR="000177FC" w:rsidRPr="006879D3">
        <w:t xml:space="preserve"> employing apprentices and trainees.</w:t>
      </w:r>
    </w:p>
    <w:p w14:paraId="6C207AD1" w14:textId="77777777" w:rsidR="007C690A" w:rsidRPr="007C690A" w:rsidRDefault="007C690A" w:rsidP="005C1DB5">
      <w:pPr>
        <w:pStyle w:val="ScheduleNumberedPara"/>
        <w:spacing w:before="240"/>
        <w:jc w:val="left"/>
        <w:rPr>
          <w:b/>
        </w:rPr>
      </w:pPr>
      <w:r w:rsidRPr="007C690A">
        <w:rPr>
          <w:b/>
        </w:rPr>
        <w:t>Financial contributions</w:t>
      </w:r>
    </w:p>
    <w:p w14:paraId="35148A5B" w14:textId="77777777" w:rsidR="00577605" w:rsidRDefault="00577605" w:rsidP="005C1DB5">
      <w:pPr>
        <w:pStyle w:val="ScheduleNumberedPara"/>
        <w:numPr>
          <w:ilvl w:val="2"/>
          <w:numId w:val="39"/>
        </w:numPr>
        <w:tabs>
          <w:tab w:val="num" w:pos="1134"/>
        </w:tabs>
        <w:spacing w:before="240"/>
        <w:ind w:left="1134" w:hanging="605"/>
        <w:jc w:val="left"/>
      </w:pPr>
      <w:r w:rsidRPr="006879D3">
        <w:t>Estimated financial contributions to Project 1</w:t>
      </w:r>
      <w:r w:rsidR="00D653DE">
        <w:t xml:space="preserve"> over the </w:t>
      </w:r>
      <w:r w:rsidR="00AC7422">
        <w:t>term</w:t>
      </w:r>
      <w:r w:rsidR="00D653DE">
        <w:t xml:space="preserve"> of the Agreement (2018-19 to 2021-22)</w:t>
      </w:r>
      <w:r w:rsidR="00D9250A">
        <w:t xml:space="preserve"> are in</w:t>
      </w:r>
      <w:r w:rsidR="00AC7422">
        <w:t xml:space="preserve"> Table 3.</w:t>
      </w:r>
    </w:p>
    <w:p w14:paraId="700C8438" w14:textId="77777777" w:rsidR="00093402" w:rsidRPr="00070886" w:rsidRDefault="00093402" w:rsidP="00F8379B">
      <w:pPr>
        <w:pStyle w:val="ScheduleNumberedPara"/>
      </w:pPr>
      <w:r w:rsidRPr="00070886">
        <w:t>Table 3: Estimated financial contributions</w:t>
      </w:r>
      <w:r w:rsidR="00AC7422" w:rsidRPr="00070886">
        <w:t xml:space="preserve"> </w:t>
      </w:r>
    </w:p>
    <w:tbl>
      <w:tblPr>
        <w:tblW w:w="9531" w:type="dxa"/>
        <w:tblLayout w:type="fixed"/>
        <w:tblLook w:val="01E0" w:firstRow="1" w:lastRow="1" w:firstColumn="1" w:lastColumn="1" w:noHBand="0" w:noVBand="0"/>
      </w:tblPr>
      <w:tblGrid>
        <w:gridCol w:w="3544"/>
        <w:gridCol w:w="1311"/>
        <w:gridCol w:w="1169"/>
        <w:gridCol w:w="1169"/>
        <w:gridCol w:w="1169"/>
        <w:gridCol w:w="1169"/>
      </w:tblGrid>
      <w:tr w:rsidR="00AF60B9" w:rsidRPr="00AC7422" w14:paraId="68023D76" w14:textId="0BC11F84" w:rsidTr="005C1DB5">
        <w:trPr>
          <w:cantSplit/>
          <w:trHeight w:val="380"/>
        </w:trPr>
        <w:tc>
          <w:tcPr>
            <w:tcW w:w="3544" w:type="dxa"/>
            <w:tcBorders>
              <w:top w:val="single" w:sz="4" w:space="0" w:color="000080"/>
            </w:tcBorders>
          </w:tcPr>
          <w:p w14:paraId="2B395D45" w14:textId="77777777" w:rsidR="00AF60B9" w:rsidRPr="006879D3" w:rsidRDefault="00AF60B9" w:rsidP="00FB5887">
            <w:pPr>
              <w:keepNext/>
              <w:keepLines/>
              <w:spacing w:before="40" w:after="40"/>
              <w:jc w:val="left"/>
              <w:rPr>
                <w:b/>
                <w:sz w:val="18"/>
                <w:szCs w:val="18"/>
              </w:rPr>
            </w:pPr>
            <w:r>
              <w:rPr>
                <w:b/>
                <w:sz w:val="18"/>
                <w:szCs w:val="18"/>
              </w:rPr>
              <w:t>($ million)</w:t>
            </w:r>
          </w:p>
        </w:tc>
        <w:tc>
          <w:tcPr>
            <w:tcW w:w="1311" w:type="dxa"/>
            <w:tcBorders>
              <w:top w:val="single" w:sz="4" w:space="0" w:color="000080"/>
              <w:bottom w:val="single" w:sz="4" w:space="0" w:color="000080"/>
            </w:tcBorders>
          </w:tcPr>
          <w:p w14:paraId="52BBDC88" w14:textId="77777777" w:rsidR="00AF60B9" w:rsidRPr="00AC7422" w:rsidRDefault="00AF60B9" w:rsidP="00B04F09">
            <w:pPr>
              <w:keepNext/>
              <w:keepLines/>
              <w:spacing w:before="40" w:after="40"/>
              <w:jc w:val="right"/>
              <w:rPr>
                <w:b/>
                <w:sz w:val="18"/>
                <w:szCs w:val="18"/>
              </w:rPr>
            </w:pPr>
            <w:r w:rsidRPr="00AC7422">
              <w:rPr>
                <w:b/>
                <w:sz w:val="18"/>
                <w:szCs w:val="18"/>
              </w:rPr>
              <w:t>2018-19</w:t>
            </w:r>
          </w:p>
        </w:tc>
        <w:tc>
          <w:tcPr>
            <w:tcW w:w="1169" w:type="dxa"/>
            <w:tcBorders>
              <w:top w:val="single" w:sz="4" w:space="0" w:color="000080"/>
              <w:bottom w:val="single" w:sz="4" w:space="0" w:color="000080"/>
            </w:tcBorders>
          </w:tcPr>
          <w:p w14:paraId="0C083DA7" w14:textId="77777777" w:rsidR="00AF60B9" w:rsidRPr="00AC7422" w:rsidRDefault="00AF60B9" w:rsidP="00B04F09">
            <w:pPr>
              <w:keepNext/>
              <w:keepLines/>
              <w:spacing w:before="40" w:after="40"/>
              <w:jc w:val="right"/>
              <w:rPr>
                <w:b/>
                <w:sz w:val="18"/>
                <w:szCs w:val="18"/>
              </w:rPr>
            </w:pPr>
            <w:r w:rsidRPr="00AC7422">
              <w:rPr>
                <w:b/>
                <w:sz w:val="18"/>
                <w:szCs w:val="18"/>
              </w:rPr>
              <w:t>2019-20</w:t>
            </w:r>
          </w:p>
        </w:tc>
        <w:tc>
          <w:tcPr>
            <w:tcW w:w="1169" w:type="dxa"/>
            <w:tcBorders>
              <w:top w:val="single" w:sz="4" w:space="0" w:color="000080"/>
              <w:bottom w:val="single" w:sz="4" w:space="0" w:color="000080"/>
            </w:tcBorders>
          </w:tcPr>
          <w:p w14:paraId="3331E6E4" w14:textId="77777777" w:rsidR="00AF60B9" w:rsidRPr="00550E7A" w:rsidRDefault="00AF60B9" w:rsidP="00B04F09">
            <w:pPr>
              <w:keepNext/>
              <w:keepLines/>
              <w:spacing w:before="40" w:after="40"/>
              <w:jc w:val="right"/>
              <w:rPr>
                <w:b/>
                <w:sz w:val="18"/>
                <w:szCs w:val="18"/>
              </w:rPr>
            </w:pPr>
            <w:r w:rsidRPr="00550E7A">
              <w:rPr>
                <w:b/>
                <w:sz w:val="18"/>
                <w:szCs w:val="18"/>
              </w:rPr>
              <w:t>2020-21</w:t>
            </w:r>
          </w:p>
        </w:tc>
        <w:tc>
          <w:tcPr>
            <w:tcW w:w="1169" w:type="dxa"/>
            <w:tcBorders>
              <w:top w:val="single" w:sz="4" w:space="0" w:color="000080"/>
              <w:bottom w:val="single" w:sz="4" w:space="0" w:color="000080"/>
            </w:tcBorders>
          </w:tcPr>
          <w:p w14:paraId="1C738DA6" w14:textId="77777777" w:rsidR="00AF60B9" w:rsidRPr="00550E7A" w:rsidRDefault="00AF60B9" w:rsidP="00B04F09">
            <w:pPr>
              <w:keepNext/>
              <w:keepLines/>
              <w:spacing w:before="40" w:after="40"/>
              <w:jc w:val="right"/>
              <w:rPr>
                <w:b/>
                <w:sz w:val="18"/>
                <w:szCs w:val="18"/>
              </w:rPr>
            </w:pPr>
            <w:r w:rsidRPr="00550E7A">
              <w:rPr>
                <w:b/>
                <w:sz w:val="18"/>
                <w:szCs w:val="18"/>
              </w:rPr>
              <w:t>2021-22</w:t>
            </w:r>
          </w:p>
        </w:tc>
        <w:tc>
          <w:tcPr>
            <w:tcW w:w="1169" w:type="dxa"/>
            <w:tcBorders>
              <w:top w:val="single" w:sz="4" w:space="0" w:color="000080"/>
              <w:bottom w:val="single" w:sz="4" w:space="0" w:color="000080"/>
            </w:tcBorders>
          </w:tcPr>
          <w:p w14:paraId="0AE2B18B" w14:textId="00BE17ED" w:rsidR="00AF60B9" w:rsidRPr="00550E7A" w:rsidRDefault="00AF60B9" w:rsidP="00B04F09">
            <w:pPr>
              <w:keepNext/>
              <w:keepLines/>
              <w:spacing w:before="40" w:after="40"/>
              <w:jc w:val="right"/>
              <w:rPr>
                <w:b/>
                <w:sz w:val="18"/>
                <w:szCs w:val="18"/>
              </w:rPr>
            </w:pPr>
            <w:r w:rsidRPr="00550E7A">
              <w:rPr>
                <w:b/>
                <w:sz w:val="18"/>
                <w:szCs w:val="18"/>
              </w:rPr>
              <w:t>Total</w:t>
            </w:r>
          </w:p>
        </w:tc>
      </w:tr>
      <w:tr w:rsidR="000D7393" w:rsidRPr="006879D3" w14:paraId="2FB4F652" w14:textId="35C1E9E1" w:rsidTr="005C1DB5">
        <w:trPr>
          <w:cantSplit/>
          <w:trHeight w:val="380"/>
        </w:trPr>
        <w:tc>
          <w:tcPr>
            <w:tcW w:w="3544" w:type="dxa"/>
          </w:tcPr>
          <w:p w14:paraId="38FCB35B" w14:textId="77777777" w:rsidR="000D7393" w:rsidRPr="006879D3" w:rsidRDefault="000D7393" w:rsidP="000D7393">
            <w:pPr>
              <w:keepNext/>
              <w:keepLines/>
              <w:spacing w:before="60" w:after="60"/>
              <w:jc w:val="left"/>
              <w:rPr>
                <w:b/>
                <w:sz w:val="18"/>
                <w:szCs w:val="18"/>
              </w:rPr>
            </w:pPr>
            <w:r w:rsidRPr="006879D3">
              <w:rPr>
                <w:b/>
                <w:sz w:val="18"/>
                <w:szCs w:val="18"/>
              </w:rPr>
              <w:t xml:space="preserve">Estimated total budget </w:t>
            </w:r>
          </w:p>
        </w:tc>
        <w:tc>
          <w:tcPr>
            <w:tcW w:w="1311" w:type="dxa"/>
            <w:tcBorders>
              <w:top w:val="single" w:sz="4" w:space="0" w:color="000080"/>
              <w:bottom w:val="single" w:sz="4" w:space="0" w:color="000080"/>
            </w:tcBorders>
          </w:tcPr>
          <w:p w14:paraId="51797B94" w14:textId="2D1138AA" w:rsidR="000D7393" w:rsidRPr="006879D3" w:rsidRDefault="000D7393" w:rsidP="000D7393">
            <w:pPr>
              <w:keepNext/>
              <w:keepLines/>
              <w:spacing w:before="40" w:after="40"/>
              <w:jc w:val="right"/>
              <w:rPr>
                <w:b/>
                <w:sz w:val="18"/>
                <w:szCs w:val="18"/>
              </w:rPr>
            </w:pPr>
            <w:r>
              <w:rPr>
                <w:b/>
                <w:bCs/>
                <w:sz w:val="18"/>
                <w:szCs w:val="18"/>
              </w:rPr>
              <w:t>69.5</w:t>
            </w:r>
          </w:p>
        </w:tc>
        <w:tc>
          <w:tcPr>
            <w:tcW w:w="1169" w:type="dxa"/>
            <w:tcBorders>
              <w:top w:val="single" w:sz="4" w:space="0" w:color="000080"/>
              <w:bottom w:val="single" w:sz="4" w:space="0" w:color="000080"/>
            </w:tcBorders>
          </w:tcPr>
          <w:p w14:paraId="3C86CE95" w14:textId="1C8843FA" w:rsidR="000D7393" w:rsidRPr="00B876C5" w:rsidRDefault="000D7393" w:rsidP="000D7393">
            <w:pPr>
              <w:keepNext/>
              <w:keepLines/>
              <w:spacing w:before="40" w:after="40"/>
              <w:jc w:val="right"/>
              <w:rPr>
                <w:b/>
                <w:sz w:val="18"/>
                <w:szCs w:val="18"/>
              </w:rPr>
            </w:pPr>
            <w:r>
              <w:rPr>
                <w:b/>
                <w:bCs/>
                <w:sz w:val="18"/>
                <w:szCs w:val="18"/>
              </w:rPr>
              <w:t>74.81</w:t>
            </w:r>
          </w:p>
        </w:tc>
        <w:tc>
          <w:tcPr>
            <w:tcW w:w="1169" w:type="dxa"/>
            <w:tcBorders>
              <w:top w:val="single" w:sz="4" w:space="0" w:color="000080"/>
              <w:bottom w:val="single" w:sz="4" w:space="0" w:color="000080"/>
            </w:tcBorders>
          </w:tcPr>
          <w:p w14:paraId="1AB00099" w14:textId="66C3D1D2" w:rsidR="000D7393" w:rsidRPr="00550E7A" w:rsidRDefault="000D7393" w:rsidP="000D7393">
            <w:pPr>
              <w:keepNext/>
              <w:keepLines/>
              <w:spacing w:before="40" w:after="40"/>
              <w:jc w:val="right"/>
              <w:rPr>
                <w:b/>
                <w:sz w:val="18"/>
                <w:szCs w:val="18"/>
              </w:rPr>
            </w:pPr>
            <w:r w:rsidRPr="00550E7A">
              <w:rPr>
                <w:b/>
                <w:bCs/>
                <w:sz w:val="18"/>
                <w:szCs w:val="18"/>
              </w:rPr>
              <w:t>87.87</w:t>
            </w:r>
          </w:p>
        </w:tc>
        <w:tc>
          <w:tcPr>
            <w:tcW w:w="1169" w:type="dxa"/>
            <w:tcBorders>
              <w:top w:val="single" w:sz="4" w:space="0" w:color="000080"/>
              <w:bottom w:val="single" w:sz="4" w:space="0" w:color="000080"/>
            </w:tcBorders>
          </w:tcPr>
          <w:p w14:paraId="6D13B895" w14:textId="56CA6B16" w:rsidR="000D7393" w:rsidRPr="00550E7A" w:rsidRDefault="000D7393" w:rsidP="000D7393">
            <w:pPr>
              <w:keepNext/>
              <w:keepLines/>
              <w:spacing w:before="40" w:after="40"/>
              <w:jc w:val="right"/>
              <w:rPr>
                <w:b/>
                <w:sz w:val="18"/>
                <w:szCs w:val="18"/>
              </w:rPr>
            </w:pPr>
            <w:r w:rsidRPr="00550E7A">
              <w:rPr>
                <w:b/>
                <w:bCs/>
                <w:sz w:val="18"/>
                <w:szCs w:val="18"/>
              </w:rPr>
              <w:t>77.64</w:t>
            </w:r>
          </w:p>
        </w:tc>
        <w:tc>
          <w:tcPr>
            <w:tcW w:w="1169" w:type="dxa"/>
            <w:tcBorders>
              <w:top w:val="single" w:sz="4" w:space="0" w:color="000080"/>
              <w:bottom w:val="single" w:sz="4" w:space="0" w:color="000080"/>
            </w:tcBorders>
          </w:tcPr>
          <w:p w14:paraId="6B36220B" w14:textId="01555769" w:rsidR="000D7393" w:rsidRPr="00550E7A" w:rsidRDefault="000D7393" w:rsidP="000D7393">
            <w:pPr>
              <w:keepNext/>
              <w:keepLines/>
              <w:spacing w:before="40" w:after="40"/>
              <w:jc w:val="right"/>
              <w:rPr>
                <w:b/>
                <w:bCs/>
                <w:sz w:val="18"/>
                <w:szCs w:val="18"/>
              </w:rPr>
            </w:pPr>
            <w:r w:rsidRPr="00550E7A">
              <w:rPr>
                <w:b/>
                <w:bCs/>
                <w:sz w:val="18"/>
                <w:szCs w:val="18"/>
              </w:rPr>
              <w:t>309.82</w:t>
            </w:r>
          </w:p>
        </w:tc>
      </w:tr>
      <w:tr w:rsidR="000D7393" w:rsidRPr="006879D3" w14:paraId="21D2AE48" w14:textId="16C500E0" w:rsidTr="005C1DB5">
        <w:trPr>
          <w:cantSplit/>
          <w:trHeight w:val="380"/>
        </w:trPr>
        <w:tc>
          <w:tcPr>
            <w:tcW w:w="3544" w:type="dxa"/>
          </w:tcPr>
          <w:p w14:paraId="4C5A7890" w14:textId="77777777" w:rsidR="000D7393" w:rsidRPr="006879D3" w:rsidRDefault="000D7393" w:rsidP="000D7393">
            <w:pPr>
              <w:keepNext/>
              <w:keepLines/>
              <w:spacing w:before="60" w:after="60"/>
              <w:jc w:val="left"/>
              <w:rPr>
                <w:sz w:val="18"/>
                <w:szCs w:val="18"/>
              </w:rPr>
            </w:pPr>
            <w:r w:rsidRPr="006879D3">
              <w:rPr>
                <w:sz w:val="18"/>
                <w:szCs w:val="18"/>
              </w:rPr>
              <w:t xml:space="preserve">Less estimated </w:t>
            </w:r>
            <w:r>
              <w:rPr>
                <w:sz w:val="18"/>
                <w:szCs w:val="18"/>
              </w:rPr>
              <w:t>Agreement</w:t>
            </w:r>
            <w:r w:rsidRPr="006879D3">
              <w:rPr>
                <w:sz w:val="18"/>
                <w:szCs w:val="18"/>
              </w:rPr>
              <w:t xml:space="preserve"> payments</w:t>
            </w:r>
          </w:p>
        </w:tc>
        <w:tc>
          <w:tcPr>
            <w:tcW w:w="1311" w:type="dxa"/>
            <w:tcBorders>
              <w:top w:val="single" w:sz="4" w:space="0" w:color="000080"/>
            </w:tcBorders>
          </w:tcPr>
          <w:p w14:paraId="45CFFECF" w14:textId="77777777" w:rsidR="000D7393" w:rsidRPr="006879D3" w:rsidRDefault="000D7393" w:rsidP="000D7393">
            <w:pPr>
              <w:keepNext/>
              <w:keepLines/>
              <w:spacing w:before="40" w:after="40"/>
              <w:jc w:val="right"/>
              <w:rPr>
                <w:sz w:val="18"/>
                <w:szCs w:val="18"/>
              </w:rPr>
            </w:pPr>
            <w:r w:rsidRPr="006879D3">
              <w:rPr>
                <w:sz w:val="18"/>
                <w:szCs w:val="18"/>
              </w:rPr>
              <w:t>20.30</w:t>
            </w:r>
          </w:p>
        </w:tc>
        <w:tc>
          <w:tcPr>
            <w:tcW w:w="1169" w:type="dxa"/>
            <w:tcBorders>
              <w:top w:val="single" w:sz="4" w:space="0" w:color="000080"/>
            </w:tcBorders>
          </w:tcPr>
          <w:p w14:paraId="576F2483" w14:textId="4491B26B" w:rsidR="000D7393" w:rsidRPr="00B876C5" w:rsidRDefault="000D7393" w:rsidP="000D7393">
            <w:pPr>
              <w:keepNext/>
              <w:keepLines/>
              <w:spacing w:before="40" w:after="40"/>
              <w:jc w:val="right"/>
              <w:rPr>
                <w:sz w:val="18"/>
                <w:szCs w:val="18"/>
              </w:rPr>
            </w:pPr>
            <w:r>
              <w:rPr>
                <w:sz w:val="18"/>
                <w:szCs w:val="18"/>
              </w:rPr>
              <w:t>20.10</w:t>
            </w:r>
          </w:p>
        </w:tc>
        <w:tc>
          <w:tcPr>
            <w:tcW w:w="1169" w:type="dxa"/>
            <w:tcBorders>
              <w:top w:val="single" w:sz="4" w:space="0" w:color="000080"/>
            </w:tcBorders>
          </w:tcPr>
          <w:p w14:paraId="5DD8A335" w14:textId="211B7F5D" w:rsidR="000D7393" w:rsidRPr="00550E7A" w:rsidRDefault="000D7393" w:rsidP="000D7393">
            <w:pPr>
              <w:keepNext/>
              <w:keepLines/>
              <w:spacing w:before="40" w:after="40"/>
              <w:jc w:val="right"/>
              <w:rPr>
                <w:sz w:val="18"/>
                <w:szCs w:val="18"/>
              </w:rPr>
            </w:pPr>
            <w:r w:rsidRPr="00550E7A">
              <w:rPr>
                <w:sz w:val="18"/>
                <w:szCs w:val="18"/>
              </w:rPr>
              <w:t xml:space="preserve"> 21.0</w:t>
            </w:r>
            <w:r w:rsidR="005B3811">
              <w:rPr>
                <w:sz w:val="18"/>
                <w:szCs w:val="18"/>
              </w:rPr>
              <w:t>76</w:t>
            </w:r>
          </w:p>
        </w:tc>
        <w:tc>
          <w:tcPr>
            <w:tcW w:w="1169" w:type="dxa"/>
            <w:tcBorders>
              <w:top w:val="single" w:sz="4" w:space="0" w:color="000080"/>
            </w:tcBorders>
          </w:tcPr>
          <w:p w14:paraId="5AFA1E7D" w14:textId="753B7F67" w:rsidR="000D7393" w:rsidRPr="00550E7A" w:rsidRDefault="000D7393" w:rsidP="000D7393">
            <w:pPr>
              <w:keepNext/>
              <w:keepLines/>
              <w:spacing w:before="40" w:after="40"/>
              <w:jc w:val="right"/>
              <w:rPr>
                <w:sz w:val="18"/>
                <w:szCs w:val="18"/>
              </w:rPr>
            </w:pPr>
            <w:r w:rsidRPr="00550E7A">
              <w:rPr>
                <w:sz w:val="18"/>
                <w:szCs w:val="18"/>
              </w:rPr>
              <w:t>8.4</w:t>
            </w:r>
            <w:r w:rsidR="005B3811">
              <w:rPr>
                <w:sz w:val="18"/>
                <w:szCs w:val="18"/>
              </w:rPr>
              <w:t>68</w:t>
            </w:r>
          </w:p>
        </w:tc>
        <w:tc>
          <w:tcPr>
            <w:tcW w:w="1169" w:type="dxa"/>
            <w:tcBorders>
              <w:top w:val="single" w:sz="4" w:space="0" w:color="000080"/>
            </w:tcBorders>
          </w:tcPr>
          <w:p w14:paraId="1EBF550A" w14:textId="06939984" w:rsidR="000D7393" w:rsidRPr="00550E7A" w:rsidRDefault="000D7393" w:rsidP="000D7393">
            <w:pPr>
              <w:keepNext/>
              <w:keepLines/>
              <w:spacing w:before="40" w:after="40"/>
              <w:jc w:val="right"/>
              <w:rPr>
                <w:b/>
                <w:sz w:val="18"/>
                <w:szCs w:val="18"/>
              </w:rPr>
            </w:pPr>
            <w:r w:rsidRPr="00550E7A">
              <w:rPr>
                <w:b/>
                <w:sz w:val="18"/>
                <w:szCs w:val="18"/>
              </w:rPr>
              <w:t>69.9</w:t>
            </w:r>
            <w:r w:rsidR="005B3811">
              <w:rPr>
                <w:b/>
                <w:sz w:val="18"/>
                <w:szCs w:val="18"/>
              </w:rPr>
              <w:t>44</w:t>
            </w:r>
          </w:p>
        </w:tc>
      </w:tr>
      <w:tr w:rsidR="000D7393" w:rsidRPr="006879D3" w14:paraId="22DF52BA" w14:textId="2D2E14EF" w:rsidTr="005C1DB5">
        <w:trPr>
          <w:cantSplit/>
          <w:trHeight w:val="380"/>
        </w:trPr>
        <w:tc>
          <w:tcPr>
            <w:tcW w:w="3544" w:type="dxa"/>
            <w:tcBorders>
              <w:bottom w:val="single" w:sz="4" w:space="0" w:color="auto"/>
            </w:tcBorders>
          </w:tcPr>
          <w:p w14:paraId="2A74C2EB" w14:textId="77777777" w:rsidR="000D7393" w:rsidRPr="006879D3" w:rsidRDefault="000D7393" w:rsidP="000D7393">
            <w:pPr>
              <w:keepNext/>
              <w:keepLines/>
              <w:spacing w:before="40" w:after="40"/>
              <w:jc w:val="left"/>
              <w:rPr>
                <w:sz w:val="18"/>
                <w:szCs w:val="18"/>
              </w:rPr>
            </w:pPr>
            <w:r w:rsidRPr="006879D3">
              <w:rPr>
                <w:sz w:val="18"/>
                <w:szCs w:val="18"/>
              </w:rPr>
              <w:t>Balance of non-Commonwealth contributions</w:t>
            </w:r>
          </w:p>
        </w:tc>
        <w:tc>
          <w:tcPr>
            <w:tcW w:w="1311" w:type="dxa"/>
            <w:tcBorders>
              <w:top w:val="single" w:sz="4" w:space="0" w:color="000080"/>
              <w:bottom w:val="single" w:sz="4" w:space="0" w:color="auto"/>
            </w:tcBorders>
          </w:tcPr>
          <w:p w14:paraId="5C668524" w14:textId="342C75B4" w:rsidR="000D7393" w:rsidRPr="006879D3" w:rsidRDefault="000D7393" w:rsidP="000D7393">
            <w:pPr>
              <w:keepNext/>
              <w:keepLines/>
              <w:spacing w:before="40" w:after="40"/>
              <w:jc w:val="right"/>
              <w:rPr>
                <w:sz w:val="18"/>
                <w:szCs w:val="18"/>
              </w:rPr>
            </w:pPr>
            <w:r>
              <w:rPr>
                <w:sz w:val="18"/>
                <w:szCs w:val="18"/>
              </w:rPr>
              <w:t xml:space="preserve"> 49.2</w:t>
            </w:r>
          </w:p>
        </w:tc>
        <w:tc>
          <w:tcPr>
            <w:tcW w:w="1169" w:type="dxa"/>
            <w:tcBorders>
              <w:top w:val="single" w:sz="4" w:space="0" w:color="000080"/>
              <w:bottom w:val="single" w:sz="4" w:space="0" w:color="auto"/>
            </w:tcBorders>
          </w:tcPr>
          <w:p w14:paraId="640E92C3" w14:textId="41808506" w:rsidR="000D7393" w:rsidRPr="00B876C5" w:rsidRDefault="000D7393" w:rsidP="000D7393">
            <w:pPr>
              <w:keepNext/>
              <w:keepLines/>
              <w:spacing w:before="40" w:after="40"/>
              <w:jc w:val="right"/>
              <w:rPr>
                <w:sz w:val="18"/>
                <w:szCs w:val="18"/>
              </w:rPr>
            </w:pPr>
            <w:r>
              <w:rPr>
                <w:sz w:val="18"/>
                <w:szCs w:val="18"/>
              </w:rPr>
              <w:t>54.71</w:t>
            </w:r>
          </w:p>
        </w:tc>
        <w:tc>
          <w:tcPr>
            <w:tcW w:w="1169" w:type="dxa"/>
            <w:tcBorders>
              <w:top w:val="single" w:sz="4" w:space="0" w:color="000080"/>
              <w:bottom w:val="single" w:sz="4" w:space="0" w:color="auto"/>
            </w:tcBorders>
          </w:tcPr>
          <w:p w14:paraId="1E213722" w14:textId="6775239C" w:rsidR="000D7393" w:rsidRPr="00550E7A" w:rsidRDefault="000D7393" w:rsidP="000D7393">
            <w:pPr>
              <w:keepNext/>
              <w:keepLines/>
              <w:spacing w:before="40" w:after="40"/>
              <w:jc w:val="right"/>
              <w:rPr>
                <w:sz w:val="18"/>
                <w:szCs w:val="18"/>
              </w:rPr>
            </w:pPr>
            <w:r w:rsidRPr="00550E7A">
              <w:rPr>
                <w:sz w:val="18"/>
                <w:szCs w:val="18"/>
              </w:rPr>
              <w:t>66.79</w:t>
            </w:r>
          </w:p>
        </w:tc>
        <w:tc>
          <w:tcPr>
            <w:tcW w:w="1169" w:type="dxa"/>
            <w:tcBorders>
              <w:top w:val="single" w:sz="4" w:space="0" w:color="000080"/>
              <w:bottom w:val="single" w:sz="4" w:space="0" w:color="auto"/>
            </w:tcBorders>
          </w:tcPr>
          <w:p w14:paraId="7B4CC33A" w14:textId="13E3FC87" w:rsidR="000D7393" w:rsidRPr="00550E7A" w:rsidRDefault="000D7393" w:rsidP="000D7393">
            <w:pPr>
              <w:keepNext/>
              <w:keepLines/>
              <w:spacing w:before="40" w:after="40"/>
              <w:jc w:val="right"/>
              <w:rPr>
                <w:sz w:val="18"/>
                <w:szCs w:val="18"/>
              </w:rPr>
            </w:pPr>
            <w:r w:rsidRPr="00550E7A">
              <w:rPr>
                <w:sz w:val="18"/>
                <w:szCs w:val="18"/>
              </w:rPr>
              <w:t>69.17</w:t>
            </w:r>
          </w:p>
        </w:tc>
        <w:tc>
          <w:tcPr>
            <w:tcW w:w="1169" w:type="dxa"/>
            <w:tcBorders>
              <w:top w:val="single" w:sz="4" w:space="0" w:color="000080"/>
              <w:bottom w:val="single" w:sz="4" w:space="0" w:color="auto"/>
            </w:tcBorders>
          </w:tcPr>
          <w:p w14:paraId="5BE5E66B" w14:textId="2C5B8D41" w:rsidR="000D7393" w:rsidRPr="00550E7A" w:rsidRDefault="000D7393" w:rsidP="000D7393">
            <w:pPr>
              <w:keepNext/>
              <w:keepLines/>
              <w:spacing w:before="40" w:after="40"/>
              <w:jc w:val="right"/>
              <w:rPr>
                <w:b/>
                <w:sz w:val="18"/>
                <w:szCs w:val="18"/>
              </w:rPr>
            </w:pPr>
            <w:r w:rsidRPr="00550E7A">
              <w:rPr>
                <w:b/>
                <w:sz w:val="18"/>
                <w:szCs w:val="18"/>
              </w:rPr>
              <w:t>239.87</w:t>
            </w:r>
          </w:p>
        </w:tc>
      </w:tr>
    </w:tbl>
    <w:p w14:paraId="6C7573BF" w14:textId="3F571551" w:rsidR="00451C88" w:rsidRPr="007C690A" w:rsidRDefault="00070886" w:rsidP="00AC7422">
      <w:pPr>
        <w:pStyle w:val="ScheduleNumberedPara"/>
        <w:spacing w:before="240"/>
        <w:rPr>
          <w:b/>
        </w:rPr>
      </w:pPr>
      <w:r>
        <w:rPr>
          <w:b/>
        </w:rPr>
        <w:t xml:space="preserve">Planned </w:t>
      </w:r>
      <w:r w:rsidR="00D9250A">
        <w:rPr>
          <w:b/>
        </w:rPr>
        <w:t>a</w:t>
      </w:r>
      <w:r w:rsidR="007C690A" w:rsidRPr="007C690A">
        <w:rPr>
          <w:b/>
        </w:rPr>
        <w:t>dditional commencement</w:t>
      </w:r>
      <w:r w:rsidR="00AC7422">
        <w:rPr>
          <w:b/>
        </w:rPr>
        <w:t xml:space="preserve"> </w:t>
      </w:r>
      <w:r w:rsidR="00D9250A">
        <w:rPr>
          <w:b/>
        </w:rPr>
        <w:t>t</w:t>
      </w:r>
      <w:r w:rsidR="00AC7422">
        <w:rPr>
          <w:b/>
        </w:rPr>
        <w:t xml:space="preserve">argets </w:t>
      </w:r>
    </w:p>
    <w:p w14:paraId="70E65FD8" w14:textId="77777777" w:rsidR="003C5297" w:rsidRDefault="00093402" w:rsidP="005C1DB5">
      <w:pPr>
        <w:pStyle w:val="ScheduleNumberedPara"/>
        <w:numPr>
          <w:ilvl w:val="2"/>
          <w:numId w:val="39"/>
        </w:numPr>
        <w:tabs>
          <w:tab w:val="num" w:pos="1134"/>
        </w:tabs>
        <w:spacing w:before="240"/>
        <w:ind w:left="1134" w:hanging="605"/>
        <w:jc w:val="left"/>
      </w:pPr>
      <w:r>
        <w:t xml:space="preserve">Estimated </w:t>
      </w:r>
      <w:r w:rsidR="003A3886">
        <w:t xml:space="preserve">annual </w:t>
      </w:r>
      <w:r>
        <w:t xml:space="preserve">additional commencements to </w:t>
      </w:r>
      <w:r w:rsidR="003C5297" w:rsidRPr="006879D3">
        <w:t xml:space="preserve">Project 1 </w:t>
      </w:r>
      <w:r>
        <w:t>over the</w:t>
      </w:r>
      <w:r w:rsidR="003A3886">
        <w:t xml:space="preserve"> term</w:t>
      </w:r>
      <w:r>
        <w:t xml:space="preserve"> of the Agreement (2018-19 to 2021-22) are in Table 4.</w:t>
      </w:r>
    </w:p>
    <w:p w14:paraId="50F7CC3E" w14:textId="77777777" w:rsidR="00093402" w:rsidRPr="00A32747" w:rsidRDefault="00093402" w:rsidP="00F8379B">
      <w:pPr>
        <w:pStyle w:val="ScheduleNumberedPara"/>
      </w:pPr>
      <w:r w:rsidRPr="00D8428D">
        <w:t xml:space="preserve">Table 4: </w:t>
      </w:r>
      <w:r w:rsidR="00F8379B" w:rsidRPr="00D8428D">
        <w:t>Estimated</w:t>
      </w:r>
      <w:r w:rsidR="00F8379B" w:rsidRPr="00AC0645">
        <w:t xml:space="preserve"> </w:t>
      </w:r>
      <w:r w:rsidR="00D9250A" w:rsidRPr="00AC0645">
        <w:t>a</w:t>
      </w:r>
      <w:r w:rsidR="003A3886" w:rsidRPr="00AC0645">
        <w:t>dditional c</w:t>
      </w:r>
      <w:r w:rsidRPr="00AC0645">
        <w:t>ommencement targets</w:t>
      </w:r>
    </w:p>
    <w:tbl>
      <w:tblPr>
        <w:tblW w:w="0" w:type="auto"/>
        <w:tblLayout w:type="fixed"/>
        <w:tblLook w:val="01E0" w:firstRow="1" w:lastRow="1" w:firstColumn="1" w:lastColumn="1" w:noHBand="0" w:noVBand="0"/>
      </w:tblPr>
      <w:tblGrid>
        <w:gridCol w:w="3686"/>
        <w:gridCol w:w="1168"/>
        <w:gridCol w:w="1168"/>
        <w:gridCol w:w="1168"/>
        <w:gridCol w:w="1168"/>
        <w:gridCol w:w="1168"/>
      </w:tblGrid>
      <w:tr w:rsidR="00B615DD" w:rsidRPr="003A3886" w14:paraId="01C7A4DE" w14:textId="77777777" w:rsidTr="00FB5633">
        <w:trPr>
          <w:cantSplit/>
          <w:trHeight w:val="380"/>
        </w:trPr>
        <w:tc>
          <w:tcPr>
            <w:tcW w:w="3686" w:type="dxa"/>
            <w:tcBorders>
              <w:top w:val="single" w:sz="4" w:space="0" w:color="auto"/>
            </w:tcBorders>
          </w:tcPr>
          <w:p w14:paraId="4D633A38" w14:textId="77777777" w:rsidR="00B615DD" w:rsidRPr="006879D3" w:rsidRDefault="00B615DD" w:rsidP="00212E75">
            <w:pPr>
              <w:keepNext/>
              <w:keepLines/>
              <w:spacing w:before="40" w:after="40"/>
              <w:jc w:val="left"/>
              <w:rPr>
                <w:b/>
                <w:sz w:val="18"/>
                <w:szCs w:val="18"/>
              </w:rPr>
            </w:pPr>
            <w:r>
              <w:rPr>
                <w:b/>
                <w:sz w:val="18"/>
                <w:szCs w:val="18"/>
              </w:rPr>
              <w:t>Training activity type</w:t>
            </w:r>
          </w:p>
        </w:tc>
        <w:tc>
          <w:tcPr>
            <w:tcW w:w="1168" w:type="dxa"/>
            <w:tcBorders>
              <w:top w:val="single" w:sz="4" w:space="0" w:color="auto"/>
              <w:bottom w:val="single" w:sz="4" w:space="0" w:color="auto"/>
            </w:tcBorders>
          </w:tcPr>
          <w:p w14:paraId="72BD4C0F" w14:textId="77777777" w:rsidR="00B615DD" w:rsidRPr="003A3886" w:rsidRDefault="00B615DD" w:rsidP="002B34BE">
            <w:pPr>
              <w:keepNext/>
              <w:keepLines/>
              <w:spacing w:before="40" w:after="40"/>
              <w:jc w:val="right"/>
              <w:rPr>
                <w:b/>
                <w:sz w:val="18"/>
                <w:szCs w:val="18"/>
              </w:rPr>
            </w:pPr>
            <w:r w:rsidRPr="003A3886">
              <w:rPr>
                <w:b/>
                <w:sz w:val="18"/>
                <w:szCs w:val="18"/>
              </w:rPr>
              <w:t>2018-19</w:t>
            </w:r>
          </w:p>
        </w:tc>
        <w:tc>
          <w:tcPr>
            <w:tcW w:w="1168" w:type="dxa"/>
            <w:tcBorders>
              <w:top w:val="single" w:sz="4" w:space="0" w:color="auto"/>
              <w:bottom w:val="single" w:sz="4" w:space="0" w:color="auto"/>
            </w:tcBorders>
          </w:tcPr>
          <w:p w14:paraId="631BD3DB" w14:textId="77777777" w:rsidR="00B615DD" w:rsidRPr="003A3886" w:rsidRDefault="00B615DD" w:rsidP="002B34BE">
            <w:pPr>
              <w:keepNext/>
              <w:keepLines/>
              <w:spacing w:before="40" w:after="40"/>
              <w:jc w:val="right"/>
              <w:rPr>
                <w:b/>
                <w:sz w:val="18"/>
                <w:szCs w:val="18"/>
              </w:rPr>
            </w:pPr>
            <w:r w:rsidRPr="003A3886">
              <w:rPr>
                <w:b/>
                <w:sz w:val="18"/>
                <w:szCs w:val="18"/>
              </w:rPr>
              <w:t>2019-20</w:t>
            </w:r>
          </w:p>
        </w:tc>
        <w:tc>
          <w:tcPr>
            <w:tcW w:w="1168" w:type="dxa"/>
            <w:tcBorders>
              <w:top w:val="single" w:sz="4" w:space="0" w:color="auto"/>
              <w:bottom w:val="single" w:sz="4" w:space="0" w:color="auto"/>
            </w:tcBorders>
          </w:tcPr>
          <w:p w14:paraId="3D9B74DD" w14:textId="77777777" w:rsidR="00B615DD" w:rsidRPr="003A3886" w:rsidRDefault="00B615DD" w:rsidP="002B34BE">
            <w:pPr>
              <w:keepNext/>
              <w:keepLines/>
              <w:spacing w:before="40" w:after="40"/>
              <w:jc w:val="right"/>
              <w:rPr>
                <w:b/>
                <w:sz w:val="18"/>
                <w:szCs w:val="18"/>
              </w:rPr>
            </w:pPr>
            <w:r w:rsidRPr="003A3886">
              <w:rPr>
                <w:b/>
                <w:sz w:val="18"/>
                <w:szCs w:val="18"/>
              </w:rPr>
              <w:t>2020-21</w:t>
            </w:r>
          </w:p>
        </w:tc>
        <w:tc>
          <w:tcPr>
            <w:tcW w:w="1168" w:type="dxa"/>
            <w:tcBorders>
              <w:top w:val="single" w:sz="4" w:space="0" w:color="auto"/>
              <w:bottom w:val="single" w:sz="4" w:space="0" w:color="auto"/>
            </w:tcBorders>
          </w:tcPr>
          <w:p w14:paraId="0FDF293D" w14:textId="77777777" w:rsidR="00B615DD" w:rsidRPr="003A3886" w:rsidRDefault="00B615DD" w:rsidP="002B34BE">
            <w:pPr>
              <w:keepNext/>
              <w:keepLines/>
              <w:spacing w:before="40" w:after="40"/>
              <w:jc w:val="right"/>
              <w:rPr>
                <w:b/>
                <w:sz w:val="18"/>
                <w:szCs w:val="18"/>
              </w:rPr>
            </w:pPr>
            <w:r w:rsidRPr="003A3886">
              <w:rPr>
                <w:b/>
                <w:sz w:val="18"/>
                <w:szCs w:val="18"/>
              </w:rPr>
              <w:t>2021-22</w:t>
            </w:r>
          </w:p>
        </w:tc>
        <w:tc>
          <w:tcPr>
            <w:tcW w:w="1168" w:type="dxa"/>
            <w:tcBorders>
              <w:top w:val="single" w:sz="4" w:space="0" w:color="auto"/>
              <w:bottom w:val="single" w:sz="4" w:space="0" w:color="auto"/>
            </w:tcBorders>
          </w:tcPr>
          <w:p w14:paraId="7F3DD2A9" w14:textId="77777777" w:rsidR="00B615DD" w:rsidRPr="003A3886" w:rsidRDefault="00B615DD" w:rsidP="002B34BE">
            <w:pPr>
              <w:keepNext/>
              <w:keepLines/>
              <w:spacing w:before="40" w:after="40"/>
              <w:jc w:val="right"/>
              <w:rPr>
                <w:b/>
                <w:sz w:val="18"/>
                <w:szCs w:val="18"/>
              </w:rPr>
            </w:pPr>
            <w:r>
              <w:rPr>
                <w:b/>
                <w:sz w:val="18"/>
                <w:szCs w:val="18"/>
              </w:rPr>
              <w:t>Total</w:t>
            </w:r>
          </w:p>
        </w:tc>
      </w:tr>
      <w:tr w:rsidR="00B615DD" w:rsidRPr="006879D3" w14:paraId="4A451DC7" w14:textId="77777777" w:rsidTr="00FB5633">
        <w:trPr>
          <w:cantSplit/>
          <w:trHeight w:val="380"/>
        </w:trPr>
        <w:tc>
          <w:tcPr>
            <w:tcW w:w="3686" w:type="dxa"/>
            <w:vAlign w:val="center"/>
          </w:tcPr>
          <w:p w14:paraId="630C9BB5" w14:textId="77777777" w:rsidR="00B615DD" w:rsidRPr="006879D3" w:rsidRDefault="00B615DD" w:rsidP="00E84E4F">
            <w:pPr>
              <w:keepNext/>
              <w:keepLines/>
              <w:spacing w:before="40" w:after="40"/>
              <w:ind w:left="318" w:hanging="318"/>
              <w:jc w:val="left"/>
              <w:rPr>
                <w:b/>
                <w:sz w:val="18"/>
                <w:szCs w:val="18"/>
              </w:rPr>
            </w:pPr>
            <w:r w:rsidRPr="006879D3">
              <w:rPr>
                <w:b/>
                <w:sz w:val="18"/>
                <w:szCs w:val="18"/>
              </w:rPr>
              <w:t>Total</w:t>
            </w:r>
          </w:p>
        </w:tc>
        <w:tc>
          <w:tcPr>
            <w:tcW w:w="1168" w:type="dxa"/>
            <w:tcBorders>
              <w:top w:val="single" w:sz="4" w:space="0" w:color="auto"/>
              <w:bottom w:val="single" w:sz="4" w:space="0" w:color="auto"/>
            </w:tcBorders>
          </w:tcPr>
          <w:p w14:paraId="75BE5E65" w14:textId="77777777" w:rsidR="00B615DD" w:rsidRPr="006879D3" w:rsidRDefault="00B615DD" w:rsidP="00FB5887">
            <w:pPr>
              <w:keepNext/>
              <w:keepLines/>
              <w:spacing w:before="40" w:after="40"/>
              <w:jc w:val="right"/>
              <w:rPr>
                <w:b/>
                <w:sz w:val="18"/>
                <w:szCs w:val="18"/>
              </w:rPr>
            </w:pPr>
            <w:r w:rsidRPr="006879D3">
              <w:rPr>
                <w:b/>
                <w:sz w:val="18"/>
                <w:szCs w:val="18"/>
              </w:rPr>
              <w:t>2860</w:t>
            </w:r>
          </w:p>
        </w:tc>
        <w:tc>
          <w:tcPr>
            <w:tcW w:w="1168" w:type="dxa"/>
            <w:tcBorders>
              <w:top w:val="single" w:sz="4" w:space="0" w:color="auto"/>
              <w:bottom w:val="single" w:sz="4" w:space="0" w:color="auto"/>
            </w:tcBorders>
          </w:tcPr>
          <w:p w14:paraId="23385243" w14:textId="77777777" w:rsidR="00B615DD" w:rsidRPr="00B876C5" w:rsidRDefault="00B615DD" w:rsidP="00FB5887">
            <w:pPr>
              <w:keepNext/>
              <w:keepLines/>
              <w:spacing w:before="40" w:after="40"/>
              <w:jc w:val="right"/>
              <w:rPr>
                <w:b/>
                <w:sz w:val="18"/>
                <w:szCs w:val="18"/>
              </w:rPr>
            </w:pPr>
            <w:r w:rsidRPr="00B876C5">
              <w:rPr>
                <w:b/>
                <w:sz w:val="18"/>
                <w:szCs w:val="18"/>
              </w:rPr>
              <w:t>4260</w:t>
            </w:r>
          </w:p>
        </w:tc>
        <w:tc>
          <w:tcPr>
            <w:tcW w:w="1168" w:type="dxa"/>
            <w:tcBorders>
              <w:top w:val="single" w:sz="4" w:space="0" w:color="auto"/>
              <w:bottom w:val="single" w:sz="4" w:space="0" w:color="auto"/>
            </w:tcBorders>
          </w:tcPr>
          <w:p w14:paraId="42B89AB3" w14:textId="4F46B1A8" w:rsidR="00B615DD" w:rsidRPr="00B876C5" w:rsidRDefault="00BB2013" w:rsidP="00FB5887">
            <w:pPr>
              <w:keepNext/>
              <w:keepLines/>
              <w:spacing w:before="40" w:after="40"/>
              <w:jc w:val="right"/>
              <w:rPr>
                <w:b/>
                <w:sz w:val="18"/>
                <w:szCs w:val="18"/>
              </w:rPr>
            </w:pPr>
            <w:r>
              <w:rPr>
                <w:b/>
                <w:sz w:val="18"/>
                <w:szCs w:val="18"/>
              </w:rPr>
              <w:t xml:space="preserve"> </w:t>
            </w:r>
            <w:r w:rsidR="009672D2">
              <w:rPr>
                <w:b/>
                <w:sz w:val="18"/>
                <w:szCs w:val="18"/>
              </w:rPr>
              <w:t>2416</w:t>
            </w:r>
          </w:p>
        </w:tc>
        <w:tc>
          <w:tcPr>
            <w:tcW w:w="1168" w:type="dxa"/>
            <w:tcBorders>
              <w:top w:val="single" w:sz="4" w:space="0" w:color="auto"/>
              <w:bottom w:val="single" w:sz="4" w:space="0" w:color="auto"/>
            </w:tcBorders>
          </w:tcPr>
          <w:p w14:paraId="3F138E02" w14:textId="661A58F7" w:rsidR="00B615DD" w:rsidRPr="00B876C5" w:rsidRDefault="00354275" w:rsidP="00FB5887">
            <w:pPr>
              <w:keepNext/>
              <w:keepLines/>
              <w:spacing w:before="40" w:after="40"/>
              <w:jc w:val="right"/>
              <w:rPr>
                <w:b/>
                <w:sz w:val="18"/>
                <w:szCs w:val="18"/>
              </w:rPr>
            </w:pPr>
            <w:r>
              <w:rPr>
                <w:b/>
                <w:sz w:val="18"/>
                <w:szCs w:val="18"/>
              </w:rPr>
              <w:t xml:space="preserve"> </w:t>
            </w:r>
            <w:r w:rsidR="009672D2">
              <w:rPr>
                <w:b/>
                <w:sz w:val="18"/>
                <w:szCs w:val="18"/>
              </w:rPr>
              <w:t>970</w:t>
            </w:r>
          </w:p>
        </w:tc>
        <w:tc>
          <w:tcPr>
            <w:tcW w:w="1168" w:type="dxa"/>
            <w:tcBorders>
              <w:top w:val="single" w:sz="4" w:space="0" w:color="auto"/>
              <w:bottom w:val="single" w:sz="4" w:space="0" w:color="auto"/>
            </w:tcBorders>
          </w:tcPr>
          <w:p w14:paraId="6C3BB96B" w14:textId="29AAB5DA" w:rsidR="00B615DD" w:rsidRPr="00B876C5" w:rsidRDefault="00354275" w:rsidP="00FB5887">
            <w:pPr>
              <w:keepNext/>
              <w:keepLines/>
              <w:spacing w:before="40" w:after="40"/>
              <w:jc w:val="right"/>
              <w:rPr>
                <w:b/>
                <w:sz w:val="18"/>
                <w:szCs w:val="18"/>
              </w:rPr>
            </w:pPr>
            <w:r>
              <w:rPr>
                <w:b/>
                <w:sz w:val="18"/>
                <w:szCs w:val="18"/>
              </w:rPr>
              <w:t xml:space="preserve"> </w:t>
            </w:r>
            <w:r w:rsidR="009672D2">
              <w:rPr>
                <w:b/>
                <w:sz w:val="18"/>
                <w:szCs w:val="18"/>
              </w:rPr>
              <w:t>10,506</w:t>
            </w:r>
          </w:p>
        </w:tc>
      </w:tr>
      <w:tr w:rsidR="00B615DD" w:rsidRPr="006879D3" w14:paraId="04E2001C" w14:textId="77777777" w:rsidTr="00FB5633">
        <w:trPr>
          <w:cantSplit/>
          <w:trHeight w:val="380"/>
        </w:trPr>
        <w:tc>
          <w:tcPr>
            <w:tcW w:w="3686" w:type="dxa"/>
            <w:vAlign w:val="center"/>
          </w:tcPr>
          <w:p w14:paraId="58944850" w14:textId="77777777" w:rsidR="00B615DD" w:rsidRPr="006879D3" w:rsidRDefault="00B615DD" w:rsidP="00E84E4F">
            <w:pPr>
              <w:keepNext/>
              <w:keepLines/>
              <w:spacing w:before="60" w:after="60"/>
              <w:ind w:left="318" w:hanging="318"/>
              <w:jc w:val="left"/>
              <w:rPr>
                <w:sz w:val="18"/>
                <w:szCs w:val="18"/>
              </w:rPr>
            </w:pPr>
            <w:r w:rsidRPr="006879D3">
              <w:rPr>
                <w:sz w:val="18"/>
                <w:szCs w:val="18"/>
              </w:rPr>
              <w:tab/>
              <w:t>Apprenticeships/</w:t>
            </w:r>
            <w:r>
              <w:rPr>
                <w:sz w:val="18"/>
                <w:szCs w:val="18"/>
              </w:rPr>
              <w:t>t</w:t>
            </w:r>
            <w:r w:rsidRPr="006879D3">
              <w:rPr>
                <w:sz w:val="18"/>
                <w:szCs w:val="18"/>
              </w:rPr>
              <w:t>raineeships</w:t>
            </w:r>
          </w:p>
        </w:tc>
        <w:tc>
          <w:tcPr>
            <w:tcW w:w="1168" w:type="dxa"/>
            <w:tcBorders>
              <w:top w:val="single" w:sz="4" w:space="0" w:color="auto"/>
              <w:bottom w:val="single" w:sz="4" w:space="0" w:color="auto"/>
            </w:tcBorders>
          </w:tcPr>
          <w:p w14:paraId="4BA709EA" w14:textId="77777777" w:rsidR="00B615DD" w:rsidRPr="006879D3" w:rsidRDefault="00B615DD" w:rsidP="00FB5887">
            <w:pPr>
              <w:keepNext/>
              <w:keepLines/>
              <w:spacing w:before="40" w:after="40"/>
              <w:jc w:val="right"/>
              <w:rPr>
                <w:sz w:val="18"/>
                <w:szCs w:val="18"/>
              </w:rPr>
            </w:pPr>
            <w:r w:rsidRPr="006879D3">
              <w:rPr>
                <w:sz w:val="18"/>
                <w:szCs w:val="18"/>
              </w:rPr>
              <w:t>2050</w:t>
            </w:r>
          </w:p>
        </w:tc>
        <w:tc>
          <w:tcPr>
            <w:tcW w:w="1168" w:type="dxa"/>
            <w:tcBorders>
              <w:top w:val="single" w:sz="4" w:space="0" w:color="auto"/>
              <w:bottom w:val="single" w:sz="4" w:space="0" w:color="auto"/>
            </w:tcBorders>
          </w:tcPr>
          <w:p w14:paraId="62344294" w14:textId="77777777" w:rsidR="00B615DD" w:rsidRPr="00B876C5" w:rsidRDefault="00B615DD" w:rsidP="00FB5887">
            <w:pPr>
              <w:keepNext/>
              <w:keepLines/>
              <w:spacing w:before="40" w:after="40"/>
              <w:jc w:val="right"/>
              <w:rPr>
                <w:sz w:val="18"/>
                <w:szCs w:val="18"/>
              </w:rPr>
            </w:pPr>
            <w:r w:rsidRPr="00B876C5">
              <w:rPr>
                <w:sz w:val="18"/>
                <w:szCs w:val="18"/>
              </w:rPr>
              <w:t>3266</w:t>
            </w:r>
          </w:p>
        </w:tc>
        <w:tc>
          <w:tcPr>
            <w:tcW w:w="1168" w:type="dxa"/>
            <w:tcBorders>
              <w:top w:val="single" w:sz="4" w:space="0" w:color="auto"/>
              <w:bottom w:val="single" w:sz="4" w:space="0" w:color="auto"/>
            </w:tcBorders>
          </w:tcPr>
          <w:p w14:paraId="09EB092D" w14:textId="150F2418" w:rsidR="00B615DD" w:rsidRPr="00B876C5" w:rsidRDefault="00BB2013" w:rsidP="00FB5887">
            <w:pPr>
              <w:keepNext/>
              <w:keepLines/>
              <w:spacing w:before="40" w:after="40"/>
              <w:jc w:val="right"/>
              <w:rPr>
                <w:sz w:val="18"/>
                <w:szCs w:val="18"/>
              </w:rPr>
            </w:pPr>
            <w:r>
              <w:rPr>
                <w:sz w:val="18"/>
                <w:szCs w:val="18"/>
              </w:rPr>
              <w:t xml:space="preserve"> </w:t>
            </w:r>
            <w:r w:rsidR="009672D2">
              <w:rPr>
                <w:sz w:val="18"/>
                <w:szCs w:val="18"/>
              </w:rPr>
              <w:t>1866</w:t>
            </w:r>
          </w:p>
        </w:tc>
        <w:tc>
          <w:tcPr>
            <w:tcW w:w="1168" w:type="dxa"/>
            <w:tcBorders>
              <w:top w:val="single" w:sz="4" w:space="0" w:color="auto"/>
              <w:bottom w:val="single" w:sz="4" w:space="0" w:color="auto"/>
            </w:tcBorders>
          </w:tcPr>
          <w:p w14:paraId="18CBBBEC" w14:textId="00E87388" w:rsidR="00B615DD" w:rsidRPr="00B876C5" w:rsidRDefault="00354275" w:rsidP="00FB5887">
            <w:pPr>
              <w:keepNext/>
              <w:keepLines/>
              <w:spacing w:before="40" w:after="40"/>
              <w:jc w:val="right"/>
              <w:rPr>
                <w:sz w:val="18"/>
                <w:szCs w:val="18"/>
              </w:rPr>
            </w:pPr>
            <w:r>
              <w:rPr>
                <w:sz w:val="18"/>
                <w:szCs w:val="18"/>
              </w:rPr>
              <w:t xml:space="preserve">  </w:t>
            </w:r>
            <w:r w:rsidR="009672D2">
              <w:rPr>
                <w:sz w:val="18"/>
                <w:szCs w:val="18"/>
              </w:rPr>
              <w:t>744</w:t>
            </w:r>
          </w:p>
        </w:tc>
        <w:tc>
          <w:tcPr>
            <w:tcW w:w="1168" w:type="dxa"/>
            <w:tcBorders>
              <w:top w:val="single" w:sz="4" w:space="0" w:color="auto"/>
              <w:bottom w:val="single" w:sz="4" w:space="0" w:color="auto"/>
            </w:tcBorders>
          </w:tcPr>
          <w:p w14:paraId="5AF50587" w14:textId="59FD0C81" w:rsidR="00B615DD" w:rsidRPr="00B876C5" w:rsidRDefault="00354275" w:rsidP="00FB5887">
            <w:pPr>
              <w:keepNext/>
              <w:keepLines/>
              <w:spacing w:before="40" w:after="40"/>
              <w:jc w:val="right"/>
              <w:rPr>
                <w:sz w:val="18"/>
                <w:szCs w:val="18"/>
              </w:rPr>
            </w:pPr>
            <w:r>
              <w:rPr>
                <w:sz w:val="18"/>
                <w:szCs w:val="18"/>
              </w:rPr>
              <w:t>7,926</w:t>
            </w:r>
          </w:p>
        </w:tc>
      </w:tr>
      <w:tr w:rsidR="00B615DD" w:rsidRPr="006879D3" w14:paraId="1C07BD0E" w14:textId="77777777" w:rsidTr="00FB5633">
        <w:trPr>
          <w:cantSplit/>
          <w:trHeight w:val="380"/>
        </w:trPr>
        <w:tc>
          <w:tcPr>
            <w:tcW w:w="3686" w:type="dxa"/>
            <w:vAlign w:val="center"/>
          </w:tcPr>
          <w:p w14:paraId="6D2AF382" w14:textId="77777777" w:rsidR="00B615DD" w:rsidRPr="006879D3" w:rsidRDefault="00B615DD" w:rsidP="00E84E4F">
            <w:pPr>
              <w:keepNext/>
              <w:keepLines/>
              <w:spacing w:before="60" w:after="60"/>
              <w:ind w:left="318" w:hanging="318"/>
              <w:jc w:val="left"/>
              <w:rPr>
                <w:sz w:val="18"/>
                <w:szCs w:val="18"/>
              </w:rPr>
            </w:pPr>
            <w:r w:rsidRPr="006879D3">
              <w:rPr>
                <w:sz w:val="18"/>
                <w:szCs w:val="18"/>
              </w:rPr>
              <w:tab/>
              <w:t>Pre-apprenticeships/traineeships</w:t>
            </w:r>
          </w:p>
        </w:tc>
        <w:tc>
          <w:tcPr>
            <w:tcW w:w="1168" w:type="dxa"/>
            <w:tcBorders>
              <w:top w:val="single" w:sz="4" w:space="0" w:color="auto"/>
              <w:bottom w:val="single" w:sz="4" w:space="0" w:color="auto"/>
            </w:tcBorders>
          </w:tcPr>
          <w:p w14:paraId="23CCAB0E" w14:textId="77777777" w:rsidR="00B615DD" w:rsidRPr="006879D3" w:rsidRDefault="00B615DD" w:rsidP="00FB5887">
            <w:pPr>
              <w:keepNext/>
              <w:keepLines/>
              <w:spacing w:before="40" w:after="40"/>
              <w:jc w:val="right"/>
              <w:rPr>
                <w:sz w:val="18"/>
                <w:szCs w:val="18"/>
              </w:rPr>
            </w:pPr>
            <w:r w:rsidRPr="006879D3">
              <w:rPr>
                <w:sz w:val="18"/>
                <w:szCs w:val="18"/>
              </w:rPr>
              <w:t>650</w:t>
            </w:r>
          </w:p>
        </w:tc>
        <w:tc>
          <w:tcPr>
            <w:tcW w:w="1168" w:type="dxa"/>
            <w:tcBorders>
              <w:top w:val="single" w:sz="4" w:space="0" w:color="auto"/>
              <w:bottom w:val="single" w:sz="4" w:space="0" w:color="auto"/>
            </w:tcBorders>
          </w:tcPr>
          <w:p w14:paraId="7DCAF00E" w14:textId="77777777" w:rsidR="00B615DD" w:rsidRPr="00B876C5" w:rsidRDefault="00B615DD" w:rsidP="00FB5887">
            <w:pPr>
              <w:keepNext/>
              <w:keepLines/>
              <w:spacing w:before="40" w:after="40"/>
              <w:jc w:val="right"/>
              <w:rPr>
                <w:sz w:val="18"/>
                <w:szCs w:val="18"/>
              </w:rPr>
            </w:pPr>
            <w:r w:rsidRPr="00B876C5">
              <w:rPr>
                <w:sz w:val="18"/>
                <w:szCs w:val="18"/>
              </w:rPr>
              <w:t>710</w:t>
            </w:r>
          </w:p>
        </w:tc>
        <w:tc>
          <w:tcPr>
            <w:tcW w:w="1168" w:type="dxa"/>
            <w:tcBorders>
              <w:top w:val="single" w:sz="4" w:space="0" w:color="auto"/>
              <w:bottom w:val="single" w:sz="4" w:space="0" w:color="auto"/>
            </w:tcBorders>
          </w:tcPr>
          <w:p w14:paraId="6D683D39" w14:textId="5BD58EBF" w:rsidR="00B615DD" w:rsidRPr="00B876C5" w:rsidRDefault="009672D2" w:rsidP="00FB5887">
            <w:pPr>
              <w:keepNext/>
              <w:keepLines/>
              <w:spacing w:before="40" w:after="40"/>
              <w:jc w:val="right"/>
              <w:rPr>
                <w:sz w:val="18"/>
                <w:szCs w:val="18"/>
              </w:rPr>
            </w:pPr>
            <w:r>
              <w:rPr>
                <w:sz w:val="18"/>
                <w:szCs w:val="18"/>
              </w:rPr>
              <w:t>340</w:t>
            </w:r>
          </w:p>
        </w:tc>
        <w:tc>
          <w:tcPr>
            <w:tcW w:w="1168" w:type="dxa"/>
            <w:tcBorders>
              <w:top w:val="single" w:sz="4" w:space="0" w:color="auto"/>
              <w:bottom w:val="single" w:sz="4" w:space="0" w:color="auto"/>
            </w:tcBorders>
          </w:tcPr>
          <w:p w14:paraId="5301A286" w14:textId="5B0BAE4C" w:rsidR="00B615DD" w:rsidRPr="00B876C5" w:rsidRDefault="00354275" w:rsidP="00FB5887">
            <w:pPr>
              <w:keepNext/>
              <w:keepLines/>
              <w:spacing w:before="40" w:after="40"/>
              <w:jc w:val="right"/>
              <w:rPr>
                <w:sz w:val="18"/>
                <w:szCs w:val="18"/>
              </w:rPr>
            </w:pPr>
            <w:r>
              <w:rPr>
                <w:sz w:val="18"/>
                <w:szCs w:val="18"/>
              </w:rPr>
              <w:t xml:space="preserve"> </w:t>
            </w:r>
            <w:r w:rsidR="009672D2">
              <w:rPr>
                <w:sz w:val="18"/>
                <w:szCs w:val="18"/>
              </w:rPr>
              <w:t>143</w:t>
            </w:r>
          </w:p>
        </w:tc>
        <w:tc>
          <w:tcPr>
            <w:tcW w:w="1168" w:type="dxa"/>
            <w:tcBorders>
              <w:top w:val="single" w:sz="4" w:space="0" w:color="auto"/>
              <w:bottom w:val="single" w:sz="4" w:space="0" w:color="auto"/>
            </w:tcBorders>
          </w:tcPr>
          <w:p w14:paraId="00C4E166" w14:textId="73D3AA97" w:rsidR="00B615DD" w:rsidRPr="00B876C5" w:rsidRDefault="00354275" w:rsidP="00FB5887">
            <w:pPr>
              <w:keepNext/>
              <w:keepLines/>
              <w:spacing w:before="40" w:after="40"/>
              <w:jc w:val="right"/>
              <w:rPr>
                <w:sz w:val="18"/>
                <w:szCs w:val="18"/>
              </w:rPr>
            </w:pPr>
            <w:r>
              <w:rPr>
                <w:sz w:val="18"/>
                <w:szCs w:val="18"/>
              </w:rPr>
              <w:t xml:space="preserve"> 1,842</w:t>
            </w:r>
          </w:p>
        </w:tc>
      </w:tr>
      <w:tr w:rsidR="00B615DD" w:rsidRPr="006879D3" w14:paraId="4955A6C5" w14:textId="77777777" w:rsidTr="00FB5633">
        <w:trPr>
          <w:cantSplit/>
          <w:trHeight w:val="380"/>
        </w:trPr>
        <w:tc>
          <w:tcPr>
            <w:tcW w:w="3686" w:type="dxa"/>
            <w:tcBorders>
              <w:bottom w:val="single" w:sz="4" w:space="0" w:color="auto"/>
            </w:tcBorders>
            <w:vAlign w:val="center"/>
          </w:tcPr>
          <w:p w14:paraId="6FEC8200" w14:textId="77777777" w:rsidR="00B615DD" w:rsidRPr="006879D3" w:rsidRDefault="00B615DD" w:rsidP="00E84E4F">
            <w:pPr>
              <w:keepNext/>
              <w:keepLines/>
              <w:spacing w:before="40" w:after="40"/>
              <w:ind w:left="318" w:hanging="318"/>
              <w:jc w:val="left"/>
              <w:rPr>
                <w:sz w:val="18"/>
                <w:szCs w:val="18"/>
              </w:rPr>
            </w:pPr>
            <w:r w:rsidRPr="006879D3">
              <w:rPr>
                <w:sz w:val="18"/>
                <w:szCs w:val="18"/>
              </w:rPr>
              <w:tab/>
              <w:t>Higher apprenticeships</w:t>
            </w:r>
          </w:p>
        </w:tc>
        <w:tc>
          <w:tcPr>
            <w:tcW w:w="1168" w:type="dxa"/>
            <w:tcBorders>
              <w:top w:val="single" w:sz="4" w:space="0" w:color="auto"/>
              <w:bottom w:val="single" w:sz="4" w:space="0" w:color="auto"/>
            </w:tcBorders>
          </w:tcPr>
          <w:p w14:paraId="5F441D04" w14:textId="77777777" w:rsidR="00B615DD" w:rsidRPr="006879D3" w:rsidRDefault="00B615DD" w:rsidP="00FB5887">
            <w:pPr>
              <w:keepNext/>
              <w:keepLines/>
              <w:spacing w:before="40" w:after="40"/>
              <w:jc w:val="right"/>
              <w:rPr>
                <w:sz w:val="18"/>
                <w:szCs w:val="18"/>
              </w:rPr>
            </w:pPr>
            <w:r w:rsidRPr="006879D3">
              <w:rPr>
                <w:sz w:val="18"/>
                <w:szCs w:val="18"/>
              </w:rPr>
              <w:t>160</w:t>
            </w:r>
          </w:p>
        </w:tc>
        <w:tc>
          <w:tcPr>
            <w:tcW w:w="1168" w:type="dxa"/>
            <w:tcBorders>
              <w:top w:val="single" w:sz="4" w:space="0" w:color="auto"/>
              <w:bottom w:val="single" w:sz="4" w:space="0" w:color="auto"/>
            </w:tcBorders>
          </w:tcPr>
          <w:p w14:paraId="531A10F9" w14:textId="77777777" w:rsidR="00B615DD" w:rsidRPr="00B876C5" w:rsidRDefault="00B615DD" w:rsidP="00FB5887">
            <w:pPr>
              <w:keepNext/>
              <w:keepLines/>
              <w:spacing w:before="40" w:after="40"/>
              <w:jc w:val="right"/>
              <w:rPr>
                <w:sz w:val="18"/>
                <w:szCs w:val="18"/>
              </w:rPr>
            </w:pPr>
            <w:r w:rsidRPr="00B876C5">
              <w:rPr>
                <w:sz w:val="18"/>
                <w:szCs w:val="18"/>
              </w:rPr>
              <w:t>284</w:t>
            </w:r>
          </w:p>
        </w:tc>
        <w:tc>
          <w:tcPr>
            <w:tcW w:w="1168" w:type="dxa"/>
            <w:tcBorders>
              <w:top w:val="single" w:sz="4" w:space="0" w:color="auto"/>
              <w:bottom w:val="single" w:sz="4" w:space="0" w:color="auto"/>
            </w:tcBorders>
          </w:tcPr>
          <w:p w14:paraId="2A09F73A" w14:textId="1A445C2B" w:rsidR="00B615DD" w:rsidRPr="00B876C5" w:rsidRDefault="009672D2" w:rsidP="00FB5887">
            <w:pPr>
              <w:keepNext/>
              <w:keepLines/>
              <w:spacing w:before="40" w:after="40"/>
              <w:jc w:val="right"/>
              <w:rPr>
                <w:sz w:val="18"/>
                <w:szCs w:val="18"/>
              </w:rPr>
            </w:pPr>
            <w:r>
              <w:rPr>
                <w:sz w:val="18"/>
                <w:szCs w:val="18"/>
              </w:rPr>
              <w:t>210</w:t>
            </w:r>
          </w:p>
        </w:tc>
        <w:tc>
          <w:tcPr>
            <w:tcW w:w="1168" w:type="dxa"/>
            <w:tcBorders>
              <w:top w:val="single" w:sz="4" w:space="0" w:color="auto"/>
              <w:bottom w:val="single" w:sz="4" w:space="0" w:color="auto"/>
            </w:tcBorders>
          </w:tcPr>
          <w:p w14:paraId="5B5E2C95" w14:textId="4B909418" w:rsidR="00B615DD" w:rsidRPr="00B876C5" w:rsidRDefault="00354275" w:rsidP="00FB5887">
            <w:pPr>
              <w:keepNext/>
              <w:keepLines/>
              <w:spacing w:before="40" w:after="40"/>
              <w:jc w:val="right"/>
              <w:rPr>
                <w:sz w:val="18"/>
                <w:szCs w:val="18"/>
              </w:rPr>
            </w:pPr>
            <w:r>
              <w:rPr>
                <w:sz w:val="18"/>
                <w:szCs w:val="18"/>
              </w:rPr>
              <w:t xml:space="preserve"> </w:t>
            </w:r>
            <w:r w:rsidR="009672D2">
              <w:rPr>
                <w:sz w:val="18"/>
                <w:szCs w:val="18"/>
              </w:rPr>
              <w:t>84</w:t>
            </w:r>
          </w:p>
        </w:tc>
        <w:tc>
          <w:tcPr>
            <w:tcW w:w="1168" w:type="dxa"/>
            <w:tcBorders>
              <w:top w:val="single" w:sz="4" w:space="0" w:color="auto"/>
              <w:bottom w:val="single" w:sz="4" w:space="0" w:color="auto"/>
            </w:tcBorders>
          </w:tcPr>
          <w:p w14:paraId="46E13907" w14:textId="74291BCE" w:rsidR="00B615DD" w:rsidRPr="00B876C5" w:rsidRDefault="00354275" w:rsidP="00FB5887">
            <w:pPr>
              <w:keepNext/>
              <w:keepLines/>
              <w:spacing w:before="40" w:after="40"/>
              <w:jc w:val="right"/>
              <w:rPr>
                <w:sz w:val="18"/>
                <w:szCs w:val="18"/>
              </w:rPr>
            </w:pPr>
            <w:r>
              <w:rPr>
                <w:sz w:val="18"/>
                <w:szCs w:val="18"/>
              </w:rPr>
              <w:t>73</w:t>
            </w:r>
            <w:r w:rsidR="00A74F0F">
              <w:rPr>
                <w:sz w:val="18"/>
                <w:szCs w:val="18"/>
              </w:rPr>
              <w:t>8</w:t>
            </w:r>
          </w:p>
        </w:tc>
      </w:tr>
    </w:tbl>
    <w:p w14:paraId="7751B8FC" w14:textId="77777777" w:rsidR="005C1DB5" w:rsidRDefault="005C1DB5">
      <w:pPr>
        <w:spacing w:after="200" w:line="276" w:lineRule="auto"/>
        <w:jc w:val="left"/>
        <w:rPr>
          <w:b/>
        </w:rPr>
      </w:pPr>
      <w:r>
        <w:rPr>
          <w:b/>
        </w:rPr>
        <w:br w:type="page"/>
      </w:r>
    </w:p>
    <w:p w14:paraId="75EBBC9D" w14:textId="284B99A3" w:rsidR="00CF07BB" w:rsidRPr="007C690A" w:rsidRDefault="007C690A" w:rsidP="003A3886">
      <w:pPr>
        <w:pStyle w:val="ScheduleNumberedPara"/>
        <w:spacing w:before="240"/>
        <w:rPr>
          <w:b/>
        </w:rPr>
      </w:pPr>
      <w:r w:rsidRPr="007C690A">
        <w:rPr>
          <w:b/>
        </w:rPr>
        <w:lastRenderedPageBreak/>
        <w:t>Data / evidence</w:t>
      </w:r>
    </w:p>
    <w:p w14:paraId="6FAFC633" w14:textId="77777777" w:rsidR="00D03945" w:rsidRDefault="00CF07BB" w:rsidP="005C1DB5">
      <w:pPr>
        <w:pStyle w:val="ScheduleNumberedPara"/>
        <w:numPr>
          <w:ilvl w:val="2"/>
          <w:numId w:val="39"/>
        </w:numPr>
        <w:tabs>
          <w:tab w:val="num" w:pos="1134"/>
        </w:tabs>
        <w:spacing w:before="240"/>
        <w:ind w:left="1134" w:hanging="605"/>
        <w:jc w:val="left"/>
      </w:pPr>
      <w:r w:rsidRPr="006879D3">
        <w:t>Data/evidence to be used to measure achievement of</w:t>
      </w:r>
      <w:r w:rsidR="00956DFC">
        <w:t xml:space="preserve"> the</w:t>
      </w:r>
      <w:r w:rsidRPr="006879D3">
        <w:t xml:space="preserve"> performance benchmarks and/or milestones for </w:t>
      </w:r>
      <w:r w:rsidR="0016496A">
        <w:t>P</w:t>
      </w:r>
      <w:r w:rsidRPr="006879D3">
        <w:t>roject</w:t>
      </w:r>
      <w:r w:rsidR="0016496A">
        <w:t xml:space="preserve"> 1</w:t>
      </w:r>
      <w:r w:rsidRPr="006879D3">
        <w:t xml:space="preserve"> are</w:t>
      </w:r>
      <w:r w:rsidR="00D03945">
        <w:t xml:space="preserve"> in Table 5.</w:t>
      </w:r>
    </w:p>
    <w:p w14:paraId="2D7F57BD" w14:textId="77777777" w:rsidR="00CF07BB" w:rsidRPr="00F601E7" w:rsidRDefault="00D03945" w:rsidP="00F8379B">
      <w:pPr>
        <w:pStyle w:val="ScheduleNumberedPara"/>
      </w:pPr>
      <w:r w:rsidRPr="00F601E7">
        <w:t>Table 5: Data/evidence used to measure performance requirements</w:t>
      </w:r>
    </w:p>
    <w:tbl>
      <w:tblPr>
        <w:tblW w:w="0" w:type="auto"/>
        <w:tblLayout w:type="fixed"/>
        <w:tblLook w:val="01E0" w:firstRow="1" w:lastRow="1" w:firstColumn="1" w:lastColumn="1" w:noHBand="0" w:noVBand="0"/>
      </w:tblPr>
      <w:tblGrid>
        <w:gridCol w:w="3686"/>
        <w:gridCol w:w="5953"/>
      </w:tblGrid>
      <w:tr w:rsidR="00CF07BB" w:rsidRPr="006879D3" w14:paraId="4724FE54" w14:textId="77777777" w:rsidTr="00FB5633">
        <w:trPr>
          <w:cantSplit/>
          <w:trHeight w:val="380"/>
        </w:trPr>
        <w:tc>
          <w:tcPr>
            <w:tcW w:w="3686" w:type="dxa"/>
            <w:tcBorders>
              <w:top w:val="single" w:sz="4" w:space="0" w:color="auto"/>
              <w:bottom w:val="single" w:sz="4" w:space="0" w:color="auto"/>
            </w:tcBorders>
          </w:tcPr>
          <w:p w14:paraId="0955CA46" w14:textId="77777777" w:rsidR="00CF07BB" w:rsidRPr="006879D3" w:rsidRDefault="00CF07BB" w:rsidP="0027095D">
            <w:pPr>
              <w:keepNext/>
              <w:keepLines/>
              <w:spacing w:before="40" w:after="40"/>
              <w:jc w:val="left"/>
              <w:rPr>
                <w:b/>
                <w:sz w:val="18"/>
                <w:szCs w:val="18"/>
              </w:rPr>
            </w:pPr>
            <w:r w:rsidRPr="006879D3">
              <w:rPr>
                <w:b/>
                <w:sz w:val="18"/>
                <w:szCs w:val="18"/>
              </w:rPr>
              <w:t>Performance requirements</w:t>
            </w:r>
          </w:p>
        </w:tc>
        <w:tc>
          <w:tcPr>
            <w:tcW w:w="5953" w:type="dxa"/>
            <w:tcBorders>
              <w:top w:val="single" w:sz="4" w:space="0" w:color="auto"/>
              <w:bottom w:val="single" w:sz="4" w:space="0" w:color="auto"/>
            </w:tcBorders>
          </w:tcPr>
          <w:p w14:paraId="3B3DA663" w14:textId="77777777" w:rsidR="00CF07BB" w:rsidRPr="003A3886" w:rsidRDefault="00CF07BB" w:rsidP="0027095D">
            <w:pPr>
              <w:keepNext/>
              <w:keepLines/>
              <w:spacing w:before="40" w:after="40"/>
              <w:jc w:val="right"/>
              <w:rPr>
                <w:b/>
                <w:sz w:val="18"/>
                <w:szCs w:val="18"/>
              </w:rPr>
            </w:pPr>
            <w:r w:rsidRPr="003A3886">
              <w:rPr>
                <w:b/>
                <w:sz w:val="18"/>
                <w:szCs w:val="18"/>
              </w:rPr>
              <w:t>Data/evidence to be used for reporting</w:t>
            </w:r>
          </w:p>
        </w:tc>
      </w:tr>
      <w:tr w:rsidR="00CF07BB" w:rsidRPr="006879D3" w14:paraId="05C64706" w14:textId="77777777" w:rsidTr="00FB5633">
        <w:trPr>
          <w:cantSplit/>
          <w:trHeight w:val="380"/>
        </w:trPr>
        <w:tc>
          <w:tcPr>
            <w:tcW w:w="3686" w:type="dxa"/>
            <w:tcBorders>
              <w:top w:val="single" w:sz="4" w:space="0" w:color="auto"/>
              <w:bottom w:val="single" w:sz="4" w:space="0" w:color="auto"/>
            </w:tcBorders>
          </w:tcPr>
          <w:p w14:paraId="713DB89A" w14:textId="77777777" w:rsidR="000D719E" w:rsidRPr="00D8428D" w:rsidRDefault="00CF07BB" w:rsidP="0016496A">
            <w:pPr>
              <w:keepNext/>
              <w:keepLines/>
              <w:spacing w:before="60" w:after="60"/>
              <w:jc w:val="left"/>
              <w:rPr>
                <w:color w:val="auto"/>
                <w:sz w:val="18"/>
                <w:szCs w:val="18"/>
              </w:rPr>
            </w:pPr>
            <w:r w:rsidRPr="00D8428D">
              <w:rPr>
                <w:color w:val="auto"/>
                <w:sz w:val="18"/>
                <w:szCs w:val="18"/>
              </w:rPr>
              <w:t>Performance benchmark</w:t>
            </w:r>
            <w:r w:rsidR="000D719E" w:rsidRPr="00D8428D">
              <w:rPr>
                <w:color w:val="auto"/>
                <w:sz w:val="18"/>
                <w:szCs w:val="18"/>
              </w:rPr>
              <w:t>s</w:t>
            </w:r>
            <w:r w:rsidR="00A70C66" w:rsidRPr="00D8428D">
              <w:rPr>
                <w:color w:val="auto"/>
                <w:sz w:val="18"/>
                <w:szCs w:val="18"/>
              </w:rPr>
              <w:t xml:space="preserve">: </w:t>
            </w:r>
          </w:p>
          <w:p w14:paraId="67DFCED9" w14:textId="77777777" w:rsidR="000D719E" w:rsidRPr="00D8428D" w:rsidRDefault="00A70C66" w:rsidP="001F52B2">
            <w:pPr>
              <w:pStyle w:val="ListParagraph"/>
              <w:keepNext/>
              <w:keepLines/>
              <w:numPr>
                <w:ilvl w:val="0"/>
                <w:numId w:val="4"/>
              </w:numPr>
              <w:spacing w:before="60" w:after="60"/>
              <w:ind w:left="351" w:hanging="283"/>
              <w:jc w:val="left"/>
              <w:rPr>
                <w:color w:val="auto"/>
                <w:sz w:val="18"/>
                <w:szCs w:val="18"/>
              </w:rPr>
            </w:pPr>
            <w:r w:rsidRPr="00D8428D">
              <w:rPr>
                <w:color w:val="auto"/>
                <w:sz w:val="18"/>
                <w:szCs w:val="18"/>
              </w:rPr>
              <w:t>Apprenticeships</w:t>
            </w:r>
            <w:r w:rsidR="003A3886" w:rsidRPr="00D8428D">
              <w:rPr>
                <w:color w:val="auto"/>
                <w:sz w:val="18"/>
                <w:szCs w:val="18"/>
              </w:rPr>
              <w:t>/</w:t>
            </w:r>
            <w:r w:rsidR="00B51F7D" w:rsidRPr="00D8428D">
              <w:rPr>
                <w:color w:val="auto"/>
                <w:sz w:val="18"/>
                <w:szCs w:val="18"/>
              </w:rPr>
              <w:t>traineeships</w:t>
            </w:r>
          </w:p>
          <w:p w14:paraId="100F520C" w14:textId="77777777" w:rsidR="00AA3BE0" w:rsidRPr="00D8428D" w:rsidRDefault="00AA3BE0" w:rsidP="001F52B2">
            <w:pPr>
              <w:pStyle w:val="ListParagraph"/>
              <w:keepNext/>
              <w:keepLines/>
              <w:numPr>
                <w:ilvl w:val="0"/>
                <w:numId w:val="4"/>
              </w:numPr>
              <w:spacing w:before="60" w:after="60"/>
              <w:ind w:left="351" w:hanging="283"/>
              <w:jc w:val="left"/>
              <w:rPr>
                <w:color w:val="auto"/>
                <w:sz w:val="18"/>
                <w:szCs w:val="18"/>
              </w:rPr>
            </w:pPr>
            <w:r w:rsidRPr="00D8428D">
              <w:rPr>
                <w:color w:val="auto"/>
                <w:sz w:val="18"/>
                <w:szCs w:val="18"/>
              </w:rPr>
              <w:t>Pre</w:t>
            </w:r>
            <w:r w:rsidRPr="00D8428D">
              <w:rPr>
                <w:color w:val="auto"/>
                <w:sz w:val="18"/>
                <w:szCs w:val="18"/>
              </w:rPr>
              <w:noBreakHyphen/>
              <w:t>apprenticeships</w:t>
            </w:r>
            <w:r w:rsidR="003A3886" w:rsidRPr="00D8428D">
              <w:rPr>
                <w:color w:val="auto"/>
                <w:sz w:val="18"/>
                <w:szCs w:val="18"/>
              </w:rPr>
              <w:t>/</w:t>
            </w:r>
            <w:r w:rsidR="00B51F7D" w:rsidRPr="00D8428D">
              <w:rPr>
                <w:color w:val="auto"/>
                <w:sz w:val="18"/>
                <w:szCs w:val="18"/>
              </w:rPr>
              <w:t>traineeships</w:t>
            </w:r>
          </w:p>
          <w:p w14:paraId="36CB4976" w14:textId="77777777" w:rsidR="00CF07BB" w:rsidRPr="00D8428D" w:rsidRDefault="00AA3BE0" w:rsidP="001F52B2">
            <w:pPr>
              <w:pStyle w:val="ListParagraph"/>
              <w:keepNext/>
              <w:keepLines/>
              <w:numPr>
                <w:ilvl w:val="0"/>
                <w:numId w:val="4"/>
              </w:numPr>
              <w:spacing w:before="60" w:after="60"/>
              <w:ind w:left="351" w:hanging="283"/>
              <w:jc w:val="left"/>
              <w:rPr>
                <w:color w:val="auto"/>
                <w:sz w:val="18"/>
                <w:szCs w:val="18"/>
              </w:rPr>
            </w:pPr>
            <w:r w:rsidRPr="00D8428D">
              <w:rPr>
                <w:color w:val="auto"/>
                <w:sz w:val="18"/>
                <w:szCs w:val="18"/>
              </w:rPr>
              <w:t>Higher apprenticeships</w:t>
            </w:r>
          </w:p>
          <w:p w14:paraId="2FCE0910" w14:textId="77777777" w:rsidR="00126309" w:rsidRPr="00D8428D" w:rsidRDefault="00126309" w:rsidP="001F52B2">
            <w:pPr>
              <w:pStyle w:val="ListParagraph"/>
              <w:keepNext/>
              <w:keepLines/>
              <w:numPr>
                <w:ilvl w:val="0"/>
                <w:numId w:val="4"/>
              </w:numPr>
              <w:spacing w:before="60" w:after="60"/>
              <w:ind w:left="351" w:hanging="283"/>
              <w:jc w:val="left"/>
              <w:rPr>
                <w:color w:val="auto"/>
                <w:sz w:val="18"/>
                <w:szCs w:val="18"/>
              </w:rPr>
            </w:pPr>
            <w:r w:rsidRPr="00D8428D">
              <w:rPr>
                <w:color w:val="auto"/>
                <w:sz w:val="18"/>
                <w:szCs w:val="18"/>
              </w:rPr>
              <w:t>Like activity</w:t>
            </w:r>
          </w:p>
        </w:tc>
        <w:tc>
          <w:tcPr>
            <w:tcW w:w="5953" w:type="dxa"/>
            <w:tcBorders>
              <w:top w:val="single" w:sz="4" w:space="0" w:color="auto"/>
              <w:bottom w:val="single" w:sz="4" w:space="0" w:color="auto"/>
            </w:tcBorders>
          </w:tcPr>
          <w:p w14:paraId="0E3E7273" w14:textId="6B8F62CC" w:rsidR="00CF07BB" w:rsidRPr="00D8428D" w:rsidRDefault="002F370C" w:rsidP="00C2688A">
            <w:pPr>
              <w:keepNext/>
              <w:keepLines/>
              <w:spacing w:before="40" w:after="40"/>
              <w:jc w:val="left"/>
              <w:rPr>
                <w:color w:val="auto"/>
                <w:sz w:val="18"/>
                <w:szCs w:val="18"/>
              </w:rPr>
            </w:pPr>
            <w:r w:rsidRPr="00D8428D">
              <w:rPr>
                <w:color w:val="auto"/>
                <w:sz w:val="18"/>
                <w:szCs w:val="18"/>
              </w:rPr>
              <w:t xml:space="preserve">The measurement of commencements in all categories in scope of South Australia’s </w:t>
            </w:r>
            <w:r w:rsidR="0059587B" w:rsidRPr="00D8428D">
              <w:rPr>
                <w:color w:val="auto"/>
                <w:sz w:val="18"/>
                <w:szCs w:val="18"/>
              </w:rPr>
              <w:t>P</w:t>
            </w:r>
            <w:r w:rsidRPr="00D8428D">
              <w:rPr>
                <w:color w:val="auto"/>
                <w:sz w:val="18"/>
                <w:szCs w:val="18"/>
              </w:rPr>
              <w:t xml:space="preserve">roject under the Agreement will be based on </w:t>
            </w:r>
            <w:r w:rsidR="00957CA3" w:rsidRPr="00D8428D">
              <w:rPr>
                <w:color w:val="auto"/>
                <w:sz w:val="18"/>
                <w:szCs w:val="18"/>
              </w:rPr>
              <w:t>p</w:t>
            </w:r>
            <w:r w:rsidRPr="00D8428D">
              <w:rPr>
                <w:color w:val="auto"/>
                <w:sz w:val="18"/>
                <w:szCs w:val="18"/>
              </w:rPr>
              <w:t>rimary data source:</w:t>
            </w:r>
          </w:p>
          <w:p w14:paraId="0CB94BC5" w14:textId="77777777" w:rsidR="00C2688A" w:rsidRPr="00D8428D" w:rsidRDefault="00E46317" w:rsidP="00F648B1">
            <w:pPr>
              <w:pStyle w:val="ListParagraph"/>
              <w:keepNext/>
              <w:keepLines/>
              <w:numPr>
                <w:ilvl w:val="0"/>
                <w:numId w:val="38"/>
              </w:numPr>
              <w:spacing w:before="40" w:after="40"/>
              <w:jc w:val="left"/>
              <w:rPr>
                <w:color w:val="auto"/>
                <w:sz w:val="18"/>
                <w:szCs w:val="18"/>
              </w:rPr>
            </w:pPr>
            <w:r w:rsidRPr="00D8428D">
              <w:rPr>
                <w:color w:val="auto"/>
                <w:sz w:val="18"/>
                <w:szCs w:val="18"/>
              </w:rPr>
              <w:t xml:space="preserve">Department for </w:t>
            </w:r>
            <w:r w:rsidR="00033460" w:rsidRPr="00D8428D">
              <w:rPr>
                <w:color w:val="auto"/>
                <w:sz w:val="18"/>
                <w:szCs w:val="18"/>
              </w:rPr>
              <w:t xml:space="preserve">Innovation </w:t>
            </w:r>
            <w:r w:rsidRPr="00D8428D">
              <w:rPr>
                <w:color w:val="auto"/>
                <w:sz w:val="18"/>
                <w:szCs w:val="18"/>
              </w:rPr>
              <w:t xml:space="preserve">and Skills Apprenticeship and Traineeship </w:t>
            </w:r>
            <w:proofErr w:type="spellStart"/>
            <w:r w:rsidRPr="00D8428D">
              <w:rPr>
                <w:color w:val="auto"/>
                <w:sz w:val="18"/>
                <w:szCs w:val="18"/>
              </w:rPr>
              <w:t>onLine</w:t>
            </w:r>
            <w:proofErr w:type="spellEnd"/>
            <w:r w:rsidRPr="00D8428D">
              <w:rPr>
                <w:color w:val="auto"/>
                <w:sz w:val="18"/>
                <w:szCs w:val="18"/>
              </w:rPr>
              <w:t xml:space="preserve"> Application System (ATLAS)</w:t>
            </w:r>
            <w:r w:rsidR="00C2688A" w:rsidRPr="00D8428D">
              <w:rPr>
                <w:color w:val="auto"/>
                <w:sz w:val="18"/>
                <w:szCs w:val="18"/>
              </w:rPr>
              <w:t xml:space="preserve"> or</w:t>
            </w:r>
          </w:p>
          <w:p w14:paraId="3B9C7B90" w14:textId="77777777" w:rsidR="00180EB1" w:rsidRPr="00D8428D" w:rsidRDefault="00E46317" w:rsidP="00F648B1">
            <w:pPr>
              <w:pStyle w:val="ListParagraph"/>
              <w:keepNext/>
              <w:keepLines/>
              <w:numPr>
                <w:ilvl w:val="0"/>
                <w:numId w:val="38"/>
              </w:numPr>
              <w:spacing w:before="40" w:after="40"/>
              <w:jc w:val="left"/>
              <w:rPr>
                <w:color w:val="auto"/>
                <w:sz w:val="18"/>
                <w:szCs w:val="18"/>
              </w:rPr>
            </w:pPr>
            <w:r w:rsidRPr="00D8428D">
              <w:rPr>
                <w:color w:val="auto"/>
                <w:sz w:val="18"/>
                <w:szCs w:val="18"/>
              </w:rPr>
              <w:t xml:space="preserve">comparable </w:t>
            </w:r>
            <w:r w:rsidR="00410B8F" w:rsidRPr="00D8428D">
              <w:rPr>
                <w:color w:val="auto"/>
                <w:sz w:val="18"/>
                <w:szCs w:val="18"/>
              </w:rPr>
              <w:t xml:space="preserve">project reporting </w:t>
            </w:r>
            <w:r w:rsidR="0005783F" w:rsidRPr="00D8428D">
              <w:rPr>
                <w:color w:val="auto"/>
                <w:sz w:val="18"/>
                <w:szCs w:val="18"/>
              </w:rPr>
              <w:t>tools</w:t>
            </w:r>
            <w:r w:rsidR="00C2688A" w:rsidRPr="00D8428D">
              <w:rPr>
                <w:color w:val="auto"/>
                <w:sz w:val="18"/>
                <w:szCs w:val="18"/>
              </w:rPr>
              <w:t>.</w:t>
            </w:r>
          </w:p>
          <w:p w14:paraId="7D3D2996" w14:textId="02F34982" w:rsidR="00956DFC" w:rsidRPr="00D8428D" w:rsidRDefault="00956DFC" w:rsidP="00C2688A">
            <w:pPr>
              <w:keepNext/>
              <w:keepLines/>
              <w:spacing w:before="40" w:after="40"/>
              <w:jc w:val="left"/>
              <w:rPr>
                <w:color w:val="auto"/>
                <w:sz w:val="18"/>
                <w:szCs w:val="18"/>
              </w:rPr>
            </w:pPr>
            <w:r w:rsidRPr="00D8428D">
              <w:rPr>
                <w:color w:val="auto"/>
                <w:sz w:val="18"/>
                <w:szCs w:val="18"/>
              </w:rPr>
              <w:t xml:space="preserve">Data will be reported 1 July up to 30 April each financial year to support </w:t>
            </w:r>
            <w:r w:rsidR="0074186E" w:rsidRPr="00D8428D">
              <w:rPr>
                <w:color w:val="auto"/>
                <w:sz w:val="18"/>
                <w:szCs w:val="18"/>
              </w:rPr>
              <w:br/>
            </w:r>
            <w:r w:rsidRPr="00D8428D">
              <w:rPr>
                <w:color w:val="auto"/>
                <w:sz w:val="18"/>
                <w:szCs w:val="18"/>
              </w:rPr>
              <w:t>30 April reporting.</w:t>
            </w:r>
          </w:p>
          <w:p w14:paraId="2E715D60" w14:textId="4CE35BA2" w:rsidR="003A3886" w:rsidRPr="00D8428D" w:rsidRDefault="008F5A0C" w:rsidP="00C2688A">
            <w:pPr>
              <w:keepNext/>
              <w:keepLines/>
              <w:spacing w:before="40" w:after="40"/>
              <w:jc w:val="left"/>
              <w:rPr>
                <w:color w:val="auto"/>
                <w:sz w:val="18"/>
                <w:szCs w:val="18"/>
              </w:rPr>
            </w:pPr>
            <w:r w:rsidRPr="00D8428D">
              <w:rPr>
                <w:color w:val="auto"/>
                <w:sz w:val="18"/>
                <w:szCs w:val="18"/>
              </w:rPr>
              <w:t xml:space="preserve">The carrying forward of commencements above the total performance benchmark will require data to be reported </w:t>
            </w:r>
            <w:r w:rsidR="0059587B" w:rsidRPr="00D8428D">
              <w:rPr>
                <w:color w:val="auto"/>
                <w:sz w:val="18"/>
                <w:szCs w:val="18"/>
              </w:rPr>
              <w:t xml:space="preserve">on 30 April for the period </w:t>
            </w:r>
            <w:r w:rsidRPr="00D8428D">
              <w:rPr>
                <w:color w:val="auto"/>
                <w:sz w:val="18"/>
                <w:szCs w:val="18"/>
              </w:rPr>
              <w:t xml:space="preserve">1 July to 30 June in the </w:t>
            </w:r>
            <w:r w:rsidR="0059587B" w:rsidRPr="00D8428D">
              <w:rPr>
                <w:color w:val="auto"/>
                <w:sz w:val="18"/>
                <w:szCs w:val="18"/>
              </w:rPr>
              <w:t xml:space="preserve">preceding </w:t>
            </w:r>
            <w:r w:rsidRPr="00D8428D">
              <w:rPr>
                <w:color w:val="auto"/>
                <w:sz w:val="18"/>
                <w:szCs w:val="18"/>
              </w:rPr>
              <w:t>financial year.</w:t>
            </w:r>
          </w:p>
          <w:p w14:paraId="493F2C2B" w14:textId="35980510" w:rsidR="005676D9" w:rsidRPr="00D8428D" w:rsidRDefault="005676D9" w:rsidP="00C2688A">
            <w:pPr>
              <w:keepNext/>
              <w:keepLines/>
              <w:spacing w:before="40" w:after="40"/>
              <w:jc w:val="left"/>
              <w:rPr>
                <w:color w:val="auto"/>
                <w:sz w:val="18"/>
                <w:szCs w:val="18"/>
              </w:rPr>
            </w:pPr>
            <w:bookmarkStart w:id="4" w:name="_Hlk62651740"/>
            <w:r w:rsidRPr="00D8428D">
              <w:rPr>
                <w:color w:val="auto"/>
                <w:sz w:val="18"/>
                <w:szCs w:val="18"/>
              </w:rPr>
              <w:t>Any commencements counted are not intended to duplicate training efforts under the JobTrainer program.</w:t>
            </w:r>
          </w:p>
          <w:bookmarkEnd w:id="4"/>
          <w:p w14:paraId="4E17E558" w14:textId="77777777" w:rsidR="00956DFC" w:rsidRPr="00D8428D" w:rsidRDefault="00EF2347" w:rsidP="009F24B6">
            <w:pPr>
              <w:keepNext/>
              <w:keepLines/>
              <w:spacing w:before="40" w:after="40"/>
              <w:jc w:val="left"/>
              <w:rPr>
                <w:color w:val="auto"/>
                <w:sz w:val="18"/>
                <w:szCs w:val="18"/>
              </w:rPr>
            </w:pPr>
            <w:r w:rsidRPr="00D8428D">
              <w:rPr>
                <w:color w:val="auto"/>
                <w:sz w:val="18"/>
                <w:szCs w:val="18"/>
              </w:rPr>
              <w:t xml:space="preserve">All data will be </w:t>
            </w:r>
            <w:r w:rsidR="001F52B2" w:rsidRPr="00D8428D">
              <w:rPr>
                <w:color w:val="auto"/>
                <w:sz w:val="18"/>
                <w:szCs w:val="18"/>
              </w:rPr>
              <w:t xml:space="preserve">signed </w:t>
            </w:r>
            <w:r w:rsidRPr="00D8428D">
              <w:rPr>
                <w:color w:val="auto"/>
                <w:sz w:val="18"/>
                <w:szCs w:val="18"/>
              </w:rPr>
              <w:t xml:space="preserve">off as a true and accurate record of achievement by the </w:t>
            </w:r>
            <w:r w:rsidR="001F52B2" w:rsidRPr="00D8428D">
              <w:rPr>
                <w:color w:val="auto"/>
                <w:sz w:val="18"/>
                <w:szCs w:val="18"/>
              </w:rPr>
              <w:t xml:space="preserve">Executive </w:t>
            </w:r>
            <w:r w:rsidRPr="00D8428D">
              <w:rPr>
                <w:color w:val="auto"/>
                <w:sz w:val="18"/>
                <w:szCs w:val="18"/>
              </w:rPr>
              <w:t xml:space="preserve">Director of </w:t>
            </w:r>
            <w:r w:rsidR="001F52B2" w:rsidRPr="00D8428D">
              <w:rPr>
                <w:color w:val="auto"/>
                <w:sz w:val="18"/>
                <w:szCs w:val="18"/>
              </w:rPr>
              <w:t>Department for Innovation and Skills</w:t>
            </w:r>
            <w:r w:rsidRPr="00D8428D">
              <w:rPr>
                <w:color w:val="auto"/>
                <w:sz w:val="18"/>
                <w:szCs w:val="18"/>
              </w:rPr>
              <w:t xml:space="preserve"> or an equivalent author</w:t>
            </w:r>
            <w:r w:rsidR="001F52B2" w:rsidRPr="00D8428D">
              <w:rPr>
                <w:color w:val="auto"/>
                <w:sz w:val="18"/>
                <w:szCs w:val="18"/>
              </w:rPr>
              <w:t>ised senior offic</w:t>
            </w:r>
            <w:r w:rsidR="00D270C5" w:rsidRPr="00D8428D">
              <w:rPr>
                <w:color w:val="auto"/>
                <w:sz w:val="18"/>
                <w:szCs w:val="18"/>
              </w:rPr>
              <w:t>er</w:t>
            </w:r>
            <w:r w:rsidRPr="00D8428D">
              <w:rPr>
                <w:color w:val="auto"/>
                <w:sz w:val="18"/>
                <w:szCs w:val="18"/>
              </w:rPr>
              <w:t>.</w:t>
            </w:r>
          </w:p>
        </w:tc>
      </w:tr>
      <w:tr w:rsidR="00CF07BB" w:rsidRPr="006879D3" w14:paraId="2BB84FB7" w14:textId="77777777" w:rsidTr="00FB5633">
        <w:trPr>
          <w:cantSplit/>
          <w:trHeight w:val="380"/>
        </w:trPr>
        <w:tc>
          <w:tcPr>
            <w:tcW w:w="3686" w:type="dxa"/>
            <w:tcBorders>
              <w:top w:val="single" w:sz="4" w:space="0" w:color="auto"/>
              <w:bottom w:val="single" w:sz="4" w:space="0" w:color="auto"/>
            </w:tcBorders>
          </w:tcPr>
          <w:p w14:paraId="229F73CB" w14:textId="77777777" w:rsidR="002F370C" w:rsidRPr="006879D3" w:rsidRDefault="00CF07BB" w:rsidP="007C68C7">
            <w:pPr>
              <w:keepNext/>
              <w:keepLines/>
              <w:spacing w:before="60" w:after="60"/>
              <w:jc w:val="left"/>
              <w:rPr>
                <w:sz w:val="18"/>
                <w:szCs w:val="18"/>
              </w:rPr>
            </w:pPr>
            <w:r w:rsidRPr="006879D3">
              <w:rPr>
                <w:sz w:val="18"/>
                <w:szCs w:val="18"/>
              </w:rPr>
              <w:t>Milestone</w:t>
            </w:r>
            <w:r w:rsidR="00BF6D98">
              <w:rPr>
                <w:sz w:val="18"/>
                <w:szCs w:val="18"/>
              </w:rPr>
              <w:t>s</w:t>
            </w:r>
          </w:p>
          <w:p w14:paraId="5A29F894" w14:textId="77777777" w:rsidR="00BF6D98" w:rsidRPr="002F370C" w:rsidRDefault="00BF6D98" w:rsidP="007C68C7">
            <w:pPr>
              <w:keepNext/>
              <w:keepLines/>
              <w:spacing w:before="60" w:after="60"/>
              <w:jc w:val="left"/>
              <w:rPr>
                <w:sz w:val="18"/>
                <w:szCs w:val="18"/>
              </w:rPr>
            </w:pPr>
          </w:p>
        </w:tc>
        <w:tc>
          <w:tcPr>
            <w:tcW w:w="5953" w:type="dxa"/>
            <w:tcBorders>
              <w:top w:val="single" w:sz="4" w:space="0" w:color="auto"/>
              <w:bottom w:val="single" w:sz="4" w:space="0" w:color="auto"/>
            </w:tcBorders>
          </w:tcPr>
          <w:p w14:paraId="17322AB2" w14:textId="77777777" w:rsidR="00D270C5" w:rsidRDefault="00456F29" w:rsidP="007C68C7">
            <w:pPr>
              <w:keepNext/>
              <w:keepLines/>
              <w:spacing w:before="40" w:after="40"/>
              <w:jc w:val="left"/>
              <w:rPr>
                <w:sz w:val="18"/>
                <w:szCs w:val="18"/>
              </w:rPr>
            </w:pPr>
            <w:r>
              <w:rPr>
                <w:sz w:val="18"/>
                <w:szCs w:val="18"/>
              </w:rPr>
              <w:t xml:space="preserve">Short report outlining what has been achieved including how the activities have been undertaken and completed and who has been engaged in delivering the activities to achieve the milestones. </w:t>
            </w:r>
          </w:p>
          <w:p w14:paraId="7A9CBBD6" w14:textId="77777777" w:rsidR="00456F29" w:rsidRDefault="00456F29" w:rsidP="007C68C7">
            <w:pPr>
              <w:keepNext/>
              <w:keepLines/>
              <w:spacing w:before="40" w:after="40"/>
              <w:jc w:val="left"/>
              <w:rPr>
                <w:sz w:val="18"/>
                <w:szCs w:val="18"/>
              </w:rPr>
            </w:pPr>
            <w:r>
              <w:rPr>
                <w:sz w:val="18"/>
                <w:szCs w:val="18"/>
              </w:rPr>
              <w:t>The report is to include evidence for the completion of milestones (e</w:t>
            </w:r>
            <w:r w:rsidR="00D270C5">
              <w:rPr>
                <w:sz w:val="18"/>
                <w:szCs w:val="18"/>
              </w:rPr>
              <w:t>.</w:t>
            </w:r>
            <w:r>
              <w:rPr>
                <w:sz w:val="18"/>
                <w:szCs w:val="18"/>
              </w:rPr>
              <w:t>g</w:t>
            </w:r>
            <w:r w:rsidR="00D270C5">
              <w:rPr>
                <w:sz w:val="18"/>
                <w:szCs w:val="18"/>
              </w:rPr>
              <w:t>.</w:t>
            </w:r>
            <w:r>
              <w:rPr>
                <w:sz w:val="18"/>
                <w:szCs w:val="18"/>
              </w:rPr>
              <w:t xml:space="preserve"> pub</w:t>
            </w:r>
            <w:r w:rsidR="00D270C5">
              <w:rPr>
                <w:sz w:val="18"/>
                <w:szCs w:val="18"/>
              </w:rPr>
              <w:t>li</w:t>
            </w:r>
            <w:r w:rsidR="000A5F1B">
              <w:rPr>
                <w:sz w:val="18"/>
                <w:szCs w:val="18"/>
              </w:rPr>
              <w:t xml:space="preserve">cly available </w:t>
            </w:r>
            <w:r w:rsidR="00D270C5">
              <w:rPr>
                <w:sz w:val="18"/>
                <w:szCs w:val="18"/>
              </w:rPr>
              <w:t xml:space="preserve">materials, </w:t>
            </w:r>
            <w:r w:rsidR="000A5F1B">
              <w:rPr>
                <w:sz w:val="18"/>
                <w:szCs w:val="18"/>
              </w:rPr>
              <w:t xml:space="preserve">references to published </w:t>
            </w:r>
            <w:r w:rsidR="00D270C5">
              <w:rPr>
                <w:sz w:val="18"/>
                <w:szCs w:val="18"/>
              </w:rPr>
              <w:t xml:space="preserve">website links, and internal records or </w:t>
            </w:r>
            <w:r>
              <w:rPr>
                <w:sz w:val="18"/>
                <w:szCs w:val="18"/>
              </w:rPr>
              <w:t>reports).</w:t>
            </w:r>
          </w:p>
          <w:p w14:paraId="69DF0464" w14:textId="77777777" w:rsidR="00247436" w:rsidRPr="00BF6D98" w:rsidRDefault="00BF6D98" w:rsidP="00D270C5">
            <w:pPr>
              <w:keepNext/>
              <w:keepLines/>
              <w:spacing w:before="40" w:after="40"/>
              <w:jc w:val="left"/>
              <w:rPr>
                <w:sz w:val="18"/>
                <w:szCs w:val="18"/>
              </w:rPr>
            </w:pPr>
            <w:r>
              <w:rPr>
                <w:sz w:val="18"/>
                <w:szCs w:val="18"/>
              </w:rPr>
              <w:t>All milestones will be signed off as</w:t>
            </w:r>
            <w:r w:rsidR="00D270C5">
              <w:rPr>
                <w:sz w:val="18"/>
                <w:szCs w:val="18"/>
              </w:rPr>
              <w:t xml:space="preserve"> a</w:t>
            </w:r>
            <w:r>
              <w:rPr>
                <w:sz w:val="18"/>
                <w:szCs w:val="18"/>
              </w:rPr>
              <w:t xml:space="preserve"> true and accurate record of achievement </w:t>
            </w:r>
            <w:r w:rsidR="007C68C7" w:rsidRPr="001A79EC">
              <w:rPr>
                <w:sz w:val="18"/>
                <w:szCs w:val="18"/>
              </w:rPr>
              <w:t xml:space="preserve">by the </w:t>
            </w:r>
            <w:r w:rsidR="007C68C7">
              <w:rPr>
                <w:sz w:val="18"/>
                <w:szCs w:val="18"/>
              </w:rPr>
              <w:t xml:space="preserve">Executive </w:t>
            </w:r>
            <w:r w:rsidR="007C68C7" w:rsidRPr="001A79EC">
              <w:rPr>
                <w:sz w:val="18"/>
                <w:szCs w:val="18"/>
              </w:rPr>
              <w:t xml:space="preserve">Director of </w:t>
            </w:r>
            <w:r w:rsidR="007C68C7">
              <w:rPr>
                <w:sz w:val="18"/>
                <w:szCs w:val="18"/>
              </w:rPr>
              <w:t>Department for Innovation and Skills</w:t>
            </w:r>
            <w:r w:rsidR="007C68C7" w:rsidRPr="001A79EC">
              <w:rPr>
                <w:sz w:val="18"/>
                <w:szCs w:val="18"/>
              </w:rPr>
              <w:t xml:space="preserve"> or </w:t>
            </w:r>
            <w:r w:rsidR="007C68C7">
              <w:rPr>
                <w:sz w:val="18"/>
                <w:szCs w:val="18"/>
              </w:rPr>
              <w:t>an equivalent authorised senior offic</w:t>
            </w:r>
            <w:r w:rsidR="00D270C5">
              <w:rPr>
                <w:sz w:val="18"/>
                <w:szCs w:val="18"/>
              </w:rPr>
              <w:t>er</w:t>
            </w:r>
            <w:r w:rsidR="007C68C7" w:rsidRPr="001A79EC">
              <w:rPr>
                <w:sz w:val="18"/>
                <w:szCs w:val="18"/>
              </w:rPr>
              <w:t>.</w:t>
            </w:r>
          </w:p>
        </w:tc>
      </w:tr>
      <w:tr w:rsidR="00E63CC8" w:rsidRPr="006879D3" w14:paraId="6F3989E3" w14:textId="77777777" w:rsidTr="00FB5633">
        <w:trPr>
          <w:cantSplit/>
          <w:trHeight w:val="380"/>
        </w:trPr>
        <w:tc>
          <w:tcPr>
            <w:tcW w:w="3686" w:type="dxa"/>
            <w:tcBorders>
              <w:top w:val="single" w:sz="4" w:space="0" w:color="auto"/>
              <w:bottom w:val="single" w:sz="4" w:space="0" w:color="auto"/>
            </w:tcBorders>
            <w:vAlign w:val="center"/>
          </w:tcPr>
          <w:p w14:paraId="58D6DBB9" w14:textId="77777777" w:rsidR="00E63CC8" w:rsidRPr="00185F99" w:rsidRDefault="00E63CC8" w:rsidP="00E63CC8">
            <w:pPr>
              <w:keepNext/>
              <w:keepLines/>
              <w:spacing w:after="60"/>
              <w:rPr>
                <w:sz w:val="18"/>
                <w:szCs w:val="18"/>
              </w:rPr>
            </w:pPr>
            <w:r w:rsidRPr="00185F99">
              <w:rPr>
                <w:sz w:val="18"/>
                <w:szCs w:val="18"/>
              </w:rPr>
              <w:t xml:space="preserve">Matched funding </w:t>
            </w:r>
          </w:p>
          <w:p w14:paraId="45B8238B" w14:textId="77777777" w:rsidR="00E63CC8" w:rsidRPr="00185F99" w:rsidRDefault="00E63CC8" w:rsidP="00E63CC8">
            <w:pPr>
              <w:keepNext/>
              <w:keepLines/>
              <w:spacing w:after="60"/>
              <w:rPr>
                <w:sz w:val="18"/>
                <w:szCs w:val="18"/>
              </w:rPr>
            </w:pPr>
          </w:p>
          <w:p w14:paraId="44387572" w14:textId="77777777" w:rsidR="00E63CC8" w:rsidRPr="00185F99" w:rsidRDefault="00E63CC8" w:rsidP="00D40047"/>
        </w:tc>
        <w:tc>
          <w:tcPr>
            <w:tcW w:w="5953" w:type="dxa"/>
            <w:tcBorders>
              <w:top w:val="single" w:sz="4" w:space="0" w:color="auto"/>
              <w:bottom w:val="single" w:sz="4" w:space="0" w:color="auto"/>
            </w:tcBorders>
            <w:vAlign w:val="center"/>
          </w:tcPr>
          <w:p w14:paraId="44FE6A1C" w14:textId="7CEC7D56" w:rsidR="000D7393" w:rsidRPr="00185F99" w:rsidRDefault="00E63CC8" w:rsidP="000D7393">
            <w:pPr>
              <w:keepNext/>
              <w:keepLines/>
              <w:spacing w:before="40" w:after="40"/>
              <w:jc w:val="left"/>
              <w:rPr>
                <w:sz w:val="18"/>
                <w:szCs w:val="18"/>
              </w:rPr>
            </w:pPr>
            <w:r w:rsidRPr="00185F99">
              <w:rPr>
                <w:sz w:val="18"/>
                <w:szCs w:val="18"/>
              </w:rPr>
              <w:t>A statement</w:t>
            </w:r>
            <w:r w:rsidR="008F5A0C" w:rsidRPr="00185F99">
              <w:rPr>
                <w:sz w:val="18"/>
                <w:szCs w:val="18"/>
              </w:rPr>
              <w:t xml:space="preserve"> </w:t>
            </w:r>
            <w:r w:rsidRPr="00185F99">
              <w:rPr>
                <w:sz w:val="18"/>
                <w:szCs w:val="18"/>
              </w:rPr>
              <w:t xml:space="preserve">that </w:t>
            </w:r>
            <w:r w:rsidR="00BF6D98" w:rsidRPr="00185F99">
              <w:rPr>
                <w:sz w:val="18"/>
                <w:szCs w:val="18"/>
              </w:rPr>
              <w:t>South Australia</w:t>
            </w:r>
            <w:r w:rsidRPr="00185F99">
              <w:rPr>
                <w:sz w:val="18"/>
                <w:szCs w:val="18"/>
              </w:rPr>
              <w:t>’s</w:t>
            </w:r>
            <w:r w:rsidR="00926F16" w:rsidRPr="00185F99">
              <w:rPr>
                <w:sz w:val="18"/>
                <w:szCs w:val="18"/>
              </w:rPr>
              <w:t xml:space="preserve"> annual budget for</w:t>
            </w:r>
            <w:r w:rsidRPr="00185F99">
              <w:rPr>
                <w:sz w:val="18"/>
                <w:szCs w:val="18"/>
              </w:rPr>
              <w:t xml:space="preserve"> </w:t>
            </w:r>
            <w:r w:rsidR="002F370C" w:rsidRPr="00185F99">
              <w:rPr>
                <w:sz w:val="18"/>
                <w:szCs w:val="18"/>
              </w:rPr>
              <w:t xml:space="preserve">the </w:t>
            </w:r>
            <w:r w:rsidRPr="00185F99">
              <w:rPr>
                <w:sz w:val="18"/>
                <w:szCs w:val="18"/>
              </w:rPr>
              <w:t>project</w:t>
            </w:r>
            <w:r w:rsidR="000A5F1B">
              <w:rPr>
                <w:sz w:val="18"/>
                <w:szCs w:val="18"/>
              </w:rPr>
              <w:t>(</w:t>
            </w:r>
            <w:proofErr w:type="gramStart"/>
            <w:r w:rsidRPr="00185F99">
              <w:rPr>
                <w:sz w:val="18"/>
                <w:szCs w:val="18"/>
              </w:rPr>
              <w:t>s</w:t>
            </w:r>
            <w:r w:rsidR="000A5F1B">
              <w:rPr>
                <w:sz w:val="18"/>
                <w:szCs w:val="18"/>
              </w:rPr>
              <w:t>)</w:t>
            </w:r>
            <w:r w:rsidRPr="00185F99">
              <w:rPr>
                <w:sz w:val="18"/>
                <w:szCs w:val="18"/>
              </w:rPr>
              <w:t xml:space="preserve"> </w:t>
            </w:r>
            <w:r w:rsidR="00854B58">
              <w:rPr>
                <w:sz w:val="18"/>
                <w:szCs w:val="18"/>
              </w:rPr>
              <w:t xml:space="preserve"> </w:t>
            </w:r>
            <w:r w:rsidRPr="00185F99">
              <w:rPr>
                <w:sz w:val="18"/>
                <w:szCs w:val="18"/>
              </w:rPr>
              <w:t>at</w:t>
            </w:r>
            <w:proofErr w:type="gramEnd"/>
            <w:r w:rsidRPr="00185F99">
              <w:rPr>
                <w:sz w:val="18"/>
                <w:szCs w:val="18"/>
              </w:rPr>
              <w:t xml:space="preserve"> least matches the proposed Commonwealth contribution</w:t>
            </w:r>
            <w:r w:rsidR="005676D9">
              <w:rPr>
                <w:sz w:val="18"/>
                <w:szCs w:val="18"/>
              </w:rPr>
              <w:t xml:space="preserve"> </w:t>
            </w:r>
            <w:r w:rsidR="000D7393">
              <w:rPr>
                <w:sz w:val="18"/>
                <w:szCs w:val="18"/>
              </w:rPr>
              <w:t>(refer to Table 3), updated for any approved budget changes during the year.</w:t>
            </w:r>
            <w:r w:rsidRPr="00185F99">
              <w:rPr>
                <w:sz w:val="18"/>
                <w:szCs w:val="18"/>
              </w:rPr>
              <w:t xml:space="preserve">. This is to be signed by the </w:t>
            </w:r>
            <w:r w:rsidR="00854B58">
              <w:rPr>
                <w:sz w:val="18"/>
                <w:szCs w:val="18"/>
              </w:rPr>
              <w:t xml:space="preserve">Chief </w:t>
            </w:r>
            <w:r w:rsidRPr="00185F99">
              <w:rPr>
                <w:sz w:val="18"/>
                <w:szCs w:val="18"/>
              </w:rPr>
              <w:t>F</w:t>
            </w:r>
            <w:r w:rsidR="00854B58">
              <w:rPr>
                <w:sz w:val="18"/>
                <w:szCs w:val="18"/>
              </w:rPr>
              <w:t xml:space="preserve">inancial </w:t>
            </w:r>
            <w:r w:rsidRPr="00185F99">
              <w:rPr>
                <w:sz w:val="18"/>
                <w:szCs w:val="18"/>
              </w:rPr>
              <w:t>O</w:t>
            </w:r>
            <w:r w:rsidR="00854B58">
              <w:rPr>
                <w:sz w:val="18"/>
                <w:szCs w:val="18"/>
              </w:rPr>
              <w:t>fficer</w:t>
            </w:r>
            <w:r w:rsidRPr="00185F99">
              <w:rPr>
                <w:sz w:val="18"/>
                <w:szCs w:val="18"/>
              </w:rPr>
              <w:t xml:space="preserve"> </w:t>
            </w:r>
            <w:r w:rsidR="00854B58">
              <w:rPr>
                <w:sz w:val="18"/>
                <w:szCs w:val="18"/>
              </w:rPr>
              <w:t xml:space="preserve">(CFO) </w:t>
            </w:r>
            <w:r w:rsidRPr="00185F99">
              <w:rPr>
                <w:sz w:val="18"/>
                <w:szCs w:val="18"/>
              </w:rPr>
              <w:t>or equivalent</w:t>
            </w:r>
            <w:r w:rsidR="00051F0B" w:rsidRPr="00185F99">
              <w:rPr>
                <w:sz w:val="18"/>
                <w:szCs w:val="18"/>
              </w:rPr>
              <w:t xml:space="preserve"> </w:t>
            </w:r>
            <w:r w:rsidR="007B1074" w:rsidRPr="00185F99">
              <w:rPr>
                <w:sz w:val="18"/>
                <w:szCs w:val="18"/>
              </w:rPr>
              <w:t xml:space="preserve">authorised senior </w:t>
            </w:r>
            <w:r w:rsidR="008F5A0C" w:rsidRPr="00185F99">
              <w:rPr>
                <w:sz w:val="18"/>
                <w:szCs w:val="18"/>
              </w:rPr>
              <w:t>offic</w:t>
            </w:r>
            <w:r w:rsidR="00D270C5" w:rsidRPr="00185F99">
              <w:rPr>
                <w:sz w:val="18"/>
                <w:szCs w:val="18"/>
              </w:rPr>
              <w:t>er</w:t>
            </w:r>
            <w:r w:rsidRPr="00185F99">
              <w:rPr>
                <w:sz w:val="18"/>
                <w:szCs w:val="18"/>
              </w:rPr>
              <w:t>.</w:t>
            </w:r>
          </w:p>
        </w:tc>
      </w:tr>
      <w:tr w:rsidR="00E63CC8" w:rsidRPr="006879D3" w14:paraId="585251F2" w14:textId="77777777" w:rsidTr="00FB5633">
        <w:trPr>
          <w:cantSplit/>
          <w:trHeight w:val="380"/>
        </w:trPr>
        <w:tc>
          <w:tcPr>
            <w:tcW w:w="3686" w:type="dxa"/>
            <w:tcBorders>
              <w:top w:val="single" w:sz="4" w:space="0" w:color="auto"/>
              <w:bottom w:val="single" w:sz="4" w:space="0" w:color="auto"/>
            </w:tcBorders>
            <w:vAlign w:val="center"/>
          </w:tcPr>
          <w:p w14:paraId="0D6BC1E1" w14:textId="77777777" w:rsidR="00E63CC8" w:rsidRPr="009906F5" w:rsidRDefault="00E63CC8" w:rsidP="00E63CC8">
            <w:pPr>
              <w:keepNext/>
              <w:keepLines/>
              <w:spacing w:before="60" w:after="60"/>
              <w:rPr>
                <w:sz w:val="18"/>
                <w:szCs w:val="18"/>
              </w:rPr>
            </w:pPr>
            <w:r w:rsidRPr="009906F5">
              <w:rPr>
                <w:sz w:val="18"/>
                <w:szCs w:val="18"/>
              </w:rPr>
              <w:t>Budget benchmark</w:t>
            </w:r>
          </w:p>
          <w:p w14:paraId="79F98451" w14:textId="77777777" w:rsidR="00E63CC8" w:rsidRPr="00995C45" w:rsidRDefault="00E63CC8" w:rsidP="00E63CC8">
            <w:pPr>
              <w:keepNext/>
              <w:keepLines/>
              <w:spacing w:before="60" w:after="60"/>
              <w:rPr>
                <w:sz w:val="18"/>
                <w:szCs w:val="18"/>
              </w:rPr>
            </w:pPr>
          </w:p>
          <w:p w14:paraId="7455FE60" w14:textId="77777777" w:rsidR="00E63CC8" w:rsidRPr="00A52965" w:rsidRDefault="00E63CC8" w:rsidP="00D40047"/>
        </w:tc>
        <w:tc>
          <w:tcPr>
            <w:tcW w:w="5953" w:type="dxa"/>
            <w:tcBorders>
              <w:top w:val="single" w:sz="4" w:space="0" w:color="auto"/>
              <w:bottom w:val="single" w:sz="4" w:space="0" w:color="auto"/>
            </w:tcBorders>
            <w:vAlign w:val="center"/>
          </w:tcPr>
          <w:p w14:paraId="220C98E5" w14:textId="77777777" w:rsidR="00E63CC8" w:rsidRDefault="00E63CC8" w:rsidP="00854B58">
            <w:pPr>
              <w:keepNext/>
              <w:keepLines/>
              <w:spacing w:before="40" w:after="40"/>
              <w:jc w:val="left"/>
              <w:rPr>
                <w:sz w:val="18"/>
                <w:szCs w:val="18"/>
              </w:rPr>
            </w:pPr>
            <w:r>
              <w:rPr>
                <w:sz w:val="18"/>
                <w:szCs w:val="18"/>
              </w:rPr>
              <w:t>A statement</w:t>
            </w:r>
            <w:r w:rsidR="00456F29">
              <w:rPr>
                <w:sz w:val="18"/>
                <w:szCs w:val="18"/>
              </w:rPr>
              <w:t xml:space="preserve"> </w:t>
            </w:r>
            <w:r>
              <w:rPr>
                <w:sz w:val="18"/>
                <w:szCs w:val="18"/>
              </w:rPr>
              <w:t xml:space="preserve">that </w:t>
            </w:r>
            <w:r w:rsidR="00BF6D98">
              <w:rPr>
                <w:sz w:val="18"/>
                <w:szCs w:val="18"/>
              </w:rPr>
              <w:t>South Australia</w:t>
            </w:r>
            <w:r>
              <w:rPr>
                <w:sz w:val="18"/>
                <w:szCs w:val="18"/>
              </w:rPr>
              <w:t xml:space="preserve">’s </w:t>
            </w:r>
            <w:r w:rsidRPr="00EE31B7">
              <w:rPr>
                <w:sz w:val="18"/>
                <w:szCs w:val="18"/>
              </w:rPr>
              <w:t xml:space="preserve">annual budget for </w:t>
            </w:r>
            <w:r w:rsidR="00854B58">
              <w:rPr>
                <w:sz w:val="18"/>
                <w:szCs w:val="18"/>
              </w:rPr>
              <w:t xml:space="preserve">vocational education and training </w:t>
            </w:r>
            <w:r w:rsidRPr="00EE31B7">
              <w:rPr>
                <w:sz w:val="18"/>
                <w:szCs w:val="18"/>
              </w:rPr>
              <w:t xml:space="preserve">at least equals their budget benchmark calculated using the same methods in clause 2 of this </w:t>
            </w:r>
            <w:r w:rsidR="000A5F1B">
              <w:rPr>
                <w:sz w:val="18"/>
                <w:szCs w:val="18"/>
              </w:rPr>
              <w:t>schedule</w:t>
            </w:r>
            <w:r w:rsidRPr="00EE31B7">
              <w:rPr>
                <w:sz w:val="18"/>
                <w:szCs w:val="18"/>
              </w:rPr>
              <w:t>. This is to be signed by the CFO or equivalent</w:t>
            </w:r>
            <w:r w:rsidR="00051F0B">
              <w:rPr>
                <w:sz w:val="18"/>
                <w:szCs w:val="18"/>
              </w:rPr>
              <w:t xml:space="preserve"> </w:t>
            </w:r>
            <w:r w:rsidR="007B1074">
              <w:rPr>
                <w:sz w:val="18"/>
                <w:szCs w:val="18"/>
              </w:rPr>
              <w:t xml:space="preserve">authorised senior </w:t>
            </w:r>
            <w:r w:rsidR="008F5A0C">
              <w:rPr>
                <w:sz w:val="18"/>
                <w:szCs w:val="18"/>
              </w:rPr>
              <w:t>offic</w:t>
            </w:r>
            <w:r w:rsidR="00BA2173">
              <w:rPr>
                <w:sz w:val="18"/>
                <w:szCs w:val="18"/>
              </w:rPr>
              <w:t>er</w:t>
            </w:r>
            <w:r>
              <w:rPr>
                <w:sz w:val="18"/>
                <w:szCs w:val="18"/>
              </w:rPr>
              <w:t>.</w:t>
            </w:r>
          </w:p>
        </w:tc>
      </w:tr>
    </w:tbl>
    <w:p w14:paraId="691E9910" w14:textId="4CE18BBE" w:rsidR="00A764A0" w:rsidRDefault="00A764A0" w:rsidP="00CF07BB">
      <w:pPr>
        <w:pStyle w:val="ScheduleNumberedPara"/>
        <w:spacing w:before="120" w:after="120"/>
      </w:pPr>
    </w:p>
    <w:p w14:paraId="03BAC55A" w14:textId="77777777" w:rsidR="00A764A0" w:rsidRDefault="00A764A0">
      <w:pPr>
        <w:spacing w:after="200" w:line="276" w:lineRule="auto"/>
        <w:jc w:val="left"/>
      </w:pPr>
      <w:r>
        <w:br w:type="page"/>
      </w:r>
    </w:p>
    <w:p w14:paraId="55E2E715" w14:textId="77777777" w:rsidR="009C454E" w:rsidRPr="006879D3" w:rsidRDefault="009C454E" w:rsidP="00FB5633">
      <w:pPr>
        <w:pStyle w:val="Heading1"/>
        <w:spacing w:before="240"/>
      </w:pPr>
      <w:r w:rsidRPr="006879D3">
        <w:lastRenderedPageBreak/>
        <w:t xml:space="preserve">Part 4 – </w:t>
      </w:r>
      <w:r w:rsidR="00A52965" w:rsidRPr="006879D3">
        <w:t>PERFORMANCE</w:t>
      </w:r>
      <w:r w:rsidRPr="006879D3">
        <w:t xml:space="preserve"> BENCHMARKS</w:t>
      </w:r>
      <w:r w:rsidR="00BB7FF4" w:rsidRPr="006879D3">
        <w:t xml:space="preserve"> and</w:t>
      </w:r>
      <w:r w:rsidRPr="006879D3">
        <w:t>/</w:t>
      </w:r>
      <w:r w:rsidR="00BB7FF4" w:rsidRPr="006879D3">
        <w:t>or</w:t>
      </w:r>
      <w:r w:rsidR="00CF07BB" w:rsidRPr="006879D3">
        <w:t xml:space="preserve"> </w:t>
      </w:r>
      <w:r w:rsidRPr="006879D3">
        <w:t>Milestones, Reporting and Payments</w:t>
      </w:r>
    </w:p>
    <w:p w14:paraId="7CC7FC86" w14:textId="77777777" w:rsidR="006A37C2" w:rsidRPr="006A37C2" w:rsidRDefault="006A37C2" w:rsidP="005C1DB5">
      <w:pPr>
        <w:pStyle w:val="ScheduleNumberedPara"/>
        <w:numPr>
          <w:ilvl w:val="1"/>
          <w:numId w:val="1"/>
        </w:numPr>
        <w:tabs>
          <w:tab w:val="num" w:pos="2268"/>
        </w:tabs>
        <w:jc w:val="left"/>
      </w:pPr>
      <w:r w:rsidRPr="006A37C2">
        <w:t xml:space="preserve">The total performance benchmark is the addition of the baseline commencement plus the additional commencement target for a given </w:t>
      </w:r>
      <w:r w:rsidR="007B1074">
        <w:t>training activity</w:t>
      </w:r>
      <w:r w:rsidRPr="006A37C2">
        <w:t xml:space="preserve"> type. </w:t>
      </w:r>
    </w:p>
    <w:p w14:paraId="1F2F901A" w14:textId="40698BD9" w:rsidR="00577605" w:rsidRPr="006879D3" w:rsidRDefault="00577605" w:rsidP="005C1DB5">
      <w:pPr>
        <w:pStyle w:val="ScheduleNumberedPara"/>
        <w:numPr>
          <w:ilvl w:val="1"/>
          <w:numId w:val="1"/>
        </w:numPr>
        <w:tabs>
          <w:tab w:val="num" w:pos="2268"/>
        </w:tabs>
        <w:jc w:val="left"/>
      </w:pPr>
      <w:r w:rsidRPr="006879D3">
        <w:t xml:space="preserve">Table </w:t>
      </w:r>
      <w:r w:rsidR="00D03945">
        <w:t>6</w:t>
      </w:r>
      <w:r w:rsidRPr="006879D3">
        <w:t xml:space="preserve"> summarises the </w:t>
      </w:r>
      <w:r w:rsidR="009C454E" w:rsidRPr="006879D3">
        <w:t xml:space="preserve">performance benchmarks and </w:t>
      </w:r>
      <w:r w:rsidRPr="006879D3">
        <w:t xml:space="preserve">milestones for </w:t>
      </w:r>
      <w:r w:rsidR="007836E3">
        <w:t xml:space="preserve">the </w:t>
      </w:r>
      <w:r w:rsidR="009C454E" w:rsidRPr="006879D3">
        <w:t>agreed</w:t>
      </w:r>
      <w:r w:rsidRPr="006879D3">
        <w:t xml:space="preserve"> project, </w:t>
      </w:r>
      <w:r w:rsidR="009C454E" w:rsidRPr="006879D3">
        <w:t>r</w:t>
      </w:r>
      <w:r w:rsidRPr="006879D3">
        <w:t>elevant reporting dates and expected payments to be made.</w:t>
      </w:r>
      <w:r w:rsidR="00076417" w:rsidRPr="006879D3">
        <w:t xml:space="preserve">  </w:t>
      </w:r>
    </w:p>
    <w:p w14:paraId="7104F0AE" w14:textId="77777777" w:rsidR="00577605" w:rsidRPr="00956E2D" w:rsidRDefault="00577605" w:rsidP="005C1DB5">
      <w:pPr>
        <w:spacing w:after="120" w:line="276" w:lineRule="auto"/>
        <w:jc w:val="left"/>
      </w:pPr>
      <w:r w:rsidRPr="00956E2D">
        <w:t xml:space="preserve">Table </w:t>
      </w:r>
      <w:r w:rsidR="00D03945" w:rsidRPr="00956E2D">
        <w:t>6</w:t>
      </w:r>
      <w:r w:rsidRPr="00956E2D">
        <w:t xml:space="preserve">: </w:t>
      </w:r>
      <w:r w:rsidR="0077478E" w:rsidRPr="00956E2D">
        <w:t>Performance benchmarks, m</w:t>
      </w:r>
      <w:r w:rsidRPr="00956E2D">
        <w:t>ilestones, reporting and payment summary</w:t>
      </w:r>
    </w:p>
    <w:tbl>
      <w:tblPr>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266"/>
        <w:gridCol w:w="4961"/>
        <w:gridCol w:w="1843"/>
        <w:gridCol w:w="2126"/>
      </w:tblGrid>
      <w:tr w:rsidR="00485123" w:rsidRPr="006879D3" w14:paraId="1C698E58" w14:textId="77777777" w:rsidTr="00931D24">
        <w:trPr>
          <w:trHeight w:val="735"/>
        </w:trPr>
        <w:tc>
          <w:tcPr>
            <w:tcW w:w="1266" w:type="dxa"/>
            <w:shd w:val="clear" w:color="auto" w:fill="DBE5F1" w:themeFill="accent1" w:themeFillTint="33"/>
          </w:tcPr>
          <w:p w14:paraId="65922CA2" w14:textId="77777777" w:rsidR="00BA2173" w:rsidRPr="006879D3" w:rsidRDefault="00BA2173" w:rsidP="00BA2173">
            <w:pPr>
              <w:pStyle w:val="Heading2"/>
              <w:rPr>
                <w:bCs w:val="0"/>
                <w:sz w:val="24"/>
                <w:szCs w:val="24"/>
              </w:rPr>
            </w:pPr>
            <w:r>
              <w:rPr>
                <w:bCs w:val="0"/>
                <w:sz w:val="24"/>
                <w:szCs w:val="24"/>
              </w:rPr>
              <w:t xml:space="preserve">Output </w:t>
            </w:r>
          </w:p>
        </w:tc>
        <w:tc>
          <w:tcPr>
            <w:tcW w:w="4961" w:type="dxa"/>
            <w:shd w:val="clear" w:color="auto" w:fill="DBE5F1" w:themeFill="accent1" w:themeFillTint="33"/>
          </w:tcPr>
          <w:p w14:paraId="33C73292" w14:textId="77777777" w:rsidR="00BA2173" w:rsidRPr="006879D3" w:rsidRDefault="00BA2173" w:rsidP="00BA2173">
            <w:pPr>
              <w:pStyle w:val="Heading2"/>
              <w:rPr>
                <w:bCs w:val="0"/>
                <w:sz w:val="24"/>
                <w:szCs w:val="24"/>
              </w:rPr>
            </w:pPr>
            <w:r w:rsidRPr="006879D3">
              <w:rPr>
                <w:bCs w:val="0"/>
                <w:sz w:val="24"/>
                <w:szCs w:val="24"/>
              </w:rPr>
              <w:t>Performance benchmarks/milestones</w:t>
            </w:r>
          </w:p>
        </w:tc>
        <w:tc>
          <w:tcPr>
            <w:tcW w:w="1843" w:type="dxa"/>
            <w:shd w:val="clear" w:color="auto" w:fill="DBE5F1" w:themeFill="accent1" w:themeFillTint="33"/>
          </w:tcPr>
          <w:p w14:paraId="7BEBDE35" w14:textId="77777777" w:rsidR="00BA2173" w:rsidRPr="006879D3" w:rsidRDefault="00BA2173" w:rsidP="00BC31FC">
            <w:pPr>
              <w:pStyle w:val="Heading2"/>
              <w:rPr>
                <w:sz w:val="18"/>
                <w:szCs w:val="18"/>
              </w:rPr>
            </w:pPr>
            <w:r w:rsidRPr="006879D3">
              <w:rPr>
                <w:bCs w:val="0"/>
                <w:sz w:val="24"/>
                <w:szCs w:val="24"/>
              </w:rPr>
              <w:t>Report d</w:t>
            </w:r>
            <w:r w:rsidR="00BC31FC">
              <w:rPr>
                <w:bCs w:val="0"/>
                <w:sz w:val="24"/>
                <w:szCs w:val="24"/>
              </w:rPr>
              <w:t>ue</w:t>
            </w:r>
          </w:p>
        </w:tc>
        <w:tc>
          <w:tcPr>
            <w:tcW w:w="2126" w:type="dxa"/>
            <w:shd w:val="clear" w:color="auto" w:fill="DBE5F1" w:themeFill="accent1" w:themeFillTint="33"/>
          </w:tcPr>
          <w:p w14:paraId="22B888EC" w14:textId="77777777" w:rsidR="00BA2173" w:rsidRPr="006879D3" w:rsidRDefault="00BA2173" w:rsidP="00BA2173">
            <w:pPr>
              <w:pStyle w:val="Heading2"/>
              <w:rPr>
                <w:bCs w:val="0"/>
                <w:sz w:val="24"/>
                <w:szCs w:val="24"/>
              </w:rPr>
            </w:pPr>
            <w:r w:rsidRPr="006879D3">
              <w:rPr>
                <w:bCs w:val="0"/>
                <w:sz w:val="24"/>
                <w:szCs w:val="24"/>
              </w:rPr>
              <w:t>Payment</w:t>
            </w:r>
          </w:p>
        </w:tc>
      </w:tr>
      <w:tr w:rsidR="00485123" w:rsidRPr="002A34C5" w14:paraId="0B833ED8" w14:textId="77777777" w:rsidTr="00931D24">
        <w:trPr>
          <w:trHeight w:val="486"/>
        </w:trPr>
        <w:tc>
          <w:tcPr>
            <w:tcW w:w="1266" w:type="dxa"/>
            <w:tcBorders>
              <w:bottom w:val="nil"/>
            </w:tcBorders>
          </w:tcPr>
          <w:p w14:paraId="188679D2" w14:textId="77777777" w:rsidR="00BA2173" w:rsidRPr="00BA2173" w:rsidDel="00456F29" w:rsidRDefault="00BA2173" w:rsidP="00BA2173">
            <w:pPr>
              <w:spacing w:before="40" w:after="40"/>
              <w:jc w:val="left"/>
              <w:rPr>
                <w:b/>
                <w:color w:val="auto"/>
                <w:szCs w:val="23"/>
              </w:rPr>
            </w:pPr>
            <w:r w:rsidRPr="00BA2173">
              <w:rPr>
                <w:b/>
                <w:bCs/>
                <w:sz w:val="24"/>
                <w:szCs w:val="24"/>
              </w:rPr>
              <w:t>Project 1</w:t>
            </w:r>
          </w:p>
        </w:tc>
        <w:tc>
          <w:tcPr>
            <w:tcW w:w="4961" w:type="dxa"/>
            <w:tcBorders>
              <w:bottom w:val="nil"/>
            </w:tcBorders>
          </w:tcPr>
          <w:p w14:paraId="79FC3B70" w14:textId="77777777" w:rsidR="00BA2173" w:rsidRPr="007B1074" w:rsidRDefault="00BA2173" w:rsidP="00BA2173">
            <w:pPr>
              <w:spacing w:before="40" w:after="120"/>
              <w:jc w:val="left"/>
              <w:rPr>
                <w:b/>
                <w:bCs/>
                <w:szCs w:val="23"/>
              </w:rPr>
            </w:pPr>
            <w:r w:rsidRPr="007B1074">
              <w:rPr>
                <w:b/>
                <w:bCs/>
                <w:szCs w:val="23"/>
              </w:rPr>
              <w:t>Performance benchmark 1: Apprenticeships and traineeships</w:t>
            </w:r>
          </w:p>
          <w:p w14:paraId="5C8122D5" w14:textId="35B9F5F2" w:rsidR="00BA2173" w:rsidRDefault="00BA2173" w:rsidP="00BA2173">
            <w:pPr>
              <w:spacing w:before="40" w:after="40"/>
              <w:contextualSpacing/>
              <w:jc w:val="left"/>
              <w:rPr>
                <w:bCs/>
                <w:szCs w:val="23"/>
              </w:rPr>
            </w:pPr>
            <w:r w:rsidRPr="005D75EC">
              <w:rPr>
                <w:bCs/>
                <w:szCs w:val="23"/>
              </w:rPr>
              <w:t xml:space="preserve">The total performance benchmark for each financial year </w:t>
            </w:r>
            <w:r>
              <w:rPr>
                <w:bCs/>
                <w:szCs w:val="23"/>
              </w:rPr>
              <w:t xml:space="preserve">(baseline commencements plus additional commencement targets) for apprenticeship and traineeship </w:t>
            </w:r>
            <w:r w:rsidRPr="005D75EC">
              <w:rPr>
                <w:bCs/>
                <w:szCs w:val="23"/>
              </w:rPr>
              <w:t>commencements are as follows:</w:t>
            </w:r>
          </w:p>
          <w:p w14:paraId="61223BFD" w14:textId="77777777" w:rsidR="00BA2173" w:rsidRPr="005D75EC" w:rsidRDefault="00BA2173" w:rsidP="00BA2173">
            <w:pPr>
              <w:spacing w:before="40" w:after="40"/>
              <w:contextualSpacing/>
              <w:jc w:val="left"/>
              <w:rPr>
                <w:bCs/>
                <w:szCs w:val="23"/>
              </w:rPr>
            </w:pPr>
          </w:p>
          <w:p w14:paraId="7964475A" w14:textId="77777777" w:rsidR="00BA2173" w:rsidRPr="005D75EC" w:rsidRDefault="00BA2173" w:rsidP="00BA2173">
            <w:pPr>
              <w:spacing w:before="40" w:after="40"/>
              <w:contextualSpacing/>
              <w:jc w:val="left"/>
              <w:rPr>
                <w:bCs/>
                <w:szCs w:val="23"/>
              </w:rPr>
            </w:pPr>
            <w:r w:rsidRPr="005D75EC">
              <w:rPr>
                <w:bCs/>
                <w:szCs w:val="23"/>
              </w:rPr>
              <w:t>•</w:t>
            </w:r>
            <w:r w:rsidRPr="005D75EC">
              <w:rPr>
                <w:bCs/>
                <w:szCs w:val="23"/>
              </w:rPr>
              <w:tab/>
              <w:t>2018-19: 9895 commencements</w:t>
            </w:r>
          </w:p>
          <w:p w14:paraId="17123DDC" w14:textId="2C26DAAD" w:rsidR="00BA2173" w:rsidRPr="00B876C5" w:rsidRDefault="00BA2173" w:rsidP="00BA2173">
            <w:pPr>
              <w:spacing w:before="40" w:after="40"/>
              <w:contextualSpacing/>
              <w:jc w:val="left"/>
              <w:rPr>
                <w:bCs/>
                <w:szCs w:val="23"/>
              </w:rPr>
            </w:pPr>
            <w:r w:rsidRPr="005D75EC">
              <w:rPr>
                <w:bCs/>
                <w:szCs w:val="23"/>
              </w:rPr>
              <w:t>•</w:t>
            </w:r>
            <w:r w:rsidRPr="005D75EC">
              <w:rPr>
                <w:bCs/>
                <w:szCs w:val="23"/>
              </w:rPr>
              <w:tab/>
            </w:r>
            <w:r w:rsidRPr="00B876C5">
              <w:rPr>
                <w:bCs/>
                <w:szCs w:val="23"/>
              </w:rPr>
              <w:t xml:space="preserve">2019-20: </w:t>
            </w:r>
            <w:r w:rsidR="008812AF">
              <w:rPr>
                <w:bCs/>
                <w:szCs w:val="23"/>
              </w:rPr>
              <w:t>11,111</w:t>
            </w:r>
            <w:r w:rsidRPr="00B876C5">
              <w:rPr>
                <w:bCs/>
                <w:szCs w:val="23"/>
              </w:rPr>
              <w:t xml:space="preserve"> commencements</w:t>
            </w:r>
          </w:p>
          <w:p w14:paraId="31DBE5A2" w14:textId="179137FE" w:rsidR="00BA2173" w:rsidRPr="00B876C5" w:rsidRDefault="00BA2173" w:rsidP="00BA2173">
            <w:pPr>
              <w:spacing w:before="40" w:after="40"/>
              <w:contextualSpacing/>
              <w:jc w:val="left"/>
              <w:rPr>
                <w:bCs/>
                <w:szCs w:val="23"/>
              </w:rPr>
            </w:pPr>
            <w:r w:rsidRPr="00B876C5">
              <w:rPr>
                <w:bCs/>
                <w:szCs w:val="23"/>
              </w:rPr>
              <w:t>•</w:t>
            </w:r>
            <w:r w:rsidRPr="00B876C5">
              <w:rPr>
                <w:bCs/>
                <w:szCs w:val="23"/>
              </w:rPr>
              <w:tab/>
              <w:t xml:space="preserve">2020-21: </w:t>
            </w:r>
            <w:r w:rsidR="00354275">
              <w:rPr>
                <w:bCs/>
                <w:szCs w:val="23"/>
              </w:rPr>
              <w:t xml:space="preserve"> </w:t>
            </w:r>
            <w:r w:rsidR="009672D2">
              <w:rPr>
                <w:bCs/>
                <w:szCs w:val="23"/>
              </w:rPr>
              <w:t>8,142</w:t>
            </w:r>
            <w:r w:rsidRPr="00B876C5">
              <w:rPr>
                <w:bCs/>
                <w:szCs w:val="23"/>
              </w:rPr>
              <w:t xml:space="preserve"> commencements </w:t>
            </w:r>
          </w:p>
          <w:p w14:paraId="5C0540FB" w14:textId="391DC68B" w:rsidR="00BA2173" w:rsidRPr="002A34C5" w:rsidRDefault="00BA2173" w:rsidP="008812AF">
            <w:pPr>
              <w:spacing w:before="40" w:after="40"/>
              <w:jc w:val="left"/>
              <w:rPr>
                <w:bCs/>
                <w:szCs w:val="23"/>
              </w:rPr>
            </w:pPr>
            <w:r w:rsidRPr="00B876C5">
              <w:rPr>
                <w:bCs/>
                <w:szCs w:val="23"/>
              </w:rPr>
              <w:t>•</w:t>
            </w:r>
            <w:r w:rsidRPr="00B876C5">
              <w:rPr>
                <w:bCs/>
                <w:szCs w:val="23"/>
              </w:rPr>
              <w:tab/>
              <w:t xml:space="preserve">2021-22: </w:t>
            </w:r>
            <w:r w:rsidR="00354275">
              <w:rPr>
                <w:bCs/>
                <w:szCs w:val="23"/>
              </w:rPr>
              <w:t xml:space="preserve"> </w:t>
            </w:r>
            <w:r w:rsidR="009672D2">
              <w:rPr>
                <w:bCs/>
                <w:szCs w:val="23"/>
              </w:rPr>
              <w:t>7,020</w:t>
            </w:r>
            <w:r w:rsidRPr="00B876C5">
              <w:rPr>
                <w:bCs/>
                <w:szCs w:val="23"/>
              </w:rPr>
              <w:t xml:space="preserve"> commencements</w:t>
            </w:r>
            <w:r w:rsidR="0074186E">
              <w:rPr>
                <w:bCs/>
                <w:szCs w:val="23"/>
              </w:rPr>
              <w:t>.</w:t>
            </w:r>
          </w:p>
        </w:tc>
        <w:tc>
          <w:tcPr>
            <w:tcW w:w="1843" w:type="dxa"/>
            <w:tcBorders>
              <w:bottom w:val="nil"/>
            </w:tcBorders>
          </w:tcPr>
          <w:p w14:paraId="509AC1D0" w14:textId="77777777" w:rsidR="00BA2173" w:rsidRPr="002A34C5" w:rsidRDefault="00BA2173" w:rsidP="00BA2173">
            <w:pPr>
              <w:spacing w:before="40" w:after="40"/>
              <w:jc w:val="left"/>
              <w:rPr>
                <w:bCs/>
                <w:szCs w:val="23"/>
              </w:rPr>
            </w:pPr>
          </w:p>
        </w:tc>
        <w:tc>
          <w:tcPr>
            <w:tcW w:w="2126" w:type="dxa"/>
            <w:tcBorders>
              <w:bottom w:val="nil"/>
            </w:tcBorders>
          </w:tcPr>
          <w:p w14:paraId="5C0A203A" w14:textId="77777777" w:rsidR="00BA2173" w:rsidRPr="002A34C5" w:rsidRDefault="00BA2173" w:rsidP="00BA2173">
            <w:pPr>
              <w:spacing w:before="40" w:after="40"/>
              <w:jc w:val="left"/>
              <w:rPr>
                <w:bCs/>
                <w:szCs w:val="23"/>
              </w:rPr>
            </w:pPr>
          </w:p>
        </w:tc>
      </w:tr>
      <w:tr w:rsidR="00485123" w:rsidRPr="002A34C5" w14:paraId="09BA4711" w14:textId="77777777" w:rsidTr="00931D24">
        <w:trPr>
          <w:trHeight w:val="1020"/>
        </w:trPr>
        <w:tc>
          <w:tcPr>
            <w:tcW w:w="1266" w:type="dxa"/>
            <w:tcBorders>
              <w:top w:val="nil"/>
              <w:bottom w:val="nil"/>
            </w:tcBorders>
          </w:tcPr>
          <w:p w14:paraId="450E9BEA" w14:textId="77777777" w:rsidR="00BA2173" w:rsidRPr="002A34C5" w:rsidRDefault="00BA2173" w:rsidP="00BA2173">
            <w:pPr>
              <w:spacing w:before="40" w:after="40"/>
              <w:jc w:val="left"/>
              <w:rPr>
                <w:szCs w:val="23"/>
              </w:rPr>
            </w:pPr>
          </w:p>
        </w:tc>
        <w:tc>
          <w:tcPr>
            <w:tcW w:w="4961" w:type="dxa"/>
            <w:tcBorders>
              <w:top w:val="nil"/>
              <w:bottom w:val="nil"/>
            </w:tcBorders>
          </w:tcPr>
          <w:p w14:paraId="5C8049BB" w14:textId="77777777" w:rsidR="00CA024C" w:rsidRDefault="00CA024C" w:rsidP="00233ABE">
            <w:pPr>
              <w:spacing w:before="40" w:after="40"/>
              <w:jc w:val="left"/>
              <w:rPr>
                <w:szCs w:val="23"/>
              </w:rPr>
            </w:pPr>
          </w:p>
          <w:p w14:paraId="40997016" w14:textId="77777777" w:rsidR="00BA2173" w:rsidRDefault="00BA2173" w:rsidP="00CA024C">
            <w:pPr>
              <w:spacing w:before="40" w:after="40"/>
              <w:jc w:val="left"/>
              <w:rPr>
                <w:szCs w:val="23"/>
              </w:rPr>
            </w:pPr>
            <w:r w:rsidRPr="002A34C5">
              <w:rPr>
                <w:szCs w:val="23"/>
              </w:rPr>
              <w:t xml:space="preserve">South Australia will be eligible for </w:t>
            </w:r>
            <w:r>
              <w:rPr>
                <w:szCs w:val="23"/>
              </w:rPr>
              <w:t xml:space="preserve">the full </w:t>
            </w:r>
            <w:r w:rsidRPr="002A34C5">
              <w:rPr>
                <w:szCs w:val="23"/>
              </w:rPr>
              <w:t xml:space="preserve">performance payment each </w:t>
            </w:r>
            <w:r>
              <w:rPr>
                <w:szCs w:val="23"/>
              </w:rPr>
              <w:t xml:space="preserve">financial </w:t>
            </w:r>
            <w:r w:rsidRPr="002A34C5">
              <w:rPr>
                <w:szCs w:val="23"/>
              </w:rPr>
              <w:t xml:space="preserve">year when </w:t>
            </w:r>
            <w:r w:rsidR="00CA024C">
              <w:rPr>
                <w:szCs w:val="23"/>
              </w:rPr>
              <w:t xml:space="preserve">the following commencements are achieved </w:t>
            </w:r>
            <w:r w:rsidR="007836E3">
              <w:rPr>
                <w:szCs w:val="23"/>
              </w:rPr>
              <w:br/>
            </w:r>
            <w:r w:rsidR="00CA024C">
              <w:rPr>
                <w:szCs w:val="23"/>
              </w:rPr>
              <w:t>(</w:t>
            </w:r>
            <w:r>
              <w:rPr>
                <w:szCs w:val="23"/>
              </w:rPr>
              <w:t xml:space="preserve">67.4 per cent of the total performance benchmark </w:t>
            </w:r>
            <w:r w:rsidRPr="002A34C5">
              <w:rPr>
                <w:szCs w:val="23"/>
              </w:rPr>
              <w:t>for apprenticeship and traineeship</w:t>
            </w:r>
            <w:r>
              <w:rPr>
                <w:szCs w:val="23"/>
              </w:rPr>
              <w:t xml:space="preserve"> commencements</w:t>
            </w:r>
            <w:r w:rsidR="00CA024C">
              <w:rPr>
                <w:szCs w:val="23"/>
              </w:rPr>
              <w:t xml:space="preserve">) </w:t>
            </w:r>
            <w:r>
              <w:rPr>
                <w:szCs w:val="23"/>
              </w:rPr>
              <w:t>between 1 July and up to 30 April:</w:t>
            </w:r>
            <w:r w:rsidRPr="002A34C5">
              <w:rPr>
                <w:szCs w:val="23"/>
              </w:rPr>
              <w:t xml:space="preserve"> </w:t>
            </w:r>
          </w:p>
          <w:p w14:paraId="596DDE12" w14:textId="77777777" w:rsidR="00E5082E" w:rsidRPr="002A34C5" w:rsidRDefault="00E5082E" w:rsidP="00E5082E">
            <w:pPr>
              <w:spacing w:after="0" w:line="240" w:lineRule="auto"/>
              <w:jc w:val="left"/>
              <w:rPr>
                <w:bCs/>
                <w:szCs w:val="23"/>
                <w:u w:val="single"/>
              </w:rPr>
            </w:pPr>
            <w:r>
              <w:rPr>
                <w:bCs/>
                <w:szCs w:val="23"/>
                <w:u w:val="single"/>
              </w:rPr>
              <w:t xml:space="preserve"> </w:t>
            </w:r>
          </w:p>
        </w:tc>
        <w:tc>
          <w:tcPr>
            <w:tcW w:w="1843" w:type="dxa"/>
            <w:tcBorders>
              <w:top w:val="nil"/>
              <w:bottom w:val="nil"/>
            </w:tcBorders>
          </w:tcPr>
          <w:p w14:paraId="66ED4FD3" w14:textId="77777777" w:rsidR="00BA2173" w:rsidRPr="002A34C5" w:rsidRDefault="00BA2173" w:rsidP="00BA2173">
            <w:pPr>
              <w:spacing w:before="40" w:after="40"/>
              <w:jc w:val="left"/>
              <w:rPr>
                <w:szCs w:val="23"/>
              </w:rPr>
            </w:pPr>
          </w:p>
        </w:tc>
        <w:tc>
          <w:tcPr>
            <w:tcW w:w="2126" w:type="dxa"/>
            <w:tcBorders>
              <w:top w:val="nil"/>
              <w:bottom w:val="nil"/>
            </w:tcBorders>
          </w:tcPr>
          <w:p w14:paraId="391C3216" w14:textId="77777777" w:rsidR="00BA2173" w:rsidRPr="002A34C5" w:rsidRDefault="00BA2173" w:rsidP="00BA2173">
            <w:pPr>
              <w:spacing w:before="40" w:after="40"/>
              <w:jc w:val="right"/>
              <w:rPr>
                <w:rFonts w:cs="Calibri"/>
                <w:szCs w:val="23"/>
              </w:rPr>
            </w:pPr>
          </w:p>
        </w:tc>
      </w:tr>
      <w:tr w:rsidR="00485123" w:rsidRPr="002A34C5" w14:paraId="0DB8FDEC" w14:textId="77777777" w:rsidTr="00931D24">
        <w:trPr>
          <w:trHeight w:val="1020"/>
        </w:trPr>
        <w:tc>
          <w:tcPr>
            <w:tcW w:w="1266" w:type="dxa"/>
            <w:tcBorders>
              <w:top w:val="nil"/>
              <w:bottom w:val="nil"/>
            </w:tcBorders>
          </w:tcPr>
          <w:p w14:paraId="4A451F2E" w14:textId="77777777" w:rsidR="00BA2173" w:rsidRPr="00BA2173" w:rsidRDefault="00BA2173" w:rsidP="00BA2173">
            <w:pPr>
              <w:spacing w:before="40" w:after="40"/>
              <w:jc w:val="left"/>
              <w:rPr>
                <w:szCs w:val="23"/>
              </w:rPr>
            </w:pPr>
          </w:p>
        </w:tc>
        <w:tc>
          <w:tcPr>
            <w:tcW w:w="4961" w:type="dxa"/>
            <w:tcBorders>
              <w:top w:val="nil"/>
              <w:bottom w:val="nil"/>
            </w:tcBorders>
          </w:tcPr>
          <w:p w14:paraId="58CA16E7" w14:textId="77777777" w:rsidR="00BA2173" w:rsidRPr="00DE2CA9" w:rsidRDefault="00BA2173" w:rsidP="00177183">
            <w:pPr>
              <w:pStyle w:val="ListParagraph"/>
              <w:numPr>
                <w:ilvl w:val="0"/>
                <w:numId w:val="5"/>
              </w:numPr>
              <w:spacing w:before="40" w:after="40"/>
              <w:ind w:left="720"/>
              <w:jc w:val="left"/>
              <w:rPr>
                <w:szCs w:val="23"/>
              </w:rPr>
            </w:pPr>
            <w:r w:rsidRPr="00DE2CA9">
              <w:rPr>
                <w:szCs w:val="23"/>
              </w:rPr>
              <w:t xml:space="preserve">2018-19: 6669 commencements </w:t>
            </w:r>
          </w:p>
          <w:p w14:paraId="5D2BC06B" w14:textId="01DE1642" w:rsidR="00BA2173" w:rsidRPr="00B876C5" w:rsidRDefault="00BA2173" w:rsidP="00177183">
            <w:pPr>
              <w:pStyle w:val="ListParagraph"/>
              <w:numPr>
                <w:ilvl w:val="0"/>
                <w:numId w:val="5"/>
              </w:numPr>
              <w:spacing w:before="40" w:after="40"/>
              <w:ind w:left="720"/>
              <w:jc w:val="left"/>
              <w:rPr>
                <w:szCs w:val="23"/>
              </w:rPr>
            </w:pPr>
            <w:r w:rsidRPr="00B876C5">
              <w:rPr>
                <w:szCs w:val="23"/>
              </w:rPr>
              <w:t xml:space="preserve">2020-21: </w:t>
            </w:r>
            <w:r w:rsidR="009672D2">
              <w:rPr>
                <w:szCs w:val="23"/>
              </w:rPr>
              <w:t>5,488</w:t>
            </w:r>
            <w:r w:rsidR="00AA05FA">
              <w:rPr>
                <w:szCs w:val="23"/>
              </w:rPr>
              <w:t xml:space="preserve"> </w:t>
            </w:r>
            <w:r w:rsidRPr="00B876C5">
              <w:rPr>
                <w:szCs w:val="23"/>
              </w:rPr>
              <w:t>commencements</w:t>
            </w:r>
          </w:p>
          <w:p w14:paraId="7281B524" w14:textId="40088A70" w:rsidR="00BA2173" w:rsidRPr="00B876C5" w:rsidRDefault="00BA2173" w:rsidP="00177183">
            <w:pPr>
              <w:pStyle w:val="ListParagraph"/>
              <w:numPr>
                <w:ilvl w:val="0"/>
                <w:numId w:val="5"/>
              </w:numPr>
              <w:spacing w:before="40" w:after="40"/>
              <w:ind w:left="720"/>
              <w:jc w:val="left"/>
              <w:rPr>
                <w:rFonts w:eastAsiaTheme="minorHAnsi" w:cs="Corbel"/>
                <w:color w:val="auto"/>
                <w:szCs w:val="23"/>
                <w:lang w:eastAsia="en-US"/>
              </w:rPr>
            </w:pPr>
            <w:r w:rsidRPr="00B876C5">
              <w:rPr>
                <w:szCs w:val="23"/>
              </w:rPr>
              <w:t xml:space="preserve">2021-22: </w:t>
            </w:r>
            <w:r w:rsidR="008812AF" w:rsidRPr="00B876C5">
              <w:rPr>
                <w:szCs w:val="23"/>
              </w:rPr>
              <w:t xml:space="preserve"> </w:t>
            </w:r>
            <w:r w:rsidR="009672D2">
              <w:rPr>
                <w:szCs w:val="23"/>
              </w:rPr>
              <w:t>4,732</w:t>
            </w:r>
            <w:r w:rsidR="00AA05FA">
              <w:rPr>
                <w:szCs w:val="23"/>
              </w:rPr>
              <w:t xml:space="preserve"> </w:t>
            </w:r>
            <w:r w:rsidRPr="00B876C5">
              <w:rPr>
                <w:szCs w:val="23"/>
              </w:rPr>
              <w:t>commencements</w:t>
            </w:r>
            <w:r w:rsidR="0074186E">
              <w:rPr>
                <w:szCs w:val="23"/>
              </w:rPr>
              <w:t>.</w:t>
            </w:r>
          </w:p>
          <w:p w14:paraId="0D9F7148" w14:textId="77777777" w:rsidR="00BA2173" w:rsidRDefault="00BA2173" w:rsidP="00BA2173">
            <w:pPr>
              <w:spacing w:before="40" w:after="40"/>
              <w:jc w:val="left"/>
              <w:rPr>
                <w:rFonts w:eastAsiaTheme="minorHAnsi" w:cs="Corbel"/>
                <w:color w:val="auto"/>
                <w:szCs w:val="23"/>
                <w:lang w:eastAsia="en-US"/>
              </w:rPr>
            </w:pPr>
          </w:p>
          <w:p w14:paraId="534A0A4E" w14:textId="0BEB114B" w:rsidR="00DB6854" w:rsidRDefault="00DB6854" w:rsidP="00DB6854">
            <w:pPr>
              <w:spacing w:before="40" w:after="40"/>
              <w:jc w:val="left"/>
              <w:rPr>
                <w:szCs w:val="23"/>
              </w:rPr>
            </w:pPr>
            <w:r w:rsidRPr="002A34C5">
              <w:rPr>
                <w:szCs w:val="23"/>
              </w:rPr>
              <w:t xml:space="preserve">South Australia will be eligible for </w:t>
            </w:r>
            <w:r>
              <w:rPr>
                <w:szCs w:val="23"/>
              </w:rPr>
              <w:t xml:space="preserve">the full </w:t>
            </w:r>
            <w:r w:rsidRPr="002A34C5">
              <w:rPr>
                <w:szCs w:val="23"/>
              </w:rPr>
              <w:t xml:space="preserve">performance payment when </w:t>
            </w:r>
            <w:r>
              <w:rPr>
                <w:szCs w:val="23"/>
              </w:rPr>
              <w:t xml:space="preserve">the following commencements are achieved </w:t>
            </w:r>
            <w:r>
              <w:rPr>
                <w:szCs w:val="23"/>
              </w:rPr>
              <w:br/>
              <w:t>(3</w:t>
            </w:r>
            <w:r w:rsidR="00F02B50">
              <w:rPr>
                <w:szCs w:val="23"/>
              </w:rPr>
              <w:t>6</w:t>
            </w:r>
            <w:r>
              <w:rPr>
                <w:szCs w:val="23"/>
              </w:rPr>
              <w:t xml:space="preserve"> per cent of the total performance benchmark </w:t>
            </w:r>
            <w:r w:rsidRPr="002A34C5">
              <w:rPr>
                <w:szCs w:val="23"/>
              </w:rPr>
              <w:t>for apprenticeship and traineeship</w:t>
            </w:r>
            <w:r>
              <w:rPr>
                <w:szCs w:val="23"/>
              </w:rPr>
              <w:t xml:space="preserve"> commencements) between 1 July and up to 31 December:</w:t>
            </w:r>
            <w:r w:rsidRPr="002A34C5">
              <w:rPr>
                <w:szCs w:val="23"/>
              </w:rPr>
              <w:t xml:space="preserve"> </w:t>
            </w:r>
          </w:p>
          <w:p w14:paraId="46CFDB0E" w14:textId="77777777" w:rsidR="009840EE" w:rsidRDefault="009840EE" w:rsidP="00DB6854">
            <w:pPr>
              <w:spacing w:before="40" w:after="40"/>
              <w:jc w:val="left"/>
              <w:rPr>
                <w:szCs w:val="23"/>
              </w:rPr>
            </w:pPr>
          </w:p>
          <w:p w14:paraId="6286E941" w14:textId="58BA0E50" w:rsidR="00DB6854" w:rsidRPr="00B876C5" w:rsidRDefault="00316263" w:rsidP="00DB6854">
            <w:pPr>
              <w:pStyle w:val="ListParagraph"/>
              <w:numPr>
                <w:ilvl w:val="0"/>
                <w:numId w:val="5"/>
              </w:numPr>
              <w:spacing w:before="40" w:after="40"/>
              <w:ind w:left="720"/>
              <w:jc w:val="left"/>
              <w:rPr>
                <w:szCs w:val="23"/>
              </w:rPr>
            </w:pPr>
            <w:r>
              <w:rPr>
                <w:szCs w:val="23"/>
              </w:rPr>
              <w:t>2019-20: 4</w:t>
            </w:r>
            <w:r w:rsidR="00F41F0A">
              <w:rPr>
                <w:szCs w:val="23"/>
              </w:rPr>
              <w:t>000</w:t>
            </w:r>
            <w:r w:rsidR="00DB6854" w:rsidRPr="00B876C5">
              <w:rPr>
                <w:szCs w:val="23"/>
              </w:rPr>
              <w:t xml:space="preserve"> commencements</w:t>
            </w:r>
          </w:p>
          <w:p w14:paraId="750F11F9" w14:textId="60FAB931" w:rsidR="00DB6854" w:rsidRPr="005D75EC" w:rsidRDefault="00DB6854" w:rsidP="00BA2173">
            <w:pPr>
              <w:spacing w:before="40" w:after="40"/>
              <w:jc w:val="left"/>
              <w:rPr>
                <w:rFonts w:eastAsiaTheme="minorHAnsi" w:cs="Corbel"/>
                <w:color w:val="auto"/>
                <w:szCs w:val="23"/>
                <w:lang w:eastAsia="en-US"/>
              </w:rPr>
            </w:pPr>
          </w:p>
        </w:tc>
        <w:tc>
          <w:tcPr>
            <w:tcW w:w="1843" w:type="dxa"/>
            <w:tcBorders>
              <w:top w:val="nil"/>
              <w:bottom w:val="nil"/>
            </w:tcBorders>
          </w:tcPr>
          <w:p w14:paraId="5E316CE0" w14:textId="77777777" w:rsidR="00BA2173" w:rsidRPr="002A34C5" w:rsidRDefault="00BA2173" w:rsidP="00FB5633">
            <w:pPr>
              <w:spacing w:before="40" w:after="40"/>
              <w:jc w:val="right"/>
              <w:rPr>
                <w:szCs w:val="23"/>
              </w:rPr>
            </w:pPr>
            <w:r w:rsidRPr="002A34C5">
              <w:rPr>
                <w:szCs w:val="23"/>
              </w:rPr>
              <w:t>30 April 2019</w:t>
            </w:r>
          </w:p>
          <w:p w14:paraId="64F333ED" w14:textId="77777777" w:rsidR="00BA2173" w:rsidRPr="002A34C5" w:rsidRDefault="00BA2173" w:rsidP="00FB5633">
            <w:pPr>
              <w:spacing w:before="40" w:after="40"/>
              <w:jc w:val="right"/>
              <w:rPr>
                <w:szCs w:val="23"/>
              </w:rPr>
            </w:pPr>
            <w:r w:rsidRPr="002A34C5">
              <w:rPr>
                <w:szCs w:val="23"/>
              </w:rPr>
              <w:t>30 April 2021</w:t>
            </w:r>
          </w:p>
          <w:p w14:paraId="1CE9BB12" w14:textId="77777777" w:rsidR="00BA2173" w:rsidRDefault="00BA2173" w:rsidP="00FB5633">
            <w:pPr>
              <w:spacing w:before="40" w:after="40"/>
              <w:jc w:val="right"/>
              <w:rPr>
                <w:szCs w:val="23"/>
              </w:rPr>
            </w:pPr>
            <w:r w:rsidRPr="002A34C5">
              <w:rPr>
                <w:szCs w:val="23"/>
              </w:rPr>
              <w:t>30 April 2022</w:t>
            </w:r>
          </w:p>
          <w:p w14:paraId="3039A676" w14:textId="77777777" w:rsidR="00DB6854" w:rsidRDefault="00DB6854" w:rsidP="00FB5633">
            <w:pPr>
              <w:spacing w:before="40" w:after="40"/>
              <w:jc w:val="right"/>
              <w:rPr>
                <w:szCs w:val="23"/>
              </w:rPr>
            </w:pPr>
          </w:p>
          <w:p w14:paraId="3D51AAC5" w14:textId="77274B43" w:rsidR="00DB6854" w:rsidRDefault="00DB6854" w:rsidP="00FB5633">
            <w:pPr>
              <w:spacing w:before="40" w:after="40"/>
              <w:jc w:val="right"/>
              <w:rPr>
                <w:szCs w:val="23"/>
              </w:rPr>
            </w:pPr>
          </w:p>
          <w:p w14:paraId="397F334A" w14:textId="6608806D" w:rsidR="00DB6854" w:rsidRDefault="00DB6854" w:rsidP="00FB5633">
            <w:pPr>
              <w:spacing w:before="40" w:after="40"/>
              <w:jc w:val="right"/>
              <w:rPr>
                <w:szCs w:val="23"/>
              </w:rPr>
            </w:pPr>
          </w:p>
          <w:p w14:paraId="6F33BA13" w14:textId="2B2FD89A" w:rsidR="00DB6854" w:rsidRDefault="00DB6854" w:rsidP="00FB5633">
            <w:pPr>
              <w:spacing w:before="40" w:after="40"/>
              <w:jc w:val="right"/>
              <w:rPr>
                <w:szCs w:val="23"/>
              </w:rPr>
            </w:pPr>
          </w:p>
          <w:p w14:paraId="65955B24" w14:textId="77777777" w:rsidR="00DB6854" w:rsidRDefault="00DB6854" w:rsidP="00FB5633">
            <w:pPr>
              <w:spacing w:before="40" w:after="40"/>
              <w:jc w:val="right"/>
              <w:rPr>
                <w:szCs w:val="23"/>
              </w:rPr>
            </w:pPr>
          </w:p>
          <w:p w14:paraId="740308AB" w14:textId="77777777" w:rsidR="00DB6854" w:rsidRDefault="00DB6854" w:rsidP="00FB5633">
            <w:pPr>
              <w:spacing w:before="40" w:after="40"/>
              <w:jc w:val="right"/>
              <w:rPr>
                <w:szCs w:val="23"/>
              </w:rPr>
            </w:pPr>
          </w:p>
          <w:p w14:paraId="00F8E990" w14:textId="3BB46941" w:rsidR="00DB6854" w:rsidRDefault="00DB6854" w:rsidP="00FB5633">
            <w:pPr>
              <w:spacing w:before="40" w:after="40"/>
              <w:jc w:val="right"/>
              <w:rPr>
                <w:szCs w:val="23"/>
              </w:rPr>
            </w:pPr>
          </w:p>
          <w:p w14:paraId="1336BF4E" w14:textId="77777777" w:rsidR="009840EE" w:rsidRDefault="009840EE" w:rsidP="00FB5633">
            <w:pPr>
              <w:spacing w:before="40" w:after="40"/>
              <w:jc w:val="right"/>
              <w:rPr>
                <w:szCs w:val="23"/>
              </w:rPr>
            </w:pPr>
          </w:p>
          <w:p w14:paraId="6960E3D7" w14:textId="77777777" w:rsidR="00DB6854" w:rsidRPr="002A34C5" w:rsidRDefault="00DB6854" w:rsidP="00DB6854">
            <w:pPr>
              <w:spacing w:before="40" w:after="40"/>
              <w:jc w:val="right"/>
              <w:rPr>
                <w:szCs w:val="23"/>
              </w:rPr>
            </w:pPr>
            <w:r w:rsidRPr="002A34C5">
              <w:rPr>
                <w:szCs w:val="23"/>
              </w:rPr>
              <w:t>30 April 2020</w:t>
            </w:r>
          </w:p>
          <w:p w14:paraId="611BF45F" w14:textId="6D62C3A8" w:rsidR="00DB6854" w:rsidRPr="002A34C5" w:rsidRDefault="00DB6854" w:rsidP="00FB5633">
            <w:pPr>
              <w:spacing w:before="40" w:after="40"/>
              <w:jc w:val="right"/>
              <w:rPr>
                <w:bCs/>
                <w:szCs w:val="23"/>
              </w:rPr>
            </w:pPr>
          </w:p>
        </w:tc>
        <w:tc>
          <w:tcPr>
            <w:tcW w:w="2126" w:type="dxa"/>
            <w:tcBorders>
              <w:top w:val="nil"/>
              <w:bottom w:val="nil"/>
            </w:tcBorders>
            <w:shd w:val="clear" w:color="auto" w:fill="auto"/>
          </w:tcPr>
          <w:p w14:paraId="087AC239" w14:textId="77777777" w:rsidR="00BA2173" w:rsidRPr="00EA69DA" w:rsidRDefault="00BA2173" w:rsidP="00FB5633">
            <w:pPr>
              <w:spacing w:before="40" w:after="40"/>
              <w:jc w:val="right"/>
              <w:rPr>
                <w:szCs w:val="23"/>
              </w:rPr>
            </w:pPr>
            <w:r w:rsidRPr="00EA69DA">
              <w:rPr>
                <w:rFonts w:cs="Calibri"/>
                <w:szCs w:val="23"/>
              </w:rPr>
              <w:t>$12,400,</w:t>
            </w:r>
            <w:r w:rsidRPr="00EA69DA">
              <w:rPr>
                <w:szCs w:val="23"/>
              </w:rPr>
              <w:t>000</w:t>
            </w:r>
          </w:p>
          <w:p w14:paraId="4C0CA922" w14:textId="6605D207" w:rsidR="00705570" w:rsidRPr="00EA69DA" w:rsidRDefault="009672D2" w:rsidP="00705570">
            <w:pPr>
              <w:spacing w:before="40" w:after="40"/>
              <w:jc w:val="right"/>
              <w:rPr>
                <w:szCs w:val="23"/>
              </w:rPr>
            </w:pPr>
            <w:r>
              <w:rPr>
                <w:szCs w:val="23"/>
              </w:rPr>
              <w:t>$8,230,000</w:t>
            </w:r>
            <w:r w:rsidR="00B97064">
              <w:rPr>
                <w:szCs w:val="23"/>
              </w:rPr>
              <w:t xml:space="preserve"> </w:t>
            </w:r>
          </w:p>
          <w:p w14:paraId="7BE500EE" w14:textId="140D4F98" w:rsidR="00DB6854" w:rsidRDefault="009672D2" w:rsidP="00D766B0">
            <w:pPr>
              <w:spacing w:before="40" w:after="40"/>
              <w:jc w:val="right"/>
              <w:rPr>
                <w:szCs w:val="23"/>
              </w:rPr>
            </w:pPr>
            <w:r>
              <w:rPr>
                <w:szCs w:val="23"/>
              </w:rPr>
              <w:t>$3,282,000</w:t>
            </w:r>
          </w:p>
          <w:p w14:paraId="33DFE1C6" w14:textId="77777777" w:rsidR="00DB6854" w:rsidRDefault="00DB6854" w:rsidP="00D766B0">
            <w:pPr>
              <w:spacing w:before="40" w:after="40"/>
              <w:jc w:val="right"/>
              <w:rPr>
                <w:szCs w:val="23"/>
              </w:rPr>
            </w:pPr>
          </w:p>
          <w:p w14:paraId="54B4FADB" w14:textId="77777777" w:rsidR="00DB6854" w:rsidRDefault="00DB6854" w:rsidP="00D766B0">
            <w:pPr>
              <w:spacing w:before="40" w:after="40"/>
              <w:jc w:val="right"/>
              <w:rPr>
                <w:szCs w:val="23"/>
              </w:rPr>
            </w:pPr>
          </w:p>
          <w:p w14:paraId="2BC2A992" w14:textId="77777777" w:rsidR="00DB6854" w:rsidRDefault="00DB6854" w:rsidP="00D766B0">
            <w:pPr>
              <w:spacing w:before="40" w:after="40"/>
              <w:jc w:val="right"/>
              <w:rPr>
                <w:szCs w:val="23"/>
              </w:rPr>
            </w:pPr>
          </w:p>
          <w:p w14:paraId="76594A37" w14:textId="77777777" w:rsidR="00DB6854" w:rsidRDefault="00DB6854" w:rsidP="00D766B0">
            <w:pPr>
              <w:spacing w:before="40" w:after="40"/>
              <w:jc w:val="right"/>
              <w:rPr>
                <w:szCs w:val="23"/>
              </w:rPr>
            </w:pPr>
          </w:p>
          <w:p w14:paraId="7F908DF5" w14:textId="77777777" w:rsidR="00DB6854" w:rsidRDefault="00DB6854" w:rsidP="00FD72CA">
            <w:pPr>
              <w:spacing w:before="40" w:after="40"/>
              <w:rPr>
                <w:szCs w:val="23"/>
              </w:rPr>
            </w:pPr>
          </w:p>
          <w:p w14:paraId="1724B9C3" w14:textId="77777777" w:rsidR="00DB6854" w:rsidRPr="00EA69DA" w:rsidRDefault="00DB6854" w:rsidP="00DB6854">
            <w:pPr>
              <w:spacing w:before="40" w:after="40"/>
              <w:jc w:val="right"/>
              <w:rPr>
                <w:szCs w:val="23"/>
              </w:rPr>
            </w:pPr>
            <w:r w:rsidRPr="00EA69DA">
              <w:rPr>
                <w:szCs w:val="23"/>
              </w:rPr>
              <w:t>$9,054,000</w:t>
            </w:r>
          </w:p>
          <w:p w14:paraId="0CA414A7" w14:textId="3F3F6EF5" w:rsidR="00DB6854" w:rsidRPr="00EA69DA" w:rsidRDefault="00DB6854" w:rsidP="00D766B0">
            <w:pPr>
              <w:spacing w:before="40" w:after="40"/>
              <w:jc w:val="right"/>
              <w:rPr>
                <w:rFonts w:cs="Calibri"/>
                <w:szCs w:val="23"/>
              </w:rPr>
            </w:pPr>
          </w:p>
        </w:tc>
      </w:tr>
      <w:tr w:rsidR="00485123" w:rsidRPr="002A34C5" w14:paraId="655CA978" w14:textId="77777777" w:rsidTr="00931D24">
        <w:trPr>
          <w:trHeight w:val="454"/>
        </w:trPr>
        <w:tc>
          <w:tcPr>
            <w:tcW w:w="1266" w:type="dxa"/>
            <w:tcBorders>
              <w:top w:val="nil"/>
              <w:bottom w:val="nil"/>
            </w:tcBorders>
          </w:tcPr>
          <w:p w14:paraId="0CF20381" w14:textId="77777777" w:rsidR="00BA2173" w:rsidRDefault="00BA2173" w:rsidP="00BA2173">
            <w:pPr>
              <w:spacing w:before="40" w:after="40"/>
              <w:jc w:val="left"/>
              <w:rPr>
                <w:szCs w:val="23"/>
              </w:rPr>
            </w:pPr>
          </w:p>
        </w:tc>
        <w:tc>
          <w:tcPr>
            <w:tcW w:w="4961" w:type="dxa"/>
            <w:tcBorders>
              <w:top w:val="nil"/>
              <w:bottom w:val="nil"/>
            </w:tcBorders>
          </w:tcPr>
          <w:p w14:paraId="3B7D2B41" w14:textId="2A7C8D6E" w:rsidR="00BA2173" w:rsidRDefault="00BA2173" w:rsidP="009F24B6">
            <w:pPr>
              <w:spacing w:before="40" w:after="40"/>
              <w:jc w:val="left"/>
              <w:rPr>
                <w:bCs/>
                <w:szCs w:val="23"/>
              </w:rPr>
            </w:pPr>
            <w:r>
              <w:rPr>
                <w:szCs w:val="23"/>
              </w:rPr>
              <w:t xml:space="preserve">South Australia will be eligible for </w:t>
            </w:r>
            <w:r w:rsidR="00CA024C">
              <w:rPr>
                <w:szCs w:val="23"/>
              </w:rPr>
              <w:t xml:space="preserve">the </w:t>
            </w:r>
            <w:r>
              <w:rPr>
                <w:szCs w:val="23"/>
              </w:rPr>
              <w:t>minimum performance payment</w:t>
            </w:r>
            <w:r w:rsidR="009F24B6">
              <w:rPr>
                <w:szCs w:val="23"/>
              </w:rPr>
              <w:t xml:space="preserve"> each financial year</w:t>
            </w:r>
            <w:r>
              <w:rPr>
                <w:szCs w:val="23"/>
              </w:rPr>
              <w:t xml:space="preserve"> if the following apprenticeship and traineeship</w:t>
            </w:r>
            <w:r w:rsidRPr="002A34C5">
              <w:rPr>
                <w:szCs w:val="23"/>
              </w:rPr>
              <w:t xml:space="preserve"> </w:t>
            </w:r>
            <w:r w:rsidRPr="002A34C5">
              <w:rPr>
                <w:szCs w:val="23"/>
              </w:rPr>
              <w:lastRenderedPageBreak/>
              <w:t>commencements</w:t>
            </w:r>
            <w:r>
              <w:rPr>
                <w:szCs w:val="23"/>
              </w:rPr>
              <w:t xml:space="preserve"> </w:t>
            </w:r>
            <w:r w:rsidRPr="002A34C5">
              <w:rPr>
                <w:szCs w:val="23"/>
              </w:rPr>
              <w:t>are</w:t>
            </w:r>
            <w:r w:rsidR="009F24B6">
              <w:rPr>
                <w:szCs w:val="23"/>
              </w:rPr>
              <w:t xml:space="preserve"> achieved</w:t>
            </w:r>
            <w:r w:rsidRPr="002A34C5">
              <w:rPr>
                <w:szCs w:val="23"/>
              </w:rPr>
              <w:t xml:space="preserve"> </w:t>
            </w:r>
            <w:r w:rsidR="009F24B6">
              <w:rPr>
                <w:szCs w:val="23"/>
              </w:rPr>
              <w:t>between 1 July and up to 30 April</w:t>
            </w:r>
            <w:r w:rsidRPr="002A34C5">
              <w:rPr>
                <w:szCs w:val="23"/>
              </w:rPr>
              <w:t xml:space="preserve"> with pro</w:t>
            </w:r>
            <w:r w:rsidR="000A5F1B">
              <w:rPr>
                <w:szCs w:val="23"/>
              </w:rPr>
              <w:t xml:space="preserve"> </w:t>
            </w:r>
            <w:r w:rsidRPr="002A34C5">
              <w:rPr>
                <w:szCs w:val="23"/>
              </w:rPr>
              <w:t xml:space="preserve">rata amounts paid for commencements </w:t>
            </w:r>
            <w:r w:rsidR="004257AA">
              <w:rPr>
                <w:szCs w:val="23"/>
              </w:rPr>
              <w:t xml:space="preserve">up to 67.4 per cent of the total performance benchmark </w:t>
            </w:r>
            <w:r w:rsidRPr="002A34C5">
              <w:rPr>
                <w:szCs w:val="23"/>
              </w:rPr>
              <w:t xml:space="preserve">between </w:t>
            </w:r>
            <w:r w:rsidR="004257AA">
              <w:rPr>
                <w:szCs w:val="23"/>
              </w:rPr>
              <w:t xml:space="preserve">1 July and 30 April </w:t>
            </w:r>
            <w:r w:rsidR="00CA024C">
              <w:rPr>
                <w:szCs w:val="23"/>
              </w:rPr>
              <w:t>:</w:t>
            </w:r>
            <w:r w:rsidRPr="002A34C5">
              <w:rPr>
                <w:bCs/>
                <w:szCs w:val="23"/>
              </w:rPr>
              <w:t xml:space="preserve"> </w:t>
            </w:r>
          </w:p>
          <w:p w14:paraId="4BF129B7" w14:textId="77777777" w:rsidR="00E5082E" w:rsidRPr="002A34C5" w:rsidRDefault="00E5082E" w:rsidP="00E5082E">
            <w:pPr>
              <w:spacing w:after="0" w:line="240" w:lineRule="auto"/>
              <w:jc w:val="left"/>
              <w:rPr>
                <w:bCs/>
                <w:szCs w:val="23"/>
                <w:u w:val="single"/>
              </w:rPr>
            </w:pPr>
            <w:r>
              <w:rPr>
                <w:bCs/>
                <w:szCs w:val="23"/>
                <w:u w:val="single"/>
              </w:rPr>
              <w:t xml:space="preserve"> </w:t>
            </w:r>
          </w:p>
        </w:tc>
        <w:tc>
          <w:tcPr>
            <w:tcW w:w="1843" w:type="dxa"/>
            <w:tcBorders>
              <w:top w:val="nil"/>
              <w:bottom w:val="nil"/>
            </w:tcBorders>
          </w:tcPr>
          <w:p w14:paraId="7DDA27CB" w14:textId="77777777" w:rsidR="00BA2173" w:rsidRPr="002A34C5" w:rsidRDefault="00BA2173" w:rsidP="00FB5633">
            <w:pPr>
              <w:spacing w:before="40" w:after="40"/>
              <w:jc w:val="right"/>
              <w:rPr>
                <w:bCs/>
                <w:szCs w:val="23"/>
              </w:rPr>
            </w:pPr>
          </w:p>
        </w:tc>
        <w:tc>
          <w:tcPr>
            <w:tcW w:w="2126" w:type="dxa"/>
            <w:tcBorders>
              <w:top w:val="nil"/>
              <w:bottom w:val="nil"/>
            </w:tcBorders>
            <w:shd w:val="clear" w:color="auto" w:fill="auto"/>
          </w:tcPr>
          <w:p w14:paraId="3535A08A" w14:textId="77777777" w:rsidR="00BA2173" w:rsidRPr="00EA69DA" w:rsidRDefault="00BA2173" w:rsidP="00BC31FC">
            <w:pPr>
              <w:spacing w:before="40" w:after="40"/>
              <w:jc w:val="right"/>
              <w:rPr>
                <w:rFonts w:cs="Calibri"/>
                <w:szCs w:val="23"/>
              </w:rPr>
            </w:pPr>
          </w:p>
        </w:tc>
      </w:tr>
      <w:tr w:rsidR="00485123" w:rsidRPr="002A34C5" w14:paraId="1455F6EB" w14:textId="77777777" w:rsidTr="00931D24">
        <w:trPr>
          <w:trHeight w:val="454"/>
        </w:trPr>
        <w:tc>
          <w:tcPr>
            <w:tcW w:w="1266" w:type="dxa"/>
            <w:tcBorders>
              <w:top w:val="nil"/>
              <w:bottom w:val="single" w:sz="8" w:space="0" w:color="4F81BD"/>
            </w:tcBorders>
          </w:tcPr>
          <w:p w14:paraId="2EDE4A8B" w14:textId="77777777" w:rsidR="00BA2173" w:rsidRPr="00BA2173" w:rsidRDefault="00BA2173" w:rsidP="00BA2173">
            <w:pPr>
              <w:spacing w:before="40" w:after="40"/>
              <w:jc w:val="left"/>
              <w:rPr>
                <w:szCs w:val="23"/>
              </w:rPr>
            </w:pPr>
          </w:p>
        </w:tc>
        <w:tc>
          <w:tcPr>
            <w:tcW w:w="4961" w:type="dxa"/>
            <w:tcBorders>
              <w:top w:val="nil"/>
              <w:bottom w:val="single" w:sz="8" w:space="0" w:color="4F81BD"/>
            </w:tcBorders>
          </w:tcPr>
          <w:p w14:paraId="20DE8A31" w14:textId="77777777" w:rsidR="00BA2173" w:rsidRPr="00B876C5" w:rsidRDefault="00BA2173" w:rsidP="006B7348">
            <w:pPr>
              <w:pStyle w:val="ListParagraph"/>
              <w:numPr>
                <w:ilvl w:val="0"/>
                <w:numId w:val="5"/>
              </w:numPr>
              <w:spacing w:before="40" w:after="40"/>
              <w:ind w:left="720"/>
              <w:jc w:val="left"/>
              <w:rPr>
                <w:szCs w:val="23"/>
              </w:rPr>
            </w:pPr>
            <w:r w:rsidRPr="00B876C5">
              <w:rPr>
                <w:szCs w:val="23"/>
              </w:rPr>
              <w:t>2018-19: 3335 commencements</w:t>
            </w:r>
          </w:p>
          <w:p w14:paraId="00BF735E" w14:textId="210A58A4" w:rsidR="00BA2173" w:rsidRPr="00B876C5" w:rsidRDefault="00BA2173" w:rsidP="006B7348">
            <w:pPr>
              <w:pStyle w:val="ListParagraph"/>
              <w:numPr>
                <w:ilvl w:val="0"/>
                <w:numId w:val="5"/>
              </w:numPr>
              <w:spacing w:before="40" w:after="40"/>
              <w:ind w:left="720"/>
              <w:jc w:val="left"/>
              <w:rPr>
                <w:szCs w:val="23"/>
              </w:rPr>
            </w:pPr>
            <w:r w:rsidRPr="00B876C5">
              <w:rPr>
                <w:szCs w:val="23"/>
              </w:rPr>
              <w:t xml:space="preserve">2020-21: </w:t>
            </w:r>
            <w:r w:rsidR="00B97064">
              <w:rPr>
                <w:szCs w:val="23"/>
              </w:rPr>
              <w:t xml:space="preserve">4,653 </w:t>
            </w:r>
            <w:r w:rsidRPr="00B876C5">
              <w:rPr>
                <w:szCs w:val="23"/>
              </w:rPr>
              <w:t>commencements</w:t>
            </w:r>
          </w:p>
          <w:p w14:paraId="0520B706" w14:textId="24F757B5" w:rsidR="00BA2173" w:rsidRPr="00632786" w:rsidRDefault="00BA2173" w:rsidP="006B7348">
            <w:pPr>
              <w:pStyle w:val="ListParagraph"/>
              <w:numPr>
                <w:ilvl w:val="0"/>
                <w:numId w:val="5"/>
              </w:numPr>
              <w:spacing w:before="40" w:after="40"/>
              <w:ind w:left="720"/>
              <w:jc w:val="left"/>
              <w:rPr>
                <w:bCs/>
                <w:szCs w:val="23"/>
              </w:rPr>
            </w:pPr>
            <w:r w:rsidRPr="007A659D">
              <w:rPr>
                <w:szCs w:val="23"/>
              </w:rPr>
              <w:t xml:space="preserve">2021-22: </w:t>
            </w:r>
            <w:r w:rsidRPr="007C4177">
              <w:rPr>
                <w:szCs w:val="23"/>
              </w:rPr>
              <w:t xml:space="preserve"> </w:t>
            </w:r>
            <w:r w:rsidR="00B97064" w:rsidRPr="007C4177">
              <w:rPr>
                <w:szCs w:val="23"/>
              </w:rPr>
              <w:t xml:space="preserve">4,865 </w:t>
            </w:r>
            <w:r w:rsidRPr="00E87BDE">
              <w:rPr>
                <w:szCs w:val="23"/>
              </w:rPr>
              <w:t>commencements</w:t>
            </w:r>
            <w:r w:rsidR="0074186E" w:rsidRPr="00D554BD">
              <w:rPr>
                <w:szCs w:val="23"/>
              </w:rPr>
              <w:t>.</w:t>
            </w:r>
          </w:p>
          <w:p w14:paraId="0079AE6E" w14:textId="77777777" w:rsidR="00DB6854" w:rsidRDefault="00DB6854" w:rsidP="00AE02C9">
            <w:pPr>
              <w:spacing w:before="40" w:after="40"/>
              <w:jc w:val="left"/>
              <w:rPr>
                <w:szCs w:val="23"/>
              </w:rPr>
            </w:pPr>
          </w:p>
          <w:p w14:paraId="002C77D9" w14:textId="5A5F6A4B" w:rsidR="00DB6854" w:rsidRDefault="00DB6854" w:rsidP="00AE02C9">
            <w:pPr>
              <w:spacing w:before="40" w:after="40"/>
              <w:jc w:val="left"/>
              <w:rPr>
                <w:szCs w:val="23"/>
              </w:rPr>
            </w:pPr>
            <w:r>
              <w:rPr>
                <w:szCs w:val="23"/>
              </w:rPr>
              <w:t>South Australia will be eligible for the minimum performance payment if the following apprenticeship and traineeship</w:t>
            </w:r>
            <w:r w:rsidRPr="002A34C5">
              <w:rPr>
                <w:szCs w:val="23"/>
              </w:rPr>
              <w:t xml:space="preserve"> commencements</w:t>
            </w:r>
            <w:r>
              <w:rPr>
                <w:szCs w:val="23"/>
              </w:rPr>
              <w:t xml:space="preserve"> </w:t>
            </w:r>
            <w:r w:rsidRPr="002A34C5">
              <w:rPr>
                <w:szCs w:val="23"/>
              </w:rPr>
              <w:t>are</w:t>
            </w:r>
            <w:r>
              <w:rPr>
                <w:szCs w:val="23"/>
              </w:rPr>
              <w:t xml:space="preserve"> achieved</w:t>
            </w:r>
            <w:r w:rsidRPr="002A34C5">
              <w:rPr>
                <w:szCs w:val="23"/>
              </w:rPr>
              <w:t xml:space="preserve"> </w:t>
            </w:r>
            <w:r>
              <w:rPr>
                <w:szCs w:val="23"/>
              </w:rPr>
              <w:t>between 1 July and up to 31 December</w:t>
            </w:r>
            <w:r w:rsidRPr="002A34C5">
              <w:rPr>
                <w:szCs w:val="23"/>
              </w:rPr>
              <w:t xml:space="preserve"> with pro</w:t>
            </w:r>
            <w:r>
              <w:rPr>
                <w:szCs w:val="23"/>
              </w:rPr>
              <w:t xml:space="preserve"> </w:t>
            </w:r>
            <w:r w:rsidRPr="002A34C5">
              <w:rPr>
                <w:szCs w:val="23"/>
              </w:rPr>
              <w:t>rata amounts paid for commencements between 50</w:t>
            </w:r>
            <w:r>
              <w:rPr>
                <w:szCs w:val="23"/>
              </w:rPr>
              <w:t> </w:t>
            </w:r>
            <w:r w:rsidRPr="002A34C5">
              <w:rPr>
                <w:szCs w:val="23"/>
              </w:rPr>
              <w:t>per</w:t>
            </w:r>
            <w:r>
              <w:rPr>
                <w:szCs w:val="23"/>
              </w:rPr>
              <w:t> </w:t>
            </w:r>
            <w:r w:rsidRPr="002A34C5">
              <w:rPr>
                <w:szCs w:val="23"/>
              </w:rPr>
              <w:t xml:space="preserve">cent and </w:t>
            </w:r>
            <w:r>
              <w:rPr>
                <w:szCs w:val="23"/>
              </w:rPr>
              <w:br/>
            </w:r>
            <w:r w:rsidRPr="002A34C5">
              <w:rPr>
                <w:szCs w:val="23"/>
              </w:rPr>
              <w:t>100 per cent</w:t>
            </w:r>
            <w:r>
              <w:rPr>
                <w:szCs w:val="23"/>
              </w:rPr>
              <w:t>:</w:t>
            </w:r>
          </w:p>
          <w:p w14:paraId="197DA1C8" w14:textId="77777777" w:rsidR="00DB6854" w:rsidRDefault="00DB6854" w:rsidP="00AE02C9">
            <w:pPr>
              <w:spacing w:before="40" w:after="40"/>
              <w:jc w:val="left"/>
              <w:rPr>
                <w:szCs w:val="23"/>
              </w:rPr>
            </w:pPr>
          </w:p>
          <w:p w14:paraId="273707D8" w14:textId="515A4704" w:rsidR="00DB6854" w:rsidRPr="00B876C5" w:rsidRDefault="00DB6854" w:rsidP="00DB6854">
            <w:pPr>
              <w:pStyle w:val="ListParagraph"/>
              <w:numPr>
                <w:ilvl w:val="0"/>
                <w:numId w:val="5"/>
              </w:numPr>
              <w:spacing w:before="40" w:after="40"/>
              <w:ind w:left="720"/>
              <w:jc w:val="left"/>
              <w:rPr>
                <w:szCs w:val="23"/>
              </w:rPr>
            </w:pPr>
            <w:r>
              <w:rPr>
                <w:szCs w:val="23"/>
              </w:rPr>
              <w:t xml:space="preserve">2019-20: </w:t>
            </w:r>
            <w:r w:rsidR="00F41F0A">
              <w:rPr>
                <w:szCs w:val="23"/>
              </w:rPr>
              <w:t>2965</w:t>
            </w:r>
            <w:r w:rsidRPr="00B876C5">
              <w:rPr>
                <w:szCs w:val="23"/>
              </w:rPr>
              <w:t xml:space="preserve"> commencements</w:t>
            </w:r>
          </w:p>
          <w:p w14:paraId="4BB98CA7" w14:textId="1FBF1244" w:rsidR="00DB6854" w:rsidRPr="009840EE" w:rsidRDefault="00DB6854" w:rsidP="00AE02C9">
            <w:pPr>
              <w:spacing w:before="40" w:after="40"/>
              <w:jc w:val="left"/>
              <w:rPr>
                <w:bCs/>
                <w:szCs w:val="23"/>
              </w:rPr>
            </w:pPr>
          </w:p>
        </w:tc>
        <w:tc>
          <w:tcPr>
            <w:tcW w:w="1843" w:type="dxa"/>
            <w:tcBorders>
              <w:top w:val="nil"/>
              <w:bottom w:val="single" w:sz="8" w:space="0" w:color="4F81BD"/>
            </w:tcBorders>
          </w:tcPr>
          <w:p w14:paraId="2855C2A7" w14:textId="77777777" w:rsidR="00BA2173" w:rsidRPr="002A34C5" w:rsidRDefault="00BA2173" w:rsidP="00FB5633">
            <w:pPr>
              <w:spacing w:before="40" w:after="40"/>
              <w:jc w:val="right"/>
              <w:rPr>
                <w:szCs w:val="23"/>
              </w:rPr>
            </w:pPr>
            <w:r w:rsidRPr="002A34C5">
              <w:rPr>
                <w:szCs w:val="23"/>
              </w:rPr>
              <w:t>30 April 2019</w:t>
            </w:r>
          </w:p>
          <w:p w14:paraId="50954031" w14:textId="77777777" w:rsidR="00BA2173" w:rsidRPr="002A34C5" w:rsidRDefault="00BA2173" w:rsidP="00FB5633">
            <w:pPr>
              <w:spacing w:before="40" w:after="40"/>
              <w:jc w:val="right"/>
              <w:rPr>
                <w:szCs w:val="23"/>
              </w:rPr>
            </w:pPr>
            <w:r w:rsidRPr="002A34C5">
              <w:rPr>
                <w:szCs w:val="23"/>
              </w:rPr>
              <w:t>30 April 2021</w:t>
            </w:r>
          </w:p>
          <w:p w14:paraId="45CF32AE" w14:textId="77777777" w:rsidR="00BA2173" w:rsidRDefault="00BA2173" w:rsidP="00FB5633">
            <w:pPr>
              <w:spacing w:before="40" w:after="40"/>
              <w:jc w:val="right"/>
              <w:rPr>
                <w:szCs w:val="23"/>
              </w:rPr>
            </w:pPr>
            <w:r w:rsidRPr="002A34C5">
              <w:rPr>
                <w:szCs w:val="23"/>
              </w:rPr>
              <w:t>30 April 2022</w:t>
            </w:r>
          </w:p>
          <w:p w14:paraId="0EBEB7C3" w14:textId="77777777" w:rsidR="00DB6854" w:rsidRDefault="00DB6854" w:rsidP="00FB5633">
            <w:pPr>
              <w:spacing w:before="40" w:after="40"/>
              <w:jc w:val="right"/>
              <w:rPr>
                <w:szCs w:val="23"/>
              </w:rPr>
            </w:pPr>
          </w:p>
          <w:p w14:paraId="7ADA84A5" w14:textId="77777777" w:rsidR="00DB6854" w:rsidRDefault="00DB6854" w:rsidP="00FB5633">
            <w:pPr>
              <w:spacing w:before="40" w:after="40"/>
              <w:jc w:val="right"/>
              <w:rPr>
                <w:szCs w:val="23"/>
              </w:rPr>
            </w:pPr>
          </w:p>
          <w:p w14:paraId="04374052" w14:textId="77777777" w:rsidR="00DB6854" w:rsidRDefault="00DB6854" w:rsidP="00FB5633">
            <w:pPr>
              <w:spacing w:before="40" w:after="40"/>
              <w:jc w:val="right"/>
              <w:rPr>
                <w:szCs w:val="23"/>
              </w:rPr>
            </w:pPr>
          </w:p>
          <w:p w14:paraId="4F238EB0" w14:textId="77777777" w:rsidR="00DB6854" w:rsidRDefault="00DB6854" w:rsidP="00FB5633">
            <w:pPr>
              <w:spacing w:before="40" w:after="40"/>
              <w:jc w:val="right"/>
              <w:rPr>
                <w:szCs w:val="23"/>
              </w:rPr>
            </w:pPr>
          </w:p>
          <w:p w14:paraId="6DE22988" w14:textId="77777777" w:rsidR="00DB6854" w:rsidRDefault="00DB6854" w:rsidP="00FB5633">
            <w:pPr>
              <w:spacing w:before="40" w:after="40"/>
              <w:jc w:val="right"/>
              <w:rPr>
                <w:szCs w:val="23"/>
              </w:rPr>
            </w:pPr>
          </w:p>
          <w:p w14:paraId="2762ECB2" w14:textId="77777777" w:rsidR="00DB6854" w:rsidRDefault="00DB6854" w:rsidP="00FB5633">
            <w:pPr>
              <w:spacing w:before="40" w:after="40"/>
              <w:jc w:val="right"/>
              <w:rPr>
                <w:szCs w:val="23"/>
              </w:rPr>
            </w:pPr>
          </w:p>
          <w:p w14:paraId="4DC05447" w14:textId="77777777" w:rsidR="00DB6854" w:rsidRDefault="00DB6854" w:rsidP="00FB5633">
            <w:pPr>
              <w:spacing w:before="40" w:after="40"/>
              <w:jc w:val="right"/>
              <w:rPr>
                <w:szCs w:val="23"/>
              </w:rPr>
            </w:pPr>
          </w:p>
          <w:p w14:paraId="078ACD78" w14:textId="77777777" w:rsidR="00DB6854" w:rsidRDefault="00DB6854" w:rsidP="00FB5633">
            <w:pPr>
              <w:spacing w:before="40" w:after="40"/>
              <w:jc w:val="right"/>
              <w:rPr>
                <w:szCs w:val="23"/>
              </w:rPr>
            </w:pPr>
          </w:p>
          <w:p w14:paraId="7188431A" w14:textId="77777777" w:rsidR="00DB6854" w:rsidRPr="002A34C5" w:rsidRDefault="00DB6854" w:rsidP="00DB6854">
            <w:pPr>
              <w:spacing w:before="40" w:after="40"/>
              <w:jc w:val="right"/>
              <w:rPr>
                <w:szCs w:val="23"/>
              </w:rPr>
            </w:pPr>
            <w:r w:rsidRPr="002A34C5">
              <w:rPr>
                <w:szCs w:val="23"/>
              </w:rPr>
              <w:t>30 April 2020</w:t>
            </w:r>
          </w:p>
          <w:p w14:paraId="08CC740B" w14:textId="632DBA59" w:rsidR="00DB6854" w:rsidRPr="002A34C5" w:rsidRDefault="00DB6854" w:rsidP="00AE02C9">
            <w:pPr>
              <w:spacing w:before="40" w:after="40"/>
              <w:rPr>
                <w:szCs w:val="23"/>
              </w:rPr>
            </w:pPr>
          </w:p>
        </w:tc>
        <w:tc>
          <w:tcPr>
            <w:tcW w:w="2126" w:type="dxa"/>
            <w:tcBorders>
              <w:top w:val="nil"/>
              <w:bottom w:val="single" w:sz="8" w:space="0" w:color="4F81BD"/>
            </w:tcBorders>
            <w:shd w:val="clear" w:color="auto" w:fill="auto"/>
          </w:tcPr>
          <w:p w14:paraId="268C6E1D" w14:textId="77777777" w:rsidR="00BA2173" w:rsidRPr="00EA69DA" w:rsidRDefault="00BA2173" w:rsidP="00FB5633">
            <w:pPr>
              <w:spacing w:before="40" w:after="40"/>
              <w:jc w:val="right"/>
              <w:rPr>
                <w:szCs w:val="23"/>
              </w:rPr>
            </w:pPr>
            <w:r w:rsidRPr="00EA69DA">
              <w:rPr>
                <w:szCs w:val="23"/>
              </w:rPr>
              <w:t>$6,200,000</w:t>
            </w:r>
          </w:p>
          <w:p w14:paraId="42236E7D" w14:textId="6F727AE4" w:rsidR="00705570" w:rsidRPr="00EA69DA" w:rsidRDefault="002136CF" w:rsidP="00FB5633">
            <w:pPr>
              <w:spacing w:before="40" w:after="40"/>
              <w:jc w:val="right"/>
              <w:rPr>
                <w:szCs w:val="23"/>
              </w:rPr>
            </w:pPr>
            <w:r>
              <w:rPr>
                <w:szCs w:val="23"/>
              </w:rPr>
              <w:t>$4,115,000</w:t>
            </w:r>
          </w:p>
          <w:p w14:paraId="22A0CD3F" w14:textId="15E17996" w:rsidR="002A685C" w:rsidRDefault="002136CF" w:rsidP="006B2A52">
            <w:pPr>
              <w:spacing w:before="40" w:after="40"/>
              <w:jc w:val="right"/>
              <w:rPr>
                <w:szCs w:val="23"/>
              </w:rPr>
            </w:pPr>
            <w:r>
              <w:rPr>
                <w:szCs w:val="23"/>
              </w:rPr>
              <w:t>$1,641,000</w:t>
            </w:r>
          </w:p>
          <w:p w14:paraId="54D2FA04" w14:textId="77777777" w:rsidR="00DB6854" w:rsidRDefault="00DB6854" w:rsidP="00D766B0">
            <w:pPr>
              <w:spacing w:before="40" w:after="40"/>
              <w:jc w:val="right"/>
              <w:rPr>
                <w:szCs w:val="23"/>
              </w:rPr>
            </w:pPr>
          </w:p>
          <w:p w14:paraId="20981884" w14:textId="77777777" w:rsidR="00DB6854" w:rsidRDefault="00DB6854" w:rsidP="00D766B0">
            <w:pPr>
              <w:spacing w:before="40" w:after="40"/>
              <w:jc w:val="right"/>
              <w:rPr>
                <w:szCs w:val="23"/>
              </w:rPr>
            </w:pPr>
          </w:p>
          <w:p w14:paraId="6EF1556E" w14:textId="77777777" w:rsidR="00DB6854" w:rsidRDefault="00DB6854" w:rsidP="00D766B0">
            <w:pPr>
              <w:spacing w:before="40" w:after="40"/>
              <w:jc w:val="right"/>
              <w:rPr>
                <w:szCs w:val="23"/>
              </w:rPr>
            </w:pPr>
          </w:p>
          <w:p w14:paraId="50267F86" w14:textId="77777777" w:rsidR="00DB6854" w:rsidRDefault="00DB6854" w:rsidP="00D766B0">
            <w:pPr>
              <w:spacing w:before="40" w:after="40"/>
              <w:jc w:val="right"/>
              <w:rPr>
                <w:szCs w:val="23"/>
              </w:rPr>
            </w:pPr>
          </w:p>
          <w:p w14:paraId="45385D9E" w14:textId="77777777" w:rsidR="00DB6854" w:rsidRDefault="00DB6854" w:rsidP="00D766B0">
            <w:pPr>
              <w:spacing w:before="40" w:after="40"/>
              <w:jc w:val="right"/>
              <w:rPr>
                <w:szCs w:val="23"/>
              </w:rPr>
            </w:pPr>
          </w:p>
          <w:p w14:paraId="51C69DC3" w14:textId="77777777" w:rsidR="00DB6854" w:rsidRDefault="00DB6854" w:rsidP="00D766B0">
            <w:pPr>
              <w:spacing w:before="40" w:after="40"/>
              <w:jc w:val="right"/>
              <w:rPr>
                <w:szCs w:val="23"/>
              </w:rPr>
            </w:pPr>
          </w:p>
          <w:p w14:paraId="256B7428" w14:textId="77777777" w:rsidR="00DB6854" w:rsidRDefault="00DB6854" w:rsidP="00D766B0">
            <w:pPr>
              <w:spacing w:before="40" w:after="40"/>
              <w:jc w:val="right"/>
              <w:rPr>
                <w:szCs w:val="23"/>
              </w:rPr>
            </w:pPr>
          </w:p>
          <w:p w14:paraId="5AC36EA4" w14:textId="77777777" w:rsidR="00DB6854" w:rsidRDefault="00DB6854" w:rsidP="00D766B0">
            <w:pPr>
              <w:spacing w:before="40" w:after="40"/>
              <w:jc w:val="right"/>
              <w:rPr>
                <w:szCs w:val="23"/>
              </w:rPr>
            </w:pPr>
          </w:p>
          <w:p w14:paraId="04AFC6BA" w14:textId="77777777" w:rsidR="00DB6854" w:rsidRPr="00EA69DA" w:rsidRDefault="00DB6854" w:rsidP="00DB6854">
            <w:pPr>
              <w:spacing w:before="40" w:after="40"/>
              <w:jc w:val="right"/>
              <w:rPr>
                <w:szCs w:val="23"/>
              </w:rPr>
            </w:pPr>
            <w:r w:rsidRPr="00EA69DA">
              <w:rPr>
                <w:szCs w:val="23"/>
              </w:rPr>
              <w:t>$4,527,000</w:t>
            </w:r>
          </w:p>
          <w:p w14:paraId="4B90FD65" w14:textId="196AB3C1" w:rsidR="00DB6854" w:rsidRPr="00EA69DA" w:rsidRDefault="00DB6854" w:rsidP="00AE02C9">
            <w:pPr>
              <w:spacing w:before="40" w:after="40"/>
              <w:rPr>
                <w:szCs w:val="23"/>
              </w:rPr>
            </w:pPr>
          </w:p>
        </w:tc>
      </w:tr>
      <w:tr w:rsidR="001E11A7" w:rsidRPr="006879D3" w14:paraId="1D2B165D" w14:textId="77777777" w:rsidTr="00931D24">
        <w:trPr>
          <w:trHeight w:val="735"/>
        </w:trPr>
        <w:tc>
          <w:tcPr>
            <w:tcW w:w="1266" w:type="dxa"/>
            <w:shd w:val="clear" w:color="auto" w:fill="DBE5F1" w:themeFill="accent1" w:themeFillTint="33"/>
          </w:tcPr>
          <w:p w14:paraId="1003234B" w14:textId="77777777" w:rsidR="001E11A7" w:rsidRPr="006879D3" w:rsidRDefault="001E11A7" w:rsidP="005458B2">
            <w:pPr>
              <w:pStyle w:val="Heading2"/>
              <w:rPr>
                <w:bCs w:val="0"/>
                <w:sz w:val="24"/>
                <w:szCs w:val="24"/>
              </w:rPr>
            </w:pPr>
            <w:r>
              <w:rPr>
                <w:bCs w:val="0"/>
                <w:sz w:val="24"/>
                <w:szCs w:val="24"/>
              </w:rPr>
              <w:t xml:space="preserve">Output </w:t>
            </w:r>
          </w:p>
        </w:tc>
        <w:tc>
          <w:tcPr>
            <w:tcW w:w="4961" w:type="dxa"/>
            <w:shd w:val="clear" w:color="auto" w:fill="DBE5F1" w:themeFill="accent1" w:themeFillTint="33"/>
          </w:tcPr>
          <w:p w14:paraId="636DA64C" w14:textId="77777777" w:rsidR="001E11A7" w:rsidRPr="006879D3" w:rsidRDefault="001E11A7" w:rsidP="005458B2">
            <w:pPr>
              <w:pStyle w:val="Heading2"/>
              <w:rPr>
                <w:bCs w:val="0"/>
                <w:sz w:val="24"/>
                <w:szCs w:val="24"/>
              </w:rPr>
            </w:pPr>
            <w:r w:rsidRPr="006879D3">
              <w:rPr>
                <w:bCs w:val="0"/>
                <w:sz w:val="24"/>
                <w:szCs w:val="24"/>
              </w:rPr>
              <w:t>Performance benchmarks/milestones</w:t>
            </w:r>
          </w:p>
        </w:tc>
        <w:tc>
          <w:tcPr>
            <w:tcW w:w="1843" w:type="dxa"/>
            <w:shd w:val="clear" w:color="auto" w:fill="DBE5F1" w:themeFill="accent1" w:themeFillTint="33"/>
          </w:tcPr>
          <w:p w14:paraId="00919857" w14:textId="77777777" w:rsidR="001E11A7" w:rsidRPr="006879D3" w:rsidRDefault="001E11A7" w:rsidP="00BC31FC">
            <w:pPr>
              <w:pStyle w:val="Heading2"/>
              <w:rPr>
                <w:sz w:val="18"/>
                <w:szCs w:val="18"/>
              </w:rPr>
            </w:pPr>
            <w:r w:rsidRPr="006879D3">
              <w:rPr>
                <w:bCs w:val="0"/>
                <w:sz w:val="24"/>
                <w:szCs w:val="24"/>
              </w:rPr>
              <w:t>Report d</w:t>
            </w:r>
            <w:r w:rsidR="00BC31FC">
              <w:rPr>
                <w:bCs w:val="0"/>
                <w:sz w:val="24"/>
                <w:szCs w:val="24"/>
              </w:rPr>
              <w:t>ue</w:t>
            </w:r>
          </w:p>
        </w:tc>
        <w:tc>
          <w:tcPr>
            <w:tcW w:w="2126" w:type="dxa"/>
            <w:shd w:val="clear" w:color="auto" w:fill="DBE5F1" w:themeFill="accent1" w:themeFillTint="33"/>
          </w:tcPr>
          <w:p w14:paraId="6C8DF634" w14:textId="77777777" w:rsidR="001E11A7" w:rsidRPr="006879D3" w:rsidRDefault="001E11A7" w:rsidP="005458B2">
            <w:pPr>
              <w:pStyle w:val="Heading2"/>
              <w:rPr>
                <w:bCs w:val="0"/>
                <w:sz w:val="24"/>
                <w:szCs w:val="24"/>
              </w:rPr>
            </w:pPr>
            <w:r w:rsidRPr="006879D3">
              <w:rPr>
                <w:bCs w:val="0"/>
                <w:sz w:val="24"/>
                <w:szCs w:val="24"/>
              </w:rPr>
              <w:t>Payment</w:t>
            </w:r>
          </w:p>
        </w:tc>
      </w:tr>
      <w:tr w:rsidR="009F24B6" w:rsidRPr="002A34C5" w14:paraId="6653AFCE" w14:textId="77777777" w:rsidTr="00931D24">
        <w:trPr>
          <w:trHeight w:val="454"/>
        </w:trPr>
        <w:tc>
          <w:tcPr>
            <w:tcW w:w="1266" w:type="dxa"/>
            <w:tcBorders>
              <w:top w:val="nil"/>
              <w:bottom w:val="nil"/>
            </w:tcBorders>
          </w:tcPr>
          <w:p w14:paraId="1905BB57" w14:textId="77777777" w:rsidR="00BA2173" w:rsidDel="005D75EC" w:rsidRDefault="00BA2173" w:rsidP="00BA2173">
            <w:pPr>
              <w:spacing w:before="40" w:after="40"/>
              <w:jc w:val="left"/>
              <w:rPr>
                <w:bCs/>
                <w:szCs w:val="23"/>
                <w:u w:val="single"/>
              </w:rPr>
            </w:pPr>
          </w:p>
        </w:tc>
        <w:tc>
          <w:tcPr>
            <w:tcW w:w="4961" w:type="dxa"/>
            <w:tcBorders>
              <w:top w:val="nil"/>
              <w:bottom w:val="nil"/>
            </w:tcBorders>
          </w:tcPr>
          <w:p w14:paraId="0BF0AC03" w14:textId="77777777" w:rsidR="00BA2173" w:rsidRPr="00493A8D" w:rsidRDefault="00BA2173" w:rsidP="00BA2173">
            <w:pPr>
              <w:spacing w:before="40" w:after="40"/>
              <w:jc w:val="left"/>
              <w:rPr>
                <w:b/>
                <w:szCs w:val="23"/>
              </w:rPr>
            </w:pPr>
            <w:r w:rsidRPr="00493A8D">
              <w:rPr>
                <w:b/>
                <w:bCs/>
                <w:szCs w:val="23"/>
              </w:rPr>
              <w:t>Performance benchmark 2: Pre-apprenticeships and pre</w:t>
            </w:r>
            <w:r w:rsidRPr="00493A8D">
              <w:rPr>
                <w:b/>
                <w:bCs/>
                <w:szCs w:val="23"/>
              </w:rPr>
              <w:noBreakHyphen/>
              <w:t>traineeships</w:t>
            </w:r>
          </w:p>
        </w:tc>
        <w:tc>
          <w:tcPr>
            <w:tcW w:w="1843" w:type="dxa"/>
            <w:tcBorders>
              <w:top w:val="nil"/>
              <w:bottom w:val="nil"/>
            </w:tcBorders>
          </w:tcPr>
          <w:p w14:paraId="2B03936F" w14:textId="77777777" w:rsidR="00BA2173" w:rsidRPr="002A34C5" w:rsidRDefault="00BA2173" w:rsidP="00BA2173">
            <w:pPr>
              <w:spacing w:before="40" w:after="40"/>
              <w:jc w:val="left"/>
              <w:rPr>
                <w:bCs/>
                <w:szCs w:val="23"/>
              </w:rPr>
            </w:pPr>
          </w:p>
        </w:tc>
        <w:tc>
          <w:tcPr>
            <w:tcW w:w="2126" w:type="dxa"/>
            <w:tcBorders>
              <w:top w:val="nil"/>
              <w:bottom w:val="nil"/>
            </w:tcBorders>
          </w:tcPr>
          <w:p w14:paraId="433BC079" w14:textId="77777777" w:rsidR="00BA2173" w:rsidRPr="002A34C5" w:rsidRDefault="00BA2173" w:rsidP="00BA2173">
            <w:pPr>
              <w:spacing w:before="40" w:after="40"/>
              <w:jc w:val="right"/>
              <w:rPr>
                <w:rFonts w:cs="Calibri"/>
                <w:szCs w:val="23"/>
              </w:rPr>
            </w:pPr>
          </w:p>
        </w:tc>
      </w:tr>
      <w:tr w:rsidR="009F24B6" w:rsidRPr="002A34C5" w14:paraId="25465487" w14:textId="77777777" w:rsidTr="00931D24">
        <w:trPr>
          <w:trHeight w:val="454"/>
        </w:trPr>
        <w:tc>
          <w:tcPr>
            <w:tcW w:w="1266" w:type="dxa"/>
            <w:tcBorders>
              <w:top w:val="nil"/>
              <w:bottom w:val="nil"/>
            </w:tcBorders>
          </w:tcPr>
          <w:p w14:paraId="338C6779" w14:textId="77777777" w:rsidR="00BA2173" w:rsidRPr="002A34C5" w:rsidRDefault="00BA2173" w:rsidP="00BA2173">
            <w:pPr>
              <w:spacing w:beforeLines="40" w:before="96" w:afterLines="40" w:after="96"/>
              <w:jc w:val="left"/>
              <w:rPr>
                <w:bCs/>
                <w:szCs w:val="23"/>
              </w:rPr>
            </w:pPr>
          </w:p>
        </w:tc>
        <w:tc>
          <w:tcPr>
            <w:tcW w:w="4961" w:type="dxa"/>
            <w:tcBorders>
              <w:top w:val="nil"/>
              <w:bottom w:val="nil"/>
            </w:tcBorders>
          </w:tcPr>
          <w:p w14:paraId="2C6A6D8B" w14:textId="1F1B2B56" w:rsidR="00BA2173" w:rsidRDefault="00BA2173" w:rsidP="00BA2173">
            <w:pPr>
              <w:spacing w:beforeLines="40" w:before="96" w:afterLines="40" w:after="96"/>
              <w:jc w:val="left"/>
              <w:rPr>
                <w:bCs/>
                <w:szCs w:val="23"/>
              </w:rPr>
            </w:pPr>
            <w:r w:rsidRPr="00B876C5">
              <w:rPr>
                <w:bCs/>
                <w:szCs w:val="23"/>
              </w:rPr>
              <w:t xml:space="preserve">The total performance benchmark for each </w:t>
            </w:r>
            <w:r w:rsidR="009F24B6" w:rsidRPr="00B876C5">
              <w:rPr>
                <w:bCs/>
                <w:szCs w:val="23"/>
              </w:rPr>
              <w:t xml:space="preserve">financial </w:t>
            </w:r>
            <w:r w:rsidRPr="00B876C5">
              <w:rPr>
                <w:bCs/>
                <w:szCs w:val="23"/>
              </w:rPr>
              <w:t xml:space="preserve">year </w:t>
            </w:r>
            <w:r w:rsidR="007836E3" w:rsidRPr="00B876C5">
              <w:rPr>
                <w:bCs/>
                <w:szCs w:val="23"/>
              </w:rPr>
              <w:t>(baseline commencements plus additional commencement targets)</w:t>
            </w:r>
            <w:r w:rsidR="007836E3">
              <w:rPr>
                <w:bCs/>
                <w:szCs w:val="23"/>
              </w:rPr>
              <w:t xml:space="preserve"> </w:t>
            </w:r>
            <w:r w:rsidRPr="00B876C5">
              <w:rPr>
                <w:bCs/>
                <w:szCs w:val="23"/>
              </w:rPr>
              <w:t>for pre-apprenticeships and pre-traineeship commencements are as follows:</w:t>
            </w:r>
          </w:p>
          <w:p w14:paraId="09F92625" w14:textId="77777777" w:rsidR="007836E3" w:rsidRPr="00B876C5" w:rsidRDefault="007836E3" w:rsidP="007B3B08">
            <w:pPr>
              <w:spacing w:before="40" w:after="40"/>
              <w:jc w:val="left"/>
              <w:rPr>
                <w:bCs/>
                <w:szCs w:val="23"/>
              </w:rPr>
            </w:pPr>
          </w:p>
          <w:p w14:paraId="36391935" w14:textId="77777777" w:rsidR="00BA2173" w:rsidRPr="00AE2A50" w:rsidRDefault="00BA2173" w:rsidP="00FB5633">
            <w:pPr>
              <w:pStyle w:val="ListParagraph"/>
              <w:numPr>
                <w:ilvl w:val="0"/>
                <w:numId w:val="5"/>
              </w:numPr>
              <w:spacing w:after="0" w:line="240" w:lineRule="auto"/>
              <w:ind w:left="714" w:hanging="357"/>
              <w:jc w:val="left"/>
              <w:rPr>
                <w:szCs w:val="23"/>
              </w:rPr>
            </w:pPr>
            <w:r w:rsidRPr="00AE2A50">
              <w:rPr>
                <w:szCs w:val="23"/>
              </w:rPr>
              <w:t>2018-19: 2728 commencements</w:t>
            </w:r>
          </w:p>
          <w:p w14:paraId="4788CFD5" w14:textId="77777777" w:rsidR="00BA2173" w:rsidRPr="00AE2A50" w:rsidRDefault="00BA2173" w:rsidP="006B7348">
            <w:pPr>
              <w:pStyle w:val="ListParagraph"/>
              <w:numPr>
                <w:ilvl w:val="0"/>
                <w:numId w:val="5"/>
              </w:numPr>
              <w:spacing w:beforeLines="40" w:before="96" w:afterLines="40" w:after="96"/>
              <w:ind w:left="720"/>
              <w:jc w:val="left"/>
              <w:rPr>
                <w:szCs w:val="23"/>
              </w:rPr>
            </w:pPr>
            <w:r w:rsidRPr="00AE2A50">
              <w:rPr>
                <w:szCs w:val="23"/>
              </w:rPr>
              <w:t>2019-20: 2788 commencements</w:t>
            </w:r>
          </w:p>
          <w:p w14:paraId="669A0674" w14:textId="0602339B" w:rsidR="00BA2173" w:rsidRPr="00AE2A50" w:rsidRDefault="00BA2173" w:rsidP="006B7348">
            <w:pPr>
              <w:pStyle w:val="ListParagraph"/>
              <w:numPr>
                <w:ilvl w:val="0"/>
                <w:numId w:val="5"/>
              </w:numPr>
              <w:spacing w:beforeLines="40" w:before="96" w:afterLines="40" w:after="96"/>
              <w:ind w:left="720"/>
              <w:jc w:val="left"/>
              <w:rPr>
                <w:szCs w:val="23"/>
              </w:rPr>
            </w:pPr>
            <w:r w:rsidRPr="00AE2A50">
              <w:rPr>
                <w:szCs w:val="23"/>
              </w:rPr>
              <w:t xml:space="preserve">2020-21: </w:t>
            </w:r>
            <w:r w:rsidR="002136CF">
              <w:rPr>
                <w:szCs w:val="23"/>
              </w:rPr>
              <w:t>2418</w:t>
            </w:r>
            <w:r w:rsidR="002136CF" w:rsidRPr="00AE2A50">
              <w:rPr>
                <w:szCs w:val="23"/>
              </w:rPr>
              <w:t xml:space="preserve"> </w:t>
            </w:r>
            <w:r w:rsidRPr="00AE2A50">
              <w:rPr>
                <w:szCs w:val="23"/>
              </w:rPr>
              <w:t xml:space="preserve">commencements </w:t>
            </w:r>
          </w:p>
          <w:p w14:paraId="3DF67572" w14:textId="1D82790F" w:rsidR="00BA2173" w:rsidRPr="00B876C5" w:rsidRDefault="00BA2173" w:rsidP="008812AF">
            <w:pPr>
              <w:pStyle w:val="ListParagraph"/>
              <w:numPr>
                <w:ilvl w:val="0"/>
                <w:numId w:val="5"/>
              </w:numPr>
              <w:spacing w:beforeLines="40" w:before="96" w:afterLines="40" w:after="96"/>
              <w:ind w:left="720"/>
              <w:jc w:val="left"/>
              <w:rPr>
                <w:bCs/>
                <w:szCs w:val="23"/>
                <w:u w:val="single"/>
              </w:rPr>
            </w:pPr>
            <w:r w:rsidRPr="00AE2A50">
              <w:rPr>
                <w:szCs w:val="23"/>
              </w:rPr>
              <w:t xml:space="preserve">2021-22: </w:t>
            </w:r>
            <w:r w:rsidR="002136CF">
              <w:rPr>
                <w:szCs w:val="23"/>
              </w:rPr>
              <w:t>2221</w:t>
            </w:r>
            <w:r w:rsidR="008812AF" w:rsidRPr="00AE2A50">
              <w:rPr>
                <w:szCs w:val="23"/>
              </w:rPr>
              <w:t xml:space="preserve"> </w:t>
            </w:r>
            <w:r w:rsidRPr="00AE2A50">
              <w:rPr>
                <w:szCs w:val="23"/>
              </w:rPr>
              <w:t>commencements</w:t>
            </w:r>
            <w:r w:rsidR="00233ABE">
              <w:rPr>
                <w:szCs w:val="23"/>
              </w:rPr>
              <w:t>.</w:t>
            </w:r>
          </w:p>
        </w:tc>
        <w:tc>
          <w:tcPr>
            <w:tcW w:w="1843" w:type="dxa"/>
            <w:tcBorders>
              <w:top w:val="nil"/>
              <w:bottom w:val="nil"/>
            </w:tcBorders>
          </w:tcPr>
          <w:p w14:paraId="33046012" w14:textId="77777777" w:rsidR="00BA2173" w:rsidRPr="00B876C5" w:rsidRDefault="00BA2173" w:rsidP="00BA2173">
            <w:pPr>
              <w:spacing w:beforeLines="40" w:before="96" w:afterLines="40" w:after="96"/>
              <w:jc w:val="left"/>
              <w:rPr>
                <w:bCs/>
                <w:szCs w:val="23"/>
              </w:rPr>
            </w:pPr>
          </w:p>
        </w:tc>
        <w:tc>
          <w:tcPr>
            <w:tcW w:w="2126" w:type="dxa"/>
            <w:tcBorders>
              <w:top w:val="nil"/>
              <w:bottom w:val="nil"/>
            </w:tcBorders>
          </w:tcPr>
          <w:p w14:paraId="49E65B38" w14:textId="77777777" w:rsidR="00BA2173" w:rsidRPr="00B876C5" w:rsidRDefault="00BA2173" w:rsidP="00BA2173">
            <w:pPr>
              <w:spacing w:beforeLines="40" w:before="96" w:afterLines="40" w:after="96"/>
              <w:jc w:val="right"/>
              <w:rPr>
                <w:rFonts w:cs="Calibri"/>
                <w:szCs w:val="23"/>
              </w:rPr>
            </w:pPr>
          </w:p>
        </w:tc>
      </w:tr>
      <w:tr w:rsidR="00485123" w:rsidRPr="00EA69DA" w14:paraId="5BDF8584" w14:textId="77777777" w:rsidTr="00931D24">
        <w:trPr>
          <w:trHeight w:val="454"/>
        </w:trPr>
        <w:tc>
          <w:tcPr>
            <w:tcW w:w="1266" w:type="dxa"/>
            <w:tcBorders>
              <w:top w:val="nil"/>
              <w:bottom w:val="nil"/>
            </w:tcBorders>
          </w:tcPr>
          <w:p w14:paraId="16258913" w14:textId="77777777" w:rsidR="00BA2173" w:rsidRPr="00BA2173" w:rsidRDefault="00BA2173" w:rsidP="00EA69DA">
            <w:pPr>
              <w:spacing w:beforeLines="40" w:before="96" w:afterLines="40" w:after="96"/>
              <w:jc w:val="left"/>
              <w:rPr>
                <w:szCs w:val="23"/>
              </w:rPr>
            </w:pPr>
          </w:p>
        </w:tc>
        <w:tc>
          <w:tcPr>
            <w:tcW w:w="4961" w:type="dxa"/>
            <w:tcBorders>
              <w:top w:val="nil"/>
              <w:bottom w:val="nil"/>
            </w:tcBorders>
          </w:tcPr>
          <w:p w14:paraId="39086310" w14:textId="1D53CC2D" w:rsidR="005458B2" w:rsidRPr="00B876C5" w:rsidRDefault="005458B2" w:rsidP="00EA69DA">
            <w:pPr>
              <w:spacing w:beforeLines="40" w:before="96" w:after="0" w:line="240" w:lineRule="exact"/>
              <w:jc w:val="left"/>
              <w:rPr>
                <w:bCs/>
                <w:szCs w:val="23"/>
              </w:rPr>
            </w:pPr>
          </w:p>
          <w:p w14:paraId="11CD2964" w14:textId="77777777" w:rsidR="009F24B6" w:rsidRPr="00EA69DA" w:rsidRDefault="009F24B6" w:rsidP="00EA69DA">
            <w:pPr>
              <w:spacing w:beforeLines="40" w:before="96" w:after="0" w:line="240" w:lineRule="exact"/>
              <w:jc w:val="left"/>
              <w:rPr>
                <w:bCs/>
                <w:szCs w:val="23"/>
              </w:rPr>
            </w:pPr>
            <w:r w:rsidRPr="00EA69DA">
              <w:rPr>
                <w:bCs/>
                <w:szCs w:val="23"/>
              </w:rPr>
              <w:t xml:space="preserve">South Australia will be eligible for the full performance payment each financial year when the following commencements are achieved </w:t>
            </w:r>
            <w:r w:rsidRPr="00EA69DA">
              <w:rPr>
                <w:bCs/>
                <w:szCs w:val="23"/>
              </w:rPr>
              <w:br/>
              <w:t xml:space="preserve">(86 per cent of the total performance benchmark for pre-apprenticeship and pre-traineeship commencements) between 1 July and up to </w:t>
            </w:r>
            <w:r w:rsidR="007836E3" w:rsidRPr="00EA69DA">
              <w:rPr>
                <w:bCs/>
                <w:szCs w:val="23"/>
              </w:rPr>
              <w:br/>
            </w:r>
            <w:r w:rsidRPr="00EA69DA">
              <w:rPr>
                <w:bCs/>
                <w:szCs w:val="23"/>
              </w:rPr>
              <w:t>30 April:</w:t>
            </w:r>
          </w:p>
          <w:p w14:paraId="1C378A5A" w14:textId="77777777" w:rsidR="00BA2173" w:rsidRPr="00EA69DA" w:rsidRDefault="00BA2173" w:rsidP="00EA69DA">
            <w:pPr>
              <w:pStyle w:val="ListParagraph"/>
              <w:numPr>
                <w:ilvl w:val="0"/>
                <w:numId w:val="43"/>
              </w:numPr>
              <w:spacing w:before="40" w:after="40"/>
              <w:ind w:left="714" w:hanging="357"/>
              <w:jc w:val="left"/>
              <w:rPr>
                <w:szCs w:val="23"/>
              </w:rPr>
            </w:pPr>
            <w:r w:rsidRPr="00EA69DA">
              <w:rPr>
                <w:szCs w:val="23"/>
              </w:rPr>
              <w:t>2018-19: 2346 commencements</w:t>
            </w:r>
          </w:p>
          <w:p w14:paraId="19C350FA" w14:textId="77777777" w:rsidR="00BA2173" w:rsidRPr="00EA69DA" w:rsidRDefault="00BA2173" w:rsidP="00EA69DA">
            <w:pPr>
              <w:pStyle w:val="ListParagraph"/>
              <w:numPr>
                <w:ilvl w:val="0"/>
                <w:numId w:val="43"/>
              </w:numPr>
              <w:spacing w:before="40" w:after="40"/>
              <w:jc w:val="left"/>
              <w:rPr>
                <w:szCs w:val="23"/>
              </w:rPr>
            </w:pPr>
            <w:r w:rsidRPr="00EA69DA">
              <w:rPr>
                <w:szCs w:val="23"/>
              </w:rPr>
              <w:t>2019-20: 2398 commencements</w:t>
            </w:r>
          </w:p>
          <w:p w14:paraId="750635B9" w14:textId="316AED52" w:rsidR="00BA2173" w:rsidRPr="00EA69DA" w:rsidRDefault="00BA2173" w:rsidP="00EA69DA">
            <w:pPr>
              <w:pStyle w:val="ListParagraph"/>
              <w:numPr>
                <w:ilvl w:val="0"/>
                <w:numId w:val="43"/>
              </w:numPr>
              <w:spacing w:before="40" w:after="40"/>
              <w:jc w:val="left"/>
              <w:rPr>
                <w:szCs w:val="23"/>
              </w:rPr>
            </w:pPr>
            <w:r w:rsidRPr="00EA69DA">
              <w:rPr>
                <w:szCs w:val="23"/>
              </w:rPr>
              <w:t xml:space="preserve">2020-21: </w:t>
            </w:r>
            <w:r w:rsidR="002136CF">
              <w:rPr>
                <w:szCs w:val="23"/>
              </w:rPr>
              <w:t>2079</w:t>
            </w:r>
            <w:r w:rsidR="002136CF" w:rsidRPr="00EA69DA">
              <w:rPr>
                <w:szCs w:val="23"/>
              </w:rPr>
              <w:t xml:space="preserve"> </w:t>
            </w:r>
            <w:r w:rsidRPr="00EA69DA">
              <w:rPr>
                <w:szCs w:val="23"/>
              </w:rPr>
              <w:t>commencements</w:t>
            </w:r>
          </w:p>
          <w:p w14:paraId="0A47EF2C" w14:textId="6E1F3775" w:rsidR="00BA2173" w:rsidRPr="00EA69DA" w:rsidRDefault="00BA2173" w:rsidP="00EA69DA">
            <w:pPr>
              <w:pStyle w:val="ListParagraph"/>
              <w:numPr>
                <w:ilvl w:val="0"/>
                <w:numId w:val="43"/>
              </w:numPr>
              <w:spacing w:before="40" w:after="40"/>
              <w:jc w:val="left"/>
              <w:rPr>
                <w:bCs/>
                <w:szCs w:val="23"/>
                <w:u w:val="single"/>
              </w:rPr>
            </w:pPr>
            <w:r w:rsidRPr="00EA69DA">
              <w:rPr>
                <w:szCs w:val="23"/>
              </w:rPr>
              <w:t xml:space="preserve">2021-22: </w:t>
            </w:r>
            <w:r w:rsidR="002136CF">
              <w:rPr>
                <w:szCs w:val="23"/>
              </w:rPr>
              <w:t>1910</w:t>
            </w:r>
            <w:r w:rsidR="008812AF" w:rsidRPr="00EA69DA">
              <w:rPr>
                <w:szCs w:val="23"/>
              </w:rPr>
              <w:t xml:space="preserve"> </w:t>
            </w:r>
            <w:r w:rsidRPr="00EA69DA">
              <w:rPr>
                <w:szCs w:val="23"/>
              </w:rPr>
              <w:t>commencements</w:t>
            </w:r>
            <w:r w:rsidR="00233ABE">
              <w:rPr>
                <w:szCs w:val="23"/>
              </w:rPr>
              <w:t>.</w:t>
            </w:r>
          </w:p>
        </w:tc>
        <w:tc>
          <w:tcPr>
            <w:tcW w:w="1843" w:type="dxa"/>
            <w:tcBorders>
              <w:top w:val="nil"/>
              <w:bottom w:val="nil"/>
            </w:tcBorders>
          </w:tcPr>
          <w:p w14:paraId="04AF334B" w14:textId="77777777" w:rsidR="009F24B6" w:rsidRPr="00EA69DA" w:rsidRDefault="009F24B6" w:rsidP="00EA69DA">
            <w:pPr>
              <w:spacing w:before="40" w:after="40"/>
              <w:jc w:val="right"/>
              <w:rPr>
                <w:szCs w:val="23"/>
              </w:rPr>
            </w:pPr>
          </w:p>
          <w:p w14:paraId="504F8296" w14:textId="77777777" w:rsidR="009F24B6" w:rsidRPr="00EA69DA" w:rsidRDefault="009F24B6" w:rsidP="00EA69DA">
            <w:pPr>
              <w:spacing w:before="40" w:after="40"/>
              <w:jc w:val="right"/>
              <w:rPr>
                <w:szCs w:val="23"/>
              </w:rPr>
            </w:pPr>
          </w:p>
          <w:p w14:paraId="15519321" w14:textId="77777777" w:rsidR="009F24B6" w:rsidRPr="00EA69DA" w:rsidRDefault="009F24B6" w:rsidP="00EA69DA">
            <w:pPr>
              <w:spacing w:before="40" w:after="40"/>
              <w:jc w:val="right"/>
              <w:rPr>
                <w:szCs w:val="23"/>
              </w:rPr>
            </w:pPr>
          </w:p>
          <w:p w14:paraId="75861C45" w14:textId="77777777" w:rsidR="009F24B6" w:rsidRPr="00EA69DA" w:rsidRDefault="009F24B6" w:rsidP="00EA69DA">
            <w:pPr>
              <w:spacing w:before="40" w:after="40"/>
              <w:jc w:val="right"/>
              <w:rPr>
                <w:szCs w:val="23"/>
              </w:rPr>
            </w:pPr>
          </w:p>
          <w:p w14:paraId="34F7879E" w14:textId="77777777" w:rsidR="009F24B6" w:rsidRPr="00EA69DA" w:rsidRDefault="009F24B6" w:rsidP="00EA69DA">
            <w:pPr>
              <w:spacing w:before="40" w:after="40"/>
              <w:jc w:val="right"/>
              <w:rPr>
                <w:szCs w:val="23"/>
              </w:rPr>
            </w:pPr>
          </w:p>
          <w:p w14:paraId="171A7851" w14:textId="77777777" w:rsidR="00E5082E" w:rsidRPr="00EA69DA" w:rsidRDefault="00E5082E" w:rsidP="00EA69DA">
            <w:pPr>
              <w:spacing w:before="40" w:after="40"/>
              <w:jc w:val="right"/>
              <w:rPr>
                <w:szCs w:val="23"/>
              </w:rPr>
            </w:pPr>
          </w:p>
          <w:p w14:paraId="6D866C94" w14:textId="77777777" w:rsidR="005458B2" w:rsidRPr="00EA69DA" w:rsidRDefault="005458B2" w:rsidP="00EA69DA">
            <w:pPr>
              <w:spacing w:before="40" w:after="40"/>
              <w:jc w:val="right"/>
              <w:rPr>
                <w:szCs w:val="23"/>
              </w:rPr>
            </w:pPr>
          </w:p>
          <w:p w14:paraId="59004999" w14:textId="77777777" w:rsidR="005458B2" w:rsidRPr="00EA69DA" w:rsidRDefault="005458B2" w:rsidP="00EA69DA">
            <w:pPr>
              <w:spacing w:before="40" w:after="40"/>
              <w:jc w:val="right"/>
              <w:rPr>
                <w:szCs w:val="23"/>
              </w:rPr>
            </w:pPr>
          </w:p>
          <w:p w14:paraId="7B1458B5" w14:textId="77777777" w:rsidR="00BA2173" w:rsidRPr="00EA69DA" w:rsidRDefault="00BA2173" w:rsidP="00EA69DA">
            <w:pPr>
              <w:spacing w:after="0" w:line="240" w:lineRule="auto"/>
              <w:jc w:val="right"/>
              <w:rPr>
                <w:szCs w:val="23"/>
              </w:rPr>
            </w:pPr>
            <w:r w:rsidRPr="00EA69DA">
              <w:rPr>
                <w:szCs w:val="23"/>
              </w:rPr>
              <w:t>30 April 2019</w:t>
            </w:r>
          </w:p>
          <w:p w14:paraId="569C07B2" w14:textId="77777777" w:rsidR="00BA2173" w:rsidRPr="00EA69DA" w:rsidRDefault="00BA2173" w:rsidP="00EA69DA">
            <w:pPr>
              <w:spacing w:after="0" w:line="240" w:lineRule="auto"/>
              <w:jc w:val="right"/>
              <w:rPr>
                <w:szCs w:val="23"/>
              </w:rPr>
            </w:pPr>
            <w:r w:rsidRPr="00EA69DA">
              <w:rPr>
                <w:szCs w:val="23"/>
              </w:rPr>
              <w:t>30 April 2020</w:t>
            </w:r>
          </w:p>
          <w:p w14:paraId="3AE01FE4" w14:textId="77777777" w:rsidR="00BA2173" w:rsidRPr="00EA69DA" w:rsidRDefault="00BA2173" w:rsidP="00EA69DA">
            <w:pPr>
              <w:spacing w:after="0" w:line="240" w:lineRule="auto"/>
              <w:jc w:val="right"/>
              <w:rPr>
                <w:szCs w:val="23"/>
              </w:rPr>
            </w:pPr>
            <w:r w:rsidRPr="00EA69DA">
              <w:rPr>
                <w:szCs w:val="23"/>
              </w:rPr>
              <w:t>30 April 2021</w:t>
            </w:r>
          </w:p>
          <w:p w14:paraId="43343AB4" w14:textId="77777777" w:rsidR="00BA2173" w:rsidRPr="00EA69DA" w:rsidRDefault="00BA2173" w:rsidP="00EA69DA">
            <w:pPr>
              <w:spacing w:after="0" w:line="240" w:lineRule="auto"/>
              <w:jc w:val="right"/>
              <w:rPr>
                <w:bCs/>
                <w:szCs w:val="23"/>
              </w:rPr>
            </w:pPr>
            <w:r w:rsidRPr="00EA69DA">
              <w:rPr>
                <w:szCs w:val="23"/>
              </w:rPr>
              <w:t>30 April 2022</w:t>
            </w:r>
          </w:p>
        </w:tc>
        <w:tc>
          <w:tcPr>
            <w:tcW w:w="2126" w:type="dxa"/>
            <w:tcBorders>
              <w:top w:val="nil"/>
              <w:bottom w:val="nil"/>
            </w:tcBorders>
          </w:tcPr>
          <w:p w14:paraId="45BCF32B" w14:textId="77777777" w:rsidR="009F24B6" w:rsidRPr="00EA69DA" w:rsidRDefault="009F24B6" w:rsidP="00EA69DA">
            <w:pPr>
              <w:spacing w:before="40" w:after="40"/>
              <w:jc w:val="right"/>
              <w:rPr>
                <w:szCs w:val="23"/>
              </w:rPr>
            </w:pPr>
          </w:p>
          <w:p w14:paraId="7CC9820C" w14:textId="77777777" w:rsidR="009F24B6" w:rsidRPr="00EA69DA" w:rsidRDefault="009F24B6" w:rsidP="00EA69DA">
            <w:pPr>
              <w:spacing w:before="40" w:after="40"/>
              <w:jc w:val="right"/>
              <w:rPr>
                <w:szCs w:val="23"/>
              </w:rPr>
            </w:pPr>
          </w:p>
          <w:p w14:paraId="598F06DC" w14:textId="77777777" w:rsidR="009F24B6" w:rsidRPr="00EA69DA" w:rsidRDefault="009F24B6" w:rsidP="00EA69DA">
            <w:pPr>
              <w:spacing w:before="40" w:after="40"/>
              <w:jc w:val="right"/>
              <w:rPr>
                <w:szCs w:val="23"/>
              </w:rPr>
            </w:pPr>
          </w:p>
          <w:p w14:paraId="5F07138A" w14:textId="77777777" w:rsidR="009F24B6" w:rsidRPr="00EA69DA" w:rsidRDefault="009F24B6" w:rsidP="00EA69DA">
            <w:pPr>
              <w:spacing w:before="40" w:after="40"/>
              <w:jc w:val="right"/>
              <w:rPr>
                <w:szCs w:val="23"/>
              </w:rPr>
            </w:pPr>
          </w:p>
          <w:p w14:paraId="2D858B5F" w14:textId="77777777" w:rsidR="009F24B6" w:rsidRPr="00EA69DA" w:rsidRDefault="009F24B6" w:rsidP="00EA69DA">
            <w:pPr>
              <w:spacing w:before="40" w:after="40"/>
              <w:jc w:val="right"/>
              <w:rPr>
                <w:szCs w:val="23"/>
              </w:rPr>
            </w:pPr>
          </w:p>
          <w:p w14:paraId="7740871C" w14:textId="77777777" w:rsidR="005458B2" w:rsidRPr="00EA69DA" w:rsidRDefault="005458B2" w:rsidP="00EA69DA">
            <w:pPr>
              <w:spacing w:before="40" w:after="40"/>
              <w:jc w:val="right"/>
              <w:rPr>
                <w:szCs w:val="23"/>
              </w:rPr>
            </w:pPr>
          </w:p>
          <w:p w14:paraId="018C47F1" w14:textId="77777777" w:rsidR="005458B2" w:rsidRPr="00EA69DA" w:rsidRDefault="005458B2" w:rsidP="00EA69DA">
            <w:pPr>
              <w:spacing w:before="40" w:after="40"/>
              <w:jc w:val="right"/>
              <w:rPr>
                <w:szCs w:val="23"/>
              </w:rPr>
            </w:pPr>
          </w:p>
          <w:p w14:paraId="7DB0AB4F" w14:textId="77777777" w:rsidR="00E5082E" w:rsidRPr="00EA69DA" w:rsidRDefault="00E5082E" w:rsidP="00EA69DA">
            <w:pPr>
              <w:spacing w:before="40" w:after="40"/>
              <w:jc w:val="right"/>
              <w:rPr>
                <w:szCs w:val="23"/>
              </w:rPr>
            </w:pPr>
          </w:p>
          <w:p w14:paraId="7DA8EFD4" w14:textId="77777777" w:rsidR="00BA2173" w:rsidRPr="00EA69DA" w:rsidRDefault="00BA2173" w:rsidP="00EA69DA">
            <w:pPr>
              <w:spacing w:after="0" w:line="240" w:lineRule="auto"/>
              <w:jc w:val="right"/>
              <w:rPr>
                <w:szCs w:val="23"/>
              </w:rPr>
            </w:pPr>
            <w:r w:rsidRPr="00EA69DA">
              <w:rPr>
                <w:szCs w:val="23"/>
              </w:rPr>
              <w:t>$3,932,000</w:t>
            </w:r>
          </w:p>
          <w:p w14:paraId="5505A69A" w14:textId="77777777" w:rsidR="00BA2173" w:rsidRPr="00EA69DA" w:rsidRDefault="00BA2173" w:rsidP="00EA69DA">
            <w:pPr>
              <w:spacing w:after="0" w:line="240" w:lineRule="auto"/>
              <w:jc w:val="right"/>
              <w:rPr>
                <w:szCs w:val="23"/>
              </w:rPr>
            </w:pPr>
            <w:r w:rsidRPr="00EA69DA">
              <w:rPr>
                <w:szCs w:val="23"/>
              </w:rPr>
              <w:t>$2,272,000</w:t>
            </w:r>
          </w:p>
          <w:p w14:paraId="4C227A07" w14:textId="044279E8" w:rsidR="00705570" w:rsidRPr="00EA69DA" w:rsidRDefault="002136CF" w:rsidP="00EA69DA">
            <w:pPr>
              <w:spacing w:after="0" w:line="240" w:lineRule="auto"/>
              <w:jc w:val="right"/>
              <w:rPr>
                <w:szCs w:val="23"/>
              </w:rPr>
            </w:pPr>
            <w:r>
              <w:rPr>
                <w:szCs w:val="23"/>
              </w:rPr>
              <w:t>$1,572,000</w:t>
            </w:r>
          </w:p>
          <w:p w14:paraId="01DE21C6" w14:textId="09E19A00" w:rsidR="00216F0A" w:rsidRDefault="002136CF" w:rsidP="00D766B0">
            <w:pPr>
              <w:spacing w:after="0" w:line="240" w:lineRule="auto"/>
              <w:jc w:val="right"/>
              <w:rPr>
                <w:szCs w:val="23"/>
              </w:rPr>
            </w:pPr>
            <w:r>
              <w:rPr>
                <w:szCs w:val="23"/>
              </w:rPr>
              <w:t>$659,000</w:t>
            </w:r>
          </w:p>
          <w:p w14:paraId="1734B3B9" w14:textId="3AC5F292" w:rsidR="002A685C" w:rsidRPr="00EA69DA" w:rsidRDefault="002A685C" w:rsidP="00D766B0">
            <w:pPr>
              <w:spacing w:after="0" w:line="240" w:lineRule="auto"/>
              <w:jc w:val="right"/>
              <w:rPr>
                <w:rFonts w:cs="Calibri"/>
                <w:szCs w:val="23"/>
              </w:rPr>
            </w:pPr>
          </w:p>
        </w:tc>
      </w:tr>
      <w:tr w:rsidR="00485123" w:rsidRPr="00EA69DA" w14:paraId="7F0A6F75" w14:textId="77777777" w:rsidTr="00931D24">
        <w:trPr>
          <w:trHeight w:val="340"/>
        </w:trPr>
        <w:tc>
          <w:tcPr>
            <w:tcW w:w="1266" w:type="dxa"/>
            <w:tcBorders>
              <w:top w:val="nil"/>
              <w:bottom w:val="nil"/>
            </w:tcBorders>
          </w:tcPr>
          <w:p w14:paraId="2911F378" w14:textId="77777777" w:rsidR="00BA2173" w:rsidRPr="00EA69DA" w:rsidRDefault="00BA2173" w:rsidP="00EA69DA">
            <w:pPr>
              <w:spacing w:beforeLines="40" w:before="96" w:afterLines="40" w:after="96"/>
              <w:jc w:val="left"/>
              <w:rPr>
                <w:szCs w:val="23"/>
              </w:rPr>
            </w:pPr>
          </w:p>
        </w:tc>
        <w:tc>
          <w:tcPr>
            <w:tcW w:w="4961" w:type="dxa"/>
            <w:tcBorders>
              <w:top w:val="nil"/>
              <w:bottom w:val="nil"/>
            </w:tcBorders>
          </w:tcPr>
          <w:p w14:paraId="30B60641" w14:textId="77777777" w:rsidR="005458B2" w:rsidRPr="00EA69DA" w:rsidRDefault="005458B2" w:rsidP="00EA69DA">
            <w:pPr>
              <w:spacing w:beforeLines="40" w:before="96" w:after="0"/>
              <w:jc w:val="left"/>
              <w:rPr>
                <w:szCs w:val="23"/>
              </w:rPr>
            </w:pPr>
          </w:p>
          <w:p w14:paraId="521AC647" w14:textId="07DB8DC9" w:rsidR="00BA2173" w:rsidRPr="00EA69DA" w:rsidRDefault="00BA2173" w:rsidP="00EA69DA">
            <w:pPr>
              <w:spacing w:beforeLines="40" w:before="96" w:after="0"/>
              <w:jc w:val="left"/>
              <w:rPr>
                <w:bCs/>
                <w:szCs w:val="23"/>
              </w:rPr>
            </w:pPr>
            <w:r w:rsidRPr="00EA69DA">
              <w:rPr>
                <w:szCs w:val="23"/>
              </w:rPr>
              <w:lastRenderedPageBreak/>
              <w:t xml:space="preserve">South Australia will be eligible for the minimum performance payment </w:t>
            </w:r>
            <w:r w:rsidR="009F24B6" w:rsidRPr="00EA69DA">
              <w:rPr>
                <w:szCs w:val="23"/>
              </w:rPr>
              <w:t xml:space="preserve">each financial year </w:t>
            </w:r>
            <w:r w:rsidRPr="00EA69DA">
              <w:rPr>
                <w:szCs w:val="23"/>
              </w:rPr>
              <w:t xml:space="preserve">if the following pre-apprenticeships and pre-traineeships commencements </w:t>
            </w:r>
            <w:r w:rsidRPr="00EA69DA">
              <w:rPr>
                <w:bCs/>
                <w:szCs w:val="23"/>
              </w:rPr>
              <w:t xml:space="preserve">are </w:t>
            </w:r>
            <w:r w:rsidR="009F24B6" w:rsidRPr="00EA69DA">
              <w:rPr>
                <w:bCs/>
                <w:szCs w:val="23"/>
              </w:rPr>
              <w:t>achieved</w:t>
            </w:r>
            <w:r w:rsidRPr="00EA69DA">
              <w:rPr>
                <w:bCs/>
                <w:szCs w:val="23"/>
              </w:rPr>
              <w:t xml:space="preserve"> between 1 July and </w:t>
            </w:r>
            <w:r w:rsidR="007836E3" w:rsidRPr="00EA69DA">
              <w:rPr>
                <w:bCs/>
                <w:szCs w:val="23"/>
              </w:rPr>
              <w:t xml:space="preserve">up to </w:t>
            </w:r>
            <w:r w:rsidRPr="00EA69DA">
              <w:rPr>
                <w:bCs/>
                <w:szCs w:val="23"/>
              </w:rPr>
              <w:t xml:space="preserve">30 April with pro rata amounts paid for commencements </w:t>
            </w:r>
            <w:r w:rsidR="004257AA">
              <w:rPr>
                <w:bCs/>
                <w:szCs w:val="23"/>
              </w:rPr>
              <w:t xml:space="preserve">up to 86 per cent of the total performance benchmark between 1 July and up to 30 April </w:t>
            </w:r>
            <w:r w:rsidR="009F24B6" w:rsidRPr="00EA69DA">
              <w:rPr>
                <w:bCs/>
                <w:szCs w:val="23"/>
              </w:rPr>
              <w:t>:</w:t>
            </w:r>
          </w:p>
          <w:p w14:paraId="68356363" w14:textId="77777777" w:rsidR="00E5082E" w:rsidRPr="00EA69DA" w:rsidRDefault="00E5082E" w:rsidP="00EA69DA">
            <w:pPr>
              <w:spacing w:after="0" w:line="240" w:lineRule="auto"/>
              <w:jc w:val="left"/>
              <w:rPr>
                <w:bCs/>
                <w:szCs w:val="23"/>
              </w:rPr>
            </w:pPr>
            <w:r w:rsidRPr="00EA69DA">
              <w:rPr>
                <w:bCs/>
                <w:szCs w:val="23"/>
              </w:rPr>
              <w:t xml:space="preserve"> </w:t>
            </w:r>
          </w:p>
        </w:tc>
        <w:tc>
          <w:tcPr>
            <w:tcW w:w="1843" w:type="dxa"/>
            <w:tcBorders>
              <w:top w:val="nil"/>
              <w:bottom w:val="nil"/>
            </w:tcBorders>
          </w:tcPr>
          <w:p w14:paraId="6332C5BF" w14:textId="77777777" w:rsidR="00BA2173" w:rsidRPr="00EA69DA" w:rsidRDefault="00BA2173" w:rsidP="00EA69DA">
            <w:pPr>
              <w:spacing w:beforeLines="40" w:before="96" w:afterLines="40" w:after="96"/>
              <w:jc w:val="right"/>
              <w:rPr>
                <w:bCs/>
                <w:szCs w:val="23"/>
              </w:rPr>
            </w:pPr>
          </w:p>
        </w:tc>
        <w:tc>
          <w:tcPr>
            <w:tcW w:w="2126" w:type="dxa"/>
            <w:tcBorders>
              <w:top w:val="nil"/>
              <w:bottom w:val="nil"/>
            </w:tcBorders>
          </w:tcPr>
          <w:p w14:paraId="2DD92919" w14:textId="77777777" w:rsidR="00BA2173" w:rsidRPr="00EA69DA" w:rsidRDefault="00BA2173" w:rsidP="00EA69DA">
            <w:pPr>
              <w:spacing w:beforeLines="40" w:before="96" w:afterLines="40" w:after="96"/>
              <w:jc w:val="right"/>
              <w:rPr>
                <w:rFonts w:cs="Calibri"/>
                <w:szCs w:val="23"/>
              </w:rPr>
            </w:pPr>
          </w:p>
        </w:tc>
      </w:tr>
      <w:tr w:rsidR="00485123" w:rsidRPr="002A34C5" w14:paraId="5766F88E" w14:textId="77777777" w:rsidTr="00931D24">
        <w:trPr>
          <w:trHeight w:val="454"/>
        </w:trPr>
        <w:tc>
          <w:tcPr>
            <w:tcW w:w="1266" w:type="dxa"/>
            <w:tcBorders>
              <w:top w:val="nil"/>
              <w:bottom w:val="single" w:sz="4" w:space="0" w:color="4F81BD"/>
            </w:tcBorders>
          </w:tcPr>
          <w:p w14:paraId="4E62D15E" w14:textId="77777777" w:rsidR="00BA2173" w:rsidRPr="00EA69DA" w:rsidRDefault="00BA2173" w:rsidP="00EA69DA">
            <w:pPr>
              <w:spacing w:beforeLines="40" w:before="96" w:afterLines="40" w:after="96"/>
              <w:ind w:left="360"/>
              <w:jc w:val="left"/>
              <w:rPr>
                <w:bCs/>
                <w:szCs w:val="23"/>
              </w:rPr>
            </w:pPr>
          </w:p>
        </w:tc>
        <w:tc>
          <w:tcPr>
            <w:tcW w:w="4961" w:type="dxa"/>
            <w:tcBorders>
              <w:top w:val="nil"/>
              <w:bottom w:val="single" w:sz="4" w:space="0" w:color="4F81BD"/>
            </w:tcBorders>
          </w:tcPr>
          <w:p w14:paraId="4006D259" w14:textId="5AACD718" w:rsidR="00BA2173" w:rsidRPr="00EA69DA" w:rsidRDefault="00BA2173" w:rsidP="00EA69DA">
            <w:pPr>
              <w:pStyle w:val="ListParagraph"/>
              <w:numPr>
                <w:ilvl w:val="0"/>
                <w:numId w:val="5"/>
              </w:numPr>
              <w:spacing w:afterLines="50" w:after="120"/>
              <w:ind w:left="714" w:hanging="357"/>
              <w:jc w:val="left"/>
              <w:rPr>
                <w:szCs w:val="23"/>
              </w:rPr>
            </w:pPr>
            <w:r w:rsidRPr="00EA69DA">
              <w:rPr>
                <w:bCs/>
                <w:szCs w:val="23"/>
              </w:rPr>
              <w:t>2018-19:</w:t>
            </w:r>
            <w:r w:rsidRPr="00EA69DA">
              <w:rPr>
                <w:szCs w:val="23"/>
              </w:rPr>
              <w:t xml:space="preserve"> 1173 commencements</w:t>
            </w:r>
          </w:p>
          <w:p w14:paraId="60C079F2" w14:textId="33C48744" w:rsidR="00BA2173" w:rsidRPr="00EA69DA" w:rsidRDefault="00BA2173" w:rsidP="00EA69DA">
            <w:pPr>
              <w:pStyle w:val="ListParagraph"/>
              <w:numPr>
                <w:ilvl w:val="0"/>
                <w:numId w:val="5"/>
              </w:numPr>
              <w:spacing w:beforeLines="40" w:before="96" w:afterLines="40" w:after="96"/>
              <w:ind w:left="720"/>
              <w:jc w:val="left"/>
              <w:rPr>
                <w:bCs/>
                <w:color w:val="auto"/>
                <w:szCs w:val="23"/>
              </w:rPr>
            </w:pPr>
            <w:r w:rsidRPr="00EA69DA">
              <w:rPr>
                <w:bCs/>
                <w:color w:val="auto"/>
                <w:szCs w:val="23"/>
              </w:rPr>
              <w:t>2019-20:</w:t>
            </w:r>
            <w:r w:rsidRPr="00EA69DA">
              <w:rPr>
                <w:color w:val="auto"/>
                <w:szCs w:val="23"/>
              </w:rPr>
              <w:t xml:space="preserve"> 1876 commencements</w:t>
            </w:r>
          </w:p>
          <w:p w14:paraId="53131C0B" w14:textId="4D5D5CE2" w:rsidR="00BA2173" w:rsidRPr="00EA69DA" w:rsidRDefault="00BA2173" w:rsidP="00EA69DA">
            <w:pPr>
              <w:pStyle w:val="ListParagraph"/>
              <w:numPr>
                <w:ilvl w:val="0"/>
                <w:numId w:val="5"/>
              </w:numPr>
              <w:spacing w:beforeLines="40" w:before="96" w:afterLines="40" w:after="96"/>
              <w:ind w:left="720"/>
              <w:jc w:val="left"/>
              <w:rPr>
                <w:bCs/>
                <w:color w:val="auto"/>
                <w:szCs w:val="23"/>
              </w:rPr>
            </w:pPr>
            <w:r w:rsidRPr="00EA69DA">
              <w:rPr>
                <w:bCs/>
                <w:color w:val="auto"/>
                <w:szCs w:val="23"/>
              </w:rPr>
              <w:t xml:space="preserve">2020-21: </w:t>
            </w:r>
            <w:r w:rsidRPr="00EA69DA">
              <w:rPr>
                <w:color w:val="auto"/>
                <w:szCs w:val="23"/>
              </w:rPr>
              <w:t>1966</w:t>
            </w:r>
            <w:r w:rsidRPr="00EA69DA">
              <w:rPr>
                <w:bCs/>
                <w:color w:val="auto"/>
                <w:szCs w:val="23"/>
              </w:rPr>
              <w:t xml:space="preserve"> </w:t>
            </w:r>
            <w:r w:rsidRPr="00EA69DA">
              <w:rPr>
                <w:color w:val="auto"/>
                <w:szCs w:val="23"/>
              </w:rPr>
              <w:t>commencements</w:t>
            </w:r>
          </w:p>
          <w:p w14:paraId="1F27B7C0" w14:textId="51408656" w:rsidR="00BA2173" w:rsidRPr="00EA69DA" w:rsidRDefault="00BA2173" w:rsidP="00EA69DA">
            <w:pPr>
              <w:pStyle w:val="ListParagraph"/>
              <w:numPr>
                <w:ilvl w:val="0"/>
                <w:numId w:val="5"/>
              </w:numPr>
              <w:spacing w:beforeLines="40" w:before="96" w:afterLines="40" w:after="96"/>
              <w:ind w:left="720"/>
              <w:jc w:val="left"/>
              <w:rPr>
                <w:bCs/>
                <w:szCs w:val="23"/>
              </w:rPr>
            </w:pPr>
            <w:r w:rsidRPr="00EA69DA">
              <w:rPr>
                <w:bCs/>
                <w:color w:val="auto"/>
                <w:szCs w:val="23"/>
              </w:rPr>
              <w:t>2021-22</w:t>
            </w:r>
            <w:r w:rsidRPr="00632786">
              <w:rPr>
                <w:bCs/>
                <w:color w:val="auto"/>
                <w:szCs w:val="23"/>
              </w:rPr>
              <w:t xml:space="preserve">: </w:t>
            </w:r>
            <w:r w:rsidRPr="00A91AB9">
              <w:rPr>
                <w:color w:val="auto"/>
                <w:szCs w:val="23"/>
              </w:rPr>
              <w:t>2055</w:t>
            </w:r>
            <w:r w:rsidRPr="00A91AB9">
              <w:rPr>
                <w:bCs/>
                <w:color w:val="auto"/>
                <w:szCs w:val="23"/>
              </w:rPr>
              <w:t xml:space="preserve"> </w:t>
            </w:r>
            <w:r w:rsidRPr="00976AF6">
              <w:rPr>
                <w:color w:val="auto"/>
                <w:szCs w:val="23"/>
              </w:rPr>
              <w:t>commencements</w:t>
            </w:r>
            <w:r w:rsidR="00233ABE" w:rsidRPr="00976AF6">
              <w:rPr>
                <w:color w:val="auto"/>
                <w:szCs w:val="23"/>
              </w:rPr>
              <w:t>.</w:t>
            </w:r>
          </w:p>
        </w:tc>
        <w:tc>
          <w:tcPr>
            <w:tcW w:w="1843" w:type="dxa"/>
            <w:tcBorders>
              <w:top w:val="nil"/>
              <w:bottom w:val="single" w:sz="4" w:space="0" w:color="4F81BD"/>
            </w:tcBorders>
          </w:tcPr>
          <w:p w14:paraId="51C10DDA" w14:textId="77777777" w:rsidR="00BA2173" w:rsidRPr="00EA69DA" w:rsidRDefault="00BA2173" w:rsidP="00EA69DA">
            <w:pPr>
              <w:spacing w:after="0" w:line="240" w:lineRule="auto"/>
              <w:jc w:val="right"/>
              <w:rPr>
                <w:szCs w:val="23"/>
              </w:rPr>
            </w:pPr>
            <w:r w:rsidRPr="00EA69DA">
              <w:rPr>
                <w:szCs w:val="23"/>
              </w:rPr>
              <w:t>30 April 2019</w:t>
            </w:r>
          </w:p>
          <w:p w14:paraId="763D3A82" w14:textId="77777777" w:rsidR="00BA2173" w:rsidRPr="00EA69DA" w:rsidRDefault="00BA2173" w:rsidP="00EA69DA">
            <w:pPr>
              <w:spacing w:after="0" w:line="240" w:lineRule="auto"/>
              <w:jc w:val="right"/>
              <w:rPr>
                <w:szCs w:val="23"/>
              </w:rPr>
            </w:pPr>
            <w:r w:rsidRPr="00EA69DA">
              <w:rPr>
                <w:szCs w:val="23"/>
              </w:rPr>
              <w:t>30 April 2020</w:t>
            </w:r>
          </w:p>
          <w:p w14:paraId="25FA9706" w14:textId="77777777" w:rsidR="00BA2173" w:rsidRPr="00EA69DA" w:rsidRDefault="00BA2173" w:rsidP="00EA69DA">
            <w:pPr>
              <w:spacing w:after="0" w:line="240" w:lineRule="auto"/>
              <w:jc w:val="right"/>
              <w:rPr>
                <w:szCs w:val="23"/>
              </w:rPr>
            </w:pPr>
            <w:r w:rsidRPr="00EA69DA">
              <w:rPr>
                <w:szCs w:val="23"/>
              </w:rPr>
              <w:t>30 April 2021</w:t>
            </w:r>
          </w:p>
          <w:p w14:paraId="19807628" w14:textId="77777777" w:rsidR="00BA2173" w:rsidRPr="00EA69DA" w:rsidRDefault="00BA2173" w:rsidP="00EA69DA">
            <w:pPr>
              <w:spacing w:after="0" w:line="240" w:lineRule="auto"/>
              <w:jc w:val="right"/>
              <w:rPr>
                <w:szCs w:val="23"/>
              </w:rPr>
            </w:pPr>
            <w:r w:rsidRPr="00EA69DA">
              <w:rPr>
                <w:szCs w:val="23"/>
              </w:rPr>
              <w:t>30 April 2022</w:t>
            </w:r>
          </w:p>
        </w:tc>
        <w:tc>
          <w:tcPr>
            <w:tcW w:w="2126" w:type="dxa"/>
            <w:tcBorders>
              <w:top w:val="nil"/>
              <w:bottom w:val="single" w:sz="4" w:space="0" w:color="4F81BD"/>
            </w:tcBorders>
          </w:tcPr>
          <w:p w14:paraId="7041A01D" w14:textId="77777777" w:rsidR="00BA2173" w:rsidRPr="00EA69DA" w:rsidRDefault="00BA2173" w:rsidP="00EA69DA">
            <w:pPr>
              <w:spacing w:after="0" w:line="240" w:lineRule="auto"/>
              <w:jc w:val="right"/>
              <w:rPr>
                <w:szCs w:val="23"/>
              </w:rPr>
            </w:pPr>
            <w:r w:rsidRPr="00EA69DA">
              <w:rPr>
                <w:szCs w:val="23"/>
              </w:rPr>
              <w:t>$1,966,000</w:t>
            </w:r>
          </w:p>
          <w:p w14:paraId="20A87298" w14:textId="77777777" w:rsidR="00BA2173" w:rsidRPr="00EA69DA" w:rsidRDefault="00BA2173" w:rsidP="00EA69DA">
            <w:pPr>
              <w:spacing w:after="0" w:line="240" w:lineRule="auto"/>
              <w:jc w:val="right"/>
              <w:rPr>
                <w:szCs w:val="23"/>
              </w:rPr>
            </w:pPr>
            <w:r w:rsidRPr="00EA69DA">
              <w:rPr>
                <w:szCs w:val="23"/>
              </w:rPr>
              <w:t>$1,136,000</w:t>
            </w:r>
          </w:p>
          <w:p w14:paraId="701AA15E" w14:textId="4C1DE43F" w:rsidR="002136CF" w:rsidRPr="00EA69DA" w:rsidRDefault="00DA602E" w:rsidP="00EA69DA">
            <w:pPr>
              <w:spacing w:after="0" w:line="240" w:lineRule="auto"/>
              <w:jc w:val="right"/>
              <w:rPr>
                <w:szCs w:val="23"/>
              </w:rPr>
            </w:pPr>
            <w:r>
              <w:rPr>
                <w:szCs w:val="23"/>
              </w:rPr>
              <w:t>$786,000</w:t>
            </w:r>
          </w:p>
          <w:p w14:paraId="4EB6D71B" w14:textId="31CA1B35" w:rsidR="002A685C" w:rsidRPr="00B876C5" w:rsidRDefault="002136CF" w:rsidP="00D766B0">
            <w:pPr>
              <w:spacing w:after="0" w:line="240" w:lineRule="auto"/>
              <w:jc w:val="right"/>
              <w:rPr>
                <w:szCs w:val="23"/>
              </w:rPr>
            </w:pPr>
            <w:r>
              <w:rPr>
                <w:szCs w:val="23"/>
              </w:rPr>
              <w:t>$330,000</w:t>
            </w:r>
          </w:p>
        </w:tc>
      </w:tr>
    </w:tbl>
    <w:p w14:paraId="245A3FF2" w14:textId="77777777" w:rsidR="001E11A7" w:rsidRDefault="001E11A7" w:rsidP="00EA69DA">
      <w:r>
        <w:br w:type="page"/>
      </w:r>
    </w:p>
    <w:tbl>
      <w:tblPr>
        <w:tblW w:w="991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266"/>
        <w:gridCol w:w="4961"/>
        <w:gridCol w:w="1843"/>
        <w:gridCol w:w="1843"/>
      </w:tblGrid>
      <w:tr w:rsidR="001E11A7" w:rsidRPr="006879D3" w14:paraId="16E8C7A6" w14:textId="77777777" w:rsidTr="005458B2">
        <w:trPr>
          <w:trHeight w:val="735"/>
        </w:trPr>
        <w:tc>
          <w:tcPr>
            <w:tcW w:w="1266" w:type="dxa"/>
            <w:shd w:val="clear" w:color="auto" w:fill="DBE5F1" w:themeFill="accent1" w:themeFillTint="33"/>
          </w:tcPr>
          <w:p w14:paraId="3553F105" w14:textId="77777777" w:rsidR="001E11A7" w:rsidRPr="00BC31FC" w:rsidRDefault="001E11A7" w:rsidP="005458B2">
            <w:pPr>
              <w:pStyle w:val="Heading2"/>
              <w:rPr>
                <w:bCs w:val="0"/>
                <w:sz w:val="24"/>
                <w:szCs w:val="24"/>
              </w:rPr>
            </w:pPr>
            <w:r w:rsidRPr="00BC31FC">
              <w:rPr>
                <w:bCs w:val="0"/>
                <w:sz w:val="24"/>
                <w:szCs w:val="24"/>
              </w:rPr>
              <w:lastRenderedPageBreak/>
              <w:t xml:space="preserve">Output </w:t>
            </w:r>
          </w:p>
        </w:tc>
        <w:tc>
          <w:tcPr>
            <w:tcW w:w="4961" w:type="dxa"/>
            <w:shd w:val="clear" w:color="auto" w:fill="DBE5F1" w:themeFill="accent1" w:themeFillTint="33"/>
          </w:tcPr>
          <w:p w14:paraId="705218F1" w14:textId="77777777" w:rsidR="001E11A7" w:rsidRPr="00DE0853" w:rsidRDefault="001E11A7" w:rsidP="005458B2">
            <w:pPr>
              <w:pStyle w:val="Heading2"/>
              <w:rPr>
                <w:bCs w:val="0"/>
                <w:sz w:val="24"/>
                <w:szCs w:val="24"/>
              </w:rPr>
            </w:pPr>
            <w:r w:rsidRPr="00DE0853">
              <w:rPr>
                <w:bCs w:val="0"/>
                <w:sz w:val="24"/>
                <w:szCs w:val="24"/>
              </w:rPr>
              <w:t>Performance benchmarks/milestones</w:t>
            </w:r>
          </w:p>
        </w:tc>
        <w:tc>
          <w:tcPr>
            <w:tcW w:w="1843" w:type="dxa"/>
            <w:shd w:val="clear" w:color="auto" w:fill="DBE5F1" w:themeFill="accent1" w:themeFillTint="33"/>
          </w:tcPr>
          <w:p w14:paraId="1893C45F" w14:textId="45DCC986" w:rsidR="001E11A7" w:rsidRPr="00BC31FC" w:rsidRDefault="001E11A7" w:rsidP="002A569F">
            <w:pPr>
              <w:pStyle w:val="Heading2"/>
              <w:rPr>
                <w:sz w:val="18"/>
                <w:szCs w:val="18"/>
              </w:rPr>
            </w:pPr>
            <w:r w:rsidRPr="00DE0853">
              <w:rPr>
                <w:bCs w:val="0"/>
                <w:sz w:val="24"/>
                <w:szCs w:val="24"/>
              </w:rPr>
              <w:t>Report d</w:t>
            </w:r>
            <w:r w:rsidR="00BC31FC">
              <w:rPr>
                <w:bCs w:val="0"/>
                <w:sz w:val="24"/>
                <w:szCs w:val="24"/>
              </w:rPr>
              <w:t>ue</w:t>
            </w:r>
          </w:p>
        </w:tc>
        <w:tc>
          <w:tcPr>
            <w:tcW w:w="1843" w:type="dxa"/>
            <w:shd w:val="clear" w:color="auto" w:fill="DBE5F1" w:themeFill="accent1" w:themeFillTint="33"/>
          </w:tcPr>
          <w:p w14:paraId="77E13CDC" w14:textId="77777777" w:rsidR="001E11A7" w:rsidRPr="006879D3" w:rsidRDefault="001E11A7" w:rsidP="005458B2">
            <w:pPr>
              <w:pStyle w:val="Heading2"/>
              <w:rPr>
                <w:bCs w:val="0"/>
                <w:sz w:val="24"/>
                <w:szCs w:val="24"/>
              </w:rPr>
            </w:pPr>
            <w:r w:rsidRPr="00DE0853">
              <w:rPr>
                <w:bCs w:val="0"/>
                <w:sz w:val="24"/>
                <w:szCs w:val="24"/>
              </w:rPr>
              <w:t>Payment</w:t>
            </w:r>
          </w:p>
        </w:tc>
      </w:tr>
      <w:tr w:rsidR="00485123" w:rsidRPr="002A34C5" w14:paraId="2535D1C1" w14:textId="77777777" w:rsidTr="00485123">
        <w:trPr>
          <w:trHeight w:val="454"/>
        </w:trPr>
        <w:tc>
          <w:tcPr>
            <w:tcW w:w="1266" w:type="dxa"/>
            <w:tcBorders>
              <w:top w:val="nil"/>
              <w:bottom w:val="nil"/>
            </w:tcBorders>
          </w:tcPr>
          <w:p w14:paraId="7B3FEB5D" w14:textId="77777777" w:rsidR="00BA2173" w:rsidRDefault="00BA2173" w:rsidP="00BA2173">
            <w:pPr>
              <w:spacing w:beforeLines="40" w:before="96" w:afterLines="40" w:after="96"/>
              <w:jc w:val="left"/>
              <w:rPr>
                <w:b/>
                <w:bCs/>
                <w:szCs w:val="23"/>
              </w:rPr>
            </w:pPr>
          </w:p>
        </w:tc>
        <w:tc>
          <w:tcPr>
            <w:tcW w:w="4961" w:type="dxa"/>
            <w:tcBorders>
              <w:top w:val="nil"/>
              <w:bottom w:val="nil"/>
            </w:tcBorders>
          </w:tcPr>
          <w:p w14:paraId="5E355A9A" w14:textId="0B01E730" w:rsidR="00BA2173" w:rsidRPr="00BB4BEE" w:rsidRDefault="00BA2173" w:rsidP="00BA2173">
            <w:pPr>
              <w:spacing w:beforeLines="40" w:before="96" w:afterLines="40" w:after="96"/>
              <w:jc w:val="left"/>
              <w:rPr>
                <w:b/>
                <w:bCs/>
                <w:szCs w:val="23"/>
                <w:highlight w:val="green"/>
              </w:rPr>
            </w:pPr>
            <w:r w:rsidRPr="008E49DE">
              <w:rPr>
                <w:b/>
                <w:bCs/>
                <w:szCs w:val="23"/>
              </w:rPr>
              <w:t>Performance benchmark 3: Higher apprenticeships</w:t>
            </w:r>
          </w:p>
        </w:tc>
        <w:tc>
          <w:tcPr>
            <w:tcW w:w="1843" w:type="dxa"/>
            <w:tcBorders>
              <w:top w:val="nil"/>
              <w:bottom w:val="nil"/>
            </w:tcBorders>
          </w:tcPr>
          <w:p w14:paraId="3FE19DB0" w14:textId="77777777" w:rsidR="00BA2173" w:rsidRPr="002A34C5" w:rsidRDefault="00BA2173" w:rsidP="00BA2173">
            <w:pPr>
              <w:spacing w:beforeLines="40" w:before="96" w:afterLines="40" w:after="96"/>
              <w:jc w:val="left"/>
              <w:rPr>
                <w:bCs/>
                <w:szCs w:val="23"/>
              </w:rPr>
            </w:pPr>
          </w:p>
        </w:tc>
        <w:tc>
          <w:tcPr>
            <w:tcW w:w="1843" w:type="dxa"/>
            <w:tcBorders>
              <w:top w:val="nil"/>
              <w:bottom w:val="nil"/>
            </w:tcBorders>
          </w:tcPr>
          <w:p w14:paraId="4D6B3750" w14:textId="77777777" w:rsidR="00BA2173" w:rsidRPr="002A34C5" w:rsidRDefault="00BA2173" w:rsidP="00BA2173">
            <w:pPr>
              <w:spacing w:beforeLines="40" w:before="96" w:afterLines="40" w:after="96"/>
              <w:jc w:val="right"/>
              <w:rPr>
                <w:rFonts w:cs="Calibri"/>
                <w:szCs w:val="23"/>
              </w:rPr>
            </w:pPr>
          </w:p>
        </w:tc>
      </w:tr>
      <w:tr w:rsidR="00485123" w:rsidRPr="002A34C5" w14:paraId="2507E819" w14:textId="77777777" w:rsidTr="00485123">
        <w:trPr>
          <w:trHeight w:val="283"/>
        </w:trPr>
        <w:tc>
          <w:tcPr>
            <w:tcW w:w="1266" w:type="dxa"/>
            <w:tcBorders>
              <w:top w:val="nil"/>
              <w:bottom w:val="nil"/>
            </w:tcBorders>
          </w:tcPr>
          <w:p w14:paraId="1CBC9CDA" w14:textId="77777777" w:rsidR="00BA2173" w:rsidRPr="002A34C5" w:rsidRDefault="00BA2173" w:rsidP="00BA2173">
            <w:pPr>
              <w:spacing w:beforeLines="40" w:before="96" w:afterLines="40" w:after="96"/>
              <w:jc w:val="left"/>
              <w:rPr>
                <w:bCs/>
                <w:szCs w:val="23"/>
              </w:rPr>
            </w:pPr>
          </w:p>
        </w:tc>
        <w:tc>
          <w:tcPr>
            <w:tcW w:w="4961" w:type="dxa"/>
            <w:tcBorders>
              <w:top w:val="nil"/>
              <w:bottom w:val="nil"/>
            </w:tcBorders>
          </w:tcPr>
          <w:p w14:paraId="0ADA1278" w14:textId="4401425E" w:rsidR="00BA2173" w:rsidRPr="00B876C5" w:rsidRDefault="00BA2173" w:rsidP="00BA2173">
            <w:pPr>
              <w:spacing w:beforeLines="40" w:before="96" w:afterLines="40" w:after="96"/>
              <w:jc w:val="left"/>
              <w:rPr>
                <w:bCs/>
                <w:szCs w:val="23"/>
              </w:rPr>
            </w:pPr>
            <w:r w:rsidRPr="00B876C5">
              <w:rPr>
                <w:bCs/>
                <w:szCs w:val="23"/>
              </w:rPr>
              <w:t>The total performance benchmark</w:t>
            </w:r>
            <w:r w:rsidR="009F24B6" w:rsidRPr="00B876C5">
              <w:rPr>
                <w:bCs/>
                <w:szCs w:val="23"/>
              </w:rPr>
              <w:t xml:space="preserve"> </w:t>
            </w:r>
            <w:r w:rsidRPr="00B876C5">
              <w:rPr>
                <w:bCs/>
                <w:szCs w:val="23"/>
              </w:rPr>
              <w:t xml:space="preserve">for each financial year </w:t>
            </w:r>
            <w:r w:rsidR="007836E3" w:rsidRPr="00B876C5">
              <w:rPr>
                <w:bCs/>
                <w:szCs w:val="23"/>
              </w:rPr>
              <w:t>(baseline commencements plus additional commencement targets)</w:t>
            </w:r>
            <w:r w:rsidR="007836E3">
              <w:rPr>
                <w:bCs/>
                <w:szCs w:val="23"/>
              </w:rPr>
              <w:t xml:space="preserve"> </w:t>
            </w:r>
            <w:r w:rsidRPr="00B876C5">
              <w:rPr>
                <w:bCs/>
                <w:szCs w:val="23"/>
              </w:rPr>
              <w:t>for higher apprenticeship commencements are as follows:</w:t>
            </w:r>
          </w:p>
          <w:p w14:paraId="6B032CB4" w14:textId="77777777" w:rsidR="00E5082E" w:rsidRPr="00B876C5" w:rsidRDefault="00E5082E" w:rsidP="00E5082E">
            <w:pPr>
              <w:spacing w:after="0" w:line="240" w:lineRule="auto"/>
              <w:jc w:val="left"/>
              <w:rPr>
                <w:bCs/>
                <w:szCs w:val="23"/>
              </w:rPr>
            </w:pPr>
          </w:p>
          <w:p w14:paraId="73D6EE8C" w14:textId="77777777" w:rsidR="00BA2173" w:rsidRPr="00B876C5" w:rsidRDefault="00BA2173" w:rsidP="006B7348">
            <w:pPr>
              <w:pStyle w:val="ListParagraph"/>
              <w:numPr>
                <w:ilvl w:val="0"/>
                <w:numId w:val="5"/>
              </w:numPr>
              <w:spacing w:afterLines="40" w:after="96"/>
              <w:ind w:left="714" w:hanging="357"/>
              <w:jc w:val="left"/>
              <w:rPr>
                <w:szCs w:val="23"/>
              </w:rPr>
            </w:pPr>
            <w:r w:rsidRPr="00B876C5">
              <w:rPr>
                <w:szCs w:val="23"/>
              </w:rPr>
              <w:t>2018-19: 212 commencements</w:t>
            </w:r>
          </w:p>
          <w:p w14:paraId="178A6620" w14:textId="77777777" w:rsidR="00BA2173" w:rsidRPr="00B876C5" w:rsidRDefault="00BA2173" w:rsidP="006B7348">
            <w:pPr>
              <w:pStyle w:val="ListParagraph"/>
              <w:numPr>
                <w:ilvl w:val="0"/>
                <w:numId w:val="5"/>
              </w:numPr>
              <w:spacing w:beforeLines="40" w:before="96" w:afterLines="40" w:after="96"/>
              <w:ind w:left="720"/>
              <w:jc w:val="left"/>
              <w:rPr>
                <w:szCs w:val="23"/>
              </w:rPr>
            </w:pPr>
            <w:r w:rsidRPr="00B876C5">
              <w:rPr>
                <w:szCs w:val="23"/>
              </w:rPr>
              <w:t>2019-20: 336 commencements</w:t>
            </w:r>
          </w:p>
          <w:p w14:paraId="337C9771" w14:textId="760E8E0C" w:rsidR="00BA2173" w:rsidRPr="00B876C5" w:rsidRDefault="00BA2173" w:rsidP="006B7348">
            <w:pPr>
              <w:pStyle w:val="ListParagraph"/>
              <w:numPr>
                <w:ilvl w:val="0"/>
                <w:numId w:val="5"/>
              </w:numPr>
              <w:spacing w:beforeLines="40" w:before="96" w:afterLines="40" w:after="96"/>
              <w:ind w:left="720"/>
              <w:jc w:val="left"/>
              <w:rPr>
                <w:szCs w:val="23"/>
              </w:rPr>
            </w:pPr>
            <w:r w:rsidRPr="00B876C5">
              <w:rPr>
                <w:szCs w:val="23"/>
              </w:rPr>
              <w:t xml:space="preserve">2020-21: </w:t>
            </w:r>
            <w:r w:rsidR="002136CF">
              <w:rPr>
                <w:szCs w:val="23"/>
              </w:rPr>
              <w:t>262</w:t>
            </w:r>
            <w:r w:rsidR="002136CF" w:rsidRPr="00B876C5">
              <w:rPr>
                <w:szCs w:val="23"/>
              </w:rPr>
              <w:t xml:space="preserve"> </w:t>
            </w:r>
            <w:r w:rsidRPr="00B876C5">
              <w:rPr>
                <w:szCs w:val="23"/>
              </w:rPr>
              <w:t xml:space="preserve">commencements </w:t>
            </w:r>
          </w:p>
          <w:p w14:paraId="4DCA9E45" w14:textId="276C6BB4" w:rsidR="00BA2173" w:rsidRPr="00B876C5" w:rsidRDefault="00BA2173" w:rsidP="006B7348">
            <w:pPr>
              <w:pStyle w:val="ListParagraph"/>
              <w:numPr>
                <w:ilvl w:val="0"/>
                <w:numId w:val="5"/>
              </w:numPr>
              <w:spacing w:beforeLines="40" w:before="96" w:afterLines="40" w:after="96"/>
              <w:ind w:left="720"/>
              <w:jc w:val="left"/>
              <w:rPr>
                <w:szCs w:val="23"/>
              </w:rPr>
            </w:pPr>
            <w:r w:rsidRPr="00B876C5">
              <w:rPr>
                <w:szCs w:val="23"/>
              </w:rPr>
              <w:t xml:space="preserve">2021-22: </w:t>
            </w:r>
            <w:r w:rsidR="002136CF">
              <w:rPr>
                <w:szCs w:val="23"/>
              </w:rPr>
              <w:t>136</w:t>
            </w:r>
            <w:r w:rsidR="008812AF" w:rsidRPr="00B876C5">
              <w:rPr>
                <w:szCs w:val="23"/>
              </w:rPr>
              <w:t xml:space="preserve"> </w:t>
            </w:r>
            <w:r w:rsidRPr="00B876C5">
              <w:rPr>
                <w:szCs w:val="23"/>
              </w:rPr>
              <w:t>commencements</w:t>
            </w:r>
          </w:p>
          <w:p w14:paraId="71269D32" w14:textId="77777777" w:rsidR="00E5082E" w:rsidRPr="00B876C5" w:rsidRDefault="00E5082E" w:rsidP="00E5082E">
            <w:pPr>
              <w:pStyle w:val="ListParagraph"/>
              <w:spacing w:beforeLines="40" w:before="96" w:afterLines="40" w:after="96"/>
              <w:jc w:val="left"/>
              <w:rPr>
                <w:szCs w:val="23"/>
              </w:rPr>
            </w:pPr>
          </w:p>
          <w:p w14:paraId="71698916" w14:textId="77777777" w:rsidR="00BA2173" w:rsidRPr="00B876C5" w:rsidRDefault="00BA2173" w:rsidP="00E5082E">
            <w:pPr>
              <w:spacing w:beforeLines="40" w:before="96" w:afterLines="40" w:after="96"/>
              <w:jc w:val="left"/>
              <w:rPr>
                <w:bCs/>
                <w:szCs w:val="23"/>
              </w:rPr>
            </w:pPr>
            <w:r w:rsidRPr="00B876C5">
              <w:rPr>
                <w:bCs/>
                <w:szCs w:val="23"/>
              </w:rPr>
              <w:t xml:space="preserve">South Australia will be eligible for </w:t>
            </w:r>
            <w:r w:rsidR="00E5082E" w:rsidRPr="00B876C5">
              <w:rPr>
                <w:bCs/>
                <w:szCs w:val="23"/>
              </w:rPr>
              <w:t xml:space="preserve">the full </w:t>
            </w:r>
            <w:r w:rsidRPr="00B876C5">
              <w:rPr>
                <w:bCs/>
                <w:szCs w:val="23"/>
              </w:rPr>
              <w:t xml:space="preserve">performance payment each financial year when </w:t>
            </w:r>
            <w:r w:rsidR="00E5082E" w:rsidRPr="00B876C5">
              <w:rPr>
                <w:bCs/>
                <w:szCs w:val="23"/>
              </w:rPr>
              <w:t xml:space="preserve">the following commencements are achieved </w:t>
            </w:r>
            <w:r w:rsidR="00E5082E" w:rsidRPr="00B876C5">
              <w:rPr>
                <w:bCs/>
                <w:szCs w:val="23"/>
              </w:rPr>
              <w:br/>
              <w:t>(</w:t>
            </w:r>
            <w:r w:rsidRPr="00B876C5">
              <w:rPr>
                <w:bCs/>
                <w:szCs w:val="23"/>
              </w:rPr>
              <w:t>67.4 per cent of the total performance benchmark for higher apprenticeship commencements</w:t>
            </w:r>
            <w:r w:rsidR="00E5082E" w:rsidRPr="00B876C5">
              <w:rPr>
                <w:bCs/>
                <w:szCs w:val="23"/>
              </w:rPr>
              <w:t>)</w:t>
            </w:r>
            <w:r w:rsidRPr="00B876C5">
              <w:rPr>
                <w:bCs/>
                <w:szCs w:val="23"/>
              </w:rPr>
              <w:t xml:space="preserve"> between 1 July and </w:t>
            </w:r>
            <w:r w:rsidR="007836E3">
              <w:rPr>
                <w:bCs/>
                <w:szCs w:val="23"/>
              </w:rPr>
              <w:t xml:space="preserve">up to </w:t>
            </w:r>
            <w:r w:rsidR="007836E3">
              <w:rPr>
                <w:bCs/>
                <w:szCs w:val="23"/>
              </w:rPr>
              <w:br/>
            </w:r>
            <w:r w:rsidRPr="00B876C5">
              <w:rPr>
                <w:bCs/>
                <w:szCs w:val="23"/>
              </w:rPr>
              <w:t>30 April</w:t>
            </w:r>
            <w:r w:rsidR="00E5082E" w:rsidRPr="00B876C5">
              <w:rPr>
                <w:bCs/>
                <w:szCs w:val="23"/>
              </w:rPr>
              <w:t>:</w:t>
            </w:r>
          </w:p>
          <w:p w14:paraId="78BD0FFE" w14:textId="77777777" w:rsidR="00E5082E" w:rsidRPr="00B876C5" w:rsidRDefault="00E5082E" w:rsidP="00E5082E">
            <w:pPr>
              <w:spacing w:after="0" w:line="240" w:lineRule="auto"/>
              <w:jc w:val="left"/>
              <w:rPr>
                <w:bCs/>
                <w:szCs w:val="23"/>
              </w:rPr>
            </w:pPr>
            <w:r w:rsidRPr="00B876C5">
              <w:rPr>
                <w:bCs/>
                <w:szCs w:val="23"/>
              </w:rPr>
              <w:t xml:space="preserve"> </w:t>
            </w:r>
          </w:p>
        </w:tc>
        <w:tc>
          <w:tcPr>
            <w:tcW w:w="1843" w:type="dxa"/>
            <w:tcBorders>
              <w:top w:val="nil"/>
              <w:bottom w:val="nil"/>
            </w:tcBorders>
          </w:tcPr>
          <w:p w14:paraId="081B7EFC" w14:textId="77777777" w:rsidR="00BA2173" w:rsidRPr="00B876C5" w:rsidRDefault="00BA2173" w:rsidP="00BA2173">
            <w:pPr>
              <w:spacing w:beforeLines="40" w:before="96" w:afterLines="40" w:after="96"/>
              <w:jc w:val="left"/>
              <w:rPr>
                <w:bCs/>
                <w:szCs w:val="23"/>
              </w:rPr>
            </w:pPr>
          </w:p>
        </w:tc>
        <w:tc>
          <w:tcPr>
            <w:tcW w:w="1843" w:type="dxa"/>
            <w:tcBorders>
              <w:top w:val="nil"/>
              <w:bottom w:val="nil"/>
            </w:tcBorders>
          </w:tcPr>
          <w:p w14:paraId="21E338D4" w14:textId="77777777" w:rsidR="00BA2173" w:rsidRPr="00B876C5" w:rsidRDefault="00BA2173" w:rsidP="00BA2173">
            <w:pPr>
              <w:spacing w:beforeLines="40" w:before="96" w:afterLines="40" w:after="96"/>
              <w:jc w:val="left"/>
              <w:rPr>
                <w:rFonts w:cs="Calibri"/>
                <w:szCs w:val="23"/>
              </w:rPr>
            </w:pPr>
          </w:p>
        </w:tc>
      </w:tr>
      <w:tr w:rsidR="00485123" w:rsidRPr="002A34C5" w14:paraId="1A11AAAC" w14:textId="77777777" w:rsidTr="00485123">
        <w:trPr>
          <w:trHeight w:val="227"/>
        </w:trPr>
        <w:tc>
          <w:tcPr>
            <w:tcW w:w="1266" w:type="dxa"/>
            <w:tcBorders>
              <w:top w:val="nil"/>
              <w:bottom w:val="nil"/>
            </w:tcBorders>
          </w:tcPr>
          <w:p w14:paraId="3B5FBAB5" w14:textId="77777777" w:rsidR="00BA2173" w:rsidRPr="00E5082E" w:rsidRDefault="00BA2173" w:rsidP="00E5082E">
            <w:pPr>
              <w:spacing w:beforeLines="40" w:before="96" w:afterLines="40" w:after="96"/>
              <w:ind w:left="360"/>
              <w:jc w:val="left"/>
              <w:rPr>
                <w:szCs w:val="23"/>
              </w:rPr>
            </w:pPr>
          </w:p>
        </w:tc>
        <w:tc>
          <w:tcPr>
            <w:tcW w:w="4961" w:type="dxa"/>
            <w:tcBorders>
              <w:top w:val="nil"/>
              <w:bottom w:val="nil"/>
            </w:tcBorders>
          </w:tcPr>
          <w:p w14:paraId="628A915C" w14:textId="77777777" w:rsidR="00BA2173" w:rsidRPr="00B876C5" w:rsidRDefault="00BA2173" w:rsidP="006B7348">
            <w:pPr>
              <w:pStyle w:val="ListParagraph"/>
              <w:numPr>
                <w:ilvl w:val="0"/>
                <w:numId w:val="5"/>
              </w:numPr>
              <w:spacing w:after="0"/>
              <w:ind w:left="714" w:hanging="357"/>
              <w:jc w:val="left"/>
              <w:rPr>
                <w:szCs w:val="23"/>
              </w:rPr>
            </w:pPr>
            <w:r w:rsidRPr="00B876C5">
              <w:rPr>
                <w:szCs w:val="23"/>
              </w:rPr>
              <w:t>2018-19: 143 commencements</w:t>
            </w:r>
          </w:p>
          <w:p w14:paraId="78F76DEE" w14:textId="77777777" w:rsidR="00BA2173" w:rsidRPr="00B876C5" w:rsidRDefault="00BA2173" w:rsidP="006B7348">
            <w:pPr>
              <w:pStyle w:val="ListParagraph"/>
              <w:numPr>
                <w:ilvl w:val="0"/>
                <w:numId w:val="5"/>
              </w:numPr>
              <w:spacing w:beforeLines="40" w:before="96" w:afterLines="40" w:after="96"/>
              <w:ind w:left="720"/>
              <w:jc w:val="left"/>
              <w:rPr>
                <w:szCs w:val="23"/>
              </w:rPr>
            </w:pPr>
            <w:r w:rsidRPr="00B876C5">
              <w:rPr>
                <w:szCs w:val="23"/>
              </w:rPr>
              <w:t>2019-20: 226 commencements</w:t>
            </w:r>
          </w:p>
          <w:p w14:paraId="474138CC" w14:textId="35B39678" w:rsidR="00BA2173" w:rsidRPr="00B876C5" w:rsidRDefault="00BA2173" w:rsidP="006B7348">
            <w:pPr>
              <w:pStyle w:val="ListParagraph"/>
              <w:numPr>
                <w:ilvl w:val="0"/>
                <w:numId w:val="5"/>
              </w:numPr>
              <w:spacing w:beforeLines="40" w:before="96" w:afterLines="40" w:after="96"/>
              <w:ind w:left="720"/>
              <w:jc w:val="left"/>
              <w:rPr>
                <w:szCs w:val="23"/>
              </w:rPr>
            </w:pPr>
            <w:r w:rsidRPr="00B876C5">
              <w:rPr>
                <w:szCs w:val="23"/>
              </w:rPr>
              <w:t xml:space="preserve">2020-21: </w:t>
            </w:r>
            <w:r w:rsidR="002136CF">
              <w:rPr>
                <w:szCs w:val="23"/>
              </w:rPr>
              <w:t>176</w:t>
            </w:r>
            <w:r w:rsidR="002136CF" w:rsidRPr="00B876C5">
              <w:rPr>
                <w:szCs w:val="23"/>
              </w:rPr>
              <w:t xml:space="preserve"> </w:t>
            </w:r>
            <w:r w:rsidRPr="00B876C5">
              <w:rPr>
                <w:szCs w:val="23"/>
              </w:rPr>
              <w:t>commencements</w:t>
            </w:r>
          </w:p>
          <w:p w14:paraId="2C2CD555" w14:textId="316BA97B" w:rsidR="00BA2173" w:rsidRPr="00B876C5" w:rsidRDefault="00BA2173" w:rsidP="002136CF">
            <w:pPr>
              <w:pStyle w:val="ListParagraph"/>
              <w:numPr>
                <w:ilvl w:val="0"/>
                <w:numId w:val="5"/>
              </w:numPr>
              <w:spacing w:beforeLines="40" w:before="96" w:afterLines="40" w:after="96"/>
              <w:ind w:left="720"/>
              <w:jc w:val="left"/>
              <w:rPr>
                <w:szCs w:val="23"/>
              </w:rPr>
            </w:pPr>
            <w:r w:rsidRPr="00B876C5">
              <w:rPr>
                <w:szCs w:val="23"/>
              </w:rPr>
              <w:t xml:space="preserve">2021-22: </w:t>
            </w:r>
            <w:r w:rsidR="002136CF">
              <w:rPr>
                <w:szCs w:val="23"/>
              </w:rPr>
              <w:t>91</w:t>
            </w:r>
            <w:r w:rsidR="002136CF" w:rsidRPr="00B876C5">
              <w:rPr>
                <w:szCs w:val="23"/>
              </w:rPr>
              <w:t xml:space="preserve"> </w:t>
            </w:r>
            <w:r w:rsidRPr="00B876C5">
              <w:rPr>
                <w:szCs w:val="23"/>
              </w:rPr>
              <w:t>commencements</w:t>
            </w:r>
            <w:r w:rsidR="00233ABE">
              <w:rPr>
                <w:szCs w:val="23"/>
              </w:rPr>
              <w:t>.</w:t>
            </w:r>
          </w:p>
          <w:p w14:paraId="4F00F4F2" w14:textId="77777777" w:rsidR="001E11A7" w:rsidRPr="00B876C5" w:rsidRDefault="001E11A7" w:rsidP="00FB5633">
            <w:pPr>
              <w:spacing w:after="0" w:line="240" w:lineRule="auto"/>
              <w:jc w:val="left"/>
              <w:rPr>
                <w:szCs w:val="23"/>
              </w:rPr>
            </w:pPr>
            <w:r w:rsidRPr="00B876C5">
              <w:rPr>
                <w:szCs w:val="23"/>
              </w:rPr>
              <w:t xml:space="preserve"> </w:t>
            </w:r>
          </w:p>
        </w:tc>
        <w:tc>
          <w:tcPr>
            <w:tcW w:w="1843" w:type="dxa"/>
            <w:tcBorders>
              <w:top w:val="nil"/>
              <w:bottom w:val="nil"/>
            </w:tcBorders>
          </w:tcPr>
          <w:p w14:paraId="72C1C44C" w14:textId="77777777" w:rsidR="00BA2173" w:rsidRPr="00B876C5" w:rsidRDefault="00BA2173" w:rsidP="00FB5633">
            <w:pPr>
              <w:spacing w:after="0" w:line="240" w:lineRule="auto"/>
              <w:jc w:val="right"/>
              <w:rPr>
                <w:szCs w:val="23"/>
              </w:rPr>
            </w:pPr>
            <w:r w:rsidRPr="00B876C5">
              <w:rPr>
                <w:szCs w:val="23"/>
              </w:rPr>
              <w:t>30 April 2019</w:t>
            </w:r>
          </w:p>
          <w:p w14:paraId="0E949664" w14:textId="77777777" w:rsidR="00BA2173" w:rsidRPr="00B876C5" w:rsidRDefault="00BA2173" w:rsidP="00FB5633">
            <w:pPr>
              <w:spacing w:after="0" w:line="240" w:lineRule="auto"/>
              <w:jc w:val="right"/>
              <w:rPr>
                <w:szCs w:val="23"/>
              </w:rPr>
            </w:pPr>
            <w:r w:rsidRPr="00B876C5">
              <w:rPr>
                <w:szCs w:val="23"/>
              </w:rPr>
              <w:t>30 April 2020</w:t>
            </w:r>
          </w:p>
          <w:p w14:paraId="755A3AB0" w14:textId="77777777" w:rsidR="00BA2173" w:rsidRPr="00B876C5" w:rsidRDefault="00BA2173" w:rsidP="00FB5633">
            <w:pPr>
              <w:spacing w:after="0" w:line="240" w:lineRule="auto"/>
              <w:jc w:val="right"/>
              <w:rPr>
                <w:szCs w:val="23"/>
              </w:rPr>
            </w:pPr>
            <w:r w:rsidRPr="00B876C5">
              <w:rPr>
                <w:szCs w:val="23"/>
              </w:rPr>
              <w:t>30 April 2021</w:t>
            </w:r>
          </w:p>
          <w:p w14:paraId="218A7344" w14:textId="77777777" w:rsidR="00BA2173" w:rsidRPr="00B876C5" w:rsidRDefault="00BA2173" w:rsidP="00FB5633">
            <w:pPr>
              <w:spacing w:after="0" w:line="240" w:lineRule="auto"/>
              <w:jc w:val="right"/>
              <w:rPr>
                <w:bCs/>
                <w:szCs w:val="23"/>
              </w:rPr>
            </w:pPr>
            <w:r w:rsidRPr="00B876C5">
              <w:rPr>
                <w:szCs w:val="23"/>
              </w:rPr>
              <w:t>30 April 2022</w:t>
            </w:r>
          </w:p>
        </w:tc>
        <w:tc>
          <w:tcPr>
            <w:tcW w:w="1843" w:type="dxa"/>
            <w:tcBorders>
              <w:top w:val="nil"/>
              <w:bottom w:val="nil"/>
            </w:tcBorders>
          </w:tcPr>
          <w:p w14:paraId="5774BEF5" w14:textId="77777777" w:rsidR="00BA2173" w:rsidRPr="00B876C5" w:rsidRDefault="00BA2173" w:rsidP="00FB5633">
            <w:pPr>
              <w:spacing w:after="0" w:line="240" w:lineRule="auto"/>
              <w:jc w:val="right"/>
              <w:rPr>
                <w:szCs w:val="23"/>
              </w:rPr>
            </w:pPr>
            <w:r w:rsidRPr="00B876C5">
              <w:rPr>
                <w:szCs w:val="23"/>
              </w:rPr>
              <w:t>$968,000</w:t>
            </w:r>
          </w:p>
          <w:p w14:paraId="34CEB33E" w14:textId="630ED023" w:rsidR="00BA2173" w:rsidRPr="00B876C5" w:rsidRDefault="00BA2173" w:rsidP="00FB5633">
            <w:pPr>
              <w:spacing w:after="0" w:line="240" w:lineRule="auto"/>
              <w:jc w:val="right"/>
              <w:rPr>
                <w:szCs w:val="23"/>
              </w:rPr>
            </w:pPr>
            <w:r w:rsidRPr="00B876C5">
              <w:rPr>
                <w:szCs w:val="23"/>
              </w:rPr>
              <w:t>$274,000</w:t>
            </w:r>
          </w:p>
          <w:p w14:paraId="40981777" w14:textId="7A977E0E" w:rsidR="00705570" w:rsidRPr="009E083B" w:rsidRDefault="002136CF" w:rsidP="00FB5633">
            <w:pPr>
              <w:spacing w:after="0" w:line="240" w:lineRule="auto"/>
              <w:jc w:val="right"/>
              <w:rPr>
                <w:szCs w:val="23"/>
              </w:rPr>
            </w:pPr>
            <w:r>
              <w:rPr>
                <w:szCs w:val="23"/>
              </w:rPr>
              <w:t>$736,000</w:t>
            </w:r>
          </w:p>
          <w:p w14:paraId="56CD3907" w14:textId="20CBDBFE" w:rsidR="002A685C" w:rsidRPr="00B876C5" w:rsidRDefault="002136CF" w:rsidP="00D766B0">
            <w:pPr>
              <w:spacing w:after="0" w:line="240" w:lineRule="auto"/>
              <w:jc w:val="right"/>
              <w:rPr>
                <w:bCs/>
                <w:szCs w:val="23"/>
              </w:rPr>
            </w:pPr>
            <w:r>
              <w:rPr>
                <w:szCs w:val="23"/>
              </w:rPr>
              <w:t>$293,000</w:t>
            </w:r>
          </w:p>
        </w:tc>
      </w:tr>
      <w:tr w:rsidR="00485123" w:rsidRPr="002A34C5" w14:paraId="6C3DF453" w14:textId="77777777" w:rsidTr="00FB5633">
        <w:trPr>
          <w:trHeight w:val="227"/>
        </w:trPr>
        <w:tc>
          <w:tcPr>
            <w:tcW w:w="1266" w:type="dxa"/>
            <w:tcBorders>
              <w:top w:val="nil"/>
              <w:bottom w:val="nil"/>
            </w:tcBorders>
          </w:tcPr>
          <w:p w14:paraId="32CD35E4" w14:textId="77777777" w:rsidR="00BA2173" w:rsidRPr="002A34C5" w:rsidRDefault="00BA2173" w:rsidP="00FB5633">
            <w:pPr>
              <w:spacing w:beforeLines="40" w:before="96" w:afterLines="40" w:after="96"/>
              <w:jc w:val="right"/>
              <w:rPr>
                <w:bCs/>
                <w:szCs w:val="23"/>
              </w:rPr>
            </w:pPr>
          </w:p>
        </w:tc>
        <w:tc>
          <w:tcPr>
            <w:tcW w:w="4961" w:type="dxa"/>
            <w:tcBorders>
              <w:top w:val="nil"/>
              <w:bottom w:val="nil"/>
            </w:tcBorders>
          </w:tcPr>
          <w:p w14:paraId="05994885" w14:textId="47C37152" w:rsidR="00BA2173" w:rsidRPr="00B876C5" w:rsidRDefault="00BA2173" w:rsidP="00E5082E">
            <w:pPr>
              <w:spacing w:beforeLines="40" w:before="96" w:afterLines="40" w:after="96"/>
              <w:jc w:val="left"/>
              <w:rPr>
                <w:bCs/>
                <w:szCs w:val="23"/>
              </w:rPr>
            </w:pPr>
            <w:r w:rsidRPr="00B876C5">
              <w:rPr>
                <w:bCs/>
                <w:szCs w:val="23"/>
              </w:rPr>
              <w:t xml:space="preserve">South Australia will be eligible for the minimum performance payment </w:t>
            </w:r>
            <w:r w:rsidR="007836E3">
              <w:rPr>
                <w:bCs/>
                <w:szCs w:val="23"/>
              </w:rPr>
              <w:t xml:space="preserve">each financial year </w:t>
            </w:r>
            <w:r w:rsidRPr="00B876C5">
              <w:rPr>
                <w:bCs/>
                <w:szCs w:val="23"/>
              </w:rPr>
              <w:t xml:space="preserve">if the following higher apprenticeship commencements are </w:t>
            </w:r>
            <w:r w:rsidR="00E5082E" w:rsidRPr="00B876C5">
              <w:rPr>
                <w:bCs/>
                <w:szCs w:val="23"/>
              </w:rPr>
              <w:t>achieved</w:t>
            </w:r>
            <w:r w:rsidRPr="00B876C5">
              <w:rPr>
                <w:bCs/>
                <w:szCs w:val="23"/>
              </w:rPr>
              <w:t xml:space="preserve"> between 1 July and </w:t>
            </w:r>
            <w:r w:rsidR="00E5082E" w:rsidRPr="00B876C5">
              <w:rPr>
                <w:bCs/>
                <w:szCs w:val="23"/>
              </w:rPr>
              <w:t xml:space="preserve">up to </w:t>
            </w:r>
            <w:r w:rsidRPr="00B876C5">
              <w:rPr>
                <w:bCs/>
                <w:szCs w:val="23"/>
              </w:rPr>
              <w:t>30 April with pro</w:t>
            </w:r>
            <w:r w:rsidR="000A5F1B" w:rsidRPr="00B876C5">
              <w:rPr>
                <w:bCs/>
                <w:szCs w:val="23"/>
              </w:rPr>
              <w:t xml:space="preserve"> </w:t>
            </w:r>
            <w:r w:rsidRPr="00B876C5">
              <w:rPr>
                <w:bCs/>
                <w:szCs w:val="23"/>
              </w:rPr>
              <w:t xml:space="preserve">rata amounts paid for commencements </w:t>
            </w:r>
            <w:r w:rsidR="004257AA">
              <w:rPr>
                <w:bCs/>
                <w:szCs w:val="23"/>
              </w:rPr>
              <w:t xml:space="preserve">up to 67.4 per cent of the total performance benchmark </w:t>
            </w:r>
            <w:r w:rsidRPr="00B876C5">
              <w:rPr>
                <w:bCs/>
                <w:szCs w:val="23"/>
              </w:rPr>
              <w:t xml:space="preserve">between </w:t>
            </w:r>
            <w:r w:rsidR="004257AA">
              <w:rPr>
                <w:bCs/>
                <w:szCs w:val="23"/>
              </w:rPr>
              <w:t>1 July and 3o April</w:t>
            </w:r>
            <w:r w:rsidR="00E5082E" w:rsidRPr="00B876C5">
              <w:rPr>
                <w:bCs/>
                <w:szCs w:val="23"/>
              </w:rPr>
              <w:t>:</w:t>
            </w:r>
          </w:p>
          <w:p w14:paraId="647FBDE0" w14:textId="77777777" w:rsidR="00E5082E" w:rsidRPr="00B876C5" w:rsidRDefault="00E5082E" w:rsidP="00E5082E">
            <w:pPr>
              <w:spacing w:after="0" w:line="240" w:lineRule="auto"/>
              <w:jc w:val="left"/>
              <w:rPr>
                <w:bCs/>
                <w:szCs w:val="23"/>
                <w:u w:val="single"/>
              </w:rPr>
            </w:pPr>
            <w:r w:rsidRPr="00B876C5">
              <w:rPr>
                <w:bCs/>
                <w:szCs w:val="23"/>
                <w:u w:val="single"/>
              </w:rPr>
              <w:t xml:space="preserve"> </w:t>
            </w:r>
          </w:p>
        </w:tc>
        <w:tc>
          <w:tcPr>
            <w:tcW w:w="1843" w:type="dxa"/>
            <w:tcBorders>
              <w:top w:val="nil"/>
              <w:bottom w:val="nil"/>
            </w:tcBorders>
          </w:tcPr>
          <w:p w14:paraId="13A436FC" w14:textId="77777777" w:rsidR="00BA2173" w:rsidRPr="00B876C5" w:rsidRDefault="00BA2173" w:rsidP="00FB5633">
            <w:pPr>
              <w:spacing w:beforeLines="40" w:before="96" w:afterLines="40" w:after="96"/>
              <w:jc w:val="right"/>
              <w:rPr>
                <w:bCs/>
                <w:szCs w:val="23"/>
              </w:rPr>
            </w:pPr>
          </w:p>
        </w:tc>
        <w:tc>
          <w:tcPr>
            <w:tcW w:w="1843" w:type="dxa"/>
            <w:tcBorders>
              <w:top w:val="nil"/>
              <w:bottom w:val="nil"/>
            </w:tcBorders>
          </w:tcPr>
          <w:p w14:paraId="1DDE17A6" w14:textId="77777777" w:rsidR="00BA2173" w:rsidRPr="00B876C5" w:rsidRDefault="00BA2173" w:rsidP="00BC31FC">
            <w:pPr>
              <w:spacing w:beforeLines="40" w:before="96" w:afterLines="40" w:after="96"/>
              <w:jc w:val="right"/>
              <w:rPr>
                <w:rFonts w:cs="Calibri"/>
                <w:szCs w:val="23"/>
              </w:rPr>
            </w:pPr>
          </w:p>
        </w:tc>
      </w:tr>
      <w:tr w:rsidR="00485123" w:rsidRPr="002A34C5" w14:paraId="674D3339" w14:textId="77777777" w:rsidTr="00FB5633">
        <w:trPr>
          <w:trHeight w:val="1331"/>
        </w:trPr>
        <w:tc>
          <w:tcPr>
            <w:tcW w:w="1266" w:type="dxa"/>
            <w:tcBorders>
              <w:top w:val="nil"/>
              <w:bottom w:val="single" w:sz="4" w:space="0" w:color="4F81BD"/>
            </w:tcBorders>
          </w:tcPr>
          <w:p w14:paraId="1FD2F6C3" w14:textId="77777777" w:rsidR="00BA2173" w:rsidRPr="00E5082E" w:rsidRDefault="00BA2173" w:rsidP="00E5082E">
            <w:pPr>
              <w:spacing w:beforeLines="40" w:before="96" w:afterLines="40" w:after="96"/>
              <w:ind w:left="360"/>
              <w:jc w:val="left"/>
              <w:rPr>
                <w:szCs w:val="23"/>
              </w:rPr>
            </w:pPr>
          </w:p>
        </w:tc>
        <w:tc>
          <w:tcPr>
            <w:tcW w:w="4961" w:type="dxa"/>
            <w:tcBorders>
              <w:top w:val="nil"/>
              <w:bottom w:val="single" w:sz="4" w:space="0" w:color="4F81BD"/>
            </w:tcBorders>
          </w:tcPr>
          <w:p w14:paraId="7B514BD0" w14:textId="77777777" w:rsidR="00BA2173" w:rsidRPr="008E49DE" w:rsidRDefault="00BA2173" w:rsidP="00FE5AE7">
            <w:pPr>
              <w:pStyle w:val="ListParagraph"/>
              <w:numPr>
                <w:ilvl w:val="0"/>
                <w:numId w:val="5"/>
              </w:numPr>
              <w:spacing w:beforeLines="40" w:before="96" w:afterLines="40" w:after="96"/>
              <w:ind w:left="720"/>
              <w:jc w:val="left"/>
              <w:rPr>
                <w:szCs w:val="23"/>
              </w:rPr>
            </w:pPr>
            <w:r w:rsidRPr="008E49DE">
              <w:rPr>
                <w:szCs w:val="23"/>
              </w:rPr>
              <w:t>2018-19: 71 commencements</w:t>
            </w:r>
          </w:p>
          <w:p w14:paraId="78D65482" w14:textId="5F45F55D" w:rsidR="00BA2173" w:rsidRPr="008E49DE" w:rsidRDefault="00BA2173" w:rsidP="00FE5AE7">
            <w:pPr>
              <w:pStyle w:val="ListParagraph"/>
              <w:numPr>
                <w:ilvl w:val="0"/>
                <w:numId w:val="5"/>
              </w:numPr>
              <w:spacing w:beforeLines="40" w:before="96" w:afterLines="40" w:after="96"/>
              <w:ind w:left="720"/>
              <w:jc w:val="left"/>
              <w:rPr>
                <w:szCs w:val="23"/>
              </w:rPr>
            </w:pPr>
            <w:r w:rsidRPr="008E49DE">
              <w:rPr>
                <w:szCs w:val="23"/>
              </w:rPr>
              <w:t>2019-20: 37 commencements</w:t>
            </w:r>
          </w:p>
          <w:p w14:paraId="5174F96F" w14:textId="35C9F98F" w:rsidR="00BA2173" w:rsidRPr="008E49DE" w:rsidRDefault="00BA2173" w:rsidP="00AF03A5">
            <w:pPr>
              <w:pStyle w:val="ListParagraph"/>
              <w:numPr>
                <w:ilvl w:val="0"/>
                <w:numId w:val="5"/>
              </w:numPr>
              <w:spacing w:beforeLines="40" w:before="96" w:afterLines="40" w:after="96"/>
              <w:ind w:left="720"/>
              <w:jc w:val="left"/>
              <w:rPr>
                <w:szCs w:val="23"/>
              </w:rPr>
            </w:pPr>
            <w:r w:rsidRPr="008E49DE">
              <w:rPr>
                <w:szCs w:val="23"/>
              </w:rPr>
              <w:t>2020-21: 39 commencements</w:t>
            </w:r>
          </w:p>
          <w:p w14:paraId="0F91FB0F" w14:textId="183F1852" w:rsidR="00BA2173" w:rsidRPr="008E49DE" w:rsidRDefault="00BA2173" w:rsidP="00FE5AE7">
            <w:pPr>
              <w:pStyle w:val="ListParagraph"/>
              <w:numPr>
                <w:ilvl w:val="0"/>
                <w:numId w:val="5"/>
              </w:numPr>
              <w:spacing w:beforeLines="40" w:before="96" w:afterLines="40" w:after="96"/>
              <w:ind w:left="720"/>
              <w:jc w:val="left"/>
              <w:rPr>
                <w:szCs w:val="23"/>
              </w:rPr>
            </w:pPr>
            <w:r w:rsidRPr="008E49DE">
              <w:rPr>
                <w:szCs w:val="23"/>
              </w:rPr>
              <w:t>2021-</w:t>
            </w:r>
            <w:r w:rsidRPr="00632786">
              <w:rPr>
                <w:szCs w:val="23"/>
              </w:rPr>
              <w:t>22</w:t>
            </w:r>
            <w:r w:rsidRPr="00A91AB9">
              <w:rPr>
                <w:szCs w:val="23"/>
              </w:rPr>
              <w:t>: 40 commencements</w:t>
            </w:r>
            <w:r w:rsidR="00233ABE">
              <w:rPr>
                <w:szCs w:val="23"/>
              </w:rPr>
              <w:t>.</w:t>
            </w:r>
          </w:p>
          <w:p w14:paraId="6E5918DB" w14:textId="77777777" w:rsidR="00BA2173" w:rsidRPr="00B876C5" w:rsidRDefault="00BA2173" w:rsidP="00BA2173">
            <w:pPr>
              <w:spacing w:beforeLines="40" w:before="96" w:afterLines="40" w:after="96"/>
              <w:jc w:val="left"/>
              <w:rPr>
                <w:szCs w:val="23"/>
              </w:rPr>
            </w:pPr>
          </w:p>
        </w:tc>
        <w:tc>
          <w:tcPr>
            <w:tcW w:w="1843" w:type="dxa"/>
            <w:tcBorders>
              <w:top w:val="nil"/>
              <w:bottom w:val="single" w:sz="4" w:space="0" w:color="4F81BD"/>
            </w:tcBorders>
          </w:tcPr>
          <w:p w14:paraId="6B1B826A" w14:textId="77777777" w:rsidR="00BA2173" w:rsidRPr="00B876C5" w:rsidRDefault="00BA2173" w:rsidP="00FB5633">
            <w:pPr>
              <w:spacing w:after="0" w:line="240" w:lineRule="auto"/>
              <w:jc w:val="right"/>
              <w:rPr>
                <w:szCs w:val="23"/>
              </w:rPr>
            </w:pPr>
            <w:r w:rsidRPr="00B876C5">
              <w:rPr>
                <w:szCs w:val="23"/>
              </w:rPr>
              <w:t>30 April 2019</w:t>
            </w:r>
          </w:p>
          <w:p w14:paraId="19671C43" w14:textId="77777777" w:rsidR="00BA2173" w:rsidRPr="00B876C5" w:rsidRDefault="00BA2173" w:rsidP="00FB5633">
            <w:pPr>
              <w:spacing w:after="0" w:line="240" w:lineRule="auto"/>
              <w:jc w:val="right"/>
              <w:rPr>
                <w:szCs w:val="23"/>
              </w:rPr>
            </w:pPr>
            <w:r w:rsidRPr="00B876C5">
              <w:rPr>
                <w:szCs w:val="23"/>
              </w:rPr>
              <w:t>30 April 2020</w:t>
            </w:r>
          </w:p>
          <w:p w14:paraId="23B404A4" w14:textId="77777777" w:rsidR="00BA2173" w:rsidRPr="00B876C5" w:rsidRDefault="00BA2173" w:rsidP="00FB5633">
            <w:pPr>
              <w:spacing w:after="0" w:line="240" w:lineRule="auto"/>
              <w:jc w:val="right"/>
              <w:rPr>
                <w:szCs w:val="23"/>
              </w:rPr>
            </w:pPr>
            <w:r w:rsidRPr="00B876C5">
              <w:rPr>
                <w:szCs w:val="23"/>
              </w:rPr>
              <w:t>30 April 2021</w:t>
            </w:r>
          </w:p>
          <w:p w14:paraId="4C22DA4C" w14:textId="77777777" w:rsidR="00BA2173" w:rsidRPr="00B876C5" w:rsidRDefault="00BA2173" w:rsidP="00FB5633">
            <w:pPr>
              <w:spacing w:after="0" w:line="240" w:lineRule="auto"/>
              <w:jc w:val="right"/>
              <w:rPr>
                <w:szCs w:val="23"/>
              </w:rPr>
            </w:pPr>
            <w:r w:rsidRPr="00B876C5">
              <w:rPr>
                <w:szCs w:val="23"/>
              </w:rPr>
              <w:t>30 April 2022</w:t>
            </w:r>
          </w:p>
          <w:p w14:paraId="701D83D4" w14:textId="77777777" w:rsidR="00BA2173" w:rsidRPr="00B876C5" w:rsidRDefault="00BA2173" w:rsidP="00FB5633">
            <w:pPr>
              <w:spacing w:after="0" w:line="240" w:lineRule="auto"/>
              <w:jc w:val="right"/>
              <w:rPr>
                <w:bCs/>
                <w:szCs w:val="23"/>
              </w:rPr>
            </w:pPr>
          </w:p>
        </w:tc>
        <w:tc>
          <w:tcPr>
            <w:tcW w:w="1843" w:type="dxa"/>
            <w:tcBorders>
              <w:top w:val="nil"/>
              <w:bottom w:val="single" w:sz="4" w:space="0" w:color="4F81BD"/>
            </w:tcBorders>
          </w:tcPr>
          <w:p w14:paraId="37573D46" w14:textId="77777777" w:rsidR="00BA2173" w:rsidRPr="00B876C5" w:rsidRDefault="00BA2173" w:rsidP="00FB5633">
            <w:pPr>
              <w:spacing w:after="0" w:line="240" w:lineRule="auto"/>
              <w:jc w:val="right"/>
              <w:rPr>
                <w:szCs w:val="23"/>
              </w:rPr>
            </w:pPr>
            <w:r w:rsidRPr="00B876C5">
              <w:rPr>
                <w:szCs w:val="23"/>
              </w:rPr>
              <w:t>$484,000</w:t>
            </w:r>
          </w:p>
          <w:p w14:paraId="28D67794" w14:textId="085ECB47" w:rsidR="00BA2173" w:rsidRPr="00B876C5" w:rsidRDefault="00BA2173" w:rsidP="00FB5633">
            <w:pPr>
              <w:spacing w:after="0" w:line="240" w:lineRule="auto"/>
              <w:jc w:val="right"/>
              <w:rPr>
                <w:szCs w:val="23"/>
              </w:rPr>
            </w:pPr>
            <w:r w:rsidRPr="00B876C5">
              <w:rPr>
                <w:szCs w:val="23"/>
              </w:rPr>
              <w:t>$137,000</w:t>
            </w:r>
          </w:p>
          <w:p w14:paraId="299D485B" w14:textId="1FC10904" w:rsidR="00705570" w:rsidRPr="00FC55FF" w:rsidRDefault="002136CF" w:rsidP="00FB5633">
            <w:pPr>
              <w:spacing w:after="0" w:line="240" w:lineRule="auto"/>
              <w:jc w:val="right"/>
              <w:rPr>
                <w:szCs w:val="23"/>
              </w:rPr>
            </w:pPr>
            <w:r>
              <w:rPr>
                <w:szCs w:val="23"/>
              </w:rPr>
              <w:t>$368,000</w:t>
            </w:r>
          </w:p>
          <w:p w14:paraId="2CDE4D6E" w14:textId="1F6F3296" w:rsidR="00BA2173" w:rsidRPr="00B876C5" w:rsidRDefault="002136CF" w:rsidP="00E87BDE">
            <w:pPr>
              <w:spacing w:after="0" w:line="240" w:lineRule="auto"/>
              <w:jc w:val="right"/>
              <w:rPr>
                <w:szCs w:val="23"/>
              </w:rPr>
            </w:pPr>
            <w:r>
              <w:rPr>
                <w:szCs w:val="23"/>
              </w:rPr>
              <w:t>$146,000</w:t>
            </w:r>
          </w:p>
        </w:tc>
      </w:tr>
    </w:tbl>
    <w:p w14:paraId="17B30FBD" w14:textId="77777777" w:rsidR="001E11A7" w:rsidRDefault="001E11A7">
      <w:r>
        <w:br w:type="page"/>
      </w:r>
    </w:p>
    <w:tbl>
      <w:tblPr>
        <w:tblStyle w:val="TableGrid"/>
        <w:tblW w:w="9781" w:type="dxa"/>
        <w:tblInd w:w="-5"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276"/>
        <w:gridCol w:w="4961"/>
        <w:gridCol w:w="1843"/>
        <w:gridCol w:w="1701"/>
      </w:tblGrid>
      <w:tr w:rsidR="001E11A7" w:rsidRPr="001E11A7" w14:paraId="7113116D" w14:textId="77777777" w:rsidTr="00FB5633">
        <w:tc>
          <w:tcPr>
            <w:tcW w:w="1276" w:type="dxa"/>
            <w:shd w:val="clear" w:color="auto" w:fill="DBE5F1" w:themeFill="accent1" w:themeFillTint="33"/>
          </w:tcPr>
          <w:p w14:paraId="4B6F8D11" w14:textId="77777777" w:rsidR="001E11A7" w:rsidRPr="00FB5633" w:rsidRDefault="001E11A7" w:rsidP="00FB5633">
            <w:pPr>
              <w:pStyle w:val="Heading2"/>
              <w:outlineLvl w:val="1"/>
              <w:rPr>
                <w:sz w:val="24"/>
                <w:szCs w:val="24"/>
              </w:rPr>
            </w:pPr>
            <w:r w:rsidRPr="00BC31FC">
              <w:rPr>
                <w:bCs w:val="0"/>
                <w:sz w:val="24"/>
                <w:szCs w:val="24"/>
              </w:rPr>
              <w:lastRenderedPageBreak/>
              <w:t xml:space="preserve">Output </w:t>
            </w:r>
          </w:p>
        </w:tc>
        <w:tc>
          <w:tcPr>
            <w:tcW w:w="4961" w:type="dxa"/>
            <w:shd w:val="clear" w:color="auto" w:fill="DBE5F1" w:themeFill="accent1" w:themeFillTint="33"/>
          </w:tcPr>
          <w:p w14:paraId="1183A2FD" w14:textId="77777777" w:rsidR="001E11A7" w:rsidRPr="00FB5633" w:rsidRDefault="001E11A7" w:rsidP="00FB5633">
            <w:pPr>
              <w:pStyle w:val="Heading2"/>
              <w:outlineLvl w:val="1"/>
              <w:rPr>
                <w:sz w:val="24"/>
                <w:szCs w:val="24"/>
              </w:rPr>
            </w:pPr>
            <w:r w:rsidRPr="00BC31FC">
              <w:rPr>
                <w:bCs w:val="0"/>
                <w:sz w:val="24"/>
                <w:szCs w:val="24"/>
              </w:rPr>
              <w:t>Performance benchmarks/milestones</w:t>
            </w:r>
          </w:p>
        </w:tc>
        <w:tc>
          <w:tcPr>
            <w:tcW w:w="1843" w:type="dxa"/>
            <w:shd w:val="clear" w:color="auto" w:fill="DBE5F1" w:themeFill="accent1" w:themeFillTint="33"/>
          </w:tcPr>
          <w:p w14:paraId="02108746" w14:textId="3E188375" w:rsidR="001E11A7" w:rsidRPr="00FB5633" w:rsidRDefault="001E11A7" w:rsidP="002A569F">
            <w:pPr>
              <w:pStyle w:val="Heading2"/>
              <w:outlineLvl w:val="1"/>
              <w:rPr>
                <w:sz w:val="24"/>
                <w:szCs w:val="24"/>
              </w:rPr>
            </w:pPr>
            <w:r w:rsidRPr="00BC31FC">
              <w:rPr>
                <w:bCs w:val="0"/>
                <w:sz w:val="24"/>
                <w:szCs w:val="24"/>
              </w:rPr>
              <w:t>Report d</w:t>
            </w:r>
            <w:r w:rsidR="00BC31FC">
              <w:rPr>
                <w:bCs w:val="0"/>
                <w:sz w:val="24"/>
                <w:szCs w:val="24"/>
              </w:rPr>
              <w:t>ue</w:t>
            </w:r>
          </w:p>
        </w:tc>
        <w:tc>
          <w:tcPr>
            <w:tcW w:w="1701" w:type="dxa"/>
            <w:shd w:val="clear" w:color="auto" w:fill="DBE5F1" w:themeFill="accent1" w:themeFillTint="33"/>
          </w:tcPr>
          <w:p w14:paraId="4F224738" w14:textId="77777777" w:rsidR="001E11A7" w:rsidRPr="00FB5633" w:rsidRDefault="001E11A7" w:rsidP="00FB5633">
            <w:pPr>
              <w:pStyle w:val="Heading2"/>
              <w:outlineLvl w:val="1"/>
              <w:rPr>
                <w:sz w:val="24"/>
                <w:szCs w:val="24"/>
              </w:rPr>
            </w:pPr>
            <w:r w:rsidRPr="00BC31FC">
              <w:rPr>
                <w:bCs w:val="0"/>
                <w:sz w:val="24"/>
                <w:szCs w:val="24"/>
              </w:rPr>
              <w:t>Payment</w:t>
            </w:r>
          </w:p>
        </w:tc>
      </w:tr>
      <w:tr w:rsidR="00A66DB6" w:rsidRPr="00A66DB6" w14:paraId="16465B65" w14:textId="77777777" w:rsidTr="00FB5633">
        <w:tc>
          <w:tcPr>
            <w:tcW w:w="1276" w:type="dxa"/>
          </w:tcPr>
          <w:p w14:paraId="03906A87" w14:textId="4D77F705" w:rsidR="00A66DB6" w:rsidRPr="00A66DB6" w:rsidRDefault="00A66DB6" w:rsidP="00A66DB6">
            <w:pPr>
              <w:spacing w:after="160" w:line="259" w:lineRule="auto"/>
              <w:jc w:val="left"/>
              <w:rPr>
                <w:rFonts w:eastAsia="Calibri"/>
                <w:color w:val="auto"/>
                <w:sz w:val="22"/>
                <w:szCs w:val="22"/>
                <w:lang w:eastAsia="en-US"/>
              </w:rPr>
            </w:pPr>
          </w:p>
        </w:tc>
        <w:tc>
          <w:tcPr>
            <w:tcW w:w="4961" w:type="dxa"/>
          </w:tcPr>
          <w:p w14:paraId="56536E1F" w14:textId="77777777" w:rsidR="00A66DB6" w:rsidRPr="00FB5633" w:rsidRDefault="00A66DB6" w:rsidP="00FB5633">
            <w:pPr>
              <w:spacing w:after="160"/>
              <w:contextualSpacing/>
              <w:jc w:val="left"/>
              <w:rPr>
                <w:b/>
                <w:color w:val="auto"/>
                <w:szCs w:val="23"/>
              </w:rPr>
            </w:pPr>
            <w:r w:rsidRPr="00FB5633">
              <w:rPr>
                <w:b/>
                <w:color w:val="auto"/>
                <w:szCs w:val="23"/>
              </w:rPr>
              <w:t>Milestone 1</w:t>
            </w:r>
          </w:p>
          <w:p w14:paraId="59B47420" w14:textId="77777777" w:rsidR="00BC31FC" w:rsidRPr="00A66DB6" w:rsidRDefault="00BC31FC" w:rsidP="00BC31FC">
            <w:pPr>
              <w:spacing w:after="160"/>
              <w:contextualSpacing/>
              <w:jc w:val="left"/>
              <w:rPr>
                <w:color w:val="auto"/>
                <w:szCs w:val="23"/>
              </w:rPr>
            </w:pPr>
          </w:p>
          <w:p w14:paraId="7AD7D9CC" w14:textId="77777777" w:rsidR="00A66DB6" w:rsidRPr="00FB5633" w:rsidRDefault="00A66DB6" w:rsidP="00A66DB6">
            <w:pPr>
              <w:spacing w:after="160"/>
              <w:contextualSpacing/>
              <w:jc w:val="left"/>
              <w:rPr>
                <w:color w:val="auto"/>
                <w:szCs w:val="23"/>
              </w:rPr>
            </w:pPr>
            <w:r w:rsidRPr="00A66DB6">
              <w:rPr>
                <w:color w:val="auto"/>
                <w:szCs w:val="23"/>
              </w:rPr>
              <w:t xml:space="preserve">South Australia will be eligible for the </w:t>
            </w:r>
            <w:r w:rsidRPr="00FB5633">
              <w:rPr>
                <w:color w:val="auto"/>
                <w:szCs w:val="23"/>
              </w:rPr>
              <w:t>milestone payment when the following deliverables are met:</w:t>
            </w:r>
          </w:p>
          <w:p w14:paraId="45CB4FB6" w14:textId="77777777" w:rsidR="00BC31FC" w:rsidRPr="00A66DB6" w:rsidRDefault="00BC31FC" w:rsidP="00BC31FC">
            <w:pPr>
              <w:spacing w:after="160"/>
              <w:contextualSpacing/>
              <w:jc w:val="left"/>
              <w:rPr>
                <w:color w:val="auto"/>
                <w:szCs w:val="23"/>
              </w:rPr>
            </w:pPr>
          </w:p>
          <w:p w14:paraId="23BDC279" w14:textId="77777777" w:rsidR="00A66DB6" w:rsidRPr="00A66DB6" w:rsidRDefault="00A66DB6" w:rsidP="00BC31FC">
            <w:pPr>
              <w:numPr>
                <w:ilvl w:val="0"/>
                <w:numId w:val="45"/>
              </w:numPr>
              <w:spacing w:after="0" w:line="240" w:lineRule="auto"/>
              <w:ind w:left="457" w:hanging="457"/>
              <w:contextualSpacing/>
              <w:jc w:val="left"/>
              <w:rPr>
                <w:szCs w:val="23"/>
              </w:rPr>
            </w:pPr>
            <w:r w:rsidRPr="00A66DB6">
              <w:rPr>
                <w:szCs w:val="23"/>
              </w:rPr>
              <w:t>Implement a communications and marketing strategy to ‘re-brand’ apprenticeships and promote them as a first-choice career option using a range of channels such as:</w:t>
            </w:r>
          </w:p>
          <w:p w14:paraId="41DA6F21" w14:textId="77777777" w:rsidR="00A66DB6" w:rsidRPr="00A66DB6" w:rsidRDefault="00A66DB6" w:rsidP="00FE5AE7">
            <w:pPr>
              <w:numPr>
                <w:ilvl w:val="1"/>
                <w:numId w:val="26"/>
              </w:numPr>
              <w:spacing w:after="160" w:line="259" w:lineRule="auto"/>
              <w:ind w:left="1018" w:hanging="425"/>
              <w:contextualSpacing/>
              <w:jc w:val="left"/>
            </w:pPr>
            <w:r w:rsidRPr="00A66DB6">
              <w:t>targeted advertising</w:t>
            </w:r>
          </w:p>
          <w:p w14:paraId="73E6104A" w14:textId="77777777" w:rsidR="00A66DB6" w:rsidRPr="00A66DB6" w:rsidRDefault="00A66DB6" w:rsidP="00FE5AE7">
            <w:pPr>
              <w:numPr>
                <w:ilvl w:val="0"/>
                <w:numId w:val="10"/>
              </w:numPr>
              <w:spacing w:after="0" w:line="259" w:lineRule="auto"/>
              <w:ind w:left="1018" w:hanging="425"/>
              <w:contextualSpacing/>
              <w:jc w:val="left"/>
              <w:rPr>
                <w:szCs w:val="23"/>
              </w:rPr>
            </w:pPr>
            <w:r w:rsidRPr="00A66DB6">
              <w:rPr>
                <w:szCs w:val="23"/>
              </w:rPr>
              <w:t>exhibits</w:t>
            </w:r>
          </w:p>
          <w:p w14:paraId="5C0BD5C6" w14:textId="77777777" w:rsidR="00A66DB6" w:rsidRPr="00A66DB6" w:rsidRDefault="00A66DB6" w:rsidP="00FB5633">
            <w:pPr>
              <w:numPr>
                <w:ilvl w:val="1"/>
                <w:numId w:val="9"/>
              </w:numPr>
              <w:spacing w:after="0" w:line="240" w:lineRule="auto"/>
              <w:ind w:left="1020" w:hanging="425"/>
              <w:contextualSpacing/>
              <w:jc w:val="left"/>
            </w:pPr>
            <w:r w:rsidRPr="00A66DB6">
              <w:rPr>
                <w:szCs w:val="23"/>
              </w:rPr>
              <w:t>school programs.</w:t>
            </w:r>
          </w:p>
          <w:p w14:paraId="4D15068A" w14:textId="77777777" w:rsidR="00BC31FC" w:rsidRPr="00A66DB6" w:rsidRDefault="00BC31FC" w:rsidP="00FB5633">
            <w:pPr>
              <w:spacing w:after="0" w:line="240" w:lineRule="auto"/>
              <w:contextualSpacing/>
              <w:jc w:val="left"/>
              <w:rPr>
                <w:color w:val="auto"/>
                <w:szCs w:val="23"/>
              </w:rPr>
            </w:pPr>
          </w:p>
          <w:p w14:paraId="3AA8AE68" w14:textId="77777777" w:rsidR="00A66DB6" w:rsidRPr="00DE0853" w:rsidRDefault="00A66DB6" w:rsidP="00FB5633">
            <w:pPr>
              <w:pStyle w:val="ListParagraph"/>
              <w:numPr>
                <w:ilvl w:val="1"/>
                <w:numId w:val="61"/>
              </w:numPr>
              <w:spacing w:after="0" w:line="240" w:lineRule="auto"/>
              <w:ind w:left="457" w:hanging="457"/>
              <w:jc w:val="left"/>
              <w:rPr>
                <w:szCs w:val="23"/>
              </w:rPr>
            </w:pPr>
            <w:r w:rsidRPr="00BC31FC">
              <w:rPr>
                <w:szCs w:val="23"/>
              </w:rPr>
              <w:t xml:space="preserve">Implement four signature projects designed to demonstrate the value of apprenticeships in a range of ways, including for particular cohorts (such as young people at school and transitioning workers) and particular sectors (such as those supporting the digital age or the disability sector sectors).  </w:t>
            </w:r>
          </w:p>
          <w:p w14:paraId="74379030" w14:textId="77777777" w:rsidR="00953A1C" w:rsidRDefault="00953A1C" w:rsidP="00FB5633">
            <w:pPr>
              <w:autoSpaceDE w:val="0"/>
              <w:autoSpaceDN w:val="0"/>
              <w:adjustRightInd w:val="0"/>
              <w:spacing w:after="0" w:line="240" w:lineRule="auto"/>
              <w:contextualSpacing/>
              <w:jc w:val="left"/>
              <w:rPr>
                <w:rFonts w:eastAsia="Calibri" w:cs="Corbel"/>
                <w:szCs w:val="23"/>
              </w:rPr>
            </w:pPr>
          </w:p>
          <w:p w14:paraId="12A37B6D" w14:textId="77777777" w:rsidR="00A66DB6" w:rsidRPr="00A66DB6" w:rsidRDefault="00A66DB6" w:rsidP="00FB5633">
            <w:pPr>
              <w:numPr>
                <w:ilvl w:val="0"/>
                <w:numId w:val="46"/>
              </w:numPr>
              <w:autoSpaceDE w:val="0"/>
              <w:autoSpaceDN w:val="0"/>
              <w:adjustRightInd w:val="0"/>
              <w:spacing w:after="0" w:line="240" w:lineRule="auto"/>
              <w:ind w:left="457" w:hanging="457"/>
              <w:contextualSpacing/>
              <w:jc w:val="left"/>
              <w:rPr>
                <w:rFonts w:eastAsia="Calibri" w:cs="Corbel"/>
                <w:szCs w:val="23"/>
              </w:rPr>
            </w:pPr>
            <w:r w:rsidRPr="00A66DB6">
              <w:rPr>
                <w:rFonts w:eastAsia="Calibri" w:cs="Corbel"/>
                <w:szCs w:val="23"/>
              </w:rPr>
              <w:t>Implement a Provider Development Program to improve the knowledge, skills and practice of VET teachers, trainers, assessors of apprentices and trainees in a range of ways, such as:</w:t>
            </w:r>
          </w:p>
          <w:p w14:paraId="24C2ACFC" w14:textId="77777777" w:rsidR="00A66DB6" w:rsidRPr="00FB5633" w:rsidRDefault="00A66DB6" w:rsidP="00FB5633">
            <w:pPr>
              <w:numPr>
                <w:ilvl w:val="1"/>
                <w:numId w:val="26"/>
              </w:numPr>
              <w:spacing w:after="160" w:line="259" w:lineRule="auto"/>
              <w:ind w:left="1018" w:hanging="425"/>
              <w:contextualSpacing/>
              <w:jc w:val="left"/>
            </w:pPr>
            <w:r w:rsidRPr="00FB5633">
              <w:t>information sessions</w:t>
            </w:r>
          </w:p>
          <w:p w14:paraId="5B7315B7" w14:textId="77777777" w:rsidR="00A66DB6" w:rsidRPr="00FB5633" w:rsidRDefault="00A66DB6" w:rsidP="00FB5633">
            <w:pPr>
              <w:numPr>
                <w:ilvl w:val="1"/>
                <w:numId w:val="26"/>
              </w:numPr>
              <w:spacing w:after="160" w:line="259" w:lineRule="auto"/>
              <w:ind w:left="1018" w:hanging="425"/>
              <w:contextualSpacing/>
              <w:jc w:val="left"/>
            </w:pPr>
            <w:r w:rsidRPr="00FB5633">
              <w:t>interactive workshops</w:t>
            </w:r>
          </w:p>
          <w:p w14:paraId="6914E2F9" w14:textId="77777777" w:rsidR="00A66DB6" w:rsidRPr="00FB5633" w:rsidRDefault="00A66DB6" w:rsidP="00FB5633">
            <w:pPr>
              <w:numPr>
                <w:ilvl w:val="1"/>
                <w:numId w:val="26"/>
              </w:numPr>
              <w:spacing w:after="160" w:line="259" w:lineRule="auto"/>
              <w:ind w:left="1018" w:hanging="425"/>
              <w:contextualSpacing/>
              <w:jc w:val="left"/>
            </w:pPr>
            <w:r w:rsidRPr="00FB5633">
              <w:t>masterclasses</w:t>
            </w:r>
          </w:p>
          <w:p w14:paraId="61544DF6" w14:textId="77777777" w:rsidR="00A66DB6" w:rsidRPr="005458B2" w:rsidRDefault="00A66DB6" w:rsidP="00FB5633">
            <w:pPr>
              <w:numPr>
                <w:ilvl w:val="0"/>
                <w:numId w:val="13"/>
              </w:numPr>
              <w:spacing w:after="0" w:line="259" w:lineRule="auto"/>
              <w:ind w:left="1017" w:hanging="425"/>
              <w:contextualSpacing/>
              <w:jc w:val="left"/>
              <w:rPr>
                <w:rFonts w:eastAsia="Calibri"/>
                <w:color w:val="auto"/>
                <w:sz w:val="22"/>
                <w:szCs w:val="22"/>
                <w:lang w:eastAsia="en-US"/>
              </w:rPr>
            </w:pPr>
            <w:r w:rsidRPr="00FB5633">
              <w:t>the establishment of communities of practice.</w:t>
            </w:r>
          </w:p>
        </w:tc>
        <w:tc>
          <w:tcPr>
            <w:tcW w:w="1843" w:type="dxa"/>
          </w:tcPr>
          <w:p w14:paraId="0D5F4C93" w14:textId="77777777" w:rsidR="00A605BA" w:rsidRDefault="00A605BA" w:rsidP="00FB5633">
            <w:pPr>
              <w:spacing w:after="160" w:line="259" w:lineRule="auto"/>
              <w:jc w:val="right"/>
              <w:rPr>
                <w:rFonts w:eastAsia="Calibri"/>
                <w:color w:val="auto"/>
                <w:sz w:val="22"/>
                <w:szCs w:val="22"/>
                <w:lang w:eastAsia="en-US"/>
              </w:rPr>
            </w:pPr>
          </w:p>
          <w:p w14:paraId="5C774AB1" w14:textId="77777777" w:rsidR="00A605BA" w:rsidRDefault="00A605BA" w:rsidP="00FB5633">
            <w:pPr>
              <w:spacing w:after="160" w:line="259" w:lineRule="auto"/>
              <w:jc w:val="right"/>
              <w:rPr>
                <w:rFonts w:eastAsia="Calibri"/>
                <w:color w:val="auto"/>
                <w:sz w:val="22"/>
                <w:szCs w:val="22"/>
                <w:lang w:eastAsia="en-US"/>
              </w:rPr>
            </w:pPr>
          </w:p>
          <w:p w14:paraId="25B46C49" w14:textId="77777777" w:rsidR="00A605BA" w:rsidRDefault="00A605BA" w:rsidP="00FB5633">
            <w:pPr>
              <w:spacing w:after="160" w:line="259" w:lineRule="auto"/>
              <w:jc w:val="right"/>
              <w:rPr>
                <w:rFonts w:eastAsia="Calibri"/>
                <w:color w:val="auto"/>
                <w:sz w:val="22"/>
                <w:szCs w:val="22"/>
                <w:lang w:eastAsia="en-US"/>
              </w:rPr>
            </w:pPr>
          </w:p>
          <w:p w14:paraId="6EB7542B" w14:textId="17F305AE" w:rsidR="00A66DB6" w:rsidRDefault="00A66DB6" w:rsidP="00FB5633">
            <w:pPr>
              <w:spacing w:after="160" w:line="259" w:lineRule="auto"/>
              <w:jc w:val="right"/>
              <w:rPr>
                <w:rFonts w:eastAsia="Calibri"/>
                <w:color w:val="auto"/>
                <w:sz w:val="22"/>
                <w:szCs w:val="22"/>
                <w:lang w:eastAsia="en-US"/>
              </w:rPr>
            </w:pPr>
            <w:r w:rsidRPr="00A66DB6">
              <w:rPr>
                <w:rFonts w:eastAsia="Calibri"/>
                <w:color w:val="auto"/>
                <w:sz w:val="22"/>
                <w:szCs w:val="22"/>
                <w:lang w:eastAsia="en-US"/>
              </w:rPr>
              <w:t>30 April 2019</w:t>
            </w:r>
          </w:p>
          <w:p w14:paraId="612DAD90" w14:textId="18F2906F" w:rsidR="00A605BA" w:rsidRDefault="00A605BA" w:rsidP="00FB5633">
            <w:pPr>
              <w:spacing w:after="160" w:line="259" w:lineRule="auto"/>
              <w:jc w:val="right"/>
              <w:rPr>
                <w:rFonts w:eastAsia="Calibri"/>
                <w:color w:val="auto"/>
                <w:sz w:val="22"/>
                <w:szCs w:val="22"/>
                <w:lang w:eastAsia="en-US"/>
              </w:rPr>
            </w:pPr>
          </w:p>
          <w:p w14:paraId="2C9BAE32" w14:textId="74C1AA4F" w:rsidR="00A605BA" w:rsidRDefault="00A605BA" w:rsidP="00FB5633">
            <w:pPr>
              <w:spacing w:after="160" w:line="259" w:lineRule="auto"/>
              <w:jc w:val="right"/>
              <w:rPr>
                <w:rFonts w:eastAsia="Calibri"/>
                <w:color w:val="auto"/>
                <w:sz w:val="22"/>
                <w:szCs w:val="22"/>
                <w:lang w:eastAsia="en-US"/>
              </w:rPr>
            </w:pPr>
          </w:p>
          <w:p w14:paraId="44AF8EC9" w14:textId="5D6CFFE8" w:rsidR="00A605BA" w:rsidRDefault="00A605BA" w:rsidP="00FB5633">
            <w:pPr>
              <w:spacing w:after="160" w:line="259" w:lineRule="auto"/>
              <w:jc w:val="right"/>
              <w:rPr>
                <w:rFonts w:eastAsia="Calibri"/>
                <w:color w:val="auto"/>
                <w:sz w:val="22"/>
                <w:szCs w:val="22"/>
                <w:lang w:eastAsia="en-US"/>
              </w:rPr>
            </w:pPr>
          </w:p>
          <w:p w14:paraId="39A2405F" w14:textId="3B97ECA9" w:rsidR="00A605BA" w:rsidRDefault="00A605BA" w:rsidP="00A605BA">
            <w:pPr>
              <w:spacing w:after="160" w:line="259" w:lineRule="auto"/>
              <w:jc w:val="right"/>
              <w:rPr>
                <w:rFonts w:eastAsia="Calibri"/>
                <w:color w:val="auto"/>
                <w:sz w:val="22"/>
                <w:szCs w:val="22"/>
                <w:lang w:eastAsia="en-US"/>
              </w:rPr>
            </w:pPr>
          </w:p>
          <w:p w14:paraId="74A51634" w14:textId="36766A4B" w:rsidR="00A605BA" w:rsidRDefault="00A605BA" w:rsidP="001F2CB8">
            <w:pPr>
              <w:spacing w:after="160" w:line="259" w:lineRule="auto"/>
              <w:jc w:val="right"/>
              <w:rPr>
                <w:rFonts w:eastAsia="Calibri"/>
                <w:color w:val="auto"/>
                <w:sz w:val="22"/>
                <w:szCs w:val="22"/>
                <w:lang w:eastAsia="en-US"/>
              </w:rPr>
            </w:pPr>
            <w:r w:rsidRPr="00A66DB6">
              <w:rPr>
                <w:rFonts w:eastAsia="Calibri"/>
                <w:color w:val="auto"/>
                <w:sz w:val="22"/>
                <w:szCs w:val="22"/>
                <w:lang w:eastAsia="en-US"/>
              </w:rPr>
              <w:t>30 April 2019</w:t>
            </w:r>
          </w:p>
          <w:p w14:paraId="77D88B85" w14:textId="0C144395" w:rsidR="001F2CB8" w:rsidRDefault="001F2CB8" w:rsidP="001F2CB8">
            <w:pPr>
              <w:spacing w:after="160" w:line="259" w:lineRule="auto"/>
              <w:jc w:val="right"/>
              <w:rPr>
                <w:rFonts w:eastAsia="Calibri"/>
                <w:color w:val="auto"/>
                <w:sz w:val="22"/>
                <w:szCs w:val="22"/>
                <w:lang w:eastAsia="en-US"/>
              </w:rPr>
            </w:pPr>
          </w:p>
          <w:p w14:paraId="007172FD" w14:textId="13F6AFC5" w:rsidR="001F2CB8" w:rsidRDefault="001F2CB8" w:rsidP="001F2CB8">
            <w:pPr>
              <w:spacing w:after="160" w:line="259" w:lineRule="auto"/>
              <w:jc w:val="right"/>
              <w:rPr>
                <w:rFonts w:eastAsia="Calibri"/>
                <w:color w:val="auto"/>
                <w:sz w:val="22"/>
                <w:szCs w:val="22"/>
                <w:lang w:eastAsia="en-US"/>
              </w:rPr>
            </w:pPr>
          </w:p>
          <w:p w14:paraId="79C1D255" w14:textId="5FF2B98A" w:rsidR="001F2CB8" w:rsidRDefault="001F2CB8" w:rsidP="001F2CB8">
            <w:pPr>
              <w:spacing w:after="160" w:line="259" w:lineRule="auto"/>
              <w:jc w:val="right"/>
              <w:rPr>
                <w:rFonts w:eastAsia="Calibri"/>
                <w:color w:val="auto"/>
                <w:sz w:val="22"/>
                <w:szCs w:val="22"/>
                <w:lang w:eastAsia="en-US"/>
              </w:rPr>
            </w:pPr>
          </w:p>
          <w:p w14:paraId="7DC4D8B1" w14:textId="5D8B9FA9" w:rsidR="001F2CB8" w:rsidRDefault="001F2CB8" w:rsidP="001F2CB8">
            <w:pPr>
              <w:spacing w:after="160" w:line="259" w:lineRule="auto"/>
              <w:jc w:val="right"/>
              <w:rPr>
                <w:rFonts w:eastAsia="Calibri"/>
                <w:color w:val="auto"/>
                <w:sz w:val="22"/>
                <w:szCs w:val="22"/>
                <w:lang w:eastAsia="en-US"/>
              </w:rPr>
            </w:pPr>
          </w:p>
          <w:p w14:paraId="6DC20F54" w14:textId="77777777" w:rsidR="001F2CB8" w:rsidRDefault="001F2CB8" w:rsidP="001F2CB8">
            <w:pPr>
              <w:spacing w:after="160" w:line="259" w:lineRule="auto"/>
              <w:jc w:val="right"/>
              <w:rPr>
                <w:rFonts w:eastAsia="Calibri"/>
                <w:color w:val="auto"/>
                <w:sz w:val="22"/>
                <w:szCs w:val="22"/>
                <w:lang w:eastAsia="en-US"/>
              </w:rPr>
            </w:pPr>
            <w:r w:rsidRPr="00A66DB6">
              <w:rPr>
                <w:rFonts w:eastAsia="Calibri"/>
                <w:color w:val="auto"/>
                <w:sz w:val="22"/>
                <w:szCs w:val="22"/>
                <w:lang w:eastAsia="en-US"/>
              </w:rPr>
              <w:t>30 April 2019</w:t>
            </w:r>
          </w:p>
          <w:p w14:paraId="50790BF5" w14:textId="77777777" w:rsidR="001F2CB8" w:rsidRDefault="001F2CB8" w:rsidP="001F2CB8">
            <w:pPr>
              <w:spacing w:after="160" w:line="259" w:lineRule="auto"/>
              <w:jc w:val="right"/>
              <w:rPr>
                <w:rFonts w:eastAsia="Calibri"/>
                <w:color w:val="auto"/>
                <w:sz w:val="22"/>
                <w:szCs w:val="22"/>
                <w:lang w:eastAsia="en-US"/>
              </w:rPr>
            </w:pPr>
          </w:p>
          <w:p w14:paraId="7C716B0A" w14:textId="77777777" w:rsidR="001F2CB8" w:rsidRDefault="001F2CB8" w:rsidP="001F2CB8">
            <w:pPr>
              <w:spacing w:after="160" w:line="259" w:lineRule="auto"/>
              <w:jc w:val="right"/>
              <w:rPr>
                <w:rFonts w:eastAsia="Calibri"/>
                <w:color w:val="auto"/>
                <w:sz w:val="22"/>
                <w:szCs w:val="22"/>
                <w:lang w:eastAsia="en-US"/>
              </w:rPr>
            </w:pPr>
          </w:p>
          <w:p w14:paraId="7A3FB898" w14:textId="6ADE56DD" w:rsidR="00A605BA" w:rsidRPr="001F2CB8" w:rsidRDefault="00A605BA" w:rsidP="00FB5633">
            <w:pPr>
              <w:spacing w:after="160" w:line="259" w:lineRule="auto"/>
              <w:jc w:val="right"/>
              <w:rPr>
                <w:rFonts w:eastAsia="Calibri"/>
                <w:b/>
                <w:color w:val="auto"/>
                <w:sz w:val="22"/>
                <w:szCs w:val="22"/>
                <w:lang w:eastAsia="en-US"/>
              </w:rPr>
            </w:pPr>
          </w:p>
        </w:tc>
        <w:tc>
          <w:tcPr>
            <w:tcW w:w="1701" w:type="dxa"/>
          </w:tcPr>
          <w:p w14:paraId="545D9E4C" w14:textId="77777777" w:rsidR="00A605BA" w:rsidRDefault="00A605BA" w:rsidP="00FB5633">
            <w:pPr>
              <w:spacing w:after="160" w:line="259" w:lineRule="auto"/>
              <w:jc w:val="right"/>
              <w:rPr>
                <w:rFonts w:eastAsia="Calibri"/>
                <w:color w:val="auto"/>
                <w:sz w:val="22"/>
                <w:szCs w:val="22"/>
                <w:lang w:eastAsia="en-US"/>
              </w:rPr>
            </w:pPr>
          </w:p>
          <w:p w14:paraId="4E979571" w14:textId="77777777" w:rsidR="00A605BA" w:rsidRDefault="00A605BA" w:rsidP="00FB5633">
            <w:pPr>
              <w:spacing w:after="160" w:line="259" w:lineRule="auto"/>
              <w:jc w:val="right"/>
              <w:rPr>
                <w:rFonts w:eastAsia="Calibri"/>
                <w:color w:val="auto"/>
                <w:sz w:val="22"/>
                <w:szCs w:val="22"/>
                <w:lang w:eastAsia="en-US"/>
              </w:rPr>
            </w:pPr>
          </w:p>
          <w:p w14:paraId="624BC49F" w14:textId="77777777" w:rsidR="00A605BA" w:rsidRDefault="00A605BA" w:rsidP="00FB5633">
            <w:pPr>
              <w:spacing w:after="160" w:line="259" w:lineRule="auto"/>
              <w:jc w:val="right"/>
              <w:rPr>
                <w:rFonts w:eastAsia="Calibri"/>
                <w:color w:val="auto"/>
                <w:sz w:val="22"/>
                <w:szCs w:val="22"/>
                <w:lang w:eastAsia="en-US"/>
              </w:rPr>
            </w:pPr>
          </w:p>
          <w:p w14:paraId="7E037C8F" w14:textId="40CC32F0" w:rsidR="00A66DB6" w:rsidRDefault="00A66DB6" w:rsidP="00A605BA">
            <w:pPr>
              <w:spacing w:after="160" w:line="259" w:lineRule="auto"/>
              <w:jc w:val="right"/>
              <w:rPr>
                <w:rFonts w:eastAsia="Calibri"/>
                <w:color w:val="auto"/>
                <w:sz w:val="22"/>
                <w:szCs w:val="22"/>
                <w:lang w:eastAsia="en-US"/>
              </w:rPr>
            </w:pPr>
            <w:r w:rsidRPr="00A66DB6">
              <w:rPr>
                <w:rFonts w:eastAsia="Calibri"/>
                <w:color w:val="auto"/>
                <w:sz w:val="22"/>
                <w:szCs w:val="22"/>
                <w:lang w:eastAsia="en-US"/>
              </w:rPr>
              <w:t>$</w:t>
            </w:r>
            <w:r w:rsidR="00A605BA">
              <w:rPr>
                <w:rFonts w:eastAsia="Calibri"/>
                <w:color w:val="auto"/>
                <w:sz w:val="22"/>
                <w:szCs w:val="22"/>
                <w:lang w:eastAsia="en-US"/>
              </w:rPr>
              <w:t>1</w:t>
            </w:r>
            <w:r w:rsidRPr="00A66DB6">
              <w:rPr>
                <w:rFonts w:eastAsia="Calibri"/>
                <w:color w:val="auto"/>
                <w:sz w:val="22"/>
                <w:szCs w:val="22"/>
                <w:lang w:eastAsia="en-US"/>
              </w:rPr>
              <w:t>,000,000</w:t>
            </w:r>
          </w:p>
          <w:p w14:paraId="48C44A05" w14:textId="77777777" w:rsidR="00A605BA" w:rsidRDefault="00A605BA" w:rsidP="00A605BA">
            <w:pPr>
              <w:spacing w:after="160" w:line="259" w:lineRule="auto"/>
              <w:jc w:val="right"/>
              <w:rPr>
                <w:rFonts w:eastAsia="Calibri"/>
                <w:color w:val="auto"/>
                <w:sz w:val="22"/>
                <w:szCs w:val="22"/>
                <w:lang w:eastAsia="en-US"/>
              </w:rPr>
            </w:pPr>
          </w:p>
          <w:p w14:paraId="24CDAEFB" w14:textId="77777777" w:rsidR="00A605BA" w:rsidRDefault="00A605BA" w:rsidP="00A605BA">
            <w:pPr>
              <w:spacing w:after="160" w:line="259" w:lineRule="auto"/>
              <w:jc w:val="right"/>
              <w:rPr>
                <w:rFonts w:eastAsia="Calibri"/>
                <w:color w:val="auto"/>
                <w:sz w:val="22"/>
                <w:szCs w:val="22"/>
                <w:lang w:eastAsia="en-US"/>
              </w:rPr>
            </w:pPr>
          </w:p>
          <w:p w14:paraId="4D6B59CA" w14:textId="77777777" w:rsidR="00A605BA" w:rsidRDefault="00A605BA" w:rsidP="00A605BA">
            <w:pPr>
              <w:spacing w:after="160" w:line="259" w:lineRule="auto"/>
              <w:jc w:val="right"/>
              <w:rPr>
                <w:rFonts w:eastAsia="Calibri"/>
                <w:color w:val="auto"/>
                <w:sz w:val="22"/>
                <w:szCs w:val="22"/>
                <w:lang w:eastAsia="en-US"/>
              </w:rPr>
            </w:pPr>
          </w:p>
          <w:p w14:paraId="02C421EB" w14:textId="77777777" w:rsidR="00A605BA" w:rsidRDefault="00A605BA" w:rsidP="00A605BA">
            <w:pPr>
              <w:spacing w:after="160" w:line="259" w:lineRule="auto"/>
              <w:jc w:val="right"/>
              <w:rPr>
                <w:rFonts w:eastAsia="Calibri"/>
                <w:color w:val="auto"/>
                <w:sz w:val="22"/>
                <w:szCs w:val="22"/>
                <w:lang w:eastAsia="en-US"/>
              </w:rPr>
            </w:pPr>
          </w:p>
          <w:p w14:paraId="69304183" w14:textId="77777777" w:rsidR="00A605BA" w:rsidRDefault="001F2CB8" w:rsidP="00A605BA">
            <w:pPr>
              <w:spacing w:after="160" w:line="259" w:lineRule="auto"/>
              <w:jc w:val="right"/>
              <w:rPr>
                <w:rFonts w:eastAsia="Calibri"/>
                <w:color w:val="auto"/>
                <w:sz w:val="22"/>
                <w:szCs w:val="22"/>
                <w:lang w:eastAsia="en-US"/>
              </w:rPr>
            </w:pPr>
            <w:r>
              <w:rPr>
                <w:rFonts w:eastAsia="Calibri"/>
                <w:color w:val="auto"/>
                <w:sz w:val="22"/>
                <w:szCs w:val="22"/>
                <w:lang w:eastAsia="en-US"/>
              </w:rPr>
              <w:t>$1,500,000</w:t>
            </w:r>
          </w:p>
          <w:p w14:paraId="6A5DDF69" w14:textId="77777777" w:rsidR="001F2CB8" w:rsidRDefault="001F2CB8" w:rsidP="00A605BA">
            <w:pPr>
              <w:spacing w:after="160" w:line="259" w:lineRule="auto"/>
              <w:jc w:val="right"/>
              <w:rPr>
                <w:rFonts w:eastAsia="Calibri"/>
                <w:color w:val="auto"/>
                <w:sz w:val="22"/>
                <w:szCs w:val="22"/>
                <w:lang w:eastAsia="en-US"/>
              </w:rPr>
            </w:pPr>
          </w:p>
          <w:p w14:paraId="3102D109" w14:textId="77777777" w:rsidR="001F2CB8" w:rsidRDefault="001F2CB8" w:rsidP="00A605BA">
            <w:pPr>
              <w:spacing w:after="160" w:line="259" w:lineRule="auto"/>
              <w:jc w:val="right"/>
              <w:rPr>
                <w:rFonts w:eastAsia="Calibri"/>
                <w:color w:val="auto"/>
                <w:sz w:val="22"/>
                <w:szCs w:val="22"/>
                <w:lang w:eastAsia="en-US"/>
              </w:rPr>
            </w:pPr>
          </w:p>
          <w:p w14:paraId="12B92F5C" w14:textId="77777777" w:rsidR="001F2CB8" w:rsidRDefault="001F2CB8" w:rsidP="00A605BA">
            <w:pPr>
              <w:spacing w:after="160" w:line="259" w:lineRule="auto"/>
              <w:jc w:val="right"/>
              <w:rPr>
                <w:rFonts w:eastAsia="Calibri"/>
                <w:color w:val="auto"/>
                <w:sz w:val="22"/>
                <w:szCs w:val="22"/>
                <w:lang w:eastAsia="en-US"/>
              </w:rPr>
            </w:pPr>
          </w:p>
          <w:p w14:paraId="70AD7EA2" w14:textId="77777777" w:rsidR="001F2CB8" w:rsidRDefault="001F2CB8" w:rsidP="00A605BA">
            <w:pPr>
              <w:spacing w:after="160" w:line="259" w:lineRule="auto"/>
              <w:jc w:val="right"/>
              <w:rPr>
                <w:rFonts w:eastAsia="Calibri"/>
                <w:color w:val="auto"/>
                <w:sz w:val="22"/>
                <w:szCs w:val="22"/>
                <w:lang w:eastAsia="en-US"/>
              </w:rPr>
            </w:pPr>
          </w:p>
          <w:p w14:paraId="7999A470" w14:textId="6AD7A079" w:rsidR="001F2CB8" w:rsidRPr="00A66DB6" w:rsidRDefault="001F2CB8" w:rsidP="00A605BA">
            <w:pPr>
              <w:spacing w:after="160" w:line="259" w:lineRule="auto"/>
              <w:jc w:val="right"/>
              <w:rPr>
                <w:rFonts w:eastAsia="Calibri"/>
                <w:color w:val="auto"/>
                <w:sz w:val="22"/>
                <w:szCs w:val="22"/>
                <w:lang w:eastAsia="en-US"/>
              </w:rPr>
            </w:pPr>
            <w:r>
              <w:rPr>
                <w:rFonts w:eastAsia="Calibri"/>
                <w:color w:val="auto"/>
                <w:sz w:val="22"/>
                <w:szCs w:val="22"/>
                <w:lang w:eastAsia="en-US"/>
              </w:rPr>
              <w:t>$500,000</w:t>
            </w:r>
          </w:p>
        </w:tc>
      </w:tr>
      <w:tr w:rsidR="00A66DB6" w:rsidRPr="00A66DB6" w14:paraId="2B711D83" w14:textId="77777777" w:rsidTr="000A5F1B">
        <w:tc>
          <w:tcPr>
            <w:tcW w:w="1276" w:type="dxa"/>
          </w:tcPr>
          <w:p w14:paraId="242CEB2A" w14:textId="77777777" w:rsidR="00A66DB6" w:rsidRPr="00A66DB6" w:rsidRDefault="00A66DB6" w:rsidP="00A66DB6">
            <w:pPr>
              <w:spacing w:after="160" w:line="259" w:lineRule="auto"/>
              <w:jc w:val="left"/>
              <w:rPr>
                <w:rFonts w:eastAsia="Calibri"/>
                <w:color w:val="auto"/>
                <w:sz w:val="22"/>
                <w:szCs w:val="22"/>
                <w:lang w:eastAsia="en-US"/>
              </w:rPr>
            </w:pPr>
          </w:p>
        </w:tc>
        <w:tc>
          <w:tcPr>
            <w:tcW w:w="4961" w:type="dxa"/>
          </w:tcPr>
          <w:p w14:paraId="6A4669F2" w14:textId="77777777" w:rsidR="00A66DB6" w:rsidRPr="00FB5633" w:rsidRDefault="00A66DB6" w:rsidP="00A66DB6">
            <w:pPr>
              <w:spacing w:after="160"/>
              <w:contextualSpacing/>
              <w:jc w:val="left"/>
              <w:rPr>
                <w:b/>
                <w:color w:val="auto"/>
                <w:szCs w:val="23"/>
              </w:rPr>
            </w:pPr>
            <w:r w:rsidRPr="00FB5633">
              <w:rPr>
                <w:b/>
                <w:color w:val="auto"/>
                <w:szCs w:val="23"/>
              </w:rPr>
              <w:t>Milestone 2</w:t>
            </w:r>
          </w:p>
          <w:p w14:paraId="2A5B51E4" w14:textId="77777777" w:rsidR="00A66DB6" w:rsidRPr="00A66DB6" w:rsidRDefault="00A66DB6" w:rsidP="00A66DB6">
            <w:pPr>
              <w:spacing w:after="160"/>
              <w:contextualSpacing/>
              <w:jc w:val="left"/>
              <w:rPr>
                <w:color w:val="auto"/>
                <w:szCs w:val="23"/>
              </w:rPr>
            </w:pPr>
          </w:p>
          <w:p w14:paraId="0C615DAA" w14:textId="77777777" w:rsidR="00A66DB6" w:rsidRPr="00A66DB6" w:rsidRDefault="00A66DB6" w:rsidP="00A66DB6">
            <w:pPr>
              <w:spacing w:after="160"/>
              <w:contextualSpacing/>
              <w:jc w:val="left"/>
              <w:rPr>
                <w:color w:val="auto"/>
                <w:szCs w:val="23"/>
              </w:rPr>
            </w:pPr>
            <w:r w:rsidRPr="00A66DB6">
              <w:rPr>
                <w:color w:val="auto"/>
                <w:szCs w:val="23"/>
              </w:rPr>
              <w:t>South Australia will be eligible for the milestone payment when the following deliverable</w:t>
            </w:r>
            <w:r w:rsidR="00B8567F">
              <w:rPr>
                <w:color w:val="auto"/>
                <w:szCs w:val="23"/>
              </w:rPr>
              <w:t>s are</w:t>
            </w:r>
            <w:r w:rsidR="00BE2ABC">
              <w:rPr>
                <w:color w:val="auto"/>
                <w:szCs w:val="23"/>
              </w:rPr>
              <w:t xml:space="preserve"> </w:t>
            </w:r>
            <w:r w:rsidRPr="00A66DB6">
              <w:rPr>
                <w:color w:val="auto"/>
                <w:szCs w:val="23"/>
              </w:rPr>
              <w:t>met:</w:t>
            </w:r>
          </w:p>
          <w:p w14:paraId="0E530154" w14:textId="77777777" w:rsidR="00A66DB6" w:rsidRPr="00A66DB6" w:rsidRDefault="00A66DB6" w:rsidP="00A66DB6">
            <w:pPr>
              <w:spacing w:after="160"/>
              <w:contextualSpacing/>
              <w:jc w:val="left"/>
              <w:rPr>
                <w:color w:val="auto"/>
                <w:szCs w:val="23"/>
              </w:rPr>
            </w:pPr>
          </w:p>
          <w:p w14:paraId="21669A55" w14:textId="77777777" w:rsidR="00A66DB6" w:rsidRPr="00A66DB6" w:rsidRDefault="00A66DB6" w:rsidP="007005EE">
            <w:pPr>
              <w:numPr>
                <w:ilvl w:val="1"/>
                <w:numId w:val="47"/>
              </w:numPr>
              <w:spacing w:after="0" w:line="240" w:lineRule="auto"/>
              <w:ind w:left="596" w:hanging="596"/>
              <w:contextualSpacing/>
              <w:jc w:val="left"/>
              <w:rPr>
                <w:szCs w:val="23"/>
              </w:rPr>
            </w:pPr>
            <w:r w:rsidRPr="00A66DB6">
              <w:rPr>
                <w:szCs w:val="23"/>
              </w:rPr>
              <w:t>Deliver</w:t>
            </w:r>
            <w:r w:rsidR="00F168DD">
              <w:rPr>
                <w:szCs w:val="23"/>
              </w:rPr>
              <w:t xml:space="preserve"> </w:t>
            </w:r>
            <w:r w:rsidRPr="00A66DB6">
              <w:rPr>
                <w:szCs w:val="23"/>
              </w:rPr>
              <w:t>the communications and marketing strategy</w:t>
            </w:r>
            <w:r w:rsidR="00555939">
              <w:rPr>
                <w:szCs w:val="23"/>
              </w:rPr>
              <w:t xml:space="preserve"> and associated activities</w:t>
            </w:r>
            <w:r w:rsidRPr="00A66DB6">
              <w:rPr>
                <w:szCs w:val="23"/>
              </w:rPr>
              <w:t>, including:</w:t>
            </w:r>
          </w:p>
          <w:p w14:paraId="783B65CC" w14:textId="77777777" w:rsidR="00A66DB6" w:rsidRPr="00FB5633" w:rsidRDefault="001D0F89" w:rsidP="00FB5633">
            <w:pPr>
              <w:numPr>
                <w:ilvl w:val="1"/>
                <w:numId w:val="26"/>
              </w:numPr>
              <w:spacing w:after="160" w:line="259" w:lineRule="auto"/>
              <w:ind w:left="1018" w:hanging="425"/>
              <w:contextualSpacing/>
              <w:jc w:val="left"/>
            </w:pPr>
            <w:r w:rsidRPr="00FB5633">
              <w:t xml:space="preserve">conducting </w:t>
            </w:r>
            <w:r w:rsidR="008B4F89" w:rsidRPr="00FB5633">
              <w:t>marke</w:t>
            </w:r>
            <w:r w:rsidR="001B48C6" w:rsidRPr="00FB5633">
              <w:t>t</w:t>
            </w:r>
            <w:r w:rsidR="008B4F89" w:rsidRPr="00FB5633">
              <w:t xml:space="preserve"> </w:t>
            </w:r>
            <w:r w:rsidRPr="00FB5633">
              <w:t xml:space="preserve">research and </w:t>
            </w:r>
            <w:r w:rsidR="008B4F89" w:rsidRPr="00FB5633">
              <w:t xml:space="preserve">stakeholder </w:t>
            </w:r>
            <w:r w:rsidRPr="00FB5633">
              <w:t xml:space="preserve">engagement to </w:t>
            </w:r>
            <w:r w:rsidR="00A66DB6" w:rsidRPr="00FB5633">
              <w:t>ensur</w:t>
            </w:r>
            <w:r w:rsidRPr="00FB5633">
              <w:t>e</w:t>
            </w:r>
            <w:r w:rsidR="00A66DB6" w:rsidRPr="00FB5633">
              <w:t xml:space="preserve"> the strategy and associated activities continue to meet industry, employer, </w:t>
            </w:r>
            <w:proofErr w:type="gramStart"/>
            <w:r w:rsidR="00A66DB6" w:rsidRPr="00FB5633">
              <w:t>student</w:t>
            </w:r>
            <w:proofErr w:type="gramEnd"/>
            <w:r w:rsidR="00A66DB6" w:rsidRPr="00FB5633">
              <w:t xml:space="preserve"> and community needs</w:t>
            </w:r>
          </w:p>
          <w:p w14:paraId="19BD48C9" w14:textId="77777777" w:rsidR="00A66DB6" w:rsidRPr="00FB5633" w:rsidRDefault="00A66DB6" w:rsidP="00FB5633">
            <w:pPr>
              <w:numPr>
                <w:ilvl w:val="1"/>
                <w:numId w:val="26"/>
              </w:numPr>
              <w:spacing w:after="160" w:line="259" w:lineRule="auto"/>
              <w:ind w:left="1018" w:hanging="425"/>
              <w:contextualSpacing/>
              <w:jc w:val="left"/>
            </w:pPr>
            <w:r w:rsidRPr="00FB5633">
              <w:t>cataloguing the insights gained and outcomes achieved from the strategy and associated activities</w:t>
            </w:r>
          </w:p>
          <w:p w14:paraId="0D9DFC4C" w14:textId="77777777" w:rsidR="00A66DB6" w:rsidRPr="00FB5633" w:rsidRDefault="00A66DB6" w:rsidP="00FB5633">
            <w:pPr>
              <w:numPr>
                <w:ilvl w:val="1"/>
                <w:numId w:val="26"/>
              </w:numPr>
              <w:spacing w:after="160" w:line="259" w:lineRule="auto"/>
              <w:ind w:left="1018" w:hanging="425"/>
              <w:contextualSpacing/>
              <w:jc w:val="left"/>
            </w:pPr>
            <w:r w:rsidRPr="00FB5633">
              <w:lastRenderedPageBreak/>
              <w:t>identifying and planning activities for 2020–21</w:t>
            </w:r>
            <w:r w:rsidR="00FF06B8">
              <w:t>.</w:t>
            </w:r>
            <w:r w:rsidRPr="00FB5633">
              <w:t xml:space="preserve"> </w:t>
            </w:r>
          </w:p>
          <w:p w14:paraId="00E4A8B5" w14:textId="77777777" w:rsidR="00DF5C1B" w:rsidRPr="000A2A4A" w:rsidRDefault="00A66DB6" w:rsidP="000A5F1B">
            <w:pPr>
              <w:numPr>
                <w:ilvl w:val="1"/>
                <w:numId w:val="47"/>
              </w:numPr>
              <w:spacing w:after="0" w:line="240" w:lineRule="auto"/>
              <w:ind w:left="596" w:hanging="596"/>
              <w:contextualSpacing/>
              <w:jc w:val="left"/>
              <w:rPr>
                <w:szCs w:val="23"/>
              </w:rPr>
            </w:pPr>
            <w:r w:rsidRPr="00FB5633">
              <w:rPr>
                <w:szCs w:val="23"/>
              </w:rPr>
              <w:t xml:space="preserve">Deliver the Provider Development Program, </w:t>
            </w:r>
            <w:r w:rsidR="42DCF1A3" w:rsidRPr="00FB5633">
              <w:rPr>
                <w:szCs w:val="23"/>
              </w:rPr>
              <w:t>supporting</w:t>
            </w:r>
            <w:r w:rsidR="00043566" w:rsidRPr="00FB5633">
              <w:rPr>
                <w:szCs w:val="23"/>
              </w:rPr>
              <w:t xml:space="preserve"> capability and capacity </w:t>
            </w:r>
            <w:r w:rsidR="42DCF1A3" w:rsidRPr="00FB5633">
              <w:rPr>
                <w:szCs w:val="23"/>
              </w:rPr>
              <w:t xml:space="preserve">building </w:t>
            </w:r>
            <w:r w:rsidR="00043566" w:rsidRPr="00FB5633">
              <w:rPr>
                <w:szCs w:val="23"/>
              </w:rPr>
              <w:t>of the VET market, including:</w:t>
            </w:r>
          </w:p>
          <w:p w14:paraId="5F28EAF7" w14:textId="77777777" w:rsidR="00043566" w:rsidRPr="000A2A4A" w:rsidRDefault="00043566" w:rsidP="00FB5633">
            <w:pPr>
              <w:numPr>
                <w:ilvl w:val="1"/>
                <w:numId w:val="26"/>
              </w:numPr>
              <w:spacing w:after="160" w:line="259" w:lineRule="auto"/>
              <w:ind w:left="1018" w:hanging="425"/>
              <w:contextualSpacing/>
              <w:jc w:val="left"/>
            </w:pPr>
            <w:r w:rsidRPr="00FB5633">
              <w:t>identifying activities/deliverables achieved in the reporting period and the contribution of these activities to the program’s outcomes</w:t>
            </w:r>
          </w:p>
          <w:p w14:paraId="3FCADCF3" w14:textId="77777777" w:rsidR="00A66DB6" w:rsidRPr="005458B2" w:rsidRDefault="00A66DB6" w:rsidP="00FB5633">
            <w:pPr>
              <w:numPr>
                <w:ilvl w:val="1"/>
                <w:numId w:val="26"/>
              </w:numPr>
              <w:spacing w:after="160" w:line="259" w:lineRule="auto"/>
              <w:ind w:left="1018" w:hanging="425"/>
              <w:contextualSpacing/>
              <w:jc w:val="left"/>
            </w:pPr>
            <w:r w:rsidRPr="005458B2">
              <w:t>promoting the opportunities available through the program</w:t>
            </w:r>
          </w:p>
          <w:p w14:paraId="648B25B3" w14:textId="5E4DE8D9" w:rsidR="00B16467" w:rsidRPr="005458B2" w:rsidRDefault="00A66DB6" w:rsidP="00FB5633">
            <w:pPr>
              <w:numPr>
                <w:ilvl w:val="1"/>
                <w:numId w:val="26"/>
              </w:numPr>
              <w:spacing w:after="160" w:line="259" w:lineRule="auto"/>
              <w:ind w:left="1018" w:hanging="425"/>
              <w:contextualSpacing/>
              <w:jc w:val="left"/>
            </w:pPr>
            <w:r w:rsidRPr="00FB5633">
              <w:t xml:space="preserve">regular engagement </w:t>
            </w:r>
            <w:r w:rsidR="006941C9" w:rsidRPr="00FB5633">
              <w:t>with</w:t>
            </w:r>
            <w:r w:rsidRPr="00FB5633">
              <w:t xml:space="preserve"> </w:t>
            </w:r>
            <w:r w:rsidR="00FB5633">
              <w:t xml:space="preserve">industry, including </w:t>
            </w:r>
            <w:r w:rsidR="005E59E1" w:rsidRPr="00FB5633">
              <w:t>the VET sector</w:t>
            </w:r>
            <w:r w:rsidR="00B8567F" w:rsidRPr="00B1759A">
              <w:t xml:space="preserve"> </w:t>
            </w:r>
          </w:p>
          <w:p w14:paraId="4932328C" w14:textId="77777777" w:rsidR="00A66DB6" w:rsidRPr="00FB5633" w:rsidRDefault="00A66DB6" w:rsidP="00FB5633">
            <w:pPr>
              <w:numPr>
                <w:ilvl w:val="1"/>
                <w:numId w:val="26"/>
              </w:numPr>
              <w:spacing w:after="160" w:line="259" w:lineRule="auto"/>
              <w:ind w:left="1018" w:hanging="425"/>
              <w:contextualSpacing/>
              <w:jc w:val="left"/>
            </w:pPr>
            <w:r w:rsidRPr="00FB5633">
              <w:t xml:space="preserve">updating </w:t>
            </w:r>
            <w:r w:rsidR="00AA7A37" w:rsidRPr="00FB5633">
              <w:t xml:space="preserve">or expanding </w:t>
            </w:r>
            <w:r w:rsidRPr="00FB5633">
              <w:t>the program to ensure continued relevanc</w:t>
            </w:r>
            <w:r w:rsidR="00043566" w:rsidRPr="00FB5633">
              <w:t>e</w:t>
            </w:r>
            <w:r w:rsidRPr="00FB5633">
              <w:t xml:space="preserve"> with regulations</w:t>
            </w:r>
            <w:r w:rsidR="0009318D" w:rsidRPr="00FB5633">
              <w:t>,</w:t>
            </w:r>
            <w:r w:rsidRPr="00FB5633">
              <w:t xml:space="preserve"> </w:t>
            </w:r>
            <w:proofErr w:type="gramStart"/>
            <w:r w:rsidRPr="00FB5633">
              <w:t>industry</w:t>
            </w:r>
            <w:proofErr w:type="gramEnd"/>
            <w:r w:rsidR="0009318D" w:rsidRPr="00FB5633">
              <w:t xml:space="preserve"> and market</w:t>
            </w:r>
            <w:r w:rsidR="00E75C55" w:rsidRPr="00FB5633">
              <w:t>.</w:t>
            </w:r>
          </w:p>
          <w:p w14:paraId="25C9FBA1" w14:textId="77777777" w:rsidR="00A66DB6" w:rsidRPr="00B1759A" w:rsidRDefault="00A66DB6" w:rsidP="00FB5633">
            <w:pPr>
              <w:numPr>
                <w:ilvl w:val="1"/>
                <w:numId w:val="26"/>
              </w:numPr>
              <w:spacing w:after="160" w:line="259" w:lineRule="auto"/>
              <w:ind w:left="1018" w:hanging="425"/>
              <w:contextualSpacing/>
              <w:jc w:val="left"/>
            </w:pPr>
            <w:r w:rsidRPr="00B1759A">
              <w:t>identifying and planning activities for 2020–21</w:t>
            </w:r>
            <w:r w:rsidR="00FF06B8">
              <w:t>.</w:t>
            </w:r>
          </w:p>
          <w:p w14:paraId="50C71000" w14:textId="77777777" w:rsidR="007005EE" w:rsidRPr="00A66DB6" w:rsidRDefault="007005EE" w:rsidP="007005EE">
            <w:pPr>
              <w:spacing w:after="160"/>
              <w:contextualSpacing/>
              <w:jc w:val="left"/>
              <w:rPr>
                <w:color w:val="auto"/>
                <w:szCs w:val="23"/>
              </w:rPr>
            </w:pPr>
          </w:p>
          <w:p w14:paraId="7FBDB8E5" w14:textId="77777777" w:rsidR="006B26EC" w:rsidRDefault="006B26EC" w:rsidP="00B8567F">
            <w:pPr>
              <w:numPr>
                <w:ilvl w:val="1"/>
                <w:numId w:val="47"/>
              </w:numPr>
              <w:spacing w:after="0" w:line="240" w:lineRule="auto"/>
              <w:ind w:left="596" w:hanging="596"/>
              <w:contextualSpacing/>
              <w:jc w:val="left"/>
              <w:rPr>
                <w:szCs w:val="23"/>
              </w:rPr>
            </w:pPr>
            <w:r w:rsidRPr="000A2A4A">
              <w:rPr>
                <w:szCs w:val="23"/>
              </w:rPr>
              <w:t>Develop</w:t>
            </w:r>
            <w:r w:rsidRPr="00A66DB6">
              <w:rPr>
                <w:szCs w:val="23"/>
              </w:rPr>
              <w:t xml:space="preserve"> four industry </w:t>
            </w:r>
            <w:r>
              <w:rPr>
                <w:szCs w:val="23"/>
              </w:rPr>
              <w:t xml:space="preserve">sector plans, </w:t>
            </w:r>
            <w:r w:rsidRPr="00644CC8">
              <w:rPr>
                <w:szCs w:val="23"/>
              </w:rPr>
              <w:t>identif</w:t>
            </w:r>
            <w:r>
              <w:rPr>
                <w:szCs w:val="23"/>
              </w:rPr>
              <w:t>ying workforce</w:t>
            </w:r>
            <w:r w:rsidRPr="00644CC8">
              <w:rPr>
                <w:szCs w:val="23"/>
              </w:rPr>
              <w:t xml:space="preserve"> strategies</w:t>
            </w:r>
            <w:r>
              <w:rPr>
                <w:szCs w:val="23"/>
              </w:rPr>
              <w:t xml:space="preserve"> and actions to be delivered</w:t>
            </w:r>
            <w:r w:rsidRPr="00644CC8">
              <w:rPr>
                <w:szCs w:val="23"/>
              </w:rPr>
              <w:t xml:space="preserve"> in 2020-21</w:t>
            </w:r>
            <w:r>
              <w:rPr>
                <w:szCs w:val="23"/>
              </w:rPr>
              <w:t xml:space="preserve">, with a view to: </w:t>
            </w:r>
          </w:p>
          <w:p w14:paraId="2C6B34C9" w14:textId="77777777" w:rsidR="005E59E1" w:rsidRPr="000A2A4A" w:rsidDel="00956783" w:rsidRDefault="00002F29" w:rsidP="00B1759A">
            <w:pPr>
              <w:numPr>
                <w:ilvl w:val="1"/>
                <w:numId w:val="26"/>
              </w:numPr>
              <w:spacing w:after="160" w:line="259" w:lineRule="auto"/>
              <w:ind w:left="1018" w:hanging="425"/>
              <w:contextualSpacing/>
              <w:jc w:val="left"/>
            </w:pPr>
            <w:r w:rsidRPr="42DCF1A3">
              <w:t>r</w:t>
            </w:r>
            <w:r w:rsidR="005E59E1" w:rsidRPr="42DCF1A3">
              <w:t>egular</w:t>
            </w:r>
            <w:r w:rsidR="009D36DA" w:rsidRPr="42DCF1A3">
              <w:t xml:space="preserve"> engag</w:t>
            </w:r>
            <w:r w:rsidR="42DCF1A3" w:rsidRPr="42DCF1A3">
              <w:t>ement</w:t>
            </w:r>
            <w:r w:rsidR="009D36DA" w:rsidRPr="42DCF1A3">
              <w:t xml:space="preserve"> </w:t>
            </w:r>
            <w:r w:rsidR="005E59E1" w:rsidRPr="42DCF1A3">
              <w:t>with</w:t>
            </w:r>
            <w:r w:rsidR="00756006" w:rsidRPr="42DCF1A3">
              <w:t xml:space="preserve"> industry, including</w:t>
            </w:r>
            <w:r w:rsidR="005E59E1" w:rsidRPr="42DCF1A3">
              <w:t xml:space="preserve"> Industry Skills Councils</w:t>
            </w:r>
            <w:r w:rsidR="00756006" w:rsidRPr="42DCF1A3">
              <w:t>,</w:t>
            </w:r>
            <w:r w:rsidR="009D36DA" w:rsidRPr="42DCF1A3">
              <w:t xml:space="preserve"> to determine training priorities, sector insights and </w:t>
            </w:r>
            <w:r w:rsidR="006573F2" w:rsidRPr="42DCF1A3">
              <w:t>industry</w:t>
            </w:r>
            <w:r w:rsidR="00DD46B5" w:rsidRPr="42DCF1A3">
              <w:t xml:space="preserve"> delivery</w:t>
            </w:r>
            <w:r w:rsidR="006573F2" w:rsidRPr="42DCF1A3">
              <w:t xml:space="preserve"> </w:t>
            </w:r>
            <w:r w:rsidR="009D36DA" w:rsidRPr="42DCF1A3">
              <w:t>partners</w:t>
            </w:r>
          </w:p>
          <w:p w14:paraId="27D4C5C8" w14:textId="77777777" w:rsidR="00A66DB6" w:rsidRPr="000A2A4A" w:rsidRDefault="00002F29" w:rsidP="00B1759A">
            <w:pPr>
              <w:numPr>
                <w:ilvl w:val="1"/>
                <w:numId w:val="26"/>
              </w:numPr>
              <w:spacing w:after="160" w:line="259" w:lineRule="auto"/>
              <w:ind w:left="1018" w:hanging="425"/>
              <w:contextualSpacing/>
              <w:jc w:val="left"/>
            </w:pPr>
            <w:r w:rsidRPr="42DCF1A3">
              <w:t>i</w:t>
            </w:r>
            <w:r w:rsidR="00DB4DA1" w:rsidRPr="42DCF1A3">
              <w:t xml:space="preserve">dentifying </w:t>
            </w:r>
            <w:r w:rsidR="00F168DD" w:rsidRPr="42DCF1A3">
              <w:t>pathways</w:t>
            </w:r>
            <w:r w:rsidR="008D230A" w:rsidRPr="42DCF1A3">
              <w:t xml:space="preserve"> and innovative models of training delivery</w:t>
            </w:r>
            <w:r w:rsidR="00897BD1" w:rsidRPr="42DCF1A3">
              <w:t>,</w:t>
            </w:r>
            <w:r w:rsidR="005B22A2" w:rsidRPr="42DCF1A3">
              <w:t xml:space="preserve"> to meet industry need</w:t>
            </w:r>
            <w:r w:rsidR="00B8567F">
              <w:t>s</w:t>
            </w:r>
          </w:p>
          <w:p w14:paraId="28B45D6E" w14:textId="77777777" w:rsidR="00EB61E6" w:rsidRPr="00956783" w:rsidRDefault="00002F29" w:rsidP="00B1759A">
            <w:pPr>
              <w:numPr>
                <w:ilvl w:val="1"/>
                <w:numId w:val="26"/>
              </w:numPr>
              <w:spacing w:after="160" w:line="259" w:lineRule="auto"/>
              <w:ind w:left="1018" w:hanging="425"/>
              <w:contextualSpacing/>
              <w:jc w:val="left"/>
            </w:pPr>
            <w:r w:rsidRPr="42DCF1A3">
              <w:t>f</w:t>
            </w:r>
            <w:r w:rsidR="00EB61E6" w:rsidRPr="42DCF1A3">
              <w:t xml:space="preserve">unding project proposals </w:t>
            </w:r>
            <w:r w:rsidR="42DCF1A3" w:rsidRPr="42DCF1A3">
              <w:t>that support training pathways and commencements</w:t>
            </w:r>
            <w:r w:rsidR="00FF06B8">
              <w:t>.</w:t>
            </w:r>
          </w:p>
          <w:p w14:paraId="2A70FB49" w14:textId="77777777" w:rsidR="007005EE" w:rsidRPr="00A66DB6" w:rsidRDefault="007005EE" w:rsidP="007005EE">
            <w:pPr>
              <w:spacing w:after="160"/>
              <w:contextualSpacing/>
              <w:jc w:val="left"/>
              <w:rPr>
                <w:color w:val="auto"/>
                <w:szCs w:val="23"/>
              </w:rPr>
            </w:pPr>
          </w:p>
          <w:p w14:paraId="4B64ED72" w14:textId="77777777" w:rsidR="00A66DB6" w:rsidRPr="00A66DB6" w:rsidRDefault="00A66DB6" w:rsidP="00B8567F">
            <w:pPr>
              <w:numPr>
                <w:ilvl w:val="1"/>
                <w:numId w:val="47"/>
              </w:numPr>
              <w:spacing w:after="0" w:line="240" w:lineRule="auto"/>
              <w:ind w:left="596" w:hanging="596"/>
              <w:contextualSpacing/>
              <w:jc w:val="left"/>
              <w:rPr>
                <w:szCs w:val="23"/>
              </w:rPr>
            </w:pPr>
            <w:r w:rsidRPr="00FB5633">
              <w:rPr>
                <w:szCs w:val="23"/>
              </w:rPr>
              <w:t>Deliver</w:t>
            </w:r>
            <w:r w:rsidRPr="00A66DB6">
              <w:rPr>
                <w:szCs w:val="23"/>
              </w:rPr>
              <w:t xml:space="preserve"> the apprenticeship and traineeship advisory service, with a view to:</w:t>
            </w:r>
          </w:p>
          <w:p w14:paraId="79F604A7" w14:textId="77777777" w:rsidR="00A66DB6" w:rsidRPr="00FB5633" w:rsidRDefault="00A66DB6" w:rsidP="00B1759A">
            <w:pPr>
              <w:numPr>
                <w:ilvl w:val="1"/>
                <w:numId w:val="26"/>
              </w:numPr>
              <w:spacing w:after="160" w:line="259" w:lineRule="auto"/>
              <w:ind w:left="1018" w:hanging="425"/>
              <w:contextualSpacing/>
              <w:jc w:val="left"/>
            </w:pPr>
            <w:r w:rsidRPr="000A2A4A">
              <w:t xml:space="preserve">identifying activities/deliverables achieved in the reporting period and the contribution of these </w:t>
            </w:r>
            <w:r w:rsidRPr="00FB5633">
              <w:t>activities to the program’s outcomes</w:t>
            </w:r>
          </w:p>
          <w:p w14:paraId="6E1D7D7E" w14:textId="77777777" w:rsidR="00A66DB6" w:rsidRPr="00FB5633" w:rsidRDefault="00A66DB6" w:rsidP="00B1759A">
            <w:pPr>
              <w:numPr>
                <w:ilvl w:val="1"/>
                <w:numId w:val="26"/>
              </w:numPr>
              <w:spacing w:after="160" w:line="259" w:lineRule="auto"/>
              <w:ind w:left="1018" w:hanging="425"/>
              <w:contextualSpacing/>
              <w:jc w:val="left"/>
            </w:pPr>
            <w:r w:rsidRPr="00FB5633">
              <w:t>promoting the opportunities available through the program</w:t>
            </w:r>
          </w:p>
          <w:p w14:paraId="7C642A4E" w14:textId="77777777" w:rsidR="00756006" w:rsidRPr="00A66DB6" w:rsidRDefault="00756006" w:rsidP="00B1759A">
            <w:pPr>
              <w:numPr>
                <w:ilvl w:val="1"/>
                <w:numId w:val="26"/>
              </w:numPr>
              <w:spacing w:after="160" w:line="259" w:lineRule="auto"/>
              <w:ind w:left="1018" w:hanging="425"/>
              <w:contextualSpacing/>
              <w:jc w:val="left"/>
            </w:pPr>
            <w:r w:rsidRPr="00B1759A">
              <w:t xml:space="preserve">engaging with </w:t>
            </w:r>
            <w:r w:rsidR="42DCF1A3" w:rsidRPr="00B1759A">
              <w:t>industry</w:t>
            </w:r>
            <w:r w:rsidR="00271218" w:rsidRPr="00B1759A">
              <w:t>,</w:t>
            </w:r>
            <w:r w:rsidR="42DCF1A3" w:rsidRPr="00B1759A">
              <w:t xml:space="preserve"> including </w:t>
            </w:r>
            <w:r w:rsidRPr="00B1759A">
              <w:t>Industry Skills Councils</w:t>
            </w:r>
            <w:r w:rsidR="00271218" w:rsidRPr="00B1759A">
              <w:t>,</w:t>
            </w:r>
            <w:r w:rsidRPr="00B1759A">
              <w:t xml:space="preserve"> to gain insights and intelligence</w:t>
            </w:r>
            <w:r w:rsidRPr="00B1759A">
              <w:tab/>
            </w:r>
          </w:p>
          <w:p w14:paraId="29B7E2F4" w14:textId="77777777" w:rsidR="00A66DB6" w:rsidRPr="00B1759A" w:rsidRDefault="00A66DB6" w:rsidP="00B1759A">
            <w:pPr>
              <w:numPr>
                <w:ilvl w:val="1"/>
                <w:numId w:val="26"/>
              </w:numPr>
              <w:spacing w:after="160" w:line="259" w:lineRule="auto"/>
              <w:ind w:left="1018" w:hanging="425"/>
              <w:contextualSpacing/>
              <w:jc w:val="left"/>
            </w:pPr>
            <w:r w:rsidRPr="00B1759A">
              <w:lastRenderedPageBreak/>
              <w:t>identifying and planning activities for 2020–21</w:t>
            </w:r>
            <w:r w:rsidR="00FF06B8">
              <w:t>.</w:t>
            </w:r>
          </w:p>
          <w:p w14:paraId="7314B3D6" w14:textId="77777777" w:rsidR="00FF06B8" w:rsidRPr="00A66DB6" w:rsidRDefault="00FF06B8" w:rsidP="007005EE">
            <w:pPr>
              <w:spacing w:after="160"/>
              <w:contextualSpacing/>
              <w:jc w:val="left"/>
              <w:rPr>
                <w:color w:val="auto"/>
                <w:szCs w:val="23"/>
              </w:rPr>
            </w:pPr>
          </w:p>
          <w:p w14:paraId="7C440802" w14:textId="77777777" w:rsidR="00A66DB6" w:rsidRPr="000A2A4A" w:rsidRDefault="00A66DB6" w:rsidP="00B1759A">
            <w:pPr>
              <w:numPr>
                <w:ilvl w:val="1"/>
                <w:numId w:val="47"/>
              </w:numPr>
              <w:spacing w:after="0" w:line="240" w:lineRule="auto"/>
              <w:ind w:left="596" w:hanging="596"/>
              <w:contextualSpacing/>
              <w:jc w:val="left"/>
              <w:rPr>
                <w:szCs w:val="23"/>
              </w:rPr>
            </w:pPr>
            <w:r w:rsidRPr="00FB5633">
              <w:rPr>
                <w:szCs w:val="23"/>
              </w:rPr>
              <w:t>Deliver</w:t>
            </w:r>
            <w:r w:rsidRPr="00A66DB6">
              <w:rPr>
                <w:szCs w:val="23"/>
              </w:rPr>
              <w:t xml:space="preserve"> the student support element of the project, with a view to:</w:t>
            </w:r>
          </w:p>
          <w:p w14:paraId="58F42AE3" w14:textId="77777777" w:rsidR="00A66DB6" w:rsidRPr="00FB5633" w:rsidRDefault="00A66DB6" w:rsidP="00B1759A">
            <w:pPr>
              <w:numPr>
                <w:ilvl w:val="1"/>
                <w:numId w:val="26"/>
              </w:numPr>
              <w:spacing w:after="160" w:line="259" w:lineRule="auto"/>
              <w:ind w:left="1018" w:hanging="425"/>
              <w:contextualSpacing/>
              <w:jc w:val="left"/>
            </w:pPr>
            <w:r w:rsidRPr="00FB5633">
              <w:t>identifying activities/deliverables achieved in the reporting period and the contribution of these activities to the program’s outcomes</w:t>
            </w:r>
          </w:p>
          <w:p w14:paraId="2A1E318A" w14:textId="77777777" w:rsidR="00DF2C51" w:rsidRPr="00FB5633" w:rsidRDefault="00DF2C51" w:rsidP="00B1759A">
            <w:pPr>
              <w:numPr>
                <w:ilvl w:val="1"/>
                <w:numId w:val="26"/>
              </w:numPr>
              <w:spacing w:after="160" w:line="259" w:lineRule="auto"/>
              <w:ind w:left="1018" w:hanging="425"/>
              <w:contextualSpacing/>
              <w:jc w:val="left"/>
            </w:pPr>
            <w:r w:rsidRPr="00FB5633">
              <w:t>reduc</w:t>
            </w:r>
            <w:r w:rsidR="00492241" w:rsidRPr="00FB5633">
              <w:t>ing</w:t>
            </w:r>
            <w:r w:rsidRPr="00FB5633">
              <w:t xml:space="preserve"> studen</w:t>
            </w:r>
            <w:r w:rsidR="00492241" w:rsidRPr="00FB5633">
              <w:t>t costs associated with</w:t>
            </w:r>
            <w:r w:rsidR="0020107D" w:rsidRPr="00FB5633">
              <w:t xml:space="preserve"> training</w:t>
            </w:r>
            <w:r w:rsidR="00CD2B76" w:rsidRPr="00FB5633">
              <w:t xml:space="preserve"> commencement</w:t>
            </w:r>
            <w:r w:rsidR="005F7ACF" w:rsidRPr="00FB5633">
              <w:t>s</w:t>
            </w:r>
          </w:p>
          <w:p w14:paraId="635F4443" w14:textId="79B52733" w:rsidR="00C931F1" w:rsidRDefault="00C931F1" w:rsidP="00B1759A">
            <w:pPr>
              <w:numPr>
                <w:ilvl w:val="1"/>
                <w:numId w:val="26"/>
              </w:numPr>
              <w:spacing w:after="160" w:line="259" w:lineRule="auto"/>
              <w:ind w:left="1018" w:hanging="425"/>
              <w:contextualSpacing/>
              <w:jc w:val="left"/>
            </w:pPr>
            <w:r w:rsidRPr="42DCF1A3">
              <w:t>i</w:t>
            </w:r>
            <w:r w:rsidR="00E26EB4" w:rsidRPr="42DCF1A3">
              <w:t xml:space="preserve">mplementing </w:t>
            </w:r>
            <w:r w:rsidR="0020107D" w:rsidRPr="42DCF1A3">
              <w:t>t</w:t>
            </w:r>
            <w:r w:rsidR="00492241" w:rsidRPr="42DCF1A3">
              <w:t xml:space="preserve">argeted </w:t>
            </w:r>
            <w:r w:rsidR="007D1D4A" w:rsidRPr="42DCF1A3">
              <w:t>incentives</w:t>
            </w:r>
            <w:r w:rsidR="00513FF7" w:rsidRPr="42DCF1A3">
              <w:t xml:space="preserve"> and customised support</w:t>
            </w:r>
            <w:r w:rsidR="00DF3176">
              <w:t xml:space="preserve">, </w:t>
            </w:r>
            <w:r w:rsidR="001C4DD0">
              <w:t>includ</w:t>
            </w:r>
            <w:r w:rsidR="00957CA3">
              <w:t>ing</w:t>
            </w:r>
            <w:r w:rsidR="00DF3176">
              <w:t xml:space="preserve"> region and cohort specific </w:t>
            </w:r>
            <w:r w:rsidR="00CD787E">
              <w:t>initiatives</w:t>
            </w:r>
          </w:p>
          <w:p w14:paraId="58CAA2F8" w14:textId="77777777" w:rsidR="007346D0" w:rsidRPr="00B1759A" w:rsidRDefault="007346D0" w:rsidP="00B1759A">
            <w:pPr>
              <w:numPr>
                <w:ilvl w:val="1"/>
                <w:numId w:val="26"/>
              </w:numPr>
              <w:spacing w:after="160" w:line="259" w:lineRule="auto"/>
              <w:ind w:left="1018" w:hanging="425"/>
              <w:contextualSpacing/>
              <w:jc w:val="left"/>
            </w:pPr>
            <w:r w:rsidRPr="00B1759A">
              <w:t>identifying and planning activities for 2020–21</w:t>
            </w:r>
            <w:r w:rsidR="007005EE" w:rsidRPr="00B1759A">
              <w:t>.</w:t>
            </w:r>
          </w:p>
          <w:p w14:paraId="70DADBC2" w14:textId="77777777" w:rsidR="007005EE" w:rsidRPr="00A66DB6" w:rsidRDefault="007005EE" w:rsidP="007005EE">
            <w:pPr>
              <w:spacing w:after="160"/>
              <w:contextualSpacing/>
              <w:jc w:val="left"/>
              <w:rPr>
                <w:color w:val="auto"/>
                <w:szCs w:val="23"/>
              </w:rPr>
            </w:pPr>
          </w:p>
          <w:p w14:paraId="172D8F40" w14:textId="77777777" w:rsidR="007D1D4A" w:rsidRPr="000A2A4A" w:rsidRDefault="00A66DB6" w:rsidP="00B1759A">
            <w:pPr>
              <w:numPr>
                <w:ilvl w:val="1"/>
                <w:numId w:val="47"/>
              </w:numPr>
              <w:spacing w:after="0" w:line="240" w:lineRule="auto"/>
              <w:ind w:left="596" w:hanging="596"/>
              <w:contextualSpacing/>
              <w:jc w:val="left"/>
              <w:rPr>
                <w:szCs w:val="23"/>
              </w:rPr>
            </w:pPr>
            <w:r w:rsidRPr="000A2A4A">
              <w:rPr>
                <w:szCs w:val="23"/>
              </w:rPr>
              <w:t>Deliver</w:t>
            </w:r>
            <w:r w:rsidRPr="00CC34FC">
              <w:rPr>
                <w:szCs w:val="23"/>
              </w:rPr>
              <w:t xml:space="preserve"> </w:t>
            </w:r>
            <w:r w:rsidR="007D1D4A">
              <w:rPr>
                <w:szCs w:val="23"/>
              </w:rPr>
              <w:t>customised support and incentives for prospective employers, with a view to:</w:t>
            </w:r>
          </w:p>
          <w:p w14:paraId="49DD41C6" w14:textId="77777777" w:rsidR="00E927D4" w:rsidRPr="00E927D4" w:rsidRDefault="00A66DB6" w:rsidP="00B1759A">
            <w:pPr>
              <w:numPr>
                <w:ilvl w:val="1"/>
                <w:numId w:val="26"/>
              </w:numPr>
              <w:spacing w:after="160" w:line="259" w:lineRule="auto"/>
              <w:ind w:left="1018" w:hanging="425"/>
              <w:contextualSpacing/>
              <w:jc w:val="left"/>
            </w:pPr>
            <w:r w:rsidRPr="00FB5633">
              <w:t>identifying activities/deliverables achieved in the reporting period and the contribution of these activities to the program’s outcomes</w:t>
            </w:r>
          </w:p>
          <w:p w14:paraId="48311342" w14:textId="32873DF4" w:rsidR="00A66DB6" w:rsidRPr="00CA4ADB" w:rsidRDefault="00E927D4" w:rsidP="00B1759A">
            <w:pPr>
              <w:numPr>
                <w:ilvl w:val="1"/>
                <w:numId w:val="26"/>
              </w:numPr>
              <w:spacing w:after="160" w:line="259" w:lineRule="auto"/>
              <w:ind w:left="1018" w:hanging="425"/>
              <w:contextualSpacing/>
              <w:jc w:val="left"/>
            </w:pPr>
            <w:r w:rsidRPr="000A2A4A">
              <w:t>funding project proposals that have industry and/or employer involvement</w:t>
            </w:r>
            <w:r w:rsidR="006D64DA">
              <w:t xml:space="preserve">, </w:t>
            </w:r>
            <w:r w:rsidR="001C4DD0">
              <w:t>includ</w:t>
            </w:r>
            <w:r w:rsidR="00957CA3">
              <w:t>ing</w:t>
            </w:r>
            <w:r w:rsidR="006D64DA">
              <w:t xml:space="preserve"> region and cohort specific </w:t>
            </w:r>
            <w:r w:rsidR="00223DF9">
              <w:t>initiatives</w:t>
            </w:r>
          </w:p>
          <w:p w14:paraId="1DBCAC03" w14:textId="77777777" w:rsidR="00CA4ADB" w:rsidRPr="00CC34FC" w:rsidRDefault="00CA4ADB" w:rsidP="00B1759A">
            <w:pPr>
              <w:numPr>
                <w:ilvl w:val="1"/>
                <w:numId w:val="26"/>
              </w:numPr>
              <w:spacing w:after="160" w:line="259" w:lineRule="auto"/>
              <w:ind w:left="1018" w:hanging="425"/>
              <w:contextualSpacing/>
              <w:jc w:val="left"/>
            </w:pPr>
            <w:r w:rsidRPr="42DCF1A3">
              <w:t>removing barriers</w:t>
            </w:r>
            <w:r w:rsidR="004930C5" w:rsidRPr="42DCF1A3">
              <w:t xml:space="preserve"> </w:t>
            </w:r>
            <w:r w:rsidR="42DCF1A3" w:rsidRPr="42DCF1A3">
              <w:t>to support the program’s outcomes</w:t>
            </w:r>
          </w:p>
          <w:p w14:paraId="6A1FAB2E" w14:textId="77777777" w:rsidR="00A66DB6" w:rsidRPr="00CC34FC" w:rsidRDefault="00A66DB6" w:rsidP="00B1759A">
            <w:pPr>
              <w:numPr>
                <w:ilvl w:val="1"/>
                <w:numId w:val="26"/>
              </w:numPr>
              <w:spacing w:after="160" w:line="259" w:lineRule="auto"/>
              <w:ind w:left="1018" w:hanging="425"/>
              <w:contextualSpacing/>
              <w:jc w:val="left"/>
            </w:pPr>
            <w:r w:rsidRPr="42DCF1A3">
              <w:t>updating the program to ensure continued relevanc</w:t>
            </w:r>
            <w:r w:rsidR="000D7DC3" w:rsidRPr="42DCF1A3">
              <w:t>e</w:t>
            </w:r>
            <w:r w:rsidRPr="42DCF1A3">
              <w:t xml:space="preserve"> with regulations and industry </w:t>
            </w:r>
            <w:r w:rsidR="00F85142" w:rsidRPr="42DCF1A3">
              <w:t>need</w:t>
            </w:r>
            <w:r w:rsidR="00B8567F">
              <w:t>s</w:t>
            </w:r>
          </w:p>
          <w:p w14:paraId="5BF6F779" w14:textId="77777777" w:rsidR="00A66DB6" w:rsidRPr="005458B2" w:rsidRDefault="00A66DB6" w:rsidP="00B1759A">
            <w:pPr>
              <w:numPr>
                <w:ilvl w:val="1"/>
                <w:numId w:val="26"/>
              </w:numPr>
              <w:spacing w:after="160" w:line="259" w:lineRule="auto"/>
              <w:ind w:left="1018" w:hanging="425"/>
              <w:contextualSpacing/>
              <w:jc w:val="left"/>
              <w:rPr>
                <w:rFonts w:eastAsia="Calibri"/>
              </w:rPr>
            </w:pPr>
            <w:r w:rsidRPr="00BC31FC">
              <w:t>identifying</w:t>
            </w:r>
            <w:r w:rsidRPr="00B1759A">
              <w:t xml:space="preserve"> and planning activities for 2020–21</w:t>
            </w:r>
            <w:r w:rsidR="00FF06B8">
              <w:t>.</w:t>
            </w:r>
          </w:p>
        </w:tc>
        <w:tc>
          <w:tcPr>
            <w:tcW w:w="1843" w:type="dxa"/>
          </w:tcPr>
          <w:p w14:paraId="2C80CF26" w14:textId="77777777" w:rsidR="00A66DB6" w:rsidRPr="00A66DB6" w:rsidRDefault="00A66DB6" w:rsidP="00B876C5">
            <w:pPr>
              <w:spacing w:after="160" w:line="259" w:lineRule="auto"/>
              <w:jc w:val="right"/>
              <w:rPr>
                <w:rFonts w:eastAsia="Calibri"/>
                <w:color w:val="auto"/>
                <w:sz w:val="22"/>
                <w:szCs w:val="22"/>
                <w:lang w:eastAsia="en-US"/>
              </w:rPr>
            </w:pPr>
            <w:r w:rsidRPr="00A66DB6">
              <w:rPr>
                <w:rFonts w:eastAsia="Calibri"/>
                <w:color w:val="auto"/>
                <w:sz w:val="22"/>
                <w:szCs w:val="22"/>
                <w:lang w:eastAsia="en-US"/>
              </w:rPr>
              <w:lastRenderedPageBreak/>
              <w:t>30 April 2020</w:t>
            </w:r>
          </w:p>
        </w:tc>
        <w:tc>
          <w:tcPr>
            <w:tcW w:w="1701" w:type="dxa"/>
          </w:tcPr>
          <w:p w14:paraId="6497B7C0" w14:textId="77777777" w:rsidR="00A66DB6" w:rsidRPr="00A66DB6" w:rsidRDefault="001E11A7" w:rsidP="00B876C5">
            <w:pPr>
              <w:spacing w:after="160" w:line="259" w:lineRule="auto"/>
              <w:jc w:val="right"/>
              <w:rPr>
                <w:rFonts w:eastAsia="Calibri"/>
                <w:color w:val="auto"/>
                <w:sz w:val="22"/>
                <w:szCs w:val="22"/>
                <w:lang w:eastAsia="en-US"/>
              </w:rPr>
            </w:pPr>
            <w:r>
              <w:rPr>
                <w:rFonts w:eastAsia="Calibri"/>
                <w:color w:val="auto"/>
                <w:sz w:val="22"/>
                <w:szCs w:val="22"/>
                <w:lang w:eastAsia="en-US"/>
              </w:rPr>
              <w:t>$</w:t>
            </w:r>
            <w:r w:rsidR="00A66DB6" w:rsidRPr="00A66DB6">
              <w:rPr>
                <w:rFonts w:eastAsia="Calibri"/>
                <w:color w:val="auto"/>
                <w:sz w:val="22"/>
                <w:szCs w:val="22"/>
                <w:lang w:eastAsia="en-US"/>
              </w:rPr>
              <w:t>8,500,000</w:t>
            </w:r>
          </w:p>
        </w:tc>
      </w:tr>
      <w:tr w:rsidR="00A66DB6" w:rsidRPr="00A66DB6" w14:paraId="30EC8D0E" w14:textId="77777777" w:rsidTr="00B1759A">
        <w:tc>
          <w:tcPr>
            <w:tcW w:w="1276" w:type="dxa"/>
          </w:tcPr>
          <w:p w14:paraId="2D85FF7C" w14:textId="77777777" w:rsidR="00A66DB6" w:rsidRPr="00A66DB6" w:rsidRDefault="00A66DB6" w:rsidP="00A66DB6">
            <w:pPr>
              <w:spacing w:after="160" w:line="259" w:lineRule="auto"/>
              <w:jc w:val="left"/>
              <w:rPr>
                <w:rFonts w:eastAsia="Calibri"/>
                <w:color w:val="auto"/>
                <w:sz w:val="22"/>
                <w:szCs w:val="22"/>
                <w:lang w:eastAsia="en-US"/>
              </w:rPr>
            </w:pPr>
          </w:p>
        </w:tc>
        <w:tc>
          <w:tcPr>
            <w:tcW w:w="4961" w:type="dxa"/>
          </w:tcPr>
          <w:p w14:paraId="08A70A2C" w14:textId="77777777" w:rsidR="00A66DB6" w:rsidRPr="00B1759A" w:rsidRDefault="00A66DB6" w:rsidP="00B1759A">
            <w:pPr>
              <w:spacing w:after="160"/>
              <w:contextualSpacing/>
              <w:jc w:val="left"/>
              <w:rPr>
                <w:b/>
                <w:color w:val="auto"/>
                <w:szCs w:val="23"/>
              </w:rPr>
            </w:pPr>
            <w:r w:rsidRPr="00B1759A">
              <w:rPr>
                <w:b/>
                <w:color w:val="auto"/>
                <w:szCs w:val="23"/>
              </w:rPr>
              <w:t>Milestone 3</w:t>
            </w:r>
          </w:p>
          <w:p w14:paraId="0B3DF076" w14:textId="77777777" w:rsidR="007005EE" w:rsidRPr="00A66DB6" w:rsidRDefault="007005EE" w:rsidP="007005EE">
            <w:pPr>
              <w:spacing w:after="160"/>
              <w:contextualSpacing/>
              <w:jc w:val="left"/>
              <w:rPr>
                <w:color w:val="auto"/>
                <w:szCs w:val="23"/>
              </w:rPr>
            </w:pPr>
          </w:p>
          <w:p w14:paraId="623E945D" w14:textId="77777777" w:rsidR="00A66DB6" w:rsidRPr="00A66DB6" w:rsidRDefault="00A66DB6" w:rsidP="00A66DB6">
            <w:pPr>
              <w:spacing w:after="160"/>
              <w:contextualSpacing/>
              <w:jc w:val="left"/>
              <w:rPr>
                <w:color w:val="auto"/>
                <w:szCs w:val="23"/>
              </w:rPr>
            </w:pPr>
            <w:r w:rsidRPr="00A66DB6">
              <w:rPr>
                <w:color w:val="auto"/>
                <w:szCs w:val="23"/>
              </w:rPr>
              <w:t>South Australia will be eligible for the milestone payment when the following deliverable</w:t>
            </w:r>
            <w:r w:rsidR="00B8567F">
              <w:rPr>
                <w:color w:val="auto"/>
                <w:szCs w:val="23"/>
              </w:rPr>
              <w:t>s are</w:t>
            </w:r>
            <w:r w:rsidRPr="00A66DB6">
              <w:rPr>
                <w:color w:val="auto"/>
                <w:szCs w:val="23"/>
              </w:rPr>
              <w:t xml:space="preserve"> met:</w:t>
            </w:r>
          </w:p>
          <w:p w14:paraId="15CEA827" w14:textId="77777777" w:rsidR="00BC31FC" w:rsidRPr="00A66DB6" w:rsidRDefault="00BC31FC" w:rsidP="00B1759A">
            <w:pPr>
              <w:spacing w:after="0" w:line="240" w:lineRule="auto"/>
              <w:contextualSpacing/>
              <w:jc w:val="left"/>
              <w:rPr>
                <w:color w:val="auto"/>
                <w:szCs w:val="23"/>
              </w:rPr>
            </w:pPr>
          </w:p>
          <w:p w14:paraId="34159704" w14:textId="77777777" w:rsidR="00A66DB6" w:rsidRPr="000A5F1B" w:rsidRDefault="00A66DB6" w:rsidP="00B1759A">
            <w:pPr>
              <w:pStyle w:val="ListParagraph"/>
              <w:numPr>
                <w:ilvl w:val="1"/>
                <w:numId w:val="59"/>
              </w:numPr>
              <w:spacing w:after="0" w:line="240" w:lineRule="auto"/>
              <w:ind w:left="606" w:hanging="606"/>
              <w:jc w:val="left"/>
              <w:rPr>
                <w:szCs w:val="23"/>
              </w:rPr>
            </w:pPr>
            <w:r w:rsidRPr="00BC31FC">
              <w:rPr>
                <w:szCs w:val="23"/>
              </w:rPr>
              <w:t xml:space="preserve">Deliver </w:t>
            </w:r>
            <w:r w:rsidRPr="00BC31FC">
              <w:t>the</w:t>
            </w:r>
            <w:r w:rsidRPr="00BC31FC">
              <w:rPr>
                <w:szCs w:val="23"/>
              </w:rPr>
              <w:t xml:space="preserve"> communications and marketing strategy</w:t>
            </w:r>
            <w:r w:rsidR="002609BA" w:rsidRPr="000A5F1B">
              <w:rPr>
                <w:szCs w:val="23"/>
              </w:rPr>
              <w:t xml:space="preserve"> and associated activities</w:t>
            </w:r>
            <w:r w:rsidRPr="000A5F1B">
              <w:rPr>
                <w:szCs w:val="23"/>
              </w:rPr>
              <w:t>, including:</w:t>
            </w:r>
            <w:r w:rsidR="001B48C6" w:rsidRPr="000A5F1B">
              <w:rPr>
                <w:szCs w:val="23"/>
              </w:rPr>
              <w:t xml:space="preserve"> </w:t>
            </w:r>
          </w:p>
          <w:p w14:paraId="3B4F4CCB" w14:textId="1093EED0" w:rsidR="00A66DB6" w:rsidRPr="00B1759A" w:rsidRDefault="002609BA" w:rsidP="00B1759A">
            <w:pPr>
              <w:numPr>
                <w:ilvl w:val="1"/>
                <w:numId w:val="26"/>
              </w:numPr>
              <w:spacing w:after="160" w:line="259" w:lineRule="auto"/>
              <w:ind w:left="1018" w:hanging="425"/>
              <w:contextualSpacing/>
              <w:jc w:val="left"/>
            </w:pPr>
            <w:r w:rsidRPr="00B1759A">
              <w:t>c</w:t>
            </w:r>
            <w:r w:rsidR="001B48C6" w:rsidRPr="00B1759A">
              <w:t>onducting</w:t>
            </w:r>
            <w:r w:rsidR="006F2196" w:rsidRPr="00B1759A">
              <w:t xml:space="preserve"> </w:t>
            </w:r>
            <w:r w:rsidR="001B48C6" w:rsidRPr="00B1759A" w:rsidDel="006F2196">
              <w:t xml:space="preserve">market </w:t>
            </w:r>
            <w:r w:rsidR="001B48C6" w:rsidRPr="00B1759A">
              <w:t xml:space="preserve">research and stakeholder engagement to </w:t>
            </w:r>
            <w:r w:rsidR="00A66DB6" w:rsidRPr="00B1759A">
              <w:t>ensur</w:t>
            </w:r>
            <w:r w:rsidR="001B48C6" w:rsidRPr="00B1759A">
              <w:t>e</w:t>
            </w:r>
            <w:r w:rsidR="00A66DB6" w:rsidRPr="00B1759A">
              <w:t xml:space="preserve"> the strategy and associated activities continue to meet industry, employer, </w:t>
            </w:r>
            <w:proofErr w:type="gramStart"/>
            <w:r w:rsidR="00A66DB6" w:rsidRPr="00B1759A">
              <w:t>student</w:t>
            </w:r>
            <w:proofErr w:type="gramEnd"/>
            <w:r w:rsidR="00A66DB6" w:rsidRPr="00B1759A">
              <w:t xml:space="preserve"> and community needs </w:t>
            </w:r>
          </w:p>
          <w:p w14:paraId="6C41E781" w14:textId="77777777" w:rsidR="00A66DB6" w:rsidRPr="00B1759A" w:rsidRDefault="00A66DB6" w:rsidP="00B1759A">
            <w:pPr>
              <w:numPr>
                <w:ilvl w:val="1"/>
                <w:numId w:val="26"/>
              </w:numPr>
              <w:spacing w:after="160" w:line="259" w:lineRule="auto"/>
              <w:ind w:left="1018" w:hanging="425"/>
              <w:contextualSpacing/>
              <w:jc w:val="left"/>
            </w:pPr>
            <w:r w:rsidRPr="00B1759A">
              <w:lastRenderedPageBreak/>
              <w:t>cataloguing the insights gained and outcomes achieved from the strategy and associated activities</w:t>
            </w:r>
          </w:p>
          <w:p w14:paraId="375B1EF3" w14:textId="77777777" w:rsidR="00A66DB6" w:rsidRPr="00B876C5" w:rsidRDefault="00A66DB6" w:rsidP="00B1759A">
            <w:pPr>
              <w:numPr>
                <w:ilvl w:val="1"/>
                <w:numId w:val="26"/>
              </w:numPr>
              <w:spacing w:after="160" w:line="259" w:lineRule="auto"/>
              <w:ind w:left="1018" w:hanging="425"/>
              <w:contextualSpacing/>
              <w:jc w:val="left"/>
            </w:pPr>
            <w:r w:rsidRPr="00B1759A">
              <w:t>identifying and planning activities for 2021–22</w:t>
            </w:r>
            <w:r w:rsidR="00FF06B8">
              <w:t>.</w:t>
            </w:r>
          </w:p>
          <w:p w14:paraId="3DBF1716" w14:textId="77777777" w:rsidR="00FF06B8" w:rsidRDefault="00FF06B8" w:rsidP="00FF06B8">
            <w:pPr>
              <w:spacing w:after="0" w:line="240" w:lineRule="auto"/>
              <w:contextualSpacing/>
              <w:jc w:val="left"/>
              <w:rPr>
                <w:color w:val="auto"/>
                <w:szCs w:val="23"/>
              </w:rPr>
            </w:pPr>
          </w:p>
          <w:p w14:paraId="0B89B434" w14:textId="77777777" w:rsidR="00A66DB6" w:rsidRPr="00A66DB6" w:rsidRDefault="00A66DB6" w:rsidP="00B876C5">
            <w:pPr>
              <w:pStyle w:val="ListParagraph"/>
              <w:numPr>
                <w:ilvl w:val="1"/>
                <w:numId w:val="59"/>
              </w:numPr>
              <w:spacing w:after="0" w:line="240" w:lineRule="auto"/>
              <w:ind w:left="605" w:hanging="605"/>
              <w:jc w:val="left"/>
              <w:rPr>
                <w:szCs w:val="23"/>
              </w:rPr>
            </w:pPr>
            <w:r w:rsidRPr="00A66DB6">
              <w:rPr>
                <w:szCs w:val="23"/>
              </w:rPr>
              <w:t xml:space="preserve">Deliver the </w:t>
            </w:r>
            <w:r w:rsidRPr="000A2A4A">
              <w:rPr>
                <w:szCs w:val="23"/>
              </w:rPr>
              <w:t>Provider</w:t>
            </w:r>
            <w:r w:rsidRPr="00A66DB6">
              <w:rPr>
                <w:szCs w:val="23"/>
              </w:rPr>
              <w:t xml:space="preserve"> Development Program,</w:t>
            </w:r>
            <w:r w:rsidR="00C73B7B">
              <w:rPr>
                <w:szCs w:val="23"/>
              </w:rPr>
              <w:t xml:space="preserve"> </w:t>
            </w:r>
            <w:r w:rsidR="00C73B7B" w:rsidRPr="000A2A4A">
              <w:rPr>
                <w:szCs w:val="23"/>
              </w:rPr>
              <w:t>supporting</w:t>
            </w:r>
            <w:r w:rsidR="00C73B7B" w:rsidRPr="00B876C5">
              <w:rPr>
                <w:szCs w:val="23"/>
              </w:rPr>
              <w:t xml:space="preserve"> capability and capacity building of the VET market, including</w:t>
            </w:r>
            <w:r w:rsidRPr="00A66DB6">
              <w:rPr>
                <w:szCs w:val="23"/>
              </w:rPr>
              <w:t>:</w:t>
            </w:r>
          </w:p>
          <w:p w14:paraId="3CD2EAAF" w14:textId="77777777" w:rsidR="00A66DB6" w:rsidRPr="00B876C5" w:rsidRDefault="00A66DB6" w:rsidP="00B876C5">
            <w:pPr>
              <w:numPr>
                <w:ilvl w:val="1"/>
                <w:numId w:val="26"/>
              </w:numPr>
              <w:spacing w:after="160" w:line="259" w:lineRule="auto"/>
              <w:ind w:left="1018" w:hanging="425"/>
              <w:contextualSpacing/>
              <w:jc w:val="left"/>
            </w:pPr>
            <w:r w:rsidRPr="00B876C5">
              <w:t xml:space="preserve">identifying activities/deliverables achieved in the reporting period and the contribution of these activities to the program’s outcomes </w:t>
            </w:r>
          </w:p>
          <w:p w14:paraId="02821378" w14:textId="77777777" w:rsidR="00A66DB6" w:rsidRPr="00FB5633" w:rsidRDefault="00A66DB6" w:rsidP="00B876C5">
            <w:pPr>
              <w:numPr>
                <w:ilvl w:val="1"/>
                <w:numId w:val="26"/>
              </w:numPr>
              <w:spacing w:after="160" w:line="259" w:lineRule="auto"/>
              <w:ind w:left="1018" w:hanging="425"/>
              <w:contextualSpacing/>
              <w:jc w:val="left"/>
            </w:pPr>
            <w:r w:rsidRPr="000A2A4A">
              <w:t xml:space="preserve">promoting the opportunities available through the </w:t>
            </w:r>
            <w:r w:rsidRPr="00FB5633">
              <w:t>program</w:t>
            </w:r>
          </w:p>
          <w:p w14:paraId="5331988B" w14:textId="77777777" w:rsidR="00A66DB6" w:rsidRPr="00B876C5" w:rsidRDefault="00DC7DBF" w:rsidP="00B876C5">
            <w:pPr>
              <w:numPr>
                <w:ilvl w:val="1"/>
                <w:numId w:val="26"/>
              </w:numPr>
              <w:spacing w:after="160" w:line="259" w:lineRule="auto"/>
              <w:ind w:left="1018" w:hanging="425"/>
              <w:contextualSpacing/>
              <w:jc w:val="left"/>
            </w:pPr>
            <w:r w:rsidRPr="00B876C5">
              <w:t>regular engagement with the VET sector.</w:t>
            </w:r>
          </w:p>
          <w:p w14:paraId="30B5DDF2" w14:textId="77777777" w:rsidR="005A2ABA" w:rsidRPr="00B876C5" w:rsidRDefault="005A2ABA" w:rsidP="00B876C5">
            <w:pPr>
              <w:numPr>
                <w:ilvl w:val="1"/>
                <w:numId w:val="26"/>
              </w:numPr>
              <w:spacing w:after="160" w:line="259" w:lineRule="auto"/>
              <w:ind w:left="1018" w:hanging="425"/>
              <w:contextualSpacing/>
              <w:jc w:val="left"/>
            </w:pPr>
            <w:r w:rsidRPr="00B876C5">
              <w:t>updating or expanding the program to ensure continued relevanc</w:t>
            </w:r>
            <w:r w:rsidR="00726EF5" w:rsidRPr="00B876C5">
              <w:t>e</w:t>
            </w:r>
            <w:r w:rsidRPr="00B876C5">
              <w:t xml:space="preserve"> with regulations, </w:t>
            </w:r>
            <w:proofErr w:type="gramStart"/>
            <w:r w:rsidRPr="00B876C5">
              <w:t>industry</w:t>
            </w:r>
            <w:proofErr w:type="gramEnd"/>
            <w:r w:rsidRPr="00B876C5">
              <w:t xml:space="preserve"> and market</w:t>
            </w:r>
          </w:p>
          <w:p w14:paraId="4C106867" w14:textId="77777777" w:rsidR="00A66DB6" w:rsidRPr="00B876C5" w:rsidRDefault="00A66DB6" w:rsidP="00B876C5">
            <w:pPr>
              <w:numPr>
                <w:ilvl w:val="1"/>
                <w:numId w:val="26"/>
              </w:numPr>
              <w:spacing w:after="160" w:line="259" w:lineRule="auto"/>
              <w:ind w:left="1018" w:hanging="425"/>
              <w:contextualSpacing/>
              <w:jc w:val="left"/>
            </w:pPr>
            <w:r w:rsidRPr="00B876C5">
              <w:t>identifying and planning activities for 2021–22</w:t>
            </w:r>
            <w:r w:rsidR="00FF06B8">
              <w:t>.</w:t>
            </w:r>
          </w:p>
          <w:p w14:paraId="2C8208F1" w14:textId="77777777" w:rsidR="00FF06B8" w:rsidRPr="00A66DB6" w:rsidRDefault="00FF06B8" w:rsidP="00FF06B8">
            <w:pPr>
              <w:spacing w:after="0" w:line="240" w:lineRule="auto"/>
              <w:contextualSpacing/>
              <w:jc w:val="left"/>
              <w:rPr>
                <w:color w:val="auto"/>
                <w:szCs w:val="23"/>
              </w:rPr>
            </w:pPr>
          </w:p>
          <w:p w14:paraId="139DD102" w14:textId="77777777" w:rsidR="00A66DB6" w:rsidRPr="00A66DB6" w:rsidRDefault="00A66DB6" w:rsidP="00B876C5">
            <w:pPr>
              <w:pStyle w:val="ListParagraph"/>
              <w:numPr>
                <w:ilvl w:val="1"/>
                <w:numId w:val="59"/>
              </w:numPr>
              <w:spacing w:after="0" w:line="240" w:lineRule="auto"/>
              <w:ind w:left="605" w:hanging="605"/>
              <w:jc w:val="left"/>
              <w:rPr>
                <w:szCs w:val="23"/>
              </w:rPr>
            </w:pPr>
            <w:r w:rsidRPr="00A66DB6">
              <w:rPr>
                <w:szCs w:val="23"/>
              </w:rPr>
              <w:t xml:space="preserve">Deliver </w:t>
            </w:r>
            <w:r w:rsidRPr="000A2A4A">
              <w:rPr>
                <w:szCs w:val="23"/>
              </w:rPr>
              <w:t>industry</w:t>
            </w:r>
            <w:r w:rsidRPr="00A66DB6">
              <w:rPr>
                <w:szCs w:val="23"/>
              </w:rPr>
              <w:t xml:space="preserve"> </w:t>
            </w:r>
            <w:r w:rsidR="007A44F0">
              <w:rPr>
                <w:szCs w:val="23"/>
              </w:rPr>
              <w:t xml:space="preserve">sector </w:t>
            </w:r>
            <w:r w:rsidRPr="00A66DB6" w:rsidDel="007A44F0">
              <w:rPr>
                <w:szCs w:val="23"/>
              </w:rPr>
              <w:t xml:space="preserve">plans, </w:t>
            </w:r>
            <w:r w:rsidRPr="00A66DB6">
              <w:rPr>
                <w:szCs w:val="23"/>
              </w:rPr>
              <w:t>including:</w:t>
            </w:r>
          </w:p>
          <w:p w14:paraId="2867E9D5" w14:textId="370F3795" w:rsidR="00A66DB6" w:rsidRPr="00B876C5" w:rsidRDefault="00A66DB6" w:rsidP="00B876C5">
            <w:pPr>
              <w:numPr>
                <w:ilvl w:val="1"/>
                <w:numId w:val="26"/>
              </w:numPr>
              <w:spacing w:after="160" w:line="259" w:lineRule="auto"/>
              <w:ind w:left="1018" w:hanging="425"/>
              <w:contextualSpacing/>
              <w:jc w:val="left"/>
            </w:pPr>
            <w:r w:rsidRPr="00005668">
              <w:t>manag</w:t>
            </w:r>
            <w:r w:rsidR="0094378F" w:rsidRPr="00005668">
              <w:t>ing</w:t>
            </w:r>
            <w:r w:rsidRPr="00B876C5">
              <w:t xml:space="preserve"> the four </w:t>
            </w:r>
            <w:r w:rsidR="007A44F0" w:rsidRPr="00B876C5">
              <w:t xml:space="preserve">industry sector </w:t>
            </w:r>
            <w:r w:rsidRPr="00B876C5" w:rsidDel="007A44F0">
              <w:t>plans</w:t>
            </w:r>
            <w:r w:rsidRPr="00B876C5">
              <w:t xml:space="preserve"> established in 2019–20</w:t>
            </w:r>
          </w:p>
          <w:p w14:paraId="35825B62" w14:textId="77777777" w:rsidR="00D67A16" w:rsidRPr="00B876C5" w:rsidRDefault="00A66DB6" w:rsidP="00B876C5">
            <w:pPr>
              <w:numPr>
                <w:ilvl w:val="1"/>
                <w:numId w:val="26"/>
              </w:numPr>
              <w:spacing w:after="160" w:line="259" w:lineRule="auto"/>
              <w:ind w:left="1018" w:hanging="425"/>
              <w:contextualSpacing/>
              <w:jc w:val="left"/>
            </w:pPr>
            <w:r w:rsidRPr="00B876C5">
              <w:t>develop</w:t>
            </w:r>
            <w:r w:rsidR="00481BB1" w:rsidRPr="00B876C5">
              <w:t>ing</w:t>
            </w:r>
            <w:r w:rsidRPr="00B876C5">
              <w:t xml:space="preserve"> two</w:t>
            </w:r>
            <w:r w:rsidR="00B8567F" w:rsidRPr="00B876C5">
              <w:t xml:space="preserve"> additional</w:t>
            </w:r>
            <w:r w:rsidRPr="00B876C5">
              <w:t xml:space="preserve"> </w:t>
            </w:r>
            <w:r w:rsidR="007A44F0" w:rsidRPr="00B876C5">
              <w:t>industry sector</w:t>
            </w:r>
            <w:r w:rsidR="00AC43C0" w:rsidRPr="00B876C5">
              <w:t xml:space="preserve"> plans</w:t>
            </w:r>
            <w:r w:rsidR="00037461" w:rsidRPr="00B876C5">
              <w:t xml:space="preserve">, </w:t>
            </w:r>
            <w:r w:rsidR="00D67A16" w:rsidRPr="00B1759A">
              <w:t>identifying workforce strategies and actions to be delivered in 202</w:t>
            </w:r>
            <w:r w:rsidR="00F92E1B" w:rsidRPr="00B1759A">
              <w:t>1</w:t>
            </w:r>
            <w:r w:rsidR="00D67A16" w:rsidRPr="00B1759A">
              <w:t>-2</w:t>
            </w:r>
            <w:r w:rsidR="00F92E1B" w:rsidRPr="00B1759A">
              <w:t>2</w:t>
            </w:r>
            <w:r w:rsidR="00FF06B8">
              <w:t>.</w:t>
            </w:r>
          </w:p>
          <w:p w14:paraId="64F8919F" w14:textId="77777777" w:rsidR="00FF06B8" w:rsidRPr="00A66DB6" w:rsidRDefault="00FF06B8" w:rsidP="00FF06B8">
            <w:pPr>
              <w:spacing w:after="0" w:line="240" w:lineRule="auto"/>
              <w:contextualSpacing/>
              <w:jc w:val="left"/>
              <w:rPr>
                <w:color w:val="auto"/>
                <w:szCs w:val="23"/>
              </w:rPr>
            </w:pPr>
          </w:p>
          <w:p w14:paraId="2EF7647E" w14:textId="77777777" w:rsidR="00A66DB6" w:rsidRPr="00A66DB6" w:rsidRDefault="00A66DB6" w:rsidP="00B876C5">
            <w:pPr>
              <w:pStyle w:val="ListParagraph"/>
              <w:numPr>
                <w:ilvl w:val="1"/>
                <w:numId w:val="59"/>
              </w:numPr>
              <w:spacing w:after="0" w:line="240" w:lineRule="auto"/>
              <w:ind w:left="606" w:hanging="606"/>
              <w:jc w:val="left"/>
              <w:rPr>
                <w:szCs w:val="23"/>
              </w:rPr>
            </w:pPr>
            <w:r w:rsidRPr="007005EE">
              <w:rPr>
                <w:szCs w:val="23"/>
              </w:rPr>
              <w:t>Deliver</w:t>
            </w:r>
            <w:r w:rsidRPr="00A66DB6">
              <w:rPr>
                <w:szCs w:val="23"/>
              </w:rPr>
              <w:t xml:space="preserve"> the apprenticeship and traineeship advisory service, with a view to:</w:t>
            </w:r>
          </w:p>
          <w:p w14:paraId="63D7068B" w14:textId="77777777" w:rsidR="00A66DB6" w:rsidRPr="000A2A4A" w:rsidRDefault="00A66DB6" w:rsidP="00B876C5">
            <w:pPr>
              <w:numPr>
                <w:ilvl w:val="1"/>
                <w:numId w:val="26"/>
              </w:numPr>
              <w:spacing w:after="160" w:line="259" w:lineRule="auto"/>
              <w:ind w:left="1018" w:hanging="425"/>
              <w:contextualSpacing/>
              <w:jc w:val="left"/>
            </w:pPr>
            <w:r w:rsidRPr="000A2A4A">
              <w:t xml:space="preserve">identifying activities/deliverables achieved in the reporting period and the contribution of these activities to the program’s outcomes </w:t>
            </w:r>
          </w:p>
          <w:p w14:paraId="4B22FB5B" w14:textId="77777777" w:rsidR="00A66DB6" w:rsidRPr="00FB5633" w:rsidRDefault="00A66DB6" w:rsidP="00B876C5">
            <w:pPr>
              <w:numPr>
                <w:ilvl w:val="1"/>
                <w:numId w:val="26"/>
              </w:numPr>
              <w:spacing w:after="160" w:line="259" w:lineRule="auto"/>
              <w:ind w:left="1018" w:hanging="425"/>
              <w:contextualSpacing/>
              <w:jc w:val="left"/>
            </w:pPr>
            <w:r w:rsidRPr="00FB5633">
              <w:t>promoting the opportunities available through the program</w:t>
            </w:r>
          </w:p>
          <w:p w14:paraId="1811AB60" w14:textId="77777777" w:rsidR="00A66DB6" w:rsidRPr="00B876C5" w:rsidRDefault="00A66DB6" w:rsidP="00B876C5">
            <w:pPr>
              <w:numPr>
                <w:ilvl w:val="1"/>
                <w:numId w:val="26"/>
              </w:numPr>
              <w:spacing w:after="160" w:line="259" w:lineRule="auto"/>
              <w:ind w:left="1018" w:hanging="425"/>
              <w:contextualSpacing/>
              <w:jc w:val="left"/>
            </w:pPr>
            <w:r w:rsidRPr="00B876C5">
              <w:t>engaging with industry</w:t>
            </w:r>
            <w:r w:rsidR="00412923" w:rsidRPr="00B876C5">
              <w:t>, including Industry Skills Councils, to gain insights and intelligence</w:t>
            </w:r>
            <w:r w:rsidRPr="00B876C5">
              <w:t xml:space="preserve"> </w:t>
            </w:r>
          </w:p>
          <w:p w14:paraId="78E84921" w14:textId="77777777" w:rsidR="00412923" w:rsidRPr="00B876C5" w:rsidRDefault="00A66DB6" w:rsidP="00B876C5">
            <w:pPr>
              <w:numPr>
                <w:ilvl w:val="1"/>
                <w:numId w:val="26"/>
              </w:numPr>
              <w:spacing w:after="160" w:line="259" w:lineRule="auto"/>
              <w:ind w:left="1018" w:hanging="425"/>
              <w:contextualSpacing/>
              <w:jc w:val="left"/>
            </w:pPr>
            <w:r w:rsidRPr="00B876C5">
              <w:t>identifying activities for 2021–22</w:t>
            </w:r>
            <w:r w:rsidR="00FF06B8">
              <w:t>.</w:t>
            </w:r>
          </w:p>
          <w:p w14:paraId="024A6D3B" w14:textId="55068F1A" w:rsidR="00FF06B8" w:rsidRDefault="00FF06B8" w:rsidP="00FF06B8">
            <w:pPr>
              <w:spacing w:after="0" w:line="240" w:lineRule="auto"/>
              <w:contextualSpacing/>
              <w:jc w:val="left"/>
              <w:rPr>
                <w:color w:val="auto"/>
                <w:szCs w:val="23"/>
              </w:rPr>
            </w:pPr>
          </w:p>
          <w:p w14:paraId="77ACC876" w14:textId="7FCD4BDA" w:rsidR="00233ABE" w:rsidRDefault="00233ABE" w:rsidP="00FF06B8">
            <w:pPr>
              <w:spacing w:after="0" w:line="240" w:lineRule="auto"/>
              <w:contextualSpacing/>
              <w:jc w:val="left"/>
              <w:rPr>
                <w:color w:val="auto"/>
                <w:szCs w:val="23"/>
              </w:rPr>
            </w:pPr>
          </w:p>
          <w:p w14:paraId="01E3D4BF" w14:textId="77777777" w:rsidR="00233ABE" w:rsidRPr="00A66DB6" w:rsidRDefault="00233ABE" w:rsidP="00FF06B8">
            <w:pPr>
              <w:spacing w:after="0" w:line="240" w:lineRule="auto"/>
              <w:contextualSpacing/>
              <w:jc w:val="left"/>
              <w:rPr>
                <w:color w:val="auto"/>
                <w:szCs w:val="23"/>
              </w:rPr>
            </w:pPr>
          </w:p>
          <w:p w14:paraId="7C4D15D2" w14:textId="77777777" w:rsidR="00A66DB6" w:rsidRPr="000A2A4A" w:rsidRDefault="00A66DB6" w:rsidP="00B876C5">
            <w:pPr>
              <w:pStyle w:val="ListParagraph"/>
              <w:numPr>
                <w:ilvl w:val="1"/>
                <w:numId w:val="59"/>
              </w:numPr>
              <w:spacing w:after="0" w:line="240" w:lineRule="auto"/>
              <w:ind w:left="606" w:hanging="606"/>
              <w:jc w:val="left"/>
              <w:rPr>
                <w:szCs w:val="23"/>
              </w:rPr>
            </w:pPr>
            <w:r w:rsidRPr="00BC31FC">
              <w:rPr>
                <w:szCs w:val="23"/>
              </w:rPr>
              <w:lastRenderedPageBreak/>
              <w:t>Deliver</w:t>
            </w:r>
            <w:r w:rsidRPr="00A66DB6">
              <w:rPr>
                <w:szCs w:val="23"/>
              </w:rPr>
              <w:t xml:space="preserve"> the student support element of the project, with a view to:</w:t>
            </w:r>
          </w:p>
          <w:p w14:paraId="344B0BA2" w14:textId="77777777" w:rsidR="00823C62" w:rsidRPr="00FB5633" w:rsidRDefault="00A66DB6" w:rsidP="00B876C5">
            <w:pPr>
              <w:numPr>
                <w:ilvl w:val="1"/>
                <w:numId w:val="26"/>
              </w:numPr>
              <w:spacing w:after="160" w:line="259" w:lineRule="auto"/>
              <w:ind w:left="1018" w:hanging="425"/>
              <w:contextualSpacing/>
              <w:jc w:val="left"/>
            </w:pPr>
            <w:r w:rsidRPr="00FB5633">
              <w:t>identifying activities/deliverables achieved in the reporting period and the contribution of these activities to the program’s outcomes</w:t>
            </w:r>
          </w:p>
          <w:p w14:paraId="3E0A1773" w14:textId="77777777" w:rsidR="00823C62" w:rsidRPr="00FB5633" w:rsidRDefault="00823C62" w:rsidP="00B876C5">
            <w:pPr>
              <w:numPr>
                <w:ilvl w:val="1"/>
                <w:numId w:val="26"/>
              </w:numPr>
              <w:spacing w:after="160" w:line="259" w:lineRule="auto"/>
              <w:ind w:left="1018" w:hanging="425"/>
              <w:contextualSpacing/>
              <w:jc w:val="left"/>
            </w:pPr>
            <w:r w:rsidRPr="00FB5633">
              <w:t>reducing student costs associated with training commencements</w:t>
            </w:r>
          </w:p>
          <w:p w14:paraId="24326933" w14:textId="38FB282D" w:rsidR="00A66DB6" w:rsidRDefault="00823C62" w:rsidP="00B876C5">
            <w:pPr>
              <w:numPr>
                <w:ilvl w:val="1"/>
                <w:numId w:val="26"/>
              </w:numPr>
              <w:spacing w:after="160" w:line="259" w:lineRule="auto"/>
              <w:ind w:left="1018" w:hanging="425"/>
              <w:contextualSpacing/>
              <w:jc w:val="left"/>
            </w:pPr>
            <w:r w:rsidRPr="42DCF1A3">
              <w:t>implementing targeted incentives and customised support</w:t>
            </w:r>
            <w:r w:rsidR="00E5016C">
              <w:t>,</w:t>
            </w:r>
            <w:r w:rsidR="00A01AFA">
              <w:t xml:space="preserve"> includ</w:t>
            </w:r>
            <w:r w:rsidR="00957CA3">
              <w:t>ing</w:t>
            </w:r>
            <w:r w:rsidR="0058167D">
              <w:t xml:space="preserve"> region and cohort specific initiatives</w:t>
            </w:r>
          </w:p>
          <w:p w14:paraId="3CFA9BE0" w14:textId="77777777" w:rsidR="00823C62" w:rsidRPr="00823C62" w:rsidRDefault="00823C62" w:rsidP="00B876C5">
            <w:pPr>
              <w:numPr>
                <w:ilvl w:val="1"/>
                <w:numId w:val="26"/>
              </w:numPr>
              <w:spacing w:after="160" w:line="259" w:lineRule="auto"/>
              <w:ind w:left="1018" w:hanging="425"/>
              <w:contextualSpacing/>
              <w:jc w:val="left"/>
            </w:pPr>
            <w:r w:rsidRPr="00B876C5">
              <w:t>identifying and planning activities for 2021–22</w:t>
            </w:r>
            <w:r w:rsidR="00FF06B8">
              <w:t>.</w:t>
            </w:r>
          </w:p>
          <w:p w14:paraId="66DBDA9C" w14:textId="232EAB5F" w:rsidR="00A66DB6" w:rsidRPr="000A2A4A" w:rsidRDefault="00A66DB6" w:rsidP="00B876C5">
            <w:pPr>
              <w:pStyle w:val="ListParagraph"/>
              <w:numPr>
                <w:ilvl w:val="1"/>
                <w:numId w:val="59"/>
              </w:numPr>
              <w:spacing w:after="0" w:line="240" w:lineRule="auto"/>
              <w:ind w:left="606" w:hanging="606"/>
              <w:jc w:val="left"/>
              <w:rPr>
                <w:szCs w:val="23"/>
              </w:rPr>
            </w:pPr>
            <w:r w:rsidRPr="000A2A4A" w:rsidDel="007A44F0">
              <w:rPr>
                <w:szCs w:val="23"/>
              </w:rPr>
              <w:t>Deliver</w:t>
            </w:r>
            <w:r w:rsidRPr="00A66DB6" w:rsidDel="007A44F0">
              <w:rPr>
                <w:szCs w:val="23"/>
              </w:rPr>
              <w:t xml:space="preserve"> </w:t>
            </w:r>
            <w:r w:rsidR="00823C62">
              <w:rPr>
                <w:szCs w:val="23"/>
              </w:rPr>
              <w:t>customised support and</w:t>
            </w:r>
            <w:r w:rsidRPr="00A66DB6" w:rsidDel="007A44F0">
              <w:rPr>
                <w:szCs w:val="23"/>
              </w:rPr>
              <w:t xml:space="preserve"> incentives </w:t>
            </w:r>
            <w:r w:rsidRPr="00A66DB6">
              <w:rPr>
                <w:szCs w:val="23"/>
              </w:rPr>
              <w:t xml:space="preserve">for </w:t>
            </w:r>
            <w:r w:rsidR="00823C62">
              <w:rPr>
                <w:szCs w:val="23"/>
              </w:rPr>
              <w:t xml:space="preserve">prospective </w:t>
            </w:r>
            <w:r w:rsidRPr="00A66DB6">
              <w:rPr>
                <w:szCs w:val="23"/>
              </w:rPr>
              <w:t>employers</w:t>
            </w:r>
            <w:r w:rsidR="00823C62">
              <w:rPr>
                <w:szCs w:val="23"/>
              </w:rPr>
              <w:t>,</w:t>
            </w:r>
            <w:r w:rsidRPr="00A66DB6">
              <w:rPr>
                <w:szCs w:val="23"/>
              </w:rPr>
              <w:t xml:space="preserve"> with a view to:</w:t>
            </w:r>
          </w:p>
          <w:p w14:paraId="1B5E883D" w14:textId="77777777" w:rsidR="00F80FD8" w:rsidRPr="00F80FD8" w:rsidRDefault="00A66DB6" w:rsidP="00B876C5">
            <w:pPr>
              <w:numPr>
                <w:ilvl w:val="1"/>
                <w:numId w:val="26"/>
              </w:numPr>
              <w:spacing w:after="160" w:line="259" w:lineRule="auto"/>
              <w:ind w:left="1018" w:hanging="425"/>
              <w:contextualSpacing/>
              <w:jc w:val="left"/>
            </w:pPr>
            <w:r w:rsidRPr="00FB5633">
              <w:t>identifying activities/deliverables achieved in the reporting period and the contribution of these activities to the program’s outcomes</w:t>
            </w:r>
          </w:p>
          <w:p w14:paraId="149D3F6A" w14:textId="364241C1" w:rsidR="00F80FD8" w:rsidRPr="00F80FD8" w:rsidRDefault="00F80FD8" w:rsidP="00B876C5">
            <w:pPr>
              <w:numPr>
                <w:ilvl w:val="1"/>
                <w:numId w:val="26"/>
              </w:numPr>
              <w:spacing w:after="160" w:line="259" w:lineRule="auto"/>
              <w:ind w:left="1018" w:hanging="425"/>
              <w:contextualSpacing/>
              <w:jc w:val="left"/>
            </w:pPr>
            <w:r w:rsidRPr="000A2A4A">
              <w:t xml:space="preserve">funding project proposals that have industry and/or employer </w:t>
            </w:r>
            <w:proofErr w:type="gramStart"/>
            <w:r w:rsidRPr="000A2A4A">
              <w:t>involvement</w:t>
            </w:r>
            <w:r w:rsidR="00500327">
              <w:t xml:space="preserve">, </w:t>
            </w:r>
            <w:r w:rsidR="00A01AFA">
              <w:t xml:space="preserve"> includ</w:t>
            </w:r>
            <w:r w:rsidR="00957CA3">
              <w:t>ing</w:t>
            </w:r>
            <w:proofErr w:type="gramEnd"/>
            <w:r w:rsidR="00500327">
              <w:t xml:space="preserve"> region and cohort specific initiatives</w:t>
            </w:r>
          </w:p>
          <w:p w14:paraId="6F968246" w14:textId="77777777" w:rsidR="00F80FD8" w:rsidRPr="00CC34FC" w:rsidRDefault="00F80FD8" w:rsidP="00B876C5">
            <w:pPr>
              <w:numPr>
                <w:ilvl w:val="1"/>
                <w:numId w:val="26"/>
              </w:numPr>
              <w:spacing w:after="160" w:line="259" w:lineRule="auto"/>
              <w:ind w:left="1018" w:hanging="425"/>
              <w:contextualSpacing/>
              <w:jc w:val="left"/>
            </w:pPr>
            <w:r w:rsidRPr="42DCF1A3">
              <w:t>removing barriers to support the program’s outcomes</w:t>
            </w:r>
          </w:p>
          <w:p w14:paraId="7C109D2E" w14:textId="77777777" w:rsidR="00A66DB6" w:rsidRPr="00A66DB6" w:rsidRDefault="00A66DB6" w:rsidP="00B876C5">
            <w:pPr>
              <w:numPr>
                <w:ilvl w:val="1"/>
                <w:numId w:val="26"/>
              </w:numPr>
              <w:spacing w:after="160" w:line="259" w:lineRule="auto"/>
              <w:ind w:left="1018" w:hanging="425"/>
              <w:contextualSpacing/>
              <w:jc w:val="left"/>
            </w:pPr>
            <w:r w:rsidRPr="000A2A4A">
              <w:t>updating the program to ensure continued relevanc</w:t>
            </w:r>
            <w:r w:rsidR="00501856" w:rsidRPr="00FB5633">
              <w:t>e</w:t>
            </w:r>
            <w:r w:rsidRPr="00FB5633">
              <w:t xml:space="preserve"> with regulations and industry </w:t>
            </w:r>
            <w:r w:rsidR="00501856" w:rsidRPr="00FB5633">
              <w:t>need</w:t>
            </w:r>
          </w:p>
          <w:p w14:paraId="11E06672" w14:textId="77777777" w:rsidR="00A66DB6" w:rsidRPr="00CB30CB" w:rsidRDefault="00A66DB6" w:rsidP="00B876C5">
            <w:pPr>
              <w:numPr>
                <w:ilvl w:val="1"/>
                <w:numId w:val="26"/>
              </w:numPr>
              <w:spacing w:after="160" w:line="259" w:lineRule="auto"/>
              <w:ind w:left="1018" w:hanging="425"/>
              <w:contextualSpacing/>
              <w:jc w:val="left"/>
              <w:rPr>
                <w:rFonts w:eastAsia="Calibri"/>
              </w:rPr>
            </w:pPr>
            <w:r w:rsidRPr="000A2A4A">
              <w:t>identifying</w:t>
            </w:r>
            <w:r w:rsidRPr="00FB5633">
              <w:t xml:space="preserve"> and planning activities for 2021–22</w:t>
            </w:r>
            <w:r w:rsidR="00FF06B8">
              <w:t>.</w:t>
            </w:r>
          </w:p>
          <w:p w14:paraId="5EE6FE07" w14:textId="77777777" w:rsidR="00161E09" w:rsidRPr="00A66DB6" w:rsidRDefault="00161E09" w:rsidP="00161E09">
            <w:pPr>
              <w:spacing w:after="0" w:line="240" w:lineRule="auto"/>
              <w:contextualSpacing/>
              <w:jc w:val="left"/>
              <w:rPr>
                <w:color w:val="auto"/>
                <w:szCs w:val="23"/>
              </w:rPr>
            </w:pPr>
          </w:p>
          <w:p w14:paraId="7A9A6C32" w14:textId="34DD2430" w:rsidR="00B45F62" w:rsidRDefault="007D231A" w:rsidP="00161E09">
            <w:pPr>
              <w:pStyle w:val="ListParagraph"/>
              <w:numPr>
                <w:ilvl w:val="1"/>
                <w:numId w:val="59"/>
              </w:numPr>
              <w:spacing w:after="0" w:line="240" w:lineRule="auto"/>
              <w:ind w:left="606" w:hanging="606"/>
              <w:jc w:val="left"/>
              <w:rPr>
                <w:szCs w:val="23"/>
              </w:rPr>
            </w:pPr>
            <w:bookmarkStart w:id="5" w:name="_Hlk62652122"/>
            <w:bookmarkStart w:id="6" w:name="_Hlk63691387"/>
            <w:r>
              <w:rPr>
                <w:szCs w:val="23"/>
              </w:rPr>
              <w:t>Implement</w:t>
            </w:r>
            <w:r w:rsidR="004A4B92">
              <w:rPr>
                <w:szCs w:val="23"/>
              </w:rPr>
              <w:t xml:space="preserve"> </w:t>
            </w:r>
            <w:r w:rsidR="004A4B92" w:rsidRPr="00927B90">
              <w:rPr>
                <w:szCs w:val="23"/>
              </w:rPr>
              <w:t>and deliver</w:t>
            </w:r>
            <w:r>
              <w:rPr>
                <w:szCs w:val="23"/>
              </w:rPr>
              <w:t xml:space="preserve"> </w:t>
            </w:r>
            <w:r w:rsidR="001C41B7">
              <w:rPr>
                <w:szCs w:val="23"/>
              </w:rPr>
              <w:t>COVID-19 and economic recovery</w:t>
            </w:r>
            <w:r w:rsidR="00765318">
              <w:rPr>
                <w:szCs w:val="23"/>
              </w:rPr>
              <w:t xml:space="preserve"> programs</w:t>
            </w:r>
            <w:r w:rsidR="00CE7360">
              <w:rPr>
                <w:szCs w:val="23"/>
              </w:rPr>
              <w:t xml:space="preserve"> with a view to</w:t>
            </w:r>
            <w:r w:rsidR="002E77AE">
              <w:rPr>
                <w:szCs w:val="23"/>
              </w:rPr>
              <w:t xml:space="preserve"> supporting</w:t>
            </w:r>
            <w:r w:rsidR="00500A65">
              <w:rPr>
                <w:szCs w:val="23"/>
              </w:rPr>
              <w:t>:</w:t>
            </w:r>
          </w:p>
          <w:bookmarkEnd w:id="5"/>
          <w:p w14:paraId="5EAC3945" w14:textId="36820CB0" w:rsidR="00161E09" w:rsidRDefault="00CE7360" w:rsidP="0076291C">
            <w:pPr>
              <w:pStyle w:val="ListParagraph"/>
              <w:numPr>
                <w:ilvl w:val="0"/>
                <w:numId w:val="68"/>
              </w:numPr>
              <w:spacing w:after="0" w:line="240" w:lineRule="auto"/>
              <w:ind w:left="941" w:hanging="425"/>
              <w:jc w:val="left"/>
              <w:rPr>
                <w:szCs w:val="23"/>
              </w:rPr>
            </w:pPr>
            <w:r>
              <w:rPr>
                <w:szCs w:val="23"/>
              </w:rPr>
              <w:t xml:space="preserve">apprentices and trainees </w:t>
            </w:r>
            <w:r w:rsidR="004C5C82">
              <w:rPr>
                <w:szCs w:val="23"/>
              </w:rPr>
              <w:t>at risk of suspension or termination</w:t>
            </w:r>
            <w:r w:rsidR="00D554BD">
              <w:rPr>
                <w:szCs w:val="23"/>
              </w:rPr>
              <w:t xml:space="preserve"> to remain engaged in the workforce</w:t>
            </w:r>
            <w:r w:rsidR="00F24D85">
              <w:rPr>
                <w:szCs w:val="23"/>
              </w:rPr>
              <w:t xml:space="preserve"> </w:t>
            </w:r>
            <w:r w:rsidR="00927B90">
              <w:rPr>
                <w:szCs w:val="23"/>
              </w:rPr>
              <w:t>through activities including cross-sector Apprentice Mentoring</w:t>
            </w:r>
          </w:p>
          <w:p w14:paraId="3BBA5F6D" w14:textId="207B0DCF" w:rsidR="00047005" w:rsidRDefault="00047005" w:rsidP="0076291C">
            <w:pPr>
              <w:pStyle w:val="ListParagraph"/>
              <w:numPr>
                <w:ilvl w:val="0"/>
                <w:numId w:val="68"/>
              </w:numPr>
              <w:spacing w:after="0" w:line="240" w:lineRule="auto"/>
              <w:ind w:left="941" w:hanging="425"/>
              <w:jc w:val="left"/>
              <w:rPr>
                <w:szCs w:val="23"/>
              </w:rPr>
            </w:pPr>
            <w:r>
              <w:rPr>
                <w:szCs w:val="23"/>
              </w:rPr>
              <w:t xml:space="preserve">apprentices and trainees with technology </w:t>
            </w:r>
            <w:r w:rsidR="00714DB5">
              <w:rPr>
                <w:szCs w:val="23"/>
              </w:rPr>
              <w:t>needs</w:t>
            </w:r>
            <w:r>
              <w:rPr>
                <w:szCs w:val="23"/>
              </w:rPr>
              <w:t xml:space="preserve"> to move rapidly to online learning and training models</w:t>
            </w:r>
          </w:p>
          <w:p w14:paraId="07EDD296" w14:textId="362D9E65" w:rsidR="007D231A" w:rsidRDefault="004C5C82" w:rsidP="0076291C">
            <w:pPr>
              <w:pStyle w:val="ListParagraph"/>
              <w:numPr>
                <w:ilvl w:val="0"/>
                <w:numId w:val="68"/>
              </w:numPr>
              <w:spacing w:after="0" w:line="240" w:lineRule="auto"/>
              <w:ind w:left="941" w:hanging="425"/>
              <w:jc w:val="left"/>
              <w:rPr>
                <w:szCs w:val="23"/>
              </w:rPr>
            </w:pPr>
            <w:r>
              <w:rPr>
                <w:szCs w:val="23"/>
              </w:rPr>
              <w:t>Group Training Organisation</w:t>
            </w:r>
            <w:r w:rsidR="004B2F33">
              <w:rPr>
                <w:szCs w:val="23"/>
              </w:rPr>
              <w:t>s,</w:t>
            </w:r>
            <w:r w:rsidR="00927B90">
              <w:rPr>
                <w:szCs w:val="23"/>
              </w:rPr>
              <w:t xml:space="preserve"> including</w:t>
            </w:r>
            <w:r>
              <w:rPr>
                <w:szCs w:val="23"/>
              </w:rPr>
              <w:t xml:space="preserve"> </w:t>
            </w:r>
            <w:r w:rsidR="00D554BD">
              <w:rPr>
                <w:szCs w:val="23"/>
              </w:rPr>
              <w:t xml:space="preserve">to </w:t>
            </w:r>
            <w:r w:rsidR="00927B90">
              <w:rPr>
                <w:szCs w:val="23"/>
              </w:rPr>
              <w:t xml:space="preserve">support host employers to retain and stay engaged with apprentices; for GTOs to </w:t>
            </w:r>
            <w:r>
              <w:rPr>
                <w:szCs w:val="23"/>
              </w:rPr>
              <w:t xml:space="preserve">diversify </w:t>
            </w:r>
            <w:r w:rsidR="000C363B" w:rsidRPr="000C363B">
              <w:rPr>
                <w:szCs w:val="23"/>
              </w:rPr>
              <w:t xml:space="preserve">their </w:t>
            </w:r>
            <w:r w:rsidR="00D554BD">
              <w:rPr>
                <w:szCs w:val="23"/>
              </w:rPr>
              <w:t>scope</w:t>
            </w:r>
            <w:r w:rsidR="000C363B" w:rsidRPr="000C363B">
              <w:rPr>
                <w:szCs w:val="23"/>
              </w:rPr>
              <w:t xml:space="preserve"> to new or emerging industry sectors</w:t>
            </w:r>
            <w:r w:rsidR="00047005">
              <w:rPr>
                <w:szCs w:val="23"/>
              </w:rPr>
              <w:t xml:space="preserve"> and sectors</w:t>
            </w:r>
            <w:r w:rsidR="00927B90">
              <w:rPr>
                <w:szCs w:val="23"/>
              </w:rPr>
              <w:t xml:space="preserve"> with continued or accelerated growth</w:t>
            </w:r>
          </w:p>
          <w:p w14:paraId="246AE154" w14:textId="716F6698" w:rsidR="00927B90" w:rsidRPr="00927B90" w:rsidRDefault="00F84DF4" w:rsidP="00927B90">
            <w:pPr>
              <w:pStyle w:val="ListParagraph"/>
              <w:numPr>
                <w:ilvl w:val="0"/>
                <w:numId w:val="68"/>
              </w:numPr>
              <w:spacing w:after="0" w:line="240" w:lineRule="auto"/>
              <w:ind w:left="941" w:hanging="425"/>
              <w:jc w:val="left"/>
              <w:rPr>
                <w:rFonts w:eastAsia="Calibri"/>
              </w:rPr>
            </w:pPr>
            <w:r>
              <w:rPr>
                <w:szCs w:val="23"/>
              </w:rPr>
              <w:lastRenderedPageBreak/>
              <w:t>S</w:t>
            </w:r>
            <w:r w:rsidR="00927B90">
              <w:rPr>
                <w:szCs w:val="23"/>
              </w:rPr>
              <w:t>upport training providers</w:t>
            </w:r>
            <w:r>
              <w:rPr>
                <w:szCs w:val="23"/>
              </w:rPr>
              <w:t xml:space="preserve"> to</w:t>
            </w:r>
            <w:r w:rsidR="00927B90">
              <w:rPr>
                <w:szCs w:val="23"/>
              </w:rPr>
              <w:t xml:space="preserve"> accelerate and strengthen online delivery models, upskill trainers</w:t>
            </w:r>
            <w:r w:rsidR="00A91AB9">
              <w:rPr>
                <w:szCs w:val="23"/>
              </w:rPr>
              <w:t xml:space="preserve"> </w:t>
            </w:r>
            <w:r w:rsidR="00927B90">
              <w:rPr>
                <w:szCs w:val="23"/>
              </w:rPr>
              <w:t xml:space="preserve">and </w:t>
            </w:r>
            <w:r w:rsidR="00A91AB9">
              <w:rPr>
                <w:szCs w:val="23"/>
              </w:rPr>
              <w:t xml:space="preserve">maintain continuity of </w:t>
            </w:r>
            <w:r w:rsidR="00F24D85">
              <w:rPr>
                <w:szCs w:val="23"/>
              </w:rPr>
              <w:t xml:space="preserve">essential </w:t>
            </w:r>
            <w:r w:rsidR="00A91AB9">
              <w:rPr>
                <w:szCs w:val="23"/>
              </w:rPr>
              <w:t>services</w:t>
            </w:r>
            <w:bookmarkEnd w:id="6"/>
          </w:p>
        </w:tc>
        <w:tc>
          <w:tcPr>
            <w:tcW w:w="1843" w:type="dxa"/>
          </w:tcPr>
          <w:p w14:paraId="3353117C" w14:textId="77777777" w:rsidR="00A66DB6" w:rsidRPr="00A66DB6" w:rsidRDefault="00A66DB6" w:rsidP="00B1759A">
            <w:pPr>
              <w:spacing w:after="160" w:line="259" w:lineRule="auto"/>
              <w:jc w:val="right"/>
              <w:rPr>
                <w:rFonts w:eastAsia="Calibri"/>
                <w:color w:val="auto"/>
                <w:sz w:val="22"/>
                <w:szCs w:val="22"/>
                <w:lang w:eastAsia="en-US"/>
              </w:rPr>
            </w:pPr>
            <w:r w:rsidRPr="00A66DB6">
              <w:rPr>
                <w:rFonts w:eastAsia="Calibri"/>
                <w:color w:val="auto"/>
                <w:sz w:val="22"/>
                <w:szCs w:val="22"/>
                <w:lang w:eastAsia="en-US"/>
              </w:rPr>
              <w:lastRenderedPageBreak/>
              <w:t>30 April 2021</w:t>
            </w:r>
          </w:p>
        </w:tc>
        <w:tc>
          <w:tcPr>
            <w:tcW w:w="1701" w:type="dxa"/>
          </w:tcPr>
          <w:p w14:paraId="6A3278FE" w14:textId="43DC880C" w:rsidR="00A66DB6" w:rsidRPr="00A66DB6" w:rsidRDefault="00BD6D5C" w:rsidP="00A66DB6">
            <w:pPr>
              <w:spacing w:after="160" w:line="259" w:lineRule="auto"/>
              <w:jc w:val="left"/>
              <w:rPr>
                <w:rFonts w:eastAsia="Calibri"/>
                <w:color w:val="auto"/>
                <w:sz w:val="22"/>
                <w:szCs w:val="22"/>
                <w:lang w:eastAsia="en-US"/>
              </w:rPr>
            </w:pPr>
            <w:r w:rsidRPr="00BD6D5C">
              <w:rPr>
                <w:rFonts w:eastAsia="Calibri"/>
                <w:color w:val="auto"/>
                <w:sz w:val="22"/>
                <w:szCs w:val="22"/>
                <w:lang w:eastAsia="en-US"/>
              </w:rPr>
              <w:t>$10,53</w:t>
            </w:r>
            <w:r w:rsidR="00EF6D3A">
              <w:rPr>
                <w:rFonts w:eastAsia="Calibri"/>
                <w:color w:val="auto"/>
                <w:sz w:val="22"/>
                <w:szCs w:val="22"/>
                <w:lang w:eastAsia="en-US"/>
              </w:rPr>
              <w:t>8,000</w:t>
            </w:r>
            <w:r w:rsidRPr="00BD6D5C">
              <w:rPr>
                <w:rFonts w:eastAsia="Calibri"/>
                <w:color w:val="auto"/>
                <w:sz w:val="22"/>
                <w:szCs w:val="22"/>
                <w:lang w:eastAsia="en-US"/>
              </w:rPr>
              <w:t xml:space="preserve"> </w:t>
            </w:r>
          </w:p>
          <w:p w14:paraId="2D58AAF3" w14:textId="77777777" w:rsidR="00A66DB6" w:rsidRPr="00A66DB6" w:rsidRDefault="00A66DB6" w:rsidP="00A66DB6">
            <w:pPr>
              <w:spacing w:after="160" w:line="259" w:lineRule="auto"/>
              <w:jc w:val="left"/>
              <w:rPr>
                <w:rFonts w:eastAsia="Calibri"/>
                <w:color w:val="auto"/>
                <w:sz w:val="22"/>
                <w:szCs w:val="22"/>
                <w:lang w:eastAsia="en-US"/>
              </w:rPr>
            </w:pPr>
          </w:p>
          <w:p w14:paraId="3DA2FDBA" w14:textId="77777777" w:rsidR="00A66DB6" w:rsidRPr="00A66DB6" w:rsidRDefault="00A66DB6" w:rsidP="00A66DB6">
            <w:pPr>
              <w:spacing w:after="160" w:line="259" w:lineRule="auto"/>
              <w:jc w:val="left"/>
              <w:rPr>
                <w:rFonts w:eastAsia="Calibri"/>
                <w:color w:val="auto"/>
                <w:sz w:val="22"/>
                <w:szCs w:val="22"/>
                <w:lang w:eastAsia="en-US"/>
              </w:rPr>
            </w:pPr>
          </w:p>
        </w:tc>
      </w:tr>
      <w:tr w:rsidR="00A66DB6" w:rsidRPr="00A66DB6" w14:paraId="58519F6C" w14:textId="77777777" w:rsidTr="00B1759A">
        <w:tc>
          <w:tcPr>
            <w:tcW w:w="1276" w:type="dxa"/>
          </w:tcPr>
          <w:p w14:paraId="7DEC2CAC" w14:textId="77777777" w:rsidR="00A66DB6" w:rsidRPr="00A66DB6" w:rsidRDefault="00A66DB6" w:rsidP="00A66DB6">
            <w:pPr>
              <w:spacing w:after="160" w:line="259" w:lineRule="auto"/>
              <w:jc w:val="left"/>
              <w:rPr>
                <w:rFonts w:eastAsia="Calibri"/>
                <w:color w:val="auto"/>
                <w:sz w:val="22"/>
                <w:szCs w:val="22"/>
                <w:lang w:eastAsia="en-US"/>
              </w:rPr>
            </w:pPr>
          </w:p>
        </w:tc>
        <w:tc>
          <w:tcPr>
            <w:tcW w:w="4961" w:type="dxa"/>
          </w:tcPr>
          <w:p w14:paraId="687AB379" w14:textId="77777777" w:rsidR="00A66DB6" w:rsidRPr="00B1759A" w:rsidRDefault="00A66DB6" w:rsidP="00B1759A">
            <w:pPr>
              <w:spacing w:after="160"/>
              <w:contextualSpacing/>
              <w:jc w:val="left"/>
              <w:rPr>
                <w:b/>
                <w:color w:val="auto"/>
                <w:szCs w:val="23"/>
              </w:rPr>
            </w:pPr>
            <w:r w:rsidRPr="00B1759A">
              <w:rPr>
                <w:b/>
                <w:color w:val="auto"/>
                <w:szCs w:val="23"/>
              </w:rPr>
              <w:t>Milestone 4</w:t>
            </w:r>
          </w:p>
          <w:p w14:paraId="464425DD" w14:textId="53B7083C" w:rsidR="00BC31FC" w:rsidRDefault="000F42CB" w:rsidP="00BC31FC">
            <w:pPr>
              <w:spacing w:after="160"/>
              <w:contextualSpacing/>
              <w:jc w:val="left"/>
              <w:rPr>
                <w:color w:val="auto"/>
                <w:szCs w:val="23"/>
              </w:rPr>
            </w:pPr>
            <w:r>
              <w:rPr>
                <w:color w:val="auto"/>
                <w:szCs w:val="23"/>
              </w:rPr>
              <w:t>In 2021-22 the scale of the following activities will be phased or adjusted to reflect final year transitions and revenue available.</w:t>
            </w:r>
          </w:p>
          <w:p w14:paraId="43FB20AE" w14:textId="77777777" w:rsidR="000F42CB" w:rsidRPr="00A66DB6" w:rsidRDefault="000F42CB" w:rsidP="00BC31FC">
            <w:pPr>
              <w:spacing w:after="160"/>
              <w:contextualSpacing/>
              <w:jc w:val="left"/>
              <w:rPr>
                <w:color w:val="auto"/>
                <w:szCs w:val="23"/>
              </w:rPr>
            </w:pPr>
          </w:p>
          <w:p w14:paraId="3F6D6142" w14:textId="4E124156" w:rsidR="00A66DB6" w:rsidRPr="00A66DB6" w:rsidRDefault="00A66DB6" w:rsidP="00A66DB6">
            <w:pPr>
              <w:spacing w:after="160"/>
              <w:contextualSpacing/>
              <w:jc w:val="left"/>
              <w:rPr>
                <w:color w:val="auto"/>
                <w:szCs w:val="23"/>
              </w:rPr>
            </w:pPr>
            <w:r w:rsidRPr="00A66DB6">
              <w:rPr>
                <w:color w:val="auto"/>
                <w:szCs w:val="23"/>
              </w:rPr>
              <w:t>South Australia will be eligible for the milestone payment when the following deliverable</w:t>
            </w:r>
            <w:r w:rsidR="00B8567F">
              <w:rPr>
                <w:color w:val="auto"/>
                <w:szCs w:val="23"/>
              </w:rPr>
              <w:t>s are</w:t>
            </w:r>
            <w:r w:rsidRPr="00A66DB6">
              <w:rPr>
                <w:color w:val="auto"/>
                <w:szCs w:val="23"/>
              </w:rPr>
              <w:t xml:space="preserve"> met:</w:t>
            </w:r>
          </w:p>
          <w:p w14:paraId="3D57487B" w14:textId="7C360161" w:rsidR="00A66DB6" w:rsidRPr="000A5F1B" w:rsidRDefault="00A66DB6" w:rsidP="00B1759A">
            <w:pPr>
              <w:pStyle w:val="ListParagraph"/>
              <w:numPr>
                <w:ilvl w:val="1"/>
                <w:numId w:val="60"/>
              </w:numPr>
              <w:spacing w:after="0" w:line="240" w:lineRule="auto"/>
              <w:ind w:left="606" w:hanging="606"/>
              <w:jc w:val="left"/>
              <w:rPr>
                <w:szCs w:val="23"/>
              </w:rPr>
            </w:pPr>
            <w:r w:rsidRPr="00BC31FC">
              <w:t>Deliver</w:t>
            </w:r>
            <w:r w:rsidRPr="00BC31FC">
              <w:rPr>
                <w:szCs w:val="23"/>
              </w:rPr>
              <w:t xml:space="preserve"> the communications and marketing strategy</w:t>
            </w:r>
            <w:r w:rsidR="00AA19EA" w:rsidRPr="000A5F1B">
              <w:rPr>
                <w:szCs w:val="23"/>
              </w:rPr>
              <w:t xml:space="preserve"> and associated activities</w:t>
            </w:r>
            <w:r w:rsidRPr="000A5F1B">
              <w:rPr>
                <w:szCs w:val="23"/>
              </w:rPr>
              <w:t>, including:</w:t>
            </w:r>
          </w:p>
          <w:p w14:paraId="02A1075B" w14:textId="77777777" w:rsidR="00687276" w:rsidRPr="00B1759A" w:rsidRDefault="00687276" w:rsidP="00687276">
            <w:pPr>
              <w:numPr>
                <w:ilvl w:val="1"/>
                <w:numId w:val="26"/>
              </w:numPr>
              <w:spacing w:after="160" w:line="259" w:lineRule="auto"/>
              <w:ind w:left="1018" w:hanging="425"/>
              <w:contextualSpacing/>
              <w:jc w:val="left"/>
            </w:pPr>
            <w:r w:rsidRPr="00B1759A">
              <w:t>cataloguing the insights gained and outcomes achieved from the strategy and associated activities</w:t>
            </w:r>
            <w:r>
              <w:t>.</w:t>
            </w:r>
          </w:p>
          <w:p w14:paraId="588463EF" w14:textId="2B88787D" w:rsidR="005601E4" w:rsidRPr="00B1759A" w:rsidRDefault="00A97964" w:rsidP="00B1759A">
            <w:pPr>
              <w:numPr>
                <w:ilvl w:val="1"/>
                <w:numId w:val="26"/>
              </w:numPr>
              <w:spacing w:after="160" w:line="259" w:lineRule="auto"/>
              <w:ind w:left="1018" w:hanging="425"/>
              <w:contextualSpacing/>
              <w:jc w:val="left"/>
            </w:pPr>
            <w:r>
              <w:t>transitioning</w:t>
            </w:r>
            <w:r w:rsidRPr="00B1759A">
              <w:t xml:space="preserve"> </w:t>
            </w:r>
            <w:r w:rsidR="00A66DB6" w:rsidRPr="00B1759A">
              <w:t xml:space="preserve">the strategy and associated activities to meet </w:t>
            </w:r>
            <w:r w:rsidR="00502B54">
              <w:t xml:space="preserve">future </w:t>
            </w:r>
            <w:r w:rsidR="00A66DB6" w:rsidRPr="00B1759A">
              <w:t xml:space="preserve">industry, employer, </w:t>
            </w:r>
            <w:proofErr w:type="gramStart"/>
            <w:r w:rsidR="00A66DB6" w:rsidRPr="00B1759A">
              <w:t>student</w:t>
            </w:r>
            <w:proofErr w:type="gramEnd"/>
            <w:r w:rsidR="00A66DB6" w:rsidRPr="00B1759A">
              <w:t xml:space="preserve"> and community needs</w:t>
            </w:r>
          </w:p>
          <w:p w14:paraId="50A85674" w14:textId="77777777" w:rsidR="00FF06B8" w:rsidRPr="00A66DB6" w:rsidRDefault="00FF06B8" w:rsidP="00FF06B8">
            <w:pPr>
              <w:spacing w:after="0" w:line="240" w:lineRule="auto"/>
              <w:contextualSpacing/>
              <w:jc w:val="left"/>
              <w:rPr>
                <w:color w:val="auto"/>
                <w:szCs w:val="23"/>
              </w:rPr>
            </w:pPr>
          </w:p>
          <w:p w14:paraId="65097C27" w14:textId="635895E7" w:rsidR="00A66DB6" w:rsidRPr="00FB5633" w:rsidRDefault="00A66DB6" w:rsidP="00B1759A">
            <w:pPr>
              <w:pStyle w:val="ListParagraph"/>
              <w:numPr>
                <w:ilvl w:val="1"/>
                <w:numId w:val="60"/>
              </w:numPr>
              <w:spacing w:after="0" w:line="240" w:lineRule="auto"/>
              <w:ind w:left="606" w:hanging="606"/>
              <w:jc w:val="left"/>
            </w:pPr>
            <w:r w:rsidRPr="00BC31FC">
              <w:t>Deliver</w:t>
            </w:r>
            <w:r w:rsidRPr="000A2A4A">
              <w:t xml:space="preserve"> the Provider Development Program, </w:t>
            </w:r>
            <w:r w:rsidR="0065494C" w:rsidRPr="42DCF1A3">
              <w:t>supporting</w:t>
            </w:r>
            <w:r w:rsidR="0065494C" w:rsidRPr="00B1759A">
              <w:t xml:space="preserve"> capability and capacity building of the VET market, including</w:t>
            </w:r>
            <w:r w:rsidRPr="000A2A4A">
              <w:t>:</w:t>
            </w:r>
          </w:p>
          <w:p w14:paraId="37ECC01B" w14:textId="77777777" w:rsidR="00A66DB6" w:rsidRPr="00B1759A" w:rsidRDefault="00A66DB6" w:rsidP="00B1759A">
            <w:pPr>
              <w:numPr>
                <w:ilvl w:val="1"/>
                <w:numId w:val="26"/>
              </w:numPr>
              <w:spacing w:after="160" w:line="259" w:lineRule="auto"/>
              <w:ind w:left="1018" w:hanging="425"/>
              <w:contextualSpacing/>
              <w:jc w:val="left"/>
            </w:pPr>
            <w:r w:rsidRPr="00B1759A">
              <w:t xml:space="preserve">identifying activities/deliverables achieved in the reporting period and the contribution of these activities to the program’s outcomes </w:t>
            </w:r>
          </w:p>
          <w:p w14:paraId="3B3444C8" w14:textId="429BC294" w:rsidR="00C313BC" w:rsidRPr="000A2A4A" w:rsidRDefault="000062C7" w:rsidP="00C313BC">
            <w:pPr>
              <w:numPr>
                <w:ilvl w:val="1"/>
                <w:numId w:val="26"/>
              </w:numPr>
              <w:spacing w:after="160" w:line="259" w:lineRule="auto"/>
              <w:ind w:left="1018" w:hanging="425"/>
              <w:contextualSpacing/>
              <w:jc w:val="left"/>
            </w:pPr>
            <w:r>
              <w:t xml:space="preserve">promoting opportunities </w:t>
            </w:r>
            <w:r w:rsidR="00687276">
              <w:t xml:space="preserve">and gaining insights through </w:t>
            </w:r>
            <w:r w:rsidR="00C313BC" w:rsidRPr="00B1759A">
              <w:t>regular engagement with the VET sector</w:t>
            </w:r>
          </w:p>
          <w:p w14:paraId="33E5CAAA" w14:textId="77777777" w:rsidR="00FF06B8" w:rsidRPr="00A66DB6" w:rsidRDefault="00FF06B8" w:rsidP="00FF06B8">
            <w:pPr>
              <w:spacing w:after="0" w:line="240" w:lineRule="auto"/>
              <w:contextualSpacing/>
              <w:jc w:val="left"/>
              <w:rPr>
                <w:color w:val="auto"/>
                <w:szCs w:val="23"/>
              </w:rPr>
            </w:pPr>
          </w:p>
          <w:p w14:paraId="119CA651" w14:textId="77777777" w:rsidR="00A66DB6" w:rsidRPr="00FB5633" w:rsidRDefault="00A66DB6" w:rsidP="00B1759A">
            <w:pPr>
              <w:pStyle w:val="ListParagraph"/>
              <w:numPr>
                <w:ilvl w:val="1"/>
                <w:numId w:val="60"/>
              </w:numPr>
              <w:spacing w:after="0" w:line="240" w:lineRule="auto"/>
              <w:ind w:left="606" w:hanging="606"/>
              <w:jc w:val="left"/>
            </w:pPr>
            <w:r w:rsidRPr="00BC31FC">
              <w:t>Deliver</w:t>
            </w:r>
            <w:r w:rsidRPr="000A2A4A">
              <w:t xml:space="preserve"> industry</w:t>
            </w:r>
            <w:r w:rsidR="007A44F0" w:rsidRPr="00FB5633">
              <w:t xml:space="preserve"> sector </w:t>
            </w:r>
            <w:r w:rsidR="00C37189" w:rsidRPr="00FB5633">
              <w:t>plans</w:t>
            </w:r>
            <w:r w:rsidRPr="00FB5633" w:rsidDel="007A44F0">
              <w:t xml:space="preserve">, </w:t>
            </w:r>
            <w:r w:rsidRPr="00FB5633">
              <w:t>including:</w:t>
            </w:r>
          </w:p>
          <w:p w14:paraId="41A51AA3" w14:textId="77777777" w:rsidR="00A66DB6" w:rsidRPr="00B1759A" w:rsidRDefault="00A66DB6" w:rsidP="00B1759A">
            <w:pPr>
              <w:numPr>
                <w:ilvl w:val="1"/>
                <w:numId w:val="26"/>
              </w:numPr>
              <w:spacing w:after="160" w:line="259" w:lineRule="auto"/>
              <w:ind w:left="1018" w:hanging="425"/>
              <w:contextualSpacing/>
              <w:jc w:val="left"/>
            </w:pPr>
            <w:r w:rsidRPr="00B1759A">
              <w:t xml:space="preserve">manage the four </w:t>
            </w:r>
            <w:r w:rsidR="007A44F0" w:rsidRPr="00B1759A">
              <w:t xml:space="preserve">industry sector </w:t>
            </w:r>
            <w:r w:rsidR="00B44DA2" w:rsidRPr="00B1759A">
              <w:t>plans</w:t>
            </w:r>
            <w:r w:rsidRPr="00B1759A">
              <w:t xml:space="preserve"> established in 2019–20</w:t>
            </w:r>
          </w:p>
          <w:p w14:paraId="75FBB54E" w14:textId="77777777" w:rsidR="00A66DB6" w:rsidRPr="00B1759A" w:rsidRDefault="00A66DB6" w:rsidP="00B1759A">
            <w:pPr>
              <w:numPr>
                <w:ilvl w:val="1"/>
                <w:numId w:val="26"/>
              </w:numPr>
              <w:spacing w:after="160" w:line="259" w:lineRule="auto"/>
              <w:ind w:left="1018" w:hanging="425"/>
              <w:contextualSpacing/>
              <w:jc w:val="left"/>
            </w:pPr>
            <w:r w:rsidRPr="00B1759A">
              <w:t xml:space="preserve">implement the two additional </w:t>
            </w:r>
            <w:r w:rsidR="007A44F0" w:rsidRPr="00B1759A">
              <w:t xml:space="preserve">industry sector </w:t>
            </w:r>
            <w:r w:rsidRPr="00B1759A" w:rsidDel="007A44F0">
              <w:t xml:space="preserve">plans </w:t>
            </w:r>
            <w:r w:rsidR="00462071" w:rsidRPr="00B1759A">
              <w:t>developed</w:t>
            </w:r>
            <w:r w:rsidRPr="00B1759A">
              <w:t xml:space="preserve"> in 2020–21</w:t>
            </w:r>
          </w:p>
          <w:p w14:paraId="1DC98056" w14:textId="77777777" w:rsidR="00FF06B8" w:rsidRPr="00A66DB6" w:rsidRDefault="00FF06B8" w:rsidP="00FF06B8">
            <w:pPr>
              <w:spacing w:after="0" w:line="240" w:lineRule="auto"/>
              <w:contextualSpacing/>
              <w:jc w:val="left"/>
              <w:rPr>
                <w:color w:val="auto"/>
                <w:szCs w:val="23"/>
              </w:rPr>
            </w:pPr>
          </w:p>
          <w:p w14:paraId="564D1EBC" w14:textId="77777777" w:rsidR="00A66DB6" w:rsidRPr="00A66DB6" w:rsidRDefault="00A66DB6" w:rsidP="00B1759A">
            <w:pPr>
              <w:pStyle w:val="ListParagraph"/>
              <w:numPr>
                <w:ilvl w:val="1"/>
                <w:numId w:val="60"/>
              </w:numPr>
              <w:spacing w:after="0" w:line="240" w:lineRule="auto"/>
              <w:ind w:left="606" w:hanging="606"/>
              <w:jc w:val="left"/>
              <w:rPr>
                <w:szCs w:val="23"/>
              </w:rPr>
            </w:pPr>
            <w:r w:rsidRPr="00B1759A">
              <w:t>Deliver the apprenticeship and traineeship advisory service, with a view to:</w:t>
            </w:r>
          </w:p>
          <w:p w14:paraId="67A0F4AD" w14:textId="77777777" w:rsidR="00A66DB6" w:rsidRPr="00FB5633" w:rsidRDefault="00A66DB6" w:rsidP="00B1759A">
            <w:pPr>
              <w:numPr>
                <w:ilvl w:val="1"/>
                <w:numId w:val="26"/>
              </w:numPr>
              <w:spacing w:after="160" w:line="259" w:lineRule="auto"/>
              <w:ind w:left="1018" w:hanging="425"/>
              <w:contextualSpacing/>
              <w:jc w:val="left"/>
            </w:pPr>
            <w:r w:rsidRPr="000A2A4A">
              <w:t xml:space="preserve">identifying activities/deliverables achieved in the reporting period and the contribution of these activities to the program’s outcomes </w:t>
            </w:r>
          </w:p>
          <w:p w14:paraId="79FBF2E3" w14:textId="19C22913" w:rsidR="00A66DB6" w:rsidRPr="00B1759A" w:rsidRDefault="00A66DB6" w:rsidP="0025548E">
            <w:pPr>
              <w:spacing w:after="160" w:line="259" w:lineRule="auto"/>
              <w:ind w:left="1018"/>
              <w:contextualSpacing/>
              <w:jc w:val="left"/>
            </w:pPr>
            <w:r w:rsidRPr="00FB5633">
              <w:t xml:space="preserve">promoting opportunities </w:t>
            </w:r>
            <w:r w:rsidR="00CD37EA">
              <w:t xml:space="preserve">and gaining insights through </w:t>
            </w:r>
            <w:r w:rsidRPr="00B1759A">
              <w:t>engag</w:t>
            </w:r>
            <w:r w:rsidR="009F231D">
              <w:t>e</w:t>
            </w:r>
            <w:r w:rsidR="00107013">
              <w:t>ment</w:t>
            </w:r>
            <w:r w:rsidRPr="00B1759A">
              <w:t xml:space="preserve"> with </w:t>
            </w:r>
            <w:r w:rsidRPr="00B1759A">
              <w:lastRenderedPageBreak/>
              <w:t>industry</w:t>
            </w:r>
            <w:r w:rsidR="00D4293D" w:rsidRPr="00B1759A">
              <w:t>, including Industry Skills Councils</w:t>
            </w:r>
          </w:p>
          <w:p w14:paraId="51A1E766" w14:textId="77777777" w:rsidR="00FF06B8" w:rsidRPr="00A66DB6" w:rsidRDefault="00FF06B8" w:rsidP="00FF06B8">
            <w:pPr>
              <w:spacing w:after="0" w:line="240" w:lineRule="auto"/>
              <w:contextualSpacing/>
              <w:jc w:val="left"/>
              <w:rPr>
                <w:color w:val="auto"/>
                <w:szCs w:val="23"/>
              </w:rPr>
            </w:pPr>
          </w:p>
          <w:p w14:paraId="4B37147D" w14:textId="77777777" w:rsidR="00A66DB6" w:rsidRPr="00A66DB6" w:rsidRDefault="00A66DB6" w:rsidP="00B1759A">
            <w:pPr>
              <w:pStyle w:val="ListParagraph"/>
              <w:numPr>
                <w:ilvl w:val="1"/>
                <w:numId w:val="60"/>
              </w:numPr>
              <w:spacing w:after="0" w:line="240" w:lineRule="auto"/>
              <w:ind w:left="606" w:hanging="606"/>
              <w:jc w:val="left"/>
            </w:pPr>
            <w:r w:rsidRPr="000A2A4A">
              <w:t>Deliver the student support element of the project, with a view to:</w:t>
            </w:r>
          </w:p>
          <w:p w14:paraId="1B19D07C" w14:textId="77777777" w:rsidR="00A66DB6" w:rsidRPr="00FB5633" w:rsidRDefault="00A66DB6" w:rsidP="00B1759A">
            <w:pPr>
              <w:numPr>
                <w:ilvl w:val="1"/>
                <w:numId w:val="26"/>
              </w:numPr>
              <w:spacing w:after="160" w:line="259" w:lineRule="auto"/>
              <w:ind w:left="1018" w:hanging="425"/>
              <w:contextualSpacing/>
              <w:jc w:val="left"/>
            </w:pPr>
            <w:r w:rsidRPr="000A2A4A">
              <w:t xml:space="preserve">identifying activities/deliverables achieved in the reporting period and the contribution of these activities to the program’s outcomes </w:t>
            </w:r>
          </w:p>
          <w:p w14:paraId="2315FAEB" w14:textId="22DE8436" w:rsidR="009C3A05" w:rsidRDefault="00C37E69" w:rsidP="00B1759A">
            <w:pPr>
              <w:numPr>
                <w:ilvl w:val="1"/>
                <w:numId w:val="26"/>
              </w:numPr>
              <w:spacing w:after="160" w:line="259" w:lineRule="auto"/>
              <w:ind w:left="1018" w:hanging="425"/>
              <w:contextualSpacing/>
              <w:jc w:val="left"/>
            </w:pPr>
            <w:r>
              <w:t>delivering</w:t>
            </w:r>
            <w:r w:rsidR="00620288" w:rsidRPr="42DCF1A3">
              <w:t xml:space="preserve"> </w:t>
            </w:r>
            <w:r w:rsidR="00A66DB6" w:rsidRPr="42DCF1A3">
              <w:t xml:space="preserve">targeted incentives </w:t>
            </w:r>
            <w:r w:rsidR="009C3A05" w:rsidRPr="42DCF1A3">
              <w:t>and customised support</w:t>
            </w:r>
            <w:r w:rsidR="005950A8">
              <w:t xml:space="preserve">, </w:t>
            </w:r>
            <w:r w:rsidR="00533102">
              <w:t>includ</w:t>
            </w:r>
            <w:r w:rsidR="00957CA3">
              <w:t>ing</w:t>
            </w:r>
            <w:r w:rsidR="005950A8">
              <w:t xml:space="preserve"> </w:t>
            </w:r>
            <w:r w:rsidR="00F01A5D">
              <w:t>to overcome</w:t>
            </w:r>
            <w:r w:rsidR="00C0498C">
              <w:t xml:space="preserve"> barriers </w:t>
            </w:r>
            <w:r w:rsidR="00F01A5D">
              <w:t xml:space="preserve">to </w:t>
            </w:r>
            <w:r w:rsidR="00107013">
              <w:t>commencements, completions</w:t>
            </w:r>
            <w:r w:rsidR="005D6EA8">
              <w:t xml:space="preserve"> </w:t>
            </w:r>
            <w:r w:rsidR="006306B6">
              <w:t xml:space="preserve">and </w:t>
            </w:r>
            <w:r w:rsidR="005950A8">
              <w:t>region and cohort specific initiatives</w:t>
            </w:r>
            <w:r w:rsidR="00FF06B8">
              <w:t>.</w:t>
            </w:r>
          </w:p>
          <w:p w14:paraId="1D47D221" w14:textId="77777777" w:rsidR="00FF06B8" w:rsidRPr="00A66DB6" w:rsidRDefault="00FF06B8" w:rsidP="00FF06B8">
            <w:pPr>
              <w:spacing w:after="0" w:line="240" w:lineRule="auto"/>
              <w:contextualSpacing/>
              <w:jc w:val="left"/>
              <w:rPr>
                <w:color w:val="auto"/>
                <w:szCs w:val="23"/>
              </w:rPr>
            </w:pPr>
          </w:p>
          <w:p w14:paraId="6754FDC6" w14:textId="77777777" w:rsidR="00A66DB6" w:rsidRPr="00A66DB6" w:rsidRDefault="008233D1" w:rsidP="00B1759A">
            <w:pPr>
              <w:pStyle w:val="ListParagraph"/>
              <w:numPr>
                <w:ilvl w:val="1"/>
                <w:numId w:val="60"/>
              </w:numPr>
              <w:spacing w:after="0" w:line="240" w:lineRule="auto"/>
              <w:ind w:left="606" w:hanging="606"/>
              <w:jc w:val="left"/>
            </w:pPr>
            <w:r w:rsidRPr="000A2A4A">
              <w:t xml:space="preserve">Deliver customised support and incentives </w:t>
            </w:r>
            <w:r w:rsidR="00A66DB6" w:rsidRPr="00FB5633">
              <w:t xml:space="preserve">for </w:t>
            </w:r>
            <w:r w:rsidRPr="00FB5633">
              <w:t xml:space="preserve">prospective </w:t>
            </w:r>
            <w:r w:rsidR="00A66DB6" w:rsidRPr="00FB5633">
              <w:t>employers</w:t>
            </w:r>
            <w:r w:rsidRPr="00FB5633">
              <w:t>,</w:t>
            </w:r>
            <w:r w:rsidR="00A66DB6" w:rsidRPr="00FB5633">
              <w:t xml:space="preserve"> with a view to:</w:t>
            </w:r>
          </w:p>
          <w:p w14:paraId="42988134" w14:textId="77777777" w:rsidR="00A66DB6" w:rsidRPr="007A44F0" w:rsidRDefault="00A66DB6" w:rsidP="00B1759A">
            <w:pPr>
              <w:numPr>
                <w:ilvl w:val="1"/>
                <w:numId w:val="26"/>
              </w:numPr>
              <w:spacing w:after="160" w:line="259" w:lineRule="auto"/>
              <w:ind w:left="1018" w:hanging="425"/>
              <w:contextualSpacing/>
              <w:jc w:val="left"/>
            </w:pPr>
            <w:r w:rsidRPr="000A2A4A">
              <w:t>identifying activities/deliverables achieved in the reporting period and the contribution of these activities to the program’s outcomes</w:t>
            </w:r>
          </w:p>
          <w:p w14:paraId="1EEFB7A8" w14:textId="2B2F176F" w:rsidR="00657F26" w:rsidRPr="00657F26" w:rsidRDefault="00657F26" w:rsidP="009B6C3F">
            <w:pPr>
              <w:numPr>
                <w:ilvl w:val="1"/>
                <w:numId w:val="26"/>
              </w:numPr>
              <w:spacing w:after="160" w:line="259" w:lineRule="auto"/>
              <w:ind w:left="1018" w:hanging="425"/>
              <w:contextualSpacing/>
              <w:jc w:val="left"/>
            </w:pPr>
            <w:r w:rsidRPr="000A2A4A">
              <w:t>funding project proposals</w:t>
            </w:r>
            <w:r w:rsidR="001763BC">
              <w:t xml:space="preserve">, customised </w:t>
            </w:r>
            <w:r w:rsidR="000F42CB">
              <w:t>support,</w:t>
            </w:r>
            <w:r w:rsidR="001763BC">
              <w:t xml:space="preserve"> and </w:t>
            </w:r>
            <w:r w:rsidR="009621F8">
              <w:t>incentives</w:t>
            </w:r>
            <w:r w:rsidRPr="000A2A4A">
              <w:t xml:space="preserve"> that </w:t>
            </w:r>
            <w:r w:rsidRPr="00FB5633">
              <w:t>have industry and/or employer involvement</w:t>
            </w:r>
            <w:r w:rsidR="0070345E">
              <w:t>,</w:t>
            </w:r>
            <w:r w:rsidR="00533102">
              <w:t xml:space="preserve"> includ</w:t>
            </w:r>
            <w:r w:rsidR="00957CA3">
              <w:t>ing</w:t>
            </w:r>
            <w:r w:rsidR="00A222A7">
              <w:t xml:space="preserve"> region and cohort specific initiatives</w:t>
            </w:r>
          </w:p>
          <w:p w14:paraId="6D655F67" w14:textId="25FE5D9B" w:rsidR="00BA071D" w:rsidRPr="004A4B92" w:rsidRDefault="00BA071D" w:rsidP="004A4B92">
            <w:pPr>
              <w:spacing w:after="160" w:line="259" w:lineRule="auto"/>
              <w:contextualSpacing/>
              <w:jc w:val="left"/>
              <w:rPr>
                <w:szCs w:val="23"/>
              </w:rPr>
            </w:pPr>
          </w:p>
        </w:tc>
        <w:tc>
          <w:tcPr>
            <w:tcW w:w="1843" w:type="dxa"/>
          </w:tcPr>
          <w:p w14:paraId="6509D52C" w14:textId="77777777" w:rsidR="00A66DB6" w:rsidRPr="00A66DB6" w:rsidRDefault="00A66DB6" w:rsidP="00B1759A">
            <w:pPr>
              <w:spacing w:after="160" w:line="259" w:lineRule="auto"/>
              <w:jc w:val="right"/>
              <w:rPr>
                <w:rFonts w:eastAsia="Calibri"/>
                <w:color w:val="auto"/>
                <w:sz w:val="22"/>
                <w:szCs w:val="22"/>
                <w:lang w:eastAsia="en-US"/>
              </w:rPr>
            </w:pPr>
            <w:r w:rsidRPr="00A66DB6">
              <w:rPr>
                <w:rFonts w:eastAsia="Calibri"/>
                <w:color w:val="auto"/>
                <w:sz w:val="22"/>
                <w:szCs w:val="22"/>
                <w:lang w:eastAsia="en-US"/>
              </w:rPr>
              <w:lastRenderedPageBreak/>
              <w:t>30 April 2022</w:t>
            </w:r>
          </w:p>
        </w:tc>
        <w:tc>
          <w:tcPr>
            <w:tcW w:w="1701" w:type="dxa"/>
          </w:tcPr>
          <w:p w14:paraId="4543E269" w14:textId="00651C9D" w:rsidR="00EA69DA" w:rsidRPr="00A66DB6" w:rsidRDefault="00E25E69" w:rsidP="00A605BA">
            <w:pPr>
              <w:spacing w:after="160" w:line="259" w:lineRule="auto"/>
              <w:jc w:val="right"/>
              <w:rPr>
                <w:rFonts w:eastAsia="Calibri"/>
                <w:color w:val="auto"/>
                <w:sz w:val="22"/>
                <w:szCs w:val="22"/>
                <w:lang w:eastAsia="en-US"/>
              </w:rPr>
            </w:pPr>
            <w:r w:rsidRPr="00E25E69">
              <w:rPr>
                <w:rFonts w:eastAsia="Calibri"/>
                <w:color w:val="auto"/>
                <w:sz w:val="22"/>
                <w:szCs w:val="22"/>
                <w:lang w:eastAsia="en-US"/>
              </w:rPr>
              <w:t>$4,234,000</w:t>
            </w:r>
          </w:p>
        </w:tc>
      </w:tr>
    </w:tbl>
    <w:p w14:paraId="4E5DE4CD" w14:textId="77777777" w:rsidR="009A1C15" w:rsidRPr="009A1C15" w:rsidRDefault="009A1C15" w:rsidP="006E2D0B">
      <w:pPr>
        <w:spacing w:before="240"/>
        <w:rPr>
          <w:b/>
          <w:szCs w:val="23"/>
        </w:rPr>
      </w:pPr>
      <w:r w:rsidRPr="009A1C15">
        <w:rPr>
          <w:b/>
          <w:szCs w:val="23"/>
        </w:rPr>
        <w:t xml:space="preserve">Performance benchmark part-payments </w:t>
      </w:r>
    </w:p>
    <w:p w14:paraId="031F5BE7" w14:textId="77777777" w:rsidR="00CC5507" w:rsidRPr="003E5120" w:rsidRDefault="00CC5507" w:rsidP="005C1DB5">
      <w:pPr>
        <w:pStyle w:val="ScheduleNumberedPara"/>
        <w:numPr>
          <w:ilvl w:val="1"/>
          <w:numId w:val="1"/>
        </w:numPr>
        <w:tabs>
          <w:tab w:val="num" w:pos="2268"/>
        </w:tabs>
        <w:jc w:val="left"/>
      </w:pPr>
      <w:r w:rsidRPr="003E5120">
        <w:t>The calculation of pro rata performance payments will be on the following basis:</w:t>
      </w:r>
    </w:p>
    <w:p w14:paraId="65154EB5" w14:textId="77777777" w:rsidR="00CC5507" w:rsidRPr="00B70B6B" w:rsidRDefault="00CC5507" w:rsidP="005C1DB5">
      <w:pPr>
        <w:pStyle w:val="ScheduleNumberedPara"/>
        <w:numPr>
          <w:ilvl w:val="0"/>
          <w:numId w:val="40"/>
        </w:numPr>
        <w:ind w:left="1134" w:hanging="567"/>
        <w:jc w:val="left"/>
      </w:pPr>
      <w:r w:rsidRPr="00B70B6B">
        <w:t>Pro-rata payment = (1 + (A-B)/</w:t>
      </w:r>
      <w:proofErr w:type="gramStart"/>
      <w:r w:rsidRPr="00B70B6B">
        <w:t>C)*</w:t>
      </w:r>
      <w:proofErr w:type="gramEnd"/>
      <w:r w:rsidRPr="00B70B6B">
        <w:t>D</w:t>
      </w:r>
    </w:p>
    <w:p w14:paraId="7D7972E2" w14:textId="77777777" w:rsidR="00CC5507" w:rsidRPr="00B70B6B" w:rsidRDefault="00CC5507" w:rsidP="005C1DB5">
      <w:pPr>
        <w:pStyle w:val="ScheduleNumberedPara"/>
        <w:ind w:left="1134" w:hanging="567"/>
        <w:jc w:val="left"/>
      </w:pPr>
      <w:r w:rsidRPr="00B70B6B">
        <w:t>Where</w:t>
      </w:r>
    </w:p>
    <w:p w14:paraId="373945FB" w14:textId="284E8487" w:rsidR="00CC5507" w:rsidRPr="00B70B6B" w:rsidRDefault="00CC5507" w:rsidP="005C1DB5">
      <w:pPr>
        <w:spacing w:after="120"/>
        <w:ind w:left="567"/>
        <w:jc w:val="left"/>
        <w:rPr>
          <w:color w:val="auto"/>
        </w:rPr>
      </w:pPr>
      <w:r w:rsidRPr="00B70B6B">
        <w:rPr>
          <w:color w:val="auto"/>
        </w:rPr>
        <w:t xml:space="preserve">A </w:t>
      </w:r>
      <w:r w:rsidR="005676D9">
        <w:rPr>
          <w:color w:val="auto"/>
        </w:rPr>
        <w:t xml:space="preserve">  </w:t>
      </w:r>
      <w:r w:rsidRPr="00B70B6B">
        <w:rPr>
          <w:color w:val="auto"/>
        </w:rPr>
        <w:t>is the number of commencements</w:t>
      </w:r>
      <w:r w:rsidR="00DE0853" w:rsidRPr="00B70B6B">
        <w:rPr>
          <w:color w:val="auto"/>
        </w:rPr>
        <w:t xml:space="preserve"> </w:t>
      </w:r>
      <w:r w:rsidRPr="00B70B6B">
        <w:rPr>
          <w:color w:val="auto"/>
        </w:rPr>
        <w:t>reported on the 30 April</w:t>
      </w:r>
    </w:p>
    <w:p w14:paraId="2B3E8E05" w14:textId="673EEA4F" w:rsidR="00CC5507" w:rsidRPr="00B70B6B" w:rsidRDefault="00CC5507" w:rsidP="005676D9">
      <w:pPr>
        <w:spacing w:after="120"/>
        <w:ind w:left="851" w:hanging="284"/>
        <w:jc w:val="left"/>
        <w:rPr>
          <w:color w:val="auto"/>
        </w:rPr>
      </w:pPr>
      <w:r w:rsidRPr="00B70B6B">
        <w:rPr>
          <w:color w:val="auto"/>
        </w:rPr>
        <w:t xml:space="preserve">B </w:t>
      </w:r>
      <w:r w:rsidR="005676D9">
        <w:rPr>
          <w:color w:val="auto"/>
        </w:rPr>
        <w:t xml:space="preserve">  </w:t>
      </w:r>
      <w:r w:rsidRPr="00B70B6B">
        <w:rPr>
          <w:color w:val="auto"/>
        </w:rPr>
        <w:t>is the number of commencements required to receive the minimum performance payment</w:t>
      </w:r>
      <w:r w:rsidR="00DE0853" w:rsidRPr="00B70B6B">
        <w:rPr>
          <w:color w:val="auto"/>
        </w:rPr>
        <w:t xml:space="preserve"> at 30 April</w:t>
      </w:r>
    </w:p>
    <w:p w14:paraId="19DB1582" w14:textId="73AFCC89" w:rsidR="00CC5507" w:rsidRPr="00B70B6B" w:rsidRDefault="00CC5507" w:rsidP="005676D9">
      <w:pPr>
        <w:spacing w:after="120"/>
        <w:ind w:left="851" w:hanging="284"/>
        <w:jc w:val="left"/>
        <w:rPr>
          <w:color w:val="auto"/>
        </w:rPr>
      </w:pPr>
      <w:r w:rsidRPr="00B70B6B">
        <w:rPr>
          <w:color w:val="auto"/>
        </w:rPr>
        <w:t xml:space="preserve">C </w:t>
      </w:r>
      <w:r w:rsidR="005676D9">
        <w:rPr>
          <w:color w:val="auto"/>
        </w:rPr>
        <w:t xml:space="preserve">  </w:t>
      </w:r>
      <w:r w:rsidRPr="00B70B6B">
        <w:rPr>
          <w:color w:val="auto"/>
        </w:rPr>
        <w:t xml:space="preserve">is the difference between the </w:t>
      </w:r>
      <w:r w:rsidR="00DE0853" w:rsidRPr="00B70B6B">
        <w:rPr>
          <w:color w:val="auto"/>
        </w:rPr>
        <w:t xml:space="preserve">number of commencements required to receive the full performance payment </w:t>
      </w:r>
      <w:r w:rsidR="00126309" w:rsidRPr="00B70B6B">
        <w:rPr>
          <w:color w:val="auto"/>
        </w:rPr>
        <w:t xml:space="preserve">at 30 April </w:t>
      </w:r>
      <w:r w:rsidR="00DE0853" w:rsidRPr="00B70B6B">
        <w:rPr>
          <w:color w:val="auto"/>
        </w:rPr>
        <w:t>and the number of commencements required to receive the minimum performance payment</w:t>
      </w:r>
      <w:r w:rsidR="00126309" w:rsidRPr="00B70B6B">
        <w:rPr>
          <w:color w:val="auto"/>
        </w:rPr>
        <w:t xml:space="preserve"> at 30 April</w:t>
      </w:r>
    </w:p>
    <w:p w14:paraId="04D4DED7" w14:textId="77777777" w:rsidR="00CC5507" w:rsidRPr="00B5619B" w:rsidRDefault="00CC5507" w:rsidP="005C1DB5">
      <w:pPr>
        <w:spacing w:after="120"/>
        <w:ind w:left="567"/>
        <w:jc w:val="left"/>
        <w:rPr>
          <w:color w:val="auto"/>
        </w:rPr>
      </w:pPr>
      <w:r w:rsidRPr="00B70B6B">
        <w:rPr>
          <w:color w:val="auto"/>
        </w:rPr>
        <w:t>D is the minimum performance payment</w:t>
      </w:r>
      <w:r w:rsidR="003C742B" w:rsidRPr="00B70B6B">
        <w:rPr>
          <w:color w:val="auto"/>
        </w:rPr>
        <w:t>.</w:t>
      </w:r>
      <w:r w:rsidRPr="00B5619B">
        <w:rPr>
          <w:color w:val="auto"/>
        </w:rPr>
        <w:t xml:space="preserve"> </w:t>
      </w:r>
    </w:p>
    <w:p w14:paraId="7575A3F0" w14:textId="77777777" w:rsidR="009A1C15" w:rsidRPr="009A1C15" w:rsidRDefault="009A1C15" w:rsidP="005C1DB5">
      <w:pPr>
        <w:spacing w:before="240"/>
        <w:jc w:val="left"/>
        <w:rPr>
          <w:b/>
        </w:rPr>
      </w:pPr>
      <w:r w:rsidRPr="009A1C15">
        <w:rPr>
          <w:b/>
        </w:rPr>
        <w:t>Carrying forward</w:t>
      </w:r>
      <w:r w:rsidRPr="009A1C15" w:rsidDel="007750E8">
        <w:rPr>
          <w:b/>
        </w:rPr>
        <w:t xml:space="preserve"> </w:t>
      </w:r>
      <w:r w:rsidRPr="009A1C15">
        <w:rPr>
          <w:b/>
        </w:rPr>
        <w:t>additional commencements</w:t>
      </w:r>
      <w:r w:rsidR="00CC1C6A">
        <w:rPr>
          <w:b/>
        </w:rPr>
        <w:t xml:space="preserve"> above the total performance benchmark</w:t>
      </w:r>
    </w:p>
    <w:p w14:paraId="3D1F131E" w14:textId="05259FDA" w:rsidR="00492B4E" w:rsidRPr="00792E90" w:rsidRDefault="00492B4E" w:rsidP="005C1DB5">
      <w:pPr>
        <w:pStyle w:val="ScheduleNumberedPara"/>
        <w:numPr>
          <w:ilvl w:val="1"/>
          <w:numId w:val="1"/>
        </w:numPr>
        <w:tabs>
          <w:tab w:val="num" w:pos="2268"/>
        </w:tabs>
        <w:jc w:val="left"/>
      </w:pPr>
      <w:r w:rsidRPr="003E5120">
        <w:t xml:space="preserve">In accordance with clause 11 of the Agreement, </w:t>
      </w:r>
      <w:r w:rsidR="00792E90" w:rsidRPr="003E5120">
        <w:t xml:space="preserve">South </w:t>
      </w:r>
      <w:r w:rsidRPr="003E5120">
        <w:t xml:space="preserve">Australia may carry forward </w:t>
      </w:r>
      <w:r w:rsidR="005676D9">
        <w:t xml:space="preserve">any </w:t>
      </w:r>
      <w:r w:rsidRPr="003E5120">
        <w:t xml:space="preserve">commencements </w:t>
      </w:r>
      <w:r w:rsidR="00D233A5">
        <w:t xml:space="preserve">achieved </w:t>
      </w:r>
      <w:r w:rsidRPr="003E5120">
        <w:t xml:space="preserve">above the total performance benchmark in </w:t>
      </w:r>
      <w:proofErr w:type="gramStart"/>
      <w:r w:rsidRPr="003E5120">
        <w:t>a  financial</w:t>
      </w:r>
      <w:proofErr w:type="gramEnd"/>
      <w:r w:rsidRPr="003E5120">
        <w:t xml:space="preserve"> year to</w:t>
      </w:r>
      <w:r w:rsidR="00D233A5">
        <w:t xml:space="preserve"> contribute to </w:t>
      </w:r>
      <w:r w:rsidRPr="003E5120">
        <w:t xml:space="preserve"> performance benchmark</w:t>
      </w:r>
      <w:r w:rsidR="00D233A5">
        <w:t>/s</w:t>
      </w:r>
      <w:r w:rsidRPr="003E5120">
        <w:t xml:space="preserve">s in  </w:t>
      </w:r>
      <w:r w:rsidR="00D233A5">
        <w:t xml:space="preserve">following </w:t>
      </w:r>
      <w:r w:rsidRPr="003E5120">
        <w:t xml:space="preserve"> financial year</w:t>
      </w:r>
      <w:r w:rsidR="00D233A5">
        <w:t>s for the duration of the National Partnership</w:t>
      </w:r>
      <w:r w:rsidRPr="003E5120">
        <w:t xml:space="preserve">.  </w:t>
      </w:r>
    </w:p>
    <w:p w14:paraId="6C2D3326" w14:textId="0F721E87" w:rsidR="00492B4E" w:rsidRPr="003E5120" w:rsidRDefault="00492B4E" w:rsidP="005C1DB5">
      <w:pPr>
        <w:pStyle w:val="ListParagraph"/>
        <w:numPr>
          <w:ilvl w:val="0"/>
          <w:numId w:val="62"/>
        </w:numPr>
        <w:spacing w:after="120"/>
        <w:ind w:left="1134" w:hanging="567"/>
        <w:contextualSpacing w:val="0"/>
        <w:jc w:val="left"/>
        <w:rPr>
          <w:color w:val="auto"/>
          <w:szCs w:val="23"/>
        </w:rPr>
      </w:pPr>
      <w:r w:rsidRPr="003E5120">
        <w:rPr>
          <w:color w:val="auto"/>
          <w:szCs w:val="23"/>
        </w:rPr>
        <w:lastRenderedPageBreak/>
        <w:t xml:space="preserve">The number of commencements </w:t>
      </w:r>
      <w:proofErr w:type="gramStart"/>
      <w:r w:rsidRPr="003E5120">
        <w:rPr>
          <w:color w:val="auto"/>
          <w:szCs w:val="23"/>
        </w:rPr>
        <w:t>are</w:t>
      </w:r>
      <w:proofErr w:type="gramEnd"/>
      <w:r w:rsidRPr="003E5120">
        <w:rPr>
          <w:color w:val="auto"/>
          <w:szCs w:val="23"/>
        </w:rPr>
        <w:t xml:space="preserve"> to be confirmed through final, validated data for the period 1 July to 30 June</w:t>
      </w:r>
      <w:r w:rsidR="00D233A5">
        <w:rPr>
          <w:color w:val="auto"/>
          <w:szCs w:val="23"/>
        </w:rPr>
        <w:t>.</w:t>
      </w:r>
    </w:p>
    <w:p w14:paraId="1D101D10" w14:textId="13F51B72" w:rsidR="00B1759A" w:rsidRDefault="00492B4E" w:rsidP="005C1DB5">
      <w:pPr>
        <w:pStyle w:val="ListParagraph"/>
        <w:numPr>
          <w:ilvl w:val="0"/>
          <w:numId w:val="62"/>
        </w:numPr>
        <w:spacing w:after="120"/>
        <w:ind w:left="1134" w:hanging="567"/>
        <w:contextualSpacing w:val="0"/>
        <w:jc w:val="left"/>
        <w:rPr>
          <w:color w:val="auto"/>
          <w:szCs w:val="23"/>
        </w:rPr>
      </w:pPr>
      <w:r w:rsidRPr="003E5120">
        <w:rPr>
          <w:color w:val="auto"/>
          <w:szCs w:val="23"/>
        </w:rPr>
        <w:t>The confirmed number of commencements are to be reported in the 30 April annual report in the financial year in which the commencements are to count towards any identified performance benchmark</w:t>
      </w:r>
      <w:r w:rsidR="00D233A5">
        <w:rPr>
          <w:color w:val="auto"/>
          <w:szCs w:val="23"/>
        </w:rPr>
        <w:t>/s</w:t>
      </w:r>
      <w:r w:rsidRPr="003E5120">
        <w:rPr>
          <w:color w:val="auto"/>
          <w:szCs w:val="23"/>
        </w:rPr>
        <w:t xml:space="preserve">.  </w:t>
      </w:r>
    </w:p>
    <w:p w14:paraId="0E37A3CA" w14:textId="311FE3F8" w:rsidR="00B1759A" w:rsidRDefault="00492B4E" w:rsidP="005C1DB5">
      <w:pPr>
        <w:pStyle w:val="ListParagraph"/>
        <w:numPr>
          <w:ilvl w:val="0"/>
          <w:numId w:val="62"/>
        </w:numPr>
        <w:spacing w:after="120"/>
        <w:ind w:left="1134" w:hanging="567"/>
        <w:contextualSpacing w:val="0"/>
        <w:jc w:val="left"/>
        <w:rPr>
          <w:color w:val="auto"/>
          <w:szCs w:val="23"/>
        </w:rPr>
      </w:pPr>
      <w:r w:rsidRPr="00B1759A">
        <w:rPr>
          <w:color w:val="auto"/>
          <w:szCs w:val="23"/>
        </w:rPr>
        <w:t>The confirmed commencements can only be counted towards the same training activity, or an alternative training activity as determined in Attachment A</w:t>
      </w:r>
      <w:r w:rsidR="00D233A5">
        <w:rPr>
          <w:color w:val="auto"/>
          <w:szCs w:val="23"/>
        </w:rPr>
        <w:t xml:space="preserve"> of this schedule</w:t>
      </w:r>
      <w:r w:rsidRPr="00B1759A">
        <w:rPr>
          <w:color w:val="auto"/>
          <w:szCs w:val="23"/>
        </w:rPr>
        <w:t>.</w:t>
      </w:r>
    </w:p>
    <w:p w14:paraId="07933FF9" w14:textId="77777777" w:rsidR="00B1759A" w:rsidRDefault="00492B4E" w:rsidP="005C1DB5">
      <w:pPr>
        <w:pStyle w:val="ListParagraph"/>
        <w:numPr>
          <w:ilvl w:val="0"/>
          <w:numId w:val="62"/>
        </w:numPr>
        <w:spacing w:after="120"/>
        <w:ind w:left="1134" w:hanging="567"/>
        <w:contextualSpacing w:val="0"/>
        <w:jc w:val="left"/>
        <w:rPr>
          <w:color w:val="auto"/>
          <w:szCs w:val="23"/>
        </w:rPr>
      </w:pPr>
      <w:r w:rsidRPr="00B1759A">
        <w:rPr>
          <w:color w:val="auto"/>
          <w:szCs w:val="23"/>
        </w:rPr>
        <w:t xml:space="preserve">Any confirmed commencements can only be used once. </w:t>
      </w:r>
    </w:p>
    <w:p w14:paraId="7493DFDE" w14:textId="77777777" w:rsidR="00D233A5" w:rsidRPr="0045725C" w:rsidRDefault="00D233A5" w:rsidP="00D233A5">
      <w:pPr>
        <w:pStyle w:val="ListParagraph"/>
        <w:numPr>
          <w:ilvl w:val="0"/>
          <w:numId w:val="62"/>
        </w:numPr>
        <w:spacing w:after="120"/>
        <w:ind w:left="1134" w:hanging="567"/>
        <w:contextualSpacing w:val="0"/>
        <w:jc w:val="left"/>
      </w:pPr>
      <w:r>
        <w:rPr>
          <w:color w:val="auto"/>
        </w:rPr>
        <w:t xml:space="preserve">Any confirmed commencements </w:t>
      </w:r>
      <w:proofErr w:type="gramStart"/>
      <w:r>
        <w:rPr>
          <w:color w:val="auto"/>
        </w:rPr>
        <w:t>in a given year</w:t>
      </w:r>
      <w:proofErr w:type="gramEnd"/>
      <w:r>
        <w:rPr>
          <w:color w:val="auto"/>
        </w:rPr>
        <w:t xml:space="preserve"> that are not used, may be retained for future years of the National Partnerships. </w:t>
      </w:r>
    </w:p>
    <w:p w14:paraId="680045D3" w14:textId="77777777" w:rsidR="00D233A5" w:rsidRDefault="00D233A5" w:rsidP="00D233A5">
      <w:pPr>
        <w:pStyle w:val="ListParagraph"/>
        <w:numPr>
          <w:ilvl w:val="0"/>
          <w:numId w:val="62"/>
        </w:numPr>
        <w:spacing w:after="120"/>
        <w:ind w:left="1134" w:hanging="567"/>
        <w:contextualSpacing w:val="0"/>
        <w:jc w:val="left"/>
        <w:rPr>
          <w:color w:val="auto"/>
        </w:rPr>
      </w:pPr>
      <w:r>
        <w:rPr>
          <w:color w:val="auto"/>
        </w:rPr>
        <w:t>Any ‘like activity’ commencements are treated as for other commencements, with the exception that:</w:t>
      </w:r>
    </w:p>
    <w:p w14:paraId="6D83AB5B" w14:textId="77777777" w:rsidR="00D233A5" w:rsidRDefault="00D233A5" w:rsidP="00D233A5">
      <w:pPr>
        <w:pStyle w:val="ListParagraph"/>
        <w:numPr>
          <w:ilvl w:val="1"/>
          <w:numId w:val="62"/>
        </w:numPr>
        <w:spacing w:after="120"/>
        <w:contextualSpacing w:val="0"/>
        <w:jc w:val="left"/>
        <w:rPr>
          <w:color w:val="auto"/>
        </w:rPr>
      </w:pPr>
      <w:r>
        <w:rPr>
          <w:color w:val="auto"/>
        </w:rPr>
        <w:t>any annual caps, identified in Attachment A of this schedule, applies.</w:t>
      </w:r>
    </w:p>
    <w:p w14:paraId="3B98EB9E" w14:textId="7D1917DD" w:rsidR="00D233A5" w:rsidRPr="00D233A5" w:rsidRDefault="00D233A5" w:rsidP="00D233A5">
      <w:pPr>
        <w:pStyle w:val="ListParagraph"/>
        <w:numPr>
          <w:ilvl w:val="1"/>
          <w:numId w:val="62"/>
        </w:numPr>
        <w:spacing w:after="120"/>
        <w:contextualSpacing w:val="0"/>
        <w:jc w:val="left"/>
        <w:rPr>
          <w:color w:val="auto"/>
        </w:rPr>
      </w:pPr>
      <w:r>
        <w:rPr>
          <w:color w:val="auto"/>
        </w:rPr>
        <w:t xml:space="preserve">any commencements achieved beyond the cap cannot be retained for future years. </w:t>
      </w:r>
    </w:p>
    <w:p w14:paraId="00DC667F" w14:textId="77777777" w:rsidR="009A1C15" w:rsidRPr="002B1646" w:rsidRDefault="009A1C15" w:rsidP="005C1DB5">
      <w:pPr>
        <w:spacing w:before="240"/>
        <w:jc w:val="left"/>
        <w:rPr>
          <w:b/>
        </w:rPr>
      </w:pPr>
      <w:r w:rsidRPr="002B1646">
        <w:rPr>
          <w:b/>
        </w:rPr>
        <w:t>Reporting</w:t>
      </w:r>
    </w:p>
    <w:p w14:paraId="2254C5A5" w14:textId="77777777" w:rsidR="009A1C15" w:rsidRPr="00F94B0F" w:rsidRDefault="009A1C15" w:rsidP="005C1DB5">
      <w:pPr>
        <w:pStyle w:val="ScheduleNumberedPara"/>
        <w:numPr>
          <w:ilvl w:val="1"/>
          <w:numId w:val="1"/>
        </w:numPr>
        <w:tabs>
          <w:tab w:val="num" w:pos="2268"/>
        </w:tabs>
        <w:jc w:val="left"/>
      </w:pPr>
      <w:r w:rsidRPr="00F94B0F">
        <w:t xml:space="preserve">The Commonwealth will accept a final report with draft data up to 30 April of the reporting year. </w:t>
      </w:r>
    </w:p>
    <w:p w14:paraId="292F0490" w14:textId="77777777" w:rsidR="00354E36" w:rsidRDefault="009A1C15" w:rsidP="005C1DB5">
      <w:pPr>
        <w:pStyle w:val="ListParagraph"/>
        <w:numPr>
          <w:ilvl w:val="2"/>
          <w:numId w:val="8"/>
        </w:numPr>
        <w:tabs>
          <w:tab w:val="clear" w:pos="1593"/>
        </w:tabs>
        <w:spacing w:after="120"/>
        <w:ind w:left="1134" w:hanging="567"/>
        <w:contextualSpacing w:val="0"/>
        <w:jc w:val="left"/>
      </w:pPr>
      <w:r w:rsidRPr="004153CA">
        <w:t xml:space="preserve">Validated </w:t>
      </w:r>
      <w:r w:rsidR="00611E42">
        <w:t xml:space="preserve">South Australian </w:t>
      </w:r>
      <w:r w:rsidR="00792E90">
        <w:t xml:space="preserve">data must be received </w:t>
      </w:r>
      <w:r w:rsidRPr="004153CA">
        <w:t>by the Commonwealth within two weeks following this date.</w:t>
      </w:r>
    </w:p>
    <w:p w14:paraId="0BCEE171" w14:textId="3276E16D" w:rsidR="009A1C15" w:rsidRDefault="009A1C15" w:rsidP="005C1DB5">
      <w:pPr>
        <w:pStyle w:val="ListParagraph"/>
        <w:numPr>
          <w:ilvl w:val="2"/>
          <w:numId w:val="8"/>
        </w:numPr>
        <w:tabs>
          <w:tab w:val="clear" w:pos="1593"/>
        </w:tabs>
        <w:spacing w:after="120"/>
        <w:ind w:left="1134" w:hanging="567"/>
        <w:contextualSpacing w:val="0"/>
        <w:jc w:val="left"/>
      </w:pPr>
      <w:r w:rsidRPr="004153CA">
        <w:t>Where South Australia is seeking to count any commencements from a previous financial year, those commencements are to be included in the 30 April report.</w:t>
      </w:r>
    </w:p>
    <w:p w14:paraId="15B2E40C" w14:textId="79104E17" w:rsidR="00D233A5" w:rsidRPr="004153CA" w:rsidRDefault="00D233A5" w:rsidP="00922A23">
      <w:pPr>
        <w:pStyle w:val="ListParagraph"/>
        <w:numPr>
          <w:ilvl w:val="1"/>
          <w:numId w:val="66"/>
        </w:numPr>
        <w:spacing w:after="120"/>
        <w:contextualSpacing w:val="0"/>
        <w:jc w:val="left"/>
      </w:pPr>
      <w:r>
        <w:t xml:space="preserve"> Full financial year </w:t>
      </w:r>
      <w:r w:rsidR="007162C5">
        <w:t xml:space="preserve">activity </w:t>
      </w:r>
      <w:r>
        <w:t xml:space="preserve">data for each training </w:t>
      </w:r>
      <w:r w:rsidR="00DE0AF4">
        <w:t xml:space="preserve">category is to be provided to the Commonwealth by the end of September, to assist in reporting national performance. </w:t>
      </w:r>
    </w:p>
    <w:p w14:paraId="1AAB7512" w14:textId="77777777" w:rsidR="00792E90" w:rsidRDefault="00792E90">
      <w:pPr>
        <w:spacing w:after="200" w:line="276" w:lineRule="auto"/>
        <w:jc w:val="left"/>
        <w:rPr>
          <w:rFonts w:ascii="Consolas" w:hAnsi="Consolas" w:cs="Arial"/>
          <w:bCs/>
          <w:caps/>
          <w:color w:val="3D4B67"/>
          <w:kern w:val="32"/>
          <w:sz w:val="32"/>
          <w:szCs w:val="36"/>
        </w:rPr>
      </w:pPr>
      <w:r>
        <w:br w:type="page"/>
      </w:r>
    </w:p>
    <w:p w14:paraId="3EB6FA89" w14:textId="77777777" w:rsidR="00577605" w:rsidRPr="006879D3" w:rsidRDefault="00EF15BB" w:rsidP="00577605">
      <w:pPr>
        <w:pStyle w:val="Heading1"/>
      </w:pPr>
      <w:r w:rsidRPr="006879D3">
        <w:lastRenderedPageBreak/>
        <w:t>Part 5</w:t>
      </w:r>
      <w:r w:rsidR="00DF0047" w:rsidRPr="006879D3">
        <w:t xml:space="preserve"> –</w:t>
      </w:r>
      <w:r w:rsidR="00577605" w:rsidRPr="006879D3">
        <w:t xml:space="preserve"> Sign Off</w:t>
      </w:r>
    </w:p>
    <w:p w14:paraId="0CB62470" w14:textId="77777777" w:rsidR="00577605" w:rsidRPr="006879D3" w:rsidRDefault="00577605" w:rsidP="00922A23">
      <w:pPr>
        <w:pStyle w:val="ScheduleNumberedPara"/>
        <w:numPr>
          <w:ilvl w:val="1"/>
          <w:numId w:val="67"/>
        </w:numPr>
        <w:tabs>
          <w:tab w:val="num" w:pos="2268"/>
        </w:tabs>
        <w:rPr>
          <w:color w:val="auto"/>
        </w:rPr>
      </w:pPr>
      <w:r w:rsidRPr="006879D3">
        <w:rPr>
          <w:color w:val="auto"/>
        </w:rPr>
        <w:t xml:space="preserve">The Parties have confirmed their </w:t>
      </w:r>
      <w:r w:rsidRPr="000B64B5">
        <w:t>commitment</w:t>
      </w:r>
      <w:r w:rsidRPr="006879D3">
        <w:rPr>
          <w:color w:val="auto"/>
        </w:rPr>
        <w:t xml:space="preserve"> to this agreement as follows:</w:t>
      </w:r>
    </w:p>
    <w:p w14:paraId="42A0A392" w14:textId="77777777" w:rsidR="00577605" w:rsidRPr="006879D3" w:rsidRDefault="00577605" w:rsidP="00577605">
      <w:pPr>
        <w:pStyle w:val="ScheduleNumberedPara"/>
        <w:rPr>
          <w:rFonts w:ascii="Times New Roman" w:hAnsi="Times New Roman"/>
          <w:color w:val="auto"/>
          <w:sz w:val="24"/>
          <w:szCs w:val="24"/>
        </w:rPr>
      </w:pPr>
      <w:r w:rsidRPr="006879D3">
        <w:rPr>
          <w:rFonts w:ascii="Times New Roman" w:hAnsi="Times New Roman"/>
          <w:b/>
          <w:color w:val="auto"/>
          <w:sz w:val="24"/>
          <w:szCs w:val="24"/>
        </w:rPr>
        <w:t>Signed</w:t>
      </w:r>
      <w:r w:rsidRPr="006879D3">
        <w:rPr>
          <w:rFonts w:ascii="Times New Roman" w:hAnsi="Times New Roman"/>
          <w:color w:val="auto"/>
          <w:sz w:val="24"/>
          <w:szCs w:val="24"/>
        </w:rPr>
        <w:t xml:space="preserve"> </w:t>
      </w:r>
      <w:r w:rsidRPr="006879D3">
        <w:rPr>
          <w:rFonts w:ascii="Times New Roman" w:hAnsi="Times New Roman"/>
          <w:i/>
          <w:color w:val="auto"/>
          <w:sz w:val="24"/>
          <w:szCs w:val="24"/>
        </w:rPr>
        <w:t>for and on behalf of the Commonwealth of Australia by</w:t>
      </w:r>
    </w:p>
    <w:p w14:paraId="27AFEB70" w14:textId="77777777" w:rsidR="00577605" w:rsidRPr="006879D3" w:rsidRDefault="00577605" w:rsidP="00577605">
      <w:pPr>
        <w:pStyle w:val="ScheduleNumberedPara"/>
        <w:rPr>
          <w:color w:val="auto"/>
        </w:rPr>
      </w:pPr>
    </w:p>
    <w:p w14:paraId="22E7E189" w14:textId="77777777" w:rsidR="00577605" w:rsidRPr="006879D3" w:rsidRDefault="00577605" w:rsidP="00577605">
      <w:pPr>
        <w:pStyle w:val="ScheduleNumberedPara"/>
        <w:rPr>
          <w:color w:val="auto"/>
        </w:rPr>
      </w:pPr>
    </w:p>
    <w:p w14:paraId="34C400F0" w14:textId="77777777" w:rsidR="00577605" w:rsidRPr="006879D3" w:rsidRDefault="00577605" w:rsidP="00577605">
      <w:pPr>
        <w:pStyle w:val="ScheduleNumberedPara"/>
        <w:rPr>
          <w:color w:val="auto"/>
        </w:rPr>
      </w:pPr>
    </w:p>
    <w:p w14:paraId="5E64CB8E" w14:textId="7278C9A2" w:rsidR="00577605" w:rsidRPr="006879D3" w:rsidRDefault="00577605" w:rsidP="00577605">
      <w:pPr>
        <w:pStyle w:val="ScheduleNumberedPara"/>
        <w:tabs>
          <w:tab w:val="num" w:pos="2268"/>
        </w:tabs>
        <w:rPr>
          <w:color w:val="auto"/>
        </w:rPr>
      </w:pPr>
      <w:r w:rsidRPr="006879D3">
        <w:rPr>
          <w:color w:val="auto"/>
        </w:rPr>
        <w:t>-----------------------------------------------------</w:t>
      </w:r>
      <w:r w:rsidR="00A55552">
        <w:rPr>
          <w:color w:val="auto"/>
        </w:rPr>
        <w:tab/>
      </w:r>
      <w:r w:rsidR="00A55552">
        <w:rPr>
          <w:color w:val="auto"/>
        </w:rPr>
        <w:tab/>
      </w:r>
      <w:r w:rsidR="00A55552">
        <w:rPr>
          <w:color w:val="auto"/>
        </w:rPr>
        <w:tab/>
      </w:r>
      <w:r w:rsidR="00A55552" w:rsidRPr="006879D3">
        <w:rPr>
          <w:color w:val="auto"/>
        </w:rPr>
        <w:t>------------------------------</w:t>
      </w:r>
    </w:p>
    <w:p w14:paraId="5BE1F4A7" w14:textId="196DA77B" w:rsidR="00577605" w:rsidRPr="006879D3" w:rsidRDefault="00B038C8" w:rsidP="00577605">
      <w:pPr>
        <w:pStyle w:val="SingleParagraph"/>
        <w:rPr>
          <w:rStyle w:val="Bold"/>
        </w:rPr>
      </w:pPr>
      <w:r w:rsidRPr="006879D3">
        <w:rPr>
          <w:rStyle w:val="Bold"/>
        </w:rPr>
        <w:t xml:space="preserve">Senator the Honourable Michaelia Cash </w:t>
      </w:r>
      <w:r w:rsidR="00A55552">
        <w:rPr>
          <w:rStyle w:val="Bold"/>
        </w:rPr>
        <w:tab/>
      </w:r>
      <w:r w:rsidR="00A55552">
        <w:rPr>
          <w:rStyle w:val="Bold"/>
        </w:rPr>
        <w:tab/>
      </w:r>
      <w:r w:rsidR="00A55552">
        <w:rPr>
          <w:rStyle w:val="Bold"/>
        </w:rPr>
        <w:tab/>
      </w:r>
      <w:r w:rsidR="00A55552" w:rsidRPr="00A55552">
        <w:rPr>
          <w:rStyle w:val="Bold"/>
          <w:b w:val="0"/>
        </w:rPr>
        <w:t>Dated</w:t>
      </w:r>
    </w:p>
    <w:p w14:paraId="0673A45B" w14:textId="77777777" w:rsidR="00577605" w:rsidRPr="006879D3" w:rsidRDefault="00B038C8" w:rsidP="00577605">
      <w:pPr>
        <w:pStyle w:val="Position"/>
        <w:rPr>
          <w:lang w:val="en-GB"/>
        </w:rPr>
      </w:pPr>
      <w:r w:rsidRPr="006879D3">
        <w:rPr>
          <w:lang w:val="en-GB"/>
        </w:rPr>
        <w:t xml:space="preserve">Minister for </w:t>
      </w:r>
      <w:r w:rsidR="009A1C15">
        <w:rPr>
          <w:lang w:val="en-GB"/>
        </w:rPr>
        <w:t xml:space="preserve">Employment, Skills, </w:t>
      </w:r>
      <w:r w:rsidRPr="006879D3">
        <w:rPr>
          <w:lang w:val="en-GB"/>
        </w:rPr>
        <w:t>Small and Family Business</w:t>
      </w:r>
    </w:p>
    <w:p w14:paraId="1D74E9F0" w14:textId="77777777" w:rsidR="00577605" w:rsidRPr="006879D3" w:rsidRDefault="00577605" w:rsidP="00577605">
      <w:pPr>
        <w:pStyle w:val="ScheduleNumberedPara"/>
        <w:rPr>
          <w:lang w:val="en-GB"/>
        </w:rPr>
      </w:pPr>
    </w:p>
    <w:p w14:paraId="293F5C7A" w14:textId="77777777" w:rsidR="00577605" w:rsidRPr="006879D3" w:rsidRDefault="00577605" w:rsidP="00577605">
      <w:pPr>
        <w:pStyle w:val="ScheduleNumberedPara"/>
        <w:rPr>
          <w:lang w:val="en-GB"/>
        </w:rPr>
      </w:pPr>
    </w:p>
    <w:p w14:paraId="7ECB8850" w14:textId="77777777" w:rsidR="00577605" w:rsidRPr="006879D3" w:rsidRDefault="00577605" w:rsidP="00577605">
      <w:pPr>
        <w:pStyle w:val="ScheduleNumberedPara"/>
        <w:rPr>
          <w:rFonts w:ascii="Times New Roman" w:hAnsi="Times New Roman"/>
          <w:color w:val="auto"/>
          <w:sz w:val="24"/>
          <w:szCs w:val="24"/>
        </w:rPr>
      </w:pPr>
      <w:r w:rsidRPr="006879D3">
        <w:rPr>
          <w:rFonts w:ascii="Times New Roman" w:hAnsi="Times New Roman"/>
          <w:b/>
          <w:color w:val="auto"/>
          <w:sz w:val="24"/>
          <w:szCs w:val="24"/>
        </w:rPr>
        <w:t>Signed</w:t>
      </w:r>
      <w:r w:rsidRPr="006879D3">
        <w:rPr>
          <w:rFonts w:ascii="Times New Roman" w:hAnsi="Times New Roman"/>
          <w:color w:val="auto"/>
          <w:sz w:val="24"/>
          <w:szCs w:val="24"/>
        </w:rPr>
        <w:t xml:space="preserve"> </w:t>
      </w:r>
      <w:r w:rsidRPr="006879D3">
        <w:rPr>
          <w:rFonts w:ascii="Times New Roman" w:hAnsi="Times New Roman"/>
          <w:i/>
          <w:color w:val="auto"/>
          <w:sz w:val="24"/>
          <w:szCs w:val="24"/>
        </w:rPr>
        <w:t xml:space="preserve">for and on behalf of </w:t>
      </w:r>
      <w:r w:rsidR="0036690D" w:rsidRPr="006879D3">
        <w:rPr>
          <w:rFonts w:ascii="Times New Roman" w:hAnsi="Times New Roman"/>
          <w:i/>
          <w:color w:val="auto"/>
          <w:sz w:val="24"/>
          <w:szCs w:val="24"/>
        </w:rPr>
        <w:t>South Australia</w:t>
      </w:r>
      <w:r w:rsidRPr="006879D3">
        <w:rPr>
          <w:rFonts w:ascii="Times New Roman" w:hAnsi="Times New Roman"/>
          <w:i/>
          <w:color w:val="auto"/>
          <w:sz w:val="24"/>
          <w:szCs w:val="24"/>
        </w:rPr>
        <w:t xml:space="preserve"> by</w:t>
      </w:r>
    </w:p>
    <w:p w14:paraId="613956A7" w14:textId="77777777" w:rsidR="00577605" w:rsidRPr="006879D3" w:rsidRDefault="00577605" w:rsidP="00577605">
      <w:pPr>
        <w:pStyle w:val="ScheduleNumberedPara"/>
        <w:rPr>
          <w:color w:val="auto"/>
        </w:rPr>
      </w:pPr>
    </w:p>
    <w:p w14:paraId="6FBE2C97" w14:textId="77777777" w:rsidR="00577605" w:rsidRPr="006879D3" w:rsidRDefault="00577605" w:rsidP="00577605">
      <w:pPr>
        <w:pStyle w:val="ScheduleNumberedPara"/>
        <w:rPr>
          <w:color w:val="auto"/>
        </w:rPr>
      </w:pPr>
    </w:p>
    <w:p w14:paraId="6DC19A95" w14:textId="77777777" w:rsidR="00577605" w:rsidRPr="006879D3" w:rsidRDefault="00577605" w:rsidP="00577605">
      <w:pPr>
        <w:pStyle w:val="ScheduleNumberedPara"/>
        <w:rPr>
          <w:color w:val="auto"/>
        </w:rPr>
      </w:pPr>
    </w:p>
    <w:p w14:paraId="37543E8A" w14:textId="06E1608A" w:rsidR="00577605" w:rsidRPr="006879D3" w:rsidRDefault="00577605" w:rsidP="00577605">
      <w:pPr>
        <w:pStyle w:val="ScheduleNumberedPara"/>
        <w:tabs>
          <w:tab w:val="num" w:pos="2268"/>
        </w:tabs>
        <w:rPr>
          <w:color w:val="auto"/>
        </w:rPr>
      </w:pPr>
      <w:r w:rsidRPr="006879D3">
        <w:rPr>
          <w:color w:val="auto"/>
        </w:rPr>
        <w:t>-----------------------------------------------------</w:t>
      </w:r>
      <w:r w:rsidR="00A55552">
        <w:rPr>
          <w:color w:val="auto"/>
        </w:rPr>
        <w:tab/>
      </w:r>
      <w:r w:rsidR="00A55552">
        <w:rPr>
          <w:color w:val="auto"/>
        </w:rPr>
        <w:tab/>
      </w:r>
      <w:r w:rsidR="00A55552">
        <w:rPr>
          <w:color w:val="auto"/>
        </w:rPr>
        <w:tab/>
      </w:r>
      <w:r w:rsidR="00A55552" w:rsidRPr="006879D3">
        <w:rPr>
          <w:color w:val="auto"/>
        </w:rPr>
        <w:t>------------------------------</w:t>
      </w:r>
    </w:p>
    <w:p w14:paraId="35F00A14" w14:textId="740F2C71" w:rsidR="00577605" w:rsidRPr="006879D3" w:rsidRDefault="00577605" w:rsidP="00577605">
      <w:pPr>
        <w:pStyle w:val="SingleParagraph"/>
        <w:rPr>
          <w:rStyle w:val="Bold"/>
        </w:rPr>
      </w:pPr>
      <w:r w:rsidRPr="006879D3">
        <w:rPr>
          <w:rStyle w:val="Bold"/>
        </w:rPr>
        <w:t xml:space="preserve">The Honourable </w:t>
      </w:r>
      <w:r w:rsidR="000F1895" w:rsidRPr="006879D3">
        <w:rPr>
          <w:rStyle w:val="Bold"/>
        </w:rPr>
        <w:t xml:space="preserve">David </w:t>
      </w:r>
      <w:proofErr w:type="spellStart"/>
      <w:r w:rsidR="000F1895" w:rsidRPr="006879D3">
        <w:rPr>
          <w:rStyle w:val="Bold"/>
        </w:rPr>
        <w:t>Pisoni</w:t>
      </w:r>
      <w:proofErr w:type="spellEnd"/>
      <w:r w:rsidRPr="006879D3">
        <w:rPr>
          <w:rStyle w:val="Bold"/>
        </w:rPr>
        <w:t xml:space="preserve"> MP</w:t>
      </w:r>
      <w:r w:rsidR="00A55552">
        <w:rPr>
          <w:rStyle w:val="Bold"/>
        </w:rPr>
        <w:tab/>
      </w:r>
      <w:r w:rsidR="00A55552">
        <w:rPr>
          <w:rStyle w:val="Bold"/>
        </w:rPr>
        <w:tab/>
      </w:r>
      <w:r w:rsidR="00A55552">
        <w:rPr>
          <w:rStyle w:val="Bold"/>
        </w:rPr>
        <w:tab/>
      </w:r>
      <w:r w:rsidR="00A55552">
        <w:rPr>
          <w:rStyle w:val="Bold"/>
        </w:rPr>
        <w:tab/>
      </w:r>
      <w:r w:rsidR="00A55552" w:rsidRPr="00A55552">
        <w:rPr>
          <w:rStyle w:val="Bold"/>
          <w:b w:val="0"/>
        </w:rPr>
        <w:t>Dated</w:t>
      </w:r>
    </w:p>
    <w:p w14:paraId="54BF61DA" w14:textId="77777777" w:rsidR="00577605" w:rsidRPr="006879D3" w:rsidRDefault="00577605" w:rsidP="00577605">
      <w:pPr>
        <w:pStyle w:val="Position"/>
        <w:rPr>
          <w:lang w:val="en-GB"/>
        </w:rPr>
      </w:pPr>
      <w:r w:rsidRPr="006879D3">
        <w:rPr>
          <w:lang w:val="en-GB"/>
        </w:rPr>
        <w:t xml:space="preserve">Minister for </w:t>
      </w:r>
      <w:r w:rsidR="000F1895" w:rsidRPr="006879D3">
        <w:rPr>
          <w:lang w:val="en-GB"/>
        </w:rPr>
        <w:t>In</w:t>
      </w:r>
      <w:r w:rsidR="00AB0C1F">
        <w:rPr>
          <w:lang w:val="en-GB"/>
        </w:rPr>
        <w:t>novation</w:t>
      </w:r>
      <w:r w:rsidR="000F1895" w:rsidRPr="006879D3">
        <w:rPr>
          <w:lang w:val="en-GB"/>
        </w:rPr>
        <w:t xml:space="preserve"> and Skills</w:t>
      </w:r>
    </w:p>
    <w:p w14:paraId="4D19D810" w14:textId="77777777" w:rsidR="00FB5887" w:rsidRPr="006879D3" w:rsidRDefault="00FB5887" w:rsidP="0077478E">
      <w:pPr>
        <w:pStyle w:val="ScheduleNumberedPara"/>
        <w:rPr>
          <w:color w:val="auto"/>
          <w:lang w:val="en-GB"/>
        </w:rPr>
      </w:pPr>
    </w:p>
    <w:p w14:paraId="7382BEEB" w14:textId="77777777" w:rsidR="000C55E9" w:rsidRPr="006879D3" w:rsidRDefault="000C55E9">
      <w:pPr>
        <w:spacing w:after="200" w:line="276" w:lineRule="auto"/>
        <w:jc w:val="left"/>
        <w:rPr>
          <w:color w:val="auto"/>
          <w:lang w:val="en-GB"/>
        </w:rPr>
      </w:pPr>
      <w:r w:rsidRPr="006879D3">
        <w:rPr>
          <w:color w:val="auto"/>
          <w:lang w:val="en-GB"/>
        </w:rPr>
        <w:br w:type="page"/>
      </w:r>
    </w:p>
    <w:p w14:paraId="79E326CB" w14:textId="77777777" w:rsidR="00AA53BF" w:rsidRPr="006879D3" w:rsidRDefault="000C55E9" w:rsidP="000C55E9">
      <w:pPr>
        <w:pStyle w:val="Heading1"/>
      </w:pPr>
      <w:r w:rsidRPr="006879D3">
        <w:lastRenderedPageBreak/>
        <w:t>Attachment A</w:t>
      </w:r>
      <w:r w:rsidR="006C788E" w:rsidRPr="006879D3">
        <w:t xml:space="preserve"> – SCOPE </w:t>
      </w:r>
      <w:r w:rsidRPr="006879D3">
        <w:t>OF agreed baseline and targets</w:t>
      </w:r>
    </w:p>
    <w:p w14:paraId="1A542978" w14:textId="749D2800" w:rsidR="00AA53BF" w:rsidRPr="002A569F" w:rsidRDefault="00DF0047" w:rsidP="005C1DB5">
      <w:pPr>
        <w:pStyle w:val="ScheduleNumberedPara"/>
        <w:spacing w:line="288" w:lineRule="auto"/>
        <w:jc w:val="left"/>
        <w:rPr>
          <w:color w:val="auto"/>
          <w:lang w:val="en-GB"/>
        </w:rPr>
      </w:pPr>
      <w:r w:rsidRPr="002A569F">
        <w:rPr>
          <w:color w:val="auto"/>
          <w:lang w:val="en-GB"/>
        </w:rPr>
        <w:t xml:space="preserve">This </w:t>
      </w:r>
      <w:r w:rsidR="00457592" w:rsidRPr="002A569F">
        <w:rPr>
          <w:color w:val="auto"/>
          <w:lang w:val="en-GB"/>
        </w:rPr>
        <w:t>A</w:t>
      </w:r>
      <w:r w:rsidRPr="002A569F">
        <w:rPr>
          <w:color w:val="auto"/>
          <w:lang w:val="en-GB"/>
        </w:rPr>
        <w:t xml:space="preserve">ttachment to the Schedule defines the scope of </w:t>
      </w:r>
      <w:r w:rsidR="001171D8" w:rsidRPr="002A569F">
        <w:rPr>
          <w:color w:val="auto"/>
          <w:lang w:val="en-GB"/>
        </w:rPr>
        <w:t xml:space="preserve">activity </w:t>
      </w:r>
      <w:r w:rsidR="006C788E" w:rsidRPr="002A569F">
        <w:rPr>
          <w:color w:val="auto"/>
          <w:lang w:val="en-GB"/>
        </w:rPr>
        <w:t xml:space="preserve">agreed between the Commonwealth and South Australia </w:t>
      </w:r>
      <w:r w:rsidR="001171D8" w:rsidRPr="002A569F">
        <w:rPr>
          <w:color w:val="auto"/>
          <w:lang w:val="en-GB"/>
        </w:rPr>
        <w:t xml:space="preserve">that contributes </w:t>
      </w:r>
      <w:r w:rsidR="006C788E" w:rsidRPr="002A569F">
        <w:rPr>
          <w:color w:val="auto"/>
          <w:lang w:val="en-GB"/>
        </w:rPr>
        <w:t xml:space="preserve">toward the agreed baseline </w:t>
      </w:r>
      <w:r w:rsidR="0036690D" w:rsidRPr="002A569F">
        <w:rPr>
          <w:color w:val="auto"/>
          <w:lang w:val="en-GB"/>
        </w:rPr>
        <w:t xml:space="preserve">of </w:t>
      </w:r>
      <w:r w:rsidR="006C788E" w:rsidRPr="002A569F">
        <w:rPr>
          <w:color w:val="auto"/>
          <w:lang w:val="en-GB"/>
        </w:rPr>
        <w:t xml:space="preserve">existing training activity and targets for </w:t>
      </w:r>
      <w:r w:rsidR="0036690D" w:rsidRPr="002A569F">
        <w:rPr>
          <w:color w:val="auto"/>
          <w:lang w:val="en-GB"/>
        </w:rPr>
        <w:t xml:space="preserve">additional </w:t>
      </w:r>
      <w:r w:rsidR="00457592" w:rsidRPr="002A569F">
        <w:rPr>
          <w:color w:val="auto"/>
          <w:lang w:val="en-GB"/>
        </w:rPr>
        <w:t>training activity types</w:t>
      </w:r>
      <w:r w:rsidR="006C788E" w:rsidRPr="002A569F">
        <w:rPr>
          <w:color w:val="auto"/>
          <w:lang w:val="en-GB"/>
        </w:rPr>
        <w:t xml:space="preserve">. </w:t>
      </w:r>
    </w:p>
    <w:p w14:paraId="29C78D7A" w14:textId="77777777" w:rsidR="00AA53BF" w:rsidRPr="006879D3" w:rsidRDefault="006C788E" w:rsidP="005C1DB5">
      <w:pPr>
        <w:pStyle w:val="Heading1"/>
      </w:pPr>
      <w:r w:rsidRPr="006879D3">
        <w:t>PART 1 – APPRENTICESHIPS AND TRAINEESHIPS</w:t>
      </w:r>
    </w:p>
    <w:p w14:paraId="678B5397" w14:textId="77777777" w:rsidR="006C788E" w:rsidRPr="006879D3" w:rsidRDefault="006C788E" w:rsidP="005C1DB5">
      <w:pPr>
        <w:pStyle w:val="ScheduleNumberedPara"/>
        <w:keepNext/>
        <w:jc w:val="left"/>
        <w:rPr>
          <w:b/>
          <w:color w:val="auto"/>
          <w:lang w:val="en-GB"/>
        </w:rPr>
      </w:pPr>
      <w:r w:rsidRPr="006879D3">
        <w:rPr>
          <w:b/>
          <w:color w:val="auto"/>
          <w:lang w:val="en-GB"/>
        </w:rPr>
        <w:t>Contracts of training</w:t>
      </w:r>
    </w:p>
    <w:p w14:paraId="6712B2A0" w14:textId="77777777" w:rsidR="006C788E" w:rsidRPr="006879D3" w:rsidRDefault="006C788E" w:rsidP="005C1DB5">
      <w:pPr>
        <w:pStyle w:val="ScheduleNumberedPara"/>
        <w:jc w:val="left"/>
        <w:rPr>
          <w:color w:val="auto"/>
          <w:lang w:val="en-GB"/>
        </w:rPr>
      </w:pPr>
      <w:r w:rsidRPr="006879D3">
        <w:rPr>
          <w:color w:val="auto"/>
          <w:lang w:val="en-GB"/>
        </w:rPr>
        <w:t xml:space="preserve">A commencement contributes to this component of the activity baseline and </w:t>
      </w:r>
      <w:r w:rsidR="0030020B">
        <w:rPr>
          <w:color w:val="auto"/>
          <w:lang w:val="en-GB"/>
        </w:rPr>
        <w:t xml:space="preserve">additional activity </w:t>
      </w:r>
      <w:r w:rsidRPr="006879D3">
        <w:rPr>
          <w:color w:val="auto"/>
          <w:lang w:val="en-GB"/>
        </w:rPr>
        <w:t>target if:</w:t>
      </w:r>
    </w:p>
    <w:p w14:paraId="535B9E1B" w14:textId="77777777" w:rsidR="006C788E" w:rsidRPr="006879D3" w:rsidRDefault="006C788E" w:rsidP="005C1DB5">
      <w:pPr>
        <w:numPr>
          <w:ilvl w:val="0"/>
          <w:numId w:val="16"/>
        </w:numPr>
        <w:spacing w:after="0" w:line="288" w:lineRule="auto"/>
        <w:ind w:left="567" w:hanging="567"/>
        <w:jc w:val="left"/>
      </w:pPr>
      <w:r w:rsidRPr="006879D3">
        <w:t>it was for a nationally recognised qualification at:</w:t>
      </w:r>
    </w:p>
    <w:p w14:paraId="7CCD66EB" w14:textId="77777777" w:rsidR="006C788E" w:rsidRPr="00492B4E" w:rsidRDefault="006C788E" w:rsidP="005C1DB5">
      <w:pPr>
        <w:pStyle w:val="ListParagraph"/>
        <w:numPr>
          <w:ilvl w:val="1"/>
          <w:numId w:val="17"/>
        </w:numPr>
        <w:spacing w:before="100" w:after="0" w:line="288" w:lineRule="auto"/>
        <w:ind w:hanging="357"/>
        <w:contextualSpacing w:val="0"/>
        <w:jc w:val="left"/>
        <w:rPr>
          <w:szCs w:val="23"/>
        </w:rPr>
      </w:pPr>
      <w:r w:rsidRPr="00492B4E">
        <w:rPr>
          <w:szCs w:val="23"/>
        </w:rPr>
        <w:t xml:space="preserve">Australian </w:t>
      </w:r>
      <w:r w:rsidR="008B31CF" w:rsidRPr="00492B4E">
        <w:rPr>
          <w:szCs w:val="23"/>
        </w:rPr>
        <w:t>Qualifications Framework Level I</w:t>
      </w:r>
    </w:p>
    <w:p w14:paraId="6EF241E6" w14:textId="77777777" w:rsidR="006C788E" w:rsidRPr="00492B4E" w:rsidRDefault="006C788E" w:rsidP="005C1DB5">
      <w:pPr>
        <w:pStyle w:val="ListParagraph"/>
        <w:numPr>
          <w:ilvl w:val="1"/>
          <w:numId w:val="17"/>
        </w:numPr>
        <w:spacing w:before="100" w:after="0" w:line="288" w:lineRule="auto"/>
        <w:ind w:hanging="357"/>
        <w:contextualSpacing w:val="0"/>
        <w:jc w:val="left"/>
        <w:rPr>
          <w:szCs w:val="23"/>
        </w:rPr>
      </w:pPr>
      <w:r w:rsidRPr="00492B4E">
        <w:rPr>
          <w:szCs w:val="23"/>
        </w:rPr>
        <w:t>Australian Qualifications Framework Level 2</w:t>
      </w:r>
    </w:p>
    <w:p w14:paraId="5ED7108F" w14:textId="77777777" w:rsidR="006C788E" w:rsidRPr="00492B4E" w:rsidRDefault="006C788E" w:rsidP="005C1DB5">
      <w:pPr>
        <w:pStyle w:val="ListParagraph"/>
        <w:numPr>
          <w:ilvl w:val="1"/>
          <w:numId w:val="17"/>
        </w:numPr>
        <w:spacing w:before="100" w:after="0" w:line="288" w:lineRule="auto"/>
        <w:ind w:hanging="357"/>
        <w:contextualSpacing w:val="0"/>
        <w:jc w:val="left"/>
        <w:rPr>
          <w:szCs w:val="23"/>
        </w:rPr>
      </w:pPr>
      <w:r w:rsidRPr="00492B4E">
        <w:rPr>
          <w:szCs w:val="23"/>
        </w:rPr>
        <w:t>Australian Qualifications Framework Level 3, or</w:t>
      </w:r>
    </w:p>
    <w:p w14:paraId="7BA32F76" w14:textId="77777777" w:rsidR="006C788E" w:rsidRPr="00C00F63" w:rsidRDefault="006C788E" w:rsidP="005C1DB5">
      <w:pPr>
        <w:pStyle w:val="ListParagraph"/>
        <w:numPr>
          <w:ilvl w:val="1"/>
          <w:numId w:val="17"/>
        </w:numPr>
        <w:spacing w:before="100" w:after="0" w:line="288" w:lineRule="auto"/>
        <w:ind w:hanging="357"/>
        <w:contextualSpacing w:val="0"/>
        <w:jc w:val="left"/>
        <w:rPr>
          <w:szCs w:val="23"/>
        </w:rPr>
      </w:pPr>
      <w:r w:rsidRPr="00C00F63">
        <w:rPr>
          <w:szCs w:val="23"/>
        </w:rPr>
        <w:t>Australian Qualifications Framework Level 4, and</w:t>
      </w:r>
    </w:p>
    <w:p w14:paraId="3E60C930" w14:textId="77777777" w:rsidR="006C788E" w:rsidRPr="006879D3" w:rsidRDefault="006C788E" w:rsidP="005C1DB5">
      <w:pPr>
        <w:numPr>
          <w:ilvl w:val="0"/>
          <w:numId w:val="16"/>
        </w:numPr>
        <w:spacing w:before="100" w:after="100" w:line="288" w:lineRule="auto"/>
        <w:ind w:left="567" w:hanging="567"/>
        <w:jc w:val="left"/>
      </w:pPr>
      <w:r w:rsidRPr="006879D3">
        <w:t xml:space="preserve">it was delivered through a training contract as defined under Part 4 of the </w:t>
      </w:r>
      <w:r w:rsidRPr="006879D3">
        <w:rPr>
          <w:i/>
        </w:rPr>
        <w:t>Training and Skills Development Act 2008</w:t>
      </w:r>
      <w:r w:rsidRPr="006879D3">
        <w:t xml:space="preserve"> (SA).  </w:t>
      </w:r>
    </w:p>
    <w:p w14:paraId="22131214" w14:textId="77777777" w:rsidR="009A1C15" w:rsidRPr="00ED7F86" w:rsidRDefault="009A1C15" w:rsidP="005C1DB5">
      <w:pPr>
        <w:spacing w:before="240" w:after="0" w:line="288" w:lineRule="auto"/>
        <w:jc w:val="left"/>
        <w:rPr>
          <w:b/>
          <w:bCs/>
        </w:rPr>
      </w:pPr>
      <w:r w:rsidRPr="00ED7F86">
        <w:rPr>
          <w:b/>
          <w:bCs/>
        </w:rPr>
        <w:t>Commencements above the performance benchmark</w:t>
      </w:r>
    </w:p>
    <w:p w14:paraId="50A9425C" w14:textId="469CDDE2" w:rsidR="009A1C15" w:rsidRPr="00B5619B" w:rsidRDefault="009A1C15" w:rsidP="005C1DB5">
      <w:pPr>
        <w:pStyle w:val="ScheduleNumberedPara"/>
        <w:spacing w:line="288" w:lineRule="auto"/>
        <w:jc w:val="left"/>
        <w:rPr>
          <w:color w:val="auto"/>
          <w:lang w:val="en-GB"/>
        </w:rPr>
      </w:pPr>
      <w:r w:rsidRPr="00B5619B">
        <w:rPr>
          <w:color w:val="auto"/>
          <w:lang w:val="en-GB"/>
        </w:rPr>
        <w:t xml:space="preserve">Where South Australia’s apprenticeship and traineeship commencements for a </w:t>
      </w:r>
      <w:r w:rsidR="00ED7F86">
        <w:rPr>
          <w:color w:val="auto"/>
          <w:lang w:val="en-GB"/>
        </w:rPr>
        <w:t xml:space="preserve">full </w:t>
      </w:r>
      <w:r w:rsidRPr="00B5619B">
        <w:rPr>
          <w:color w:val="auto"/>
          <w:lang w:val="en-GB"/>
        </w:rPr>
        <w:t>financial year are above the</w:t>
      </w:r>
      <w:r w:rsidR="00ED7F86">
        <w:rPr>
          <w:color w:val="auto"/>
          <w:lang w:val="en-GB"/>
        </w:rPr>
        <w:t xml:space="preserve"> total</w:t>
      </w:r>
      <w:r w:rsidRPr="00B5619B">
        <w:rPr>
          <w:color w:val="auto"/>
          <w:lang w:val="en-GB"/>
        </w:rPr>
        <w:t xml:space="preserve"> performance benchmark</w:t>
      </w:r>
      <w:r w:rsidR="00ED7F86">
        <w:rPr>
          <w:color w:val="auto"/>
          <w:lang w:val="en-GB"/>
        </w:rPr>
        <w:t>, and have not been used to meet a prior performance benchmark</w:t>
      </w:r>
      <w:r w:rsidRPr="00B5619B">
        <w:rPr>
          <w:color w:val="auto"/>
          <w:lang w:val="en-GB"/>
        </w:rPr>
        <w:t xml:space="preserve"> </w:t>
      </w:r>
      <w:r w:rsidR="00394F43" w:rsidRPr="00B5619B">
        <w:rPr>
          <w:color w:val="auto"/>
          <w:lang w:val="en-GB"/>
        </w:rPr>
        <w:t xml:space="preserve">at 30 April, </w:t>
      </w:r>
      <w:r w:rsidRPr="00B5619B">
        <w:rPr>
          <w:color w:val="auto"/>
          <w:lang w:val="en-GB"/>
        </w:rPr>
        <w:t xml:space="preserve">South Australia may elect for those commencements to be counted towards the </w:t>
      </w:r>
      <w:r w:rsidR="00394F43" w:rsidRPr="00B5619B">
        <w:rPr>
          <w:color w:val="auto"/>
          <w:lang w:val="en-GB"/>
        </w:rPr>
        <w:t>performance benchmark</w:t>
      </w:r>
      <w:r w:rsidR="00ED7F86">
        <w:rPr>
          <w:color w:val="auto"/>
          <w:lang w:val="en-GB"/>
        </w:rPr>
        <w:t>/s</w:t>
      </w:r>
      <w:r w:rsidR="00394F43" w:rsidRPr="00B5619B">
        <w:rPr>
          <w:color w:val="auto"/>
          <w:lang w:val="en-GB"/>
        </w:rPr>
        <w:t xml:space="preserve"> for </w:t>
      </w:r>
      <w:r w:rsidRPr="00B5619B">
        <w:rPr>
          <w:color w:val="auto"/>
          <w:lang w:val="en-GB"/>
        </w:rPr>
        <w:t>higher apprenticeship</w:t>
      </w:r>
      <w:r w:rsidR="00ED7F86">
        <w:rPr>
          <w:color w:val="auto"/>
          <w:lang w:val="en-GB"/>
        </w:rPr>
        <w:t>s</w:t>
      </w:r>
      <w:r w:rsidRPr="00B5619B">
        <w:rPr>
          <w:color w:val="auto"/>
          <w:lang w:val="en-GB"/>
        </w:rPr>
        <w:t xml:space="preserve"> </w:t>
      </w:r>
      <w:r w:rsidR="00492B4E">
        <w:rPr>
          <w:color w:val="auto"/>
          <w:lang w:val="en-GB"/>
        </w:rPr>
        <w:t>and/</w:t>
      </w:r>
      <w:r w:rsidRPr="00B5619B">
        <w:rPr>
          <w:color w:val="auto"/>
          <w:lang w:val="en-GB"/>
        </w:rPr>
        <w:t>or pre-apprenticeship</w:t>
      </w:r>
      <w:r w:rsidR="00ED7F86">
        <w:rPr>
          <w:color w:val="auto"/>
          <w:lang w:val="en-GB"/>
        </w:rPr>
        <w:t>s</w:t>
      </w:r>
      <w:r w:rsidRPr="00B5619B">
        <w:rPr>
          <w:color w:val="auto"/>
          <w:lang w:val="en-GB"/>
        </w:rPr>
        <w:t xml:space="preserve"> </w:t>
      </w:r>
      <w:r w:rsidR="00ED7F86">
        <w:rPr>
          <w:color w:val="auto"/>
          <w:lang w:val="en-GB"/>
        </w:rPr>
        <w:t>at the time of reporting</w:t>
      </w:r>
      <w:r w:rsidRPr="00B5619B">
        <w:rPr>
          <w:color w:val="auto"/>
          <w:lang w:val="en-GB"/>
        </w:rPr>
        <w:t xml:space="preserve">.  </w:t>
      </w:r>
    </w:p>
    <w:p w14:paraId="0863AD00" w14:textId="77777777" w:rsidR="006C788E" w:rsidRPr="006879D3" w:rsidRDefault="006C788E" w:rsidP="005C1DB5">
      <w:pPr>
        <w:pStyle w:val="ScheduleNumberedPara"/>
        <w:keepNext/>
        <w:jc w:val="left"/>
        <w:rPr>
          <w:b/>
          <w:color w:val="auto"/>
          <w:lang w:val="en-GB"/>
        </w:rPr>
      </w:pPr>
      <w:r w:rsidRPr="006879D3">
        <w:rPr>
          <w:b/>
          <w:color w:val="auto"/>
          <w:lang w:val="en-GB"/>
        </w:rPr>
        <w:t xml:space="preserve">Training </w:t>
      </w:r>
      <w:r w:rsidR="000540EE">
        <w:rPr>
          <w:b/>
          <w:color w:val="auto"/>
          <w:lang w:val="en-GB"/>
        </w:rPr>
        <w:t xml:space="preserve">activity </w:t>
      </w:r>
      <w:r w:rsidRPr="006879D3">
        <w:rPr>
          <w:b/>
          <w:color w:val="auto"/>
          <w:lang w:val="en-GB"/>
        </w:rPr>
        <w:t>with similar characteristics</w:t>
      </w:r>
      <w:r w:rsidR="00394F43">
        <w:rPr>
          <w:b/>
          <w:color w:val="auto"/>
          <w:lang w:val="en-GB"/>
        </w:rPr>
        <w:t xml:space="preserve"> (like activity)</w:t>
      </w:r>
    </w:p>
    <w:p w14:paraId="72F089DA" w14:textId="77777777" w:rsidR="006C788E" w:rsidRPr="006879D3" w:rsidRDefault="006C788E" w:rsidP="005C1DB5">
      <w:pPr>
        <w:pStyle w:val="ScheduleNumberedPara"/>
        <w:jc w:val="left"/>
        <w:rPr>
          <w:color w:val="auto"/>
          <w:lang w:val="en-GB"/>
        </w:rPr>
      </w:pPr>
      <w:r w:rsidRPr="006879D3">
        <w:rPr>
          <w:color w:val="auto"/>
          <w:lang w:val="en-GB"/>
        </w:rPr>
        <w:t xml:space="preserve">A commencement contributes to this component of the </w:t>
      </w:r>
      <w:r w:rsidR="0030020B">
        <w:rPr>
          <w:color w:val="auto"/>
          <w:lang w:val="en-GB"/>
        </w:rPr>
        <w:t>additional</w:t>
      </w:r>
      <w:r w:rsidR="00394F43">
        <w:rPr>
          <w:color w:val="auto"/>
          <w:lang w:val="en-GB"/>
        </w:rPr>
        <w:t xml:space="preserve"> </w:t>
      </w:r>
      <w:r w:rsidRPr="006879D3">
        <w:rPr>
          <w:color w:val="auto"/>
          <w:lang w:val="en-GB"/>
        </w:rPr>
        <w:t>activity target if:</w:t>
      </w:r>
    </w:p>
    <w:p w14:paraId="10E55A86" w14:textId="77777777" w:rsidR="006C788E" w:rsidRPr="006879D3" w:rsidRDefault="006C788E" w:rsidP="005C1DB5">
      <w:pPr>
        <w:numPr>
          <w:ilvl w:val="0"/>
          <w:numId w:val="18"/>
        </w:numPr>
        <w:spacing w:before="100" w:after="0" w:line="288" w:lineRule="auto"/>
        <w:ind w:left="567" w:hanging="567"/>
        <w:jc w:val="left"/>
      </w:pPr>
      <w:r w:rsidRPr="006879D3">
        <w:t>it was for a nationally recognised qualification at:</w:t>
      </w:r>
    </w:p>
    <w:p w14:paraId="49CE7090" w14:textId="77777777" w:rsidR="006C788E" w:rsidRPr="006879D3" w:rsidRDefault="006C788E" w:rsidP="005C1DB5">
      <w:pPr>
        <w:numPr>
          <w:ilvl w:val="1"/>
          <w:numId w:val="27"/>
        </w:numPr>
        <w:spacing w:before="100" w:after="0" w:line="288" w:lineRule="auto"/>
        <w:jc w:val="left"/>
      </w:pPr>
      <w:r w:rsidRPr="006879D3">
        <w:t>Australian Qualifications Framework Level 3, or</w:t>
      </w:r>
    </w:p>
    <w:p w14:paraId="0FC132C3" w14:textId="77777777" w:rsidR="006C788E" w:rsidRPr="006879D3" w:rsidRDefault="006C788E" w:rsidP="005C1DB5">
      <w:pPr>
        <w:numPr>
          <w:ilvl w:val="1"/>
          <w:numId w:val="27"/>
        </w:numPr>
        <w:spacing w:before="100" w:after="0" w:line="288" w:lineRule="auto"/>
        <w:jc w:val="left"/>
      </w:pPr>
      <w:r w:rsidRPr="006879D3">
        <w:t>Australian Qualifications Framework Level 4, and</w:t>
      </w:r>
    </w:p>
    <w:p w14:paraId="01C50C48" w14:textId="77777777" w:rsidR="006C788E" w:rsidRPr="006879D3" w:rsidRDefault="006C788E" w:rsidP="005C1DB5">
      <w:pPr>
        <w:numPr>
          <w:ilvl w:val="0"/>
          <w:numId w:val="18"/>
        </w:numPr>
        <w:spacing w:before="100" w:after="0" w:line="288" w:lineRule="auto"/>
        <w:ind w:left="567" w:hanging="567"/>
        <w:jc w:val="left"/>
      </w:pPr>
      <w:r w:rsidRPr="006879D3">
        <w:t>it was subsidised by the Government of South Australia with a specific requirement for the inclusion of a work placement or experience component as a condition of the subsidy, and</w:t>
      </w:r>
    </w:p>
    <w:p w14:paraId="7F74C46C" w14:textId="77777777" w:rsidR="006C788E" w:rsidRPr="006879D3" w:rsidRDefault="006C788E" w:rsidP="005C1DB5">
      <w:pPr>
        <w:numPr>
          <w:ilvl w:val="0"/>
          <w:numId w:val="18"/>
        </w:numPr>
        <w:spacing w:before="100" w:after="0" w:line="288" w:lineRule="auto"/>
        <w:ind w:left="567" w:hanging="567"/>
        <w:jc w:val="left"/>
      </w:pPr>
      <w:r w:rsidRPr="006879D3">
        <w:t xml:space="preserve">it was not delivered through a training contract as defined under Part 4 of the </w:t>
      </w:r>
      <w:r w:rsidRPr="006879D3">
        <w:rPr>
          <w:i/>
        </w:rPr>
        <w:t>Training and Skills Development Act 2008</w:t>
      </w:r>
      <w:r w:rsidRPr="006879D3">
        <w:t xml:space="preserve"> (SA).  </w:t>
      </w:r>
    </w:p>
    <w:p w14:paraId="4F470F04" w14:textId="2696D9C9" w:rsidR="00374A9F" w:rsidRDefault="006E564B" w:rsidP="00AA781C">
      <w:pPr>
        <w:spacing w:before="100" w:after="0" w:line="288" w:lineRule="auto"/>
        <w:jc w:val="left"/>
        <w:rPr>
          <w:color w:val="auto"/>
          <w:lang w:val="en-GB"/>
        </w:rPr>
      </w:pPr>
      <w:r>
        <w:rPr>
          <w:color w:val="auto"/>
          <w:lang w:val="en-GB"/>
        </w:rPr>
        <w:t xml:space="preserve">The contribution of </w:t>
      </w:r>
      <w:r w:rsidR="009A1C15">
        <w:rPr>
          <w:color w:val="auto"/>
          <w:lang w:val="en-GB"/>
        </w:rPr>
        <w:t xml:space="preserve">commencements for </w:t>
      </w:r>
      <w:r>
        <w:rPr>
          <w:color w:val="auto"/>
          <w:lang w:val="en-GB"/>
        </w:rPr>
        <w:t>training with similar characteristics will be capped</w:t>
      </w:r>
      <w:r w:rsidR="00394F43">
        <w:rPr>
          <w:color w:val="auto"/>
          <w:lang w:val="en-GB"/>
        </w:rPr>
        <w:t xml:space="preserve"> </w:t>
      </w:r>
      <w:r w:rsidR="00611E42">
        <w:rPr>
          <w:color w:val="auto"/>
          <w:lang w:val="en-GB"/>
        </w:rPr>
        <w:t xml:space="preserve">over the term of the Agreement at </w:t>
      </w:r>
      <w:r w:rsidR="00611E42" w:rsidRPr="00147F14">
        <w:t>20 per cent</w:t>
      </w:r>
      <w:r w:rsidR="00A62D1E">
        <w:t xml:space="preserve"> of the total activity </w:t>
      </w:r>
      <w:r w:rsidR="00611E42">
        <w:t xml:space="preserve">in 2018-19, </w:t>
      </w:r>
      <w:r w:rsidR="00D50A8B">
        <w:t>and</w:t>
      </w:r>
      <w:r w:rsidR="00611E42">
        <w:t xml:space="preserve"> </w:t>
      </w:r>
      <w:r w:rsidR="00FB252E">
        <w:t>20</w:t>
      </w:r>
      <w:r w:rsidR="00611E42">
        <w:t xml:space="preserve"> per cent </w:t>
      </w:r>
      <w:r w:rsidR="00A62D1E">
        <w:t xml:space="preserve">of the additional activity </w:t>
      </w:r>
      <w:r w:rsidR="00611E42">
        <w:t>in 2019-20</w:t>
      </w:r>
      <w:r w:rsidR="004E763A">
        <w:t>,</w:t>
      </w:r>
      <w:r w:rsidR="00611E42">
        <w:t xml:space="preserve"> 2020-21 and 2021-22 </w:t>
      </w:r>
      <w:r w:rsidR="00394F43">
        <w:rPr>
          <w:color w:val="auto"/>
          <w:lang w:val="en-GB"/>
        </w:rPr>
        <w:t>as in Table 1</w:t>
      </w:r>
      <w:r w:rsidR="001F1FDC">
        <w:rPr>
          <w:color w:val="auto"/>
          <w:lang w:val="en-GB"/>
        </w:rPr>
        <w:t>. These numbers represent the total number of these types of commencements in each financial year</w:t>
      </w:r>
      <w:r w:rsidR="00AA781C">
        <w:rPr>
          <w:color w:val="auto"/>
          <w:lang w:val="en-GB"/>
        </w:rPr>
        <w:t>.</w:t>
      </w:r>
      <w:r w:rsidR="00374A9F">
        <w:rPr>
          <w:color w:val="auto"/>
          <w:lang w:val="en-GB"/>
        </w:rPr>
        <w:br w:type="page"/>
      </w:r>
    </w:p>
    <w:p w14:paraId="7417DAAD" w14:textId="77777777" w:rsidR="006E564B" w:rsidRPr="00B31A58" w:rsidRDefault="00394F43" w:rsidP="005C1DB5">
      <w:pPr>
        <w:spacing w:before="100" w:after="0" w:line="288" w:lineRule="auto"/>
        <w:jc w:val="left"/>
        <w:rPr>
          <w:color w:val="auto"/>
          <w:lang w:val="en-GB"/>
        </w:rPr>
      </w:pPr>
      <w:r w:rsidRPr="00B31A58">
        <w:rPr>
          <w:color w:val="auto"/>
          <w:lang w:val="en-GB"/>
        </w:rPr>
        <w:lastRenderedPageBreak/>
        <w:t>Table 1: Number of commencements cap</w:t>
      </w:r>
    </w:p>
    <w:tbl>
      <w:tblPr>
        <w:tblW w:w="0" w:type="auto"/>
        <w:tblLayout w:type="fixed"/>
        <w:tblLook w:val="01E0" w:firstRow="1" w:lastRow="1" w:firstColumn="1" w:lastColumn="1" w:noHBand="0" w:noVBand="0"/>
      </w:tblPr>
      <w:tblGrid>
        <w:gridCol w:w="3686"/>
        <w:gridCol w:w="1168"/>
        <w:gridCol w:w="1168"/>
        <w:gridCol w:w="1168"/>
        <w:gridCol w:w="1168"/>
      </w:tblGrid>
      <w:tr w:rsidR="006E564B" w:rsidRPr="0024474A" w14:paraId="574CF4FF" w14:textId="77777777" w:rsidTr="00B1759A">
        <w:trPr>
          <w:cantSplit/>
          <w:trHeight w:val="380"/>
        </w:trPr>
        <w:tc>
          <w:tcPr>
            <w:tcW w:w="3686" w:type="dxa"/>
            <w:tcBorders>
              <w:top w:val="single" w:sz="4" w:space="0" w:color="auto"/>
            </w:tcBorders>
          </w:tcPr>
          <w:p w14:paraId="522D10F6" w14:textId="77777777" w:rsidR="006E564B" w:rsidRPr="006879D3" w:rsidRDefault="006E564B" w:rsidP="005C1DB5">
            <w:pPr>
              <w:keepNext/>
              <w:keepLines/>
              <w:spacing w:before="40" w:after="40"/>
              <w:jc w:val="left"/>
              <w:rPr>
                <w:b/>
                <w:sz w:val="18"/>
                <w:szCs w:val="18"/>
              </w:rPr>
            </w:pPr>
            <w:r>
              <w:rPr>
                <w:b/>
                <w:sz w:val="18"/>
                <w:szCs w:val="18"/>
              </w:rPr>
              <w:t>Cap</w:t>
            </w:r>
            <w:r w:rsidR="00F13865">
              <w:rPr>
                <w:b/>
                <w:sz w:val="18"/>
                <w:szCs w:val="18"/>
              </w:rPr>
              <w:t xml:space="preserve"> - </w:t>
            </w:r>
            <w:r w:rsidR="00C0164B">
              <w:rPr>
                <w:b/>
                <w:sz w:val="18"/>
                <w:szCs w:val="18"/>
              </w:rPr>
              <w:t>C</w:t>
            </w:r>
            <w:r w:rsidR="00F13865">
              <w:rPr>
                <w:b/>
                <w:sz w:val="18"/>
                <w:szCs w:val="18"/>
              </w:rPr>
              <w:t>ommencements</w:t>
            </w:r>
          </w:p>
        </w:tc>
        <w:tc>
          <w:tcPr>
            <w:tcW w:w="1168" w:type="dxa"/>
            <w:tcBorders>
              <w:top w:val="single" w:sz="4" w:space="0" w:color="auto"/>
              <w:bottom w:val="single" w:sz="4" w:space="0" w:color="auto"/>
            </w:tcBorders>
          </w:tcPr>
          <w:p w14:paraId="25F09FC9" w14:textId="77777777" w:rsidR="006E564B" w:rsidRPr="00C0164B" w:rsidRDefault="006E564B" w:rsidP="005C1DB5">
            <w:pPr>
              <w:keepNext/>
              <w:keepLines/>
              <w:spacing w:before="40" w:after="40"/>
              <w:jc w:val="left"/>
              <w:rPr>
                <w:b/>
                <w:sz w:val="18"/>
                <w:szCs w:val="18"/>
              </w:rPr>
            </w:pPr>
            <w:r w:rsidRPr="00C0164B">
              <w:rPr>
                <w:b/>
                <w:sz w:val="18"/>
                <w:szCs w:val="18"/>
              </w:rPr>
              <w:t>2018-19</w:t>
            </w:r>
          </w:p>
        </w:tc>
        <w:tc>
          <w:tcPr>
            <w:tcW w:w="1168" w:type="dxa"/>
            <w:tcBorders>
              <w:top w:val="single" w:sz="4" w:space="0" w:color="auto"/>
              <w:bottom w:val="single" w:sz="4" w:space="0" w:color="auto"/>
            </w:tcBorders>
          </w:tcPr>
          <w:p w14:paraId="1B2EA382" w14:textId="77777777" w:rsidR="006E564B" w:rsidRPr="00C0164B" w:rsidRDefault="006E564B" w:rsidP="005C1DB5">
            <w:pPr>
              <w:keepNext/>
              <w:keepLines/>
              <w:spacing w:before="40" w:after="40"/>
              <w:jc w:val="left"/>
              <w:rPr>
                <w:b/>
                <w:sz w:val="18"/>
                <w:szCs w:val="18"/>
              </w:rPr>
            </w:pPr>
            <w:r w:rsidRPr="00C0164B">
              <w:rPr>
                <w:b/>
                <w:sz w:val="18"/>
                <w:szCs w:val="18"/>
              </w:rPr>
              <w:t>2019-20</w:t>
            </w:r>
          </w:p>
        </w:tc>
        <w:tc>
          <w:tcPr>
            <w:tcW w:w="1168" w:type="dxa"/>
            <w:tcBorders>
              <w:top w:val="single" w:sz="4" w:space="0" w:color="auto"/>
              <w:bottom w:val="single" w:sz="4" w:space="0" w:color="auto"/>
            </w:tcBorders>
          </w:tcPr>
          <w:p w14:paraId="6743829F" w14:textId="77777777" w:rsidR="006E564B" w:rsidRPr="00C0164B" w:rsidRDefault="006E564B" w:rsidP="005C1DB5">
            <w:pPr>
              <w:keepNext/>
              <w:keepLines/>
              <w:spacing w:before="40" w:after="40"/>
              <w:jc w:val="left"/>
              <w:rPr>
                <w:b/>
                <w:sz w:val="18"/>
                <w:szCs w:val="18"/>
              </w:rPr>
            </w:pPr>
            <w:r w:rsidRPr="00C0164B">
              <w:rPr>
                <w:b/>
                <w:sz w:val="18"/>
                <w:szCs w:val="18"/>
              </w:rPr>
              <w:t>2020-21</w:t>
            </w:r>
          </w:p>
        </w:tc>
        <w:tc>
          <w:tcPr>
            <w:tcW w:w="1168" w:type="dxa"/>
            <w:tcBorders>
              <w:top w:val="single" w:sz="4" w:space="0" w:color="auto"/>
              <w:bottom w:val="single" w:sz="4" w:space="0" w:color="auto"/>
            </w:tcBorders>
          </w:tcPr>
          <w:p w14:paraId="23F70A25" w14:textId="77777777" w:rsidR="006E564B" w:rsidRPr="00C0164B" w:rsidRDefault="006E564B" w:rsidP="005C1DB5">
            <w:pPr>
              <w:keepNext/>
              <w:keepLines/>
              <w:spacing w:before="40" w:after="40"/>
              <w:jc w:val="left"/>
              <w:rPr>
                <w:b/>
                <w:sz w:val="18"/>
                <w:szCs w:val="18"/>
              </w:rPr>
            </w:pPr>
            <w:r w:rsidRPr="00C0164B">
              <w:rPr>
                <w:b/>
                <w:sz w:val="18"/>
                <w:szCs w:val="18"/>
              </w:rPr>
              <w:t>2021-22</w:t>
            </w:r>
          </w:p>
        </w:tc>
      </w:tr>
      <w:tr w:rsidR="006E564B" w:rsidRPr="0024474A" w14:paraId="20E6F876" w14:textId="77777777" w:rsidTr="00B1759A">
        <w:trPr>
          <w:cantSplit/>
          <w:trHeight w:val="380"/>
        </w:trPr>
        <w:tc>
          <w:tcPr>
            <w:tcW w:w="3686" w:type="dxa"/>
            <w:tcBorders>
              <w:bottom w:val="single" w:sz="4" w:space="0" w:color="auto"/>
            </w:tcBorders>
            <w:vAlign w:val="center"/>
          </w:tcPr>
          <w:p w14:paraId="3E5FC662" w14:textId="77777777" w:rsidR="006E564B" w:rsidRPr="001807F3" w:rsidRDefault="006E564B" w:rsidP="005C1DB5">
            <w:pPr>
              <w:keepNext/>
              <w:keepLines/>
              <w:spacing w:before="40" w:after="40"/>
              <w:jc w:val="left"/>
              <w:rPr>
                <w:sz w:val="18"/>
                <w:szCs w:val="18"/>
              </w:rPr>
            </w:pPr>
            <w:r>
              <w:rPr>
                <w:sz w:val="18"/>
                <w:szCs w:val="18"/>
              </w:rPr>
              <w:t>Apprenticeship and traineeship training with similar characteristics</w:t>
            </w:r>
          </w:p>
        </w:tc>
        <w:tc>
          <w:tcPr>
            <w:tcW w:w="1168" w:type="dxa"/>
            <w:tcBorders>
              <w:top w:val="single" w:sz="4" w:space="0" w:color="auto"/>
              <w:bottom w:val="single" w:sz="4" w:space="0" w:color="auto"/>
            </w:tcBorders>
          </w:tcPr>
          <w:p w14:paraId="7B4A7F14" w14:textId="77777777" w:rsidR="006E564B" w:rsidRPr="006879D3" w:rsidRDefault="008712BA" w:rsidP="005C1DB5">
            <w:pPr>
              <w:keepNext/>
              <w:keepLines/>
              <w:spacing w:before="40" w:after="40"/>
              <w:jc w:val="left"/>
              <w:rPr>
                <w:sz w:val="18"/>
                <w:szCs w:val="18"/>
              </w:rPr>
            </w:pPr>
            <w:r>
              <w:rPr>
                <w:sz w:val="18"/>
                <w:szCs w:val="18"/>
              </w:rPr>
              <w:t>1979</w:t>
            </w:r>
          </w:p>
        </w:tc>
        <w:tc>
          <w:tcPr>
            <w:tcW w:w="1168" w:type="dxa"/>
            <w:tcBorders>
              <w:top w:val="single" w:sz="4" w:space="0" w:color="auto"/>
              <w:bottom w:val="single" w:sz="4" w:space="0" w:color="auto"/>
            </w:tcBorders>
          </w:tcPr>
          <w:p w14:paraId="73FA2E87" w14:textId="6150A248" w:rsidR="006E564B" w:rsidRPr="00FC047D" w:rsidRDefault="008712BA" w:rsidP="005C1DB5">
            <w:pPr>
              <w:keepNext/>
              <w:keepLines/>
              <w:spacing w:before="40" w:after="40"/>
              <w:jc w:val="left"/>
              <w:rPr>
                <w:sz w:val="18"/>
                <w:szCs w:val="18"/>
              </w:rPr>
            </w:pPr>
            <w:r w:rsidRPr="00FC047D">
              <w:rPr>
                <w:sz w:val="18"/>
                <w:szCs w:val="18"/>
              </w:rPr>
              <w:t>653</w:t>
            </w:r>
          </w:p>
        </w:tc>
        <w:tc>
          <w:tcPr>
            <w:tcW w:w="1168" w:type="dxa"/>
            <w:tcBorders>
              <w:top w:val="single" w:sz="4" w:space="0" w:color="auto"/>
              <w:bottom w:val="single" w:sz="4" w:space="0" w:color="auto"/>
            </w:tcBorders>
          </w:tcPr>
          <w:p w14:paraId="5FD7F271" w14:textId="0AF91447" w:rsidR="006E564B" w:rsidRPr="00FC047D" w:rsidRDefault="008F17AC" w:rsidP="005C1DB5">
            <w:pPr>
              <w:keepNext/>
              <w:keepLines/>
              <w:spacing w:before="40" w:after="40"/>
              <w:jc w:val="left"/>
              <w:rPr>
                <w:sz w:val="18"/>
                <w:szCs w:val="18"/>
              </w:rPr>
            </w:pPr>
            <w:r>
              <w:rPr>
                <w:sz w:val="18"/>
                <w:szCs w:val="18"/>
              </w:rPr>
              <w:t>373</w:t>
            </w:r>
          </w:p>
        </w:tc>
        <w:tc>
          <w:tcPr>
            <w:tcW w:w="1168" w:type="dxa"/>
            <w:tcBorders>
              <w:top w:val="single" w:sz="4" w:space="0" w:color="auto"/>
              <w:bottom w:val="single" w:sz="4" w:space="0" w:color="auto"/>
            </w:tcBorders>
          </w:tcPr>
          <w:p w14:paraId="7A7CCD90" w14:textId="54CDEEE3" w:rsidR="006E564B" w:rsidRPr="00FC047D" w:rsidRDefault="008F17AC" w:rsidP="005C1DB5">
            <w:pPr>
              <w:keepNext/>
              <w:keepLines/>
              <w:spacing w:before="40" w:after="40"/>
              <w:jc w:val="left"/>
              <w:rPr>
                <w:sz w:val="18"/>
                <w:szCs w:val="18"/>
              </w:rPr>
            </w:pPr>
            <w:r>
              <w:rPr>
                <w:sz w:val="18"/>
                <w:szCs w:val="18"/>
              </w:rPr>
              <w:t>149</w:t>
            </w:r>
          </w:p>
        </w:tc>
      </w:tr>
    </w:tbl>
    <w:p w14:paraId="57D6971D" w14:textId="77777777" w:rsidR="006C788E" w:rsidRPr="006879D3" w:rsidRDefault="006C788E" w:rsidP="005C1DB5">
      <w:pPr>
        <w:pStyle w:val="Heading1"/>
      </w:pPr>
      <w:r w:rsidRPr="006879D3">
        <w:t>PART 2 – PRE-APPRENTICESHIPS AND PRE-TRAINEESHIPS</w:t>
      </w:r>
    </w:p>
    <w:p w14:paraId="5E7021FA" w14:textId="77777777" w:rsidR="006C788E" w:rsidRPr="006879D3" w:rsidRDefault="0094304A" w:rsidP="005C1DB5">
      <w:pPr>
        <w:pStyle w:val="ScheduleNumberedPara"/>
        <w:keepNext/>
        <w:spacing w:after="120"/>
        <w:jc w:val="left"/>
        <w:rPr>
          <w:b/>
          <w:color w:val="auto"/>
          <w:lang w:val="en-GB"/>
        </w:rPr>
      </w:pPr>
      <w:r w:rsidRPr="003B1603">
        <w:rPr>
          <w:b/>
          <w:color w:val="auto"/>
          <w:lang w:val="en-GB"/>
        </w:rPr>
        <w:t xml:space="preserve">Nominated </w:t>
      </w:r>
      <w:r w:rsidR="006C788E" w:rsidRPr="003B1603">
        <w:rPr>
          <w:b/>
          <w:color w:val="auto"/>
          <w:lang w:val="en-GB"/>
        </w:rPr>
        <w:t>qualifications</w:t>
      </w:r>
    </w:p>
    <w:p w14:paraId="0ED469FC" w14:textId="77777777" w:rsidR="006C788E" w:rsidRPr="006879D3" w:rsidRDefault="006C788E" w:rsidP="005C1DB5">
      <w:pPr>
        <w:pStyle w:val="ScheduleNumberedPara"/>
        <w:jc w:val="left"/>
        <w:rPr>
          <w:color w:val="auto"/>
          <w:lang w:val="en-GB"/>
        </w:rPr>
      </w:pPr>
      <w:r w:rsidRPr="006879D3">
        <w:rPr>
          <w:color w:val="auto"/>
          <w:lang w:val="en-GB"/>
        </w:rPr>
        <w:t xml:space="preserve">A commencement contributes to this component of the activity baseline and </w:t>
      </w:r>
      <w:r w:rsidR="0030020B">
        <w:rPr>
          <w:color w:val="auto"/>
          <w:lang w:val="en-GB"/>
        </w:rPr>
        <w:t xml:space="preserve">additional activity </w:t>
      </w:r>
      <w:r w:rsidRPr="006879D3">
        <w:rPr>
          <w:color w:val="auto"/>
          <w:lang w:val="en-GB"/>
        </w:rPr>
        <w:t>target if:</w:t>
      </w:r>
    </w:p>
    <w:p w14:paraId="05F2AD2F" w14:textId="77777777" w:rsidR="006C788E" w:rsidRPr="006879D3" w:rsidRDefault="006C788E" w:rsidP="005C1DB5">
      <w:pPr>
        <w:numPr>
          <w:ilvl w:val="0"/>
          <w:numId w:val="19"/>
        </w:numPr>
        <w:spacing w:after="40" w:line="288" w:lineRule="auto"/>
        <w:ind w:left="567" w:hanging="567"/>
        <w:jc w:val="left"/>
      </w:pPr>
      <w:r w:rsidRPr="006879D3">
        <w:t>it was for a</w:t>
      </w:r>
      <w:r w:rsidR="00243234" w:rsidRPr="006879D3">
        <w:t xml:space="preserve"> </w:t>
      </w:r>
      <w:r w:rsidR="00243234" w:rsidRPr="003B1603">
        <w:t>nominated</w:t>
      </w:r>
      <w:r w:rsidRPr="006879D3">
        <w:t xml:space="preserve"> nationally recognised qualification, and</w:t>
      </w:r>
    </w:p>
    <w:p w14:paraId="49EAA63C" w14:textId="77777777" w:rsidR="006C788E" w:rsidRPr="006879D3" w:rsidRDefault="006C788E" w:rsidP="005C1DB5">
      <w:pPr>
        <w:numPr>
          <w:ilvl w:val="0"/>
          <w:numId w:val="19"/>
        </w:numPr>
        <w:spacing w:after="40" w:line="288" w:lineRule="auto"/>
        <w:ind w:left="567" w:hanging="567"/>
        <w:jc w:val="left"/>
      </w:pPr>
      <w:r w:rsidRPr="006879D3">
        <w:t>it was subsidised by the Government of South Australia for the specific purpose of leading into:</w:t>
      </w:r>
    </w:p>
    <w:p w14:paraId="49F8348C" w14:textId="77777777" w:rsidR="006C788E" w:rsidRPr="006879D3" w:rsidRDefault="006C788E" w:rsidP="005C1DB5">
      <w:pPr>
        <w:numPr>
          <w:ilvl w:val="1"/>
          <w:numId w:val="20"/>
        </w:numPr>
        <w:spacing w:after="40" w:line="288" w:lineRule="auto"/>
        <w:ind w:hanging="371"/>
        <w:jc w:val="left"/>
      </w:pPr>
      <w:r w:rsidRPr="006879D3">
        <w:t>further study, or</w:t>
      </w:r>
    </w:p>
    <w:p w14:paraId="5204B626" w14:textId="77777777" w:rsidR="006C788E" w:rsidRPr="006879D3" w:rsidRDefault="006C788E" w:rsidP="005C1DB5">
      <w:pPr>
        <w:numPr>
          <w:ilvl w:val="1"/>
          <w:numId w:val="20"/>
        </w:numPr>
        <w:spacing w:after="40" w:line="288" w:lineRule="auto"/>
        <w:ind w:hanging="371"/>
        <w:jc w:val="left"/>
      </w:pPr>
      <w:r w:rsidRPr="006879D3">
        <w:t xml:space="preserve">a training contract as defined under Part 4 of the </w:t>
      </w:r>
      <w:r w:rsidRPr="006879D3">
        <w:rPr>
          <w:i/>
        </w:rPr>
        <w:t>Training and Skills Development Act 2008</w:t>
      </w:r>
      <w:r w:rsidRPr="006879D3">
        <w:t xml:space="preserve"> (SA), and</w:t>
      </w:r>
    </w:p>
    <w:p w14:paraId="19CCC119" w14:textId="77777777" w:rsidR="006C788E" w:rsidRPr="006879D3" w:rsidRDefault="006C788E" w:rsidP="005C1DB5">
      <w:pPr>
        <w:numPr>
          <w:ilvl w:val="0"/>
          <w:numId w:val="19"/>
        </w:numPr>
        <w:spacing w:after="40" w:line="288" w:lineRule="auto"/>
        <w:ind w:left="567" w:hanging="567"/>
        <w:jc w:val="left"/>
      </w:pPr>
      <w:r w:rsidRPr="006879D3">
        <w:t xml:space="preserve">it was not delivered through a training contract as defined under Part 4 of the </w:t>
      </w:r>
      <w:r w:rsidRPr="006879D3">
        <w:rPr>
          <w:i/>
        </w:rPr>
        <w:t>Training and Skills Development Act 2008</w:t>
      </w:r>
      <w:r w:rsidRPr="006879D3">
        <w:t xml:space="preserve"> (SA).  </w:t>
      </w:r>
    </w:p>
    <w:p w14:paraId="5F18A822" w14:textId="77777777" w:rsidR="006C788E" w:rsidRPr="006879D3" w:rsidRDefault="006C788E" w:rsidP="005C1DB5">
      <w:pPr>
        <w:spacing w:before="100" w:after="0" w:line="288" w:lineRule="auto"/>
        <w:ind w:right="-142"/>
        <w:jc w:val="left"/>
        <w:rPr>
          <w:color w:val="auto"/>
          <w:lang w:val="en-GB"/>
        </w:rPr>
      </w:pPr>
      <w:r w:rsidRPr="00231997">
        <w:rPr>
          <w:color w:val="auto"/>
          <w:lang w:val="en-GB"/>
        </w:rPr>
        <w:t xml:space="preserve">Note: The list of </w:t>
      </w:r>
      <w:r w:rsidR="00243234" w:rsidRPr="00231997">
        <w:rPr>
          <w:color w:val="auto"/>
          <w:lang w:val="en-GB"/>
        </w:rPr>
        <w:t xml:space="preserve">nominated nationally recognised </w:t>
      </w:r>
      <w:r w:rsidRPr="00231997">
        <w:rPr>
          <w:color w:val="auto"/>
          <w:lang w:val="en-GB"/>
        </w:rPr>
        <w:t>qualifications will be subject to regular review</w:t>
      </w:r>
      <w:r w:rsidR="00243234" w:rsidRPr="00231997">
        <w:rPr>
          <w:color w:val="auto"/>
          <w:lang w:val="en-GB"/>
        </w:rPr>
        <w:t xml:space="preserve"> and may be amended by written agreement between the Commonwealth and South Australia</w:t>
      </w:r>
      <w:r w:rsidRPr="00231997">
        <w:rPr>
          <w:color w:val="auto"/>
          <w:lang w:val="en-GB"/>
        </w:rPr>
        <w:t>.</w:t>
      </w:r>
      <w:r w:rsidR="004E7BAF">
        <w:rPr>
          <w:color w:val="auto"/>
          <w:lang w:val="en-GB"/>
        </w:rPr>
        <w:t xml:space="preserve"> </w:t>
      </w:r>
      <w:proofErr w:type="gramStart"/>
      <w:r w:rsidR="004E7BAF" w:rsidRPr="008D0E8F">
        <w:rPr>
          <w:color w:val="auto"/>
          <w:lang w:val="en-GB"/>
        </w:rPr>
        <w:t>In the event that</w:t>
      </w:r>
      <w:proofErr w:type="gramEnd"/>
      <w:r w:rsidR="004E7BAF" w:rsidRPr="008D0E8F">
        <w:rPr>
          <w:color w:val="auto"/>
          <w:lang w:val="en-GB"/>
        </w:rPr>
        <w:t xml:space="preserve"> the list used to formulate the baseline changes, the respective baseline will be subject to review and</w:t>
      </w:r>
      <w:r w:rsidR="008D0E8F">
        <w:rPr>
          <w:color w:val="auto"/>
          <w:lang w:val="en-GB"/>
        </w:rPr>
        <w:t xml:space="preserve"> </w:t>
      </w:r>
      <w:r w:rsidR="004E7BAF" w:rsidRPr="008D0E8F">
        <w:rPr>
          <w:color w:val="auto"/>
          <w:lang w:val="en-GB"/>
        </w:rPr>
        <w:t>agreement between the Commonwealth and South Australia.</w:t>
      </w:r>
      <w:r w:rsidRPr="006879D3">
        <w:rPr>
          <w:color w:val="auto"/>
          <w:lang w:val="en-GB"/>
        </w:rPr>
        <w:t xml:space="preserve">  </w:t>
      </w:r>
    </w:p>
    <w:p w14:paraId="4FF70834" w14:textId="77777777" w:rsidR="006C788E" w:rsidRPr="006879D3" w:rsidRDefault="00243234" w:rsidP="005C1DB5">
      <w:pPr>
        <w:pStyle w:val="ScheduleNumberedPara"/>
        <w:keepNext/>
        <w:spacing w:before="240"/>
        <w:jc w:val="left"/>
        <w:rPr>
          <w:b/>
          <w:color w:val="auto"/>
          <w:lang w:val="en-GB"/>
        </w:rPr>
      </w:pPr>
      <w:r w:rsidRPr="003B0D78">
        <w:rPr>
          <w:b/>
          <w:color w:val="auto"/>
          <w:lang w:val="en-GB"/>
        </w:rPr>
        <w:t>Project proposals</w:t>
      </w:r>
    </w:p>
    <w:p w14:paraId="5302834A" w14:textId="77777777" w:rsidR="006C788E" w:rsidRDefault="006C788E" w:rsidP="005C1DB5">
      <w:pPr>
        <w:pStyle w:val="ScheduleNumberedPara"/>
        <w:spacing w:after="120" w:line="240" w:lineRule="auto"/>
        <w:jc w:val="left"/>
        <w:rPr>
          <w:color w:val="auto"/>
          <w:lang w:val="en-GB"/>
        </w:rPr>
      </w:pPr>
      <w:r w:rsidRPr="006879D3">
        <w:rPr>
          <w:color w:val="auto"/>
          <w:lang w:val="en-GB"/>
        </w:rPr>
        <w:t xml:space="preserve">A commencement contributes to this component of the activity baseline and </w:t>
      </w:r>
      <w:r w:rsidR="0030020B">
        <w:rPr>
          <w:color w:val="auto"/>
          <w:lang w:val="en-GB"/>
        </w:rPr>
        <w:t xml:space="preserve">additional activity </w:t>
      </w:r>
      <w:r w:rsidRPr="006879D3">
        <w:rPr>
          <w:color w:val="auto"/>
          <w:lang w:val="en-GB"/>
        </w:rPr>
        <w:t>target if:</w:t>
      </w:r>
    </w:p>
    <w:p w14:paraId="227383E7" w14:textId="77777777" w:rsidR="006C788E" w:rsidRPr="006879D3" w:rsidRDefault="006C788E" w:rsidP="005C1DB5">
      <w:pPr>
        <w:numPr>
          <w:ilvl w:val="0"/>
          <w:numId w:val="37"/>
        </w:numPr>
        <w:spacing w:after="120" w:line="240" w:lineRule="auto"/>
        <w:ind w:left="567" w:hanging="567"/>
        <w:jc w:val="left"/>
      </w:pPr>
      <w:r w:rsidRPr="006879D3">
        <w:t>it included nationally accredited training, and</w:t>
      </w:r>
    </w:p>
    <w:p w14:paraId="4497FC79" w14:textId="77777777" w:rsidR="006C788E" w:rsidRPr="006879D3" w:rsidRDefault="006C788E" w:rsidP="005C1DB5">
      <w:pPr>
        <w:numPr>
          <w:ilvl w:val="0"/>
          <w:numId w:val="37"/>
        </w:numPr>
        <w:spacing w:after="120" w:line="240" w:lineRule="auto"/>
        <w:ind w:left="567" w:hanging="567"/>
        <w:jc w:val="left"/>
      </w:pPr>
      <w:r w:rsidRPr="006879D3">
        <w:t>it was subsidised by the Government of South Australia for the specific purpose of leading into:</w:t>
      </w:r>
    </w:p>
    <w:p w14:paraId="15BD99B5" w14:textId="77777777" w:rsidR="006C788E" w:rsidRPr="006879D3" w:rsidRDefault="006C788E" w:rsidP="005C1DB5">
      <w:pPr>
        <w:numPr>
          <w:ilvl w:val="1"/>
          <w:numId w:val="21"/>
        </w:numPr>
        <w:spacing w:after="120" w:line="240" w:lineRule="auto"/>
        <w:ind w:left="1560" w:hanging="426"/>
        <w:jc w:val="left"/>
      </w:pPr>
      <w:r w:rsidRPr="006879D3">
        <w:t>further study, or</w:t>
      </w:r>
    </w:p>
    <w:p w14:paraId="25BE6FE0" w14:textId="77777777" w:rsidR="006C788E" w:rsidRPr="006879D3" w:rsidRDefault="006C788E" w:rsidP="005C1DB5">
      <w:pPr>
        <w:numPr>
          <w:ilvl w:val="1"/>
          <w:numId w:val="21"/>
        </w:numPr>
        <w:spacing w:after="120" w:line="240" w:lineRule="auto"/>
        <w:ind w:left="1560" w:hanging="426"/>
        <w:jc w:val="left"/>
      </w:pPr>
      <w:r w:rsidRPr="006879D3">
        <w:t xml:space="preserve">a training contract as defined under Part 4 of the </w:t>
      </w:r>
      <w:r w:rsidRPr="006879D3">
        <w:rPr>
          <w:i/>
        </w:rPr>
        <w:t>Training and Skills Development Act 2008</w:t>
      </w:r>
      <w:r w:rsidRPr="006879D3">
        <w:t xml:space="preserve"> (SA), and</w:t>
      </w:r>
    </w:p>
    <w:p w14:paraId="15D6A3EB" w14:textId="77777777" w:rsidR="007C7A5B" w:rsidRPr="003B0D78" w:rsidRDefault="007C7A5B" w:rsidP="005C1DB5">
      <w:pPr>
        <w:numPr>
          <w:ilvl w:val="0"/>
          <w:numId w:val="37"/>
        </w:numPr>
        <w:spacing w:after="120" w:line="240" w:lineRule="auto"/>
        <w:ind w:left="567" w:hanging="567"/>
        <w:jc w:val="left"/>
      </w:pPr>
      <w:r w:rsidRPr="003B0D78">
        <w:t>it was subsidised by the Government of South Australia in response to a project proposal that included industry or employer involvement</w:t>
      </w:r>
      <w:r w:rsidR="00EA4053">
        <w:t>, and</w:t>
      </w:r>
    </w:p>
    <w:p w14:paraId="665B230B" w14:textId="77777777" w:rsidR="006C788E" w:rsidRPr="006879D3" w:rsidRDefault="006C788E" w:rsidP="005C1DB5">
      <w:pPr>
        <w:numPr>
          <w:ilvl w:val="0"/>
          <w:numId w:val="37"/>
        </w:numPr>
        <w:spacing w:after="120" w:line="240" w:lineRule="auto"/>
        <w:ind w:left="567" w:hanging="567"/>
        <w:jc w:val="left"/>
      </w:pPr>
      <w:r w:rsidRPr="006879D3">
        <w:t xml:space="preserve">it was not a commencement for a </w:t>
      </w:r>
      <w:r w:rsidR="00243234" w:rsidRPr="003B0D78">
        <w:t>nominated</w:t>
      </w:r>
      <w:r w:rsidR="00243234" w:rsidRPr="006879D3">
        <w:t xml:space="preserve"> </w:t>
      </w:r>
      <w:r w:rsidRPr="006879D3">
        <w:t>nationally recognised qualification, and</w:t>
      </w:r>
    </w:p>
    <w:p w14:paraId="515C516F" w14:textId="77777777" w:rsidR="001665C4" w:rsidRDefault="006C788E" w:rsidP="005C1DB5">
      <w:pPr>
        <w:numPr>
          <w:ilvl w:val="0"/>
          <w:numId w:val="37"/>
        </w:numPr>
        <w:spacing w:after="120" w:line="240" w:lineRule="auto"/>
        <w:ind w:left="567" w:hanging="567"/>
        <w:jc w:val="left"/>
      </w:pPr>
      <w:r w:rsidRPr="006879D3">
        <w:t xml:space="preserve">it was not delivered through a training contract as defined under Part 4 of the </w:t>
      </w:r>
      <w:r w:rsidRPr="006879D3">
        <w:rPr>
          <w:i/>
        </w:rPr>
        <w:t>Training and Skills Development Act 2008</w:t>
      </w:r>
      <w:r w:rsidRPr="006879D3">
        <w:t xml:space="preserve"> (SA).  </w:t>
      </w:r>
    </w:p>
    <w:p w14:paraId="5DACF380" w14:textId="77777777" w:rsidR="007D3811" w:rsidRDefault="001665C4" w:rsidP="005C1DB5">
      <w:pPr>
        <w:spacing w:line="288" w:lineRule="auto"/>
        <w:jc w:val="left"/>
        <w:rPr>
          <w:color w:val="auto"/>
          <w:lang w:val="en-GB"/>
        </w:rPr>
      </w:pPr>
      <w:r>
        <w:t>Where t</w:t>
      </w:r>
      <w:r w:rsidR="005E7113" w:rsidRPr="001665C4">
        <w:rPr>
          <w:color w:val="auto"/>
          <w:lang w:val="en-GB"/>
        </w:rPr>
        <w:t>he commencement involve</w:t>
      </w:r>
      <w:r w:rsidR="00CF3280" w:rsidRPr="001665C4">
        <w:rPr>
          <w:color w:val="auto"/>
          <w:lang w:val="en-GB"/>
        </w:rPr>
        <w:t>s</w:t>
      </w:r>
      <w:r w:rsidR="005E7113" w:rsidRPr="001665C4">
        <w:rPr>
          <w:color w:val="auto"/>
          <w:lang w:val="en-GB"/>
        </w:rPr>
        <w:t xml:space="preserve"> delivery of a nationally recognised qualification </w:t>
      </w:r>
      <w:r w:rsidR="00CF3280" w:rsidRPr="001665C4">
        <w:rPr>
          <w:color w:val="auto"/>
          <w:lang w:val="en-GB"/>
        </w:rPr>
        <w:t xml:space="preserve">that is not a nominated nationally recognised </w:t>
      </w:r>
      <w:r w:rsidR="001C0D4D" w:rsidRPr="001665C4">
        <w:rPr>
          <w:color w:val="auto"/>
          <w:lang w:val="en-GB"/>
        </w:rPr>
        <w:t>qualification</w:t>
      </w:r>
      <w:r w:rsidR="001F1FDC" w:rsidRPr="001665C4">
        <w:rPr>
          <w:color w:val="auto"/>
          <w:lang w:val="en-GB"/>
        </w:rPr>
        <w:t xml:space="preserve"> (as agreed with the Commonwealth)</w:t>
      </w:r>
      <w:r w:rsidR="00A752F9" w:rsidRPr="001665C4">
        <w:rPr>
          <w:color w:val="auto"/>
          <w:lang w:val="en-GB"/>
        </w:rPr>
        <w:t>, the contribution of these commencements to the target will be capped</w:t>
      </w:r>
      <w:r w:rsidR="0030020B">
        <w:rPr>
          <w:color w:val="auto"/>
          <w:lang w:val="en-GB"/>
        </w:rPr>
        <w:t xml:space="preserve"> </w:t>
      </w:r>
      <w:r w:rsidR="006200B8" w:rsidRPr="001665C4">
        <w:rPr>
          <w:color w:val="auto"/>
          <w:lang w:val="en-GB"/>
        </w:rPr>
        <w:t xml:space="preserve">at </w:t>
      </w:r>
      <w:r w:rsidR="00CC5507" w:rsidRPr="001665C4">
        <w:rPr>
          <w:color w:val="auto"/>
          <w:lang w:val="en-GB"/>
        </w:rPr>
        <w:t xml:space="preserve">100 commencements each financial year from </w:t>
      </w:r>
      <w:r w:rsidR="00A62D1E">
        <w:rPr>
          <w:color w:val="auto"/>
          <w:lang w:val="en-GB"/>
        </w:rPr>
        <w:br/>
      </w:r>
      <w:r w:rsidR="00CC5507" w:rsidRPr="001665C4">
        <w:rPr>
          <w:color w:val="auto"/>
          <w:lang w:val="en-GB"/>
        </w:rPr>
        <w:t>2019-20 to 2021-22 as in Table 2</w:t>
      </w:r>
      <w:r w:rsidR="00CC5507" w:rsidRPr="001665C4" w:rsidDel="0037531E">
        <w:rPr>
          <w:color w:val="auto"/>
          <w:lang w:val="en-GB"/>
        </w:rPr>
        <w:t>.</w:t>
      </w:r>
      <w:r w:rsidR="001F1FDC" w:rsidRPr="001665C4">
        <w:rPr>
          <w:color w:val="auto"/>
          <w:lang w:val="en-GB"/>
        </w:rPr>
        <w:t xml:space="preserve"> These numbers represent the total number of these types of commencements in each financial year</w:t>
      </w:r>
      <w:r w:rsidR="008D0E8F" w:rsidRPr="001665C4">
        <w:rPr>
          <w:color w:val="auto"/>
          <w:lang w:val="en-GB"/>
        </w:rPr>
        <w:t>.</w:t>
      </w:r>
    </w:p>
    <w:p w14:paraId="4F067015" w14:textId="77777777" w:rsidR="00374A9F" w:rsidRDefault="00374A9F" w:rsidP="005C1DB5">
      <w:pPr>
        <w:spacing w:after="200" w:line="276" w:lineRule="auto"/>
        <w:jc w:val="left"/>
        <w:rPr>
          <w:color w:val="auto"/>
          <w:lang w:val="en-GB"/>
        </w:rPr>
      </w:pPr>
      <w:r>
        <w:rPr>
          <w:color w:val="auto"/>
          <w:lang w:val="en-GB"/>
        </w:rPr>
        <w:br w:type="page"/>
      </w:r>
    </w:p>
    <w:p w14:paraId="4506B5C3" w14:textId="77777777" w:rsidR="00C0164B" w:rsidRPr="00B31A58" w:rsidRDefault="00C0164B" w:rsidP="005C1DB5">
      <w:pPr>
        <w:pStyle w:val="ListParagraph"/>
        <w:spacing w:before="100" w:after="0" w:line="288" w:lineRule="auto"/>
        <w:ind w:left="0" w:right="-142"/>
        <w:jc w:val="left"/>
        <w:rPr>
          <w:color w:val="auto"/>
          <w:lang w:val="en-GB"/>
        </w:rPr>
      </w:pPr>
      <w:r w:rsidRPr="00B31A58">
        <w:rPr>
          <w:color w:val="auto"/>
          <w:lang w:val="en-GB"/>
        </w:rPr>
        <w:lastRenderedPageBreak/>
        <w:t xml:space="preserve">Table 2: </w:t>
      </w:r>
      <w:r w:rsidR="00CC5507" w:rsidRPr="00B31A58">
        <w:rPr>
          <w:color w:val="auto"/>
          <w:lang w:val="en-GB"/>
        </w:rPr>
        <w:t xml:space="preserve">Number of </w:t>
      </w:r>
      <w:r w:rsidR="006C564B" w:rsidRPr="00B31A58">
        <w:rPr>
          <w:color w:val="auto"/>
          <w:lang w:val="en-GB"/>
        </w:rPr>
        <w:t>c</w:t>
      </w:r>
      <w:r w:rsidR="00CC5507" w:rsidRPr="00B31A58">
        <w:rPr>
          <w:color w:val="auto"/>
          <w:lang w:val="en-GB"/>
        </w:rPr>
        <w:t>ommencements cap</w:t>
      </w:r>
    </w:p>
    <w:tbl>
      <w:tblPr>
        <w:tblW w:w="0" w:type="auto"/>
        <w:tblLayout w:type="fixed"/>
        <w:tblLook w:val="01E0" w:firstRow="1" w:lastRow="1" w:firstColumn="1" w:lastColumn="1" w:noHBand="0" w:noVBand="0"/>
      </w:tblPr>
      <w:tblGrid>
        <w:gridCol w:w="3686"/>
        <w:gridCol w:w="1168"/>
        <w:gridCol w:w="1168"/>
        <w:gridCol w:w="1168"/>
        <w:gridCol w:w="1168"/>
      </w:tblGrid>
      <w:tr w:rsidR="00C129A2" w:rsidRPr="0024474A" w14:paraId="0432B7F1" w14:textId="77777777" w:rsidTr="00B1759A">
        <w:trPr>
          <w:cantSplit/>
          <w:trHeight w:val="380"/>
        </w:trPr>
        <w:tc>
          <w:tcPr>
            <w:tcW w:w="3686" w:type="dxa"/>
            <w:tcBorders>
              <w:top w:val="single" w:sz="4" w:space="0" w:color="auto"/>
            </w:tcBorders>
          </w:tcPr>
          <w:p w14:paraId="2D77D567" w14:textId="77777777" w:rsidR="00C129A2" w:rsidRPr="006879D3" w:rsidRDefault="00962C93" w:rsidP="005C1DB5">
            <w:pPr>
              <w:keepNext/>
              <w:keepLines/>
              <w:spacing w:before="40" w:after="40"/>
              <w:jc w:val="left"/>
              <w:rPr>
                <w:b/>
                <w:sz w:val="18"/>
                <w:szCs w:val="18"/>
              </w:rPr>
            </w:pPr>
            <w:r>
              <w:rPr>
                <w:b/>
                <w:sz w:val="18"/>
                <w:szCs w:val="18"/>
              </w:rPr>
              <w:t>Cap</w:t>
            </w:r>
            <w:r w:rsidR="00F13865">
              <w:rPr>
                <w:b/>
                <w:sz w:val="18"/>
                <w:szCs w:val="18"/>
              </w:rPr>
              <w:t xml:space="preserve"> - commencements</w:t>
            </w:r>
          </w:p>
        </w:tc>
        <w:tc>
          <w:tcPr>
            <w:tcW w:w="1168" w:type="dxa"/>
            <w:tcBorders>
              <w:top w:val="single" w:sz="4" w:space="0" w:color="auto"/>
              <w:bottom w:val="single" w:sz="4" w:space="0" w:color="auto"/>
            </w:tcBorders>
          </w:tcPr>
          <w:p w14:paraId="6942A8E8" w14:textId="77777777" w:rsidR="00C129A2" w:rsidRPr="006C564B" w:rsidRDefault="00C129A2" w:rsidP="005C1DB5">
            <w:pPr>
              <w:keepNext/>
              <w:keepLines/>
              <w:spacing w:before="40" w:after="40"/>
              <w:jc w:val="left"/>
              <w:rPr>
                <w:b/>
                <w:sz w:val="18"/>
                <w:szCs w:val="18"/>
              </w:rPr>
            </w:pPr>
            <w:r w:rsidRPr="006C564B">
              <w:rPr>
                <w:b/>
                <w:sz w:val="18"/>
                <w:szCs w:val="18"/>
              </w:rPr>
              <w:t>2018-19</w:t>
            </w:r>
          </w:p>
        </w:tc>
        <w:tc>
          <w:tcPr>
            <w:tcW w:w="1168" w:type="dxa"/>
            <w:tcBorders>
              <w:top w:val="single" w:sz="4" w:space="0" w:color="auto"/>
              <w:bottom w:val="single" w:sz="4" w:space="0" w:color="auto"/>
            </w:tcBorders>
          </w:tcPr>
          <w:p w14:paraId="3D56B9FA" w14:textId="77777777" w:rsidR="00C129A2" w:rsidRPr="006C564B" w:rsidRDefault="00C129A2" w:rsidP="005C1DB5">
            <w:pPr>
              <w:keepNext/>
              <w:keepLines/>
              <w:spacing w:before="40" w:after="40"/>
              <w:jc w:val="left"/>
              <w:rPr>
                <w:b/>
                <w:sz w:val="18"/>
                <w:szCs w:val="18"/>
              </w:rPr>
            </w:pPr>
            <w:r w:rsidRPr="006C564B">
              <w:rPr>
                <w:b/>
                <w:sz w:val="18"/>
                <w:szCs w:val="18"/>
              </w:rPr>
              <w:t>2019-20</w:t>
            </w:r>
          </w:p>
        </w:tc>
        <w:tc>
          <w:tcPr>
            <w:tcW w:w="1168" w:type="dxa"/>
            <w:tcBorders>
              <w:top w:val="single" w:sz="4" w:space="0" w:color="auto"/>
              <w:bottom w:val="single" w:sz="4" w:space="0" w:color="auto"/>
            </w:tcBorders>
          </w:tcPr>
          <w:p w14:paraId="432982AA" w14:textId="77777777" w:rsidR="00C129A2" w:rsidRPr="006C564B" w:rsidRDefault="00C129A2" w:rsidP="005C1DB5">
            <w:pPr>
              <w:keepNext/>
              <w:keepLines/>
              <w:spacing w:before="40" w:after="40"/>
              <w:jc w:val="left"/>
              <w:rPr>
                <w:b/>
                <w:sz w:val="18"/>
                <w:szCs w:val="18"/>
              </w:rPr>
            </w:pPr>
            <w:r w:rsidRPr="006C564B">
              <w:rPr>
                <w:b/>
                <w:sz w:val="18"/>
                <w:szCs w:val="18"/>
              </w:rPr>
              <w:t>2020-21</w:t>
            </w:r>
          </w:p>
        </w:tc>
        <w:tc>
          <w:tcPr>
            <w:tcW w:w="1168" w:type="dxa"/>
            <w:tcBorders>
              <w:top w:val="single" w:sz="4" w:space="0" w:color="auto"/>
              <w:bottom w:val="single" w:sz="4" w:space="0" w:color="auto"/>
            </w:tcBorders>
          </w:tcPr>
          <w:p w14:paraId="2A867B3E" w14:textId="77777777" w:rsidR="00C129A2" w:rsidRPr="006C564B" w:rsidRDefault="00C129A2" w:rsidP="005C1DB5">
            <w:pPr>
              <w:keepNext/>
              <w:keepLines/>
              <w:spacing w:before="40" w:after="40"/>
              <w:jc w:val="left"/>
              <w:rPr>
                <w:b/>
                <w:sz w:val="18"/>
                <w:szCs w:val="18"/>
              </w:rPr>
            </w:pPr>
            <w:r w:rsidRPr="006C564B">
              <w:rPr>
                <w:b/>
                <w:sz w:val="18"/>
                <w:szCs w:val="18"/>
              </w:rPr>
              <w:t>2021-22</w:t>
            </w:r>
          </w:p>
        </w:tc>
      </w:tr>
      <w:tr w:rsidR="00C129A2" w:rsidRPr="0024474A" w14:paraId="579DFC18" w14:textId="77777777" w:rsidTr="00B1759A">
        <w:trPr>
          <w:cantSplit/>
          <w:trHeight w:val="380"/>
        </w:trPr>
        <w:tc>
          <w:tcPr>
            <w:tcW w:w="3686" w:type="dxa"/>
            <w:tcBorders>
              <w:bottom w:val="single" w:sz="4" w:space="0" w:color="auto"/>
            </w:tcBorders>
            <w:vAlign w:val="center"/>
          </w:tcPr>
          <w:p w14:paraId="28C757CB" w14:textId="77777777" w:rsidR="00C129A2" w:rsidRPr="001807F3" w:rsidRDefault="00962C93" w:rsidP="005C1DB5">
            <w:pPr>
              <w:keepNext/>
              <w:keepLines/>
              <w:spacing w:before="40" w:after="40"/>
              <w:jc w:val="left"/>
              <w:rPr>
                <w:sz w:val="18"/>
                <w:szCs w:val="18"/>
              </w:rPr>
            </w:pPr>
            <w:r w:rsidRPr="001807F3">
              <w:rPr>
                <w:sz w:val="18"/>
                <w:szCs w:val="18"/>
              </w:rPr>
              <w:t>Nationally recognised qualifications</w:t>
            </w:r>
            <w:r w:rsidR="001807F3" w:rsidRPr="001807F3">
              <w:rPr>
                <w:sz w:val="18"/>
                <w:szCs w:val="18"/>
              </w:rPr>
              <w:t xml:space="preserve"> (excluding nominated nationally recognised qualifications)</w:t>
            </w:r>
          </w:p>
        </w:tc>
        <w:tc>
          <w:tcPr>
            <w:tcW w:w="1168" w:type="dxa"/>
            <w:tcBorders>
              <w:top w:val="single" w:sz="4" w:space="0" w:color="auto"/>
              <w:bottom w:val="single" w:sz="4" w:space="0" w:color="auto"/>
            </w:tcBorders>
          </w:tcPr>
          <w:p w14:paraId="027FC5EA" w14:textId="77777777" w:rsidR="00C129A2" w:rsidRPr="006879D3" w:rsidRDefault="00CE0EFA" w:rsidP="005C1DB5">
            <w:pPr>
              <w:keepNext/>
              <w:keepLines/>
              <w:spacing w:before="40" w:after="40"/>
              <w:jc w:val="left"/>
              <w:rPr>
                <w:sz w:val="18"/>
                <w:szCs w:val="18"/>
              </w:rPr>
            </w:pPr>
            <w:r>
              <w:rPr>
                <w:sz w:val="18"/>
                <w:szCs w:val="18"/>
              </w:rPr>
              <w:t>0</w:t>
            </w:r>
          </w:p>
        </w:tc>
        <w:tc>
          <w:tcPr>
            <w:tcW w:w="1168" w:type="dxa"/>
            <w:tcBorders>
              <w:top w:val="single" w:sz="4" w:space="0" w:color="auto"/>
              <w:bottom w:val="single" w:sz="4" w:space="0" w:color="auto"/>
            </w:tcBorders>
          </w:tcPr>
          <w:p w14:paraId="7AD85A33" w14:textId="77777777" w:rsidR="00C129A2" w:rsidRPr="0024474A" w:rsidRDefault="00CE0EFA" w:rsidP="005C1DB5">
            <w:pPr>
              <w:keepNext/>
              <w:keepLines/>
              <w:spacing w:before="40" w:after="40"/>
              <w:jc w:val="left"/>
              <w:rPr>
                <w:sz w:val="18"/>
                <w:szCs w:val="18"/>
              </w:rPr>
            </w:pPr>
            <w:r>
              <w:rPr>
                <w:sz w:val="18"/>
                <w:szCs w:val="18"/>
              </w:rPr>
              <w:t>100</w:t>
            </w:r>
          </w:p>
        </w:tc>
        <w:tc>
          <w:tcPr>
            <w:tcW w:w="1168" w:type="dxa"/>
            <w:tcBorders>
              <w:top w:val="single" w:sz="4" w:space="0" w:color="auto"/>
              <w:bottom w:val="single" w:sz="4" w:space="0" w:color="auto"/>
            </w:tcBorders>
          </w:tcPr>
          <w:p w14:paraId="59095F93" w14:textId="77777777" w:rsidR="00C129A2" w:rsidRPr="0024474A" w:rsidRDefault="00CE0EFA" w:rsidP="005C1DB5">
            <w:pPr>
              <w:keepNext/>
              <w:keepLines/>
              <w:spacing w:before="40" w:after="40"/>
              <w:jc w:val="left"/>
              <w:rPr>
                <w:sz w:val="18"/>
                <w:szCs w:val="18"/>
              </w:rPr>
            </w:pPr>
            <w:r>
              <w:rPr>
                <w:sz w:val="18"/>
                <w:szCs w:val="18"/>
              </w:rPr>
              <w:t>100</w:t>
            </w:r>
          </w:p>
        </w:tc>
        <w:tc>
          <w:tcPr>
            <w:tcW w:w="1168" w:type="dxa"/>
            <w:tcBorders>
              <w:top w:val="single" w:sz="4" w:space="0" w:color="auto"/>
              <w:bottom w:val="single" w:sz="4" w:space="0" w:color="auto"/>
            </w:tcBorders>
          </w:tcPr>
          <w:p w14:paraId="57A45D59" w14:textId="77777777" w:rsidR="00C129A2" w:rsidRPr="0024474A" w:rsidRDefault="00CE0EFA" w:rsidP="005C1DB5">
            <w:pPr>
              <w:keepNext/>
              <w:keepLines/>
              <w:spacing w:before="40" w:after="40"/>
              <w:jc w:val="left"/>
              <w:rPr>
                <w:sz w:val="18"/>
                <w:szCs w:val="18"/>
              </w:rPr>
            </w:pPr>
            <w:r>
              <w:rPr>
                <w:sz w:val="18"/>
                <w:szCs w:val="18"/>
              </w:rPr>
              <w:t>100</w:t>
            </w:r>
          </w:p>
        </w:tc>
      </w:tr>
    </w:tbl>
    <w:p w14:paraId="62DCF99C" w14:textId="77777777" w:rsidR="006C788E" w:rsidRPr="006879D3" w:rsidRDefault="006C788E" w:rsidP="005C1DB5">
      <w:pPr>
        <w:pStyle w:val="Heading1"/>
      </w:pPr>
      <w:r w:rsidRPr="006879D3">
        <w:t>PART 3 – HIGHER APPRENTICESHIPS</w:t>
      </w:r>
    </w:p>
    <w:p w14:paraId="5260CE28" w14:textId="77777777" w:rsidR="006C788E" w:rsidRPr="006879D3" w:rsidRDefault="006C788E" w:rsidP="005C1DB5">
      <w:pPr>
        <w:pStyle w:val="ScheduleNumberedPara"/>
        <w:keepNext/>
        <w:jc w:val="left"/>
        <w:rPr>
          <w:b/>
          <w:color w:val="auto"/>
          <w:lang w:val="en-GB"/>
        </w:rPr>
      </w:pPr>
      <w:r w:rsidRPr="006879D3">
        <w:rPr>
          <w:b/>
          <w:color w:val="auto"/>
          <w:lang w:val="en-GB"/>
        </w:rPr>
        <w:t>Contracts of training</w:t>
      </w:r>
    </w:p>
    <w:p w14:paraId="66D1B15E" w14:textId="312A151C" w:rsidR="006C788E" w:rsidRPr="006879D3" w:rsidRDefault="006C788E" w:rsidP="005C1DB5">
      <w:pPr>
        <w:spacing w:before="100"/>
        <w:jc w:val="left"/>
      </w:pPr>
      <w:r w:rsidRPr="006879D3">
        <w:t xml:space="preserve">A commencement contributes to this component of the activity baseline and </w:t>
      </w:r>
      <w:r w:rsidR="00AD640C">
        <w:rPr>
          <w:color w:val="auto"/>
          <w:lang w:val="en-GB"/>
        </w:rPr>
        <w:t xml:space="preserve">additional </w:t>
      </w:r>
      <w:r w:rsidRPr="006879D3">
        <w:t>target if:</w:t>
      </w:r>
    </w:p>
    <w:p w14:paraId="158E3F03" w14:textId="77777777" w:rsidR="006C788E" w:rsidRPr="006879D3" w:rsidRDefault="004351F3" w:rsidP="005C1DB5">
      <w:pPr>
        <w:numPr>
          <w:ilvl w:val="0"/>
          <w:numId w:val="22"/>
        </w:numPr>
        <w:spacing w:before="100" w:after="0" w:line="288" w:lineRule="auto"/>
        <w:ind w:left="567" w:hanging="567"/>
        <w:jc w:val="left"/>
      </w:pPr>
      <w:r w:rsidRPr="006879D3">
        <w:t xml:space="preserve">it </w:t>
      </w:r>
      <w:r w:rsidR="006C788E" w:rsidRPr="006879D3">
        <w:t>is for a nationally recognised qualification at:</w:t>
      </w:r>
    </w:p>
    <w:p w14:paraId="0D142418" w14:textId="77777777" w:rsidR="006C788E" w:rsidRPr="006879D3" w:rsidRDefault="006C788E" w:rsidP="005C1DB5">
      <w:pPr>
        <w:numPr>
          <w:ilvl w:val="1"/>
          <w:numId w:val="23"/>
        </w:numPr>
        <w:spacing w:before="100" w:after="0" w:line="288" w:lineRule="auto"/>
        <w:jc w:val="left"/>
      </w:pPr>
      <w:r w:rsidRPr="006879D3">
        <w:t>Australian Qualifications Framework Level 5, or</w:t>
      </w:r>
    </w:p>
    <w:p w14:paraId="58B96391" w14:textId="77777777" w:rsidR="006C788E" w:rsidRPr="006879D3" w:rsidRDefault="006C788E" w:rsidP="005C1DB5">
      <w:pPr>
        <w:numPr>
          <w:ilvl w:val="1"/>
          <w:numId w:val="23"/>
        </w:numPr>
        <w:spacing w:before="100" w:after="0" w:line="288" w:lineRule="auto"/>
        <w:jc w:val="left"/>
      </w:pPr>
      <w:r w:rsidRPr="006879D3">
        <w:t xml:space="preserve">Australian Qualifications Framework Level 6, </w:t>
      </w:r>
      <w:r w:rsidR="00EA4120" w:rsidRPr="006879D3">
        <w:t>or</w:t>
      </w:r>
    </w:p>
    <w:p w14:paraId="5B2D8A04" w14:textId="77777777" w:rsidR="00C47BA6" w:rsidRPr="003B1603" w:rsidRDefault="00C47BA6" w:rsidP="005C1DB5">
      <w:pPr>
        <w:numPr>
          <w:ilvl w:val="1"/>
          <w:numId w:val="23"/>
        </w:numPr>
        <w:spacing w:before="100" w:after="0" w:line="288" w:lineRule="auto"/>
        <w:jc w:val="left"/>
      </w:pPr>
      <w:r w:rsidRPr="003B1603">
        <w:t xml:space="preserve">it is for an accredited Associate Degree qualification at Australian Qualifications Framework Level </w:t>
      </w:r>
      <w:r w:rsidR="007E528C" w:rsidRPr="003B1603">
        <w:t>6</w:t>
      </w:r>
      <w:r w:rsidR="00D442EF" w:rsidRPr="003B1603">
        <w:t xml:space="preserve"> </w:t>
      </w:r>
      <w:r w:rsidR="00B1759A">
        <w:t>(</w:t>
      </w:r>
      <w:proofErr w:type="gramStart"/>
      <w:r w:rsidR="00D442EF" w:rsidRPr="003B1603">
        <w:t>provided that</w:t>
      </w:r>
      <w:proofErr w:type="gramEnd"/>
      <w:r w:rsidR="00D442EF" w:rsidRPr="003B1603">
        <w:t xml:space="preserve"> commencement i</w:t>
      </w:r>
      <w:r w:rsidR="00EA6E72" w:rsidRPr="003B1603">
        <w:t xml:space="preserve">s not </w:t>
      </w:r>
      <w:r w:rsidR="005B0980" w:rsidRPr="003B1603">
        <w:t xml:space="preserve">also </w:t>
      </w:r>
      <w:r w:rsidR="00EA6E72" w:rsidRPr="003B1603">
        <w:t xml:space="preserve">being funded by the </w:t>
      </w:r>
      <w:r w:rsidR="00325CFC" w:rsidRPr="003B1603">
        <w:t>Commonwealth</w:t>
      </w:r>
      <w:r w:rsidR="005B0980" w:rsidRPr="003B1603">
        <w:t xml:space="preserve"> through another mechanism</w:t>
      </w:r>
      <w:r w:rsidR="00EA6E72" w:rsidRPr="003B1603">
        <w:t>)</w:t>
      </w:r>
      <w:r w:rsidR="007E528C" w:rsidRPr="003B1603">
        <w:t>, and</w:t>
      </w:r>
    </w:p>
    <w:p w14:paraId="7D149B35" w14:textId="77777777" w:rsidR="006C788E" w:rsidRPr="006879D3" w:rsidRDefault="00D22E8C" w:rsidP="005C1DB5">
      <w:pPr>
        <w:numPr>
          <w:ilvl w:val="0"/>
          <w:numId w:val="22"/>
        </w:numPr>
        <w:spacing w:before="100" w:after="100" w:line="288" w:lineRule="auto"/>
        <w:ind w:left="567" w:hanging="567"/>
        <w:jc w:val="left"/>
      </w:pPr>
      <w:r>
        <w:t xml:space="preserve">it </w:t>
      </w:r>
      <w:r w:rsidR="006C788E" w:rsidRPr="006879D3">
        <w:t xml:space="preserve">was delivered through a training contract as defined under Part 4 of the </w:t>
      </w:r>
      <w:r w:rsidR="006C788E" w:rsidRPr="006879D3">
        <w:rPr>
          <w:i/>
        </w:rPr>
        <w:t>Training and Skills Development Act 2008</w:t>
      </w:r>
      <w:r w:rsidR="006C788E" w:rsidRPr="006879D3">
        <w:t xml:space="preserve"> (SA).  </w:t>
      </w:r>
    </w:p>
    <w:p w14:paraId="1A9345B4" w14:textId="77777777" w:rsidR="006C788E" w:rsidRPr="006879D3" w:rsidRDefault="006C788E" w:rsidP="005C1DB5">
      <w:pPr>
        <w:pStyle w:val="ScheduleNumberedPara"/>
        <w:keepNext/>
        <w:spacing w:before="240"/>
        <w:jc w:val="left"/>
        <w:rPr>
          <w:b/>
          <w:color w:val="auto"/>
          <w:lang w:val="en-GB"/>
        </w:rPr>
      </w:pPr>
      <w:r w:rsidRPr="006879D3">
        <w:rPr>
          <w:b/>
          <w:color w:val="auto"/>
          <w:lang w:val="en-GB"/>
        </w:rPr>
        <w:t>Training with similar characteristics</w:t>
      </w:r>
      <w:r w:rsidR="00374A9F">
        <w:rPr>
          <w:b/>
          <w:color w:val="auto"/>
          <w:lang w:val="en-GB"/>
        </w:rPr>
        <w:t xml:space="preserve"> (like activity)</w:t>
      </w:r>
    </w:p>
    <w:p w14:paraId="1EE5D133" w14:textId="019A1F41" w:rsidR="006C788E" w:rsidRPr="006879D3" w:rsidRDefault="006C788E" w:rsidP="005C1DB5">
      <w:pPr>
        <w:spacing w:before="100"/>
        <w:jc w:val="left"/>
      </w:pPr>
      <w:r w:rsidRPr="006879D3">
        <w:t>A commencement contributes to this component of the activity if:</w:t>
      </w:r>
    </w:p>
    <w:p w14:paraId="71975DF4" w14:textId="77777777" w:rsidR="006C788E" w:rsidRPr="006879D3" w:rsidRDefault="004351F3" w:rsidP="005C1DB5">
      <w:pPr>
        <w:numPr>
          <w:ilvl w:val="0"/>
          <w:numId w:val="24"/>
        </w:numPr>
        <w:spacing w:before="100" w:after="0" w:line="288" w:lineRule="auto"/>
        <w:ind w:left="567" w:hanging="567"/>
        <w:jc w:val="left"/>
      </w:pPr>
      <w:r w:rsidRPr="006879D3">
        <w:t xml:space="preserve">it </w:t>
      </w:r>
      <w:r w:rsidR="006C788E" w:rsidRPr="006879D3">
        <w:t>is for a nationally recognised qualification at:</w:t>
      </w:r>
    </w:p>
    <w:p w14:paraId="56FC3DF8" w14:textId="77777777" w:rsidR="006C788E" w:rsidRPr="006879D3" w:rsidRDefault="006C788E" w:rsidP="005C1DB5">
      <w:pPr>
        <w:numPr>
          <w:ilvl w:val="1"/>
          <w:numId w:val="25"/>
        </w:numPr>
        <w:spacing w:before="100" w:after="0" w:line="288" w:lineRule="auto"/>
        <w:jc w:val="left"/>
      </w:pPr>
      <w:r w:rsidRPr="006879D3">
        <w:t>Australian Qualifications Framework Level 5, or</w:t>
      </w:r>
    </w:p>
    <w:p w14:paraId="25E23554" w14:textId="77777777" w:rsidR="006C788E" w:rsidRPr="006879D3" w:rsidRDefault="006C788E" w:rsidP="005C1DB5">
      <w:pPr>
        <w:numPr>
          <w:ilvl w:val="1"/>
          <w:numId w:val="25"/>
        </w:numPr>
        <w:spacing w:before="100" w:after="0" w:line="288" w:lineRule="auto"/>
        <w:jc w:val="left"/>
      </w:pPr>
      <w:r w:rsidRPr="006879D3">
        <w:t xml:space="preserve">Australian Qualifications Framework Level 6, </w:t>
      </w:r>
      <w:r w:rsidR="00B07C59" w:rsidRPr="006879D3">
        <w:t>or</w:t>
      </w:r>
    </w:p>
    <w:p w14:paraId="72249002" w14:textId="77777777" w:rsidR="00B07C59" w:rsidRPr="003B1603" w:rsidRDefault="00B07C59" w:rsidP="005C1DB5">
      <w:pPr>
        <w:numPr>
          <w:ilvl w:val="1"/>
          <w:numId w:val="25"/>
        </w:numPr>
        <w:spacing w:before="100" w:after="0" w:line="288" w:lineRule="auto"/>
        <w:jc w:val="left"/>
      </w:pPr>
      <w:r w:rsidRPr="003B1603">
        <w:t>it is for an accredited Associate Degree qualification at Australian Qualifications Framework Level 6</w:t>
      </w:r>
      <w:r w:rsidR="00B1759A">
        <w:t xml:space="preserve"> (</w:t>
      </w:r>
      <w:proofErr w:type="gramStart"/>
      <w:r w:rsidR="00B1759A">
        <w:t>provided that</w:t>
      </w:r>
      <w:proofErr w:type="gramEnd"/>
      <w:r w:rsidR="00B1759A">
        <w:t xml:space="preserve"> commencement is not also being funded by the Commonwealth through another mechanism), and</w:t>
      </w:r>
      <w:r w:rsidR="008613D3">
        <w:t xml:space="preserve"> </w:t>
      </w:r>
    </w:p>
    <w:p w14:paraId="7FB59B47" w14:textId="77777777" w:rsidR="006C788E" w:rsidRPr="006879D3" w:rsidRDefault="00D22E8C" w:rsidP="005C1DB5">
      <w:pPr>
        <w:numPr>
          <w:ilvl w:val="0"/>
          <w:numId w:val="24"/>
        </w:numPr>
        <w:spacing w:before="100" w:after="0" w:line="288" w:lineRule="auto"/>
        <w:ind w:left="567" w:hanging="567"/>
        <w:jc w:val="left"/>
      </w:pPr>
      <w:r>
        <w:t xml:space="preserve">it </w:t>
      </w:r>
      <w:r w:rsidR="006C788E" w:rsidRPr="006879D3">
        <w:t>was subsidised by the Government of South Australia with a specific requirement for the inclusion of a work placement or experience component as a condition of the subsidy, and</w:t>
      </w:r>
    </w:p>
    <w:p w14:paraId="7512EB0D" w14:textId="77777777" w:rsidR="006C788E" w:rsidRDefault="00601F88" w:rsidP="005C1DB5">
      <w:pPr>
        <w:numPr>
          <w:ilvl w:val="0"/>
          <w:numId w:val="24"/>
        </w:numPr>
        <w:spacing w:before="100" w:after="0" w:line="288" w:lineRule="auto"/>
        <w:ind w:left="567" w:hanging="567"/>
        <w:jc w:val="left"/>
      </w:pPr>
      <w:r>
        <w:t xml:space="preserve">it </w:t>
      </w:r>
      <w:r w:rsidR="006C788E" w:rsidRPr="006879D3">
        <w:t xml:space="preserve">was not delivered through a training contract as defined under Part 4 of the </w:t>
      </w:r>
      <w:r w:rsidR="006C788E" w:rsidRPr="006879D3">
        <w:rPr>
          <w:i/>
        </w:rPr>
        <w:t>Training and Skills Development Act 2008</w:t>
      </w:r>
      <w:r w:rsidR="006C788E" w:rsidRPr="006879D3">
        <w:t xml:space="preserve"> (SA).  </w:t>
      </w:r>
    </w:p>
    <w:p w14:paraId="71D04017" w14:textId="6DCEEBC7" w:rsidR="007D3811" w:rsidRDefault="00406595" w:rsidP="005C1DB5">
      <w:pPr>
        <w:spacing w:before="100" w:after="0" w:line="288" w:lineRule="auto"/>
        <w:jc w:val="left"/>
        <w:rPr>
          <w:color w:val="auto"/>
          <w:lang w:val="en-GB"/>
        </w:rPr>
      </w:pPr>
      <w:bookmarkStart w:id="7" w:name="_Hlk2880999"/>
      <w:r>
        <w:rPr>
          <w:color w:val="auto"/>
          <w:lang w:val="en-GB"/>
        </w:rPr>
        <w:t xml:space="preserve">The contribution of </w:t>
      </w:r>
      <w:r w:rsidR="005C31FD">
        <w:rPr>
          <w:color w:val="auto"/>
          <w:lang w:val="en-GB"/>
        </w:rPr>
        <w:t>commencements</w:t>
      </w:r>
      <w:r w:rsidR="00A47D81">
        <w:rPr>
          <w:color w:val="auto"/>
          <w:lang w:val="en-GB"/>
        </w:rPr>
        <w:t xml:space="preserve"> with similar characteristics </w:t>
      </w:r>
      <w:r w:rsidR="00414A67">
        <w:rPr>
          <w:color w:val="auto"/>
          <w:lang w:val="en-GB"/>
        </w:rPr>
        <w:t>will be capped</w:t>
      </w:r>
      <w:r w:rsidR="00CC5507">
        <w:rPr>
          <w:color w:val="auto"/>
          <w:lang w:val="en-GB"/>
        </w:rPr>
        <w:t xml:space="preserve"> over the term of the Agreement </w:t>
      </w:r>
      <w:r w:rsidR="00A62D1E">
        <w:rPr>
          <w:color w:val="auto"/>
          <w:lang w:val="en-GB"/>
        </w:rPr>
        <w:t xml:space="preserve">at </w:t>
      </w:r>
      <w:r w:rsidR="00A62D1E" w:rsidRPr="00147F14">
        <w:t>20 per cent</w:t>
      </w:r>
      <w:r w:rsidR="00A62D1E">
        <w:t xml:space="preserve"> of the total activity in 2018-19, </w:t>
      </w:r>
      <w:r w:rsidR="008C3388">
        <w:t>and 20</w:t>
      </w:r>
      <w:r w:rsidR="00A62D1E">
        <w:t xml:space="preserve"> per cent of the additional activity in 2019-20</w:t>
      </w:r>
      <w:r w:rsidR="008C3388">
        <w:t>,</w:t>
      </w:r>
      <w:r w:rsidR="00EA69DA">
        <w:t xml:space="preserve"> </w:t>
      </w:r>
      <w:r w:rsidR="00A62D1E">
        <w:t xml:space="preserve">2020-21 and 2021-22 </w:t>
      </w:r>
      <w:r w:rsidR="00CC5507">
        <w:rPr>
          <w:color w:val="auto"/>
          <w:lang w:val="en-GB"/>
        </w:rPr>
        <w:t>as in Table 3</w:t>
      </w:r>
      <w:r w:rsidR="001F1FDC">
        <w:rPr>
          <w:color w:val="auto"/>
          <w:lang w:val="en-GB"/>
        </w:rPr>
        <w:t>. These numbers represent the total number of these types of commencements in each financial year.</w:t>
      </w:r>
    </w:p>
    <w:p w14:paraId="5D37A19F" w14:textId="77777777" w:rsidR="00FF06B8" w:rsidRDefault="00FF06B8" w:rsidP="005C1DB5">
      <w:pPr>
        <w:spacing w:after="200" w:line="276" w:lineRule="auto"/>
        <w:jc w:val="left"/>
        <w:rPr>
          <w:color w:val="auto"/>
          <w:lang w:val="en-GB"/>
        </w:rPr>
      </w:pPr>
      <w:r>
        <w:rPr>
          <w:color w:val="auto"/>
          <w:lang w:val="en-GB"/>
        </w:rPr>
        <w:br w:type="page"/>
      </w:r>
    </w:p>
    <w:p w14:paraId="3A4046ED" w14:textId="77777777" w:rsidR="006C564B" w:rsidRPr="00B1759A" w:rsidRDefault="006C564B" w:rsidP="005C1DB5">
      <w:pPr>
        <w:spacing w:before="100" w:after="0" w:line="288" w:lineRule="auto"/>
        <w:jc w:val="left"/>
        <w:rPr>
          <w:color w:val="auto"/>
          <w:lang w:val="en-GB"/>
        </w:rPr>
      </w:pPr>
      <w:r w:rsidRPr="00B1759A">
        <w:rPr>
          <w:color w:val="auto"/>
          <w:lang w:val="en-GB"/>
        </w:rPr>
        <w:lastRenderedPageBreak/>
        <w:t xml:space="preserve">Table 3: </w:t>
      </w:r>
      <w:r w:rsidR="00CC5507" w:rsidRPr="00B1759A">
        <w:rPr>
          <w:color w:val="auto"/>
          <w:lang w:val="en-GB"/>
        </w:rPr>
        <w:t xml:space="preserve">Number of </w:t>
      </w:r>
      <w:r w:rsidR="00374A9F">
        <w:rPr>
          <w:color w:val="auto"/>
          <w:lang w:val="en-GB"/>
        </w:rPr>
        <w:t>c</w:t>
      </w:r>
      <w:r w:rsidR="00374A9F" w:rsidRPr="00B1759A">
        <w:rPr>
          <w:color w:val="auto"/>
          <w:lang w:val="en-GB"/>
        </w:rPr>
        <w:t xml:space="preserve">ommencements </w:t>
      </w:r>
      <w:r w:rsidR="00CC5507" w:rsidRPr="00B1759A">
        <w:rPr>
          <w:color w:val="auto"/>
          <w:lang w:val="en-GB"/>
        </w:rPr>
        <w:t>cap</w:t>
      </w:r>
    </w:p>
    <w:tbl>
      <w:tblPr>
        <w:tblW w:w="0" w:type="auto"/>
        <w:tblLayout w:type="fixed"/>
        <w:tblLook w:val="01E0" w:firstRow="1" w:lastRow="1" w:firstColumn="1" w:lastColumn="1" w:noHBand="0" w:noVBand="0"/>
      </w:tblPr>
      <w:tblGrid>
        <w:gridCol w:w="3686"/>
        <w:gridCol w:w="1168"/>
        <w:gridCol w:w="1168"/>
        <w:gridCol w:w="1168"/>
        <w:gridCol w:w="1168"/>
      </w:tblGrid>
      <w:tr w:rsidR="00A47D81" w:rsidRPr="0024474A" w14:paraId="155A0BAC" w14:textId="77777777" w:rsidTr="00B1759A">
        <w:trPr>
          <w:cantSplit/>
          <w:trHeight w:val="380"/>
        </w:trPr>
        <w:tc>
          <w:tcPr>
            <w:tcW w:w="3686" w:type="dxa"/>
            <w:tcBorders>
              <w:top w:val="single" w:sz="4" w:space="0" w:color="auto"/>
            </w:tcBorders>
          </w:tcPr>
          <w:p w14:paraId="4EEDB6BB" w14:textId="77777777" w:rsidR="00A47D81" w:rsidRPr="006879D3" w:rsidRDefault="00F13865" w:rsidP="005C1DB5">
            <w:pPr>
              <w:keepNext/>
              <w:keepLines/>
              <w:spacing w:before="40" w:after="40"/>
              <w:jc w:val="left"/>
              <w:rPr>
                <w:b/>
                <w:sz w:val="18"/>
                <w:szCs w:val="18"/>
              </w:rPr>
            </w:pPr>
            <w:r>
              <w:rPr>
                <w:b/>
                <w:sz w:val="18"/>
                <w:szCs w:val="18"/>
              </w:rPr>
              <w:t>Cap - commencements</w:t>
            </w:r>
          </w:p>
        </w:tc>
        <w:tc>
          <w:tcPr>
            <w:tcW w:w="1168" w:type="dxa"/>
            <w:tcBorders>
              <w:top w:val="single" w:sz="4" w:space="0" w:color="auto"/>
              <w:bottom w:val="single" w:sz="4" w:space="0" w:color="auto"/>
            </w:tcBorders>
          </w:tcPr>
          <w:p w14:paraId="10880C76" w14:textId="77777777" w:rsidR="00A47D81" w:rsidRPr="006C564B" w:rsidRDefault="00A47D81" w:rsidP="005C1DB5">
            <w:pPr>
              <w:keepNext/>
              <w:keepLines/>
              <w:spacing w:before="40" w:after="40"/>
              <w:jc w:val="left"/>
              <w:rPr>
                <w:b/>
                <w:sz w:val="18"/>
                <w:szCs w:val="18"/>
              </w:rPr>
            </w:pPr>
            <w:r w:rsidRPr="006C564B">
              <w:rPr>
                <w:b/>
                <w:sz w:val="18"/>
                <w:szCs w:val="18"/>
              </w:rPr>
              <w:t>2018-19</w:t>
            </w:r>
          </w:p>
        </w:tc>
        <w:tc>
          <w:tcPr>
            <w:tcW w:w="1168" w:type="dxa"/>
            <w:tcBorders>
              <w:top w:val="single" w:sz="4" w:space="0" w:color="auto"/>
              <w:bottom w:val="single" w:sz="4" w:space="0" w:color="auto"/>
            </w:tcBorders>
          </w:tcPr>
          <w:p w14:paraId="4E52CD41" w14:textId="77777777" w:rsidR="00A47D81" w:rsidRPr="006C564B" w:rsidRDefault="00A47D81" w:rsidP="005C1DB5">
            <w:pPr>
              <w:keepNext/>
              <w:keepLines/>
              <w:spacing w:before="40" w:after="40"/>
              <w:jc w:val="left"/>
              <w:rPr>
                <w:b/>
                <w:sz w:val="18"/>
                <w:szCs w:val="18"/>
              </w:rPr>
            </w:pPr>
            <w:r w:rsidRPr="006C564B">
              <w:rPr>
                <w:b/>
                <w:sz w:val="18"/>
                <w:szCs w:val="18"/>
              </w:rPr>
              <w:t>2019-20</w:t>
            </w:r>
          </w:p>
        </w:tc>
        <w:tc>
          <w:tcPr>
            <w:tcW w:w="1168" w:type="dxa"/>
            <w:tcBorders>
              <w:top w:val="single" w:sz="4" w:space="0" w:color="auto"/>
              <w:bottom w:val="single" w:sz="4" w:space="0" w:color="auto"/>
            </w:tcBorders>
          </w:tcPr>
          <w:p w14:paraId="59990DE7" w14:textId="77777777" w:rsidR="00A47D81" w:rsidRPr="006C564B" w:rsidRDefault="00A47D81" w:rsidP="005C1DB5">
            <w:pPr>
              <w:keepNext/>
              <w:keepLines/>
              <w:spacing w:before="40" w:after="40"/>
              <w:jc w:val="left"/>
              <w:rPr>
                <w:b/>
                <w:sz w:val="18"/>
                <w:szCs w:val="18"/>
              </w:rPr>
            </w:pPr>
            <w:r w:rsidRPr="006C564B">
              <w:rPr>
                <w:b/>
                <w:sz w:val="18"/>
                <w:szCs w:val="18"/>
              </w:rPr>
              <w:t>2020-21</w:t>
            </w:r>
          </w:p>
        </w:tc>
        <w:tc>
          <w:tcPr>
            <w:tcW w:w="1168" w:type="dxa"/>
            <w:tcBorders>
              <w:top w:val="single" w:sz="4" w:space="0" w:color="auto"/>
              <w:bottom w:val="single" w:sz="4" w:space="0" w:color="auto"/>
            </w:tcBorders>
          </w:tcPr>
          <w:p w14:paraId="5FB74835" w14:textId="77777777" w:rsidR="00A47D81" w:rsidRPr="006C564B" w:rsidRDefault="00A47D81" w:rsidP="005C1DB5">
            <w:pPr>
              <w:keepNext/>
              <w:keepLines/>
              <w:spacing w:before="40" w:after="40"/>
              <w:jc w:val="left"/>
              <w:rPr>
                <w:b/>
                <w:sz w:val="18"/>
                <w:szCs w:val="18"/>
              </w:rPr>
            </w:pPr>
            <w:r w:rsidRPr="006C564B">
              <w:rPr>
                <w:b/>
                <w:sz w:val="18"/>
                <w:szCs w:val="18"/>
              </w:rPr>
              <w:t>2021-22</w:t>
            </w:r>
          </w:p>
        </w:tc>
      </w:tr>
      <w:tr w:rsidR="00A47D81" w:rsidRPr="0024474A" w14:paraId="752D7866" w14:textId="77777777" w:rsidTr="00B1759A">
        <w:trPr>
          <w:cantSplit/>
          <w:trHeight w:val="380"/>
        </w:trPr>
        <w:tc>
          <w:tcPr>
            <w:tcW w:w="3686" w:type="dxa"/>
            <w:tcBorders>
              <w:bottom w:val="single" w:sz="4" w:space="0" w:color="auto"/>
            </w:tcBorders>
            <w:vAlign w:val="center"/>
          </w:tcPr>
          <w:p w14:paraId="3A7E86F9" w14:textId="77777777" w:rsidR="00A47D81" w:rsidRPr="001807F3" w:rsidRDefault="00FD7A69" w:rsidP="005C1DB5">
            <w:pPr>
              <w:keepNext/>
              <w:keepLines/>
              <w:spacing w:before="40" w:after="40"/>
              <w:jc w:val="left"/>
              <w:rPr>
                <w:sz w:val="18"/>
                <w:szCs w:val="18"/>
              </w:rPr>
            </w:pPr>
            <w:r>
              <w:rPr>
                <w:sz w:val="18"/>
                <w:szCs w:val="18"/>
              </w:rPr>
              <w:t>Higher apprenticeship training with similar characteristics</w:t>
            </w:r>
          </w:p>
        </w:tc>
        <w:tc>
          <w:tcPr>
            <w:tcW w:w="1168" w:type="dxa"/>
            <w:tcBorders>
              <w:top w:val="single" w:sz="4" w:space="0" w:color="auto"/>
              <w:bottom w:val="single" w:sz="4" w:space="0" w:color="auto"/>
            </w:tcBorders>
          </w:tcPr>
          <w:p w14:paraId="230CCEDB" w14:textId="77777777" w:rsidR="00A47D81" w:rsidRPr="006879D3" w:rsidRDefault="006E564B" w:rsidP="005C1DB5">
            <w:pPr>
              <w:keepNext/>
              <w:keepLines/>
              <w:spacing w:before="40" w:after="40"/>
              <w:jc w:val="left"/>
              <w:rPr>
                <w:sz w:val="18"/>
                <w:szCs w:val="18"/>
              </w:rPr>
            </w:pPr>
            <w:r>
              <w:rPr>
                <w:sz w:val="18"/>
                <w:szCs w:val="18"/>
              </w:rPr>
              <w:t>42</w:t>
            </w:r>
          </w:p>
        </w:tc>
        <w:tc>
          <w:tcPr>
            <w:tcW w:w="1168" w:type="dxa"/>
            <w:tcBorders>
              <w:top w:val="single" w:sz="4" w:space="0" w:color="auto"/>
              <w:bottom w:val="single" w:sz="4" w:space="0" w:color="auto"/>
            </w:tcBorders>
          </w:tcPr>
          <w:p w14:paraId="3D687D94" w14:textId="06830FF8" w:rsidR="00A47D81" w:rsidRPr="00B1759A" w:rsidRDefault="006E564B" w:rsidP="005C1DB5">
            <w:pPr>
              <w:keepNext/>
              <w:keepLines/>
              <w:spacing w:before="40" w:after="40"/>
              <w:jc w:val="left"/>
              <w:rPr>
                <w:sz w:val="18"/>
                <w:szCs w:val="18"/>
              </w:rPr>
            </w:pPr>
            <w:r w:rsidRPr="00B1759A" w:rsidDel="005653A4">
              <w:rPr>
                <w:sz w:val="18"/>
                <w:szCs w:val="18"/>
              </w:rPr>
              <w:t>57</w:t>
            </w:r>
          </w:p>
        </w:tc>
        <w:tc>
          <w:tcPr>
            <w:tcW w:w="1168" w:type="dxa"/>
            <w:tcBorders>
              <w:top w:val="single" w:sz="4" w:space="0" w:color="auto"/>
              <w:bottom w:val="single" w:sz="4" w:space="0" w:color="auto"/>
            </w:tcBorders>
          </w:tcPr>
          <w:p w14:paraId="6CA65E52" w14:textId="7B525C9E" w:rsidR="00A47D81" w:rsidRPr="00B1759A" w:rsidRDefault="008F17AC" w:rsidP="005C1DB5">
            <w:pPr>
              <w:keepNext/>
              <w:keepLines/>
              <w:spacing w:before="40" w:after="40"/>
              <w:jc w:val="left"/>
              <w:rPr>
                <w:sz w:val="18"/>
                <w:szCs w:val="18"/>
              </w:rPr>
            </w:pPr>
            <w:r>
              <w:rPr>
                <w:sz w:val="18"/>
                <w:szCs w:val="18"/>
              </w:rPr>
              <w:t>42</w:t>
            </w:r>
          </w:p>
        </w:tc>
        <w:tc>
          <w:tcPr>
            <w:tcW w:w="1168" w:type="dxa"/>
            <w:tcBorders>
              <w:top w:val="single" w:sz="4" w:space="0" w:color="auto"/>
              <w:bottom w:val="single" w:sz="4" w:space="0" w:color="auto"/>
            </w:tcBorders>
          </w:tcPr>
          <w:p w14:paraId="457D5B89" w14:textId="2E703E0E" w:rsidR="00A47D81" w:rsidRPr="00B1759A" w:rsidRDefault="008F17AC" w:rsidP="005C1DB5">
            <w:pPr>
              <w:keepNext/>
              <w:keepLines/>
              <w:spacing w:before="40" w:after="40"/>
              <w:jc w:val="left"/>
              <w:rPr>
                <w:sz w:val="18"/>
                <w:szCs w:val="18"/>
              </w:rPr>
            </w:pPr>
            <w:r>
              <w:rPr>
                <w:sz w:val="18"/>
                <w:szCs w:val="18"/>
              </w:rPr>
              <w:t>17</w:t>
            </w:r>
          </w:p>
        </w:tc>
      </w:tr>
    </w:tbl>
    <w:bookmarkEnd w:id="7"/>
    <w:p w14:paraId="6C70D4E4" w14:textId="1A0EF2E6" w:rsidR="006C564B" w:rsidRPr="003F780F" w:rsidRDefault="006C564B" w:rsidP="005C1DB5">
      <w:pPr>
        <w:spacing w:before="240" w:line="240" w:lineRule="exact"/>
        <w:ind w:right="-142"/>
        <w:jc w:val="left"/>
        <w:rPr>
          <w:b/>
          <w:bCs/>
          <w:color w:val="auto"/>
          <w:lang w:val="en-GB"/>
        </w:rPr>
      </w:pPr>
      <w:r w:rsidRPr="003F780F">
        <w:rPr>
          <w:b/>
          <w:bCs/>
          <w:color w:val="auto"/>
          <w:lang w:val="en-GB"/>
        </w:rPr>
        <w:t>Commencements above the performance benchmark</w:t>
      </w:r>
    </w:p>
    <w:p w14:paraId="3FA42823" w14:textId="5F6FFA8A" w:rsidR="008F6ACB" w:rsidRPr="001353D8" w:rsidRDefault="008F6ACB" w:rsidP="005C1DB5">
      <w:pPr>
        <w:spacing w:before="100" w:after="0" w:line="288" w:lineRule="auto"/>
        <w:ind w:right="-142"/>
        <w:jc w:val="left"/>
        <w:rPr>
          <w:color w:val="auto"/>
          <w:lang w:val="en-GB"/>
        </w:rPr>
      </w:pPr>
      <w:r w:rsidRPr="001353D8">
        <w:rPr>
          <w:color w:val="auto"/>
          <w:lang w:val="en-GB"/>
        </w:rPr>
        <w:t xml:space="preserve">Where South Australia’s higher apprenticeship commencements </w:t>
      </w:r>
      <w:r w:rsidR="00BB53F7" w:rsidRPr="001353D8">
        <w:rPr>
          <w:color w:val="auto"/>
          <w:lang w:val="en-GB"/>
        </w:rPr>
        <w:t xml:space="preserve">for a </w:t>
      </w:r>
      <w:r w:rsidR="003F780F">
        <w:rPr>
          <w:color w:val="auto"/>
          <w:lang w:val="en-GB"/>
        </w:rPr>
        <w:t xml:space="preserve">full </w:t>
      </w:r>
      <w:r w:rsidR="00BB53F7" w:rsidRPr="001353D8">
        <w:rPr>
          <w:color w:val="auto"/>
          <w:lang w:val="en-GB"/>
        </w:rPr>
        <w:t xml:space="preserve"> financial year </w:t>
      </w:r>
      <w:r w:rsidRPr="001353D8">
        <w:rPr>
          <w:color w:val="auto"/>
          <w:lang w:val="en-GB"/>
        </w:rPr>
        <w:t xml:space="preserve">are </w:t>
      </w:r>
      <w:r w:rsidR="005C31FD" w:rsidRPr="001353D8">
        <w:rPr>
          <w:color w:val="auto"/>
          <w:lang w:val="en-GB"/>
        </w:rPr>
        <w:t>above</w:t>
      </w:r>
      <w:r w:rsidR="00BB53F7" w:rsidRPr="001353D8">
        <w:rPr>
          <w:color w:val="auto"/>
          <w:lang w:val="en-GB"/>
        </w:rPr>
        <w:t xml:space="preserve"> the </w:t>
      </w:r>
      <w:r w:rsidR="003F780F">
        <w:rPr>
          <w:color w:val="auto"/>
          <w:lang w:val="en-GB"/>
        </w:rPr>
        <w:t xml:space="preserve">total </w:t>
      </w:r>
      <w:r w:rsidR="00BB53F7" w:rsidRPr="001353D8">
        <w:rPr>
          <w:color w:val="auto"/>
          <w:lang w:val="en-GB"/>
        </w:rPr>
        <w:t>performance benchmark</w:t>
      </w:r>
      <w:r w:rsidR="003F780F">
        <w:rPr>
          <w:color w:val="auto"/>
          <w:lang w:val="en-GB"/>
        </w:rPr>
        <w:t xml:space="preserve">, and have not been used to meet a prior performance </w:t>
      </w:r>
      <w:proofErr w:type="spellStart"/>
      <w:r w:rsidR="003F780F">
        <w:rPr>
          <w:color w:val="auto"/>
          <w:lang w:val="en-GB"/>
        </w:rPr>
        <w:t>benchmark</w:t>
      </w:r>
      <w:r w:rsidR="00492B4E">
        <w:rPr>
          <w:color w:val="auto"/>
          <w:lang w:val="en-GB"/>
        </w:rPr>
        <w:t>at</w:t>
      </w:r>
      <w:proofErr w:type="spellEnd"/>
      <w:r w:rsidR="00492B4E">
        <w:rPr>
          <w:color w:val="auto"/>
          <w:lang w:val="en-GB"/>
        </w:rPr>
        <w:t xml:space="preserve"> 30 April</w:t>
      </w:r>
      <w:r w:rsidR="00BB53F7" w:rsidRPr="001353D8">
        <w:rPr>
          <w:color w:val="auto"/>
          <w:lang w:val="en-GB"/>
        </w:rPr>
        <w:t xml:space="preserve">, South Australia may elect </w:t>
      </w:r>
      <w:r w:rsidR="0046470D" w:rsidRPr="001353D8">
        <w:rPr>
          <w:color w:val="auto"/>
          <w:lang w:val="en-GB"/>
        </w:rPr>
        <w:t xml:space="preserve">for those commencements to be counted towards the </w:t>
      </w:r>
      <w:r w:rsidR="003F780F">
        <w:rPr>
          <w:color w:val="auto"/>
          <w:lang w:val="en-GB"/>
        </w:rPr>
        <w:t xml:space="preserve">performance benchmark/s for </w:t>
      </w:r>
      <w:r w:rsidR="0046470D" w:rsidRPr="001353D8">
        <w:rPr>
          <w:color w:val="auto"/>
          <w:lang w:val="en-GB"/>
        </w:rPr>
        <w:t>apprenticeship</w:t>
      </w:r>
      <w:r w:rsidR="003F780F">
        <w:rPr>
          <w:color w:val="auto"/>
          <w:lang w:val="en-GB"/>
        </w:rPr>
        <w:t>s</w:t>
      </w:r>
      <w:r w:rsidR="0046470D" w:rsidRPr="001353D8">
        <w:rPr>
          <w:color w:val="auto"/>
          <w:lang w:val="en-GB"/>
        </w:rPr>
        <w:t xml:space="preserve"> and traineeship</w:t>
      </w:r>
      <w:r w:rsidR="003F780F">
        <w:rPr>
          <w:color w:val="auto"/>
          <w:lang w:val="en-GB"/>
        </w:rPr>
        <w:t>s</w:t>
      </w:r>
      <w:r w:rsidR="0089001E" w:rsidRPr="001353D8">
        <w:rPr>
          <w:color w:val="auto"/>
          <w:lang w:val="en-GB"/>
        </w:rPr>
        <w:t xml:space="preserve"> </w:t>
      </w:r>
      <w:r w:rsidR="00492B4E">
        <w:rPr>
          <w:color w:val="auto"/>
          <w:lang w:val="en-GB"/>
        </w:rPr>
        <w:t>and/</w:t>
      </w:r>
      <w:r w:rsidR="008D0E8F" w:rsidRPr="001353D8">
        <w:rPr>
          <w:color w:val="auto"/>
          <w:lang w:val="en-GB"/>
        </w:rPr>
        <w:t>or pre-apprenticeship</w:t>
      </w:r>
      <w:r w:rsidR="003F780F">
        <w:rPr>
          <w:color w:val="auto"/>
          <w:lang w:val="en-GB"/>
        </w:rPr>
        <w:t>s</w:t>
      </w:r>
      <w:r w:rsidR="00273A20">
        <w:rPr>
          <w:color w:val="auto"/>
          <w:lang w:val="en-GB"/>
        </w:rPr>
        <w:t xml:space="preserve"> </w:t>
      </w:r>
      <w:r w:rsidR="003F780F">
        <w:rPr>
          <w:color w:val="auto"/>
          <w:lang w:val="en-GB"/>
        </w:rPr>
        <w:t>at the time of reporting</w:t>
      </w:r>
      <w:r w:rsidR="0089001E" w:rsidRPr="001353D8">
        <w:rPr>
          <w:color w:val="auto"/>
          <w:lang w:val="en-GB"/>
        </w:rPr>
        <w:t xml:space="preserve">. </w:t>
      </w:r>
      <w:r w:rsidR="00BF6674" w:rsidRPr="001353D8">
        <w:rPr>
          <w:color w:val="auto"/>
          <w:lang w:val="en-GB"/>
        </w:rPr>
        <w:t>The ability to transfer</w:t>
      </w:r>
      <w:r w:rsidR="005F6753" w:rsidRPr="001353D8">
        <w:rPr>
          <w:color w:val="auto"/>
          <w:lang w:val="en-GB"/>
        </w:rPr>
        <w:t xml:space="preserve"> higher apprenticeship commencements to apprenticeship and traineeship commencements is subject to </w:t>
      </w:r>
      <w:r w:rsidR="00FD6406" w:rsidRPr="001353D8">
        <w:rPr>
          <w:color w:val="auto"/>
          <w:lang w:val="en-GB"/>
        </w:rPr>
        <w:t>transfers with</w:t>
      </w:r>
      <w:r w:rsidR="00765492">
        <w:rPr>
          <w:color w:val="auto"/>
          <w:lang w:val="en-GB"/>
        </w:rPr>
        <w:t>in</w:t>
      </w:r>
      <w:r w:rsidR="00FD6406" w:rsidRPr="001353D8">
        <w:rPr>
          <w:color w:val="auto"/>
          <w:lang w:val="en-GB"/>
        </w:rPr>
        <w:t xml:space="preserve"> the categories (such as with</w:t>
      </w:r>
      <w:r w:rsidR="00CD244C">
        <w:rPr>
          <w:color w:val="auto"/>
          <w:lang w:val="en-GB"/>
        </w:rPr>
        <w:t>in</w:t>
      </w:r>
      <w:r w:rsidR="00FD6406" w:rsidRPr="001353D8">
        <w:rPr>
          <w:color w:val="auto"/>
          <w:lang w:val="en-GB"/>
        </w:rPr>
        <w:t xml:space="preserve"> training contract or training with similar characteristics) and </w:t>
      </w:r>
      <w:r w:rsidR="005F6753" w:rsidRPr="001353D8">
        <w:rPr>
          <w:color w:val="auto"/>
          <w:lang w:val="en-GB"/>
        </w:rPr>
        <w:t xml:space="preserve">the </w:t>
      </w:r>
      <w:r w:rsidR="006C1ADB" w:rsidRPr="001353D8">
        <w:rPr>
          <w:color w:val="auto"/>
          <w:lang w:val="en-GB"/>
        </w:rPr>
        <w:t xml:space="preserve">caps on training with similar characteristics.  </w:t>
      </w:r>
    </w:p>
    <w:p w14:paraId="17A4A38E" w14:textId="77777777" w:rsidR="00A47D81" w:rsidRPr="006879D3" w:rsidRDefault="00A47D81" w:rsidP="00406595">
      <w:pPr>
        <w:spacing w:before="100" w:after="0" w:line="288" w:lineRule="auto"/>
      </w:pPr>
    </w:p>
    <w:sectPr w:rsidR="00A47D81" w:rsidRPr="006879D3" w:rsidSect="00DA22A1">
      <w:headerReference w:type="default" r:id="rId7"/>
      <w:footerReference w:type="default" r:id="rId8"/>
      <w:headerReference w:type="first" r:id="rId9"/>
      <w:footerReference w:type="first" r:id="rId10"/>
      <w:pgSz w:w="11906" w:h="16838" w:code="9"/>
      <w:pgMar w:top="1134" w:right="851" w:bottom="1276" w:left="1134" w:header="709" w:footer="414" w:gutter="0"/>
      <w:pgNumType w:chapStyle="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A34D0" w14:textId="77777777" w:rsidR="00AA781C" w:rsidRDefault="00AA781C">
      <w:pPr>
        <w:spacing w:after="0" w:line="240" w:lineRule="auto"/>
      </w:pPr>
      <w:r>
        <w:separator/>
      </w:r>
    </w:p>
  </w:endnote>
  <w:endnote w:type="continuationSeparator" w:id="0">
    <w:p w14:paraId="7CB24256" w14:textId="77777777" w:rsidR="00AA781C" w:rsidRDefault="00AA781C">
      <w:pPr>
        <w:spacing w:after="0" w:line="240" w:lineRule="auto"/>
      </w:pPr>
      <w:r>
        <w:continuationSeparator/>
      </w:r>
    </w:p>
  </w:endnote>
  <w:endnote w:type="continuationNotice" w:id="1">
    <w:p w14:paraId="0B2C58A5" w14:textId="77777777" w:rsidR="00AA781C" w:rsidRDefault="00AA78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F43A0" w14:textId="1C4C795E" w:rsidR="00AA781C" w:rsidRPr="00523840" w:rsidRDefault="00AA781C">
    <w:pPr>
      <w:pStyle w:val="Footer"/>
      <w:jc w:val="right"/>
      <w:rPr>
        <w:sz w:val="22"/>
      </w:rPr>
    </w:pPr>
    <w:r w:rsidRPr="00523840">
      <w:rPr>
        <w:sz w:val="22"/>
      </w:rPr>
      <w:t xml:space="preserve">Page </w:t>
    </w:r>
    <w:sdt>
      <w:sdtPr>
        <w:rPr>
          <w:sz w:val="22"/>
        </w:rPr>
        <w:id w:val="-931594825"/>
        <w:docPartObj>
          <w:docPartGallery w:val="Page Numbers (Bottom of Page)"/>
          <w:docPartUnique/>
        </w:docPartObj>
      </w:sdtPr>
      <w:sdtEndPr>
        <w:rPr>
          <w:noProof/>
        </w:rPr>
      </w:sdtEndPr>
      <w:sdtContent>
        <w:r w:rsidRPr="00523840">
          <w:rPr>
            <w:sz w:val="22"/>
          </w:rPr>
          <w:fldChar w:fldCharType="begin"/>
        </w:r>
        <w:r w:rsidRPr="00523840">
          <w:rPr>
            <w:sz w:val="22"/>
          </w:rPr>
          <w:instrText xml:space="preserve"> PAGE   \* MERGEFORMAT </w:instrText>
        </w:r>
        <w:r w:rsidRPr="00523840">
          <w:rPr>
            <w:sz w:val="22"/>
          </w:rPr>
          <w:fldChar w:fldCharType="separate"/>
        </w:r>
        <w:r w:rsidR="0057051A">
          <w:rPr>
            <w:noProof/>
            <w:sz w:val="22"/>
          </w:rPr>
          <w:t>21</w:t>
        </w:r>
        <w:r w:rsidRPr="00523840">
          <w:rPr>
            <w:noProof/>
            <w:sz w:val="22"/>
          </w:rPr>
          <w:fldChar w:fldCharType="end"/>
        </w:r>
      </w:sdtContent>
    </w:sdt>
  </w:p>
  <w:p w14:paraId="137246C4" w14:textId="77777777" w:rsidR="00AA781C" w:rsidRDefault="00AA7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015F7" w14:textId="77777777" w:rsidR="00AA781C" w:rsidRDefault="00AA781C" w:rsidP="00FB5887">
    <w:pPr>
      <w:pStyle w:val="FooterEven"/>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A13C5" w14:textId="77777777" w:rsidR="00AA781C" w:rsidRDefault="00AA781C">
      <w:pPr>
        <w:spacing w:after="0" w:line="240" w:lineRule="auto"/>
      </w:pPr>
      <w:r>
        <w:separator/>
      </w:r>
    </w:p>
  </w:footnote>
  <w:footnote w:type="continuationSeparator" w:id="0">
    <w:p w14:paraId="0C839B7D" w14:textId="77777777" w:rsidR="00AA781C" w:rsidRDefault="00AA781C">
      <w:pPr>
        <w:spacing w:after="0" w:line="240" w:lineRule="auto"/>
      </w:pPr>
      <w:r>
        <w:continuationSeparator/>
      </w:r>
    </w:p>
  </w:footnote>
  <w:footnote w:type="continuationNotice" w:id="1">
    <w:p w14:paraId="433B4D6B" w14:textId="77777777" w:rsidR="00AA781C" w:rsidRDefault="00AA78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D32D" w14:textId="6F8B9548" w:rsidR="00AA781C" w:rsidRPr="00814590" w:rsidRDefault="00AA781C" w:rsidP="00316C37">
    <w:pPr>
      <w:pStyle w:val="HeaderOdd"/>
      <w:tabs>
        <w:tab w:val="num" w:pos="1134"/>
      </w:tabs>
      <w:rPr>
        <w:color w:val="800000"/>
      </w:rPr>
    </w:pPr>
    <w:r>
      <w:rPr>
        <w:color w:val="800000"/>
      </w:rPr>
      <w:t>National Partnership on the Skilling Australians Fund – Schedule A – South Australia</w:t>
    </w:r>
  </w:p>
  <w:p w14:paraId="3ED609B0" w14:textId="77777777" w:rsidR="00AA781C" w:rsidRDefault="00AA7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5193F" w14:textId="3718E931" w:rsidR="00AA781C" w:rsidRPr="00814590" w:rsidRDefault="00AA781C" w:rsidP="00FB5887">
    <w:pPr>
      <w:pStyle w:val="HeaderOdd"/>
      <w:tabs>
        <w:tab w:val="num" w:pos="1134"/>
      </w:tabs>
      <w:rPr>
        <w:color w:val="800000"/>
      </w:rPr>
    </w:pPr>
    <w:r>
      <w:rPr>
        <w:color w:val="800000"/>
      </w:rPr>
      <w:t>National Partnership on the Skilling Australians Fund – Schedule [A – South Australia]</w:t>
    </w:r>
  </w:p>
  <w:p w14:paraId="2E2645A7" w14:textId="77777777" w:rsidR="00AA781C" w:rsidRPr="00751725" w:rsidRDefault="00AA781C" w:rsidP="00FB588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722E"/>
    <w:multiLevelType w:val="multilevel"/>
    <w:tmpl w:val="3D6CE07E"/>
    <w:lvl w:ilvl="0">
      <w:start w:val="1"/>
      <w:numFmt w:val="none"/>
      <w:lvlText w:val="4.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A51E5"/>
    <w:multiLevelType w:val="hybridMultilevel"/>
    <w:tmpl w:val="39E8D7F8"/>
    <w:lvl w:ilvl="0" w:tplc="EC0620F8">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D4A6B"/>
    <w:multiLevelType w:val="hybridMultilevel"/>
    <w:tmpl w:val="7CC05902"/>
    <w:lvl w:ilvl="0" w:tplc="AB6021BA">
      <w:start w:val="3"/>
      <w:numFmt w:val="bullet"/>
      <w:lvlText w:val=""/>
      <w:lvlJc w:val="left"/>
      <w:pPr>
        <w:ind w:left="1080" w:hanging="72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1525E3"/>
    <w:multiLevelType w:val="hybridMultilevel"/>
    <w:tmpl w:val="50A8BD5E"/>
    <w:lvl w:ilvl="0" w:tplc="0C090001">
      <w:start w:val="1"/>
      <w:numFmt w:val="bullet"/>
      <w:lvlText w:val=""/>
      <w:lvlJc w:val="left"/>
      <w:pPr>
        <w:ind w:left="1312" w:hanging="360"/>
      </w:pPr>
      <w:rPr>
        <w:rFonts w:ascii="Symbol" w:hAnsi="Symbol" w:hint="default"/>
      </w:rPr>
    </w:lvl>
    <w:lvl w:ilvl="1" w:tplc="0C090019">
      <w:start w:val="1"/>
      <w:numFmt w:val="lowerLetter"/>
      <w:lvlText w:val="%2."/>
      <w:lvlJc w:val="left"/>
      <w:pPr>
        <w:ind w:left="2032" w:hanging="360"/>
      </w:pPr>
    </w:lvl>
    <w:lvl w:ilvl="2" w:tplc="0C09001B" w:tentative="1">
      <w:start w:val="1"/>
      <w:numFmt w:val="lowerRoman"/>
      <w:lvlText w:val="%3."/>
      <w:lvlJc w:val="right"/>
      <w:pPr>
        <w:ind w:left="2752" w:hanging="180"/>
      </w:pPr>
    </w:lvl>
    <w:lvl w:ilvl="3" w:tplc="0C09000F" w:tentative="1">
      <w:start w:val="1"/>
      <w:numFmt w:val="decimal"/>
      <w:lvlText w:val="%4."/>
      <w:lvlJc w:val="left"/>
      <w:pPr>
        <w:ind w:left="3472" w:hanging="360"/>
      </w:pPr>
    </w:lvl>
    <w:lvl w:ilvl="4" w:tplc="0C090019" w:tentative="1">
      <w:start w:val="1"/>
      <w:numFmt w:val="lowerLetter"/>
      <w:lvlText w:val="%5."/>
      <w:lvlJc w:val="left"/>
      <w:pPr>
        <w:ind w:left="4192" w:hanging="360"/>
      </w:pPr>
    </w:lvl>
    <w:lvl w:ilvl="5" w:tplc="0C09001B" w:tentative="1">
      <w:start w:val="1"/>
      <w:numFmt w:val="lowerRoman"/>
      <w:lvlText w:val="%6."/>
      <w:lvlJc w:val="right"/>
      <w:pPr>
        <w:ind w:left="4912" w:hanging="180"/>
      </w:pPr>
    </w:lvl>
    <w:lvl w:ilvl="6" w:tplc="0C09000F" w:tentative="1">
      <w:start w:val="1"/>
      <w:numFmt w:val="decimal"/>
      <w:lvlText w:val="%7."/>
      <w:lvlJc w:val="left"/>
      <w:pPr>
        <w:ind w:left="5632" w:hanging="360"/>
      </w:pPr>
    </w:lvl>
    <w:lvl w:ilvl="7" w:tplc="0C090019" w:tentative="1">
      <w:start w:val="1"/>
      <w:numFmt w:val="lowerLetter"/>
      <w:lvlText w:val="%8."/>
      <w:lvlJc w:val="left"/>
      <w:pPr>
        <w:ind w:left="6352" w:hanging="360"/>
      </w:pPr>
    </w:lvl>
    <w:lvl w:ilvl="8" w:tplc="0C09001B" w:tentative="1">
      <w:start w:val="1"/>
      <w:numFmt w:val="lowerRoman"/>
      <w:lvlText w:val="%9."/>
      <w:lvlJc w:val="right"/>
      <w:pPr>
        <w:ind w:left="7072" w:hanging="180"/>
      </w:pPr>
    </w:lvl>
  </w:abstractNum>
  <w:abstractNum w:abstractNumId="4" w15:restartNumberingAfterBreak="0">
    <w:nsid w:val="07394419"/>
    <w:multiLevelType w:val="hybridMultilevel"/>
    <w:tmpl w:val="4EF8FA52"/>
    <w:lvl w:ilvl="0" w:tplc="660EB736">
      <w:start w:val="1"/>
      <w:numFmt w:val="lowerLetter"/>
      <w:lvlText w:val="(%1)"/>
      <w:lvlJc w:val="left"/>
      <w:pPr>
        <w:ind w:left="2629" w:hanging="360"/>
      </w:pPr>
      <w:rPr>
        <w:rFonts w:cs="Times New Roman"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A230D76"/>
    <w:multiLevelType w:val="multilevel"/>
    <w:tmpl w:val="5274AF60"/>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B335C07"/>
    <w:multiLevelType w:val="multilevel"/>
    <w:tmpl w:val="846A4EBC"/>
    <w:lvl w:ilvl="0">
      <w:start w:val="1"/>
      <w:numFmt w:val="upperLetter"/>
      <w:suff w:val="nothing"/>
      <w:lvlText w:val="%1"/>
      <w:lvlJc w:val="left"/>
      <w:pPr>
        <w:ind w:left="0" w:firstLine="0"/>
      </w:pPr>
      <w:rPr>
        <w:rFonts w:cs="Times New Roman" w:hint="default"/>
      </w:rPr>
    </w:lvl>
    <w:lvl w:ilvl="1">
      <w:start w:val="12"/>
      <w:numFmt w:val="decimal"/>
      <w:lvlText w:val="%2."/>
      <w:lvlJc w:val="left"/>
      <w:pPr>
        <w:tabs>
          <w:tab w:val="num" w:pos="567"/>
        </w:tabs>
        <w:ind w:left="567" w:hanging="567"/>
      </w:pPr>
      <w:rPr>
        <w:rFonts w:cs="Times New Roman" w:hint="default"/>
      </w:rPr>
    </w:lvl>
    <w:lvl w:ilvl="2">
      <w:start w:val="1"/>
      <w:numFmt w:val="lowerLetter"/>
      <w:lvlText w:val="(%3)"/>
      <w:lvlJc w:val="lef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7" w15:restartNumberingAfterBreak="0">
    <w:nsid w:val="0BEE5FCD"/>
    <w:multiLevelType w:val="multilevel"/>
    <w:tmpl w:val="7CF2EB4C"/>
    <w:lvl w:ilvl="0">
      <w:start w:val="1"/>
      <w:numFmt w:val="decimal"/>
      <w:lvlText w:val="%1."/>
      <w:lvlJc w:val="left"/>
      <w:pPr>
        <w:ind w:left="360" w:hanging="360"/>
      </w:pPr>
      <w:rPr>
        <w:rFonts w:hint="default"/>
      </w:rPr>
    </w:lvl>
    <w:lvl w:ilvl="1">
      <w:start w:val="1"/>
      <w:numFmt w:val="none"/>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552AC0"/>
    <w:multiLevelType w:val="hybridMultilevel"/>
    <w:tmpl w:val="82EE7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A55103"/>
    <w:multiLevelType w:val="multilevel"/>
    <w:tmpl w:val="BECAE7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1A63D05"/>
    <w:multiLevelType w:val="multilevel"/>
    <w:tmpl w:val="7C3472CC"/>
    <w:lvl w:ilvl="0">
      <w:start w:val="1"/>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9530D1"/>
    <w:multiLevelType w:val="hybridMultilevel"/>
    <w:tmpl w:val="4130444E"/>
    <w:lvl w:ilvl="0" w:tplc="660EB736">
      <w:start w:val="1"/>
      <w:numFmt w:val="lowerLetter"/>
      <w:lvlText w:val="(%1)"/>
      <w:lvlJc w:val="left"/>
      <w:pPr>
        <w:ind w:left="360" w:hanging="360"/>
      </w:pPr>
      <w:rPr>
        <w:rFonts w:cs="Times New Roman"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9A803EA"/>
    <w:multiLevelType w:val="multilevel"/>
    <w:tmpl w:val="D1CAB9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E0B48C4"/>
    <w:multiLevelType w:val="hybridMultilevel"/>
    <w:tmpl w:val="92984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860130"/>
    <w:multiLevelType w:val="hybridMultilevel"/>
    <w:tmpl w:val="5AF01AC0"/>
    <w:lvl w:ilvl="0" w:tplc="0C090001">
      <w:start w:val="1"/>
      <w:numFmt w:val="bullet"/>
      <w:lvlText w:val=""/>
      <w:lvlJc w:val="left"/>
      <w:pPr>
        <w:ind w:left="1451" w:hanging="360"/>
      </w:pPr>
      <w:rPr>
        <w:rFonts w:ascii="Symbol" w:hAnsi="Symbol"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15" w15:restartNumberingAfterBreak="0">
    <w:nsid w:val="202B5885"/>
    <w:multiLevelType w:val="multilevel"/>
    <w:tmpl w:val="4C6E6D54"/>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65B2A95"/>
    <w:multiLevelType w:val="multilevel"/>
    <w:tmpl w:val="D89096A2"/>
    <w:lvl w:ilvl="0">
      <w:start w:val="1"/>
      <w:numFmt w:val="upperLetter"/>
      <w:suff w:val="nothing"/>
      <w:lvlText w:val="%1"/>
      <w:lvlJc w:val="left"/>
      <w:pPr>
        <w:ind w:left="0" w:firstLine="0"/>
      </w:pPr>
      <w:rPr>
        <w:rFonts w:cs="Times New Roman" w:hint="default"/>
      </w:rPr>
    </w:lvl>
    <w:lvl w:ilvl="1">
      <w:start w:val="13"/>
      <w:numFmt w:val="decimal"/>
      <w:lvlText w:val="%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7" w15:restartNumberingAfterBreak="0">
    <w:nsid w:val="26C352EB"/>
    <w:multiLevelType w:val="hybridMultilevel"/>
    <w:tmpl w:val="7D36EBBA"/>
    <w:lvl w:ilvl="0" w:tplc="660EB736">
      <w:start w:val="1"/>
      <w:numFmt w:val="lowerLetter"/>
      <w:lvlText w:val="(%1)"/>
      <w:lvlJc w:val="left"/>
      <w:pPr>
        <w:ind w:left="360" w:hanging="360"/>
      </w:pPr>
      <w:rPr>
        <w:rFonts w:cs="Times New Roman"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87B204E"/>
    <w:multiLevelType w:val="hybridMultilevel"/>
    <w:tmpl w:val="0FC09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4E3B53"/>
    <w:multiLevelType w:val="multilevel"/>
    <w:tmpl w:val="45D695EA"/>
    <w:lvl w:ilvl="0">
      <w:start w:val="1"/>
      <w:numFmt w:val="upperLetter"/>
      <w:suff w:val="nothing"/>
      <w:lvlText w:val="%1"/>
      <w:lvlJc w:val="left"/>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lowerLetter"/>
      <w:lvlText w:val="(%3)"/>
      <w:lvlJc w:val="lef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0" w15:restartNumberingAfterBreak="0">
    <w:nsid w:val="2D54391E"/>
    <w:multiLevelType w:val="hybridMultilevel"/>
    <w:tmpl w:val="049C28EC"/>
    <w:lvl w:ilvl="0" w:tplc="ED1E552C">
      <w:numFmt w:val="bullet"/>
      <w:lvlText w:val=""/>
      <w:lvlJc w:val="left"/>
      <w:pPr>
        <w:ind w:left="1080" w:hanging="72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0D53C1"/>
    <w:multiLevelType w:val="hybridMultilevel"/>
    <w:tmpl w:val="C1BA8BA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233C3F"/>
    <w:multiLevelType w:val="hybridMultilevel"/>
    <w:tmpl w:val="FB1608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00442A3"/>
    <w:multiLevelType w:val="hybridMultilevel"/>
    <w:tmpl w:val="26C020C2"/>
    <w:lvl w:ilvl="0" w:tplc="8A102D6E">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088032D"/>
    <w:multiLevelType w:val="hybridMultilevel"/>
    <w:tmpl w:val="0046C578"/>
    <w:lvl w:ilvl="0" w:tplc="660EB736">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138745C"/>
    <w:multiLevelType w:val="hybridMultilevel"/>
    <w:tmpl w:val="6A941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3323A30"/>
    <w:multiLevelType w:val="multilevel"/>
    <w:tmpl w:val="EC8A06CC"/>
    <w:lvl w:ilvl="0">
      <w:start w:val="1"/>
      <w:numFmt w:val="none"/>
      <w:lvlText w:val="3.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3672281"/>
    <w:multiLevelType w:val="hybridMultilevel"/>
    <w:tmpl w:val="17E86C0E"/>
    <w:lvl w:ilvl="0" w:tplc="660EB736">
      <w:start w:val="1"/>
      <w:numFmt w:val="lowerLetter"/>
      <w:lvlText w:val="(%1)"/>
      <w:lvlJc w:val="left"/>
      <w:pPr>
        <w:ind w:left="360" w:hanging="360"/>
      </w:pPr>
      <w:rPr>
        <w:rFonts w:cs="Times New Roman"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A4F3429"/>
    <w:multiLevelType w:val="multilevel"/>
    <w:tmpl w:val="846A4EBC"/>
    <w:lvl w:ilvl="0">
      <w:start w:val="1"/>
      <w:numFmt w:val="upperLetter"/>
      <w:suff w:val="nothing"/>
      <w:lvlText w:val="%1"/>
      <w:lvlJc w:val="left"/>
      <w:pPr>
        <w:ind w:left="0" w:firstLine="0"/>
      </w:pPr>
      <w:rPr>
        <w:rFonts w:cs="Times New Roman" w:hint="default"/>
      </w:rPr>
    </w:lvl>
    <w:lvl w:ilvl="1">
      <w:start w:val="12"/>
      <w:numFmt w:val="decimal"/>
      <w:lvlText w:val="%2."/>
      <w:lvlJc w:val="left"/>
      <w:pPr>
        <w:tabs>
          <w:tab w:val="num" w:pos="567"/>
        </w:tabs>
        <w:ind w:left="567" w:hanging="567"/>
      </w:pPr>
      <w:rPr>
        <w:rFonts w:cs="Times New Roman" w:hint="default"/>
      </w:rPr>
    </w:lvl>
    <w:lvl w:ilvl="2">
      <w:start w:val="1"/>
      <w:numFmt w:val="lowerLetter"/>
      <w:lvlText w:val="(%3)"/>
      <w:lvlJc w:val="lef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9" w15:restartNumberingAfterBreak="0">
    <w:nsid w:val="3C3A376E"/>
    <w:multiLevelType w:val="multilevel"/>
    <w:tmpl w:val="50A09C2C"/>
    <w:lvl w:ilvl="0">
      <w:start w:val="1"/>
      <w:numFmt w:val="decimal"/>
      <w:lvlText w:val="%1"/>
      <w:lvlJc w:val="left"/>
      <w:pPr>
        <w:ind w:left="525" w:hanging="52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0" w15:restartNumberingAfterBreak="0">
    <w:nsid w:val="3DD017A9"/>
    <w:multiLevelType w:val="hybridMultilevel"/>
    <w:tmpl w:val="83C6DDBA"/>
    <w:lvl w:ilvl="0" w:tplc="0C090001">
      <w:start w:val="1"/>
      <w:numFmt w:val="bullet"/>
      <w:lvlText w:val=""/>
      <w:lvlJc w:val="left"/>
      <w:pPr>
        <w:ind w:left="1451" w:hanging="360"/>
      </w:pPr>
      <w:rPr>
        <w:rFonts w:ascii="Symbol" w:hAnsi="Symbol"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31" w15:restartNumberingAfterBreak="0">
    <w:nsid w:val="4140642E"/>
    <w:multiLevelType w:val="hybridMultilevel"/>
    <w:tmpl w:val="5508A620"/>
    <w:lvl w:ilvl="0" w:tplc="660EB736">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1F2229B"/>
    <w:multiLevelType w:val="hybridMultilevel"/>
    <w:tmpl w:val="86AA9ABC"/>
    <w:lvl w:ilvl="0" w:tplc="0C090001">
      <w:start w:val="1"/>
      <w:numFmt w:val="bullet"/>
      <w:lvlText w:val=""/>
      <w:lvlJc w:val="left"/>
      <w:pPr>
        <w:ind w:left="1091" w:hanging="360"/>
      </w:pPr>
      <w:rPr>
        <w:rFonts w:ascii="Symbol" w:hAnsi="Symbol" w:hint="default"/>
      </w:rPr>
    </w:lvl>
    <w:lvl w:ilvl="1" w:tplc="0C090003" w:tentative="1">
      <w:start w:val="1"/>
      <w:numFmt w:val="bullet"/>
      <w:lvlText w:val="o"/>
      <w:lvlJc w:val="left"/>
      <w:pPr>
        <w:ind w:left="1811" w:hanging="360"/>
      </w:pPr>
      <w:rPr>
        <w:rFonts w:ascii="Courier New" w:hAnsi="Courier New" w:cs="Courier New" w:hint="default"/>
      </w:rPr>
    </w:lvl>
    <w:lvl w:ilvl="2" w:tplc="0C090005" w:tentative="1">
      <w:start w:val="1"/>
      <w:numFmt w:val="bullet"/>
      <w:lvlText w:val=""/>
      <w:lvlJc w:val="left"/>
      <w:pPr>
        <w:ind w:left="2531" w:hanging="360"/>
      </w:pPr>
      <w:rPr>
        <w:rFonts w:ascii="Wingdings" w:hAnsi="Wingdings" w:hint="default"/>
      </w:rPr>
    </w:lvl>
    <w:lvl w:ilvl="3" w:tplc="0C090001" w:tentative="1">
      <w:start w:val="1"/>
      <w:numFmt w:val="bullet"/>
      <w:lvlText w:val=""/>
      <w:lvlJc w:val="left"/>
      <w:pPr>
        <w:ind w:left="3251" w:hanging="360"/>
      </w:pPr>
      <w:rPr>
        <w:rFonts w:ascii="Symbol" w:hAnsi="Symbol" w:hint="default"/>
      </w:rPr>
    </w:lvl>
    <w:lvl w:ilvl="4" w:tplc="0C090003" w:tentative="1">
      <w:start w:val="1"/>
      <w:numFmt w:val="bullet"/>
      <w:lvlText w:val="o"/>
      <w:lvlJc w:val="left"/>
      <w:pPr>
        <w:ind w:left="3971" w:hanging="360"/>
      </w:pPr>
      <w:rPr>
        <w:rFonts w:ascii="Courier New" w:hAnsi="Courier New" w:cs="Courier New" w:hint="default"/>
      </w:rPr>
    </w:lvl>
    <w:lvl w:ilvl="5" w:tplc="0C090005" w:tentative="1">
      <w:start w:val="1"/>
      <w:numFmt w:val="bullet"/>
      <w:lvlText w:val=""/>
      <w:lvlJc w:val="left"/>
      <w:pPr>
        <w:ind w:left="4691" w:hanging="360"/>
      </w:pPr>
      <w:rPr>
        <w:rFonts w:ascii="Wingdings" w:hAnsi="Wingdings" w:hint="default"/>
      </w:rPr>
    </w:lvl>
    <w:lvl w:ilvl="6" w:tplc="0C090001" w:tentative="1">
      <w:start w:val="1"/>
      <w:numFmt w:val="bullet"/>
      <w:lvlText w:val=""/>
      <w:lvlJc w:val="left"/>
      <w:pPr>
        <w:ind w:left="5411" w:hanging="360"/>
      </w:pPr>
      <w:rPr>
        <w:rFonts w:ascii="Symbol" w:hAnsi="Symbol" w:hint="default"/>
      </w:rPr>
    </w:lvl>
    <w:lvl w:ilvl="7" w:tplc="0C090003" w:tentative="1">
      <w:start w:val="1"/>
      <w:numFmt w:val="bullet"/>
      <w:lvlText w:val="o"/>
      <w:lvlJc w:val="left"/>
      <w:pPr>
        <w:ind w:left="6131" w:hanging="360"/>
      </w:pPr>
      <w:rPr>
        <w:rFonts w:ascii="Courier New" w:hAnsi="Courier New" w:cs="Courier New" w:hint="default"/>
      </w:rPr>
    </w:lvl>
    <w:lvl w:ilvl="8" w:tplc="0C090005" w:tentative="1">
      <w:start w:val="1"/>
      <w:numFmt w:val="bullet"/>
      <w:lvlText w:val=""/>
      <w:lvlJc w:val="left"/>
      <w:pPr>
        <w:ind w:left="6851" w:hanging="360"/>
      </w:pPr>
      <w:rPr>
        <w:rFonts w:ascii="Wingdings" w:hAnsi="Wingdings" w:hint="default"/>
      </w:rPr>
    </w:lvl>
  </w:abstractNum>
  <w:abstractNum w:abstractNumId="33" w15:restartNumberingAfterBreak="0">
    <w:nsid w:val="42ED342B"/>
    <w:multiLevelType w:val="hybridMultilevel"/>
    <w:tmpl w:val="779ABCA0"/>
    <w:lvl w:ilvl="0" w:tplc="0C090001">
      <w:start w:val="1"/>
      <w:numFmt w:val="bullet"/>
      <w:lvlText w:val=""/>
      <w:lvlJc w:val="left"/>
      <w:pPr>
        <w:ind w:left="1326" w:hanging="360"/>
      </w:pPr>
      <w:rPr>
        <w:rFonts w:ascii="Symbol" w:hAnsi="Symbol" w:hint="default"/>
      </w:rPr>
    </w:lvl>
    <w:lvl w:ilvl="1" w:tplc="0C090003" w:tentative="1">
      <w:start w:val="1"/>
      <w:numFmt w:val="bullet"/>
      <w:lvlText w:val="o"/>
      <w:lvlJc w:val="left"/>
      <w:pPr>
        <w:ind w:left="2046" w:hanging="360"/>
      </w:pPr>
      <w:rPr>
        <w:rFonts w:ascii="Courier New" w:hAnsi="Courier New" w:cs="Courier New" w:hint="default"/>
      </w:rPr>
    </w:lvl>
    <w:lvl w:ilvl="2" w:tplc="0C090005" w:tentative="1">
      <w:start w:val="1"/>
      <w:numFmt w:val="bullet"/>
      <w:lvlText w:val=""/>
      <w:lvlJc w:val="left"/>
      <w:pPr>
        <w:ind w:left="2766" w:hanging="360"/>
      </w:pPr>
      <w:rPr>
        <w:rFonts w:ascii="Wingdings" w:hAnsi="Wingdings" w:hint="default"/>
      </w:rPr>
    </w:lvl>
    <w:lvl w:ilvl="3" w:tplc="0C090001" w:tentative="1">
      <w:start w:val="1"/>
      <w:numFmt w:val="bullet"/>
      <w:lvlText w:val=""/>
      <w:lvlJc w:val="left"/>
      <w:pPr>
        <w:ind w:left="3486" w:hanging="360"/>
      </w:pPr>
      <w:rPr>
        <w:rFonts w:ascii="Symbol" w:hAnsi="Symbol" w:hint="default"/>
      </w:rPr>
    </w:lvl>
    <w:lvl w:ilvl="4" w:tplc="0C090003" w:tentative="1">
      <w:start w:val="1"/>
      <w:numFmt w:val="bullet"/>
      <w:lvlText w:val="o"/>
      <w:lvlJc w:val="left"/>
      <w:pPr>
        <w:ind w:left="4206" w:hanging="360"/>
      </w:pPr>
      <w:rPr>
        <w:rFonts w:ascii="Courier New" w:hAnsi="Courier New" w:cs="Courier New" w:hint="default"/>
      </w:rPr>
    </w:lvl>
    <w:lvl w:ilvl="5" w:tplc="0C090005" w:tentative="1">
      <w:start w:val="1"/>
      <w:numFmt w:val="bullet"/>
      <w:lvlText w:val=""/>
      <w:lvlJc w:val="left"/>
      <w:pPr>
        <w:ind w:left="4926" w:hanging="360"/>
      </w:pPr>
      <w:rPr>
        <w:rFonts w:ascii="Wingdings" w:hAnsi="Wingdings" w:hint="default"/>
      </w:rPr>
    </w:lvl>
    <w:lvl w:ilvl="6" w:tplc="0C090001" w:tentative="1">
      <w:start w:val="1"/>
      <w:numFmt w:val="bullet"/>
      <w:lvlText w:val=""/>
      <w:lvlJc w:val="left"/>
      <w:pPr>
        <w:ind w:left="5646" w:hanging="360"/>
      </w:pPr>
      <w:rPr>
        <w:rFonts w:ascii="Symbol" w:hAnsi="Symbol" w:hint="default"/>
      </w:rPr>
    </w:lvl>
    <w:lvl w:ilvl="7" w:tplc="0C090003" w:tentative="1">
      <w:start w:val="1"/>
      <w:numFmt w:val="bullet"/>
      <w:lvlText w:val="o"/>
      <w:lvlJc w:val="left"/>
      <w:pPr>
        <w:ind w:left="6366" w:hanging="360"/>
      </w:pPr>
      <w:rPr>
        <w:rFonts w:ascii="Courier New" w:hAnsi="Courier New" w:cs="Courier New" w:hint="default"/>
      </w:rPr>
    </w:lvl>
    <w:lvl w:ilvl="8" w:tplc="0C090005" w:tentative="1">
      <w:start w:val="1"/>
      <w:numFmt w:val="bullet"/>
      <w:lvlText w:val=""/>
      <w:lvlJc w:val="left"/>
      <w:pPr>
        <w:ind w:left="7086" w:hanging="360"/>
      </w:pPr>
      <w:rPr>
        <w:rFonts w:ascii="Wingdings" w:hAnsi="Wingdings" w:hint="default"/>
      </w:rPr>
    </w:lvl>
  </w:abstractNum>
  <w:abstractNum w:abstractNumId="34" w15:restartNumberingAfterBreak="0">
    <w:nsid w:val="43E57DDD"/>
    <w:multiLevelType w:val="hybridMultilevel"/>
    <w:tmpl w:val="D2D25A76"/>
    <w:lvl w:ilvl="0" w:tplc="660EB736">
      <w:start w:val="1"/>
      <w:numFmt w:val="lowerLetter"/>
      <w:lvlText w:val="(%1)"/>
      <w:lvlJc w:val="left"/>
      <w:pPr>
        <w:ind w:left="1287" w:hanging="360"/>
      </w:pPr>
      <w:rPr>
        <w:rFonts w:cs="Times New Roman" w:hint="default"/>
      </w:rPr>
    </w:lvl>
    <w:lvl w:ilvl="1" w:tplc="0C09001B">
      <w:start w:val="1"/>
      <w:numFmt w:val="lowerRoman"/>
      <w:lvlText w:val="%2."/>
      <w:lvlJc w:val="right"/>
      <w:pPr>
        <w:ind w:left="2007" w:hanging="360"/>
      </w:pPr>
      <w:rPr>
        <w:rFonts w:hint="default"/>
      </w:r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442E6450"/>
    <w:multiLevelType w:val="hybridMultilevel"/>
    <w:tmpl w:val="88F818F0"/>
    <w:lvl w:ilvl="0" w:tplc="0C090001">
      <w:start w:val="1"/>
      <w:numFmt w:val="bullet"/>
      <w:lvlText w:val=""/>
      <w:lvlJc w:val="left"/>
      <w:pPr>
        <w:ind w:left="6172"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36" w15:restartNumberingAfterBreak="0">
    <w:nsid w:val="44E54781"/>
    <w:multiLevelType w:val="multilevel"/>
    <w:tmpl w:val="BECAE7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6530F06"/>
    <w:multiLevelType w:val="hybridMultilevel"/>
    <w:tmpl w:val="11321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67958A1"/>
    <w:multiLevelType w:val="multilevel"/>
    <w:tmpl w:val="6E261D0E"/>
    <w:lvl w:ilvl="0">
      <w:start w:val="1"/>
      <w:numFmt w:val="upperLetter"/>
      <w:suff w:val="nothing"/>
      <w:lvlText w:val="%1"/>
      <w:lvlJc w:val="left"/>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39" w15:restartNumberingAfterBreak="0">
    <w:nsid w:val="48104239"/>
    <w:multiLevelType w:val="multilevel"/>
    <w:tmpl w:val="A96280F6"/>
    <w:lvl w:ilvl="0">
      <w:start w:val="1"/>
      <w:numFmt w:val="decimal"/>
      <w:lvlText w:val="%1"/>
      <w:lvlJc w:val="left"/>
      <w:pPr>
        <w:ind w:left="525" w:hanging="525"/>
      </w:pPr>
      <w:rPr>
        <w:rFonts w:hint="default"/>
        <w:color w:val="auto"/>
      </w:rPr>
    </w:lvl>
    <w:lvl w:ilvl="1">
      <w:start w:val="1"/>
      <w:numFmt w:val="decimal"/>
      <w:lvlText w:val="2.%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0" w15:restartNumberingAfterBreak="0">
    <w:nsid w:val="49D9575E"/>
    <w:multiLevelType w:val="hybridMultilevel"/>
    <w:tmpl w:val="F12827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B083580"/>
    <w:multiLevelType w:val="hybridMultilevel"/>
    <w:tmpl w:val="6890B9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4C9D76E2"/>
    <w:multiLevelType w:val="multilevel"/>
    <w:tmpl w:val="EEB6821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E7D5ED0"/>
    <w:multiLevelType w:val="hybridMultilevel"/>
    <w:tmpl w:val="368E6350"/>
    <w:lvl w:ilvl="0" w:tplc="0C09000F">
      <w:start w:val="1"/>
      <w:numFmt w:val="decimal"/>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50993DFC"/>
    <w:multiLevelType w:val="hybridMultilevel"/>
    <w:tmpl w:val="DB3ADEF6"/>
    <w:lvl w:ilvl="0" w:tplc="660EB736">
      <w:start w:val="1"/>
      <w:numFmt w:val="lowerLetter"/>
      <w:lvlText w:val="(%1)"/>
      <w:lvlJc w:val="left"/>
      <w:pPr>
        <w:ind w:left="360" w:hanging="360"/>
      </w:pPr>
      <w:rPr>
        <w:rFonts w:cs="Times New Roman"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51E87B29"/>
    <w:multiLevelType w:val="hybridMultilevel"/>
    <w:tmpl w:val="5508A620"/>
    <w:lvl w:ilvl="0" w:tplc="660EB736">
      <w:start w:val="1"/>
      <w:numFmt w:val="lowerLetter"/>
      <w:lvlText w:val="(%1)"/>
      <w:lvlJc w:val="left"/>
      <w:pPr>
        <w:ind w:left="2345" w:hanging="360"/>
      </w:pPr>
      <w:rPr>
        <w:rFonts w:cs="Times New Roman"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46" w15:restartNumberingAfterBreak="0">
    <w:nsid w:val="52071CDE"/>
    <w:multiLevelType w:val="hybridMultilevel"/>
    <w:tmpl w:val="57B067EE"/>
    <w:lvl w:ilvl="0" w:tplc="0C09000F">
      <w:start w:val="1"/>
      <w:numFmt w:val="decimal"/>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553B0AE9"/>
    <w:multiLevelType w:val="multilevel"/>
    <w:tmpl w:val="6D5A755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65D63DF"/>
    <w:multiLevelType w:val="multilevel"/>
    <w:tmpl w:val="45D695EA"/>
    <w:lvl w:ilvl="0">
      <w:start w:val="1"/>
      <w:numFmt w:val="upperLetter"/>
      <w:suff w:val="nothing"/>
      <w:lvlText w:val="%1"/>
      <w:lvlJc w:val="left"/>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lowerLetter"/>
      <w:lvlText w:val="(%3)"/>
      <w:lvlJc w:val="lef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49" w15:restartNumberingAfterBreak="0">
    <w:nsid w:val="5C974738"/>
    <w:multiLevelType w:val="multilevel"/>
    <w:tmpl w:val="D2220EF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5F981385"/>
    <w:multiLevelType w:val="hybridMultilevel"/>
    <w:tmpl w:val="2496E556"/>
    <w:lvl w:ilvl="0" w:tplc="0C09000F">
      <w:start w:val="1"/>
      <w:numFmt w:val="decimal"/>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61263BF4"/>
    <w:multiLevelType w:val="hybridMultilevel"/>
    <w:tmpl w:val="983CC222"/>
    <w:lvl w:ilvl="0" w:tplc="0C09000F">
      <w:start w:val="1"/>
      <w:numFmt w:val="decimal"/>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624D60BA"/>
    <w:multiLevelType w:val="hybridMultilevel"/>
    <w:tmpl w:val="1E10BADA"/>
    <w:lvl w:ilvl="0" w:tplc="0C09001B">
      <w:start w:val="1"/>
      <w:numFmt w:val="lowerRoman"/>
      <w:lvlText w:val="%1."/>
      <w:lvlJc w:val="right"/>
      <w:pPr>
        <w:ind w:left="2007" w:hanging="360"/>
      </w:pPr>
    </w:lvl>
    <w:lvl w:ilvl="1" w:tplc="0C090019">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53" w15:restartNumberingAfterBreak="0">
    <w:nsid w:val="64D75B2B"/>
    <w:multiLevelType w:val="multilevel"/>
    <w:tmpl w:val="5CD49578"/>
    <w:lvl w:ilvl="0">
      <w:start w:val="1"/>
      <w:numFmt w:val="upperLetter"/>
      <w:suff w:val="nothing"/>
      <w:lvlText w:val="%1"/>
      <w:lvlJc w:val="left"/>
      <w:pPr>
        <w:ind w:left="0" w:firstLine="0"/>
      </w:pPr>
      <w:rPr>
        <w:rFonts w:cs="Times New Roman" w:hint="default"/>
      </w:rPr>
    </w:lvl>
    <w:lvl w:ilvl="1">
      <w:start w:val="6"/>
      <w:numFmt w:val="decimal"/>
      <w:lvlText w:val="%2."/>
      <w:lvlJc w:val="left"/>
      <w:pPr>
        <w:tabs>
          <w:tab w:val="num" w:pos="567"/>
        </w:tabs>
        <w:ind w:left="567" w:hanging="567"/>
      </w:pPr>
      <w:rPr>
        <w:rFonts w:cs="Times New Roman" w:hint="default"/>
      </w:rPr>
    </w:lvl>
    <w:lvl w:ilvl="2">
      <w:start w:val="1"/>
      <w:numFmt w:val="lowerLetter"/>
      <w:lvlText w:val="(%3)"/>
      <w:lvlJc w:val="lef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54" w15:restartNumberingAfterBreak="0">
    <w:nsid w:val="65ED7DCA"/>
    <w:multiLevelType w:val="hybridMultilevel"/>
    <w:tmpl w:val="E8EA0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6674C63"/>
    <w:multiLevelType w:val="hybridMultilevel"/>
    <w:tmpl w:val="7EE45EF0"/>
    <w:lvl w:ilvl="0" w:tplc="0C09000F">
      <w:start w:val="1"/>
      <w:numFmt w:val="decimal"/>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680253B6"/>
    <w:multiLevelType w:val="multilevel"/>
    <w:tmpl w:val="4D869E5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69BF1EF4"/>
    <w:multiLevelType w:val="multilevel"/>
    <w:tmpl w:val="07A6DDDC"/>
    <w:lvl w:ilvl="0">
      <w:start w:val="1"/>
      <w:numFmt w:val="none"/>
      <w:lvlText w:val="1.1"/>
      <w:lvlJc w:val="left"/>
      <w:pPr>
        <w:ind w:left="360" w:hanging="360"/>
      </w:pPr>
      <w:rPr>
        <w:rFonts w:hint="default"/>
      </w:rPr>
    </w:lvl>
    <w:lvl w:ilvl="1">
      <w:start w:val="1"/>
      <w:numFmt w:val="none"/>
      <w:lvlText w:val="2.4"/>
      <w:lvlJc w:val="left"/>
      <w:pPr>
        <w:ind w:left="792" w:hanging="432"/>
      </w:pPr>
      <w:rPr>
        <w:rFonts w:hint="default"/>
      </w:rPr>
    </w:lvl>
    <w:lvl w:ilvl="2">
      <w:start w:val="1"/>
      <w:numFmt w:val="decimal"/>
      <w:lvlText w:val="%13.4"/>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9E847A2"/>
    <w:multiLevelType w:val="multilevel"/>
    <w:tmpl w:val="A51A58E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6C5D0976"/>
    <w:multiLevelType w:val="hybridMultilevel"/>
    <w:tmpl w:val="E7EE40C2"/>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0" w15:restartNumberingAfterBreak="0">
    <w:nsid w:val="6CBC3DF5"/>
    <w:multiLevelType w:val="hybridMultilevel"/>
    <w:tmpl w:val="A96E812E"/>
    <w:lvl w:ilvl="0" w:tplc="660EB736">
      <w:start w:val="1"/>
      <w:numFmt w:val="lowerLetter"/>
      <w:lvlText w:val="(%1)"/>
      <w:lvlJc w:val="left"/>
      <w:pPr>
        <w:ind w:left="2133" w:hanging="360"/>
      </w:pPr>
      <w:rPr>
        <w:rFonts w:cs="Times New Roman" w:hint="default"/>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61" w15:restartNumberingAfterBreak="0">
    <w:nsid w:val="70554377"/>
    <w:multiLevelType w:val="hybridMultilevel"/>
    <w:tmpl w:val="4BFED464"/>
    <w:lvl w:ilvl="0" w:tplc="660EB736">
      <w:start w:val="1"/>
      <w:numFmt w:val="lowerLetter"/>
      <w:lvlText w:val="(%1)"/>
      <w:lvlJc w:val="left"/>
      <w:pPr>
        <w:ind w:left="1287" w:hanging="360"/>
      </w:pPr>
      <w:rPr>
        <w:rFonts w:cs="Times New Roman"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2" w15:restartNumberingAfterBreak="0">
    <w:nsid w:val="70AE2014"/>
    <w:multiLevelType w:val="hybridMultilevel"/>
    <w:tmpl w:val="D9566092"/>
    <w:lvl w:ilvl="0" w:tplc="660EB736">
      <w:start w:val="1"/>
      <w:numFmt w:val="lowerLetter"/>
      <w:lvlText w:val="(%1)"/>
      <w:lvlJc w:val="left"/>
      <w:pPr>
        <w:ind w:left="720" w:hanging="360"/>
      </w:pPr>
      <w:rPr>
        <w:rFonts w:cs="Times New Roman"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1CA24F7"/>
    <w:multiLevelType w:val="multilevel"/>
    <w:tmpl w:val="183C06BE"/>
    <w:lvl w:ilvl="0">
      <w:start w:val="1"/>
      <w:numFmt w:val="upperLetter"/>
      <w:suff w:val="nothing"/>
      <w:lvlText w:val="%1"/>
      <w:lvlJc w:val="left"/>
      <w:pPr>
        <w:ind w:left="0" w:firstLine="0"/>
      </w:pPr>
      <w:rPr>
        <w:rFonts w:cs="Times New Roman" w:hint="default"/>
      </w:rPr>
    </w:lvl>
    <w:lvl w:ilvl="1">
      <w:start w:val="7"/>
      <w:numFmt w:val="decimal"/>
      <w:lvlText w:val="%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64" w15:restartNumberingAfterBreak="0">
    <w:nsid w:val="740D64E8"/>
    <w:multiLevelType w:val="hybridMultilevel"/>
    <w:tmpl w:val="DC60F32A"/>
    <w:lvl w:ilvl="0" w:tplc="0C090001">
      <w:start w:val="1"/>
      <w:numFmt w:val="bullet"/>
      <w:lvlText w:val=""/>
      <w:lvlJc w:val="left"/>
      <w:pPr>
        <w:ind w:left="1313" w:hanging="360"/>
      </w:pPr>
      <w:rPr>
        <w:rFonts w:ascii="Symbol" w:hAnsi="Symbol" w:hint="default"/>
      </w:rPr>
    </w:lvl>
    <w:lvl w:ilvl="1" w:tplc="0C090003">
      <w:start w:val="1"/>
      <w:numFmt w:val="bullet"/>
      <w:lvlText w:val="o"/>
      <w:lvlJc w:val="left"/>
      <w:pPr>
        <w:ind w:left="2033" w:hanging="360"/>
      </w:pPr>
      <w:rPr>
        <w:rFonts w:ascii="Courier New" w:hAnsi="Courier New" w:cs="Courier New" w:hint="default"/>
      </w:rPr>
    </w:lvl>
    <w:lvl w:ilvl="2" w:tplc="0C090005" w:tentative="1">
      <w:start w:val="1"/>
      <w:numFmt w:val="bullet"/>
      <w:lvlText w:val=""/>
      <w:lvlJc w:val="left"/>
      <w:pPr>
        <w:ind w:left="2753" w:hanging="360"/>
      </w:pPr>
      <w:rPr>
        <w:rFonts w:ascii="Wingdings" w:hAnsi="Wingdings" w:hint="default"/>
      </w:rPr>
    </w:lvl>
    <w:lvl w:ilvl="3" w:tplc="0C090001" w:tentative="1">
      <w:start w:val="1"/>
      <w:numFmt w:val="bullet"/>
      <w:lvlText w:val=""/>
      <w:lvlJc w:val="left"/>
      <w:pPr>
        <w:ind w:left="3473" w:hanging="360"/>
      </w:pPr>
      <w:rPr>
        <w:rFonts w:ascii="Symbol" w:hAnsi="Symbol" w:hint="default"/>
      </w:rPr>
    </w:lvl>
    <w:lvl w:ilvl="4" w:tplc="0C090003" w:tentative="1">
      <w:start w:val="1"/>
      <w:numFmt w:val="bullet"/>
      <w:lvlText w:val="o"/>
      <w:lvlJc w:val="left"/>
      <w:pPr>
        <w:ind w:left="4193" w:hanging="360"/>
      </w:pPr>
      <w:rPr>
        <w:rFonts w:ascii="Courier New" w:hAnsi="Courier New" w:cs="Courier New" w:hint="default"/>
      </w:rPr>
    </w:lvl>
    <w:lvl w:ilvl="5" w:tplc="0C090005" w:tentative="1">
      <w:start w:val="1"/>
      <w:numFmt w:val="bullet"/>
      <w:lvlText w:val=""/>
      <w:lvlJc w:val="left"/>
      <w:pPr>
        <w:ind w:left="4913" w:hanging="360"/>
      </w:pPr>
      <w:rPr>
        <w:rFonts w:ascii="Wingdings" w:hAnsi="Wingdings" w:hint="default"/>
      </w:rPr>
    </w:lvl>
    <w:lvl w:ilvl="6" w:tplc="0C090001" w:tentative="1">
      <w:start w:val="1"/>
      <w:numFmt w:val="bullet"/>
      <w:lvlText w:val=""/>
      <w:lvlJc w:val="left"/>
      <w:pPr>
        <w:ind w:left="5633" w:hanging="360"/>
      </w:pPr>
      <w:rPr>
        <w:rFonts w:ascii="Symbol" w:hAnsi="Symbol" w:hint="default"/>
      </w:rPr>
    </w:lvl>
    <w:lvl w:ilvl="7" w:tplc="0C090003" w:tentative="1">
      <w:start w:val="1"/>
      <w:numFmt w:val="bullet"/>
      <w:lvlText w:val="o"/>
      <w:lvlJc w:val="left"/>
      <w:pPr>
        <w:ind w:left="6353" w:hanging="360"/>
      </w:pPr>
      <w:rPr>
        <w:rFonts w:ascii="Courier New" w:hAnsi="Courier New" w:cs="Courier New" w:hint="default"/>
      </w:rPr>
    </w:lvl>
    <w:lvl w:ilvl="8" w:tplc="0C090005" w:tentative="1">
      <w:start w:val="1"/>
      <w:numFmt w:val="bullet"/>
      <w:lvlText w:val=""/>
      <w:lvlJc w:val="left"/>
      <w:pPr>
        <w:ind w:left="7073" w:hanging="360"/>
      </w:pPr>
      <w:rPr>
        <w:rFonts w:ascii="Wingdings" w:hAnsi="Wingdings" w:hint="default"/>
      </w:rPr>
    </w:lvl>
  </w:abstractNum>
  <w:abstractNum w:abstractNumId="65" w15:restartNumberingAfterBreak="0">
    <w:nsid w:val="77DC043D"/>
    <w:multiLevelType w:val="hybridMultilevel"/>
    <w:tmpl w:val="69A4174E"/>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7A2B15A2"/>
    <w:multiLevelType w:val="hybridMultilevel"/>
    <w:tmpl w:val="4BFED464"/>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7" w15:restartNumberingAfterBreak="0">
    <w:nsid w:val="7C1461DF"/>
    <w:multiLevelType w:val="hybridMultilevel"/>
    <w:tmpl w:val="01AC97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8" w15:restartNumberingAfterBreak="0">
    <w:nsid w:val="7E9B5B97"/>
    <w:multiLevelType w:val="multilevel"/>
    <w:tmpl w:val="38FC72BC"/>
    <w:lvl w:ilvl="0">
      <w:start w:val="1"/>
      <w:numFmt w:val="decimal"/>
      <w:lvlText w:val="%1.3"/>
      <w:lvlJc w:val="left"/>
      <w:pPr>
        <w:ind w:left="525" w:hanging="525"/>
      </w:pPr>
      <w:rPr>
        <w:rFonts w:hint="default"/>
        <w:color w:val="auto"/>
      </w:rPr>
    </w:lvl>
    <w:lvl w:ilvl="1">
      <w:start w:val="1"/>
      <w:numFmt w:val="none"/>
      <w:lvlText w:val="3.1"/>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38"/>
  </w:num>
  <w:num w:numId="2">
    <w:abstractNumId w:val="66"/>
  </w:num>
  <w:num w:numId="3">
    <w:abstractNumId w:val="61"/>
  </w:num>
  <w:num w:numId="4">
    <w:abstractNumId w:val="59"/>
  </w:num>
  <w:num w:numId="5">
    <w:abstractNumId w:val="35"/>
  </w:num>
  <w:num w:numId="6">
    <w:abstractNumId w:val="60"/>
  </w:num>
  <w:num w:numId="7">
    <w:abstractNumId w:val="48"/>
  </w:num>
  <w:num w:numId="8">
    <w:abstractNumId w:val="6"/>
  </w:num>
  <w:num w:numId="9">
    <w:abstractNumId w:val="5"/>
  </w:num>
  <w:num w:numId="10">
    <w:abstractNumId w:val="67"/>
  </w:num>
  <w:num w:numId="11">
    <w:abstractNumId w:val="15"/>
  </w:num>
  <w:num w:numId="12">
    <w:abstractNumId w:val="18"/>
  </w:num>
  <w:num w:numId="13">
    <w:abstractNumId w:val="25"/>
  </w:num>
  <w:num w:numId="14">
    <w:abstractNumId w:val="13"/>
  </w:num>
  <w:num w:numId="15">
    <w:abstractNumId w:val="8"/>
  </w:num>
  <w:num w:numId="16">
    <w:abstractNumId w:val="17"/>
  </w:num>
  <w:num w:numId="17">
    <w:abstractNumId w:val="46"/>
  </w:num>
  <w:num w:numId="18">
    <w:abstractNumId w:val="44"/>
  </w:num>
  <w:num w:numId="19">
    <w:abstractNumId w:val="4"/>
  </w:num>
  <w:num w:numId="20">
    <w:abstractNumId w:val="50"/>
  </w:num>
  <w:num w:numId="21">
    <w:abstractNumId w:val="65"/>
  </w:num>
  <w:num w:numId="22">
    <w:abstractNumId w:val="11"/>
  </w:num>
  <w:num w:numId="23">
    <w:abstractNumId w:val="51"/>
  </w:num>
  <w:num w:numId="24">
    <w:abstractNumId w:val="27"/>
  </w:num>
  <w:num w:numId="25">
    <w:abstractNumId w:val="55"/>
  </w:num>
  <w:num w:numId="26">
    <w:abstractNumId w:val="21"/>
  </w:num>
  <w:num w:numId="27">
    <w:abstractNumId w:val="43"/>
  </w:num>
  <w:num w:numId="28">
    <w:abstractNumId w:val="29"/>
  </w:num>
  <w:num w:numId="29">
    <w:abstractNumId w:val="39"/>
  </w:num>
  <w:num w:numId="30">
    <w:abstractNumId w:val="39"/>
    <w:lvlOverride w:ilvl="0">
      <w:lvl w:ilvl="0">
        <w:start w:val="1"/>
        <w:numFmt w:val="decimal"/>
        <w:lvlText w:val="%1"/>
        <w:lvlJc w:val="left"/>
        <w:pPr>
          <w:ind w:left="525" w:hanging="525"/>
        </w:pPr>
        <w:rPr>
          <w:rFonts w:hint="default"/>
          <w:color w:val="auto"/>
        </w:rPr>
      </w:lvl>
    </w:lvlOverride>
    <w:lvlOverride w:ilvl="1">
      <w:lvl w:ilvl="1">
        <w:start w:val="1"/>
        <w:numFmt w:val="none"/>
        <w:lvlText w:val="3.1"/>
        <w:lvlJc w:val="left"/>
        <w:pPr>
          <w:ind w:left="720" w:hanging="720"/>
        </w:pPr>
        <w:rPr>
          <w:rFonts w:hint="default"/>
          <w:color w:val="auto"/>
        </w:rPr>
      </w:lvl>
    </w:lvlOverride>
    <w:lvlOverride w:ilvl="2">
      <w:lvl w:ilvl="2">
        <w:start w:val="1"/>
        <w:numFmt w:val="decimal"/>
        <w:lvlText w:val="%1.%2.%3"/>
        <w:lvlJc w:val="left"/>
        <w:pPr>
          <w:ind w:left="720" w:hanging="720"/>
        </w:pPr>
        <w:rPr>
          <w:rFonts w:hint="default"/>
          <w:color w:val="auto"/>
        </w:rPr>
      </w:lvl>
    </w:lvlOverride>
    <w:lvlOverride w:ilvl="3">
      <w:lvl w:ilvl="3">
        <w:start w:val="1"/>
        <w:numFmt w:val="decimal"/>
        <w:lvlText w:val="%1.%2.%3.%4"/>
        <w:lvlJc w:val="left"/>
        <w:pPr>
          <w:ind w:left="1080" w:hanging="1080"/>
        </w:pPr>
        <w:rPr>
          <w:rFonts w:hint="default"/>
          <w:color w:val="auto"/>
        </w:rPr>
      </w:lvl>
    </w:lvlOverride>
    <w:lvlOverride w:ilvl="4">
      <w:lvl w:ilvl="4">
        <w:start w:val="1"/>
        <w:numFmt w:val="decimal"/>
        <w:lvlText w:val="%1.%2.%3.%4.%5"/>
        <w:lvlJc w:val="left"/>
        <w:pPr>
          <w:ind w:left="1080" w:hanging="1080"/>
        </w:pPr>
        <w:rPr>
          <w:rFonts w:hint="default"/>
          <w:color w:val="auto"/>
        </w:rPr>
      </w:lvl>
    </w:lvlOverride>
    <w:lvlOverride w:ilvl="5">
      <w:lvl w:ilvl="5">
        <w:start w:val="1"/>
        <w:numFmt w:val="decimal"/>
        <w:lvlText w:val="%1.%2.%3.%4.%5.%6"/>
        <w:lvlJc w:val="left"/>
        <w:pPr>
          <w:ind w:left="1440" w:hanging="1440"/>
        </w:pPr>
        <w:rPr>
          <w:rFonts w:hint="default"/>
          <w:color w:val="auto"/>
        </w:rPr>
      </w:lvl>
    </w:lvlOverride>
    <w:lvlOverride w:ilvl="6">
      <w:lvl w:ilvl="6">
        <w:start w:val="1"/>
        <w:numFmt w:val="decimal"/>
        <w:lvlText w:val="%1.%2.%3.%4.%5.%6.%7"/>
        <w:lvlJc w:val="left"/>
        <w:pPr>
          <w:ind w:left="1440" w:hanging="1440"/>
        </w:pPr>
        <w:rPr>
          <w:rFonts w:hint="default"/>
          <w:color w:val="auto"/>
        </w:rPr>
      </w:lvl>
    </w:lvlOverride>
    <w:lvlOverride w:ilvl="7">
      <w:lvl w:ilvl="7">
        <w:start w:val="1"/>
        <w:numFmt w:val="decimal"/>
        <w:lvlText w:val="%1.%2.%3.%4.%5.%6.%7.%8"/>
        <w:lvlJc w:val="left"/>
        <w:pPr>
          <w:ind w:left="1800" w:hanging="1800"/>
        </w:pPr>
        <w:rPr>
          <w:rFonts w:hint="default"/>
          <w:color w:val="auto"/>
        </w:rPr>
      </w:lvl>
    </w:lvlOverride>
    <w:lvlOverride w:ilvl="8">
      <w:lvl w:ilvl="8">
        <w:start w:val="1"/>
        <w:numFmt w:val="decimal"/>
        <w:lvlText w:val="%1.%2.%3.%4.%5.%6.%7.%8.%9"/>
        <w:lvlJc w:val="left"/>
        <w:pPr>
          <w:ind w:left="2160" w:hanging="2160"/>
        </w:pPr>
        <w:rPr>
          <w:rFonts w:hint="default"/>
          <w:color w:val="auto"/>
        </w:rPr>
      </w:lvl>
    </w:lvlOverride>
  </w:num>
  <w:num w:numId="31">
    <w:abstractNumId w:val="7"/>
  </w:num>
  <w:num w:numId="32">
    <w:abstractNumId w:val="26"/>
  </w:num>
  <w:num w:numId="33">
    <w:abstractNumId w:val="0"/>
  </w:num>
  <w:num w:numId="34">
    <w:abstractNumId w:val="3"/>
  </w:num>
  <w:num w:numId="35">
    <w:abstractNumId w:val="42"/>
  </w:num>
  <w:num w:numId="36">
    <w:abstractNumId w:val="64"/>
  </w:num>
  <w:num w:numId="37">
    <w:abstractNumId w:val="24"/>
  </w:num>
  <w:num w:numId="38">
    <w:abstractNumId w:val="54"/>
  </w:num>
  <w:num w:numId="39">
    <w:abstractNumId w:val="19"/>
  </w:num>
  <w:num w:numId="40">
    <w:abstractNumId w:val="45"/>
  </w:num>
  <w:num w:numId="41">
    <w:abstractNumId w:val="34"/>
  </w:num>
  <w:num w:numId="42">
    <w:abstractNumId w:val="52"/>
  </w:num>
  <w:num w:numId="43">
    <w:abstractNumId w:val="22"/>
  </w:num>
  <w:num w:numId="44">
    <w:abstractNumId w:val="10"/>
  </w:num>
  <w:num w:numId="45">
    <w:abstractNumId w:val="57"/>
  </w:num>
  <w:num w:numId="46">
    <w:abstractNumId w:val="68"/>
  </w:num>
  <w:num w:numId="47">
    <w:abstractNumId w:val="12"/>
  </w:num>
  <w:num w:numId="48">
    <w:abstractNumId w:val="14"/>
  </w:num>
  <w:num w:numId="49">
    <w:abstractNumId w:val="30"/>
  </w:num>
  <w:num w:numId="50">
    <w:abstractNumId w:val="9"/>
  </w:num>
  <w:num w:numId="51">
    <w:abstractNumId w:val="36"/>
  </w:num>
  <w:num w:numId="52">
    <w:abstractNumId w:val="40"/>
  </w:num>
  <w:num w:numId="53">
    <w:abstractNumId w:val="1"/>
  </w:num>
  <w:num w:numId="54">
    <w:abstractNumId w:val="23"/>
  </w:num>
  <w:num w:numId="55">
    <w:abstractNumId w:val="56"/>
  </w:num>
  <w:num w:numId="56">
    <w:abstractNumId w:val="32"/>
  </w:num>
  <w:num w:numId="57">
    <w:abstractNumId w:val="41"/>
  </w:num>
  <w:num w:numId="5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num>
  <w:num w:numId="60">
    <w:abstractNumId w:val="49"/>
  </w:num>
  <w:num w:numId="61">
    <w:abstractNumId w:val="47"/>
  </w:num>
  <w:num w:numId="62">
    <w:abstractNumId w:val="31"/>
  </w:num>
  <w:num w:numId="63">
    <w:abstractNumId w:val="53"/>
  </w:num>
  <w:num w:numId="64">
    <w:abstractNumId w:val="63"/>
  </w:num>
  <w:num w:numId="65">
    <w:abstractNumId w:val="62"/>
  </w:num>
  <w:num w:numId="66">
    <w:abstractNumId w:val="28"/>
  </w:num>
  <w:num w:numId="67">
    <w:abstractNumId w:val="16"/>
  </w:num>
  <w:num w:numId="68">
    <w:abstractNumId w:val="33"/>
  </w:num>
  <w:num w:numId="69">
    <w:abstractNumId w:val="2"/>
  </w:num>
  <w:num w:numId="70">
    <w:abstractNumId w:val="37"/>
  </w:num>
  <w:num w:numId="71">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605"/>
    <w:rsid w:val="0000021F"/>
    <w:rsid w:val="00000721"/>
    <w:rsid w:val="00002F29"/>
    <w:rsid w:val="000039A9"/>
    <w:rsid w:val="000052E5"/>
    <w:rsid w:val="00005668"/>
    <w:rsid w:val="000062C7"/>
    <w:rsid w:val="00006363"/>
    <w:rsid w:val="0001012C"/>
    <w:rsid w:val="00010193"/>
    <w:rsid w:val="00010BB5"/>
    <w:rsid w:val="00012D7D"/>
    <w:rsid w:val="000151C8"/>
    <w:rsid w:val="000156D0"/>
    <w:rsid w:val="00015D83"/>
    <w:rsid w:val="000177FC"/>
    <w:rsid w:val="00017E70"/>
    <w:rsid w:val="0002053A"/>
    <w:rsid w:val="00020586"/>
    <w:rsid w:val="00021202"/>
    <w:rsid w:val="000231A7"/>
    <w:rsid w:val="00023AA2"/>
    <w:rsid w:val="00024A31"/>
    <w:rsid w:val="0002627C"/>
    <w:rsid w:val="00026624"/>
    <w:rsid w:val="000333F2"/>
    <w:rsid w:val="0003344B"/>
    <w:rsid w:val="00033460"/>
    <w:rsid w:val="00033F24"/>
    <w:rsid w:val="00034883"/>
    <w:rsid w:val="0003500A"/>
    <w:rsid w:val="00035517"/>
    <w:rsid w:val="00035C81"/>
    <w:rsid w:val="00035CAC"/>
    <w:rsid w:val="00037461"/>
    <w:rsid w:val="00040514"/>
    <w:rsid w:val="000409AC"/>
    <w:rsid w:val="00041D77"/>
    <w:rsid w:val="000429BD"/>
    <w:rsid w:val="00042B78"/>
    <w:rsid w:val="00043566"/>
    <w:rsid w:val="00043BD9"/>
    <w:rsid w:val="00045203"/>
    <w:rsid w:val="000455CF"/>
    <w:rsid w:val="00045D02"/>
    <w:rsid w:val="00047005"/>
    <w:rsid w:val="00047D3B"/>
    <w:rsid w:val="000500C6"/>
    <w:rsid w:val="000512C8"/>
    <w:rsid w:val="000516EE"/>
    <w:rsid w:val="00051F0B"/>
    <w:rsid w:val="0005201F"/>
    <w:rsid w:val="000540EE"/>
    <w:rsid w:val="00054A1D"/>
    <w:rsid w:val="00054C5A"/>
    <w:rsid w:val="000556E8"/>
    <w:rsid w:val="00055F14"/>
    <w:rsid w:val="0005783F"/>
    <w:rsid w:val="000579F4"/>
    <w:rsid w:val="00057AC9"/>
    <w:rsid w:val="00060A8D"/>
    <w:rsid w:val="00060F52"/>
    <w:rsid w:val="000622BF"/>
    <w:rsid w:val="00062946"/>
    <w:rsid w:val="00063515"/>
    <w:rsid w:val="00064894"/>
    <w:rsid w:val="00065F8B"/>
    <w:rsid w:val="00066705"/>
    <w:rsid w:val="00070886"/>
    <w:rsid w:val="00071128"/>
    <w:rsid w:val="0007185A"/>
    <w:rsid w:val="00071868"/>
    <w:rsid w:val="00071F1D"/>
    <w:rsid w:val="000726D7"/>
    <w:rsid w:val="00072E37"/>
    <w:rsid w:val="00074417"/>
    <w:rsid w:val="00074705"/>
    <w:rsid w:val="00075358"/>
    <w:rsid w:val="00076417"/>
    <w:rsid w:val="00076A81"/>
    <w:rsid w:val="000775AC"/>
    <w:rsid w:val="00082DCE"/>
    <w:rsid w:val="000833E6"/>
    <w:rsid w:val="00086E44"/>
    <w:rsid w:val="00090B53"/>
    <w:rsid w:val="000910A6"/>
    <w:rsid w:val="0009318D"/>
    <w:rsid w:val="00093402"/>
    <w:rsid w:val="00093A07"/>
    <w:rsid w:val="00093C31"/>
    <w:rsid w:val="00095E54"/>
    <w:rsid w:val="0009792A"/>
    <w:rsid w:val="000A0026"/>
    <w:rsid w:val="000A0B6E"/>
    <w:rsid w:val="000A0F5C"/>
    <w:rsid w:val="000A12A1"/>
    <w:rsid w:val="000A2464"/>
    <w:rsid w:val="000A2917"/>
    <w:rsid w:val="000A2A4A"/>
    <w:rsid w:val="000A2A81"/>
    <w:rsid w:val="000A32FA"/>
    <w:rsid w:val="000A3463"/>
    <w:rsid w:val="000A3E67"/>
    <w:rsid w:val="000A4451"/>
    <w:rsid w:val="000A4A9E"/>
    <w:rsid w:val="000A5F1B"/>
    <w:rsid w:val="000A623A"/>
    <w:rsid w:val="000B00FA"/>
    <w:rsid w:val="000B14E6"/>
    <w:rsid w:val="000B1DBB"/>
    <w:rsid w:val="000B1EAF"/>
    <w:rsid w:val="000B1FDB"/>
    <w:rsid w:val="000B2085"/>
    <w:rsid w:val="000B25C3"/>
    <w:rsid w:val="000B3425"/>
    <w:rsid w:val="000B64B5"/>
    <w:rsid w:val="000B7204"/>
    <w:rsid w:val="000C0048"/>
    <w:rsid w:val="000C15B9"/>
    <w:rsid w:val="000C1B9A"/>
    <w:rsid w:val="000C247A"/>
    <w:rsid w:val="000C3015"/>
    <w:rsid w:val="000C363B"/>
    <w:rsid w:val="000C55E9"/>
    <w:rsid w:val="000C5D73"/>
    <w:rsid w:val="000C7C8D"/>
    <w:rsid w:val="000C7F13"/>
    <w:rsid w:val="000D091A"/>
    <w:rsid w:val="000D0CD3"/>
    <w:rsid w:val="000D1374"/>
    <w:rsid w:val="000D1857"/>
    <w:rsid w:val="000D3446"/>
    <w:rsid w:val="000D379E"/>
    <w:rsid w:val="000D441E"/>
    <w:rsid w:val="000D65E9"/>
    <w:rsid w:val="000D6CBB"/>
    <w:rsid w:val="000D6D58"/>
    <w:rsid w:val="000D719E"/>
    <w:rsid w:val="000D7393"/>
    <w:rsid w:val="000D7DC3"/>
    <w:rsid w:val="000E1261"/>
    <w:rsid w:val="000E1606"/>
    <w:rsid w:val="000E2C73"/>
    <w:rsid w:val="000E3BD7"/>
    <w:rsid w:val="000E3FB9"/>
    <w:rsid w:val="000E4294"/>
    <w:rsid w:val="000E45AF"/>
    <w:rsid w:val="000E516E"/>
    <w:rsid w:val="000E5C8A"/>
    <w:rsid w:val="000E5F96"/>
    <w:rsid w:val="000E61B1"/>
    <w:rsid w:val="000E6606"/>
    <w:rsid w:val="000E7597"/>
    <w:rsid w:val="000F1895"/>
    <w:rsid w:val="000F30A3"/>
    <w:rsid w:val="000F31E0"/>
    <w:rsid w:val="000F3EE9"/>
    <w:rsid w:val="000F42CB"/>
    <w:rsid w:val="000F49CB"/>
    <w:rsid w:val="000F4EDC"/>
    <w:rsid w:val="000F53CB"/>
    <w:rsid w:val="000F56EE"/>
    <w:rsid w:val="000F5C3C"/>
    <w:rsid w:val="000F5F32"/>
    <w:rsid w:val="000F645D"/>
    <w:rsid w:val="000F6EC4"/>
    <w:rsid w:val="000F7395"/>
    <w:rsid w:val="000F781E"/>
    <w:rsid w:val="00101DC3"/>
    <w:rsid w:val="001020F7"/>
    <w:rsid w:val="00102A73"/>
    <w:rsid w:val="00102FDF"/>
    <w:rsid w:val="001043BD"/>
    <w:rsid w:val="00104F3B"/>
    <w:rsid w:val="001055D4"/>
    <w:rsid w:val="00106E06"/>
    <w:rsid w:val="00107013"/>
    <w:rsid w:val="001077FE"/>
    <w:rsid w:val="0010794D"/>
    <w:rsid w:val="0011416D"/>
    <w:rsid w:val="001143A9"/>
    <w:rsid w:val="00115E30"/>
    <w:rsid w:val="00116351"/>
    <w:rsid w:val="001164AE"/>
    <w:rsid w:val="00116EFE"/>
    <w:rsid w:val="001171D8"/>
    <w:rsid w:val="001173A3"/>
    <w:rsid w:val="001173E5"/>
    <w:rsid w:val="001210D6"/>
    <w:rsid w:val="00121626"/>
    <w:rsid w:val="001221BE"/>
    <w:rsid w:val="00122E9F"/>
    <w:rsid w:val="00124B8D"/>
    <w:rsid w:val="00125429"/>
    <w:rsid w:val="00126060"/>
    <w:rsid w:val="00126152"/>
    <w:rsid w:val="00126309"/>
    <w:rsid w:val="001267F3"/>
    <w:rsid w:val="00126C3B"/>
    <w:rsid w:val="00126E44"/>
    <w:rsid w:val="00131509"/>
    <w:rsid w:val="0013358D"/>
    <w:rsid w:val="00133960"/>
    <w:rsid w:val="00133F31"/>
    <w:rsid w:val="001342A0"/>
    <w:rsid w:val="0013520F"/>
    <w:rsid w:val="001353D8"/>
    <w:rsid w:val="00136502"/>
    <w:rsid w:val="00136BDA"/>
    <w:rsid w:val="00136EA3"/>
    <w:rsid w:val="00141734"/>
    <w:rsid w:val="00142988"/>
    <w:rsid w:val="00142C5D"/>
    <w:rsid w:val="001442A0"/>
    <w:rsid w:val="0014471F"/>
    <w:rsid w:val="00144E22"/>
    <w:rsid w:val="00145213"/>
    <w:rsid w:val="001461D0"/>
    <w:rsid w:val="00146E19"/>
    <w:rsid w:val="001478F0"/>
    <w:rsid w:val="00150006"/>
    <w:rsid w:val="001507A6"/>
    <w:rsid w:val="00150DB3"/>
    <w:rsid w:val="00153F27"/>
    <w:rsid w:val="00157761"/>
    <w:rsid w:val="00157F3F"/>
    <w:rsid w:val="0016069B"/>
    <w:rsid w:val="00160986"/>
    <w:rsid w:val="00160FDE"/>
    <w:rsid w:val="00161602"/>
    <w:rsid w:val="00161E09"/>
    <w:rsid w:val="00161E46"/>
    <w:rsid w:val="00162C29"/>
    <w:rsid w:val="00163361"/>
    <w:rsid w:val="00163488"/>
    <w:rsid w:val="0016348B"/>
    <w:rsid w:val="0016496A"/>
    <w:rsid w:val="001665C4"/>
    <w:rsid w:val="00167A16"/>
    <w:rsid w:val="00167B91"/>
    <w:rsid w:val="001702CC"/>
    <w:rsid w:val="00172EE6"/>
    <w:rsid w:val="0017344E"/>
    <w:rsid w:val="0017384B"/>
    <w:rsid w:val="0017385E"/>
    <w:rsid w:val="00174956"/>
    <w:rsid w:val="00175F82"/>
    <w:rsid w:val="001763BC"/>
    <w:rsid w:val="00176FA4"/>
    <w:rsid w:val="00177183"/>
    <w:rsid w:val="0017763A"/>
    <w:rsid w:val="001807F3"/>
    <w:rsid w:val="00180EB1"/>
    <w:rsid w:val="00183829"/>
    <w:rsid w:val="001851DB"/>
    <w:rsid w:val="00185F99"/>
    <w:rsid w:val="001907CB"/>
    <w:rsid w:val="00192110"/>
    <w:rsid w:val="001924C4"/>
    <w:rsid w:val="00192A52"/>
    <w:rsid w:val="001941E7"/>
    <w:rsid w:val="001968F6"/>
    <w:rsid w:val="001A0C5A"/>
    <w:rsid w:val="001A1470"/>
    <w:rsid w:val="001A1D5E"/>
    <w:rsid w:val="001A221D"/>
    <w:rsid w:val="001A2AAC"/>
    <w:rsid w:val="001A6ECC"/>
    <w:rsid w:val="001A7135"/>
    <w:rsid w:val="001B06D6"/>
    <w:rsid w:val="001B0843"/>
    <w:rsid w:val="001B2C20"/>
    <w:rsid w:val="001B48C6"/>
    <w:rsid w:val="001B653C"/>
    <w:rsid w:val="001C0D4D"/>
    <w:rsid w:val="001C1632"/>
    <w:rsid w:val="001C41B7"/>
    <w:rsid w:val="001C4CB9"/>
    <w:rsid w:val="001C4DD0"/>
    <w:rsid w:val="001C4DDE"/>
    <w:rsid w:val="001C5326"/>
    <w:rsid w:val="001C5EE3"/>
    <w:rsid w:val="001C6128"/>
    <w:rsid w:val="001D039B"/>
    <w:rsid w:val="001D0506"/>
    <w:rsid w:val="001D0F89"/>
    <w:rsid w:val="001D0FD9"/>
    <w:rsid w:val="001D36C0"/>
    <w:rsid w:val="001D42D6"/>
    <w:rsid w:val="001D49C1"/>
    <w:rsid w:val="001D5261"/>
    <w:rsid w:val="001D6C01"/>
    <w:rsid w:val="001D6D09"/>
    <w:rsid w:val="001D7070"/>
    <w:rsid w:val="001D7556"/>
    <w:rsid w:val="001E0878"/>
    <w:rsid w:val="001E1107"/>
    <w:rsid w:val="001E11A7"/>
    <w:rsid w:val="001E1363"/>
    <w:rsid w:val="001E1C13"/>
    <w:rsid w:val="001E26B5"/>
    <w:rsid w:val="001E2F5C"/>
    <w:rsid w:val="001E2F92"/>
    <w:rsid w:val="001E41F5"/>
    <w:rsid w:val="001E517D"/>
    <w:rsid w:val="001E5493"/>
    <w:rsid w:val="001E62FA"/>
    <w:rsid w:val="001E666E"/>
    <w:rsid w:val="001E732E"/>
    <w:rsid w:val="001E7FD7"/>
    <w:rsid w:val="001F0E32"/>
    <w:rsid w:val="001F1FDC"/>
    <w:rsid w:val="001F22C3"/>
    <w:rsid w:val="001F2B99"/>
    <w:rsid w:val="001F2CB8"/>
    <w:rsid w:val="001F2F42"/>
    <w:rsid w:val="001F52B2"/>
    <w:rsid w:val="001F5A3E"/>
    <w:rsid w:val="001F63C6"/>
    <w:rsid w:val="00200611"/>
    <w:rsid w:val="002008BE"/>
    <w:rsid w:val="0020107D"/>
    <w:rsid w:val="0020243D"/>
    <w:rsid w:val="00202E09"/>
    <w:rsid w:val="0020352D"/>
    <w:rsid w:val="00203601"/>
    <w:rsid w:val="00204003"/>
    <w:rsid w:val="00204310"/>
    <w:rsid w:val="0020527E"/>
    <w:rsid w:val="00205D66"/>
    <w:rsid w:val="00205F65"/>
    <w:rsid w:val="00206A48"/>
    <w:rsid w:val="00212591"/>
    <w:rsid w:val="00212E75"/>
    <w:rsid w:val="002136CF"/>
    <w:rsid w:val="00213F41"/>
    <w:rsid w:val="0021402A"/>
    <w:rsid w:val="0021425D"/>
    <w:rsid w:val="002160F0"/>
    <w:rsid w:val="00216513"/>
    <w:rsid w:val="00216F0A"/>
    <w:rsid w:val="0021703E"/>
    <w:rsid w:val="00221F88"/>
    <w:rsid w:val="00222485"/>
    <w:rsid w:val="002225AF"/>
    <w:rsid w:val="00223DF9"/>
    <w:rsid w:val="00225AC5"/>
    <w:rsid w:val="002260F9"/>
    <w:rsid w:val="002264F3"/>
    <w:rsid w:val="002266A8"/>
    <w:rsid w:val="00226B03"/>
    <w:rsid w:val="00231997"/>
    <w:rsid w:val="002321E8"/>
    <w:rsid w:val="002330DE"/>
    <w:rsid w:val="00233ABE"/>
    <w:rsid w:val="00233F80"/>
    <w:rsid w:val="00234377"/>
    <w:rsid w:val="00234E48"/>
    <w:rsid w:val="00235956"/>
    <w:rsid w:val="00236497"/>
    <w:rsid w:val="002367BB"/>
    <w:rsid w:val="00237A39"/>
    <w:rsid w:val="00240A2B"/>
    <w:rsid w:val="00240DC9"/>
    <w:rsid w:val="00240F7B"/>
    <w:rsid w:val="00241622"/>
    <w:rsid w:val="00243234"/>
    <w:rsid w:val="00243DB7"/>
    <w:rsid w:val="0024474A"/>
    <w:rsid w:val="00245AD5"/>
    <w:rsid w:val="00247436"/>
    <w:rsid w:val="00247BF0"/>
    <w:rsid w:val="00247CE7"/>
    <w:rsid w:val="0025058F"/>
    <w:rsid w:val="00250DA4"/>
    <w:rsid w:val="002534D9"/>
    <w:rsid w:val="0025376B"/>
    <w:rsid w:val="00254204"/>
    <w:rsid w:val="0025472D"/>
    <w:rsid w:val="00254B8C"/>
    <w:rsid w:val="0025548E"/>
    <w:rsid w:val="00255EB2"/>
    <w:rsid w:val="0025692C"/>
    <w:rsid w:val="002609BA"/>
    <w:rsid w:val="00261915"/>
    <w:rsid w:val="00261C50"/>
    <w:rsid w:val="00261F81"/>
    <w:rsid w:val="002627EC"/>
    <w:rsid w:val="0026360B"/>
    <w:rsid w:val="0026389B"/>
    <w:rsid w:val="00263AF0"/>
    <w:rsid w:val="00265B78"/>
    <w:rsid w:val="002661EA"/>
    <w:rsid w:val="0027024A"/>
    <w:rsid w:val="0027095D"/>
    <w:rsid w:val="00271218"/>
    <w:rsid w:val="00272516"/>
    <w:rsid w:val="00272808"/>
    <w:rsid w:val="0027329C"/>
    <w:rsid w:val="0027389A"/>
    <w:rsid w:val="00273A20"/>
    <w:rsid w:val="00274146"/>
    <w:rsid w:val="002767B1"/>
    <w:rsid w:val="00276BF4"/>
    <w:rsid w:val="00276E2D"/>
    <w:rsid w:val="00277DCF"/>
    <w:rsid w:val="00281D49"/>
    <w:rsid w:val="00283551"/>
    <w:rsid w:val="00283724"/>
    <w:rsid w:val="00284FDC"/>
    <w:rsid w:val="00285E78"/>
    <w:rsid w:val="002868C8"/>
    <w:rsid w:val="00286B23"/>
    <w:rsid w:val="00287B63"/>
    <w:rsid w:val="00287BDF"/>
    <w:rsid w:val="00290266"/>
    <w:rsid w:val="0029170A"/>
    <w:rsid w:val="002917B9"/>
    <w:rsid w:val="002917D3"/>
    <w:rsid w:val="002921C9"/>
    <w:rsid w:val="00292613"/>
    <w:rsid w:val="002942E7"/>
    <w:rsid w:val="00295481"/>
    <w:rsid w:val="00295DA3"/>
    <w:rsid w:val="00295E61"/>
    <w:rsid w:val="0029764C"/>
    <w:rsid w:val="002A02B9"/>
    <w:rsid w:val="002A0A98"/>
    <w:rsid w:val="002A0AC9"/>
    <w:rsid w:val="002A266C"/>
    <w:rsid w:val="002A2A91"/>
    <w:rsid w:val="002A34C5"/>
    <w:rsid w:val="002A460C"/>
    <w:rsid w:val="002A4FA5"/>
    <w:rsid w:val="002A512F"/>
    <w:rsid w:val="002A569F"/>
    <w:rsid w:val="002A5AE6"/>
    <w:rsid w:val="002A5E2A"/>
    <w:rsid w:val="002A6468"/>
    <w:rsid w:val="002A685C"/>
    <w:rsid w:val="002A686E"/>
    <w:rsid w:val="002A7C03"/>
    <w:rsid w:val="002B06EA"/>
    <w:rsid w:val="002B1C5D"/>
    <w:rsid w:val="002B2739"/>
    <w:rsid w:val="002B34BE"/>
    <w:rsid w:val="002B3BE8"/>
    <w:rsid w:val="002B41E7"/>
    <w:rsid w:val="002B4DE7"/>
    <w:rsid w:val="002B5F4F"/>
    <w:rsid w:val="002B6C97"/>
    <w:rsid w:val="002C05D0"/>
    <w:rsid w:val="002C232B"/>
    <w:rsid w:val="002C3E0D"/>
    <w:rsid w:val="002C49F8"/>
    <w:rsid w:val="002C4AA5"/>
    <w:rsid w:val="002D3BDE"/>
    <w:rsid w:val="002D474F"/>
    <w:rsid w:val="002D673D"/>
    <w:rsid w:val="002D6A30"/>
    <w:rsid w:val="002E03DA"/>
    <w:rsid w:val="002E195A"/>
    <w:rsid w:val="002E3124"/>
    <w:rsid w:val="002E77AE"/>
    <w:rsid w:val="002E7F8F"/>
    <w:rsid w:val="002F0DE8"/>
    <w:rsid w:val="002F128B"/>
    <w:rsid w:val="002F2485"/>
    <w:rsid w:val="002F35FF"/>
    <w:rsid w:val="002F370C"/>
    <w:rsid w:val="002F37F4"/>
    <w:rsid w:val="002F387D"/>
    <w:rsid w:val="002F66E2"/>
    <w:rsid w:val="002F680A"/>
    <w:rsid w:val="002F7116"/>
    <w:rsid w:val="0030020B"/>
    <w:rsid w:val="00300B2A"/>
    <w:rsid w:val="003013CB"/>
    <w:rsid w:val="00301848"/>
    <w:rsid w:val="00302AB0"/>
    <w:rsid w:val="0030324F"/>
    <w:rsid w:val="00303B25"/>
    <w:rsid w:val="0030450F"/>
    <w:rsid w:val="003046BC"/>
    <w:rsid w:val="003054F8"/>
    <w:rsid w:val="0030651A"/>
    <w:rsid w:val="003065A2"/>
    <w:rsid w:val="00306AD5"/>
    <w:rsid w:val="00307623"/>
    <w:rsid w:val="00310854"/>
    <w:rsid w:val="00311D2C"/>
    <w:rsid w:val="00314742"/>
    <w:rsid w:val="00315DCD"/>
    <w:rsid w:val="00316263"/>
    <w:rsid w:val="00316C37"/>
    <w:rsid w:val="00321704"/>
    <w:rsid w:val="003217A4"/>
    <w:rsid w:val="00321A27"/>
    <w:rsid w:val="00323224"/>
    <w:rsid w:val="0032337C"/>
    <w:rsid w:val="00323941"/>
    <w:rsid w:val="00323E50"/>
    <w:rsid w:val="003240E7"/>
    <w:rsid w:val="0032411D"/>
    <w:rsid w:val="00325CFC"/>
    <w:rsid w:val="0032653B"/>
    <w:rsid w:val="003278CF"/>
    <w:rsid w:val="00330CCA"/>
    <w:rsid w:val="00330F17"/>
    <w:rsid w:val="00331CCB"/>
    <w:rsid w:val="00331D17"/>
    <w:rsid w:val="00331D77"/>
    <w:rsid w:val="00331FAD"/>
    <w:rsid w:val="003326EF"/>
    <w:rsid w:val="003334ED"/>
    <w:rsid w:val="003340F5"/>
    <w:rsid w:val="00334260"/>
    <w:rsid w:val="00335E86"/>
    <w:rsid w:val="0033709A"/>
    <w:rsid w:val="00340C46"/>
    <w:rsid w:val="00340E39"/>
    <w:rsid w:val="00341C38"/>
    <w:rsid w:val="00341C8C"/>
    <w:rsid w:val="003429D3"/>
    <w:rsid w:val="00342DC1"/>
    <w:rsid w:val="003455A7"/>
    <w:rsid w:val="00345F18"/>
    <w:rsid w:val="00346747"/>
    <w:rsid w:val="00346BD2"/>
    <w:rsid w:val="00346D2D"/>
    <w:rsid w:val="00346DB6"/>
    <w:rsid w:val="00347BE1"/>
    <w:rsid w:val="00347FDD"/>
    <w:rsid w:val="00350655"/>
    <w:rsid w:val="003508F4"/>
    <w:rsid w:val="00351ACF"/>
    <w:rsid w:val="003522D6"/>
    <w:rsid w:val="003527B6"/>
    <w:rsid w:val="00353702"/>
    <w:rsid w:val="00353E4E"/>
    <w:rsid w:val="00354275"/>
    <w:rsid w:val="003545D2"/>
    <w:rsid w:val="00354E36"/>
    <w:rsid w:val="003555B3"/>
    <w:rsid w:val="00355DA5"/>
    <w:rsid w:val="00357B75"/>
    <w:rsid w:val="00357E4E"/>
    <w:rsid w:val="003622F5"/>
    <w:rsid w:val="0036295D"/>
    <w:rsid w:val="00362E4B"/>
    <w:rsid w:val="00363947"/>
    <w:rsid w:val="00363E4F"/>
    <w:rsid w:val="00365EFD"/>
    <w:rsid w:val="0036690D"/>
    <w:rsid w:val="0036708A"/>
    <w:rsid w:val="00370D69"/>
    <w:rsid w:val="00371198"/>
    <w:rsid w:val="00372848"/>
    <w:rsid w:val="00372C42"/>
    <w:rsid w:val="00372CB1"/>
    <w:rsid w:val="00373901"/>
    <w:rsid w:val="00374A9F"/>
    <w:rsid w:val="003752D9"/>
    <w:rsid w:val="0037531E"/>
    <w:rsid w:val="00376DDB"/>
    <w:rsid w:val="003776D0"/>
    <w:rsid w:val="00380436"/>
    <w:rsid w:val="00381E67"/>
    <w:rsid w:val="00383A41"/>
    <w:rsid w:val="0038441F"/>
    <w:rsid w:val="003844E0"/>
    <w:rsid w:val="0038479F"/>
    <w:rsid w:val="00384DB0"/>
    <w:rsid w:val="0038569C"/>
    <w:rsid w:val="00386E7D"/>
    <w:rsid w:val="0039077E"/>
    <w:rsid w:val="00390A57"/>
    <w:rsid w:val="00390E9D"/>
    <w:rsid w:val="00391FCA"/>
    <w:rsid w:val="003926C2"/>
    <w:rsid w:val="00392A50"/>
    <w:rsid w:val="00393921"/>
    <w:rsid w:val="00394E0A"/>
    <w:rsid w:val="00394F43"/>
    <w:rsid w:val="003973BB"/>
    <w:rsid w:val="00397E44"/>
    <w:rsid w:val="00397F30"/>
    <w:rsid w:val="003A05CC"/>
    <w:rsid w:val="003A0A78"/>
    <w:rsid w:val="003A2AD5"/>
    <w:rsid w:val="003A2D9E"/>
    <w:rsid w:val="003A3886"/>
    <w:rsid w:val="003A3F74"/>
    <w:rsid w:val="003A4045"/>
    <w:rsid w:val="003A5112"/>
    <w:rsid w:val="003A5221"/>
    <w:rsid w:val="003A5BC6"/>
    <w:rsid w:val="003A737F"/>
    <w:rsid w:val="003B0640"/>
    <w:rsid w:val="003B0992"/>
    <w:rsid w:val="003B0D78"/>
    <w:rsid w:val="003B0DF8"/>
    <w:rsid w:val="003B1603"/>
    <w:rsid w:val="003B1F6C"/>
    <w:rsid w:val="003B222A"/>
    <w:rsid w:val="003B249E"/>
    <w:rsid w:val="003B2A0C"/>
    <w:rsid w:val="003B41D5"/>
    <w:rsid w:val="003B59AC"/>
    <w:rsid w:val="003B6578"/>
    <w:rsid w:val="003C0174"/>
    <w:rsid w:val="003C0F21"/>
    <w:rsid w:val="003C1CA6"/>
    <w:rsid w:val="003C2ECC"/>
    <w:rsid w:val="003C4850"/>
    <w:rsid w:val="003C5297"/>
    <w:rsid w:val="003C742B"/>
    <w:rsid w:val="003C7F47"/>
    <w:rsid w:val="003D0BC1"/>
    <w:rsid w:val="003D1322"/>
    <w:rsid w:val="003D3D5F"/>
    <w:rsid w:val="003D69DA"/>
    <w:rsid w:val="003E0B4D"/>
    <w:rsid w:val="003E12A7"/>
    <w:rsid w:val="003E1C4E"/>
    <w:rsid w:val="003E38D5"/>
    <w:rsid w:val="003E4319"/>
    <w:rsid w:val="003E5120"/>
    <w:rsid w:val="003E6100"/>
    <w:rsid w:val="003E664C"/>
    <w:rsid w:val="003E7AFB"/>
    <w:rsid w:val="003F0F4F"/>
    <w:rsid w:val="003F1207"/>
    <w:rsid w:val="003F4BC1"/>
    <w:rsid w:val="003F6E4C"/>
    <w:rsid w:val="003F780F"/>
    <w:rsid w:val="00401807"/>
    <w:rsid w:val="004042E4"/>
    <w:rsid w:val="00404CD2"/>
    <w:rsid w:val="004062AE"/>
    <w:rsid w:val="00406595"/>
    <w:rsid w:val="0040693C"/>
    <w:rsid w:val="00407460"/>
    <w:rsid w:val="00407A94"/>
    <w:rsid w:val="00410B5D"/>
    <w:rsid w:val="00410B8F"/>
    <w:rsid w:val="00412923"/>
    <w:rsid w:val="004135A3"/>
    <w:rsid w:val="0041475F"/>
    <w:rsid w:val="00414A67"/>
    <w:rsid w:val="00414F2F"/>
    <w:rsid w:val="004153CA"/>
    <w:rsid w:val="004163AD"/>
    <w:rsid w:val="004167DA"/>
    <w:rsid w:val="004169BF"/>
    <w:rsid w:val="00416CC9"/>
    <w:rsid w:val="00416F83"/>
    <w:rsid w:val="004171D5"/>
    <w:rsid w:val="00420B6B"/>
    <w:rsid w:val="00420E7D"/>
    <w:rsid w:val="004214CE"/>
    <w:rsid w:val="0042263E"/>
    <w:rsid w:val="00422DFF"/>
    <w:rsid w:val="00424A1C"/>
    <w:rsid w:val="00425091"/>
    <w:rsid w:val="00425477"/>
    <w:rsid w:val="004254E6"/>
    <w:rsid w:val="0042551F"/>
    <w:rsid w:val="004257AA"/>
    <w:rsid w:val="00425873"/>
    <w:rsid w:val="004258F1"/>
    <w:rsid w:val="004263FD"/>
    <w:rsid w:val="00426CC9"/>
    <w:rsid w:val="004272F4"/>
    <w:rsid w:val="004325C5"/>
    <w:rsid w:val="00433AA9"/>
    <w:rsid w:val="00433EDE"/>
    <w:rsid w:val="004351F3"/>
    <w:rsid w:val="0043533A"/>
    <w:rsid w:val="004357FE"/>
    <w:rsid w:val="004362A0"/>
    <w:rsid w:val="00436A42"/>
    <w:rsid w:val="00436DCF"/>
    <w:rsid w:val="00437BF0"/>
    <w:rsid w:val="0044079D"/>
    <w:rsid w:val="004408E4"/>
    <w:rsid w:val="00440AFE"/>
    <w:rsid w:val="00441575"/>
    <w:rsid w:val="0044206F"/>
    <w:rsid w:val="004430D7"/>
    <w:rsid w:val="0044489A"/>
    <w:rsid w:val="00444D0D"/>
    <w:rsid w:val="00445B4D"/>
    <w:rsid w:val="00446CFF"/>
    <w:rsid w:val="00450402"/>
    <w:rsid w:val="004509D0"/>
    <w:rsid w:val="00450A3B"/>
    <w:rsid w:val="0045131B"/>
    <w:rsid w:val="00451554"/>
    <w:rsid w:val="00451A43"/>
    <w:rsid w:val="00451ABB"/>
    <w:rsid w:val="00451C88"/>
    <w:rsid w:val="0045604A"/>
    <w:rsid w:val="00456F29"/>
    <w:rsid w:val="00456F77"/>
    <w:rsid w:val="00456FFE"/>
    <w:rsid w:val="00457592"/>
    <w:rsid w:val="00457B32"/>
    <w:rsid w:val="004608FC"/>
    <w:rsid w:val="00461A2D"/>
    <w:rsid w:val="00462071"/>
    <w:rsid w:val="00462AA0"/>
    <w:rsid w:val="0046470D"/>
    <w:rsid w:val="00465CA2"/>
    <w:rsid w:val="004665FC"/>
    <w:rsid w:val="004669BB"/>
    <w:rsid w:val="0047012E"/>
    <w:rsid w:val="004708B8"/>
    <w:rsid w:val="00471954"/>
    <w:rsid w:val="004732C1"/>
    <w:rsid w:val="0047495B"/>
    <w:rsid w:val="00475C5E"/>
    <w:rsid w:val="00475FAE"/>
    <w:rsid w:val="004766DF"/>
    <w:rsid w:val="00477930"/>
    <w:rsid w:val="00477EEA"/>
    <w:rsid w:val="00480586"/>
    <w:rsid w:val="00481BB1"/>
    <w:rsid w:val="004825BE"/>
    <w:rsid w:val="00482647"/>
    <w:rsid w:val="00483258"/>
    <w:rsid w:val="00483FA8"/>
    <w:rsid w:val="00484499"/>
    <w:rsid w:val="00484DA4"/>
    <w:rsid w:val="004850F6"/>
    <w:rsid w:val="00485123"/>
    <w:rsid w:val="00486771"/>
    <w:rsid w:val="004875A0"/>
    <w:rsid w:val="004876C5"/>
    <w:rsid w:val="00491E35"/>
    <w:rsid w:val="00491F52"/>
    <w:rsid w:val="00492241"/>
    <w:rsid w:val="00492B4E"/>
    <w:rsid w:val="004930C5"/>
    <w:rsid w:val="00493A8D"/>
    <w:rsid w:val="004951D7"/>
    <w:rsid w:val="00495D99"/>
    <w:rsid w:val="00497EA9"/>
    <w:rsid w:val="004A1243"/>
    <w:rsid w:val="004A178A"/>
    <w:rsid w:val="004A254C"/>
    <w:rsid w:val="004A2B94"/>
    <w:rsid w:val="004A33DA"/>
    <w:rsid w:val="004A46BF"/>
    <w:rsid w:val="004A4B92"/>
    <w:rsid w:val="004A5CCC"/>
    <w:rsid w:val="004A7F88"/>
    <w:rsid w:val="004B0074"/>
    <w:rsid w:val="004B0BCE"/>
    <w:rsid w:val="004B1377"/>
    <w:rsid w:val="004B2F33"/>
    <w:rsid w:val="004B3792"/>
    <w:rsid w:val="004B4853"/>
    <w:rsid w:val="004B492E"/>
    <w:rsid w:val="004B4BF2"/>
    <w:rsid w:val="004B6A3B"/>
    <w:rsid w:val="004B758E"/>
    <w:rsid w:val="004C0458"/>
    <w:rsid w:val="004C0F05"/>
    <w:rsid w:val="004C1EF0"/>
    <w:rsid w:val="004C5A58"/>
    <w:rsid w:val="004C5C82"/>
    <w:rsid w:val="004C64E9"/>
    <w:rsid w:val="004C7042"/>
    <w:rsid w:val="004C74DD"/>
    <w:rsid w:val="004C7C60"/>
    <w:rsid w:val="004C7CCD"/>
    <w:rsid w:val="004C7EA8"/>
    <w:rsid w:val="004D021E"/>
    <w:rsid w:val="004D0453"/>
    <w:rsid w:val="004D1782"/>
    <w:rsid w:val="004D18CD"/>
    <w:rsid w:val="004D3048"/>
    <w:rsid w:val="004D3E62"/>
    <w:rsid w:val="004D40E8"/>
    <w:rsid w:val="004D5411"/>
    <w:rsid w:val="004D558A"/>
    <w:rsid w:val="004D65C4"/>
    <w:rsid w:val="004D6AC0"/>
    <w:rsid w:val="004E068A"/>
    <w:rsid w:val="004E175B"/>
    <w:rsid w:val="004E3372"/>
    <w:rsid w:val="004E540C"/>
    <w:rsid w:val="004E55DA"/>
    <w:rsid w:val="004E63E7"/>
    <w:rsid w:val="004E6C00"/>
    <w:rsid w:val="004E6F6B"/>
    <w:rsid w:val="004E763A"/>
    <w:rsid w:val="004E7BAF"/>
    <w:rsid w:val="004F05A3"/>
    <w:rsid w:val="004F0925"/>
    <w:rsid w:val="004F0E78"/>
    <w:rsid w:val="004F2282"/>
    <w:rsid w:val="004F3D21"/>
    <w:rsid w:val="004F3DB4"/>
    <w:rsid w:val="004F45B5"/>
    <w:rsid w:val="004F4F6D"/>
    <w:rsid w:val="004F518D"/>
    <w:rsid w:val="004F519B"/>
    <w:rsid w:val="004F5FFF"/>
    <w:rsid w:val="004F62F4"/>
    <w:rsid w:val="004F7051"/>
    <w:rsid w:val="004F7C61"/>
    <w:rsid w:val="00500327"/>
    <w:rsid w:val="00500363"/>
    <w:rsid w:val="00500A65"/>
    <w:rsid w:val="00501096"/>
    <w:rsid w:val="00501856"/>
    <w:rsid w:val="00502AA0"/>
    <w:rsid w:val="00502B54"/>
    <w:rsid w:val="00504330"/>
    <w:rsid w:val="00506BC4"/>
    <w:rsid w:val="00506E02"/>
    <w:rsid w:val="0050742E"/>
    <w:rsid w:val="00507C15"/>
    <w:rsid w:val="005101F5"/>
    <w:rsid w:val="00510404"/>
    <w:rsid w:val="00510497"/>
    <w:rsid w:val="005104A5"/>
    <w:rsid w:val="0051098F"/>
    <w:rsid w:val="00512218"/>
    <w:rsid w:val="005129F1"/>
    <w:rsid w:val="00512F2B"/>
    <w:rsid w:val="0051356F"/>
    <w:rsid w:val="00513FF7"/>
    <w:rsid w:val="0051529A"/>
    <w:rsid w:val="00515645"/>
    <w:rsid w:val="00515A38"/>
    <w:rsid w:val="005161F9"/>
    <w:rsid w:val="005172CC"/>
    <w:rsid w:val="00520F0C"/>
    <w:rsid w:val="00521DAF"/>
    <w:rsid w:val="00522589"/>
    <w:rsid w:val="00522946"/>
    <w:rsid w:val="00523674"/>
    <w:rsid w:val="00523840"/>
    <w:rsid w:val="00524691"/>
    <w:rsid w:val="00524FB3"/>
    <w:rsid w:val="005269AA"/>
    <w:rsid w:val="0053013F"/>
    <w:rsid w:val="00531075"/>
    <w:rsid w:val="005317CA"/>
    <w:rsid w:val="005322C7"/>
    <w:rsid w:val="005324EB"/>
    <w:rsid w:val="00533102"/>
    <w:rsid w:val="0053332F"/>
    <w:rsid w:val="0053416B"/>
    <w:rsid w:val="00535C5D"/>
    <w:rsid w:val="00536210"/>
    <w:rsid w:val="00540AC7"/>
    <w:rsid w:val="0054110F"/>
    <w:rsid w:val="00541CC2"/>
    <w:rsid w:val="00541D85"/>
    <w:rsid w:val="0054254D"/>
    <w:rsid w:val="00542841"/>
    <w:rsid w:val="00542DE3"/>
    <w:rsid w:val="00543004"/>
    <w:rsid w:val="00543E31"/>
    <w:rsid w:val="005458B2"/>
    <w:rsid w:val="00545AA3"/>
    <w:rsid w:val="005461C9"/>
    <w:rsid w:val="005461DB"/>
    <w:rsid w:val="00546945"/>
    <w:rsid w:val="0054777F"/>
    <w:rsid w:val="005477AC"/>
    <w:rsid w:val="00550985"/>
    <w:rsid w:val="00550E7A"/>
    <w:rsid w:val="00552455"/>
    <w:rsid w:val="005525D4"/>
    <w:rsid w:val="00552614"/>
    <w:rsid w:val="005536A0"/>
    <w:rsid w:val="00554488"/>
    <w:rsid w:val="005552A6"/>
    <w:rsid w:val="00555939"/>
    <w:rsid w:val="00555C0D"/>
    <w:rsid w:val="00556179"/>
    <w:rsid w:val="005601E4"/>
    <w:rsid w:val="00560D9D"/>
    <w:rsid w:val="00563D48"/>
    <w:rsid w:val="005653A4"/>
    <w:rsid w:val="00566BFD"/>
    <w:rsid w:val="005676D9"/>
    <w:rsid w:val="00567E77"/>
    <w:rsid w:val="0057051A"/>
    <w:rsid w:val="005706B4"/>
    <w:rsid w:val="00570800"/>
    <w:rsid w:val="0057088E"/>
    <w:rsid w:val="00571161"/>
    <w:rsid w:val="005715D6"/>
    <w:rsid w:val="0057371F"/>
    <w:rsid w:val="00574092"/>
    <w:rsid w:val="0057471C"/>
    <w:rsid w:val="005750A9"/>
    <w:rsid w:val="00577605"/>
    <w:rsid w:val="0058167D"/>
    <w:rsid w:val="005819E2"/>
    <w:rsid w:val="00582C02"/>
    <w:rsid w:val="00583945"/>
    <w:rsid w:val="0058396D"/>
    <w:rsid w:val="00583D04"/>
    <w:rsid w:val="00584695"/>
    <w:rsid w:val="00584E4A"/>
    <w:rsid w:val="00585C55"/>
    <w:rsid w:val="0058612F"/>
    <w:rsid w:val="0058615F"/>
    <w:rsid w:val="00586444"/>
    <w:rsid w:val="00587211"/>
    <w:rsid w:val="00587A70"/>
    <w:rsid w:val="005923AC"/>
    <w:rsid w:val="00593368"/>
    <w:rsid w:val="005940AA"/>
    <w:rsid w:val="005950A8"/>
    <w:rsid w:val="005957D6"/>
    <w:rsid w:val="0059587B"/>
    <w:rsid w:val="00595BB2"/>
    <w:rsid w:val="00596569"/>
    <w:rsid w:val="005A0C00"/>
    <w:rsid w:val="005A1D78"/>
    <w:rsid w:val="005A2053"/>
    <w:rsid w:val="005A2ABA"/>
    <w:rsid w:val="005A310F"/>
    <w:rsid w:val="005A3828"/>
    <w:rsid w:val="005A4286"/>
    <w:rsid w:val="005A69C5"/>
    <w:rsid w:val="005A69CB"/>
    <w:rsid w:val="005A6DCD"/>
    <w:rsid w:val="005A7C3F"/>
    <w:rsid w:val="005B0980"/>
    <w:rsid w:val="005B1EBD"/>
    <w:rsid w:val="005B1F25"/>
    <w:rsid w:val="005B22A2"/>
    <w:rsid w:val="005B2DBF"/>
    <w:rsid w:val="005B3811"/>
    <w:rsid w:val="005B4409"/>
    <w:rsid w:val="005B5291"/>
    <w:rsid w:val="005B5A93"/>
    <w:rsid w:val="005B5C13"/>
    <w:rsid w:val="005B6301"/>
    <w:rsid w:val="005B700D"/>
    <w:rsid w:val="005C0301"/>
    <w:rsid w:val="005C0ED6"/>
    <w:rsid w:val="005C142E"/>
    <w:rsid w:val="005C15BF"/>
    <w:rsid w:val="005C18FC"/>
    <w:rsid w:val="005C1DB5"/>
    <w:rsid w:val="005C2035"/>
    <w:rsid w:val="005C2080"/>
    <w:rsid w:val="005C2940"/>
    <w:rsid w:val="005C31FD"/>
    <w:rsid w:val="005C34DB"/>
    <w:rsid w:val="005D1A99"/>
    <w:rsid w:val="005D256A"/>
    <w:rsid w:val="005D2C9E"/>
    <w:rsid w:val="005D400C"/>
    <w:rsid w:val="005D4D09"/>
    <w:rsid w:val="005D55E1"/>
    <w:rsid w:val="005D65E3"/>
    <w:rsid w:val="005D6EA8"/>
    <w:rsid w:val="005D75EC"/>
    <w:rsid w:val="005E00F9"/>
    <w:rsid w:val="005E1D1F"/>
    <w:rsid w:val="005E2BE2"/>
    <w:rsid w:val="005E59E1"/>
    <w:rsid w:val="005E65E5"/>
    <w:rsid w:val="005E6712"/>
    <w:rsid w:val="005E7113"/>
    <w:rsid w:val="005F0A6B"/>
    <w:rsid w:val="005F2677"/>
    <w:rsid w:val="005F308E"/>
    <w:rsid w:val="005F3716"/>
    <w:rsid w:val="005F3A32"/>
    <w:rsid w:val="005F3FFA"/>
    <w:rsid w:val="005F4573"/>
    <w:rsid w:val="005F4A34"/>
    <w:rsid w:val="005F6753"/>
    <w:rsid w:val="005F675B"/>
    <w:rsid w:val="005F6E89"/>
    <w:rsid w:val="005F7ACF"/>
    <w:rsid w:val="006005B8"/>
    <w:rsid w:val="00601555"/>
    <w:rsid w:val="00601F88"/>
    <w:rsid w:val="00602688"/>
    <w:rsid w:val="00603EAA"/>
    <w:rsid w:val="00604F4E"/>
    <w:rsid w:val="00605306"/>
    <w:rsid w:val="0060545E"/>
    <w:rsid w:val="00605616"/>
    <w:rsid w:val="0060582A"/>
    <w:rsid w:val="00605D14"/>
    <w:rsid w:val="00605D3A"/>
    <w:rsid w:val="00606717"/>
    <w:rsid w:val="00606CEF"/>
    <w:rsid w:val="00606DC7"/>
    <w:rsid w:val="006077D9"/>
    <w:rsid w:val="006100B9"/>
    <w:rsid w:val="00610187"/>
    <w:rsid w:val="00610507"/>
    <w:rsid w:val="00611E42"/>
    <w:rsid w:val="006124F5"/>
    <w:rsid w:val="00612F57"/>
    <w:rsid w:val="006149A5"/>
    <w:rsid w:val="00614E14"/>
    <w:rsid w:val="00614E77"/>
    <w:rsid w:val="00616ACA"/>
    <w:rsid w:val="006179DA"/>
    <w:rsid w:val="00617B27"/>
    <w:rsid w:val="00617D5D"/>
    <w:rsid w:val="006200B8"/>
    <w:rsid w:val="00620288"/>
    <w:rsid w:val="00620505"/>
    <w:rsid w:val="006205D2"/>
    <w:rsid w:val="00620710"/>
    <w:rsid w:val="00620EA3"/>
    <w:rsid w:val="00621033"/>
    <w:rsid w:val="0062177A"/>
    <w:rsid w:val="0062212A"/>
    <w:rsid w:val="006226EB"/>
    <w:rsid w:val="00622B11"/>
    <w:rsid w:val="0062406E"/>
    <w:rsid w:val="006261D1"/>
    <w:rsid w:val="006277DA"/>
    <w:rsid w:val="006306B6"/>
    <w:rsid w:val="00632363"/>
    <w:rsid w:val="00632786"/>
    <w:rsid w:val="00632853"/>
    <w:rsid w:val="006329BE"/>
    <w:rsid w:val="00632B08"/>
    <w:rsid w:val="00633096"/>
    <w:rsid w:val="0063383D"/>
    <w:rsid w:val="006345FB"/>
    <w:rsid w:val="0063521A"/>
    <w:rsid w:val="0063723D"/>
    <w:rsid w:val="00640736"/>
    <w:rsid w:val="00640929"/>
    <w:rsid w:val="006445B9"/>
    <w:rsid w:val="00644CC8"/>
    <w:rsid w:val="00646A6E"/>
    <w:rsid w:val="00650018"/>
    <w:rsid w:val="0065025E"/>
    <w:rsid w:val="00650670"/>
    <w:rsid w:val="0065107D"/>
    <w:rsid w:val="0065157B"/>
    <w:rsid w:val="00652593"/>
    <w:rsid w:val="00652BB0"/>
    <w:rsid w:val="0065316D"/>
    <w:rsid w:val="0065494C"/>
    <w:rsid w:val="00654AC1"/>
    <w:rsid w:val="00654F71"/>
    <w:rsid w:val="006559F8"/>
    <w:rsid w:val="006573F2"/>
    <w:rsid w:val="00657F26"/>
    <w:rsid w:val="00657FC8"/>
    <w:rsid w:val="006600C0"/>
    <w:rsid w:val="0066064A"/>
    <w:rsid w:val="00660F84"/>
    <w:rsid w:val="006610AF"/>
    <w:rsid w:val="00663254"/>
    <w:rsid w:val="0066328A"/>
    <w:rsid w:val="00664176"/>
    <w:rsid w:val="00665CE8"/>
    <w:rsid w:val="006660D5"/>
    <w:rsid w:val="0066687A"/>
    <w:rsid w:val="0066741B"/>
    <w:rsid w:val="00667C3F"/>
    <w:rsid w:val="00673B8E"/>
    <w:rsid w:val="00674689"/>
    <w:rsid w:val="0067500C"/>
    <w:rsid w:val="0067537F"/>
    <w:rsid w:val="00675F20"/>
    <w:rsid w:val="00676126"/>
    <w:rsid w:val="00676254"/>
    <w:rsid w:val="006820BD"/>
    <w:rsid w:val="006848DB"/>
    <w:rsid w:val="00685C54"/>
    <w:rsid w:val="00685F6B"/>
    <w:rsid w:val="00687276"/>
    <w:rsid w:val="006879D3"/>
    <w:rsid w:val="00693219"/>
    <w:rsid w:val="00693F04"/>
    <w:rsid w:val="006941C9"/>
    <w:rsid w:val="006941FF"/>
    <w:rsid w:val="0069692F"/>
    <w:rsid w:val="006A0BD4"/>
    <w:rsid w:val="006A1A14"/>
    <w:rsid w:val="006A1DD0"/>
    <w:rsid w:val="006A299B"/>
    <w:rsid w:val="006A37C2"/>
    <w:rsid w:val="006A3E82"/>
    <w:rsid w:val="006A5263"/>
    <w:rsid w:val="006A5C4B"/>
    <w:rsid w:val="006A701E"/>
    <w:rsid w:val="006A7162"/>
    <w:rsid w:val="006A73FB"/>
    <w:rsid w:val="006A7CC6"/>
    <w:rsid w:val="006B0FD2"/>
    <w:rsid w:val="006B1130"/>
    <w:rsid w:val="006B1727"/>
    <w:rsid w:val="006B2506"/>
    <w:rsid w:val="006B26EC"/>
    <w:rsid w:val="006B2A52"/>
    <w:rsid w:val="006B2CB4"/>
    <w:rsid w:val="006B35D3"/>
    <w:rsid w:val="006B37D6"/>
    <w:rsid w:val="006B37EC"/>
    <w:rsid w:val="006B4346"/>
    <w:rsid w:val="006B55B6"/>
    <w:rsid w:val="006B5E95"/>
    <w:rsid w:val="006B7348"/>
    <w:rsid w:val="006B7A68"/>
    <w:rsid w:val="006C0A50"/>
    <w:rsid w:val="006C162D"/>
    <w:rsid w:val="006C1ADB"/>
    <w:rsid w:val="006C2970"/>
    <w:rsid w:val="006C3FDA"/>
    <w:rsid w:val="006C564B"/>
    <w:rsid w:val="006C5EB9"/>
    <w:rsid w:val="006C60CF"/>
    <w:rsid w:val="006C6510"/>
    <w:rsid w:val="006C6ABE"/>
    <w:rsid w:val="006C788E"/>
    <w:rsid w:val="006D0879"/>
    <w:rsid w:val="006D22E0"/>
    <w:rsid w:val="006D274D"/>
    <w:rsid w:val="006D30E0"/>
    <w:rsid w:val="006D3352"/>
    <w:rsid w:val="006D3B56"/>
    <w:rsid w:val="006D418A"/>
    <w:rsid w:val="006D43A9"/>
    <w:rsid w:val="006D4917"/>
    <w:rsid w:val="006D4E42"/>
    <w:rsid w:val="006D5D47"/>
    <w:rsid w:val="006D64DA"/>
    <w:rsid w:val="006D7A75"/>
    <w:rsid w:val="006E00E2"/>
    <w:rsid w:val="006E020E"/>
    <w:rsid w:val="006E2CC6"/>
    <w:rsid w:val="006E2D0B"/>
    <w:rsid w:val="006E3489"/>
    <w:rsid w:val="006E38D3"/>
    <w:rsid w:val="006E564B"/>
    <w:rsid w:val="006E5708"/>
    <w:rsid w:val="006E5B40"/>
    <w:rsid w:val="006E7BF1"/>
    <w:rsid w:val="006F0133"/>
    <w:rsid w:val="006F13FF"/>
    <w:rsid w:val="006F2196"/>
    <w:rsid w:val="006F61F9"/>
    <w:rsid w:val="006F6EF8"/>
    <w:rsid w:val="006F78BC"/>
    <w:rsid w:val="006F7F1D"/>
    <w:rsid w:val="007005EE"/>
    <w:rsid w:val="007006BF"/>
    <w:rsid w:val="0070075A"/>
    <w:rsid w:val="007010EE"/>
    <w:rsid w:val="0070326B"/>
    <w:rsid w:val="0070345E"/>
    <w:rsid w:val="007042C1"/>
    <w:rsid w:val="00704B75"/>
    <w:rsid w:val="00705570"/>
    <w:rsid w:val="00706BC6"/>
    <w:rsid w:val="007103C9"/>
    <w:rsid w:val="00711CEF"/>
    <w:rsid w:val="00712454"/>
    <w:rsid w:val="00714956"/>
    <w:rsid w:val="00714DB5"/>
    <w:rsid w:val="00715AD3"/>
    <w:rsid w:val="00715D81"/>
    <w:rsid w:val="007162C5"/>
    <w:rsid w:val="007164B9"/>
    <w:rsid w:val="00716C05"/>
    <w:rsid w:val="007205FC"/>
    <w:rsid w:val="00720FCA"/>
    <w:rsid w:val="007214C2"/>
    <w:rsid w:val="007227AB"/>
    <w:rsid w:val="00724B7A"/>
    <w:rsid w:val="00725152"/>
    <w:rsid w:val="007252C9"/>
    <w:rsid w:val="007257EE"/>
    <w:rsid w:val="007263A2"/>
    <w:rsid w:val="00726EF5"/>
    <w:rsid w:val="007277E7"/>
    <w:rsid w:val="00727A00"/>
    <w:rsid w:val="00727F93"/>
    <w:rsid w:val="00731CAA"/>
    <w:rsid w:val="007321A0"/>
    <w:rsid w:val="00732264"/>
    <w:rsid w:val="00732330"/>
    <w:rsid w:val="007325AB"/>
    <w:rsid w:val="00733B07"/>
    <w:rsid w:val="00733F9E"/>
    <w:rsid w:val="007346D0"/>
    <w:rsid w:val="00735035"/>
    <w:rsid w:val="007353C4"/>
    <w:rsid w:val="00735529"/>
    <w:rsid w:val="00735BFC"/>
    <w:rsid w:val="00735F93"/>
    <w:rsid w:val="00737B14"/>
    <w:rsid w:val="00740F92"/>
    <w:rsid w:val="0074186E"/>
    <w:rsid w:val="00742563"/>
    <w:rsid w:val="00744EF2"/>
    <w:rsid w:val="007456D6"/>
    <w:rsid w:val="007475DA"/>
    <w:rsid w:val="00747A96"/>
    <w:rsid w:val="00750396"/>
    <w:rsid w:val="00752FFF"/>
    <w:rsid w:val="00754026"/>
    <w:rsid w:val="007543CD"/>
    <w:rsid w:val="0075490E"/>
    <w:rsid w:val="00754AB1"/>
    <w:rsid w:val="00754DEE"/>
    <w:rsid w:val="00756006"/>
    <w:rsid w:val="00756878"/>
    <w:rsid w:val="00757084"/>
    <w:rsid w:val="00757477"/>
    <w:rsid w:val="0076056D"/>
    <w:rsid w:val="0076133B"/>
    <w:rsid w:val="00761CF0"/>
    <w:rsid w:val="0076291C"/>
    <w:rsid w:val="00764298"/>
    <w:rsid w:val="00765278"/>
    <w:rsid w:val="00765318"/>
    <w:rsid w:val="00765492"/>
    <w:rsid w:val="00765A1F"/>
    <w:rsid w:val="00766563"/>
    <w:rsid w:val="00766A8F"/>
    <w:rsid w:val="00766E69"/>
    <w:rsid w:val="00770555"/>
    <w:rsid w:val="00772BE6"/>
    <w:rsid w:val="00774627"/>
    <w:rsid w:val="0077478E"/>
    <w:rsid w:val="007748C5"/>
    <w:rsid w:val="00774D6A"/>
    <w:rsid w:val="007750E8"/>
    <w:rsid w:val="00775987"/>
    <w:rsid w:val="00777279"/>
    <w:rsid w:val="00777354"/>
    <w:rsid w:val="00780077"/>
    <w:rsid w:val="00780F22"/>
    <w:rsid w:val="00781B10"/>
    <w:rsid w:val="00781DB6"/>
    <w:rsid w:val="007836E3"/>
    <w:rsid w:val="00784ECC"/>
    <w:rsid w:val="00785D13"/>
    <w:rsid w:val="007871FB"/>
    <w:rsid w:val="00787C38"/>
    <w:rsid w:val="0079076B"/>
    <w:rsid w:val="00790D96"/>
    <w:rsid w:val="00790F1C"/>
    <w:rsid w:val="00791816"/>
    <w:rsid w:val="00792503"/>
    <w:rsid w:val="00792E90"/>
    <w:rsid w:val="00792FC8"/>
    <w:rsid w:val="00793B97"/>
    <w:rsid w:val="00796D8B"/>
    <w:rsid w:val="00797DDF"/>
    <w:rsid w:val="007A00FF"/>
    <w:rsid w:val="007A0DD7"/>
    <w:rsid w:val="007A1B54"/>
    <w:rsid w:val="007A1E9F"/>
    <w:rsid w:val="007A264B"/>
    <w:rsid w:val="007A3810"/>
    <w:rsid w:val="007A44F0"/>
    <w:rsid w:val="007A5FAA"/>
    <w:rsid w:val="007A659D"/>
    <w:rsid w:val="007A727A"/>
    <w:rsid w:val="007B0A2A"/>
    <w:rsid w:val="007B1074"/>
    <w:rsid w:val="007B37AB"/>
    <w:rsid w:val="007B3B08"/>
    <w:rsid w:val="007B4BBF"/>
    <w:rsid w:val="007B781A"/>
    <w:rsid w:val="007B7AFB"/>
    <w:rsid w:val="007C019E"/>
    <w:rsid w:val="007C11FE"/>
    <w:rsid w:val="007C1886"/>
    <w:rsid w:val="007C213E"/>
    <w:rsid w:val="007C33E6"/>
    <w:rsid w:val="007C3B3F"/>
    <w:rsid w:val="007C4177"/>
    <w:rsid w:val="007C5CB6"/>
    <w:rsid w:val="007C5E0D"/>
    <w:rsid w:val="007C68C7"/>
    <w:rsid w:val="007C690A"/>
    <w:rsid w:val="007C69D0"/>
    <w:rsid w:val="007C7A5B"/>
    <w:rsid w:val="007D0F7D"/>
    <w:rsid w:val="007D1D4A"/>
    <w:rsid w:val="007D231A"/>
    <w:rsid w:val="007D25B0"/>
    <w:rsid w:val="007D3811"/>
    <w:rsid w:val="007D3B43"/>
    <w:rsid w:val="007D443C"/>
    <w:rsid w:val="007D4A7D"/>
    <w:rsid w:val="007D4DBB"/>
    <w:rsid w:val="007D5915"/>
    <w:rsid w:val="007D5D45"/>
    <w:rsid w:val="007D6B69"/>
    <w:rsid w:val="007D6DA9"/>
    <w:rsid w:val="007E0216"/>
    <w:rsid w:val="007E30FD"/>
    <w:rsid w:val="007E3DEA"/>
    <w:rsid w:val="007E4593"/>
    <w:rsid w:val="007E528C"/>
    <w:rsid w:val="007E5906"/>
    <w:rsid w:val="007E5E53"/>
    <w:rsid w:val="007E6AD6"/>
    <w:rsid w:val="007F02E9"/>
    <w:rsid w:val="007F0449"/>
    <w:rsid w:val="007F2B90"/>
    <w:rsid w:val="007F4539"/>
    <w:rsid w:val="007F5371"/>
    <w:rsid w:val="007F5576"/>
    <w:rsid w:val="007F57C1"/>
    <w:rsid w:val="007F6C34"/>
    <w:rsid w:val="007F7462"/>
    <w:rsid w:val="00800596"/>
    <w:rsid w:val="00801EDA"/>
    <w:rsid w:val="00802010"/>
    <w:rsid w:val="0080237D"/>
    <w:rsid w:val="00802F18"/>
    <w:rsid w:val="0080323F"/>
    <w:rsid w:val="008033CF"/>
    <w:rsid w:val="0080386B"/>
    <w:rsid w:val="00803870"/>
    <w:rsid w:val="0080668C"/>
    <w:rsid w:val="00807FA6"/>
    <w:rsid w:val="00811EB6"/>
    <w:rsid w:val="00812151"/>
    <w:rsid w:val="008121AD"/>
    <w:rsid w:val="00812D34"/>
    <w:rsid w:val="00813DF7"/>
    <w:rsid w:val="00815842"/>
    <w:rsid w:val="00820B89"/>
    <w:rsid w:val="00821734"/>
    <w:rsid w:val="00821FDB"/>
    <w:rsid w:val="00822911"/>
    <w:rsid w:val="008233D1"/>
    <w:rsid w:val="00823C62"/>
    <w:rsid w:val="008244A6"/>
    <w:rsid w:val="00824C4F"/>
    <w:rsid w:val="00825647"/>
    <w:rsid w:val="008268D7"/>
    <w:rsid w:val="00826A49"/>
    <w:rsid w:val="00827078"/>
    <w:rsid w:val="00827219"/>
    <w:rsid w:val="008276CC"/>
    <w:rsid w:val="00827827"/>
    <w:rsid w:val="00827C67"/>
    <w:rsid w:val="008314D7"/>
    <w:rsid w:val="00831601"/>
    <w:rsid w:val="008320D8"/>
    <w:rsid w:val="00832CCB"/>
    <w:rsid w:val="00834AC6"/>
    <w:rsid w:val="00835444"/>
    <w:rsid w:val="008373FF"/>
    <w:rsid w:val="00837668"/>
    <w:rsid w:val="00840449"/>
    <w:rsid w:val="00841923"/>
    <w:rsid w:val="00841B92"/>
    <w:rsid w:val="0084265B"/>
    <w:rsid w:val="00843EC1"/>
    <w:rsid w:val="008446A1"/>
    <w:rsid w:val="00844AFC"/>
    <w:rsid w:val="00844FCF"/>
    <w:rsid w:val="008455E8"/>
    <w:rsid w:val="00845C75"/>
    <w:rsid w:val="008460CC"/>
    <w:rsid w:val="0084673B"/>
    <w:rsid w:val="00846BE6"/>
    <w:rsid w:val="0084787E"/>
    <w:rsid w:val="00847B04"/>
    <w:rsid w:val="00847FD4"/>
    <w:rsid w:val="00850421"/>
    <w:rsid w:val="0085060B"/>
    <w:rsid w:val="00850BA7"/>
    <w:rsid w:val="00850CB6"/>
    <w:rsid w:val="008534FE"/>
    <w:rsid w:val="008547C5"/>
    <w:rsid w:val="00854B58"/>
    <w:rsid w:val="0085621C"/>
    <w:rsid w:val="00857066"/>
    <w:rsid w:val="008575BF"/>
    <w:rsid w:val="00860590"/>
    <w:rsid w:val="00860977"/>
    <w:rsid w:val="00860A79"/>
    <w:rsid w:val="00860EED"/>
    <w:rsid w:val="008613D3"/>
    <w:rsid w:val="008620E6"/>
    <w:rsid w:val="00863178"/>
    <w:rsid w:val="00865493"/>
    <w:rsid w:val="008663C6"/>
    <w:rsid w:val="00866FBA"/>
    <w:rsid w:val="008674B2"/>
    <w:rsid w:val="008676C0"/>
    <w:rsid w:val="00867EC2"/>
    <w:rsid w:val="00870F4F"/>
    <w:rsid w:val="008712BA"/>
    <w:rsid w:val="008714F9"/>
    <w:rsid w:val="00872392"/>
    <w:rsid w:val="00872744"/>
    <w:rsid w:val="00872849"/>
    <w:rsid w:val="008752B2"/>
    <w:rsid w:val="0087625A"/>
    <w:rsid w:val="00877CAD"/>
    <w:rsid w:val="008808D7"/>
    <w:rsid w:val="008812AF"/>
    <w:rsid w:val="008816B8"/>
    <w:rsid w:val="00881F2B"/>
    <w:rsid w:val="00882B49"/>
    <w:rsid w:val="00882F6F"/>
    <w:rsid w:val="008842B2"/>
    <w:rsid w:val="0088645A"/>
    <w:rsid w:val="00886F97"/>
    <w:rsid w:val="0089001E"/>
    <w:rsid w:val="0089069B"/>
    <w:rsid w:val="00890B36"/>
    <w:rsid w:val="0089151C"/>
    <w:rsid w:val="0089184C"/>
    <w:rsid w:val="00896CDB"/>
    <w:rsid w:val="00897BD1"/>
    <w:rsid w:val="008A0ADF"/>
    <w:rsid w:val="008A0C05"/>
    <w:rsid w:val="008A179F"/>
    <w:rsid w:val="008A3574"/>
    <w:rsid w:val="008A3A9B"/>
    <w:rsid w:val="008A5063"/>
    <w:rsid w:val="008A5944"/>
    <w:rsid w:val="008A6F6E"/>
    <w:rsid w:val="008A7A60"/>
    <w:rsid w:val="008B0647"/>
    <w:rsid w:val="008B07B4"/>
    <w:rsid w:val="008B237A"/>
    <w:rsid w:val="008B27F6"/>
    <w:rsid w:val="008B31CF"/>
    <w:rsid w:val="008B452F"/>
    <w:rsid w:val="008B4F89"/>
    <w:rsid w:val="008B59AF"/>
    <w:rsid w:val="008B5D7E"/>
    <w:rsid w:val="008B5EC8"/>
    <w:rsid w:val="008B5F40"/>
    <w:rsid w:val="008B64E8"/>
    <w:rsid w:val="008B6F83"/>
    <w:rsid w:val="008C0735"/>
    <w:rsid w:val="008C12F5"/>
    <w:rsid w:val="008C2E6E"/>
    <w:rsid w:val="008C3388"/>
    <w:rsid w:val="008C3A18"/>
    <w:rsid w:val="008C3B9A"/>
    <w:rsid w:val="008C5D45"/>
    <w:rsid w:val="008C71A7"/>
    <w:rsid w:val="008D0833"/>
    <w:rsid w:val="008D0E8F"/>
    <w:rsid w:val="008D22E5"/>
    <w:rsid w:val="008D230A"/>
    <w:rsid w:val="008D26EB"/>
    <w:rsid w:val="008D3489"/>
    <w:rsid w:val="008D5DD4"/>
    <w:rsid w:val="008D5E5F"/>
    <w:rsid w:val="008D6DAF"/>
    <w:rsid w:val="008D73BA"/>
    <w:rsid w:val="008D7461"/>
    <w:rsid w:val="008E071E"/>
    <w:rsid w:val="008E2512"/>
    <w:rsid w:val="008E27F6"/>
    <w:rsid w:val="008E31C9"/>
    <w:rsid w:val="008E38A3"/>
    <w:rsid w:val="008E490C"/>
    <w:rsid w:val="008E49DE"/>
    <w:rsid w:val="008E6779"/>
    <w:rsid w:val="008E6B88"/>
    <w:rsid w:val="008E6CB9"/>
    <w:rsid w:val="008E70C8"/>
    <w:rsid w:val="008E731E"/>
    <w:rsid w:val="008E73AC"/>
    <w:rsid w:val="008F016E"/>
    <w:rsid w:val="008F1035"/>
    <w:rsid w:val="008F17AC"/>
    <w:rsid w:val="008F2328"/>
    <w:rsid w:val="008F38AE"/>
    <w:rsid w:val="008F5A0C"/>
    <w:rsid w:val="008F5AAE"/>
    <w:rsid w:val="008F6308"/>
    <w:rsid w:val="008F659A"/>
    <w:rsid w:val="008F6ACB"/>
    <w:rsid w:val="008F7941"/>
    <w:rsid w:val="00900630"/>
    <w:rsid w:val="00900AC1"/>
    <w:rsid w:val="009016EC"/>
    <w:rsid w:val="00901BC3"/>
    <w:rsid w:val="00902080"/>
    <w:rsid w:val="009023C3"/>
    <w:rsid w:val="009043D6"/>
    <w:rsid w:val="009044A3"/>
    <w:rsid w:val="00904A31"/>
    <w:rsid w:val="00904B5B"/>
    <w:rsid w:val="00906288"/>
    <w:rsid w:val="00910035"/>
    <w:rsid w:val="009109FA"/>
    <w:rsid w:val="00910B2F"/>
    <w:rsid w:val="00910CEF"/>
    <w:rsid w:val="00911AFC"/>
    <w:rsid w:val="00911CC6"/>
    <w:rsid w:val="00912432"/>
    <w:rsid w:val="00913048"/>
    <w:rsid w:val="00913530"/>
    <w:rsid w:val="0091374A"/>
    <w:rsid w:val="009178B0"/>
    <w:rsid w:val="00921B1E"/>
    <w:rsid w:val="009221D0"/>
    <w:rsid w:val="00922A23"/>
    <w:rsid w:val="00923B58"/>
    <w:rsid w:val="00923DEB"/>
    <w:rsid w:val="0092445B"/>
    <w:rsid w:val="0092458E"/>
    <w:rsid w:val="00924604"/>
    <w:rsid w:val="00925557"/>
    <w:rsid w:val="009258B0"/>
    <w:rsid w:val="00925D07"/>
    <w:rsid w:val="0092684A"/>
    <w:rsid w:val="00926F16"/>
    <w:rsid w:val="009270BB"/>
    <w:rsid w:val="00927B90"/>
    <w:rsid w:val="00927CED"/>
    <w:rsid w:val="00931D24"/>
    <w:rsid w:val="009321B3"/>
    <w:rsid w:val="00932772"/>
    <w:rsid w:val="009346A4"/>
    <w:rsid w:val="00935814"/>
    <w:rsid w:val="00935CB1"/>
    <w:rsid w:val="00935CD7"/>
    <w:rsid w:val="009372A8"/>
    <w:rsid w:val="009404D5"/>
    <w:rsid w:val="00942C40"/>
    <w:rsid w:val="0094304A"/>
    <w:rsid w:val="0094324E"/>
    <w:rsid w:val="009436BD"/>
    <w:rsid w:val="0094378F"/>
    <w:rsid w:val="00944478"/>
    <w:rsid w:val="00945B9D"/>
    <w:rsid w:val="00945E4E"/>
    <w:rsid w:val="00947BC4"/>
    <w:rsid w:val="00950A9B"/>
    <w:rsid w:val="00951AF1"/>
    <w:rsid w:val="00951B8E"/>
    <w:rsid w:val="00953239"/>
    <w:rsid w:val="009536B6"/>
    <w:rsid w:val="00953A1C"/>
    <w:rsid w:val="00953B82"/>
    <w:rsid w:val="00956783"/>
    <w:rsid w:val="00956DFC"/>
    <w:rsid w:val="00956E2D"/>
    <w:rsid w:val="00957CA3"/>
    <w:rsid w:val="00960A2A"/>
    <w:rsid w:val="009621F8"/>
    <w:rsid w:val="00962C93"/>
    <w:rsid w:val="00962F0C"/>
    <w:rsid w:val="00963BDF"/>
    <w:rsid w:val="00963CAD"/>
    <w:rsid w:val="0096419C"/>
    <w:rsid w:val="0096457D"/>
    <w:rsid w:val="00964BF3"/>
    <w:rsid w:val="00965680"/>
    <w:rsid w:val="00966A58"/>
    <w:rsid w:val="00966C7F"/>
    <w:rsid w:val="009672D2"/>
    <w:rsid w:val="009672E3"/>
    <w:rsid w:val="00970591"/>
    <w:rsid w:val="00970BCB"/>
    <w:rsid w:val="00971BB8"/>
    <w:rsid w:val="00973774"/>
    <w:rsid w:val="00973A62"/>
    <w:rsid w:val="00974511"/>
    <w:rsid w:val="00974D7A"/>
    <w:rsid w:val="00974DF9"/>
    <w:rsid w:val="00974E64"/>
    <w:rsid w:val="00975B88"/>
    <w:rsid w:val="00976AF6"/>
    <w:rsid w:val="00977210"/>
    <w:rsid w:val="00977337"/>
    <w:rsid w:val="00982D47"/>
    <w:rsid w:val="0098344B"/>
    <w:rsid w:val="009840EE"/>
    <w:rsid w:val="0098438B"/>
    <w:rsid w:val="00985970"/>
    <w:rsid w:val="00985C48"/>
    <w:rsid w:val="009865CC"/>
    <w:rsid w:val="00986D76"/>
    <w:rsid w:val="00987B88"/>
    <w:rsid w:val="00991147"/>
    <w:rsid w:val="0099237B"/>
    <w:rsid w:val="00992F92"/>
    <w:rsid w:val="0099306B"/>
    <w:rsid w:val="00993AA6"/>
    <w:rsid w:val="00993D95"/>
    <w:rsid w:val="00997125"/>
    <w:rsid w:val="0099761D"/>
    <w:rsid w:val="00997662"/>
    <w:rsid w:val="00997EC0"/>
    <w:rsid w:val="009A064A"/>
    <w:rsid w:val="009A0760"/>
    <w:rsid w:val="009A1091"/>
    <w:rsid w:val="009A1123"/>
    <w:rsid w:val="009A1C15"/>
    <w:rsid w:val="009A23FB"/>
    <w:rsid w:val="009A39B9"/>
    <w:rsid w:val="009A5A5A"/>
    <w:rsid w:val="009A7D01"/>
    <w:rsid w:val="009B0894"/>
    <w:rsid w:val="009B2652"/>
    <w:rsid w:val="009B28B8"/>
    <w:rsid w:val="009B444A"/>
    <w:rsid w:val="009B5819"/>
    <w:rsid w:val="009B6185"/>
    <w:rsid w:val="009B6219"/>
    <w:rsid w:val="009B6999"/>
    <w:rsid w:val="009B6C3F"/>
    <w:rsid w:val="009B7328"/>
    <w:rsid w:val="009B737C"/>
    <w:rsid w:val="009C0393"/>
    <w:rsid w:val="009C0841"/>
    <w:rsid w:val="009C1323"/>
    <w:rsid w:val="009C2F6D"/>
    <w:rsid w:val="009C3018"/>
    <w:rsid w:val="009C314F"/>
    <w:rsid w:val="009C346D"/>
    <w:rsid w:val="009C3A05"/>
    <w:rsid w:val="009C454E"/>
    <w:rsid w:val="009C57CE"/>
    <w:rsid w:val="009C698D"/>
    <w:rsid w:val="009C6D03"/>
    <w:rsid w:val="009C6D53"/>
    <w:rsid w:val="009C7291"/>
    <w:rsid w:val="009C7B1E"/>
    <w:rsid w:val="009C7D84"/>
    <w:rsid w:val="009D0852"/>
    <w:rsid w:val="009D1A36"/>
    <w:rsid w:val="009D23DC"/>
    <w:rsid w:val="009D31A0"/>
    <w:rsid w:val="009D36DA"/>
    <w:rsid w:val="009D5D08"/>
    <w:rsid w:val="009D651A"/>
    <w:rsid w:val="009D68CF"/>
    <w:rsid w:val="009D77FF"/>
    <w:rsid w:val="009E07B9"/>
    <w:rsid w:val="009E083B"/>
    <w:rsid w:val="009E0AAC"/>
    <w:rsid w:val="009E4274"/>
    <w:rsid w:val="009E6C47"/>
    <w:rsid w:val="009F058D"/>
    <w:rsid w:val="009F11F8"/>
    <w:rsid w:val="009F1A92"/>
    <w:rsid w:val="009F1B75"/>
    <w:rsid w:val="009F231D"/>
    <w:rsid w:val="009F24B6"/>
    <w:rsid w:val="009F3017"/>
    <w:rsid w:val="009F3506"/>
    <w:rsid w:val="009F412D"/>
    <w:rsid w:val="009F46A1"/>
    <w:rsid w:val="009F4D82"/>
    <w:rsid w:val="009F5A77"/>
    <w:rsid w:val="009F6B8F"/>
    <w:rsid w:val="009F75C4"/>
    <w:rsid w:val="00A017F1"/>
    <w:rsid w:val="00A01AFA"/>
    <w:rsid w:val="00A01BA6"/>
    <w:rsid w:val="00A01D52"/>
    <w:rsid w:val="00A02D3F"/>
    <w:rsid w:val="00A04054"/>
    <w:rsid w:val="00A05172"/>
    <w:rsid w:val="00A06470"/>
    <w:rsid w:val="00A069F5"/>
    <w:rsid w:val="00A06BA7"/>
    <w:rsid w:val="00A07BF4"/>
    <w:rsid w:val="00A106EC"/>
    <w:rsid w:val="00A109C8"/>
    <w:rsid w:val="00A12F7E"/>
    <w:rsid w:val="00A13F85"/>
    <w:rsid w:val="00A15E97"/>
    <w:rsid w:val="00A16651"/>
    <w:rsid w:val="00A16DBF"/>
    <w:rsid w:val="00A179AF"/>
    <w:rsid w:val="00A21670"/>
    <w:rsid w:val="00A217C8"/>
    <w:rsid w:val="00A21A8E"/>
    <w:rsid w:val="00A222A7"/>
    <w:rsid w:val="00A225E8"/>
    <w:rsid w:val="00A22AED"/>
    <w:rsid w:val="00A23BDE"/>
    <w:rsid w:val="00A23EFB"/>
    <w:rsid w:val="00A248F1"/>
    <w:rsid w:val="00A26C1E"/>
    <w:rsid w:val="00A27571"/>
    <w:rsid w:val="00A27F51"/>
    <w:rsid w:val="00A306FD"/>
    <w:rsid w:val="00A31910"/>
    <w:rsid w:val="00A31A18"/>
    <w:rsid w:val="00A32747"/>
    <w:rsid w:val="00A3608B"/>
    <w:rsid w:val="00A36ED7"/>
    <w:rsid w:val="00A37235"/>
    <w:rsid w:val="00A3786C"/>
    <w:rsid w:val="00A400CD"/>
    <w:rsid w:val="00A40B95"/>
    <w:rsid w:val="00A41DFC"/>
    <w:rsid w:val="00A420AA"/>
    <w:rsid w:val="00A43A16"/>
    <w:rsid w:val="00A4499E"/>
    <w:rsid w:val="00A44AF9"/>
    <w:rsid w:val="00A44CBD"/>
    <w:rsid w:val="00A4533B"/>
    <w:rsid w:val="00A45467"/>
    <w:rsid w:val="00A46409"/>
    <w:rsid w:val="00A46CAF"/>
    <w:rsid w:val="00A47C92"/>
    <w:rsid w:val="00A47CEB"/>
    <w:rsid w:val="00A47D81"/>
    <w:rsid w:val="00A509A5"/>
    <w:rsid w:val="00A51F84"/>
    <w:rsid w:val="00A527C7"/>
    <w:rsid w:val="00A52965"/>
    <w:rsid w:val="00A53059"/>
    <w:rsid w:val="00A53661"/>
    <w:rsid w:val="00A53816"/>
    <w:rsid w:val="00A53FD6"/>
    <w:rsid w:val="00A55552"/>
    <w:rsid w:val="00A5785F"/>
    <w:rsid w:val="00A57C9C"/>
    <w:rsid w:val="00A605BA"/>
    <w:rsid w:val="00A6123A"/>
    <w:rsid w:val="00A61ED4"/>
    <w:rsid w:val="00A62A3A"/>
    <w:rsid w:val="00A62D1E"/>
    <w:rsid w:val="00A6386B"/>
    <w:rsid w:val="00A63BE8"/>
    <w:rsid w:val="00A66DB6"/>
    <w:rsid w:val="00A67372"/>
    <w:rsid w:val="00A701A6"/>
    <w:rsid w:val="00A70429"/>
    <w:rsid w:val="00A704E7"/>
    <w:rsid w:val="00A70C66"/>
    <w:rsid w:val="00A71A0B"/>
    <w:rsid w:val="00A73197"/>
    <w:rsid w:val="00A73517"/>
    <w:rsid w:val="00A74289"/>
    <w:rsid w:val="00A743AC"/>
    <w:rsid w:val="00A74EB1"/>
    <w:rsid w:val="00A74F0F"/>
    <w:rsid w:val="00A752F9"/>
    <w:rsid w:val="00A764A0"/>
    <w:rsid w:val="00A7682F"/>
    <w:rsid w:val="00A7728A"/>
    <w:rsid w:val="00A778AE"/>
    <w:rsid w:val="00A80C7D"/>
    <w:rsid w:val="00A8407A"/>
    <w:rsid w:val="00A845EA"/>
    <w:rsid w:val="00A87308"/>
    <w:rsid w:val="00A8736B"/>
    <w:rsid w:val="00A90CF5"/>
    <w:rsid w:val="00A911E8"/>
    <w:rsid w:val="00A91AB9"/>
    <w:rsid w:val="00A92F2A"/>
    <w:rsid w:val="00A9338E"/>
    <w:rsid w:val="00A96AF9"/>
    <w:rsid w:val="00A97964"/>
    <w:rsid w:val="00A97FE2"/>
    <w:rsid w:val="00AA05FA"/>
    <w:rsid w:val="00AA19EA"/>
    <w:rsid w:val="00AA2421"/>
    <w:rsid w:val="00AA3BE0"/>
    <w:rsid w:val="00AA4DA4"/>
    <w:rsid w:val="00AA53BF"/>
    <w:rsid w:val="00AA5D1B"/>
    <w:rsid w:val="00AA66B5"/>
    <w:rsid w:val="00AA66E2"/>
    <w:rsid w:val="00AA77B7"/>
    <w:rsid w:val="00AA781C"/>
    <w:rsid w:val="00AA7A37"/>
    <w:rsid w:val="00AB0214"/>
    <w:rsid w:val="00AB0C1F"/>
    <w:rsid w:val="00AB581A"/>
    <w:rsid w:val="00AC0645"/>
    <w:rsid w:val="00AC0F9C"/>
    <w:rsid w:val="00AC1171"/>
    <w:rsid w:val="00AC15B5"/>
    <w:rsid w:val="00AC1B8C"/>
    <w:rsid w:val="00AC2884"/>
    <w:rsid w:val="00AC2F76"/>
    <w:rsid w:val="00AC43C0"/>
    <w:rsid w:val="00AC47C3"/>
    <w:rsid w:val="00AC671F"/>
    <w:rsid w:val="00AC67C1"/>
    <w:rsid w:val="00AC7041"/>
    <w:rsid w:val="00AC7422"/>
    <w:rsid w:val="00AD066D"/>
    <w:rsid w:val="00AD08F0"/>
    <w:rsid w:val="00AD1C90"/>
    <w:rsid w:val="00AD2478"/>
    <w:rsid w:val="00AD2686"/>
    <w:rsid w:val="00AD3EDF"/>
    <w:rsid w:val="00AD42E6"/>
    <w:rsid w:val="00AD432A"/>
    <w:rsid w:val="00AD640C"/>
    <w:rsid w:val="00AD6FB4"/>
    <w:rsid w:val="00AE02C9"/>
    <w:rsid w:val="00AE05A3"/>
    <w:rsid w:val="00AE08BB"/>
    <w:rsid w:val="00AE0C9A"/>
    <w:rsid w:val="00AE243C"/>
    <w:rsid w:val="00AE2850"/>
    <w:rsid w:val="00AE2A50"/>
    <w:rsid w:val="00AE3304"/>
    <w:rsid w:val="00AE3671"/>
    <w:rsid w:val="00AE4A5E"/>
    <w:rsid w:val="00AE51DC"/>
    <w:rsid w:val="00AE532C"/>
    <w:rsid w:val="00AE620F"/>
    <w:rsid w:val="00AE69D6"/>
    <w:rsid w:val="00AE6A15"/>
    <w:rsid w:val="00AE79A3"/>
    <w:rsid w:val="00AF03A5"/>
    <w:rsid w:val="00AF1705"/>
    <w:rsid w:val="00AF1833"/>
    <w:rsid w:val="00AF1F02"/>
    <w:rsid w:val="00AF2D09"/>
    <w:rsid w:val="00AF3419"/>
    <w:rsid w:val="00AF3F7B"/>
    <w:rsid w:val="00AF4F86"/>
    <w:rsid w:val="00AF51D3"/>
    <w:rsid w:val="00AF60B9"/>
    <w:rsid w:val="00AF65E3"/>
    <w:rsid w:val="00AF701F"/>
    <w:rsid w:val="00B00273"/>
    <w:rsid w:val="00B00953"/>
    <w:rsid w:val="00B0309D"/>
    <w:rsid w:val="00B038C8"/>
    <w:rsid w:val="00B03BF1"/>
    <w:rsid w:val="00B04CCB"/>
    <w:rsid w:val="00B04F09"/>
    <w:rsid w:val="00B06F3A"/>
    <w:rsid w:val="00B07C59"/>
    <w:rsid w:val="00B102E5"/>
    <w:rsid w:val="00B10721"/>
    <w:rsid w:val="00B1077E"/>
    <w:rsid w:val="00B12500"/>
    <w:rsid w:val="00B1593F"/>
    <w:rsid w:val="00B15B1F"/>
    <w:rsid w:val="00B15F07"/>
    <w:rsid w:val="00B162A4"/>
    <w:rsid w:val="00B16467"/>
    <w:rsid w:val="00B16503"/>
    <w:rsid w:val="00B16B7D"/>
    <w:rsid w:val="00B1759A"/>
    <w:rsid w:val="00B23C70"/>
    <w:rsid w:val="00B24535"/>
    <w:rsid w:val="00B24902"/>
    <w:rsid w:val="00B25E53"/>
    <w:rsid w:val="00B30536"/>
    <w:rsid w:val="00B30751"/>
    <w:rsid w:val="00B31A58"/>
    <w:rsid w:val="00B32D85"/>
    <w:rsid w:val="00B33C50"/>
    <w:rsid w:val="00B343C3"/>
    <w:rsid w:val="00B34B03"/>
    <w:rsid w:val="00B3580B"/>
    <w:rsid w:val="00B35B57"/>
    <w:rsid w:val="00B42110"/>
    <w:rsid w:val="00B42B40"/>
    <w:rsid w:val="00B42C09"/>
    <w:rsid w:val="00B42EB3"/>
    <w:rsid w:val="00B43B10"/>
    <w:rsid w:val="00B44CF0"/>
    <w:rsid w:val="00B44D3E"/>
    <w:rsid w:val="00B44DA2"/>
    <w:rsid w:val="00B45B16"/>
    <w:rsid w:val="00B45E90"/>
    <w:rsid w:val="00B45F62"/>
    <w:rsid w:val="00B46C9C"/>
    <w:rsid w:val="00B46E3C"/>
    <w:rsid w:val="00B5086E"/>
    <w:rsid w:val="00B50911"/>
    <w:rsid w:val="00B51D98"/>
    <w:rsid w:val="00B51F7D"/>
    <w:rsid w:val="00B52B94"/>
    <w:rsid w:val="00B53198"/>
    <w:rsid w:val="00B5327A"/>
    <w:rsid w:val="00B5335D"/>
    <w:rsid w:val="00B54611"/>
    <w:rsid w:val="00B54B68"/>
    <w:rsid w:val="00B5619B"/>
    <w:rsid w:val="00B56DDC"/>
    <w:rsid w:val="00B574A2"/>
    <w:rsid w:val="00B60597"/>
    <w:rsid w:val="00B60A2F"/>
    <w:rsid w:val="00B60F88"/>
    <w:rsid w:val="00B615DD"/>
    <w:rsid w:val="00B620EF"/>
    <w:rsid w:val="00B62606"/>
    <w:rsid w:val="00B629A3"/>
    <w:rsid w:val="00B62F79"/>
    <w:rsid w:val="00B63CF3"/>
    <w:rsid w:val="00B64690"/>
    <w:rsid w:val="00B64802"/>
    <w:rsid w:val="00B6481F"/>
    <w:rsid w:val="00B65A1B"/>
    <w:rsid w:val="00B65CF4"/>
    <w:rsid w:val="00B67734"/>
    <w:rsid w:val="00B67FFB"/>
    <w:rsid w:val="00B70B6B"/>
    <w:rsid w:val="00B71192"/>
    <w:rsid w:val="00B716E8"/>
    <w:rsid w:val="00B73C6D"/>
    <w:rsid w:val="00B73EBD"/>
    <w:rsid w:val="00B750B2"/>
    <w:rsid w:val="00B76AC0"/>
    <w:rsid w:val="00B81D91"/>
    <w:rsid w:val="00B823A0"/>
    <w:rsid w:val="00B847A0"/>
    <w:rsid w:val="00B84959"/>
    <w:rsid w:val="00B84CBB"/>
    <w:rsid w:val="00B8567F"/>
    <w:rsid w:val="00B8622A"/>
    <w:rsid w:val="00B86258"/>
    <w:rsid w:val="00B86AD0"/>
    <w:rsid w:val="00B86CD5"/>
    <w:rsid w:val="00B87513"/>
    <w:rsid w:val="00B876C5"/>
    <w:rsid w:val="00B91229"/>
    <w:rsid w:val="00B9214F"/>
    <w:rsid w:val="00B923BD"/>
    <w:rsid w:val="00B92993"/>
    <w:rsid w:val="00B93815"/>
    <w:rsid w:val="00B94224"/>
    <w:rsid w:val="00B95E16"/>
    <w:rsid w:val="00B97064"/>
    <w:rsid w:val="00B97080"/>
    <w:rsid w:val="00B97CF0"/>
    <w:rsid w:val="00B97F8A"/>
    <w:rsid w:val="00BA071D"/>
    <w:rsid w:val="00BA200D"/>
    <w:rsid w:val="00BA2173"/>
    <w:rsid w:val="00BA2A41"/>
    <w:rsid w:val="00BA306E"/>
    <w:rsid w:val="00BA3A72"/>
    <w:rsid w:val="00BA3BC4"/>
    <w:rsid w:val="00BA48B8"/>
    <w:rsid w:val="00BA6155"/>
    <w:rsid w:val="00BA6A89"/>
    <w:rsid w:val="00BB1280"/>
    <w:rsid w:val="00BB153B"/>
    <w:rsid w:val="00BB2013"/>
    <w:rsid w:val="00BB27C1"/>
    <w:rsid w:val="00BB30FB"/>
    <w:rsid w:val="00BB4BEE"/>
    <w:rsid w:val="00BB4F8C"/>
    <w:rsid w:val="00BB53F7"/>
    <w:rsid w:val="00BB5524"/>
    <w:rsid w:val="00BB5AFA"/>
    <w:rsid w:val="00BB7FF4"/>
    <w:rsid w:val="00BC04DE"/>
    <w:rsid w:val="00BC0A9E"/>
    <w:rsid w:val="00BC264D"/>
    <w:rsid w:val="00BC31FC"/>
    <w:rsid w:val="00BC5A4D"/>
    <w:rsid w:val="00BC6284"/>
    <w:rsid w:val="00BC6971"/>
    <w:rsid w:val="00BC6FD3"/>
    <w:rsid w:val="00BC7B46"/>
    <w:rsid w:val="00BD1865"/>
    <w:rsid w:val="00BD2BCD"/>
    <w:rsid w:val="00BD3CB0"/>
    <w:rsid w:val="00BD3F48"/>
    <w:rsid w:val="00BD5447"/>
    <w:rsid w:val="00BD583F"/>
    <w:rsid w:val="00BD61F0"/>
    <w:rsid w:val="00BD65A8"/>
    <w:rsid w:val="00BD6D5C"/>
    <w:rsid w:val="00BD7902"/>
    <w:rsid w:val="00BE1906"/>
    <w:rsid w:val="00BE19E6"/>
    <w:rsid w:val="00BE1DF4"/>
    <w:rsid w:val="00BE2361"/>
    <w:rsid w:val="00BE2ABC"/>
    <w:rsid w:val="00BE332B"/>
    <w:rsid w:val="00BE521A"/>
    <w:rsid w:val="00BE56FC"/>
    <w:rsid w:val="00BE5A11"/>
    <w:rsid w:val="00BE75B3"/>
    <w:rsid w:val="00BF050C"/>
    <w:rsid w:val="00BF5811"/>
    <w:rsid w:val="00BF5AEA"/>
    <w:rsid w:val="00BF6180"/>
    <w:rsid w:val="00BF6674"/>
    <w:rsid w:val="00BF6809"/>
    <w:rsid w:val="00BF6AFB"/>
    <w:rsid w:val="00BF6D98"/>
    <w:rsid w:val="00C00AF8"/>
    <w:rsid w:val="00C00F63"/>
    <w:rsid w:val="00C00FEB"/>
    <w:rsid w:val="00C0164B"/>
    <w:rsid w:val="00C01C8A"/>
    <w:rsid w:val="00C03539"/>
    <w:rsid w:val="00C046AF"/>
    <w:rsid w:val="00C0498C"/>
    <w:rsid w:val="00C07862"/>
    <w:rsid w:val="00C07AA7"/>
    <w:rsid w:val="00C07EFE"/>
    <w:rsid w:val="00C07F7D"/>
    <w:rsid w:val="00C1081A"/>
    <w:rsid w:val="00C111AB"/>
    <w:rsid w:val="00C113C4"/>
    <w:rsid w:val="00C1237E"/>
    <w:rsid w:val="00C129A2"/>
    <w:rsid w:val="00C1339B"/>
    <w:rsid w:val="00C133EF"/>
    <w:rsid w:val="00C14153"/>
    <w:rsid w:val="00C1569E"/>
    <w:rsid w:val="00C16B0E"/>
    <w:rsid w:val="00C16E93"/>
    <w:rsid w:val="00C17605"/>
    <w:rsid w:val="00C176FF"/>
    <w:rsid w:val="00C20C92"/>
    <w:rsid w:val="00C221FB"/>
    <w:rsid w:val="00C232A7"/>
    <w:rsid w:val="00C24341"/>
    <w:rsid w:val="00C246E2"/>
    <w:rsid w:val="00C24A8B"/>
    <w:rsid w:val="00C25928"/>
    <w:rsid w:val="00C2688A"/>
    <w:rsid w:val="00C27901"/>
    <w:rsid w:val="00C27E22"/>
    <w:rsid w:val="00C30189"/>
    <w:rsid w:val="00C313BC"/>
    <w:rsid w:val="00C31B75"/>
    <w:rsid w:val="00C3256A"/>
    <w:rsid w:val="00C3337A"/>
    <w:rsid w:val="00C3340A"/>
    <w:rsid w:val="00C34918"/>
    <w:rsid w:val="00C35299"/>
    <w:rsid w:val="00C3551E"/>
    <w:rsid w:val="00C35714"/>
    <w:rsid w:val="00C35A16"/>
    <w:rsid w:val="00C35E9A"/>
    <w:rsid w:val="00C36082"/>
    <w:rsid w:val="00C3614E"/>
    <w:rsid w:val="00C36635"/>
    <w:rsid w:val="00C37189"/>
    <w:rsid w:val="00C37E69"/>
    <w:rsid w:val="00C42046"/>
    <w:rsid w:val="00C42870"/>
    <w:rsid w:val="00C435F9"/>
    <w:rsid w:val="00C439D0"/>
    <w:rsid w:val="00C44252"/>
    <w:rsid w:val="00C447B0"/>
    <w:rsid w:val="00C46033"/>
    <w:rsid w:val="00C46228"/>
    <w:rsid w:val="00C46245"/>
    <w:rsid w:val="00C47BA6"/>
    <w:rsid w:val="00C50066"/>
    <w:rsid w:val="00C50499"/>
    <w:rsid w:val="00C55ACB"/>
    <w:rsid w:val="00C61095"/>
    <w:rsid w:val="00C624F1"/>
    <w:rsid w:val="00C63035"/>
    <w:rsid w:val="00C632A2"/>
    <w:rsid w:val="00C64CDB"/>
    <w:rsid w:val="00C66072"/>
    <w:rsid w:val="00C66CA7"/>
    <w:rsid w:val="00C67156"/>
    <w:rsid w:val="00C70251"/>
    <w:rsid w:val="00C70EA3"/>
    <w:rsid w:val="00C71994"/>
    <w:rsid w:val="00C72A4D"/>
    <w:rsid w:val="00C73644"/>
    <w:rsid w:val="00C73B7B"/>
    <w:rsid w:val="00C7407D"/>
    <w:rsid w:val="00C74598"/>
    <w:rsid w:val="00C74C68"/>
    <w:rsid w:val="00C75436"/>
    <w:rsid w:val="00C76463"/>
    <w:rsid w:val="00C76D40"/>
    <w:rsid w:val="00C7794B"/>
    <w:rsid w:val="00C8125A"/>
    <w:rsid w:val="00C823B8"/>
    <w:rsid w:val="00C83477"/>
    <w:rsid w:val="00C84068"/>
    <w:rsid w:val="00C87CA4"/>
    <w:rsid w:val="00C9075B"/>
    <w:rsid w:val="00C90914"/>
    <w:rsid w:val="00C90CCC"/>
    <w:rsid w:val="00C90ECB"/>
    <w:rsid w:val="00C931F1"/>
    <w:rsid w:val="00C9666B"/>
    <w:rsid w:val="00C96D64"/>
    <w:rsid w:val="00CA024C"/>
    <w:rsid w:val="00CA0BEB"/>
    <w:rsid w:val="00CA25EF"/>
    <w:rsid w:val="00CA2628"/>
    <w:rsid w:val="00CA32D4"/>
    <w:rsid w:val="00CA4111"/>
    <w:rsid w:val="00CA49F4"/>
    <w:rsid w:val="00CA4ADB"/>
    <w:rsid w:val="00CA6545"/>
    <w:rsid w:val="00CB0383"/>
    <w:rsid w:val="00CB0FD1"/>
    <w:rsid w:val="00CB13CB"/>
    <w:rsid w:val="00CB203B"/>
    <w:rsid w:val="00CB2BC6"/>
    <w:rsid w:val="00CB30CB"/>
    <w:rsid w:val="00CB5447"/>
    <w:rsid w:val="00CB57E6"/>
    <w:rsid w:val="00CB6159"/>
    <w:rsid w:val="00CB7E25"/>
    <w:rsid w:val="00CC0272"/>
    <w:rsid w:val="00CC08DA"/>
    <w:rsid w:val="00CC0EA2"/>
    <w:rsid w:val="00CC0F03"/>
    <w:rsid w:val="00CC1C6A"/>
    <w:rsid w:val="00CC1DB5"/>
    <w:rsid w:val="00CC213F"/>
    <w:rsid w:val="00CC2392"/>
    <w:rsid w:val="00CC2630"/>
    <w:rsid w:val="00CC2F65"/>
    <w:rsid w:val="00CC3108"/>
    <w:rsid w:val="00CC32D0"/>
    <w:rsid w:val="00CC3315"/>
    <w:rsid w:val="00CC34FC"/>
    <w:rsid w:val="00CC5507"/>
    <w:rsid w:val="00CC5DE6"/>
    <w:rsid w:val="00CD244C"/>
    <w:rsid w:val="00CD2B76"/>
    <w:rsid w:val="00CD2C2B"/>
    <w:rsid w:val="00CD314F"/>
    <w:rsid w:val="00CD37EA"/>
    <w:rsid w:val="00CD46AA"/>
    <w:rsid w:val="00CD4A4B"/>
    <w:rsid w:val="00CD4BB8"/>
    <w:rsid w:val="00CD510A"/>
    <w:rsid w:val="00CD55A3"/>
    <w:rsid w:val="00CD5715"/>
    <w:rsid w:val="00CD6287"/>
    <w:rsid w:val="00CD66E9"/>
    <w:rsid w:val="00CD67A3"/>
    <w:rsid w:val="00CD787E"/>
    <w:rsid w:val="00CD7B26"/>
    <w:rsid w:val="00CE02B3"/>
    <w:rsid w:val="00CE0683"/>
    <w:rsid w:val="00CE0EFA"/>
    <w:rsid w:val="00CE1373"/>
    <w:rsid w:val="00CE1A7E"/>
    <w:rsid w:val="00CE1D62"/>
    <w:rsid w:val="00CE3D34"/>
    <w:rsid w:val="00CE50A8"/>
    <w:rsid w:val="00CE717B"/>
    <w:rsid w:val="00CE7360"/>
    <w:rsid w:val="00CE7F2A"/>
    <w:rsid w:val="00CE7F79"/>
    <w:rsid w:val="00CF02D1"/>
    <w:rsid w:val="00CF07BB"/>
    <w:rsid w:val="00CF108E"/>
    <w:rsid w:val="00CF1BE8"/>
    <w:rsid w:val="00CF26CD"/>
    <w:rsid w:val="00CF29B0"/>
    <w:rsid w:val="00CF2B17"/>
    <w:rsid w:val="00CF2CDB"/>
    <w:rsid w:val="00CF30A4"/>
    <w:rsid w:val="00CF3280"/>
    <w:rsid w:val="00CF3E1D"/>
    <w:rsid w:val="00CF455F"/>
    <w:rsid w:val="00CF4AFC"/>
    <w:rsid w:val="00CF4B2B"/>
    <w:rsid w:val="00CF4EA4"/>
    <w:rsid w:val="00CF745D"/>
    <w:rsid w:val="00D00439"/>
    <w:rsid w:val="00D006DC"/>
    <w:rsid w:val="00D01A9F"/>
    <w:rsid w:val="00D01ECF"/>
    <w:rsid w:val="00D01FD8"/>
    <w:rsid w:val="00D03945"/>
    <w:rsid w:val="00D04A99"/>
    <w:rsid w:val="00D05289"/>
    <w:rsid w:val="00D063B9"/>
    <w:rsid w:val="00D071E3"/>
    <w:rsid w:val="00D07DE5"/>
    <w:rsid w:val="00D112A5"/>
    <w:rsid w:val="00D1185D"/>
    <w:rsid w:val="00D11BB0"/>
    <w:rsid w:val="00D13994"/>
    <w:rsid w:val="00D139BE"/>
    <w:rsid w:val="00D14215"/>
    <w:rsid w:val="00D147CB"/>
    <w:rsid w:val="00D14D94"/>
    <w:rsid w:val="00D14DDC"/>
    <w:rsid w:val="00D15174"/>
    <w:rsid w:val="00D15984"/>
    <w:rsid w:val="00D15A96"/>
    <w:rsid w:val="00D169D5"/>
    <w:rsid w:val="00D16D24"/>
    <w:rsid w:val="00D21008"/>
    <w:rsid w:val="00D210F2"/>
    <w:rsid w:val="00D2293B"/>
    <w:rsid w:val="00D22E8C"/>
    <w:rsid w:val="00D233A5"/>
    <w:rsid w:val="00D26855"/>
    <w:rsid w:val="00D270C5"/>
    <w:rsid w:val="00D274BE"/>
    <w:rsid w:val="00D30463"/>
    <w:rsid w:val="00D30C87"/>
    <w:rsid w:val="00D31915"/>
    <w:rsid w:val="00D324B2"/>
    <w:rsid w:val="00D35588"/>
    <w:rsid w:val="00D368DE"/>
    <w:rsid w:val="00D37B75"/>
    <w:rsid w:val="00D40047"/>
    <w:rsid w:val="00D41D42"/>
    <w:rsid w:val="00D424A5"/>
    <w:rsid w:val="00D4293D"/>
    <w:rsid w:val="00D42B40"/>
    <w:rsid w:val="00D4314B"/>
    <w:rsid w:val="00D432E7"/>
    <w:rsid w:val="00D4368E"/>
    <w:rsid w:val="00D43924"/>
    <w:rsid w:val="00D442EF"/>
    <w:rsid w:val="00D44D9B"/>
    <w:rsid w:val="00D474B2"/>
    <w:rsid w:val="00D5013C"/>
    <w:rsid w:val="00D50A8B"/>
    <w:rsid w:val="00D526A2"/>
    <w:rsid w:val="00D52B56"/>
    <w:rsid w:val="00D52B98"/>
    <w:rsid w:val="00D531A9"/>
    <w:rsid w:val="00D533A0"/>
    <w:rsid w:val="00D53738"/>
    <w:rsid w:val="00D54B31"/>
    <w:rsid w:val="00D554BD"/>
    <w:rsid w:val="00D61099"/>
    <w:rsid w:val="00D61826"/>
    <w:rsid w:val="00D6197A"/>
    <w:rsid w:val="00D6346C"/>
    <w:rsid w:val="00D64F6B"/>
    <w:rsid w:val="00D653DE"/>
    <w:rsid w:val="00D661BB"/>
    <w:rsid w:val="00D66DF6"/>
    <w:rsid w:val="00D67293"/>
    <w:rsid w:val="00D67A16"/>
    <w:rsid w:val="00D70495"/>
    <w:rsid w:val="00D7127F"/>
    <w:rsid w:val="00D72C8F"/>
    <w:rsid w:val="00D732FB"/>
    <w:rsid w:val="00D7342C"/>
    <w:rsid w:val="00D73DFF"/>
    <w:rsid w:val="00D74911"/>
    <w:rsid w:val="00D7666D"/>
    <w:rsid w:val="00D766B0"/>
    <w:rsid w:val="00D8040F"/>
    <w:rsid w:val="00D81FA5"/>
    <w:rsid w:val="00D82F96"/>
    <w:rsid w:val="00D838EF"/>
    <w:rsid w:val="00D8428D"/>
    <w:rsid w:val="00D8430F"/>
    <w:rsid w:val="00D85FB7"/>
    <w:rsid w:val="00D87826"/>
    <w:rsid w:val="00D87BA8"/>
    <w:rsid w:val="00D9031B"/>
    <w:rsid w:val="00D9250A"/>
    <w:rsid w:val="00D92C5E"/>
    <w:rsid w:val="00D9316D"/>
    <w:rsid w:val="00D9348A"/>
    <w:rsid w:val="00D93E14"/>
    <w:rsid w:val="00D94103"/>
    <w:rsid w:val="00D9573D"/>
    <w:rsid w:val="00D97CD9"/>
    <w:rsid w:val="00DA0B76"/>
    <w:rsid w:val="00DA0FE3"/>
    <w:rsid w:val="00DA1460"/>
    <w:rsid w:val="00DA22A1"/>
    <w:rsid w:val="00DA3532"/>
    <w:rsid w:val="00DA47EC"/>
    <w:rsid w:val="00DA499C"/>
    <w:rsid w:val="00DA5D75"/>
    <w:rsid w:val="00DA5EE8"/>
    <w:rsid w:val="00DA602E"/>
    <w:rsid w:val="00DA7ACF"/>
    <w:rsid w:val="00DB0B15"/>
    <w:rsid w:val="00DB0D84"/>
    <w:rsid w:val="00DB4DA1"/>
    <w:rsid w:val="00DB6854"/>
    <w:rsid w:val="00DB6856"/>
    <w:rsid w:val="00DC20B3"/>
    <w:rsid w:val="00DC32CD"/>
    <w:rsid w:val="00DC534F"/>
    <w:rsid w:val="00DC6FC6"/>
    <w:rsid w:val="00DC70C6"/>
    <w:rsid w:val="00DC7254"/>
    <w:rsid w:val="00DC7DBF"/>
    <w:rsid w:val="00DD0BD2"/>
    <w:rsid w:val="00DD0E63"/>
    <w:rsid w:val="00DD1643"/>
    <w:rsid w:val="00DD21B9"/>
    <w:rsid w:val="00DD248C"/>
    <w:rsid w:val="00DD3526"/>
    <w:rsid w:val="00DD46B5"/>
    <w:rsid w:val="00DD48F2"/>
    <w:rsid w:val="00DD4FA0"/>
    <w:rsid w:val="00DD53BB"/>
    <w:rsid w:val="00DD5EBE"/>
    <w:rsid w:val="00DD6022"/>
    <w:rsid w:val="00DD625D"/>
    <w:rsid w:val="00DD69EC"/>
    <w:rsid w:val="00DD6B27"/>
    <w:rsid w:val="00DE0232"/>
    <w:rsid w:val="00DE0853"/>
    <w:rsid w:val="00DE0AF4"/>
    <w:rsid w:val="00DE0CBD"/>
    <w:rsid w:val="00DE1CA9"/>
    <w:rsid w:val="00DE2CA9"/>
    <w:rsid w:val="00DE2FE9"/>
    <w:rsid w:val="00DE33C1"/>
    <w:rsid w:val="00DE3FA0"/>
    <w:rsid w:val="00DE41EF"/>
    <w:rsid w:val="00DE46C9"/>
    <w:rsid w:val="00DE6148"/>
    <w:rsid w:val="00DE6D11"/>
    <w:rsid w:val="00DF0047"/>
    <w:rsid w:val="00DF125F"/>
    <w:rsid w:val="00DF202B"/>
    <w:rsid w:val="00DF2A54"/>
    <w:rsid w:val="00DF2C51"/>
    <w:rsid w:val="00DF3176"/>
    <w:rsid w:val="00DF355F"/>
    <w:rsid w:val="00DF35C7"/>
    <w:rsid w:val="00DF50FB"/>
    <w:rsid w:val="00DF5C1B"/>
    <w:rsid w:val="00DF5FF8"/>
    <w:rsid w:val="00DF6CE8"/>
    <w:rsid w:val="00E014E0"/>
    <w:rsid w:val="00E018E9"/>
    <w:rsid w:val="00E01B34"/>
    <w:rsid w:val="00E021EA"/>
    <w:rsid w:val="00E04006"/>
    <w:rsid w:val="00E042B1"/>
    <w:rsid w:val="00E05EEA"/>
    <w:rsid w:val="00E06644"/>
    <w:rsid w:val="00E07619"/>
    <w:rsid w:val="00E10090"/>
    <w:rsid w:val="00E106EF"/>
    <w:rsid w:val="00E113B1"/>
    <w:rsid w:val="00E11BEF"/>
    <w:rsid w:val="00E12B77"/>
    <w:rsid w:val="00E13997"/>
    <w:rsid w:val="00E1473E"/>
    <w:rsid w:val="00E153FB"/>
    <w:rsid w:val="00E15C3F"/>
    <w:rsid w:val="00E15E86"/>
    <w:rsid w:val="00E17904"/>
    <w:rsid w:val="00E207EC"/>
    <w:rsid w:val="00E2098B"/>
    <w:rsid w:val="00E21E2E"/>
    <w:rsid w:val="00E23035"/>
    <w:rsid w:val="00E2378E"/>
    <w:rsid w:val="00E25E69"/>
    <w:rsid w:val="00E26EB4"/>
    <w:rsid w:val="00E3002C"/>
    <w:rsid w:val="00E30618"/>
    <w:rsid w:val="00E307E5"/>
    <w:rsid w:val="00E309F6"/>
    <w:rsid w:val="00E31A3A"/>
    <w:rsid w:val="00E31A69"/>
    <w:rsid w:val="00E32C2C"/>
    <w:rsid w:val="00E32E03"/>
    <w:rsid w:val="00E376D6"/>
    <w:rsid w:val="00E407B5"/>
    <w:rsid w:val="00E41112"/>
    <w:rsid w:val="00E4244E"/>
    <w:rsid w:val="00E42D21"/>
    <w:rsid w:val="00E43310"/>
    <w:rsid w:val="00E43AEE"/>
    <w:rsid w:val="00E443E9"/>
    <w:rsid w:val="00E453F5"/>
    <w:rsid w:val="00E45D68"/>
    <w:rsid w:val="00E46317"/>
    <w:rsid w:val="00E5016C"/>
    <w:rsid w:val="00E5082E"/>
    <w:rsid w:val="00E50D4E"/>
    <w:rsid w:val="00E532CC"/>
    <w:rsid w:val="00E551F6"/>
    <w:rsid w:val="00E57718"/>
    <w:rsid w:val="00E6001E"/>
    <w:rsid w:val="00E61144"/>
    <w:rsid w:val="00E62573"/>
    <w:rsid w:val="00E63CC8"/>
    <w:rsid w:val="00E665D1"/>
    <w:rsid w:val="00E7024A"/>
    <w:rsid w:val="00E711BF"/>
    <w:rsid w:val="00E71E20"/>
    <w:rsid w:val="00E71EF8"/>
    <w:rsid w:val="00E73717"/>
    <w:rsid w:val="00E7449D"/>
    <w:rsid w:val="00E75C55"/>
    <w:rsid w:val="00E76D05"/>
    <w:rsid w:val="00E775DD"/>
    <w:rsid w:val="00E778F7"/>
    <w:rsid w:val="00E77EC5"/>
    <w:rsid w:val="00E80BE5"/>
    <w:rsid w:val="00E81E88"/>
    <w:rsid w:val="00E824B0"/>
    <w:rsid w:val="00E83BFA"/>
    <w:rsid w:val="00E8422E"/>
    <w:rsid w:val="00E842C5"/>
    <w:rsid w:val="00E843F9"/>
    <w:rsid w:val="00E849C3"/>
    <w:rsid w:val="00E84E4F"/>
    <w:rsid w:val="00E856A4"/>
    <w:rsid w:val="00E85BF2"/>
    <w:rsid w:val="00E8602B"/>
    <w:rsid w:val="00E8617E"/>
    <w:rsid w:val="00E865A2"/>
    <w:rsid w:val="00E86634"/>
    <w:rsid w:val="00E8677B"/>
    <w:rsid w:val="00E879A9"/>
    <w:rsid w:val="00E87BDE"/>
    <w:rsid w:val="00E87CA0"/>
    <w:rsid w:val="00E90487"/>
    <w:rsid w:val="00E90629"/>
    <w:rsid w:val="00E90B55"/>
    <w:rsid w:val="00E91839"/>
    <w:rsid w:val="00E91F81"/>
    <w:rsid w:val="00E927D4"/>
    <w:rsid w:val="00E94159"/>
    <w:rsid w:val="00E95343"/>
    <w:rsid w:val="00E9606B"/>
    <w:rsid w:val="00E97C33"/>
    <w:rsid w:val="00EA1F4A"/>
    <w:rsid w:val="00EA2C50"/>
    <w:rsid w:val="00EA38B4"/>
    <w:rsid w:val="00EA4053"/>
    <w:rsid w:val="00EA4120"/>
    <w:rsid w:val="00EA4BFD"/>
    <w:rsid w:val="00EA51D1"/>
    <w:rsid w:val="00EA5332"/>
    <w:rsid w:val="00EA69DA"/>
    <w:rsid w:val="00EA6E72"/>
    <w:rsid w:val="00EA7CAA"/>
    <w:rsid w:val="00EB16F8"/>
    <w:rsid w:val="00EB3288"/>
    <w:rsid w:val="00EB61E6"/>
    <w:rsid w:val="00EB70AC"/>
    <w:rsid w:val="00EB71D7"/>
    <w:rsid w:val="00EB7510"/>
    <w:rsid w:val="00EB75F1"/>
    <w:rsid w:val="00EC3BAE"/>
    <w:rsid w:val="00EC3C6B"/>
    <w:rsid w:val="00EC4144"/>
    <w:rsid w:val="00EC6635"/>
    <w:rsid w:val="00EC6FCF"/>
    <w:rsid w:val="00ED0AE0"/>
    <w:rsid w:val="00ED0E41"/>
    <w:rsid w:val="00ED18B3"/>
    <w:rsid w:val="00ED211B"/>
    <w:rsid w:val="00ED6550"/>
    <w:rsid w:val="00ED7032"/>
    <w:rsid w:val="00ED72CB"/>
    <w:rsid w:val="00ED7F86"/>
    <w:rsid w:val="00ED7FFD"/>
    <w:rsid w:val="00EE1CD4"/>
    <w:rsid w:val="00EE25A5"/>
    <w:rsid w:val="00EE25CE"/>
    <w:rsid w:val="00EE4C06"/>
    <w:rsid w:val="00EE503E"/>
    <w:rsid w:val="00EE632C"/>
    <w:rsid w:val="00EE727A"/>
    <w:rsid w:val="00EF1189"/>
    <w:rsid w:val="00EF15BB"/>
    <w:rsid w:val="00EF2347"/>
    <w:rsid w:val="00EF23BA"/>
    <w:rsid w:val="00EF4DA2"/>
    <w:rsid w:val="00EF58F8"/>
    <w:rsid w:val="00EF5CB4"/>
    <w:rsid w:val="00EF6D3A"/>
    <w:rsid w:val="00F01207"/>
    <w:rsid w:val="00F01A5D"/>
    <w:rsid w:val="00F020CE"/>
    <w:rsid w:val="00F02B50"/>
    <w:rsid w:val="00F02B5A"/>
    <w:rsid w:val="00F033D8"/>
    <w:rsid w:val="00F04B26"/>
    <w:rsid w:val="00F05BC5"/>
    <w:rsid w:val="00F06783"/>
    <w:rsid w:val="00F06BB2"/>
    <w:rsid w:val="00F06E42"/>
    <w:rsid w:val="00F0703B"/>
    <w:rsid w:val="00F07D17"/>
    <w:rsid w:val="00F1085A"/>
    <w:rsid w:val="00F10C12"/>
    <w:rsid w:val="00F13503"/>
    <w:rsid w:val="00F13865"/>
    <w:rsid w:val="00F140F0"/>
    <w:rsid w:val="00F153D3"/>
    <w:rsid w:val="00F15825"/>
    <w:rsid w:val="00F168DD"/>
    <w:rsid w:val="00F1739E"/>
    <w:rsid w:val="00F1794F"/>
    <w:rsid w:val="00F17E51"/>
    <w:rsid w:val="00F216FD"/>
    <w:rsid w:val="00F2410D"/>
    <w:rsid w:val="00F247A0"/>
    <w:rsid w:val="00F24D85"/>
    <w:rsid w:val="00F25560"/>
    <w:rsid w:val="00F2599F"/>
    <w:rsid w:val="00F27216"/>
    <w:rsid w:val="00F27757"/>
    <w:rsid w:val="00F27D17"/>
    <w:rsid w:val="00F31023"/>
    <w:rsid w:val="00F31177"/>
    <w:rsid w:val="00F3152E"/>
    <w:rsid w:val="00F31560"/>
    <w:rsid w:val="00F31DAF"/>
    <w:rsid w:val="00F31EE2"/>
    <w:rsid w:val="00F3204D"/>
    <w:rsid w:val="00F32DF5"/>
    <w:rsid w:val="00F34792"/>
    <w:rsid w:val="00F3499C"/>
    <w:rsid w:val="00F34E0D"/>
    <w:rsid w:val="00F35F19"/>
    <w:rsid w:val="00F36687"/>
    <w:rsid w:val="00F36CB4"/>
    <w:rsid w:val="00F41F0A"/>
    <w:rsid w:val="00F42C32"/>
    <w:rsid w:val="00F433E7"/>
    <w:rsid w:val="00F43835"/>
    <w:rsid w:val="00F43F5C"/>
    <w:rsid w:val="00F44C28"/>
    <w:rsid w:val="00F45B52"/>
    <w:rsid w:val="00F45D66"/>
    <w:rsid w:val="00F47119"/>
    <w:rsid w:val="00F472D8"/>
    <w:rsid w:val="00F47C54"/>
    <w:rsid w:val="00F521F1"/>
    <w:rsid w:val="00F52A08"/>
    <w:rsid w:val="00F53BFF"/>
    <w:rsid w:val="00F53E23"/>
    <w:rsid w:val="00F53E2E"/>
    <w:rsid w:val="00F543A8"/>
    <w:rsid w:val="00F54916"/>
    <w:rsid w:val="00F554FB"/>
    <w:rsid w:val="00F564EF"/>
    <w:rsid w:val="00F57D03"/>
    <w:rsid w:val="00F601E7"/>
    <w:rsid w:val="00F6296B"/>
    <w:rsid w:val="00F62A0B"/>
    <w:rsid w:val="00F63103"/>
    <w:rsid w:val="00F64152"/>
    <w:rsid w:val="00F648B1"/>
    <w:rsid w:val="00F64F35"/>
    <w:rsid w:val="00F662A3"/>
    <w:rsid w:val="00F70FAC"/>
    <w:rsid w:val="00F72BC7"/>
    <w:rsid w:val="00F72E63"/>
    <w:rsid w:val="00F7309A"/>
    <w:rsid w:val="00F73141"/>
    <w:rsid w:val="00F739BF"/>
    <w:rsid w:val="00F7638F"/>
    <w:rsid w:val="00F77816"/>
    <w:rsid w:val="00F77A55"/>
    <w:rsid w:val="00F80221"/>
    <w:rsid w:val="00F80255"/>
    <w:rsid w:val="00F80B55"/>
    <w:rsid w:val="00F80FD8"/>
    <w:rsid w:val="00F8379B"/>
    <w:rsid w:val="00F84DF4"/>
    <w:rsid w:val="00F85142"/>
    <w:rsid w:val="00F8516D"/>
    <w:rsid w:val="00F90AA5"/>
    <w:rsid w:val="00F90AFD"/>
    <w:rsid w:val="00F90C39"/>
    <w:rsid w:val="00F926F2"/>
    <w:rsid w:val="00F92E1B"/>
    <w:rsid w:val="00F95308"/>
    <w:rsid w:val="00F9548B"/>
    <w:rsid w:val="00F95EEA"/>
    <w:rsid w:val="00F963FF"/>
    <w:rsid w:val="00F976A2"/>
    <w:rsid w:val="00FA0C4B"/>
    <w:rsid w:val="00FA11E4"/>
    <w:rsid w:val="00FA13C2"/>
    <w:rsid w:val="00FA24C1"/>
    <w:rsid w:val="00FA2941"/>
    <w:rsid w:val="00FA31E3"/>
    <w:rsid w:val="00FA3D20"/>
    <w:rsid w:val="00FA4BA2"/>
    <w:rsid w:val="00FA5A34"/>
    <w:rsid w:val="00FA6B0B"/>
    <w:rsid w:val="00FB0510"/>
    <w:rsid w:val="00FB10F2"/>
    <w:rsid w:val="00FB157C"/>
    <w:rsid w:val="00FB1CAA"/>
    <w:rsid w:val="00FB1D83"/>
    <w:rsid w:val="00FB252E"/>
    <w:rsid w:val="00FB25A2"/>
    <w:rsid w:val="00FB28BA"/>
    <w:rsid w:val="00FB28D1"/>
    <w:rsid w:val="00FB3849"/>
    <w:rsid w:val="00FB420A"/>
    <w:rsid w:val="00FB48CF"/>
    <w:rsid w:val="00FB5247"/>
    <w:rsid w:val="00FB5633"/>
    <w:rsid w:val="00FB5887"/>
    <w:rsid w:val="00FB5EFD"/>
    <w:rsid w:val="00FB661C"/>
    <w:rsid w:val="00FC0349"/>
    <w:rsid w:val="00FC047D"/>
    <w:rsid w:val="00FC0940"/>
    <w:rsid w:val="00FC0A66"/>
    <w:rsid w:val="00FC10E2"/>
    <w:rsid w:val="00FC1E2C"/>
    <w:rsid w:val="00FC20C2"/>
    <w:rsid w:val="00FC3812"/>
    <w:rsid w:val="00FC488A"/>
    <w:rsid w:val="00FC55FF"/>
    <w:rsid w:val="00FC59AA"/>
    <w:rsid w:val="00FD0461"/>
    <w:rsid w:val="00FD0DE1"/>
    <w:rsid w:val="00FD1206"/>
    <w:rsid w:val="00FD1D25"/>
    <w:rsid w:val="00FD214D"/>
    <w:rsid w:val="00FD3CC9"/>
    <w:rsid w:val="00FD3EC9"/>
    <w:rsid w:val="00FD407E"/>
    <w:rsid w:val="00FD4B3D"/>
    <w:rsid w:val="00FD6406"/>
    <w:rsid w:val="00FD673A"/>
    <w:rsid w:val="00FD7006"/>
    <w:rsid w:val="00FD72CA"/>
    <w:rsid w:val="00FD7A69"/>
    <w:rsid w:val="00FE28FD"/>
    <w:rsid w:val="00FE33FE"/>
    <w:rsid w:val="00FE4053"/>
    <w:rsid w:val="00FE46C8"/>
    <w:rsid w:val="00FE5AE7"/>
    <w:rsid w:val="00FE7921"/>
    <w:rsid w:val="00FE7C21"/>
    <w:rsid w:val="00FE7F21"/>
    <w:rsid w:val="00FF06B8"/>
    <w:rsid w:val="00FF13C7"/>
    <w:rsid w:val="00FF2440"/>
    <w:rsid w:val="00FF3BB3"/>
    <w:rsid w:val="00FF4359"/>
    <w:rsid w:val="00FF611E"/>
    <w:rsid w:val="00FF6951"/>
    <w:rsid w:val="00FF728F"/>
    <w:rsid w:val="00FF7431"/>
    <w:rsid w:val="00FF7F79"/>
    <w:rsid w:val="42DCF1A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AD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605"/>
    <w:pPr>
      <w:spacing w:after="240" w:line="260" w:lineRule="exact"/>
      <w:jc w:val="both"/>
    </w:pPr>
    <w:rPr>
      <w:rFonts w:ascii="Corbel" w:eastAsia="Times New Roman" w:hAnsi="Corbel" w:cs="Times New Roman"/>
      <w:color w:val="000000"/>
      <w:sz w:val="23"/>
      <w:szCs w:val="20"/>
      <w:lang w:eastAsia="en-AU"/>
    </w:rPr>
  </w:style>
  <w:style w:type="paragraph" w:styleId="Heading1">
    <w:name w:val="heading 1"/>
    <w:basedOn w:val="Normal"/>
    <w:next w:val="Normal"/>
    <w:link w:val="Heading1Char"/>
    <w:uiPriority w:val="9"/>
    <w:qFormat/>
    <w:rsid w:val="00577605"/>
    <w:pPr>
      <w:keepNext/>
      <w:spacing w:before="480" w:after="180" w:line="240" w:lineRule="auto"/>
      <w:jc w:val="left"/>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
    <w:qFormat/>
    <w:rsid w:val="00577605"/>
    <w:pPr>
      <w:keepNext/>
      <w:spacing w:before="180" w:after="120" w:line="240" w:lineRule="auto"/>
      <w:jc w:val="left"/>
      <w:outlineLvl w:val="1"/>
    </w:pPr>
    <w:rPr>
      <w:rFonts w:cs="Arial"/>
      <w:b/>
      <w:bCs/>
      <w:iCs/>
      <w:color w:val="3D4B67"/>
      <w:sz w:val="29"/>
      <w:szCs w:val="28"/>
    </w:rPr>
  </w:style>
  <w:style w:type="paragraph" w:styleId="Heading9">
    <w:name w:val="heading 9"/>
    <w:basedOn w:val="Normal"/>
    <w:next w:val="Normal"/>
    <w:link w:val="Heading9Char"/>
    <w:uiPriority w:val="9"/>
    <w:qFormat/>
    <w:rsid w:val="00577605"/>
    <w:pPr>
      <w:keepNext/>
      <w:spacing w:before="120" w:after="120" w:line="240" w:lineRule="auto"/>
      <w:jc w:val="right"/>
      <w:outlineLvl w:val="8"/>
    </w:pPr>
    <w:rPr>
      <w:rFonts w:cs="Arial"/>
      <w:color w:val="3D4B67"/>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605"/>
    <w:rPr>
      <w:rFonts w:ascii="Consolas" w:eastAsia="Times New Roman" w:hAnsi="Consolas" w:cs="Arial"/>
      <w:bCs/>
      <w:caps/>
      <w:color w:val="3D4B67"/>
      <w:kern w:val="32"/>
      <w:sz w:val="32"/>
      <w:szCs w:val="36"/>
      <w:lang w:eastAsia="en-AU"/>
    </w:rPr>
  </w:style>
  <w:style w:type="character" w:customStyle="1" w:styleId="Heading2Char">
    <w:name w:val="Heading 2 Char"/>
    <w:basedOn w:val="DefaultParagraphFont"/>
    <w:link w:val="Heading2"/>
    <w:uiPriority w:val="9"/>
    <w:rsid w:val="00577605"/>
    <w:rPr>
      <w:rFonts w:ascii="Corbel" w:eastAsia="Times New Roman" w:hAnsi="Corbel" w:cs="Arial"/>
      <w:b/>
      <w:bCs/>
      <w:iCs/>
      <w:color w:val="3D4B67"/>
      <w:sz w:val="29"/>
      <w:szCs w:val="28"/>
      <w:lang w:eastAsia="en-AU"/>
    </w:rPr>
  </w:style>
  <w:style w:type="character" w:customStyle="1" w:styleId="Heading9Char">
    <w:name w:val="Heading 9 Char"/>
    <w:basedOn w:val="DefaultParagraphFont"/>
    <w:link w:val="Heading9"/>
    <w:uiPriority w:val="9"/>
    <w:rsid w:val="00577605"/>
    <w:rPr>
      <w:rFonts w:ascii="Corbel" w:eastAsia="Times New Roman" w:hAnsi="Corbel" w:cs="Arial"/>
      <w:color w:val="3D4B67"/>
      <w:sz w:val="36"/>
      <w:lang w:eastAsia="en-AU"/>
    </w:rPr>
  </w:style>
  <w:style w:type="paragraph" w:customStyle="1" w:styleId="SingleParagraph">
    <w:name w:val="Single Paragraph"/>
    <w:basedOn w:val="Normal"/>
    <w:rsid w:val="00577605"/>
    <w:pPr>
      <w:spacing w:after="0"/>
    </w:pPr>
  </w:style>
  <w:style w:type="character" w:customStyle="1" w:styleId="Bold">
    <w:name w:val="Bold"/>
    <w:rsid w:val="00577605"/>
    <w:rPr>
      <w:b/>
    </w:rPr>
  </w:style>
  <w:style w:type="paragraph" w:customStyle="1" w:styleId="FooterEven">
    <w:name w:val="Footer Even"/>
    <w:basedOn w:val="Footer"/>
    <w:rsid w:val="00577605"/>
    <w:pPr>
      <w:tabs>
        <w:tab w:val="clear" w:pos="4513"/>
        <w:tab w:val="clear" w:pos="9026"/>
      </w:tabs>
      <w:jc w:val="left"/>
    </w:pPr>
    <w:rPr>
      <w:color w:val="3D4B67"/>
      <w:sz w:val="18"/>
    </w:rPr>
  </w:style>
  <w:style w:type="paragraph" w:styleId="Header">
    <w:name w:val="header"/>
    <w:basedOn w:val="Normal"/>
    <w:link w:val="HeaderChar"/>
    <w:uiPriority w:val="99"/>
    <w:rsid w:val="00577605"/>
    <w:pPr>
      <w:keepNext/>
      <w:spacing w:after="0" w:line="240" w:lineRule="auto"/>
      <w:jc w:val="left"/>
    </w:pPr>
    <w:rPr>
      <w:color w:val="3D4B67"/>
      <w:sz w:val="18"/>
    </w:rPr>
  </w:style>
  <w:style w:type="character" w:customStyle="1" w:styleId="HeaderChar">
    <w:name w:val="Header Char"/>
    <w:basedOn w:val="DefaultParagraphFont"/>
    <w:link w:val="Header"/>
    <w:uiPriority w:val="99"/>
    <w:rsid w:val="00577605"/>
    <w:rPr>
      <w:rFonts w:ascii="Corbel" w:eastAsia="Times New Roman" w:hAnsi="Corbel" w:cs="Times New Roman"/>
      <w:color w:val="3D4B67"/>
      <w:sz w:val="18"/>
      <w:szCs w:val="20"/>
      <w:lang w:eastAsia="en-AU"/>
    </w:rPr>
  </w:style>
  <w:style w:type="paragraph" w:customStyle="1" w:styleId="HeaderOdd">
    <w:name w:val="Header Odd"/>
    <w:basedOn w:val="Header"/>
    <w:rsid w:val="00577605"/>
    <w:pPr>
      <w:jc w:val="right"/>
    </w:pPr>
  </w:style>
  <w:style w:type="paragraph" w:customStyle="1" w:styleId="Normalnumbered">
    <w:name w:val="Normal numbered"/>
    <w:basedOn w:val="Normal"/>
    <w:link w:val="NormalnumberedChar"/>
    <w:uiPriority w:val="99"/>
    <w:rsid w:val="00577605"/>
  </w:style>
  <w:style w:type="paragraph" w:styleId="Subtitle">
    <w:name w:val="Subtitle"/>
    <w:basedOn w:val="Normal"/>
    <w:link w:val="SubtitleChar"/>
    <w:uiPriority w:val="11"/>
    <w:qFormat/>
    <w:rsid w:val="00577605"/>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rsid w:val="00577605"/>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577605"/>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rsid w:val="00577605"/>
    <w:rPr>
      <w:rFonts w:ascii="Corbel" w:eastAsia="Times New Roman" w:hAnsi="Corbel" w:cs="Times New Roman"/>
      <w:color w:val="3D4B67"/>
      <w:sz w:val="72"/>
      <w:szCs w:val="48"/>
      <w:lang w:eastAsia="ja-JP"/>
    </w:rPr>
  </w:style>
  <w:style w:type="character" w:styleId="PageNumber">
    <w:name w:val="page number"/>
    <w:basedOn w:val="DefaultParagraphFont"/>
    <w:uiPriority w:val="99"/>
    <w:rsid w:val="00577605"/>
    <w:rPr>
      <w:rFonts w:cs="Times New Roman"/>
    </w:rPr>
  </w:style>
  <w:style w:type="paragraph" w:customStyle="1" w:styleId="Position">
    <w:name w:val="Position"/>
    <w:basedOn w:val="Normal"/>
    <w:rsid w:val="00577605"/>
    <w:pPr>
      <w:spacing w:after="120"/>
    </w:pPr>
    <w:rPr>
      <w:bCs/>
      <w:sz w:val="20"/>
    </w:rPr>
  </w:style>
  <w:style w:type="paragraph" w:customStyle="1" w:styleId="ScheduleNumberedPara">
    <w:name w:val="ScheduleNumberedPara"/>
    <w:basedOn w:val="Normalnumbered"/>
    <w:link w:val="ScheduleNumberedParaChar"/>
    <w:rsid w:val="00577605"/>
  </w:style>
  <w:style w:type="character" w:customStyle="1" w:styleId="NormalnumberedChar">
    <w:name w:val="Normal numbered Char"/>
    <w:link w:val="Normalnumbered"/>
    <w:uiPriority w:val="99"/>
    <w:locked/>
    <w:rsid w:val="00577605"/>
    <w:rPr>
      <w:rFonts w:ascii="Corbel" w:eastAsia="Times New Roman" w:hAnsi="Corbel" w:cs="Times New Roman"/>
      <w:color w:val="000000"/>
      <w:sz w:val="23"/>
      <w:szCs w:val="20"/>
      <w:lang w:eastAsia="en-AU"/>
    </w:rPr>
  </w:style>
  <w:style w:type="character" w:customStyle="1" w:styleId="ScheduleNumberedParaChar">
    <w:name w:val="ScheduleNumberedPara Char"/>
    <w:link w:val="ScheduleNumberedPara"/>
    <w:locked/>
    <w:rsid w:val="00577605"/>
    <w:rPr>
      <w:rFonts w:ascii="Corbel" w:eastAsia="Times New Roman" w:hAnsi="Corbel" w:cs="Times New Roman"/>
      <w:color w:val="000000"/>
      <w:sz w:val="23"/>
      <w:szCs w:val="20"/>
      <w:lang w:eastAsia="en-AU"/>
    </w:rPr>
  </w:style>
  <w:style w:type="paragraph" w:styleId="Footer">
    <w:name w:val="footer"/>
    <w:basedOn w:val="Normal"/>
    <w:link w:val="FooterChar"/>
    <w:uiPriority w:val="99"/>
    <w:unhideWhenUsed/>
    <w:rsid w:val="00577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605"/>
    <w:rPr>
      <w:rFonts w:ascii="Corbel" w:eastAsia="Times New Roman" w:hAnsi="Corbel" w:cs="Times New Roman"/>
      <w:color w:val="000000"/>
      <w:sz w:val="23"/>
      <w:szCs w:val="20"/>
      <w:lang w:eastAsia="en-AU"/>
    </w:rPr>
  </w:style>
  <w:style w:type="paragraph" w:styleId="BalloonText">
    <w:name w:val="Balloon Text"/>
    <w:basedOn w:val="Normal"/>
    <w:link w:val="BalloonTextChar"/>
    <w:uiPriority w:val="99"/>
    <w:semiHidden/>
    <w:unhideWhenUsed/>
    <w:rsid w:val="00192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4C4"/>
    <w:rPr>
      <w:rFonts w:ascii="Tahoma" w:eastAsia="Times New Roman" w:hAnsi="Tahoma" w:cs="Tahoma"/>
      <w:color w:val="000000"/>
      <w:sz w:val="16"/>
      <w:szCs w:val="16"/>
      <w:lang w:eastAsia="en-AU"/>
    </w:rPr>
  </w:style>
  <w:style w:type="table" w:styleId="TableGrid">
    <w:name w:val="Table Grid"/>
    <w:basedOn w:val="TableNormal"/>
    <w:uiPriority w:val="39"/>
    <w:rsid w:val="00D61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Use Case List Paragraph,standard lewis,CDHP List Paragraph,List Paragraph11"/>
    <w:basedOn w:val="Normal"/>
    <w:link w:val="ListParagraphChar"/>
    <w:uiPriority w:val="34"/>
    <w:qFormat/>
    <w:rsid w:val="00BB7FF4"/>
    <w:pPr>
      <w:ind w:left="720"/>
      <w:contextualSpacing/>
    </w:pPr>
  </w:style>
  <w:style w:type="paragraph" w:styleId="EndnoteText">
    <w:name w:val="endnote text"/>
    <w:basedOn w:val="Normal"/>
    <w:link w:val="EndnoteTextChar"/>
    <w:uiPriority w:val="99"/>
    <w:unhideWhenUsed/>
    <w:rsid w:val="001D6C01"/>
    <w:pPr>
      <w:spacing w:before="120" w:after="0" w:line="288" w:lineRule="auto"/>
      <w:jc w:val="left"/>
    </w:pPr>
    <w:rPr>
      <w:rFonts w:ascii="Arial" w:eastAsia="Calibri" w:hAnsi="Arial"/>
      <w:color w:val="auto"/>
      <w:sz w:val="20"/>
      <w:lang w:val="en-US" w:eastAsia="en-US"/>
    </w:rPr>
  </w:style>
  <w:style w:type="character" w:customStyle="1" w:styleId="EndnoteTextChar">
    <w:name w:val="Endnote Text Char"/>
    <w:basedOn w:val="DefaultParagraphFont"/>
    <w:link w:val="EndnoteText"/>
    <w:uiPriority w:val="99"/>
    <w:rsid w:val="001D6C01"/>
    <w:rPr>
      <w:rFonts w:ascii="Arial" w:eastAsia="Calibri" w:hAnsi="Arial" w:cs="Times New Roman"/>
      <w:sz w:val="20"/>
      <w:szCs w:val="20"/>
      <w:lang w:val="en-US"/>
    </w:rPr>
  </w:style>
  <w:style w:type="character" w:styleId="EndnoteReference">
    <w:name w:val="endnote reference"/>
    <w:uiPriority w:val="99"/>
    <w:semiHidden/>
    <w:unhideWhenUsed/>
    <w:rsid w:val="001D6C01"/>
    <w:rPr>
      <w:vertAlign w:val="superscript"/>
    </w:rPr>
  </w:style>
  <w:style w:type="character" w:styleId="Hyperlink">
    <w:name w:val="Hyperlink"/>
    <w:uiPriority w:val="99"/>
    <w:qFormat/>
    <w:rsid w:val="001D6C01"/>
    <w:rPr>
      <w:rFonts w:ascii="Arial" w:hAnsi="Arial"/>
      <w:color w:val="0000FF"/>
      <w:sz w:val="20"/>
      <w:u w:val="single"/>
    </w:rPr>
  </w:style>
  <w:style w:type="paragraph" w:styleId="CommentText">
    <w:name w:val="annotation text"/>
    <w:basedOn w:val="Normal"/>
    <w:link w:val="CommentTextChar"/>
    <w:uiPriority w:val="99"/>
    <w:unhideWhenUsed/>
    <w:rsid w:val="00247436"/>
    <w:pPr>
      <w:spacing w:line="240" w:lineRule="auto"/>
    </w:pPr>
    <w:rPr>
      <w:sz w:val="20"/>
    </w:rPr>
  </w:style>
  <w:style w:type="character" w:customStyle="1" w:styleId="CommentTextChar">
    <w:name w:val="Comment Text Char"/>
    <w:basedOn w:val="DefaultParagraphFont"/>
    <w:link w:val="CommentText"/>
    <w:uiPriority w:val="99"/>
    <w:rsid w:val="00247436"/>
    <w:rPr>
      <w:rFonts w:ascii="Corbel" w:eastAsia="Times New Roman" w:hAnsi="Corbel" w:cs="Times New Roman"/>
      <w:color w:val="000000"/>
      <w:sz w:val="20"/>
      <w:szCs w:val="20"/>
      <w:lang w:eastAsia="en-AU"/>
    </w:rPr>
  </w:style>
  <w:style w:type="character" w:styleId="CommentReference">
    <w:name w:val="annotation reference"/>
    <w:uiPriority w:val="99"/>
    <w:semiHidden/>
    <w:unhideWhenUsed/>
    <w:rsid w:val="00247436"/>
    <w:rPr>
      <w:sz w:val="16"/>
      <w:szCs w:val="16"/>
    </w:rPr>
  </w:style>
  <w:style w:type="paragraph" w:styleId="CommentSubject">
    <w:name w:val="annotation subject"/>
    <w:basedOn w:val="CommentText"/>
    <w:next w:val="CommentText"/>
    <w:link w:val="CommentSubjectChar"/>
    <w:uiPriority w:val="99"/>
    <w:semiHidden/>
    <w:unhideWhenUsed/>
    <w:rsid w:val="007B4BBF"/>
    <w:rPr>
      <w:b/>
      <w:bCs/>
    </w:rPr>
  </w:style>
  <w:style w:type="character" w:customStyle="1" w:styleId="CommentSubjectChar">
    <w:name w:val="Comment Subject Char"/>
    <w:basedOn w:val="CommentTextChar"/>
    <w:link w:val="CommentSubject"/>
    <w:uiPriority w:val="99"/>
    <w:semiHidden/>
    <w:rsid w:val="007B4BBF"/>
    <w:rPr>
      <w:rFonts w:ascii="Corbel" w:eastAsia="Times New Roman" w:hAnsi="Corbel" w:cs="Times New Roman"/>
      <w:b/>
      <w:bCs/>
      <w:color w:val="000000"/>
      <w:sz w:val="20"/>
      <w:szCs w:val="20"/>
      <w:lang w:eastAsia="en-AU"/>
    </w:rPr>
  </w:style>
  <w:style w:type="paragraph" w:styleId="Revision">
    <w:name w:val="Revision"/>
    <w:hidden/>
    <w:uiPriority w:val="99"/>
    <w:semiHidden/>
    <w:rsid w:val="004351F3"/>
    <w:pPr>
      <w:spacing w:after="0" w:line="240" w:lineRule="auto"/>
    </w:pPr>
    <w:rPr>
      <w:rFonts w:ascii="Corbel" w:eastAsia="Times New Roman" w:hAnsi="Corbel" w:cs="Times New Roman"/>
      <w:color w:val="000000"/>
      <w:sz w:val="23"/>
      <w:szCs w:val="20"/>
      <w:lang w:eastAsia="en-AU"/>
    </w:rPr>
  </w:style>
  <w:style w:type="paragraph" w:styleId="NoSpacing">
    <w:name w:val="No Spacing"/>
    <w:uiPriority w:val="1"/>
    <w:qFormat/>
    <w:rsid w:val="00AE620F"/>
    <w:pPr>
      <w:spacing w:after="0" w:line="240" w:lineRule="auto"/>
      <w:jc w:val="both"/>
    </w:pPr>
    <w:rPr>
      <w:rFonts w:ascii="Corbel" w:eastAsia="Times New Roman" w:hAnsi="Corbel" w:cs="Times New Roman"/>
      <w:color w:val="000000"/>
      <w:sz w:val="23"/>
      <w:szCs w:val="20"/>
      <w:lang w:eastAsia="en-AU"/>
    </w:rPr>
  </w:style>
  <w:style w:type="paragraph" w:customStyle="1" w:styleId="schedulenumberedpara0">
    <w:name w:val="schedulenumberedpara"/>
    <w:basedOn w:val="Normal"/>
    <w:rsid w:val="003A3886"/>
    <w:pPr>
      <w:spacing w:line="260" w:lineRule="atLeast"/>
    </w:pPr>
    <w:rPr>
      <w:rFonts w:eastAsiaTheme="minorHAnsi"/>
      <w:szCs w:val="23"/>
    </w:rPr>
  </w:style>
  <w:style w:type="character" w:customStyle="1" w:styleId="ListParagraphChar">
    <w:name w:val="List Paragraph Char"/>
    <w:aliases w:val="Recommendation Char,List Paragraph1 Char,Use Case List Paragraph Char,standard lewis Char,CDHP List Paragraph Char,List Paragraph11 Char"/>
    <w:link w:val="ListParagraph"/>
    <w:uiPriority w:val="34"/>
    <w:locked/>
    <w:rsid w:val="00492B4E"/>
    <w:rPr>
      <w:rFonts w:ascii="Corbel" w:eastAsia="Times New Roman" w:hAnsi="Corbel" w:cs="Times New Roman"/>
      <w:color w:val="000000"/>
      <w:sz w:val="23"/>
      <w:szCs w:val="20"/>
      <w:lang w:eastAsia="en-AU"/>
    </w:rPr>
  </w:style>
  <w:style w:type="paragraph" w:styleId="NormalWeb">
    <w:name w:val="Normal (Web)"/>
    <w:basedOn w:val="Normal"/>
    <w:uiPriority w:val="99"/>
    <w:unhideWhenUsed/>
    <w:rsid w:val="00B63CF3"/>
    <w:pPr>
      <w:spacing w:before="100" w:beforeAutospacing="1" w:after="100" w:afterAutospacing="1" w:line="240" w:lineRule="auto"/>
      <w:jc w:val="left"/>
    </w:pPr>
    <w:rPr>
      <w:rFonts w:ascii="Times New Roman" w:hAnsi="Times New Roman"/>
      <w:color w:val="auto"/>
      <w:sz w:val="24"/>
      <w:szCs w:val="24"/>
    </w:rPr>
  </w:style>
  <w:style w:type="paragraph" w:styleId="FootnoteText">
    <w:name w:val="footnote text"/>
    <w:basedOn w:val="Normal"/>
    <w:link w:val="FootnoteTextChar"/>
    <w:uiPriority w:val="99"/>
    <w:semiHidden/>
    <w:unhideWhenUsed/>
    <w:rsid w:val="008121AD"/>
    <w:pPr>
      <w:spacing w:after="0" w:line="240" w:lineRule="auto"/>
    </w:pPr>
    <w:rPr>
      <w:sz w:val="20"/>
    </w:rPr>
  </w:style>
  <w:style w:type="character" w:customStyle="1" w:styleId="FootnoteTextChar">
    <w:name w:val="Footnote Text Char"/>
    <w:basedOn w:val="DefaultParagraphFont"/>
    <w:link w:val="FootnoteText"/>
    <w:uiPriority w:val="99"/>
    <w:semiHidden/>
    <w:rsid w:val="008121AD"/>
    <w:rPr>
      <w:rFonts w:ascii="Corbel" w:eastAsia="Times New Roman" w:hAnsi="Corbel" w:cs="Times New Roman"/>
      <w:color w:val="000000"/>
      <w:sz w:val="20"/>
      <w:szCs w:val="20"/>
      <w:lang w:eastAsia="en-AU"/>
    </w:rPr>
  </w:style>
  <w:style w:type="character" w:styleId="FootnoteReference">
    <w:name w:val="footnote reference"/>
    <w:basedOn w:val="DefaultParagraphFont"/>
    <w:uiPriority w:val="99"/>
    <w:semiHidden/>
    <w:unhideWhenUsed/>
    <w:rsid w:val="008121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76468">
      <w:bodyDiv w:val="1"/>
      <w:marLeft w:val="0"/>
      <w:marRight w:val="0"/>
      <w:marTop w:val="0"/>
      <w:marBottom w:val="0"/>
      <w:divBdr>
        <w:top w:val="none" w:sz="0" w:space="0" w:color="auto"/>
        <w:left w:val="none" w:sz="0" w:space="0" w:color="auto"/>
        <w:bottom w:val="none" w:sz="0" w:space="0" w:color="auto"/>
        <w:right w:val="none" w:sz="0" w:space="0" w:color="auto"/>
      </w:divBdr>
    </w:div>
    <w:div w:id="69012890">
      <w:bodyDiv w:val="1"/>
      <w:marLeft w:val="0"/>
      <w:marRight w:val="0"/>
      <w:marTop w:val="0"/>
      <w:marBottom w:val="0"/>
      <w:divBdr>
        <w:top w:val="none" w:sz="0" w:space="0" w:color="auto"/>
        <w:left w:val="none" w:sz="0" w:space="0" w:color="auto"/>
        <w:bottom w:val="none" w:sz="0" w:space="0" w:color="auto"/>
        <w:right w:val="none" w:sz="0" w:space="0" w:color="auto"/>
      </w:divBdr>
    </w:div>
    <w:div w:id="161358780">
      <w:bodyDiv w:val="1"/>
      <w:marLeft w:val="0"/>
      <w:marRight w:val="0"/>
      <w:marTop w:val="0"/>
      <w:marBottom w:val="0"/>
      <w:divBdr>
        <w:top w:val="none" w:sz="0" w:space="0" w:color="auto"/>
        <w:left w:val="none" w:sz="0" w:space="0" w:color="auto"/>
        <w:bottom w:val="none" w:sz="0" w:space="0" w:color="auto"/>
        <w:right w:val="none" w:sz="0" w:space="0" w:color="auto"/>
      </w:divBdr>
    </w:div>
    <w:div w:id="482965665">
      <w:bodyDiv w:val="1"/>
      <w:marLeft w:val="0"/>
      <w:marRight w:val="0"/>
      <w:marTop w:val="0"/>
      <w:marBottom w:val="0"/>
      <w:divBdr>
        <w:top w:val="none" w:sz="0" w:space="0" w:color="auto"/>
        <w:left w:val="none" w:sz="0" w:space="0" w:color="auto"/>
        <w:bottom w:val="none" w:sz="0" w:space="0" w:color="auto"/>
        <w:right w:val="none" w:sz="0" w:space="0" w:color="auto"/>
      </w:divBdr>
    </w:div>
    <w:div w:id="523055128">
      <w:bodyDiv w:val="1"/>
      <w:marLeft w:val="0"/>
      <w:marRight w:val="0"/>
      <w:marTop w:val="0"/>
      <w:marBottom w:val="0"/>
      <w:divBdr>
        <w:top w:val="none" w:sz="0" w:space="0" w:color="auto"/>
        <w:left w:val="none" w:sz="0" w:space="0" w:color="auto"/>
        <w:bottom w:val="none" w:sz="0" w:space="0" w:color="auto"/>
        <w:right w:val="none" w:sz="0" w:space="0" w:color="auto"/>
      </w:divBdr>
    </w:div>
    <w:div w:id="541870271">
      <w:bodyDiv w:val="1"/>
      <w:marLeft w:val="0"/>
      <w:marRight w:val="0"/>
      <w:marTop w:val="0"/>
      <w:marBottom w:val="0"/>
      <w:divBdr>
        <w:top w:val="none" w:sz="0" w:space="0" w:color="auto"/>
        <w:left w:val="none" w:sz="0" w:space="0" w:color="auto"/>
        <w:bottom w:val="none" w:sz="0" w:space="0" w:color="auto"/>
        <w:right w:val="none" w:sz="0" w:space="0" w:color="auto"/>
      </w:divBdr>
    </w:div>
    <w:div w:id="639847900">
      <w:bodyDiv w:val="1"/>
      <w:marLeft w:val="0"/>
      <w:marRight w:val="0"/>
      <w:marTop w:val="0"/>
      <w:marBottom w:val="0"/>
      <w:divBdr>
        <w:top w:val="none" w:sz="0" w:space="0" w:color="auto"/>
        <w:left w:val="none" w:sz="0" w:space="0" w:color="auto"/>
        <w:bottom w:val="none" w:sz="0" w:space="0" w:color="auto"/>
        <w:right w:val="none" w:sz="0" w:space="0" w:color="auto"/>
      </w:divBdr>
    </w:div>
    <w:div w:id="707755203">
      <w:bodyDiv w:val="1"/>
      <w:marLeft w:val="0"/>
      <w:marRight w:val="0"/>
      <w:marTop w:val="0"/>
      <w:marBottom w:val="0"/>
      <w:divBdr>
        <w:top w:val="none" w:sz="0" w:space="0" w:color="auto"/>
        <w:left w:val="none" w:sz="0" w:space="0" w:color="auto"/>
        <w:bottom w:val="none" w:sz="0" w:space="0" w:color="auto"/>
        <w:right w:val="none" w:sz="0" w:space="0" w:color="auto"/>
      </w:divBdr>
    </w:div>
    <w:div w:id="809057067">
      <w:bodyDiv w:val="1"/>
      <w:marLeft w:val="0"/>
      <w:marRight w:val="0"/>
      <w:marTop w:val="0"/>
      <w:marBottom w:val="0"/>
      <w:divBdr>
        <w:top w:val="none" w:sz="0" w:space="0" w:color="auto"/>
        <w:left w:val="none" w:sz="0" w:space="0" w:color="auto"/>
        <w:bottom w:val="none" w:sz="0" w:space="0" w:color="auto"/>
        <w:right w:val="none" w:sz="0" w:space="0" w:color="auto"/>
      </w:divBdr>
    </w:div>
    <w:div w:id="859777571">
      <w:bodyDiv w:val="1"/>
      <w:marLeft w:val="0"/>
      <w:marRight w:val="0"/>
      <w:marTop w:val="0"/>
      <w:marBottom w:val="0"/>
      <w:divBdr>
        <w:top w:val="none" w:sz="0" w:space="0" w:color="auto"/>
        <w:left w:val="none" w:sz="0" w:space="0" w:color="auto"/>
        <w:bottom w:val="none" w:sz="0" w:space="0" w:color="auto"/>
        <w:right w:val="none" w:sz="0" w:space="0" w:color="auto"/>
      </w:divBdr>
    </w:div>
    <w:div w:id="1001663540">
      <w:bodyDiv w:val="1"/>
      <w:marLeft w:val="0"/>
      <w:marRight w:val="0"/>
      <w:marTop w:val="0"/>
      <w:marBottom w:val="0"/>
      <w:divBdr>
        <w:top w:val="none" w:sz="0" w:space="0" w:color="auto"/>
        <w:left w:val="none" w:sz="0" w:space="0" w:color="auto"/>
        <w:bottom w:val="none" w:sz="0" w:space="0" w:color="auto"/>
        <w:right w:val="none" w:sz="0" w:space="0" w:color="auto"/>
      </w:divBdr>
    </w:div>
    <w:div w:id="1017124393">
      <w:bodyDiv w:val="1"/>
      <w:marLeft w:val="0"/>
      <w:marRight w:val="0"/>
      <w:marTop w:val="0"/>
      <w:marBottom w:val="0"/>
      <w:divBdr>
        <w:top w:val="none" w:sz="0" w:space="0" w:color="auto"/>
        <w:left w:val="none" w:sz="0" w:space="0" w:color="auto"/>
        <w:bottom w:val="none" w:sz="0" w:space="0" w:color="auto"/>
        <w:right w:val="none" w:sz="0" w:space="0" w:color="auto"/>
      </w:divBdr>
    </w:div>
    <w:div w:id="1232232868">
      <w:bodyDiv w:val="1"/>
      <w:marLeft w:val="0"/>
      <w:marRight w:val="0"/>
      <w:marTop w:val="0"/>
      <w:marBottom w:val="0"/>
      <w:divBdr>
        <w:top w:val="none" w:sz="0" w:space="0" w:color="auto"/>
        <w:left w:val="none" w:sz="0" w:space="0" w:color="auto"/>
        <w:bottom w:val="none" w:sz="0" w:space="0" w:color="auto"/>
        <w:right w:val="none" w:sz="0" w:space="0" w:color="auto"/>
      </w:divBdr>
    </w:div>
    <w:div w:id="1522667693">
      <w:bodyDiv w:val="1"/>
      <w:marLeft w:val="0"/>
      <w:marRight w:val="0"/>
      <w:marTop w:val="0"/>
      <w:marBottom w:val="0"/>
      <w:divBdr>
        <w:top w:val="none" w:sz="0" w:space="0" w:color="auto"/>
        <w:left w:val="none" w:sz="0" w:space="0" w:color="auto"/>
        <w:bottom w:val="none" w:sz="0" w:space="0" w:color="auto"/>
        <w:right w:val="none" w:sz="0" w:space="0" w:color="auto"/>
      </w:divBdr>
    </w:div>
    <w:div w:id="1572109488">
      <w:bodyDiv w:val="1"/>
      <w:marLeft w:val="0"/>
      <w:marRight w:val="0"/>
      <w:marTop w:val="0"/>
      <w:marBottom w:val="0"/>
      <w:divBdr>
        <w:top w:val="none" w:sz="0" w:space="0" w:color="auto"/>
        <w:left w:val="none" w:sz="0" w:space="0" w:color="auto"/>
        <w:bottom w:val="none" w:sz="0" w:space="0" w:color="auto"/>
        <w:right w:val="none" w:sz="0" w:space="0" w:color="auto"/>
      </w:divBdr>
    </w:div>
    <w:div w:id="201969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5107</Words>
  <Characters>29111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2021-04-29T23:33:00Z</dcterms:created>
  <dcterms:modified xsi:type="dcterms:W3CDTF">2021-04-30T00:04:00Z</dcterms:modified>
</cp:coreProperties>
</file>