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60D2" w14:textId="55A40858" w:rsidR="006538BC" w:rsidRPr="00904697" w:rsidRDefault="00F52972" w:rsidP="00E248BC">
      <w:pPr>
        <w:pStyle w:val="Heading1"/>
        <w:jc w:val="right"/>
        <w:rPr>
          <w:rFonts w:asciiTheme="minorHAnsi" w:hAnsiTheme="minorHAnsi" w:cstheme="minorHAnsi"/>
          <w:sz w:val="34"/>
          <w:szCs w:val="22"/>
        </w:rPr>
      </w:pPr>
      <w:bookmarkStart w:id="0" w:name="_GoBack"/>
      <w:bookmarkEnd w:id="0"/>
      <w:r w:rsidRPr="00904697">
        <w:rPr>
          <w:rFonts w:asciiTheme="minorHAnsi" w:hAnsiTheme="minorHAnsi" w:cstheme="minorHAnsi"/>
          <w:caps w:val="0"/>
          <w:sz w:val="34"/>
          <w:szCs w:val="22"/>
        </w:rPr>
        <w:t>S</w:t>
      </w:r>
      <w:r w:rsidR="009029DA" w:rsidRPr="00904697">
        <w:rPr>
          <w:rFonts w:asciiTheme="minorHAnsi" w:hAnsiTheme="minorHAnsi" w:cstheme="minorHAnsi"/>
          <w:caps w:val="0"/>
          <w:sz w:val="34"/>
          <w:szCs w:val="22"/>
        </w:rPr>
        <w:t>chedule</w:t>
      </w:r>
      <w:r w:rsidR="00B53E26" w:rsidRPr="00904697">
        <w:rPr>
          <w:rFonts w:asciiTheme="minorHAnsi" w:hAnsiTheme="minorHAnsi" w:cstheme="minorHAnsi"/>
          <w:sz w:val="34"/>
          <w:szCs w:val="22"/>
        </w:rPr>
        <w:t xml:space="preserve"> </w:t>
      </w:r>
      <w:r w:rsidR="0082403D">
        <w:rPr>
          <w:rFonts w:asciiTheme="minorHAnsi" w:hAnsiTheme="minorHAnsi" w:cstheme="minorHAnsi"/>
          <w:sz w:val="34"/>
          <w:szCs w:val="22"/>
        </w:rPr>
        <w:t>a</w:t>
      </w:r>
    </w:p>
    <w:p w14:paraId="03D9D457" w14:textId="610C4DDB" w:rsidR="00F870D1" w:rsidRPr="00B53E26" w:rsidRDefault="00875444" w:rsidP="00E248BC">
      <w:pPr>
        <w:pStyle w:val="Title"/>
        <w:spacing w:before="240"/>
        <w:rPr>
          <w:rFonts w:ascii="Consolas" w:hAnsi="Consolas" w:cstheme="minorHAnsi"/>
          <w:sz w:val="56"/>
          <w:szCs w:val="56"/>
        </w:rPr>
      </w:pPr>
      <w:r w:rsidRPr="00B53E26">
        <w:rPr>
          <w:rFonts w:ascii="Consolas" w:hAnsi="Consolas" w:cstheme="minorHAnsi"/>
          <w:sz w:val="56"/>
          <w:szCs w:val="56"/>
        </w:rPr>
        <w:t>Stage 1 Funding</w:t>
      </w:r>
      <w:r w:rsidR="00352B22" w:rsidRPr="00B53E26">
        <w:rPr>
          <w:rFonts w:ascii="Consolas" w:hAnsi="Consolas" w:cstheme="minorHAnsi"/>
          <w:sz w:val="56"/>
          <w:szCs w:val="56"/>
        </w:rPr>
        <w:t xml:space="preserve"> for </w:t>
      </w:r>
      <w:r w:rsidR="00A54595">
        <w:rPr>
          <w:rFonts w:ascii="Consolas" w:hAnsi="Consolas" w:cstheme="minorHAnsi"/>
          <w:sz w:val="56"/>
          <w:szCs w:val="56"/>
        </w:rPr>
        <w:t>N</w:t>
      </w:r>
      <w:r w:rsidR="0069148C">
        <w:rPr>
          <w:rFonts w:ascii="Consolas" w:hAnsi="Consolas" w:cstheme="minorHAnsi"/>
          <w:sz w:val="56"/>
          <w:szCs w:val="56"/>
        </w:rPr>
        <w:t>ew </w:t>
      </w:r>
      <w:r w:rsidR="00A54595">
        <w:rPr>
          <w:rFonts w:ascii="Consolas" w:hAnsi="Consolas" w:cstheme="minorHAnsi"/>
          <w:sz w:val="56"/>
          <w:szCs w:val="56"/>
        </w:rPr>
        <w:t>S</w:t>
      </w:r>
      <w:r w:rsidR="0069148C">
        <w:rPr>
          <w:rFonts w:ascii="Consolas" w:hAnsi="Consolas" w:cstheme="minorHAnsi"/>
          <w:sz w:val="56"/>
          <w:szCs w:val="56"/>
        </w:rPr>
        <w:t>outh </w:t>
      </w:r>
      <w:r w:rsidR="00A54595">
        <w:rPr>
          <w:rFonts w:ascii="Consolas" w:hAnsi="Consolas" w:cstheme="minorHAnsi"/>
          <w:sz w:val="56"/>
          <w:szCs w:val="56"/>
        </w:rPr>
        <w:t>W</w:t>
      </w:r>
      <w:r w:rsidR="0069148C">
        <w:rPr>
          <w:rFonts w:ascii="Consolas" w:hAnsi="Consolas" w:cstheme="minorHAnsi"/>
          <w:sz w:val="56"/>
          <w:szCs w:val="56"/>
        </w:rPr>
        <w:t xml:space="preserve">ales </w:t>
      </w:r>
      <w:r w:rsidR="00352B22" w:rsidRPr="00B53E26">
        <w:rPr>
          <w:rFonts w:ascii="Consolas" w:hAnsi="Consolas" w:cstheme="minorHAnsi"/>
          <w:sz w:val="56"/>
          <w:szCs w:val="56"/>
        </w:rPr>
        <w:t>S</w:t>
      </w:r>
      <w:r w:rsidR="008E0356" w:rsidRPr="00B53E26">
        <w:rPr>
          <w:rFonts w:ascii="Consolas" w:hAnsi="Consolas" w:cstheme="minorHAnsi"/>
          <w:sz w:val="56"/>
          <w:szCs w:val="56"/>
        </w:rPr>
        <w:t xml:space="preserve">upply </w:t>
      </w:r>
      <w:r w:rsidR="00960043" w:rsidRPr="00B53E26">
        <w:rPr>
          <w:rFonts w:ascii="Consolas" w:hAnsi="Consolas" w:cstheme="minorHAnsi"/>
          <w:sz w:val="56"/>
          <w:szCs w:val="56"/>
        </w:rPr>
        <w:t xml:space="preserve">and Constraints </w:t>
      </w:r>
      <w:r w:rsidR="008E0356" w:rsidRPr="00B53E26">
        <w:rPr>
          <w:rFonts w:ascii="Consolas" w:hAnsi="Consolas" w:cstheme="minorHAnsi"/>
          <w:sz w:val="56"/>
          <w:szCs w:val="56"/>
        </w:rPr>
        <w:t>Measure</w:t>
      </w:r>
      <w:r w:rsidRPr="00B53E26">
        <w:rPr>
          <w:rFonts w:ascii="Consolas" w:hAnsi="Consolas" w:cstheme="minorHAnsi"/>
          <w:sz w:val="56"/>
          <w:szCs w:val="56"/>
        </w:rPr>
        <w:t>s</w:t>
      </w:r>
    </w:p>
    <w:p w14:paraId="2D09FCEE" w14:textId="044B0DDF" w:rsidR="00B53285" w:rsidRPr="009C46B8" w:rsidRDefault="00B53285" w:rsidP="00E248BC">
      <w:pPr>
        <w:pStyle w:val="Subtitle"/>
        <w:numPr>
          <w:ilvl w:val="0"/>
          <w:numId w:val="0"/>
        </w:numPr>
        <w:spacing w:before="240" w:after="480" w:line="240" w:lineRule="auto"/>
        <w:rPr>
          <w:rFonts w:cstheme="minorHAnsi"/>
          <w:b/>
          <w:color w:val="C7823E"/>
          <w:spacing w:val="50"/>
          <w:lang w:eastAsia="ja-JP"/>
        </w:rPr>
      </w:pPr>
      <w:r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Project Agreement for </w:t>
      </w:r>
      <w:r w:rsidR="0054643C"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>Stage 1 funding</w:t>
      </w:r>
      <w:r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 for </w:t>
      </w:r>
      <w:r w:rsidR="00A85270"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SUSTAINABLE DIVERSION LIMITS (sdl) ADJUSTMENT </w:t>
      </w:r>
      <w:r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Supply </w:t>
      </w:r>
      <w:r w:rsidR="0072544A"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and constraints </w:t>
      </w:r>
      <w:r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>Measures in the Murray-Darling Basin</w:t>
      </w:r>
    </w:p>
    <w:p w14:paraId="66168E5A" w14:textId="7F0B51C5" w:rsidR="00EC1A15" w:rsidRPr="009C46B8" w:rsidRDefault="00EC1A15" w:rsidP="00980E8D">
      <w:pPr>
        <w:pStyle w:val="ScheduleNumberedPara"/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9C46B8">
        <w:rPr>
          <w:rFonts w:asciiTheme="minorHAnsi" w:hAnsiTheme="minorHAnsi" w:cstheme="minorHAnsi"/>
          <w:sz w:val="22"/>
          <w:szCs w:val="22"/>
        </w:rPr>
        <w:t>Th</w:t>
      </w:r>
      <w:r w:rsidR="00822244" w:rsidRPr="009C46B8">
        <w:rPr>
          <w:rFonts w:asciiTheme="minorHAnsi" w:hAnsiTheme="minorHAnsi" w:cstheme="minorHAnsi"/>
          <w:sz w:val="22"/>
          <w:szCs w:val="22"/>
        </w:rPr>
        <w:t>is Schedule has been developed in accordance with Clause 18</w:t>
      </w:r>
      <w:r w:rsidRPr="009C46B8">
        <w:rPr>
          <w:rFonts w:asciiTheme="minorHAnsi" w:hAnsiTheme="minorHAnsi" w:cstheme="minorHAnsi"/>
          <w:sz w:val="22"/>
          <w:szCs w:val="22"/>
        </w:rPr>
        <w:t xml:space="preserve"> </w:t>
      </w:r>
      <w:r w:rsidR="00822244" w:rsidRPr="009C46B8">
        <w:rPr>
          <w:rFonts w:asciiTheme="minorHAnsi" w:hAnsiTheme="minorHAnsi" w:cstheme="minorHAnsi"/>
          <w:sz w:val="22"/>
          <w:szCs w:val="22"/>
        </w:rPr>
        <w:t xml:space="preserve">of </w:t>
      </w:r>
      <w:r w:rsidRPr="009C46B8">
        <w:rPr>
          <w:rFonts w:asciiTheme="minorHAnsi" w:hAnsiTheme="minorHAnsi" w:cstheme="minorHAnsi"/>
          <w:sz w:val="22"/>
          <w:szCs w:val="22"/>
        </w:rPr>
        <w:t xml:space="preserve">the Project Agreement for </w:t>
      </w:r>
      <w:r w:rsidR="0054643C" w:rsidRPr="009C46B8">
        <w:rPr>
          <w:rFonts w:asciiTheme="minorHAnsi" w:hAnsiTheme="minorHAnsi" w:cstheme="minorHAnsi"/>
          <w:sz w:val="22"/>
          <w:szCs w:val="22"/>
        </w:rPr>
        <w:t xml:space="preserve">Stage 1 Funding </w:t>
      </w:r>
      <w:r w:rsidRPr="009C46B8">
        <w:rPr>
          <w:rFonts w:asciiTheme="minorHAnsi" w:hAnsiTheme="minorHAnsi" w:cstheme="minorHAnsi"/>
          <w:sz w:val="22"/>
          <w:szCs w:val="22"/>
        </w:rPr>
        <w:t xml:space="preserve">for </w:t>
      </w:r>
      <w:r w:rsidR="004C6F8F" w:rsidRPr="009C46B8">
        <w:rPr>
          <w:rFonts w:asciiTheme="minorHAnsi" w:hAnsiTheme="minorHAnsi" w:cstheme="minorHAnsi"/>
          <w:sz w:val="22"/>
          <w:szCs w:val="22"/>
        </w:rPr>
        <w:t xml:space="preserve">Sustainable Diversion Limits (SDL) Adjustment </w:t>
      </w:r>
      <w:r w:rsidRPr="009C46B8">
        <w:rPr>
          <w:rFonts w:asciiTheme="minorHAnsi" w:hAnsiTheme="minorHAnsi" w:cstheme="minorHAnsi"/>
          <w:sz w:val="22"/>
          <w:szCs w:val="22"/>
        </w:rPr>
        <w:t xml:space="preserve">Supply </w:t>
      </w:r>
      <w:r w:rsidR="0072544A" w:rsidRPr="009C46B8">
        <w:rPr>
          <w:rFonts w:asciiTheme="minorHAnsi" w:hAnsiTheme="minorHAnsi" w:cstheme="minorHAnsi"/>
          <w:sz w:val="22"/>
          <w:szCs w:val="22"/>
        </w:rPr>
        <w:t xml:space="preserve">and Constraints </w:t>
      </w:r>
      <w:r w:rsidRPr="009C46B8">
        <w:rPr>
          <w:rFonts w:asciiTheme="minorHAnsi" w:hAnsiTheme="minorHAnsi" w:cstheme="minorHAnsi"/>
          <w:sz w:val="22"/>
          <w:szCs w:val="22"/>
        </w:rPr>
        <w:t xml:space="preserve">Measures in the Murray-Darling Basin [the Agreement]. </w:t>
      </w:r>
    </w:p>
    <w:p w14:paraId="40CD17B8" w14:textId="1C638660" w:rsidR="00FA7F0F" w:rsidRDefault="00CE1733" w:rsidP="00FA7F0F">
      <w:pPr>
        <w:pStyle w:val="ScheduleNumberedPara"/>
        <w:numPr>
          <w:ilvl w:val="1"/>
          <w:numId w:val="8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</w:pPr>
      <w:r w:rsidRPr="009C46B8">
        <w:rPr>
          <w:rFonts w:asciiTheme="minorHAnsi" w:hAnsiTheme="minorHAnsi" w:cstheme="minorHAnsi"/>
          <w:sz w:val="22"/>
          <w:szCs w:val="22"/>
        </w:rPr>
        <w:t xml:space="preserve">This Schedule will commence </w:t>
      </w:r>
      <w:r w:rsidR="005F7997" w:rsidRPr="009C46B8">
        <w:rPr>
          <w:rFonts w:asciiTheme="minorHAnsi" w:hAnsiTheme="minorHAnsi" w:cstheme="minorHAnsi"/>
          <w:sz w:val="22"/>
          <w:szCs w:val="22"/>
        </w:rPr>
        <w:t>as soon as it agreed between</w:t>
      </w:r>
      <w:r w:rsidR="00A54595">
        <w:rPr>
          <w:rFonts w:asciiTheme="minorHAnsi" w:hAnsiTheme="minorHAnsi" w:cstheme="minorHAnsi"/>
          <w:sz w:val="22"/>
          <w:szCs w:val="22"/>
        </w:rPr>
        <w:t xml:space="preserve"> the Commonwealth and New South </w:t>
      </w:r>
      <w:r w:rsidR="005F7997" w:rsidRPr="009C46B8">
        <w:rPr>
          <w:rFonts w:asciiTheme="minorHAnsi" w:hAnsiTheme="minorHAnsi" w:cstheme="minorHAnsi"/>
          <w:sz w:val="22"/>
          <w:szCs w:val="22"/>
        </w:rPr>
        <w:t xml:space="preserve">Wales (NSW) </w:t>
      </w:r>
      <w:r w:rsidR="004D6DF6" w:rsidRPr="009C46B8">
        <w:rPr>
          <w:rFonts w:asciiTheme="minorHAnsi" w:hAnsiTheme="minorHAnsi" w:cstheme="minorHAnsi"/>
          <w:sz w:val="22"/>
          <w:szCs w:val="22"/>
        </w:rPr>
        <w:t>and will expire on 30 June 20</w:t>
      </w:r>
      <w:r w:rsidR="00875444" w:rsidRPr="009C46B8">
        <w:rPr>
          <w:rFonts w:asciiTheme="minorHAnsi" w:hAnsiTheme="minorHAnsi" w:cstheme="minorHAnsi"/>
          <w:sz w:val="22"/>
          <w:szCs w:val="22"/>
        </w:rPr>
        <w:t>2</w:t>
      </w:r>
      <w:r w:rsidR="005F7997" w:rsidRPr="009C46B8">
        <w:rPr>
          <w:rFonts w:asciiTheme="minorHAnsi" w:hAnsiTheme="minorHAnsi" w:cstheme="minorHAnsi"/>
          <w:sz w:val="22"/>
          <w:szCs w:val="22"/>
        </w:rPr>
        <w:t>2</w:t>
      </w:r>
      <w:r w:rsidR="00F44774" w:rsidRPr="009C46B8">
        <w:rPr>
          <w:rFonts w:asciiTheme="minorHAnsi" w:hAnsiTheme="minorHAnsi" w:cstheme="minorHAnsi"/>
          <w:sz w:val="22"/>
          <w:szCs w:val="22"/>
        </w:rPr>
        <w:t xml:space="preserve">, or </w:t>
      </w:r>
      <w:r w:rsidR="00A54595">
        <w:rPr>
          <w:rFonts w:asciiTheme="minorHAnsi" w:hAnsiTheme="minorHAnsi" w:cstheme="minorHAnsi"/>
          <w:sz w:val="22"/>
          <w:szCs w:val="22"/>
        </w:rPr>
        <w:t>on completion of agreed measures</w:t>
      </w:r>
      <w:r w:rsidR="00F44774" w:rsidRPr="009C46B8">
        <w:rPr>
          <w:rFonts w:asciiTheme="minorHAnsi" w:hAnsiTheme="minorHAnsi" w:cstheme="minorHAnsi"/>
          <w:sz w:val="22"/>
          <w:szCs w:val="22"/>
        </w:rPr>
        <w:t>, including final performance reporting and processing of final payments against milestones</w:t>
      </w:r>
      <w:r w:rsidRPr="009C46B8">
        <w:rPr>
          <w:rFonts w:asciiTheme="minorHAnsi" w:hAnsiTheme="minorHAnsi" w:cstheme="minorHAnsi"/>
          <w:sz w:val="22"/>
          <w:szCs w:val="22"/>
        </w:rPr>
        <w:t>.</w:t>
      </w:r>
      <w:r w:rsidR="00FA7F0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CBAF7ED" w14:textId="77777777" w:rsidR="00FA7F0F" w:rsidRPr="00C52BD9" w:rsidRDefault="00FA7F0F" w:rsidP="00FA7F0F">
      <w:pPr>
        <w:pStyle w:val="ScheduleNumberedPara"/>
        <w:numPr>
          <w:ilvl w:val="0"/>
          <w:numId w:val="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567"/>
      </w:pPr>
    </w:p>
    <w:p w14:paraId="621243EC" w14:textId="713BBF9B" w:rsidR="00B53E26" w:rsidRDefault="00B53E26" w:rsidP="00980E8D">
      <w:pPr>
        <w:pStyle w:val="ScheduleNumberedPara"/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Commonwealth will provide an estimated total financial contribution to NSW of up to $97.76 million in respect of this Schedule as shown in Table 1. All payments are GST exclusive.</w:t>
      </w:r>
      <w:r w:rsidR="009046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2F9DAE" w14:textId="77777777" w:rsidR="00B53E26" w:rsidRPr="009C46B8" w:rsidRDefault="00B53E26" w:rsidP="00B53E26">
      <w:pPr>
        <w:pStyle w:val="Normalnumbered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9C46B8">
        <w:rPr>
          <w:rFonts w:asciiTheme="minorHAnsi" w:hAnsiTheme="minorHAnsi" w:cstheme="minorHAnsi"/>
          <w:b/>
          <w:sz w:val="22"/>
          <w:szCs w:val="22"/>
        </w:rPr>
        <w:t xml:space="preserve">Table 1: Estimated financial contributions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4"/>
        <w:gridCol w:w="970"/>
        <w:gridCol w:w="970"/>
        <w:gridCol w:w="970"/>
        <w:gridCol w:w="970"/>
        <w:gridCol w:w="807"/>
      </w:tblGrid>
      <w:tr w:rsidR="00B53E26" w:rsidRPr="009C46B8" w14:paraId="205D76D3" w14:textId="77777777" w:rsidTr="00B53E26">
        <w:trPr>
          <w:cantSplit/>
        </w:trPr>
        <w:tc>
          <w:tcPr>
            <w:tcW w:w="4244" w:type="dxa"/>
            <w:tcBorders>
              <w:top w:val="single" w:sz="4" w:space="0" w:color="000080"/>
            </w:tcBorders>
          </w:tcPr>
          <w:p w14:paraId="08C0F980" w14:textId="77777777" w:rsidR="00B53E26" w:rsidRPr="009C46B8" w:rsidRDefault="00B53E26" w:rsidP="00B53E26">
            <w:pPr>
              <w:keepNext/>
              <w:keepLines/>
              <w:spacing w:before="40" w:after="40"/>
              <w:rPr>
                <w:rFonts w:cstheme="minorHAnsi"/>
                <w:b/>
              </w:rPr>
            </w:pPr>
            <w:r w:rsidRPr="009C46B8">
              <w:rPr>
                <w:rFonts w:cstheme="minorHAnsi"/>
                <w:b/>
              </w:rPr>
              <w:t>($ million)</w:t>
            </w:r>
          </w:p>
        </w:tc>
        <w:tc>
          <w:tcPr>
            <w:tcW w:w="970" w:type="dxa"/>
            <w:tcBorders>
              <w:top w:val="single" w:sz="4" w:space="0" w:color="000080"/>
              <w:bottom w:val="single" w:sz="4" w:space="0" w:color="000080"/>
            </w:tcBorders>
          </w:tcPr>
          <w:p w14:paraId="6E305C71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2018-19</w:t>
            </w:r>
          </w:p>
        </w:tc>
        <w:tc>
          <w:tcPr>
            <w:tcW w:w="970" w:type="dxa"/>
            <w:tcBorders>
              <w:top w:val="single" w:sz="4" w:space="0" w:color="000080"/>
              <w:bottom w:val="single" w:sz="4" w:space="0" w:color="000080"/>
            </w:tcBorders>
          </w:tcPr>
          <w:p w14:paraId="50575D0D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2019-20</w:t>
            </w:r>
          </w:p>
        </w:tc>
        <w:tc>
          <w:tcPr>
            <w:tcW w:w="970" w:type="dxa"/>
            <w:tcBorders>
              <w:top w:val="single" w:sz="4" w:space="0" w:color="000080"/>
              <w:bottom w:val="single" w:sz="4" w:space="0" w:color="000080"/>
            </w:tcBorders>
          </w:tcPr>
          <w:p w14:paraId="42999B42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2020-21</w:t>
            </w:r>
          </w:p>
        </w:tc>
        <w:tc>
          <w:tcPr>
            <w:tcW w:w="970" w:type="dxa"/>
            <w:tcBorders>
              <w:top w:val="single" w:sz="4" w:space="0" w:color="000080"/>
              <w:bottom w:val="single" w:sz="4" w:space="0" w:color="000080"/>
            </w:tcBorders>
          </w:tcPr>
          <w:p w14:paraId="19E5FD29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2021-22</w:t>
            </w:r>
          </w:p>
        </w:tc>
        <w:tc>
          <w:tcPr>
            <w:tcW w:w="807" w:type="dxa"/>
            <w:tcBorders>
              <w:top w:val="single" w:sz="4" w:space="0" w:color="000080"/>
              <w:bottom w:val="single" w:sz="4" w:space="0" w:color="000080"/>
            </w:tcBorders>
          </w:tcPr>
          <w:p w14:paraId="272DBAA1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Total</w:t>
            </w:r>
          </w:p>
        </w:tc>
      </w:tr>
      <w:tr w:rsidR="00B53E26" w:rsidRPr="009C46B8" w14:paraId="5C554546" w14:textId="77777777" w:rsidTr="00B53E26">
        <w:trPr>
          <w:cantSplit/>
        </w:trPr>
        <w:tc>
          <w:tcPr>
            <w:tcW w:w="4244" w:type="dxa"/>
          </w:tcPr>
          <w:p w14:paraId="3CA4494E" w14:textId="396EE3B3" w:rsidR="00B53E26" w:rsidRPr="009C46B8" w:rsidRDefault="00B53E26" w:rsidP="00F433DD">
            <w:pPr>
              <w:keepNext/>
              <w:keepLines/>
              <w:spacing w:before="60" w:after="60"/>
              <w:rPr>
                <w:rFonts w:cstheme="minorHAnsi"/>
                <w:b/>
              </w:rPr>
            </w:pPr>
            <w:r w:rsidRPr="009C46B8">
              <w:rPr>
                <w:rFonts w:cstheme="minorHAnsi"/>
                <w:b/>
              </w:rPr>
              <w:t>Estimated total budget</w:t>
            </w:r>
          </w:p>
        </w:tc>
        <w:tc>
          <w:tcPr>
            <w:tcW w:w="970" w:type="dxa"/>
            <w:tcBorders>
              <w:top w:val="single" w:sz="4" w:space="0" w:color="000080"/>
            </w:tcBorders>
          </w:tcPr>
          <w:p w14:paraId="059D0836" w14:textId="29ECE49B" w:rsidR="00B53E26" w:rsidRPr="009C46B8" w:rsidRDefault="00A54595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3.49</w:t>
            </w:r>
          </w:p>
        </w:tc>
        <w:tc>
          <w:tcPr>
            <w:tcW w:w="970" w:type="dxa"/>
            <w:tcBorders>
              <w:top w:val="single" w:sz="4" w:space="0" w:color="000080"/>
            </w:tcBorders>
          </w:tcPr>
          <w:p w14:paraId="7450AF0B" w14:textId="5FF3CF9B" w:rsidR="00B53E26" w:rsidRPr="009C46B8" w:rsidRDefault="00394359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30.82</w:t>
            </w:r>
          </w:p>
        </w:tc>
        <w:tc>
          <w:tcPr>
            <w:tcW w:w="970" w:type="dxa"/>
            <w:tcBorders>
              <w:top w:val="single" w:sz="4" w:space="0" w:color="000080"/>
            </w:tcBorders>
          </w:tcPr>
          <w:p w14:paraId="56583860" w14:textId="3FBB4E96" w:rsidR="00B53E26" w:rsidRPr="009C46B8" w:rsidRDefault="00394359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49.83</w:t>
            </w:r>
          </w:p>
        </w:tc>
        <w:tc>
          <w:tcPr>
            <w:tcW w:w="970" w:type="dxa"/>
            <w:tcBorders>
              <w:top w:val="single" w:sz="4" w:space="0" w:color="000080"/>
            </w:tcBorders>
          </w:tcPr>
          <w:p w14:paraId="11778CA0" w14:textId="365F209B" w:rsidR="00B53E26" w:rsidRPr="009C46B8" w:rsidRDefault="00394359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13.62</w:t>
            </w:r>
          </w:p>
        </w:tc>
        <w:tc>
          <w:tcPr>
            <w:tcW w:w="807" w:type="dxa"/>
            <w:tcBorders>
              <w:top w:val="single" w:sz="4" w:space="0" w:color="000080"/>
            </w:tcBorders>
          </w:tcPr>
          <w:p w14:paraId="325A901F" w14:textId="35093E21" w:rsidR="00B53E26" w:rsidRPr="00337DAF" w:rsidRDefault="00B53E26" w:rsidP="00B53E26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337DAF">
              <w:rPr>
                <w:rFonts w:ascii="Calibri" w:hAnsi="Calibri" w:cs="Calibri"/>
                <w:b/>
                <w:color w:val="000000"/>
              </w:rPr>
              <w:t>97.76</w:t>
            </w:r>
          </w:p>
          <w:p w14:paraId="5757BF5D" w14:textId="77777777" w:rsidR="00B53E26" w:rsidRPr="00337DAF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</w:p>
        </w:tc>
      </w:tr>
      <w:tr w:rsidR="00B53E26" w:rsidRPr="009C46B8" w14:paraId="1046288A" w14:textId="77777777" w:rsidTr="00B53E26">
        <w:trPr>
          <w:cantSplit/>
        </w:trPr>
        <w:tc>
          <w:tcPr>
            <w:tcW w:w="4244" w:type="dxa"/>
          </w:tcPr>
          <w:p w14:paraId="4E4F7D40" w14:textId="77777777" w:rsidR="00B53E26" w:rsidRPr="009C46B8" w:rsidRDefault="00B53E26" w:rsidP="00B53E26">
            <w:pPr>
              <w:keepNext/>
              <w:keepLines/>
              <w:spacing w:before="60" w:after="60"/>
              <w:rPr>
                <w:rFonts w:cstheme="minorHAnsi"/>
              </w:rPr>
            </w:pPr>
            <w:r w:rsidRPr="009C46B8">
              <w:rPr>
                <w:rFonts w:cstheme="minorHAnsi"/>
              </w:rPr>
              <w:t>Less estimated National Partnership Payments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5A84CC87" w14:textId="3D30EEB6" w:rsidR="00B53E26" w:rsidRPr="009C46B8" w:rsidRDefault="00A54595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3.49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33A72D70" w14:textId="1C041059" w:rsidR="00B53E26" w:rsidRPr="009C46B8" w:rsidRDefault="00394359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30.82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2F86E5B9" w14:textId="3B74A063" w:rsidR="00B53E26" w:rsidRPr="009C46B8" w:rsidRDefault="00394359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49.83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6527C159" w14:textId="1E5EBD01" w:rsidR="00B53E26" w:rsidRPr="009C46B8" w:rsidRDefault="00394359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13.62</w:t>
            </w:r>
          </w:p>
        </w:tc>
        <w:tc>
          <w:tcPr>
            <w:tcW w:w="807" w:type="dxa"/>
            <w:tcBorders>
              <w:bottom w:val="single" w:sz="4" w:space="0" w:color="000080"/>
            </w:tcBorders>
          </w:tcPr>
          <w:p w14:paraId="413156B0" w14:textId="4DCD03B0" w:rsidR="00B53E26" w:rsidRPr="00337DAF" w:rsidRDefault="00B53E26" w:rsidP="00B53E26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337DAF">
              <w:rPr>
                <w:rFonts w:ascii="Calibri" w:hAnsi="Calibri" w:cs="Calibri"/>
                <w:b/>
                <w:color w:val="000000"/>
              </w:rPr>
              <w:t>97.76</w:t>
            </w:r>
          </w:p>
          <w:p w14:paraId="1CD7723C" w14:textId="77777777" w:rsidR="00B53E26" w:rsidRPr="00337DAF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</w:p>
        </w:tc>
      </w:tr>
      <w:tr w:rsidR="00B53E26" w:rsidRPr="009C46B8" w14:paraId="7AC0160E" w14:textId="77777777" w:rsidTr="00B53E26">
        <w:trPr>
          <w:cantSplit/>
        </w:trPr>
        <w:tc>
          <w:tcPr>
            <w:tcW w:w="4244" w:type="dxa"/>
            <w:tcBorders>
              <w:bottom w:val="single" w:sz="4" w:space="0" w:color="000080"/>
            </w:tcBorders>
          </w:tcPr>
          <w:p w14:paraId="6E8DE735" w14:textId="77777777" w:rsidR="00B53E26" w:rsidRPr="009C46B8" w:rsidRDefault="00B53E26" w:rsidP="00B53E26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9C46B8">
              <w:rPr>
                <w:rFonts w:cstheme="minorHAnsi"/>
              </w:rPr>
              <w:t>Balance of non-Commonwealth contributions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54EBDB7B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774FE801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4F8464E6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  <w:tc>
          <w:tcPr>
            <w:tcW w:w="970" w:type="dxa"/>
            <w:tcBorders>
              <w:bottom w:val="single" w:sz="4" w:space="0" w:color="000080"/>
            </w:tcBorders>
          </w:tcPr>
          <w:p w14:paraId="251FB32F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  <w:tc>
          <w:tcPr>
            <w:tcW w:w="807" w:type="dxa"/>
            <w:tcBorders>
              <w:bottom w:val="single" w:sz="4" w:space="0" w:color="000080"/>
            </w:tcBorders>
          </w:tcPr>
          <w:p w14:paraId="4C29CD91" w14:textId="77777777" w:rsidR="00B53E26" w:rsidRPr="009C46B8" w:rsidRDefault="00B53E26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</w:tr>
    </w:tbl>
    <w:p w14:paraId="361B03E2" w14:textId="485AE242" w:rsidR="00B53E26" w:rsidRPr="00903F85" w:rsidRDefault="00B53E26" w:rsidP="00903F85">
      <w:pPr>
        <w:pStyle w:val="ScheduleNumberedPara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  <w:vertAlign w:val="subscript"/>
        </w:rPr>
      </w:pPr>
    </w:p>
    <w:p w14:paraId="4C7231D9" w14:textId="75780008" w:rsidR="00904697" w:rsidRDefault="00904697" w:rsidP="00904697">
      <w:pPr>
        <w:pStyle w:val="ScheduleNumberedPara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total financial contribution includes funding of $3.56 million for</w:t>
      </w:r>
      <w:r w:rsidR="004D6555">
        <w:rPr>
          <w:rFonts w:asciiTheme="minorHAnsi" w:hAnsiTheme="minorHAnsi" w:cstheme="minorHAnsi"/>
          <w:sz w:val="22"/>
          <w:szCs w:val="22"/>
        </w:rPr>
        <w:t xml:space="preserve"> activities associated with</w:t>
      </w:r>
      <w:r>
        <w:rPr>
          <w:rFonts w:asciiTheme="minorHAnsi" w:hAnsiTheme="minorHAnsi" w:cstheme="minorHAnsi"/>
          <w:sz w:val="22"/>
          <w:szCs w:val="22"/>
        </w:rPr>
        <w:t xml:space="preserve"> the Lower Darling River water security component of the Menindee Lakes Water Savings Project.  The payment of </w:t>
      </w:r>
      <w:r w:rsidR="009F2173">
        <w:rPr>
          <w:rFonts w:asciiTheme="minorHAnsi" w:hAnsiTheme="minorHAnsi" w:cstheme="minorHAnsi"/>
          <w:sz w:val="22"/>
          <w:szCs w:val="22"/>
        </w:rPr>
        <w:t xml:space="preserve">any of </w:t>
      </w:r>
      <w:r>
        <w:rPr>
          <w:rFonts w:asciiTheme="minorHAnsi" w:hAnsiTheme="minorHAnsi" w:cstheme="minorHAnsi"/>
          <w:sz w:val="22"/>
          <w:szCs w:val="22"/>
        </w:rPr>
        <w:t>this amount ($3.56 million) to New South Wales is subject to future decisions of the Commonwealth and New South Wales Governments</w:t>
      </w:r>
      <w:r w:rsidR="00CB0CCB">
        <w:rPr>
          <w:rFonts w:asciiTheme="minorHAnsi" w:hAnsiTheme="minorHAnsi" w:cstheme="minorHAnsi"/>
          <w:sz w:val="22"/>
          <w:szCs w:val="22"/>
        </w:rPr>
        <w:t xml:space="preserve"> on activi</w:t>
      </w:r>
      <w:r w:rsidR="004D6555">
        <w:rPr>
          <w:rFonts w:asciiTheme="minorHAnsi" w:hAnsiTheme="minorHAnsi" w:cstheme="minorHAnsi"/>
          <w:sz w:val="22"/>
          <w:szCs w:val="22"/>
        </w:rPr>
        <w:t>t</w:t>
      </w:r>
      <w:r w:rsidR="00CB0CCB">
        <w:rPr>
          <w:rFonts w:asciiTheme="minorHAnsi" w:hAnsiTheme="minorHAnsi" w:cstheme="minorHAnsi"/>
          <w:sz w:val="22"/>
          <w:szCs w:val="22"/>
        </w:rPr>
        <w:t>i</w:t>
      </w:r>
      <w:r w:rsidR="004D6555">
        <w:rPr>
          <w:rFonts w:asciiTheme="minorHAnsi" w:hAnsiTheme="minorHAnsi" w:cstheme="minorHAnsi"/>
          <w:sz w:val="22"/>
          <w:szCs w:val="22"/>
        </w:rPr>
        <w:t>es to be pursued under that component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3F8FE3" w14:textId="3013B303" w:rsidR="00C05F99" w:rsidRDefault="002A1082" w:rsidP="00980E8D">
      <w:pPr>
        <w:pStyle w:val="ScheduleNumberedPara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74645">
        <w:rPr>
          <w:rFonts w:asciiTheme="minorHAnsi" w:hAnsiTheme="minorHAnsi" w:cstheme="minorHAnsi"/>
          <w:sz w:val="22"/>
          <w:szCs w:val="22"/>
        </w:rPr>
        <w:t>Stage 1 act</w:t>
      </w:r>
      <w:r>
        <w:rPr>
          <w:rFonts w:asciiTheme="minorHAnsi" w:hAnsiTheme="minorHAnsi" w:cstheme="minorHAnsi"/>
          <w:sz w:val="22"/>
          <w:szCs w:val="22"/>
        </w:rPr>
        <w:t xml:space="preserve">ivities undertaken by NSW </w:t>
      </w:r>
      <w:r w:rsidR="00C05F99">
        <w:rPr>
          <w:rFonts w:asciiTheme="minorHAnsi" w:hAnsiTheme="minorHAnsi" w:cstheme="minorHAnsi"/>
          <w:sz w:val="22"/>
          <w:szCs w:val="22"/>
        </w:rPr>
        <w:t xml:space="preserve">in respect of this Schedule </w:t>
      </w:r>
      <w:r>
        <w:rPr>
          <w:rFonts w:asciiTheme="minorHAnsi" w:hAnsiTheme="minorHAnsi" w:cstheme="minorHAnsi"/>
          <w:sz w:val="22"/>
          <w:szCs w:val="22"/>
        </w:rPr>
        <w:t>will be delivered across three works streams</w:t>
      </w:r>
      <w:r w:rsidR="00A54595">
        <w:rPr>
          <w:rFonts w:asciiTheme="minorHAnsi" w:hAnsiTheme="minorHAnsi" w:cstheme="minorHAnsi"/>
          <w:sz w:val="22"/>
          <w:szCs w:val="22"/>
        </w:rPr>
        <w:t>: Murray Work Stream, Murrumbidgee Work Stream and Darling Work Stream</w:t>
      </w:r>
      <w:r>
        <w:rPr>
          <w:rFonts w:asciiTheme="minorHAnsi" w:hAnsiTheme="minorHAnsi" w:cstheme="minorHAnsi"/>
          <w:sz w:val="22"/>
          <w:szCs w:val="22"/>
        </w:rPr>
        <w:t xml:space="preserve">. The </w:t>
      </w:r>
      <w:r w:rsidR="00274645">
        <w:rPr>
          <w:rFonts w:asciiTheme="minorHAnsi" w:hAnsiTheme="minorHAnsi" w:cstheme="minorHAnsi"/>
          <w:sz w:val="22"/>
          <w:szCs w:val="22"/>
        </w:rPr>
        <w:t>supply and constraints measures</w:t>
      </w:r>
      <w:r>
        <w:rPr>
          <w:rFonts w:asciiTheme="minorHAnsi" w:hAnsiTheme="minorHAnsi" w:cstheme="minorHAnsi"/>
          <w:sz w:val="22"/>
          <w:szCs w:val="22"/>
        </w:rPr>
        <w:t xml:space="preserve"> in</w:t>
      </w:r>
      <w:r w:rsidR="0069148C">
        <w:rPr>
          <w:rFonts w:asciiTheme="minorHAnsi" w:hAnsiTheme="minorHAnsi" w:cstheme="minorHAnsi"/>
          <w:sz w:val="22"/>
          <w:szCs w:val="22"/>
        </w:rPr>
        <w:t>cluded in</w:t>
      </w:r>
      <w:r>
        <w:rPr>
          <w:rFonts w:asciiTheme="minorHAnsi" w:hAnsiTheme="minorHAnsi" w:cstheme="minorHAnsi"/>
          <w:sz w:val="22"/>
          <w:szCs w:val="22"/>
        </w:rPr>
        <w:t xml:space="preserve"> each work stream are outlined below</w:t>
      </w:r>
      <w:r w:rsidR="00C05F99">
        <w:rPr>
          <w:rFonts w:asciiTheme="minorHAnsi" w:hAnsiTheme="minorHAnsi" w:cstheme="minorHAnsi"/>
          <w:sz w:val="22"/>
          <w:szCs w:val="22"/>
        </w:rPr>
        <w:t>:</w:t>
      </w:r>
    </w:p>
    <w:p w14:paraId="556AC06C" w14:textId="281B04BD" w:rsidR="00C05F99" w:rsidRDefault="00C05F99" w:rsidP="00980E8D">
      <w:pPr>
        <w:pStyle w:val="ScheduleNumberedPara"/>
        <w:numPr>
          <w:ilvl w:val="0"/>
          <w:numId w:val="14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Murray </w:t>
      </w:r>
      <w:r w:rsidR="00364565">
        <w:rPr>
          <w:rFonts w:asciiTheme="minorHAnsi" w:hAnsiTheme="minorHAnsi" w:cstheme="minorHAnsi"/>
          <w:sz w:val="22"/>
          <w:szCs w:val="22"/>
        </w:rPr>
        <w:t xml:space="preserve">Work </w:t>
      </w:r>
      <w:r>
        <w:rPr>
          <w:rFonts w:asciiTheme="minorHAnsi" w:hAnsiTheme="minorHAnsi" w:cstheme="minorHAnsi"/>
          <w:sz w:val="22"/>
          <w:szCs w:val="22"/>
        </w:rPr>
        <w:t>Stream:</w:t>
      </w:r>
      <w:r w:rsidR="00D708AA">
        <w:rPr>
          <w:rFonts w:asciiTheme="minorHAnsi" w:hAnsiTheme="minorHAnsi" w:cstheme="minorHAnsi"/>
          <w:sz w:val="22"/>
          <w:szCs w:val="22"/>
        </w:rPr>
        <w:t xml:space="preserve"> SDL Offsets in the</w:t>
      </w:r>
      <w:r w:rsidR="00A54595">
        <w:rPr>
          <w:rFonts w:asciiTheme="minorHAnsi" w:hAnsiTheme="minorHAnsi" w:cstheme="minorHAnsi"/>
          <w:sz w:val="22"/>
          <w:szCs w:val="22"/>
        </w:rPr>
        <w:t xml:space="preserve"> Lower Murray NSW: Locks 8 and 9</w:t>
      </w:r>
      <w:r w:rsidR="00D708AA">
        <w:rPr>
          <w:rFonts w:asciiTheme="minorHAnsi" w:hAnsiTheme="minorHAnsi" w:cstheme="minorHAnsi"/>
          <w:sz w:val="22"/>
          <w:szCs w:val="22"/>
        </w:rPr>
        <w:t xml:space="preserve"> weir pool manipulation; Carrs, Cappitts and Bunberoo Creeks connectivity; Frenchmans Creek fish passage (SDL Offsets in the Lower Murray), Murray </w:t>
      </w:r>
      <w:r w:rsidR="00A54595">
        <w:rPr>
          <w:rFonts w:asciiTheme="minorHAnsi" w:hAnsiTheme="minorHAnsi" w:cstheme="minorHAnsi"/>
          <w:sz w:val="22"/>
          <w:szCs w:val="22"/>
        </w:rPr>
        <w:t xml:space="preserve">and Murrumbidgee Valley </w:t>
      </w:r>
      <w:r w:rsidR="00D708AA">
        <w:rPr>
          <w:rFonts w:asciiTheme="minorHAnsi" w:hAnsiTheme="minorHAnsi" w:cstheme="minorHAnsi"/>
          <w:sz w:val="22"/>
          <w:szCs w:val="22"/>
        </w:rPr>
        <w:t>National Park</w:t>
      </w:r>
      <w:r w:rsidR="00A54595">
        <w:rPr>
          <w:rFonts w:asciiTheme="minorHAnsi" w:hAnsiTheme="minorHAnsi" w:cstheme="minorHAnsi"/>
          <w:sz w:val="22"/>
          <w:szCs w:val="22"/>
        </w:rPr>
        <w:t>s</w:t>
      </w:r>
      <w:r w:rsidR="00D708AA">
        <w:rPr>
          <w:rFonts w:asciiTheme="minorHAnsi" w:hAnsiTheme="minorHAnsi" w:cstheme="minorHAnsi"/>
          <w:sz w:val="22"/>
          <w:szCs w:val="22"/>
        </w:rPr>
        <w:t xml:space="preserve"> </w:t>
      </w:r>
      <w:r w:rsidR="00D708AA" w:rsidRPr="009C46B8">
        <w:rPr>
          <w:rFonts w:cstheme="minorHAnsi"/>
        </w:rPr>
        <w:t>SDL Adjustment Supply Measure</w:t>
      </w:r>
      <w:r w:rsidR="00A54595">
        <w:rPr>
          <w:rFonts w:cstheme="minorHAnsi"/>
        </w:rPr>
        <w:t xml:space="preserve"> (Murray </w:t>
      </w:r>
      <w:r w:rsidR="00D708AA">
        <w:rPr>
          <w:rFonts w:cstheme="minorHAnsi"/>
        </w:rPr>
        <w:t>National Park</w:t>
      </w:r>
      <w:r w:rsidR="00A54595">
        <w:rPr>
          <w:rFonts w:cstheme="minorHAnsi"/>
        </w:rPr>
        <w:t xml:space="preserve"> component</w:t>
      </w:r>
      <w:r w:rsidR="00D708AA">
        <w:rPr>
          <w:rFonts w:cstheme="minorHAnsi"/>
        </w:rPr>
        <w:t xml:space="preserve">), Constraints management strategy Yarrawonga to Wakool Reach concept proposal (Yarrawonga to Wakool constraints measure); </w:t>
      </w:r>
    </w:p>
    <w:p w14:paraId="0C3E1A7B" w14:textId="6A323921" w:rsidR="00C05F99" w:rsidRDefault="00C05F99" w:rsidP="00980E8D">
      <w:pPr>
        <w:pStyle w:val="ScheduleNumberedPara"/>
        <w:numPr>
          <w:ilvl w:val="0"/>
          <w:numId w:val="14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Murrumbidgee </w:t>
      </w:r>
      <w:r w:rsidR="00364565">
        <w:rPr>
          <w:rFonts w:asciiTheme="minorHAnsi" w:hAnsiTheme="minorHAnsi" w:cstheme="minorHAnsi"/>
          <w:sz w:val="22"/>
          <w:szCs w:val="22"/>
        </w:rPr>
        <w:t xml:space="preserve">Work </w:t>
      </w:r>
      <w:r w:rsidR="0069148C">
        <w:rPr>
          <w:rFonts w:asciiTheme="minorHAnsi" w:hAnsiTheme="minorHAnsi" w:cstheme="minorHAnsi"/>
          <w:sz w:val="22"/>
          <w:szCs w:val="22"/>
        </w:rPr>
        <w:t xml:space="preserve">Stream: </w:t>
      </w:r>
      <w:r w:rsidRPr="009C46B8">
        <w:rPr>
          <w:rFonts w:cstheme="minorHAnsi"/>
        </w:rPr>
        <w:t xml:space="preserve">Modernising Supply Systems for Effluent Creeks  - Murrumbidgee River, </w:t>
      </w:r>
      <w:r w:rsidRPr="009C46B8">
        <w:rPr>
          <w:rFonts w:cstheme="minorHAnsi"/>
          <w:lang w:eastAsia="ja-JP"/>
        </w:rPr>
        <w:t>Improved flow management works at the Murrumbidgee River - Yanco Creek</w:t>
      </w:r>
      <w:r w:rsidR="002A1082">
        <w:rPr>
          <w:rFonts w:cstheme="minorHAnsi"/>
          <w:lang w:eastAsia="ja-JP"/>
        </w:rPr>
        <w:t xml:space="preserve"> </w:t>
      </w:r>
      <w:r w:rsidR="00A54595">
        <w:rPr>
          <w:rFonts w:cstheme="minorHAnsi"/>
          <w:lang w:eastAsia="ja-JP"/>
        </w:rPr>
        <w:t>off-take (Yanco Creek Offtake</w:t>
      </w:r>
      <w:r w:rsidR="002A1082">
        <w:rPr>
          <w:rFonts w:cstheme="minorHAnsi"/>
          <w:lang w:eastAsia="ja-JP"/>
        </w:rPr>
        <w:t>)</w:t>
      </w:r>
      <w:r w:rsidR="00A54595">
        <w:rPr>
          <w:rFonts w:cstheme="minorHAnsi"/>
          <w:lang w:eastAsia="ja-JP"/>
        </w:rPr>
        <w:t xml:space="preserve">, Murray and </w:t>
      </w:r>
      <w:r w:rsidRPr="009C46B8">
        <w:rPr>
          <w:rFonts w:cstheme="minorHAnsi"/>
        </w:rPr>
        <w:t>Murrumbidgee National Park</w:t>
      </w:r>
      <w:r w:rsidR="00A54595">
        <w:rPr>
          <w:rFonts w:cstheme="minorHAnsi"/>
        </w:rPr>
        <w:t>s</w:t>
      </w:r>
      <w:r w:rsidRPr="009C46B8">
        <w:rPr>
          <w:rFonts w:cstheme="minorHAnsi"/>
        </w:rPr>
        <w:t xml:space="preserve"> SDL Adjustment Supply Measure (</w:t>
      </w:r>
      <w:r w:rsidR="00D708AA">
        <w:rPr>
          <w:rFonts w:cstheme="minorHAnsi"/>
        </w:rPr>
        <w:t xml:space="preserve">Murrumbidgee </w:t>
      </w:r>
      <w:r w:rsidRPr="009C46B8">
        <w:rPr>
          <w:rFonts w:cstheme="minorHAnsi"/>
        </w:rPr>
        <w:t>National Park</w:t>
      </w:r>
      <w:r w:rsidR="00A54595">
        <w:rPr>
          <w:rFonts w:cstheme="minorHAnsi"/>
        </w:rPr>
        <w:t xml:space="preserve"> component</w:t>
      </w:r>
      <w:r w:rsidRPr="009C46B8">
        <w:rPr>
          <w:rFonts w:cstheme="minorHAnsi"/>
        </w:rPr>
        <w:t xml:space="preserve">) and </w:t>
      </w:r>
      <w:r w:rsidR="00A54595">
        <w:rPr>
          <w:rFonts w:cstheme="minorHAnsi"/>
          <w:lang w:eastAsia="ja-JP"/>
        </w:rPr>
        <w:t>Murrumbidgee constraints measure concept proposal</w:t>
      </w:r>
      <w:r w:rsidRPr="009C46B8">
        <w:rPr>
          <w:rFonts w:cstheme="minorHAnsi"/>
          <w:lang w:eastAsia="ja-JP"/>
        </w:rPr>
        <w:t xml:space="preserve"> </w:t>
      </w:r>
      <w:r w:rsidR="00D708AA">
        <w:rPr>
          <w:rFonts w:cstheme="minorHAnsi"/>
          <w:lang w:eastAsia="ja-JP"/>
        </w:rPr>
        <w:t>(Murrumbidgee constraints measure); and</w:t>
      </w:r>
    </w:p>
    <w:p w14:paraId="2EEE6B3A" w14:textId="43B7B9AB" w:rsidR="00C05F99" w:rsidRPr="00C05F99" w:rsidRDefault="00C05F99" w:rsidP="00980E8D">
      <w:pPr>
        <w:pStyle w:val="ScheduleNumberedPara"/>
        <w:numPr>
          <w:ilvl w:val="0"/>
          <w:numId w:val="14"/>
        </w:numPr>
        <w:ind w:left="709" w:hanging="283"/>
        <w:rPr>
          <w:rFonts w:cstheme="minorHAnsi"/>
          <w:lang w:eastAsia="ja-JP"/>
        </w:rPr>
      </w:pPr>
      <w:r w:rsidRPr="00C05F99">
        <w:rPr>
          <w:rFonts w:cstheme="minorHAnsi"/>
          <w:lang w:eastAsia="ja-JP"/>
        </w:rPr>
        <w:t xml:space="preserve">Darling </w:t>
      </w:r>
      <w:r w:rsidR="00364565">
        <w:rPr>
          <w:rFonts w:cstheme="minorHAnsi"/>
          <w:lang w:eastAsia="ja-JP"/>
        </w:rPr>
        <w:t xml:space="preserve">Work </w:t>
      </w:r>
      <w:r w:rsidRPr="00C05F99">
        <w:rPr>
          <w:rFonts w:cstheme="minorHAnsi"/>
          <w:lang w:eastAsia="ja-JP"/>
        </w:rPr>
        <w:t>Stream: Menindee Lakes Water Savings Project, including the Lower</w:t>
      </w:r>
      <w:r>
        <w:rPr>
          <w:rFonts w:cstheme="minorHAnsi"/>
          <w:lang w:eastAsia="ja-JP"/>
        </w:rPr>
        <w:t xml:space="preserve"> Darling </w:t>
      </w:r>
      <w:r w:rsidR="00A54595">
        <w:rPr>
          <w:rFonts w:cstheme="minorHAnsi"/>
          <w:lang w:eastAsia="ja-JP"/>
        </w:rPr>
        <w:t>constraints measure</w:t>
      </w:r>
      <w:r w:rsidR="00D708AA">
        <w:rPr>
          <w:rFonts w:cstheme="minorHAnsi"/>
          <w:lang w:eastAsia="ja-JP"/>
        </w:rPr>
        <w:t>.</w:t>
      </w:r>
    </w:p>
    <w:p w14:paraId="50248F84" w14:textId="1DBE8FA0" w:rsidR="000D43C0" w:rsidRPr="002A1082" w:rsidRDefault="000D43C0" w:rsidP="00980E8D">
      <w:pPr>
        <w:pStyle w:val="ScheduleNumberedPara"/>
        <w:numPr>
          <w:ilvl w:val="1"/>
          <w:numId w:val="8"/>
        </w:numPr>
        <w:rPr>
          <w:rFonts w:cstheme="minorHAnsi"/>
        </w:rPr>
      </w:pPr>
      <w:r w:rsidRPr="002A1082">
        <w:rPr>
          <w:rFonts w:cstheme="minorHAnsi"/>
        </w:rPr>
        <w:t xml:space="preserve">The Stage 1 activities or outputs to be delivered by NSW </w:t>
      </w:r>
      <w:r w:rsidR="002A1082">
        <w:rPr>
          <w:rFonts w:cstheme="minorHAnsi"/>
        </w:rPr>
        <w:t xml:space="preserve">for the </w:t>
      </w:r>
      <w:r w:rsidR="002A1082" w:rsidRPr="002A1082">
        <w:rPr>
          <w:rFonts w:cstheme="minorHAnsi"/>
        </w:rPr>
        <w:t xml:space="preserve">Murray </w:t>
      </w:r>
      <w:r w:rsidR="006A3AA4">
        <w:rPr>
          <w:rFonts w:cstheme="minorHAnsi"/>
        </w:rPr>
        <w:t xml:space="preserve">Work </w:t>
      </w:r>
      <w:r w:rsidR="002A1082" w:rsidRPr="002A1082">
        <w:rPr>
          <w:rFonts w:cstheme="minorHAnsi"/>
        </w:rPr>
        <w:t xml:space="preserve">Stream, Murrumbidgee </w:t>
      </w:r>
      <w:r w:rsidR="006A3AA4">
        <w:rPr>
          <w:rFonts w:cstheme="minorHAnsi"/>
        </w:rPr>
        <w:t xml:space="preserve">Work </w:t>
      </w:r>
      <w:r w:rsidR="002A1082" w:rsidRPr="002A1082">
        <w:rPr>
          <w:rFonts w:cstheme="minorHAnsi"/>
        </w:rPr>
        <w:t xml:space="preserve">Stream and Darling </w:t>
      </w:r>
      <w:r w:rsidR="006A3AA4">
        <w:rPr>
          <w:rFonts w:cstheme="minorHAnsi"/>
        </w:rPr>
        <w:t xml:space="preserve">Work </w:t>
      </w:r>
      <w:r w:rsidR="002A1082" w:rsidRPr="002A1082">
        <w:rPr>
          <w:rFonts w:cstheme="minorHAnsi"/>
        </w:rPr>
        <w:t>Stream</w:t>
      </w:r>
      <w:r w:rsidR="002A1082">
        <w:rPr>
          <w:rFonts w:cstheme="minorHAnsi"/>
        </w:rPr>
        <w:t xml:space="preserve"> </w:t>
      </w:r>
      <w:r w:rsidRPr="002A1082">
        <w:rPr>
          <w:rFonts w:cstheme="minorHAnsi"/>
        </w:rPr>
        <w:t>are outlined below:</w:t>
      </w:r>
    </w:p>
    <w:p w14:paraId="25A290D3" w14:textId="1C6B56DF" w:rsidR="000D43C0" w:rsidRPr="002A1082" w:rsidRDefault="0069148C" w:rsidP="00980E8D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D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elivery framework </w:t>
      </w: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for each work stream 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includ</w:t>
      </w: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ing establishment of the program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team and governance and reporting frameworks. </w:t>
      </w:r>
    </w:p>
    <w:p w14:paraId="689AA845" w14:textId="77777777" w:rsidR="000D43C0" w:rsidRPr="002A1082" w:rsidRDefault="000D43C0" w:rsidP="000D43C0">
      <w:pPr>
        <w:pStyle w:val="ListParagraph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1036530F" w14:textId="105D47F1" w:rsidR="000D43C0" w:rsidRPr="002A1082" w:rsidRDefault="000B2732" w:rsidP="00980E8D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Stage 1 activitie</w:t>
      </w:r>
      <w:r w:rsid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s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including</w:t>
      </w:r>
      <w:r w:rsidR="0069148C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: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</w:t>
      </w:r>
    </w:p>
    <w:p w14:paraId="4D135054" w14:textId="77777777" w:rsidR="00B53E26" w:rsidRPr="009C46B8" w:rsidRDefault="00B53E26" w:rsidP="00B53E26">
      <w:pPr>
        <w:pStyle w:val="ListParagraph"/>
        <w:spacing w:before="120" w:after="0" w:line="240" w:lineRule="auto"/>
        <w:rPr>
          <w:lang w:eastAsia="ja-JP"/>
        </w:rPr>
      </w:pPr>
    </w:p>
    <w:p w14:paraId="6B80DEDF" w14:textId="5C716C1A" w:rsidR="000D43C0" w:rsidRPr="002A1082" w:rsidRDefault="000D43C0" w:rsidP="00980E8D">
      <w:pPr>
        <w:pStyle w:val="ListParagraph"/>
        <w:numPr>
          <w:ilvl w:val="1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Preparing business cases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for and progressing the measures</w:t>
      </w: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through the Infrastructure NSW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(INSW) </w:t>
      </w: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Gateway approval process; </w:t>
      </w:r>
    </w:p>
    <w:p w14:paraId="49F2EEE6" w14:textId="77777777" w:rsidR="000D43C0" w:rsidRPr="002A1082" w:rsidRDefault="000D43C0" w:rsidP="000D43C0">
      <w:pPr>
        <w:pStyle w:val="ListParagraph"/>
        <w:ind w:left="144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07C3B7F6" w14:textId="55A98AA7" w:rsidR="000D43C0" w:rsidRPr="002A1082" w:rsidRDefault="000D43C0" w:rsidP="00980E8D">
      <w:pPr>
        <w:pStyle w:val="ListParagraph"/>
        <w:numPr>
          <w:ilvl w:val="1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Preparing designs, specifications and costings for infrastructure and o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perating  plans for the measures</w:t>
      </w: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; </w:t>
      </w:r>
    </w:p>
    <w:p w14:paraId="7A751A00" w14:textId="77777777" w:rsidR="000D43C0" w:rsidRPr="002A1082" w:rsidRDefault="000D43C0" w:rsidP="000D43C0">
      <w:pPr>
        <w:pStyle w:val="ListParagraph"/>
        <w:ind w:left="144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074D0113" w14:textId="13CC6D8A" w:rsidR="00DF6020" w:rsidRPr="002A1082" w:rsidRDefault="004D6555" w:rsidP="00980E8D">
      <w:pPr>
        <w:pStyle w:val="ListParagraph"/>
        <w:numPr>
          <w:ilvl w:val="1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Obtaining decisions on  </w:t>
      </w:r>
      <w:r w:rsidR="00DF602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statutory approvals</w:t>
      </w:r>
      <w:r w:rsidR="0069148C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and/or permits</w:t>
      </w:r>
      <w:r w:rsidR="00DF602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necessary </w:t>
      </w: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for</w:t>
      </w: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commence</w:t>
      </w: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ment of individual measures</w:t>
      </w:r>
      <w:r w:rsidR="00DF602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; </w:t>
      </w:r>
    </w:p>
    <w:p w14:paraId="5D9D7EE0" w14:textId="77777777" w:rsidR="000D43C0" w:rsidRPr="002A1082" w:rsidRDefault="000D43C0" w:rsidP="000D43C0">
      <w:pPr>
        <w:pStyle w:val="ListParagraph"/>
        <w:ind w:left="144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5342F7E3" w14:textId="12A5CBF8" w:rsidR="00FC01BD" w:rsidRDefault="00DF6020" w:rsidP="00980E8D">
      <w:pPr>
        <w:pStyle w:val="ListParagraph"/>
        <w:numPr>
          <w:ilvl w:val="1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U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ndertaking stakeholder engagement, including for the </w:t>
      </w:r>
      <w:r w:rsid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Yarrawonga to Wakool constraints measure, Murrumbid</w:t>
      </w:r>
      <w:r w:rsidR="0069148C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gee constraints measure and </w:t>
      </w:r>
      <w:r w:rsid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Lower Darling constraints measure</w:t>
      </w:r>
      <w:r w:rsidR="00FC01BD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:</w:t>
      </w:r>
    </w:p>
    <w:p w14:paraId="20F62231" w14:textId="77777777" w:rsidR="002A1082" w:rsidRPr="002A1082" w:rsidRDefault="002A1082" w:rsidP="002A1082">
      <w:pPr>
        <w:pStyle w:val="ListParagraph"/>
        <w:spacing w:before="120" w:after="0" w:line="240" w:lineRule="auto"/>
        <w:ind w:left="144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7A42707C" w14:textId="5AD3B575" w:rsidR="00FC01BD" w:rsidRDefault="000D43C0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developing and implementing a commercial framework for negotiating inundation of land</w:t>
      </w:r>
      <w:r w:rsidR="00FC01BD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; </w:t>
      </w:r>
    </w:p>
    <w:p w14:paraId="1D8A786C" w14:textId="77777777" w:rsidR="002A1082" w:rsidRPr="002A1082" w:rsidRDefault="002A1082" w:rsidP="002A1082">
      <w:pPr>
        <w:pStyle w:val="ListParagraph"/>
        <w:spacing w:before="120" w:after="0" w:line="240" w:lineRule="auto"/>
        <w:ind w:left="216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7E194D15" w14:textId="24930879" w:rsidR="000D43C0" w:rsidRPr="002A1082" w:rsidRDefault="000D43C0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obtaining initial agreement from landholders</w:t>
      </w:r>
      <w:r w:rsidR="004D655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or alternative arrangements have been established</w:t>
      </w: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; </w:t>
      </w:r>
    </w:p>
    <w:p w14:paraId="2BAF2C8B" w14:textId="77777777" w:rsidR="000D43C0" w:rsidRPr="002A1082" w:rsidRDefault="000D43C0" w:rsidP="000D43C0">
      <w:pPr>
        <w:pStyle w:val="ListParagraph"/>
        <w:ind w:left="144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7A4CAB88" w14:textId="549A7046" w:rsidR="000D43C0" w:rsidRDefault="00A54595" w:rsidP="00980E8D">
      <w:pPr>
        <w:pStyle w:val="ListParagraph"/>
        <w:numPr>
          <w:ilvl w:val="1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Completing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Stage 2 implementa</w:t>
      </w:r>
      <w:r w:rsid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tion proposals for each measure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including, but not limited to the following information:</w:t>
      </w:r>
    </w:p>
    <w:p w14:paraId="0E279E72" w14:textId="77777777" w:rsidR="002A1082" w:rsidRPr="002A1082" w:rsidRDefault="002A1082" w:rsidP="002A1082">
      <w:pPr>
        <w:pStyle w:val="ListParagraph"/>
        <w:spacing w:before="120" w:after="0" w:line="240" w:lineRule="auto"/>
        <w:ind w:left="144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6A5D74D8" w14:textId="6632BB04" w:rsidR="000D43C0" w:rsidRPr="002A1082" w:rsidRDefault="00603C85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C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onfirmation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of the submission of the respective measure to the Comm</w:t>
      </w:r>
      <w:r w:rsidR="0069148C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onwealth for gateway assessment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; </w:t>
      </w:r>
    </w:p>
    <w:p w14:paraId="1E5866CD" w14:textId="77777777" w:rsidR="000D43C0" w:rsidRPr="002A1082" w:rsidRDefault="000D43C0" w:rsidP="000D43C0">
      <w:pPr>
        <w:pStyle w:val="ListParagraph"/>
        <w:spacing w:before="120" w:after="0" w:line="240" w:lineRule="auto"/>
        <w:ind w:left="216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406C8244" w14:textId="2B0C473B" w:rsidR="000D43C0" w:rsidRPr="002A1082" w:rsidRDefault="00603C85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S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tage 2 cost estimate for the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respective measure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;</w:t>
      </w:r>
    </w:p>
    <w:p w14:paraId="1DCE4299" w14:textId="77777777" w:rsidR="000D43C0" w:rsidRPr="002A1082" w:rsidRDefault="000D43C0" w:rsidP="000D43C0">
      <w:pPr>
        <w:pStyle w:val="ListParagraph"/>
        <w:spacing w:before="120" w:after="0" w:line="240" w:lineRule="auto"/>
        <w:ind w:left="216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0CDD9D89" w14:textId="138B0F7B" w:rsidR="000D43C0" w:rsidRPr="002A1082" w:rsidRDefault="00603C85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E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vidence to demonstrate resolution, or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a strategy to resolve all post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noBreakHyphen/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Phase 2 assessment issues for the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respective measure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;</w:t>
      </w:r>
    </w:p>
    <w:p w14:paraId="2CF13BDB" w14:textId="77777777" w:rsidR="000D43C0" w:rsidRPr="002A1082" w:rsidRDefault="000D43C0" w:rsidP="000D43C0">
      <w:pPr>
        <w:pStyle w:val="ListParagraph"/>
        <w:spacing w:before="120" w:after="0" w:line="240" w:lineRule="auto"/>
        <w:ind w:left="216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3D92050B" w14:textId="5FE92A4D" w:rsidR="000D43C0" w:rsidRPr="002A1082" w:rsidRDefault="0069148C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Arrangements for the ongoing ownership and responsibility for the operations and maintenance costs for the respective measure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;</w:t>
      </w:r>
      <w:r w:rsidR="000D43C0"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 and </w:t>
      </w:r>
    </w:p>
    <w:p w14:paraId="25D85196" w14:textId="77777777" w:rsidR="000D43C0" w:rsidRPr="002A1082" w:rsidRDefault="000D43C0" w:rsidP="000D43C0">
      <w:pPr>
        <w:pStyle w:val="ListParagraph"/>
        <w:spacing w:before="120" w:after="0" w:line="240" w:lineRule="auto"/>
        <w:ind w:left="2160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</w:p>
    <w:p w14:paraId="59142208" w14:textId="7A4F1AFC" w:rsidR="00603C85" w:rsidRPr="002A1082" w:rsidRDefault="00603C85" w:rsidP="00980E8D">
      <w:pPr>
        <w:pStyle w:val="ListParagraph"/>
        <w:numPr>
          <w:ilvl w:val="2"/>
          <w:numId w:val="9"/>
        </w:numPr>
        <w:spacing w:before="120" w:after="0" w:line="240" w:lineRule="auto"/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</w:pP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Confirmation that the </w:t>
      </w:r>
      <w:r w:rsidR="00A54595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 xml:space="preserve">respective measure has received all necessary statutory </w:t>
      </w:r>
      <w:r w:rsidR="004E0DD4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decisions</w:t>
      </w:r>
      <w:r w:rsidRPr="002A1082">
        <w:rPr>
          <w:rFonts w:ascii="Corbel" w:eastAsia="Times New Roman" w:hAnsi="Corbel" w:cstheme="minorHAnsi"/>
          <w:color w:val="000000"/>
          <w:sz w:val="23"/>
          <w:szCs w:val="20"/>
          <w:lang w:eastAsia="en-AU"/>
        </w:rPr>
        <w:t>.</w:t>
      </w:r>
    </w:p>
    <w:p w14:paraId="471FB42C" w14:textId="6A2770CC" w:rsidR="00EB5FBB" w:rsidRPr="009C46B8" w:rsidRDefault="00EB5FBB" w:rsidP="004E0DD4">
      <w:pPr>
        <w:pStyle w:val="ScheduleNumberedPar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51005E0" w14:textId="385A98CD" w:rsidR="00074F46" w:rsidRPr="00CD0FF4" w:rsidRDefault="00C15ED1" w:rsidP="00980E8D">
      <w:pPr>
        <w:pStyle w:val="ScheduleNumberedPara"/>
        <w:numPr>
          <w:ilvl w:val="1"/>
          <w:numId w:val="8"/>
        </w:numPr>
        <w:rPr>
          <w:rFonts w:cstheme="minorHAnsi"/>
        </w:rPr>
      </w:pPr>
      <w:r w:rsidRPr="002A1082">
        <w:rPr>
          <w:rFonts w:cstheme="minorHAnsi"/>
        </w:rPr>
        <w:t xml:space="preserve">The provision of funding for the </w:t>
      </w:r>
      <w:r w:rsidR="00A54595">
        <w:rPr>
          <w:rFonts w:cstheme="minorHAnsi"/>
          <w:lang w:eastAsia="ja-JP"/>
        </w:rPr>
        <w:t xml:space="preserve">Yanco Creek Offtake measure </w:t>
      </w:r>
      <w:r w:rsidR="0069148C">
        <w:rPr>
          <w:rFonts w:cstheme="minorHAnsi"/>
          <w:lang w:eastAsia="ja-JP"/>
        </w:rPr>
        <w:t xml:space="preserve">(Murrumbidgee Stream) </w:t>
      </w:r>
      <w:r w:rsidRPr="002A1082">
        <w:rPr>
          <w:rFonts w:cstheme="minorHAnsi"/>
        </w:rPr>
        <w:t xml:space="preserve">is subject to the completion of the </w:t>
      </w:r>
      <w:r w:rsidR="00513F94" w:rsidRPr="002A1082">
        <w:rPr>
          <w:rFonts w:cstheme="minorHAnsi"/>
        </w:rPr>
        <w:t>phased assessment</w:t>
      </w:r>
      <w:r w:rsidR="002A1082">
        <w:rPr>
          <w:rFonts w:cstheme="minorHAnsi"/>
        </w:rPr>
        <w:t xml:space="preserve"> of the measure’s</w:t>
      </w:r>
      <w:r w:rsidR="00C13B8E" w:rsidRPr="002A1082">
        <w:rPr>
          <w:rFonts w:cstheme="minorHAnsi"/>
        </w:rPr>
        <w:t xml:space="preserve"> business case for</w:t>
      </w:r>
      <w:r w:rsidR="00513F94" w:rsidRPr="002A1082">
        <w:rPr>
          <w:rFonts w:cstheme="minorHAnsi"/>
        </w:rPr>
        <w:t xml:space="preserve"> </w:t>
      </w:r>
      <w:r w:rsidR="00C13B8E" w:rsidRPr="002A1082">
        <w:rPr>
          <w:rFonts w:cstheme="minorHAnsi"/>
        </w:rPr>
        <w:t>the SDL Adjustment Mechanism</w:t>
      </w:r>
      <w:r w:rsidR="00513F94" w:rsidRPr="002A1082">
        <w:rPr>
          <w:rFonts w:cstheme="minorHAnsi"/>
        </w:rPr>
        <w:t>.</w:t>
      </w:r>
      <w:r w:rsidR="009A172E" w:rsidRPr="002A1082">
        <w:rPr>
          <w:rFonts w:cstheme="minorHAnsi"/>
        </w:rPr>
        <w:t xml:space="preserve">  </w:t>
      </w:r>
      <w:r w:rsidR="00074F46" w:rsidRPr="00CD0F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A35FFA" w14:textId="65A574AB" w:rsidR="00A308D6" w:rsidRPr="00CD0FF4" w:rsidRDefault="00E001D6" w:rsidP="00980E8D">
      <w:pPr>
        <w:pStyle w:val="ScheduleNumberedPara"/>
        <w:numPr>
          <w:ilvl w:val="1"/>
          <w:numId w:val="8"/>
        </w:numPr>
        <w:rPr>
          <w:lang w:eastAsia="ja-JP"/>
        </w:rPr>
      </w:pPr>
      <w:r w:rsidRPr="009C46B8">
        <w:rPr>
          <w:rFonts w:asciiTheme="minorHAnsi" w:hAnsiTheme="minorHAnsi" w:cstheme="minorHAnsi"/>
          <w:sz w:val="22"/>
          <w:szCs w:val="22"/>
        </w:rPr>
        <w:t xml:space="preserve">In </w:t>
      </w:r>
      <w:r w:rsidRPr="00CD0FF4">
        <w:rPr>
          <w:lang w:eastAsia="ja-JP"/>
        </w:rPr>
        <w:t xml:space="preserve">accordance with the Agreement, </w:t>
      </w:r>
      <w:r w:rsidR="009072A4" w:rsidRPr="00CD0FF4">
        <w:rPr>
          <w:lang w:eastAsia="ja-JP"/>
        </w:rPr>
        <w:t>NSW</w:t>
      </w:r>
      <w:r w:rsidR="003E358A" w:rsidRPr="00CD0FF4">
        <w:rPr>
          <w:lang w:eastAsia="ja-JP"/>
        </w:rPr>
        <w:t xml:space="preserve"> will provide reports </w:t>
      </w:r>
      <w:r w:rsidRPr="00CD0FF4">
        <w:rPr>
          <w:lang w:eastAsia="ja-JP"/>
        </w:rPr>
        <w:t>on the progress of each output in accor</w:t>
      </w:r>
      <w:r w:rsidR="001A051C" w:rsidRPr="00CD0FF4">
        <w:rPr>
          <w:lang w:eastAsia="ja-JP"/>
        </w:rPr>
        <w:t>dance wi</w:t>
      </w:r>
      <w:r w:rsidR="0069148C">
        <w:rPr>
          <w:lang w:eastAsia="ja-JP"/>
        </w:rPr>
        <w:t>th the timing in Tables 2, 3 and 4</w:t>
      </w:r>
      <w:r w:rsidR="00452EF2" w:rsidRPr="00CD0FF4">
        <w:rPr>
          <w:lang w:eastAsia="ja-JP"/>
        </w:rPr>
        <w:t xml:space="preserve">. </w:t>
      </w:r>
      <w:r w:rsidR="00F433DD" w:rsidRPr="00C7314B">
        <w:rPr>
          <w:lang w:eastAsia="ja-JP"/>
        </w:rPr>
        <w:t xml:space="preserve">If a report referred to in </w:t>
      </w:r>
      <w:r w:rsidR="00436B5B">
        <w:rPr>
          <w:lang w:eastAsia="ja-JP"/>
        </w:rPr>
        <w:t>T</w:t>
      </w:r>
      <w:r w:rsidR="002B56DE">
        <w:rPr>
          <w:lang w:eastAsia="ja-JP"/>
        </w:rPr>
        <w:t>able 2 indicates</w:t>
      </w:r>
      <w:r w:rsidR="00F433DD" w:rsidRPr="00C7314B">
        <w:rPr>
          <w:lang w:eastAsia="ja-JP"/>
        </w:rPr>
        <w:t xml:space="preserve"> that NSW has not met the relevant milestone, NSW may submit a later report demonstrating that the relevant milestone has been met, for the purposes of clause 21 of the Agreement.</w:t>
      </w:r>
      <w:r w:rsidR="00F433DD">
        <w:rPr>
          <w:lang w:eastAsia="ja-JP"/>
        </w:rPr>
        <w:t xml:space="preserve"> </w:t>
      </w:r>
      <w:r w:rsidRPr="00CD0FF4">
        <w:rPr>
          <w:lang w:eastAsia="ja-JP"/>
        </w:rPr>
        <w:t xml:space="preserve">In addition to the reporting </w:t>
      </w:r>
      <w:r w:rsidR="00017DC3" w:rsidRPr="00CD0FF4">
        <w:rPr>
          <w:lang w:eastAsia="ja-JP"/>
        </w:rPr>
        <w:t>specified</w:t>
      </w:r>
      <w:r w:rsidRPr="00CD0FF4">
        <w:rPr>
          <w:lang w:eastAsia="ja-JP"/>
        </w:rPr>
        <w:t xml:space="preserve"> in the Agreement, the r</w:t>
      </w:r>
      <w:r w:rsidR="00202412" w:rsidRPr="00CD0FF4">
        <w:rPr>
          <w:lang w:eastAsia="ja-JP"/>
        </w:rPr>
        <w:t xml:space="preserve">eports to be provided by </w:t>
      </w:r>
      <w:r w:rsidR="00AD6163" w:rsidRPr="00CD0FF4">
        <w:rPr>
          <w:lang w:eastAsia="ja-JP"/>
        </w:rPr>
        <w:t>NSW</w:t>
      </w:r>
      <w:r w:rsidR="00202412" w:rsidRPr="00CD0FF4">
        <w:rPr>
          <w:lang w:eastAsia="ja-JP"/>
        </w:rPr>
        <w:t xml:space="preserve"> </w:t>
      </w:r>
      <w:r w:rsidR="00A308D6" w:rsidRPr="00CD0FF4">
        <w:rPr>
          <w:lang w:eastAsia="ja-JP"/>
        </w:rPr>
        <w:t xml:space="preserve">are </w:t>
      </w:r>
      <w:r w:rsidR="003E358A" w:rsidRPr="00CD0FF4">
        <w:rPr>
          <w:lang w:eastAsia="ja-JP"/>
        </w:rPr>
        <w:t xml:space="preserve">also </w:t>
      </w:r>
      <w:r w:rsidR="00A308D6" w:rsidRPr="00CD0FF4">
        <w:rPr>
          <w:lang w:eastAsia="ja-JP"/>
        </w:rPr>
        <w:t xml:space="preserve">to </w:t>
      </w:r>
      <w:r w:rsidR="00202412" w:rsidRPr="00CD0FF4">
        <w:rPr>
          <w:lang w:eastAsia="ja-JP"/>
        </w:rPr>
        <w:t>include</w:t>
      </w:r>
      <w:r w:rsidR="00A441DD" w:rsidRPr="00CD0FF4">
        <w:rPr>
          <w:lang w:eastAsia="ja-JP"/>
        </w:rPr>
        <w:t>:</w:t>
      </w:r>
      <w:r w:rsidR="00202412" w:rsidRPr="00CD0FF4">
        <w:rPr>
          <w:lang w:eastAsia="ja-JP"/>
        </w:rPr>
        <w:t xml:space="preserve"> </w:t>
      </w:r>
    </w:p>
    <w:p w14:paraId="4AA90247" w14:textId="1AAADDCD" w:rsidR="000C6A12" w:rsidRPr="00CD0FF4" w:rsidRDefault="000C6A12" w:rsidP="00980E8D">
      <w:pPr>
        <w:pStyle w:val="ScheduleNumberedPara"/>
        <w:numPr>
          <w:ilvl w:val="2"/>
          <w:numId w:val="8"/>
        </w:numPr>
        <w:tabs>
          <w:tab w:val="num" w:pos="1276"/>
        </w:tabs>
        <w:ind w:left="1276" w:hanging="425"/>
        <w:rPr>
          <w:lang w:eastAsia="ja-JP"/>
        </w:rPr>
      </w:pPr>
      <w:r w:rsidRPr="000C6A12">
        <w:rPr>
          <w:lang w:eastAsia="ja-JP"/>
        </w:rPr>
        <w:t>Stage 1 Activities Status Update</w:t>
      </w:r>
      <w:r w:rsidR="00904697">
        <w:rPr>
          <w:lang w:eastAsia="ja-JP"/>
        </w:rPr>
        <w:t>;</w:t>
      </w:r>
    </w:p>
    <w:p w14:paraId="1A5354F1" w14:textId="77777777" w:rsidR="00F433DD" w:rsidRPr="00CD0FF4" w:rsidRDefault="00F433DD" w:rsidP="00F433DD">
      <w:pPr>
        <w:pStyle w:val="ScheduleNumberedPara"/>
        <w:numPr>
          <w:ilvl w:val="2"/>
          <w:numId w:val="8"/>
        </w:numPr>
        <w:tabs>
          <w:tab w:val="num" w:pos="1276"/>
        </w:tabs>
        <w:ind w:left="1276" w:hanging="425"/>
        <w:rPr>
          <w:lang w:eastAsia="ja-JP"/>
        </w:rPr>
      </w:pPr>
      <w:r>
        <w:rPr>
          <w:lang w:eastAsia="ja-JP"/>
        </w:rPr>
        <w:t>Financial expenditure statement;</w:t>
      </w:r>
    </w:p>
    <w:p w14:paraId="3299043B" w14:textId="7C723CEB" w:rsidR="009072A4" w:rsidRPr="00CD0FF4" w:rsidRDefault="00B46B5D" w:rsidP="00980E8D">
      <w:pPr>
        <w:pStyle w:val="ScheduleNumberedPara"/>
        <w:numPr>
          <w:ilvl w:val="2"/>
          <w:numId w:val="8"/>
        </w:numPr>
        <w:tabs>
          <w:tab w:val="num" w:pos="1276"/>
        </w:tabs>
        <w:ind w:left="1276" w:hanging="425"/>
        <w:rPr>
          <w:lang w:eastAsia="ja-JP"/>
        </w:rPr>
      </w:pPr>
      <w:r w:rsidRPr="00CD0FF4">
        <w:rPr>
          <w:lang w:eastAsia="ja-JP"/>
        </w:rPr>
        <w:t>P</w:t>
      </w:r>
      <w:r w:rsidR="009072A4" w:rsidRPr="00CD0FF4">
        <w:rPr>
          <w:lang w:eastAsia="ja-JP"/>
        </w:rPr>
        <w:t>rogress reports on all NSW</w:t>
      </w:r>
      <w:r w:rsidR="00B25D9B">
        <w:rPr>
          <w:lang w:eastAsia="ja-JP"/>
        </w:rPr>
        <w:t xml:space="preserve"> supply and constraints measures (including measure</w:t>
      </w:r>
      <w:r w:rsidR="00D356A3" w:rsidRPr="00CD0FF4">
        <w:rPr>
          <w:lang w:eastAsia="ja-JP"/>
        </w:rPr>
        <w:t>s not funded under this Schedule</w:t>
      </w:r>
      <w:r w:rsidR="0069148C">
        <w:rPr>
          <w:lang w:eastAsia="ja-JP"/>
        </w:rPr>
        <w:t xml:space="preserve"> and measures where NSW is a joint proponent</w:t>
      </w:r>
      <w:r w:rsidR="00D356A3" w:rsidRPr="00CD0FF4">
        <w:rPr>
          <w:lang w:eastAsia="ja-JP"/>
        </w:rPr>
        <w:t>)</w:t>
      </w:r>
      <w:r w:rsidR="009072A4" w:rsidRPr="00CD0FF4">
        <w:rPr>
          <w:lang w:eastAsia="ja-JP"/>
        </w:rPr>
        <w:t xml:space="preserve">;  </w:t>
      </w:r>
    </w:p>
    <w:p w14:paraId="0B87F633" w14:textId="100A7A73" w:rsidR="00202412" w:rsidRPr="00CD0FF4" w:rsidRDefault="00B46B5D" w:rsidP="00980E8D">
      <w:pPr>
        <w:pStyle w:val="ScheduleNumberedPara"/>
        <w:numPr>
          <w:ilvl w:val="2"/>
          <w:numId w:val="8"/>
        </w:numPr>
        <w:tabs>
          <w:tab w:val="num" w:pos="1276"/>
        </w:tabs>
        <w:ind w:left="1276" w:hanging="425"/>
        <w:rPr>
          <w:lang w:eastAsia="ja-JP"/>
        </w:rPr>
      </w:pPr>
      <w:r w:rsidRPr="00CD0FF4">
        <w:rPr>
          <w:lang w:eastAsia="ja-JP"/>
        </w:rPr>
        <w:t>D</w:t>
      </w:r>
      <w:r w:rsidR="001A051C" w:rsidRPr="00CD0FF4">
        <w:rPr>
          <w:lang w:eastAsia="ja-JP"/>
        </w:rPr>
        <w:t xml:space="preserve">etails and outcomes on </w:t>
      </w:r>
      <w:r w:rsidR="00A57636" w:rsidRPr="00CD0FF4">
        <w:rPr>
          <w:lang w:eastAsia="ja-JP"/>
        </w:rPr>
        <w:t>s</w:t>
      </w:r>
      <w:r w:rsidR="00202412" w:rsidRPr="00CD0FF4">
        <w:rPr>
          <w:lang w:eastAsia="ja-JP"/>
        </w:rPr>
        <w:t xml:space="preserve">takeholder </w:t>
      </w:r>
      <w:r w:rsidR="009072A4" w:rsidRPr="00CD0FF4">
        <w:rPr>
          <w:lang w:eastAsia="ja-JP"/>
        </w:rPr>
        <w:t xml:space="preserve">engagement </w:t>
      </w:r>
      <w:r w:rsidR="001A051C" w:rsidRPr="00CD0FF4">
        <w:rPr>
          <w:lang w:eastAsia="ja-JP"/>
        </w:rPr>
        <w:t>activities</w:t>
      </w:r>
      <w:r w:rsidR="00A308D6" w:rsidRPr="00CD0FF4">
        <w:rPr>
          <w:lang w:eastAsia="ja-JP"/>
        </w:rPr>
        <w:t>;</w:t>
      </w:r>
      <w:r w:rsidR="009A1735">
        <w:rPr>
          <w:lang w:eastAsia="ja-JP"/>
        </w:rPr>
        <w:t xml:space="preserve"> and</w:t>
      </w:r>
    </w:p>
    <w:p w14:paraId="2EF0A06E" w14:textId="2EF12A34" w:rsidR="00541A3C" w:rsidRPr="00CD0FF4" w:rsidRDefault="00B46B5D" w:rsidP="00980E8D">
      <w:pPr>
        <w:pStyle w:val="ScheduleNumberedPara"/>
        <w:numPr>
          <w:ilvl w:val="2"/>
          <w:numId w:val="8"/>
        </w:numPr>
        <w:tabs>
          <w:tab w:val="num" w:pos="1276"/>
        </w:tabs>
        <w:ind w:left="1276" w:hanging="425"/>
        <w:rPr>
          <w:lang w:eastAsia="ja-JP"/>
        </w:rPr>
      </w:pPr>
      <w:r w:rsidRPr="00CD0FF4">
        <w:rPr>
          <w:lang w:eastAsia="ja-JP"/>
        </w:rPr>
        <w:t>U</w:t>
      </w:r>
      <w:r w:rsidR="00A57636" w:rsidRPr="00CD0FF4">
        <w:rPr>
          <w:lang w:eastAsia="ja-JP"/>
        </w:rPr>
        <w:t xml:space="preserve">pdates on resolving the issues identified in the assessment of the business cases </w:t>
      </w:r>
      <w:r w:rsidR="0069148C">
        <w:rPr>
          <w:lang w:eastAsia="ja-JP"/>
        </w:rPr>
        <w:t xml:space="preserve">for </w:t>
      </w:r>
      <w:r w:rsidR="00B25D9B">
        <w:rPr>
          <w:lang w:eastAsia="ja-JP"/>
        </w:rPr>
        <w:t>the respective measure</w:t>
      </w:r>
      <w:r w:rsidR="0069148C">
        <w:rPr>
          <w:lang w:eastAsia="ja-JP"/>
        </w:rPr>
        <w:t>s</w:t>
      </w:r>
      <w:r w:rsidR="00B25D9B">
        <w:rPr>
          <w:lang w:eastAsia="ja-JP"/>
        </w:rPr>
        <w:t xml:space="preserve"> </w:t>
      </w:r>
      <w:r w:rsidR="00A57636" w:rsidRPr="00CD0FF4">
        <w:rPr>
          <w:lang w:eastAsia="ja-JP"/>
        </w:rPr>
        <w:t>for the SDL adjustment mechanism</w:t>
      </w:r>
      <w:r w:rsidR="008F1E71" w:rsidRPr="00CD0FF4">
        <w:rPr>
          <w:lang w:eastAsia="ja-JP"/>
        </w:rPr>
        <w:t xml:space="preserve"> and reflected </w:t>
      </w:r>
      <w:r w:rsidR="00B25D9B">
        <w:rPr>
          <w:lang w:eastAsia="ja-JP"/>
        </w:rPr>
        <w:t>in the post</w:t>
      </w:r>
      <w:r w:rsidR="00B25D9B">
        <w:rPr>
          <w:lang w:eastAsia="ja-JP"/>
        </w:rPr>
        <w:noBreakHyphen/>
      </w:r>
      <w:r w:rsidR="00352B22" w:rsidRPr="00CD0FF4">
        <w:rPr>
          <w:lang w:eastAsia="ja-JP"/>
        </w:rPr>
        <w:t>P</w:t>
      </w:r>
      <w:r w:rsidR="008F1E71" w:rsidRPr="00CD0FF4">
        <w:rPr>
          <w:lang w:eastAsia="ja-JP"/>
        </w:rPr>
        <w:t xml:space="preserve">hase 2 </w:t>
      </w:r>
      <w:r w:rsidR="00352B22" w:rsidRPr="00CD0FF4">
        <w:rPr>
          <w:lang w:eastAsia="ja-JP"/>
        </w:rPr>
        <w:t xml:space="preserve">assessment </w:t>
      </w:r>
      <w:r w:rsidR="008F1E71" w:rsidRPr="00CD0FF4">
        <w:rPr>
          <w:lang w:eastAsia="ja-JP"/>
        </w:rPr>
        <w:t>issues register</w:t>
      </w:r>
      <w:r w:rsidR="00A308D6" w:rsidRPr="00CD0FF4">
        <w:rPr>
          <w:lang w:eastAsia="ja-JP"/>
        </w:rPr>
        <w:t>.</w:t>
      </w:r>
    </w:p>
    <w:p w14:paraId="5022941B" w14:textId="37C77F88" w:rsidR="00842C59" w:rsidRDefault="003D69E4" w:rsidP="00980E8D">
      <w:pPr>
        <w:pStyle w:val="ScheduleNumberedPara"/>
        <w:numPr>
          <w:ilvl w:val="1"/>
          <w:numId w:val="8"/>
        </w:numPr>
        <w:tabs>
          <w:tab w:val="num" w:pos="1593"/>
        </w:tabs>
        <w:rPr>
          <w:lang w:eastAsia="ja-JP"/>
        </w:rPr>
      </w:pPr>
      <w:r w:rsidRPr="00CD0FF4">
        <w:rPr>
          <w:lang w:eastAsia="ja-JP"/>
        </w:rPr>
        <w:t>In accordance with clause 21 of the Agreement</w:t>
      </w:r>
      <w:r w:rsidR="0069148C">
        <w:rPr>
          <w:lang w:eastAsia="ja-JP"/>
        </w:rPr>
        <w:t>,</w:t>
      </w:r>
      <w:r w:rsidRPr="00CD0FF4">
        <w:rPr>
          <w:lang w:eastAsia="ja-JP"/>
        </w:rPr>
        <w:t xml:space="preserve"> the milestones for </w:t>
      </w:r>
      <w:r w:rsidR="0069148C">
        <w:rPr>
          <w:lang w:eastAsia="ja-JP"/>
        </w:rPr>
        <w:t>each measure under the work streams,</w:t>
      </w:r>
      <w:r w:rsidRPr="00CD0FF4">
        <w:rPr>
          <w:lang w:eastAsia="ja-JP"/>
        </w:rPr>
        <w:t xml:space="preserve"> their relationship to the outputs, relevant reporting dates and the maximum expected payments to be made are set out in Table</w:t>
      </w:r>
      <w:r w:rsidR="002764CC" w:rsidRPr="00CD0FF4">
        <w:rPr>
          <w:lang w:eastAsia="ja-JP"/>
        </w:rPr>
        <w:t xml:space="preserve">s </w:t>
      </w:r>
      <w:r w:rsidR="00C84E3D" w:rsidRPr="00CD0FF4">
        <w:rPr>
          <w:lang w:eastAsia="ja-JP"/>
        </w:rPr>
        <w:t>2</w:t>
      </w:r>
      <w:r w:rsidR="0069148C">
        <w:rPr>
          <w:lang w:eastAsia="ja-JP"/>
        </w:rPr>
        <w:t xml:space="preserve"> to</w:t>
      </w:r>
      <w:r w:rsidR="00C546FE">
        <w:rPr>
          <w:lang w:eastAsia="ja-JP"/>
        </w:rPr>
        <w:t xml:space="preserve"> 7</w:t>
      </w:r>
      <w:r w:rsidRPr="00CD0FF4">
        <w:rPr>
          <w:lang w:eastAsia="ja-JP"/>
        </w:rPr>
        <w:t xml:space="preserve">.  The </w:t>
      </w:r>
      <w:r w:rsidR="00F433DD">
        <w:rPr>
          <w:lang w:eastAsia="ja-JP"/>
        </w:rPr>
        <w:t xml:space="preserve">guideline on </w:t>
      </w:r>
      <w:r w:rsidR="00904697">
        <w:rPr>
          <w:lang w:eastAsia="ja-JP"/>
        </w:rPr>
        <w:t xml:space="preserve">items to be addressed by </w:t>
      </w:r>
      <w:r w:rsidR="00B224EF">
        <w:rPr>
          <w:lang w:eastAsia="ja-JP"/>
        </w:rPr>
        <w:t xml:space="preserve">New South Wales in the delivery of milestones </w:t>
      </w:r>
      <w:r w:rsidR="00842C59">
        <w:rPr>
          <w:lang w:eastAsia="ja-JP"/>
        </w:rPr>
        <w:t>is at</w:t>
      </w:r>
      <w:r w:rsidRPr="00CD0FF4">
        <w:rPr>
          <w:lang w:eastAsia="ja-JP"/>
        </w:rPr>
        <w:t xml:space="preserve"> Appendix </w:t>
      </w:r>
      <w:r w:rsidR="00AD6163" w:rsidRPr="00CD0FF4">
        <w:rPr>
          <w:lang w:eastAsia="ja-JP"/>
        </w:rPr>
        <w:t>1</w:t>
      </w:r>
      <w:r w:rsidRPr="00CD0FF4">
        <w:rPr>
          <w:lang w:eastAsia="ja-JP"/>
        </w:rPr>
        <w:t>.</w:t>
      </w:r>
    </w:p>
    <w:p w14:paraId="0D40805D" w14:textId="633FBE09" w:rsidR="003D69E4" w:rsidRPr="00842C59" w:rsidRDefault="00842C59" w:rsidP="00842C59">
      <w:pPr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</w:pPr>
      <w:r>
        <w:rPr>
          <w:lang w:eastAsia="ja-JP"/>
        </w:rPr>
        <w:br w:type="page"/>
      </w:r>
    </w:p>
    <w:p w14:paraId="12C4E512" w14:textId="6C82D699" w:rsidR="00364565" w:rsidRPr="00CD0FF4" w:rsidRDefault="00364565" w:rsidP="00364565">
      <w:pPr>
        <w:pStyle w:val="ScheduleNumberedPara"/>
        <w:numPr>
          <w:ilvl w:val="0"/>
          <w:numId w:val="0"/>
        </w:numPr>
        <w:rPr>
          <w:b/>
          <w:lang w:eastAsia="ja-JP"/>
        </w:rPr>
      </w:pPr>
      <w:r w:rsidRPr="00CD0FF4">
        <w:rPr>
          <w:b/>
          <w:lang w:eastAsia="ja-JP"/>
        </w:rPr>
        <w:t>Table 2</w:t>
      </w:r>
      <w:r w:rsidR="0069148C">
        <w:rPr>
          <w:b/>
          <w:lang w:eastAsia="ja-JP"/>
        </w:rPr>
        <w:t xml:space="preserve">: Murray Work Stream milestones and reporting </w:t>
      </w:r>
      <w:r w:rsidRPr="00CD0FF4">
        <w:rPr>
          <w:b/>
          <w:lang w:eastAsia="ja-JP"/>
        </w:rPr>
        <w:t>summary</w:t>
      </w:r>
    </w:p>
    <w:tbl>
      <w:tblPr>
        <w:tblStyle w:val="TableGrid"/>
        <w:tblW w:w="935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79"/>
        <w:gridCol w:w="4348"/>
        <w:gridCol w:w="1226"/>
        <w:gridCol w:w="1798"/>
      </w:tblGrid>
      <w:tr w:rsidR="00364565" w:rsidRPr="00CD0FF4" w14:paraId="7845A902" w14:textId="77777777" w:rsidTr="00903F85">
        <w:trPr>
          <w:tblHeader/>
        </w:trPr>
        <w:tc>
          <w:tcPr>
            <w:tcW w:w="1979" w:type="dxa"/>
            <w:shd w:val="clear" w:color="auto" w:fill="auto"/>
          </w:tcPr>
          <w:p w14:paraId="0BF3400B" w14:textId="77777777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Outputs </w:t>
            </w:r>
          </w:p>
        </w:tc>
        <w:tc>
          <w:tcPr>
            <w:tcW w:w="4348" w:type="dxa"/>
            <w:shd w:val="clear" w:color="auto" w:fill="auto"/>
          </w:tcPr>
          <w:p w14:paraId="0DEC8FE2" w14:textId="218FF629" w:rsidR="00364565" w:rsidRPr="00CD0FF4" w:rsidRDefault="00364565" w:rsidP="00FA0AAC">
            <w:pPr>
              <w:pStyle w:val="ListParagraph"/>
              <w:ind w:left="29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Milestone </w:t>
            </w:r>
            <w:r w:rsidR="00FA0AAC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Component </w:t>
            </w:r>
          </w:p>
        </w:tc>
        <w:tc>
          <w:tcPr>
            <w:tcW w:w="1226" w:type="dxa"/>
            <w:shd w:val="clear" w:color="auto" w:fill="auto"/>
          </w:tcPr>
          <w:p w14:paraId="4758992F" w14:textId="5231F1A8" w:rsidR="00364565" w:rsidRPr="00CD0FF4" w:rsidRDefault="00364565" w:rsidP="0082403D">
            <w:pPr>
              <w:pStyle w:val="ListParagraph"/>
              <w:ind w:left="29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Milestone</w:t>
            </w:r>
            <w:r w:rsidR="00B224EF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AD47A2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number </w:t>
            </w: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14:paraId="2CF96FE0" w14:textId="77777777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Report Due </w:t>
            </w:r>
          </w:p>
        </w:tc>
      </w:tr>
      <w:tr w:rsidR="00364565" w:rsidRPr="00CD0FF4" w14:paraId="283FCB9B" w14:textId="77777777" w:rsidTr="00903F85">
        <w:tc>
          <w:tcPr>
            <w:tcW w:w="1979" w:type="dxa"/>
            <w:vMerge w:val="restart"/>
            <w:shd w:val="clear" w:color="auto" w:fill="auto"/>
          </w:tcPr>
          <w:p w14:paraId="23719A41" w14:textId="56A44949" w:rsidR="00364565" w:rsidRPr="00CD0FF4" w:rsidRDefault="00CD0FF4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Murray Work Stream d</w:t>
            </w:r>
            <w:r w:rsidR="00364565"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elivery framework</w:t>
            </w:r>
          </w:p>
        </w:tc>
        <w:tc>
          <w:tcPr>
            <w:tcW w:w="4348" w:type="dxa"/>
            <w:shd w:val="clear" w:color="auto" w:fill="auto"/>
          </w:tcPr>
          <w:p w14:paraId="2AD3A059" w14:textId="77777777" w:rsidR="0069148C" w:rsidRPr="00924D1D" w:rsidRDefault="0069148C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Establishment of p</w:t>
            </w:r>
            <w:r w:rsidR="00B25D9B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rogram</w:t>
            </w:r>
            <w:r w:rsidR="00364565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B25D9B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management 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team </w:t>
            </w:r>
          </w:p>
          <w:p w14:paraId="58377213" w14:textId="22592107" w:rsidR="000C6A12" w:rsidRPr="00924D1D" w:rsidRDefault="0069148C" w:rsidP="00B224EF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Registration of program </w:t>
            </w:r>
            <w:r w:rsidR="00364565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with </w:t>
            </w:r>
            <w:r w:rsidR="00B224EF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Infrastructure New South Wales (</w:t>
            </w:r>
            <w:r w:rsidR="00364565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INSW</w:t>
            </w:r>
            <w:r w:rsidR="00B224EF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)</w:t>
            </w:r>
            <w:r w:rsidR="00364565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14:paraId="62202129" w14:textId="77777777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14:paraId="05A50F12" w14:textId="77777777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2019</w:t>
            </w:r>
          </w:p>
        </w:tc>
      </w:tr>
      <w:tr w:rsidR="00364565" w:rsidRPr="00CD0FF4" w14:paraId="6910E553" w14:textId="77777777" w:rsidTr="00903F85">
        <w:tc>
          <w:tcPr>
            <w:tcW w:w="1979" w:type="dxa"/>
            <w:vMerge/>
            <w:shd w:val="clear" w:color="auto" w:fill="auto"/>
          </w:tcPr>
          <w:p w14:paraId="3272B747" w14:textId="13BB301B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75EDDA95" w14:textId="74F5456A" w:rsidR="000C6A12" w:rsidRPr="00924D1D" w:rsidRDefault="0069148C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Establishment and operation of </w:t>
            </w:r>
            <w:r w:rsidR="0048097E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p</w:t>
            </w:r>
            <w:r w:rsidR="00B25D9B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rogram </w:t>
            </w:r>
            <w:r w:rsidR="00364565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governance controls &amp; reporting frameworks, processes and s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ystems</w:t>
            </w:r>
          </w:p>
        </w:tc>
        <w:tc>
          <w:tcPr>
            <w:tcW w:w="1226" w:type="dxa"/>
            <w:shd w:val="clear" w:color="auto" w:fill="auto"/>
          </w:tcPr>
          <w:p w14:paraId="40E78462" w14:textId="77777777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14:paraId="0CCE7FFE" w14:textId="77777777" w:rsidR="00364565" w:rsidRPr="00CD0FF4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</w:p>
        </w:tc>
      </w:tr>
      <w:tr w:rsidR="008B48A2" w:rsidRPr="00CD0FF4" w14:paraId="5AA4C00E" w14:textId="77777777" w:rsidTr="00903F85">
        <w:tc>
          <w:tcPr>
            <w:tcW w:w="1979" w:type="dxa"/>
            <w:vMerge w:val="restart"/>
            <w:shd w:val="clear" w:color="auto" w:fill="auto"/>
          </w:tcPr>
          <w:p w14:paraId="1606016D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SDL offsets in the Lower Murray</w:t>
            </w:r>
          </w:p>
        </w:tc>
        <w:tc>
          <w:tcPr>
            <w:tcW w:w="4348" w:type="dxa"/>
            <w:shd w:val="clear" w:color="auto" w:fill="auto"/>
          </w:tcPr>
          <w:p w14:paraId="7F7174AE" w14:textId="1CF0EFFC" w:rsidR="008B48A2" w:rsidRPr="00924D1D" w:rsidRDefault="008B48A2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INSW gateway 1 </w:t>
            </w:r>
          </w:p>
          <w:p w14:paraId="3E963F5B" w14:textId="27F7385F" w:rsidR="008B48A2" w:rsidRPr="00924D1D" w:rsidRDefault="008B48A2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stakeholder engagement framework </w:t>
            </w:r>
          </w:p>
        </w:tc>
        <w:tc>
          <w:tcPr>
            <w:tcW w:w="1226" w:type="dxa"/>
            <w:shd w:val="clear" w:color="auto" w:fill="auto"/>
          </w:tcPr>
          <w:p w14:paraId="2509618C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14:paraId="73F00961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</w:p>
        </w:tc>
      </w:tr>
      <w:tr w:rsidR="008B48A2" w:rsidRPr="00CD0FF4" w14:paraId="0858CB0C" w14:textId="77777777" w:rsidTr="00903F85">
        <w:tc>
          <w:tcPr>
            <w:tcW w:w="1979" w:type="dxa"/>
            <w:vMerge/>
            <w:shd w:val="clear" w:color="auto" w:fill="auto"/>
          </w:tcPr>
          <w:p w14:paraId="7D68AFA0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34268576" w14:textId="1F6A4B8B" w:rsidR="008B48A2" w:rsidRPr="00924D1D" w:rsidRDefault="00F433DD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8B48A2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of conceptual modelling </w:t>
            </w:r>
          </w:p>
          <w:p w14:paraId="44DACEEB" w14:textId="3CCEBA45" w:rsidR="008B48A2" w:rsidRPr="00924D1D" w:rsidRDefault="008B48A2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design and commission framework documentation </w:t>
            </w:r>
          </w:p>
          <w:p w14:paraId="1940D90D" w14:textId="24C60318" w:rsidR="008B48A2" w:rsidRPr="00924D1D" w:rsidRDefault="008B48A2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Development of operating rules </w:t>
            </w:r>
          </w:p>
          <w:p w14:paraId="67D38CBB" w14:textId="4BE0D907" w:rsidR="008B48A2" w:rsidRPr="00924D1D" w:rsidRDefault="00F433DD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8B48A2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of monitoring and evaluation plan</w:t>
            </w:r>
          </w:p>
        </w:tc>
        <w:tc>
          <w:tcPr>
            <w:tcW w:w="1226" w:type="dxa"/>
            <w:shd w:val="clear" w:color="auto" w:fill="auto"/>
          </w:tcPr>
          <w:p w14:paraId="39CAC6F0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14:paraId="333EB955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</w:p>
        </w:tc>
      </w:tr>
      <w:tr w:rsidR="008B48A2" w:rsidRPr="00CD0FF4" w14:paraId="2089AE46" w14:textId="77777777" w:rsidTr="00903F85">
        <w:tc>
          <w:tcPr>
            <w:tcW w:w="1979" w:type="dxa"/>
            <w:vMerge/>
            <w:shd w:val="clear" w:color="auto" w:fill="auto"/>
          </w:tcPr>
          <w:p w14:paraId="517244AE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27C19F54" w14:textId="64767B06" w:rsidR="008B48A2" w:rsidRPr="0048097E" w:rsidRDefault="008B48A2" w:rsidP="0048097E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INSW g</w:t>
            </w: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ateway 2</w:t>
            </w:r>
          </w:p>
          <w:p w14:paraId="4A0A245E" w14:textId="1B2AE09C" w:rsidR="008B48A2" w:rsidRPr="00DD1785" w:rsidRDefault="008B48A2" w:rsidP="0069148C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statutory approvals and/or permits  </w:t>
            </w:r>
          </w:p>
          <w:p w14:paraId="0222159A" w14:textId="615AB41A" w:rsidR="008B48A2" w:rsidRPr="0048097E" w:rsidRDefault="008B48A2" w:rsidP="0048097E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design specifications and costings </w:t>
            </w:r>
          </w:p>
        </w:tc>
        <w:tc>
          <w:tcPr>
            <w:tcW w:w="1226" w:type="dxa"/>
            <w:shd w:val="clear" w:color="auto" w:fill="auto"/>
          </w:tcPr>
          <w:p w14:paraId="70A35430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14:paraId="44E1ABD4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</w:p>
        </w:tc>
      </w:tr>
      <w:tr w:rsidR="008B48A2" w:rsidRPr="00CD0FF4" w14:paraId="77113035" w14:textId="77777777" w:rsidTr="00903F85">
        <w:tc>
          <w:tcPr>
            <w:tcW w:w="1979" w:type="dxa"/>
            <w:vMerge/>
            <w:shd w:val="clear" w:color="auto" w:fill="auto"/>
          </w:tcPr>
          <w:p w14:paraId="5CEF6721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67544390" w14:textId="77777777" w:rsidR="008B48A2" w:rsidRPr="00924D1D" w:rsidRDefault="008B48A2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Stage 2 implementation proposal</w:t>
            </w:r>
          </w:p>
        </w:tc>
        <w:tc>
          <w:tcPr>
            <w:tcW w:w="1226" w:type="dxa"/>
            <w:shd w:val="clear" w:color="auto" w:fill="auto"/>
          </w:tcPr>
          <w:p w14:paraId="26B0DEB4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6A5C6EBD" w14:textId="77777777" w:rsidR="008B48A2" w:rsidRPr="00CD0FF4" w:rsidRDefault="008B48A2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</w:tc>
      </w:tr>
      <w:tr w:rsidR="008B48A2" w:rsidRPr="00CD0FF4" w14:paraId="76AF1DCC" w14:textId="77777777" w:rsidTr="00903F85">
        <w:tc>
          <w:tcPr>
            <w:tcW w:w="1979" w:type="dxa"/>
            <w:vMerge/>
            <w:shd w:val="clear" w:color="auto" w:fill="auto"/>
          </w:tcPr>
          <w:p w14:paraId="02697465" w14:textId="77777777" w:rsidR="008B48A2" w:rsidRPr="00CD0FF4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22A2F29B" w14:textId="7D474B06" w:rsidR="008B48A2" w:rsidRPr="00924D1D" w:rsidRDefault="007540B3" w:rsidP="007540B3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26" w:type="dxa"/>
            <w:shd w:val="clear" w:color="auto" w:fill="auto"/>
          </w:tcPr>
          <w:p w14:paraId="6041D95A" w14:textId="33162755" w:rsidR="008B48A2" w:rsidRPr="00CD0FF4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2,3,4,5 </w:t>
            </w:r>
          </w:p>
        </w:tc>
        <w:tc>
          <w:tcPr>
            <w:tcW w:w="1798" w:type="dxa"/>
            <w:shd w:val="clear" w:color="auto" w:fill="auto"/>
          </w:tcPr>
          <w:p w14:paraId="64BBC29E" w14:textId="77777777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122619BF" w14:textId="77777777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5AB65F8B" w14:textId="77777777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</w:p>
          <w:p w14:paraId="217C4950" w14:textId="77777777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  <w:p w14:paraId="38155888" w14:textId="73EFAEFC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</w:p>
          <w:p w14:paraId="593C3AF8" w14:textId="77777777" w:rsidR="008B48A2" w:rsidRPr="00CD0FF4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</w:tr>
      <w:tr w:rsidR="000D1356" w:rsidRPr="00CD0FF4" w14:paraId="6FEBF2E1" w14:textId="77777777" w:rsidTr="00903F85">
        <w:tc>
          <w:tcPr>
            <w:tcW w:w="1979" w:type="dxa"/>
            <w:vMerge w:val="restart"/>
            <w:shd w:val="clear" w:color="auto" w:fill="auto"/>
          </w:tcPr>
          <w:p w14:paraId="345D468B" w14:textId="77777777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Murray National Parks Project</w:t>
            </w:r>
          </w:p>
        </w:tc>
        <w:tc>
          <w:tcPr>
            <w:tcW w:w="4348" w:type="dxa"/>
            <w:shd w:val="clear" w:color="auto" w:fill="auto"/>
          </w:tcPr>
          <w:p w14:paraId="796819EF" w14:textId="66D38105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INSW gateway 1 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ab/>
            </w:r>
          </w:p>
          <w:p w14:paraId="29B7E50E" w14:textId="00BECB23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stakeholder engagement framework</w:t>
            </w:r>
          </w:p>
        </w:tc>
        <w:tc>
          <w:tcPr>
            <w:tcW w:w="1226" w:type="dxa"/>
            <w:shd w:val="clear" w:color="auto" w:fill="auto"/>
          </w:tcPr>
          <w:p w14:paraId="0EDB0E0D" w14:textId="77777777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14:paraId="04B6B289" w14:textId="2AE34F53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0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October 2019</w:t>
            </w:r>
          </w:p>
        </w:tc>
      </w:tr>
      <w:tr w:rsidR="000D1356" w:rsidRPr="00CD0FF4" w14:paraId="00C85820" w14:textId="77777777" w:rsidTr="00903F85">
        <w:tc>
          <w:tcPr>
            <w:tcW w:w="1979" w:type="dxa"/>
            <w:vMerge/>
            <w:shd w:val="clear" w:color="auto" w:fill="auto"/>
          </w:tcPr>
          <w:p w14:paraId="49D19C05" w14:textId="77777777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095B5671" w14:textId="4D18E1D9" w:rsidR="000D1356" w:rsidRPr="00924D1D" w:rsidRDefault="007540B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0D1356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of conceptual modelling </w:t>
            </w:r>
          </w:p>
          <w:p w14:paraId="100FF2BD" w14:textId="4948261A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design and commission framework documentation </w:t>
            </w:r>
          </w:p>
          <w:p w14:paraId="4EDFED4A" w14:textId="3F840EB9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 of operating rules</w:t>
            </w:r>
          </w:p>
          <w:p w14:paraId="7F9F054C" w14:textId="4E9D15AD" w:rsidR="000D1356" w:rsidRPr="00924D1D" w:rsidRDefault="007540B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0D1356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of monitoring and evaluation plan</w:t>
            </w:r>
          </w:p>
        </w:tc>
        <w:tc>
          <w:tcPr>
            <w:tcW w:w="1226" w:type="dxa"/>
            <w:shd w:val="clear" w:color="auto" w:fill="auto"/>
          </w:tcPr>
          <w:p w14:paraId="129B3783" w14:textId="77777777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14:paraId="67AD5CA7" w14:textId="77777777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</w:p>
        </w:tc>
      </w:tr>
      <w:tr w:rsidR="000D1356" w:rsidRPr="00CD0FF4" w14:paraId="571C642C" w14:textId="77777777" w:rsidTr="00903F85">
        <w:tc>
          <w:tcPr>
            <w:tcW w:w="1979" w:type="dxa"/>
            <w:vMerge/>
            <w:shd w:val="clear" w:color="auto" w:fill="auto"/>
          </w:tcPr>
          <w:p w14:paraId="20E974DB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259F3B5D" w14:textId="77777777" w:rsidR="000D1356" w:rsidRPr="0048097E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INSW g</w:t>
            </w: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ateway 2</w:t>
            </w:r>
          </w:p>
          <w:p w14:paraId="0A728D80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statutory approvals and/or permits  </w:t>
            </w:r>
          </w:p>
          <w:p w14:paraId="60FEB536" w14:textId="78F0D0A5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design specifications and costings</w:t>
            </w:r>
          </w:p>
        </w:tc>
        <w:tc>
          <w:tcPr>
            <w:tcW w:w="1226" w:type="dxa"/>
            <w:shd w:val="clear" w:color="auto" w:fill="auto"/>
          </w:tcPr>
          <w:p w14:paraId="267AB229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14:paraId="4C1184B1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</w:p>
        </w:tc>
      </w:tr>
      <w:tr w:rsidR="000D1356" w:rsidRPr="00CD0FF4" w14:paraId="189AA25B" w14:textId="77777777" w:rsidTr="00903F85">
        <w:tc>
          <w:tcPr>
            <w:tcW w:w="1979" w:type="dxa"/>
            <w:vMerge/>
            <w:shd w:val="clear" w:color="auto" w:fill="auto"/>
          </w:tcPr>
          <w:p w14:paraId="773BDF12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4EE9B5BE" w14:textId="77777777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Stage 2 implementation proposal</w:t>
            </w:r>
          </w:p>
        </w:tc>
        <w:tc>
          <w:tcPr>
            <w:tcW w:w="1226" w:type="dxa"/>
            <w:shd w:val="clear" w:color="auto" w:fill="auto"/>
          </w:tcPr>
          <w:p w14:paraId="76EE0BC4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254664ED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2022</w:t>
            </w:r>
          </w:p>
        </w:tc>
      </w:tr>
      <w:tr w:rsidR="000D1356" w:rsidRPr="00CD0FF4" w14:paraId="43F3BB47" w14:textId="77777777" w:rsidTr="00903F85">
        <w:tc>
          <w:tcPr>
            <w:tcW w:w="1979" w:type="dxa"/>
            <w:shd w:val="clear" w:color="auto" w:fill="auto"/>
          </w:tcPr>
          <w:p w14:paraId="5CA7EB12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30F1EAEE" w14:textId="17F02BAC" w:rsidR="000D1356" w:rsidRPr="00924D1D" w:rsidRDefault="007540B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26" w:type="dxa"/>
            <w:shd w:val="clear" w:color="auto" w:fill="auto"/>
          </w:tcPr>
          <w:p w14:paraId="4BCE7AB0" w14:textId="73C815CF" w:rsidR="000D1356" w:rsidRPr="00CD0FF4" w:rsidRDefault="000D1356" w:rsidP="007540B3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2,3,4,5 </w:t>
            </w:r>
          </w:p>
        </w:tc>
        <w:tc>
          <w:tcPr>
            <w:tcW w:w="1798" w:type="dxa"/>
            <w:shd w:val="clear" w:color="auto" w:fill="auto"/>
          </w:tcPr>
          <w:p w14:paraId="3FB0B275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78BAFD5B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38967782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</w:p>
          <w:p w14:paraId="7F737BFB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  <w:p w14:paraId="0C685083" w14:textId="5DF9AC78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</w:p>
          <w:p w14:paraId="4B457DB1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</w:tr>
      <w:tr w:rsidR="000D1356" w:rsidRPr="00CD0FF4" w14:paraId="3D61657D" w14:textId="77777777" w:rsidTr="00903F85">
        <w:tc>
          <w:tcPr>
            <w:tcW w:w="1979" w:type="dxa"/>
            <w:vMerge w:val="restart"/>
            <w:shd w:val="clear" w:color="auto" w:fill="auto"/>
          </w:tcPr>
          <w:p w14:paraId="483A87E1" w14:textId="3582690E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Yarrawonga to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Wakool 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constraints measure</w:t>
            </w:r>
          </w:p>
        </w:tc>
        <w:tc>
          <w:tcPr>
            <w:tcW w:w="4348" w:type="dxa"/>
            <w:shd w:val="clear" w:color="auto" w:fill="auto"/>
          </w:tcPr>
          <w:p w14:paraId="087B9DB4" w14:textId="77777777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Deliverability risks and issues planning</w:t>
            </w:r>
          </w:p>
          <w:p w14:paraId="095DC980" w14:textId="4FB2692B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implementation plan aligning milestones across jurisdictions</w:t>
            </w:r>
          </w:p>
          <w:p w14:paraId="190DC3B5" w14:textId="77777777" w:rsidR="000D1356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INSW gateway 1 documentation development contracted</w:t>
            </w:r>
          </w:p>
          <w:p w14:paraId="6E07F56F" w14:textId="5C00C74B" w:rsidR="00D07B03" w:rsidRPr="00924D1D" w:rsidRDefault="00D07B03" w:rsidP="00D07B03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Provision of draft stakeholder engagement framework for discussion with Commonwealth </w:t>
            </w:r>
          </w:p>
        </w:tc>
        <w:tc>
          <w:tcPr>
            <w:tcW w:w="1226" w:type="dxa"/>
            <w:shd w:val="clear" w:color="auto" w:fill="auto"/>
          </w:tcPr>
          <w:p w14:paraId="425F9D88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14:paraId="692B4E22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</w:p>
        </w:tc>
      </w:tr>
      <w:tr w:rsidR="000D1356" w:rsidRPr="00CD0FF4" w14:paraId="3F21616C" w14:textId="77777777" w:rsidTr="00903F85">
        <w:tc>
          <w:tcPr>
            <w:tcW w:w="1979" w:type="dxa"/>
            <w:vMerge/>
            <w:shd w:val="clear" w:color="auto" w:fill="auto"/>
          </w:tcPr>
          <w:p w14:paraId="5C7F3EE8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5599E89B" w14:textId="7CD2BFE3" w:rsidR="000D1356" w:rsidRPr="00924D1D" w:rsidRDefault="00F7141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S</w:t>
            </w:r>
            <w:r w:rsidR="000D1356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takeholder engagement framework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completed and agreed with the Commonwealth</w:t>
            </w:r>
          </w:p>
          <w:p w14:paraId="5F6B6BD6" w14:textId="7327AC32" w:rsidR="000D1356" w:rsidRPr="00CD0FF4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INSW gateway 1 </w:t>
            </w:r>
          </w:p>
        </w:tc>
        <w:tc>
          <w:tcPr>
            <w:tcW w:w="1226" w:type="dxa"/>
            <w:shd w:val="clear" w:color="auto" w:fill="auto"/>
          </w:tcPr>
          <w:p w14:paraId="3714E6FB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14:paraId="37EDF6C9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</w:p>
        </w:tc>
      </w:tr>
      <w:tr w:rsidR="000D1356" w:rsidRPr="00CD0FF4" w14:paraId="2DF9B9EA" w14:textId="77777777" w:rsidTr="00903F85">
        <w:tc>
          <w:tcPr>
            <w:tcW w:w="1979" w:type="dxa"/>
            <w:vMerge/>
            <w:shd w:val="clear" w:color="auto" w:fill="auto"/>
          </w:tcPr>
          <w:p w14:paraId="7EA3555B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65998124" w14:textId="3C185409" w:rsidR="000D1356" w:rsidRPr="00924D1D" w:rsidRDefault="007540B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0D1356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of conceptual modelling</w:t>
            </w:r>
          </w:p>
          <w:p w14:paraId="5B0E7E31" w14:textId="6E71E00E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Development of mapping and operating rules </w:t>
            </w:r>
          </w:p>
          <w:p w14:paraId="560BFAA3" w14:textId="0C5CBEC1" w:rsidR="000D1356" w:rsidRPr="00924D1D" w:rsidRDefault="007540B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0D1356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of monitoring and evaluation plan</w:t>
            </w:r>
          </w:p>
        </w:tc>
        <w:tc>
          <w:tcPr>
            <w:tcW w:w="1226" w:type="dxa"/>
            <w:shd w:val="clear" w:color="auto" w:fill="auto"/>
          </w:tcPr>
          <w:p w14:paraId="249B1B14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14:paraId="6D6A9C43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</w:p>
        </w:tc>
      </w:tr>
      <w:tr w:rsidR="000D1356" w:rsidRPr="00CD0FF4" w14:paraId="4A6392D8" w14:textId="77777777" w:rsidTr="00903F85">
        <w:tc>
          <w:tcPr>
            <w:tcW w:w="1979" w:type="dxa"/>
            <w:vMerge/>
            <w:shd w:val="clear" w:color="auto" w:fill="auto"/>
          </w:tcPr>
          <w:p w14:paraId="605E1E59" w14:textId="4CFC2DF9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15BF1C18" w14:textId="60F79C70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Establishment of commercial framework</w:t>
            </w:r>
          </w:p>
          <w:p w14:paraId="5FA57D70" w14:textId="6B7C905A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Landowner Consultation Progress Report 1</w:t>
            </w:r>
          </w:p>
        </w:tc>
        <w:tc>
          <w:tcPr>
            <w:tcW w:w="1226" w:type="dxa"/>
            <w:shd w:val="clear" w:color="auto" w:fill="auto"/>
          </w:tcPr>
          <w:p w14:paraId="6ACA1EC8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670BCA7A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</w:tc>
      </w:tr>
      <w:tr w:rsidR="000D1356" w:rsidRPr="00CD0FF4" w14:paraId="476310C6" w14:textId="77777777" w:rsidTr="00903F85">
        <w:tc>
          <w:tcPr>
            <w:tcW w:w="1979" w:type="dxa"/>
            <w:vMerge/>
            <w:shd w:val="clear" w:color="auto" w:fill="auto"/>
          </w:tcPr>
          <w:p w14:paraId="69055137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395ACD23" w14:textId="77777777" w:rsidR="000D1356" w:rsidRPr="00AD47A2" w:rsidRDefault="000D1356" w:rsidP="000D1356">
            <w:pPr>
              <w:rPr>
                <w:rFonts w:cstheme="minorHAnsi"/>
                <w:sz w:val="23"/>
                <w:szCs w:val="23"/>
              </w:rPr>
            </w:pPr>
            <w:r w:rsidRPr="00AD47A2">
              <w:rPr>
                <w:rFonts w:cstheme="minorHAnsi"/>
                <w:sz w:val="23"/>
                <w:szCs w:val="23"/>
              </w:rPr>
              <w:t xml:space="preserve">Lodgement of statutory approvals and/or permits  </w:t>
            </w:r>
          </w:p>
          <w:p w14:paraId="69974024" w14:textId="24BAC854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Landowner Consultation Progress Report 2</w:t>
            </w:r>
          </w:p>
          <w:p w14:paraId="6A84977E" w14:textId="77777777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Design specifications and costings contracted</w:t>
            </w:r>
          </w:p>
        </w:tc>
        <w:tc>
          <w:tcPr>
            <w:tcW w:w="1226" w:type="dxa"/>
            <w:shd w:val="clear" w:color="auto" w:fill="auto"/>
          </w:tcPr>
          <w:p w14:paraId="7BB4A49F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14:paraId="5C1C5E86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30 October 2021 </w:t>
            </w:r>
          </w:p>
        </w:tc>
      </w:tr>
      <w:tr w:rsidR="000D1356" w:rsidRPr="00CD0FF4" w14:paraId="67C3022D" w14:textId="77777777" w:rsidTr="00903F85">
        <w:tc>
          <w:tcPr>
            <w:tcW w:w="1979" w:type="dxa"/>
            <w:vMerge/>
            <w:shd w:val="clear" w:color="auto" w:fill="auto"/>
          </w:tcPr>
          <w:p w14:paraId="3E874A74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2C9DBFDF" w14:textId="77777777" w:rsidR="000D1356" w:rsidRPr="0048097E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Lodgement of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INSW g</w:t>
            </w: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ateway 2</w:t>
            </w:r>
          </w:p>
          <w:p w14:paraId="23DBE010" w14:textId="037E12DB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design specifications and costings</w:t>
            </w:r>
          </w:p>
          <w:p w14:paraId="452F81D4" w14:textId="00E4A71A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Landowner Consultation Progress Report 3</w:t>
            </w:r>
          </w:p>
          <w:p w14:paraId="4A948ED0" w14:textId="77777777" w:rsidR="000D1356" w:rsidRPr="00924D1D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Stage 2 implementation proposal</w:t>
            </w:r>
          </w:p>
        </w:tc>
        <w:tc>
          <w:tcPr>
            <w:tcW w:w="1226" w:type="dxa"/>
            <w:shd w:val="clear" w:color="auto" w:fill="auto"/>
          </w:tcPr>
          <w:p w14:paraId="40379183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7</w:t>
            </w:r>
          </w:p>
        </w:tc>
        <w:tc>
          <w:tcPr>
            <w:tcW w:w="1798" w:type="dxa"/>
            <w:shd w:val="clear" w:color="auto" w:fill="auto"/>
          </w:tcPr>
          <w:p w14:paraId="2ED6212A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2022</w:t>
            </w:r>
          </w:p>
        </w:tc>
      </w:tr>
      <w:tr w:rsidR="000D1356" w:rsidRPr="00CD0FF4" w14:paraId="4F40DFAF" w14:textId="77777777" w:rsidTr="00903F85">
        <w:tc>
          <w:tcPr>
            <w:tcW w:w="1979" w:type="dxa"/>
            <w:shd w:val="clear" w:color="auto" w:fill="auto"/>
          </w:tcPr>
          <w:p w14:paraId="2A31C536" w14:textId="33B40E46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348" w:type="dxa"/>
            <w:shd w:val="clear" w:color="auto" w:fill="auto"/>
          </w:tcPr>
          <w:p w14:paraId="52678261" w14:textId="17C22EB5" w:rsidR="000D1356" w:rsidRPr="0048097E" w:rsidRDefault="007540B3" w:rsidP="007540B3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26" w:type="dxa"/>
            <w:shd w:val="clear" w:color="auto" w:fill="auto"/>
          </w:tcPr>
          <w:p w14:paraId="6801B44E" w14:textId="0486A236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2,3,4,5, 6</w:t>
            </w:r>
          </w:p>
        </w:tc>
        <w:tc>
          <w:tcPr>
            <w:tcW w:w="1798" w:type="dxa"/>
            <w:shd w:val="clear" w:color="auto" w:fill="auto"/>
          </w:tcPr>
          <w:p w14:paraId="10F0D21B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38520055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41F5893E" w14:textId="265E69CC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</w:p>
          <w:p w14:paraId="17F6D56E" w14:textId="46976031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  <w:p w14:paraId="652E6B35" w14:textId="0F86A3D5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</w:p>
          <w:p w14:paraId="246EF1D9" w14:textId="03B8D776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</w:tr>
    </w:tbl>
    <w:p w14:paraId="4382FA30" w14:textId="40D3C9F0" w:rsidR="00364565" w:rsidRPr="00CD0FF4" w:rsidRDefault="00364565" w:rsidP="00CD0FF4">
      <w:pPr>
        <w:pStyle w:val="ListParagraph"/>
        <w:spacing w:after="0" w:line="240" w:lineRule="auto"/>
        <w:ind w:left="29"/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</w:pPr>
    </w:p>
    <w:p w14:paraId="43662DC4" w14:textId="123681E4" w:rsidR="00CD7240" w:rsidRPr="00CD0FF4" w:rsidRDefault="00A70A43" w:rsidP="00CD0FF4">
      <w:pPr>
        <w:pStyle w:val="ListParagraph"/>
        <w:spacing w:after="0" w:line="240" w:lineRule="auto"/>
        <w:ind w:left="29"/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</w:pPr>
      <w:r w:rsidRPr="00CD0FF4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 xml:space="preserve">Table </w:t>
      </w:r>
      <w:r w:rsidR="00364565" w:rsidRPr="00CD0FF4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>3</w:t>
      </w:r>
      <w:r w:rsidR="00CD7240" w:rsidRPr="00CD0FF4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 xml:space="preserve">: Murrumbidgee </w:t>
      </w:r>
      <w:r w:rsidR="00364565" w:rsidRPr="00CD0FF4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 xml:space="preserve">Work Stream </w:t>
      </w:r>
      <w:r w:rsidR="00924D1D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 xml:space="preserve">milestones and </w:t>
      </w:r>
      <w:r w:rsidR="00CD7240" w:rsidRPr="00CD0FF4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>reporting</w:t>
      </w:r>
      <w:r w:rsidR="00924D1D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 xml:space="preserve"> </w:t>
      </w:r>
      <w:r w:rsidR="00CD7240" w:rsidRPr="00CD0FF4">
        <w:rPr>
          <w:rFonts w:ascii="Corbel" w:eastAsia="Times New Roman" w:hAnsi="Corbel" w:cs="Times New Roman"/>
          <w:b/>
          <w:color w:val="000000"/>
          <w:sz w:val="23"/>
          <w:szCs w:val="20"/>
          <w:lang w:eastAsia="ja-JP"/>
        </w:rPr>
        <w:t>summary</w:t>
      </w:r>
    </w:p>
    <w:p w14:paraId="20700EE0" w14:textId="77777777" w:rsidR="00CD0FF4" w:rsidRPr="00CD0FF4" w:rsidRDefault="00CD0FF4" w:rsidP="00CD0FF4">
      <w:pPr>
        <w:pStyle w:val="ListParagraph"/>
        <w:spacing w:after="0" w:line="240" w:lineRule="auto"/>
        <w:ind w:left="29"/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276"/>
        <w:gridCol w:w="1843"/>
      </w:tblGrid>
      <w:tr w:rsidR="00B25D9B" w:rsidRPr="00CD0FF4" w14:paraId="2F4C80CC" w14:textId="77777777" w:rsidTr="00B25D9B">
        <w:trPr>
          <w:tblHeader/>
        </w:trPr>
        <w:tc>
          <w:tcPr>
            <w:tcW w:w="1980" w:type="dxa"/>
          </w:tcPr>
          <w:p w14:paraId="285983AF" w14:textId="58C0CC3B" w:rsidR="00B25D9B" w:rsidRPr="00CD0FF4" w:rsidRDefault="00B25D9B" w:rsidP="00B25D9B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Outputs </w:t>
            </w:r>
          </w:p>
        </w:tc>
        <w:tc>
          <w:tcPr>
            <w:tcW w:w="4252" w:type="dxa"/>
          </w:tcPr>
          <w:p w14:paraId="0D1D8D45" w14:textId="1ED71E0F" w:rsidR="00B25D9B" w:rsidRPr="00CD0FF4" w:rsidRDefault="00B25D9B" w:rsidP="0082403D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Milestone </w:t>
            </w:r>
            <w:r w:rsidR="00FA0AAC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Component </w:t>
            </w:r>
          </w:p>
        </w:tc>
        <w:tc>
          <w:tcPr>
            <w:tcW w:w="1276" w:type="dxa"/>
          </w:tcPr>
          <w:p w14:paraId="14BA6EF3" w14:textId="77777777" w:rsidR="00B25D9B" w:rsidRDefault="00B25D9B" w:rsidP="00B25D9B">
            <w:pPr>
              <w:pStyle w:val="ListParagraph"/>
              <w:ind w:left="29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Milestone </w:t>
            </w:r>
          </w:p>
          <w:p w14:paraId="41A764B4" w14:textId="4F3F2A75" w:rsidR="00FA0AAC" w:rsidRPr="00CD0FF4" w:rsidRDefault="00FA0AAC" w:rsidP="00B25D9B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number</w:t>
            </w:r>
          </w:p>
        </w:tc>
        <w:tc>
          <w:tcPr>
            <w:tcW w:w="1843" w:type="dxa"/>
          </w:tcPr>
          <w:p w14:paraId="41C1487D" w14:textId="0BA97B02" w:rsidR="00B25D9B" w:rsidRPr="00CD0FF4" w:rsidRDefault="00B25D9B" w:rsidP="00B25D9B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Report Due </w:t>
            </w:r>
          </w:p>
        </w:tc>
      </w:tr>
      <w:tr w:rsidR="00A70A43" w:rsidRPr="00CD0FF4" w14:paraId="71D9C57F" w14:textId="77777777" w:rsidTr="00B25D9B">
        <w:tc>
          <w:tcPr>
            <w:tcW w:w="1980" w:type="dxa"/>
            <w:vMerge w:val="restart"/>
            <w:shd w:val="clear" w:color="auto" w:fill="auto"/>
          </w:tcPr>
          <w:p w14:paraId="24F5D2B3" w14:textId="66D676C5" w:rsidR="00A70A43" w:rsidRPr="00CD0FF4" w:rsidRDefault="00A70A43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Murrumbidgee </w:t>
            </w:r>
            <w:r w:rsidR="00CD0FF4"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Work Stream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delivery framework</w:t>
            </w:r>
          </w:p>
          <w:p w14:paraId="05A0E689" w14:textId="715AE51A" w:rsidR="00A70A43" w:rsidRPr="00CD0FF4" w:rsidRDefault="00A70A43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4282D6F7" w14:textId="77777777" w:rsidR="0048097E" w:rsidRPr="00924D1D" w:rsidRDefault="0048097E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Establishment of program management team </w:t>
            </w:r>
          </w:p>
          <w:p w14:paraId="08B8D084" w14:textId="307D9487" w:rsidR="0048097E" w:rsidRPr="00924D1D" w:rsidRDefault="0048097E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Registration of program with INSW</w:t>
            </w:r>
          </w:p>
        </w:tc>
        <w:tc>
          <w:tcPr>
            <w:tcW w:w="1276" w:type="dxa"/>
            <w:shd w:val="clear" w:color="auto" w:fill="auto"/>
          </w:tcPr>
          <w:p w14:paraId="1C12F749" w14:textId="4E002B22" w:rsidR="00A70A43" w:rsidRPr="00CD0FF4" w:rsidRDefault="00A70A43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5241B04" w14:textId="4DCF12D9" w:rsidR="00A70A43" w:rsidRPr="00CD0FF4" w:rsidRDefault="00A70A43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2019</w:t>
            </w:r>
          </w:p>
        </w:tc>
      </w:tr>
      <w:tr w:rsidR="00A70A43" w:rsidRPr="00CD0FF4" w14:paraId="27288F70" w14:textId="77777777" w:rsidTr="00B25D9B">
        <w:tc>
          <w:tcPr>
            <w:tcW w:w="1980" w:type="dxa"/>
            <w:vMerge/>
            <w:shd w:val="clear" w:color="auto" w:fill="auto"/>
          </w:tcPr>
          <w:p w14:paraId="4A7A8EEC" w14:textId="77777777" w:rsidR="00A70A43" w:rsidRPr="00CD0FF4" w:rsidRDefault="00A70A43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5AC9E241" w14:textId="3CA8FA35" w:rsidR="00A70A43" w:rsidRPr="00924D1D" w:rsidRDefault="0048097E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Establishment and operation of program governance controls &amp; reporting frameworks, processes and systems</w:t>
            </w:r>
          </w:p>
        </w:tc>
        <w:tc>
          <w:tcPr>
            <w:tcW w:w="1276" w:type="dxa"/>
            <w:shd w:val="clear" w:color="auto" w:fill="auto"/>
          </w:tcPr>
          <w:p w14:paraId="4A6AE09A" w14:textId="33F059F2" w:rsidR="00A70A43" w:rsidRPr="00CD0FF4" w:rsidRDefault="00A70A43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DF9AE62" w14:textId="3DA8D721" w:rsidR="00A70A43" w:rsidRPr="00CD0FF4" w:rsidRDefault="00D111DA" w:rsidP="00B224EF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  <w:r w:rsidR="00B224EF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0</w:t>
            </w:r>
            <w:r w:rsidR="00A70A43"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October 2019</w:t>
            </w:r>
          </w:p>
        </w:tc>
      </w:tr>
      <w:tr w:rsidR="000D1356" w:rsidRPr="00CD0FF4" w14:paraId="51120CF1" w14:textId="77777777" w:rsidTr="0069148C">
        <w:tc>
          <w:tcPr>
            <w:tcW w:w="1980" w:type="dxa"/>
            <w:vMerge w:val="restart"/>
            <w:shd w:val="clear" w:color="auto" w:fill="auto"/>
          </w:tcPr>
          <w:p w14:paraId="27678261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Modernising Supply Systems for Effluent Creeks  - Murrumbidgee River </w:t>
            </w:r>
          </w:p>
        </w:tc>
        <w:tc>
          <w:tcPr>
            <w:tcW w:w="4252" w:type="dxa"/>
            <w:shd w:val="clear" w:color="auto" w:fill="auto"/>
          </w:tcPr>
          <w:p w14:paraId="49018B65" w14:textId="77777777" w:rsidR="000D1356" w:rsidRPr="00924D1D" w:rsidRDefault="000D1356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INSW Gateway 1 documentation development contracted 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ab/>
            </w:r>
          </w:p>
          <w:p w14:paraId="5B4D7875" w14:textId="23E8A605" w:rsidR="000D1356" w:rsidRPr="00924D1D" w:rsidRDefault="000D1356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stakeholder engagement framework </w:t>
            </w:r>
          </w:p>
        </w:tc>
        <w:tc>
          <w:tcPr>
            <w:tcW w:w="1276" w:type="dxa"/>
            <w:shd w:val="clear" w:color="auto" w:fill="auto"/>
          </w:tcPr>
          <w:p w14:paraId="46130761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30EFD23" w14:textId="1151D0E0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0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October 2019</w:t>
            </w:r>
          </w:p>
        </w:tc>
      </w:tr>
      <w:tr w:rsidR="000D1356" w:rsidRPr="00CD0FF4" w14:paraId="4F340000" w14:textId="77777777" w:rsidTr="0069148C">
        <w:tc>
          <w:tcPr>
            <w:tcW w:w="1980" w:type="dxa"/>
            <w:vMerge/>
            <w:shd w:val="clear" w:color="auto" w:fill="auto"/>
          </w:tcPr>
          <w:p w14:paraId="3C87629A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38935DBD" w14:textId="3B47E032" w:rsidR="000D1356" w:rsidRDefault="007540B3" w:rsidP="0048097E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0D1356"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of conceptual modelling </w:t>
            </w:r>
          </w:p>
          <w:p w14:paraId="2DE69F0A" w14:textId="037011B0" w:rsidR="007540B3" w:rsidRPr="0048097E" w:rsidRDefault="007540B3" w:rsidP="0048097E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Lodgement of INSW Gateway 1</w:t>
            </w:r>
          </w:p>
          <w:p w14:paraId="087FE911" w14:textId="77777777" w:rsidR="000D1356" w:rsidRPr="0048097E" w:rsidRDefault="000D1356" w:rsidP="0048097E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design and commission framework documentation </w:t>
            </w:r>
          </w:p>
          <w:p w14:paraId="3D67673F" w14:textId="0E4DC1D6" w:rsidR="000D1356" w:rsidRPr="00CD0FF4" w:rsidRDefault="000D1356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48097E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 of operating rules</w:t>
            </w:r>
          </w:p>
        </w:tc>
        <w:tc>
          <w:tcPr>
            <w:tcW w:w="1276" w:type="dxa"/>
            <w:shd w:val="clear" w:color="auto" w:fill="auto"/>
          </w:tcPr>
          <w:p w14:paraId="42F0A697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533CC5E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</w:p>
        </w:tc>
      </w:tr>
      <w:tr w:rsidR="000D1356" w:rsidRPr="00CD0FF4" w14:paraId="029C2878" w14:textId="77777777" w:rsidTr="0069148C">
        <w:tc>
          <w:tcPr>
            <w:tcW w:w="1980" w:type="dxa"/>
            <w:vMerge/>
            <w:shd w:val="clear" w:color="auto" w:fill="auto"/>
          </w:tcPr>
          <w:p w14:paraId="18F0CF47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694C9103" w14:textId="4F70B262" w:rsidR="000D1356" w:rsidRPr="00924D1D" w:rsidRDefault="007540B3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Development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="000D1356"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of monitoring and evaluation plan </w:t>
            </w:r>
          </w:p>
          <w:p w14:paraId="4C3E4835" w14:textId="77777777" w:rsidR="000D1356" w:rsidRPr="00924D1D" w:rsidRDefault="000D1356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Design specifications and costings contracted</w:t>
            </w:r>
          </w:p>
        </w:tc>
        <w:tc>
          <w:tcPr>
            <w:tcW w:w="1276" w:type="dxa"/>
            <w:shd w:val="clear" w:color="auto" w:fill="auto"/>
          </w:tcPr>
          <w:p w14:paraId="0C650933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B1EAB3E" w14:textId="0C221B5E" w:rsidR="000D1356" w:rsidRPr="00CD0FF4" w:rsidRDefault="000D1356" w:rsidP="00B224EF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0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October 2020</w:t>
            </w:r>
          </w:p>
        </w:tc>
      </w:tr>
      <w:tr w:rsidR="007540B3" w:rsidRPr="00CD0FF4" w14:paraId="1EFE66DB" w14:textId="77777777" w:rsidTr="0069148C">
        <w:tc>
          <w:tcPr>
            <w:tcW w:w="1980" w:type="dxa"/>
            <w:vMerge/>
            <w:shd w:val="clear" w:color="auto" w:fill="auto"/>
          </w:tcPr>
          <w:p w14:paraId="26CC9BB4" w14:textId="77777777" w:rsidR="007540B3" w:rsidRPr="00CD0FF4" w:rsidRDefault="007540B3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127E08FC" w14:textId="20BCA8C4" w:rsidR="007540B3" w:rsidRPr="00924D1D" w:rsidRDefault="007540B3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Lodgement of INSW Gateway 2</w:t>
            </w:r>
          </w:p>
        </w:tc>
        <w:tc>
          <w:tcPr>
            <w:tcW w:w="1276" w:type="dxa"/>
            <w:shd w:val="clear" w:color="auto" w:fill="auto"/>
          </w:tcPr>
          <w:p w14:paraId="082B65B2" w14:textId="00A32C71" w:rsidR="007540B3" w:rsidRPr="00CD0FF4" w:rsidRDefault="007540B3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3E90F58" w14:textId="2598FD95" w:rsidR="007540B3" w:rsidRPr="00CD0FF4" w:rsidRDefault="007540B3" w:rsidP="00B224EF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</w:tc>
      </w:tr>
      <w:tr w:rsidR="000D1356" w:rsidRPr="00CD0FF4" w14:paraId="598CE320" w14:textId="77777777" w:rsidTr="0069148C">
        <w:tc>
          <w:tcPr>
            <w:tcW w:w="1980" w:type="dxa"/>
            <w:vMerge/>
            <w:shd w:val="clear" w:color="auto" w:fill="auto"/>
          </w:tcPr>
          <w:p w14:paraId="3BC926E3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2EE59B26" w14:textId="46B05681" w:rsidR="000D1356" w:rsidRPr="00924D1D" w:rsidRDefault="000D1356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Completion of design specifications and costings </w:t>
            </w:r>
          </w:p>
          <w:p w14:paraId="397DD2A1" w14:textId="31780005" w:rsidR="000D1356" w:rsidRPr="00DD1785" w:rsidRDefault="000D1356" w:rsidP="0069148C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Lodgement of statutory approvals and/or permits</w:t>
            </w:r>
          </w:p>
        </w:tc>
        <w:tc>
          <w:tcPr>
            <w:tcW w:w="1276" w:type="dxa"/>
            <w:shd w:val="clear" w:color="auto" w:fill="auto"/>
          </w:tcPr>
          <w:p w14:paraId="2B062B74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6BDC720" w14:textId="13809255" w:rsidR="000D1356" w:rsidRPr="00CD0FF4" w:rsidRDefault="000D1356" w:rsidP="00B224EF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0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October 2021</w:t>
            </w:r>
          </w:p>
        </w:tc>
      </w:tr>
      <w:tr w:rsidR="000D1356" w:rsidRPr="00CD0FF4" w14:paraId="163571D4" w14:textId="77777777" w:rsidTr="0069148C">
        <w:tc>
          <w:tcPr>
            <w:tcW w:w="1980" w:type="dxa"/>
            <w:vMerge/>
            <w:shd w:val="clear" w:color="auto" w:fill="FFF2CC" w:themeFill="accent4" w:themeFillTint="33"/>
          </w:tcPr>
          <w:p w14:paraId="0CF22DED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1D894C5" w14:textId="77777777" w:rsidR="000D1356" w:rsidRPr="00924D1D" w:rsidRDefault="000D1356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Stage 2 implementation plan</w:t>
            </w:r>
          </w:p>
        </w:tc>
        <w:tc>
          <w:tcPr>
            <w:tcW w:w="1276" w:type="dxa"/>
            <w:shd w:val="clear" w:color="auto" w:fill="FFFFFF" w:themeFill="background1"/>
          </w:tcPr>
          <w:p w14:paraId="2CD021D5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14:paraId="47AEC12B" w14:textId="77777777" w:rsidR="000D1356" w:rsidRPr="00CD0FF4" w:rsidRDefault="000D1356" w:rsidP="0069148C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2022</w:t>
            </w:r>
          </w:p>
        </w:tc>
      </w:tr>
      <w:tr w:rsidR="000D1356" w:rsidRPr="00CD0FF4" w14:paraId="234B8AD0" w14:textId="77777777" w:rsidTr="0069148C">
        <w:tc>
          <w:tcPr>
            <w:tcW w:w="1980" w:type="dxa"/>
            <w:vMerge/>
            <w:shd w:val="clear" w:color="auto" w:fill="FFF2CC" w:themeFill="accent4" w:themeFillTint="33"/>
          </w:tcPr>
          <w:p w14:paraId="7B2FD55C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5191B43" w14:textId="4B924FD1" w:rsidR="000D1356" w:rsidRPr="00924D1D" w:rsidRDefault="007540B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5F37C875" w14:textId="7D70CF8F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2,3,4,5, 6</w:t>
            </w:r>
          </w:p>
        </w:tc>
        <w:tc>
          <w:tcPr>
            <w:tcW w:w="1843" w:type="dxa"/>
            <w:shd w:val="clear" w:color="auto" w:fill="FFFFFF" w:themeFill="background1"/>
          </w:tcPr>
          <w:p w14:paraId="6BD7AF76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4C732E4A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79C3A06D" w14:textId="181BC081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60EE63BE" w14:textId="7BB4CABC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34754A77" w14:textId="33E0021B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</w:p>
          <w:p w14:paraId="7A1218BA" w14:textId="77777777" w:rsidR="000D1356" w:rsidRPr="00CD0FF4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</w:p>
        </w:tc>
      </w:tr>
      <w:tr w:rsidR="000D1356" w:rsidRPr="00CD0FF4" w14:paraId="09F43E42" w14:textId="77777777" w:rsidTr="0069148C">
        <w:tc>
          <w:tcPr>
            <w:tcW w:w="1980" w:type="dxa"/>
            <w:vMerge w:val="restart"/>
            <w:shd w:val="clear" w:color="auto" w:fill="auto"/>
          </w:tcPr>
          <w:p w14:paraId="2D8B3F71" w14:textId="10259035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Yanco Creek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Offtake 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</w:p>
          <w:p w14:paraId="520D9A5B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  <w:p w14:paraId="6EE779C2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41370C79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INSW Gateway 1 documentation development contracted </w:t>
            </w:r>
          </w:p>
          <w:p w14:paraId="77E667AE" w14:textId="50680CAF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stakeholder engagement framework</w:t>
            </w:r>
          </w:p>
        </w:tc>
        <w:tc>
          <w:tcPr>
            <w:tcW w:w="1276" w:type="dxa"/>
            <w:shd w:val="clear" w:color="auto" w:fill="auto"/>
          </w:tcPr>
          <w:p w14:paraId="5D24635D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804C904" w14:textId="467A8EA9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2019</w:t>
            </w:r>
          </w:p>
          <w:p w14:paraId="4AA07D50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</w:tr>
      <w:tr w:rsidR="000D1356" w:rsidRPr="00CD0FF4" w14:paraId="274B600F" w14:textId="77777777" w:rsidTr="0069148C">
        <w:tc>
          <w:tcPr>
            <w:tcW w:w="1980" w:type="dxa"/>
            <w:vMerge/>
            <w:shd w:val="clear" w:color="auto" w:fill="auto"/>
          </w:tcPr>
          <w:p w14:paraId="7A05156F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30142AA7" w14:textId="36A6101D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1</w:t>
            </w:r>
          </w:p>
          <w:p w14:paraId="7F49AC1E" w14:textId="470CEEA6" w:rsidR="000D1356" w:rsidRPr="00DD1785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of conceptual modelling </w:t>
            </w:r>
          </w:p>
          <w:p w14:paraId="485CEC6A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Completion of design and commission framework documentation </w:t>
            </w:r>
          </w:p>
          <w:p w14:paraId="3EE76BCF" w14:textId="38B7B39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 of operating rules</w:t>
            </w:r>
          </w:p>
        </w:tc>
        <w:tc>
          <w:tcPr>
            <w:tcW w:w="1276" w:type="dxa"/>
            <w:shd w:val="clear" w:color="auto" w:fill="auto"/>
          </w:tcPr>
          <w:p w14:paraId="4F1FC29C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079AF6B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2020</w:t>
            </w:r>
          </w:p>
        </w:tc>
      </w:tr>
      <w:tr w:rsidR="000D1356" w:rsidRPr="00CD0FF4" w14:paraId="20C1C890" w14:textId="77777777" w:rsidTr="0069148C">
        <w:tc>
          <w:tcPr>
            <w:tcW w:w="1980" w:type="dxa"/>
            <w:vMerge/>
            <w:shd w:val="clear" w:color="auto" w:fill="auto"/>
          </w:tcPr>
          <w:p w14:paraId="11B0DE2B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4947CC5F" w14:textId="562C3B75" w:rsidR="000D1356" w:rsidRPr="00DD1785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of monitoring and evaluation plan </w:t>
            </w:r>
          </w:p>
          <w:p w14:paraId="377880A5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Design specifications and costings contracted</w:t>
            </w:r>
          </w:p>
        </w:tc>
        <w:tc>
          <w:tcPr>
            <w:tcW w:w="1276" w:type="dxa"/>
            <w:shd w:val="clear" w:color="auto" w:fill="auto"/>
          </w:tcPr>
          <w:p w14:paraId="24EC0E8A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EF67A62" w14:textId="65C2E5B1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2020</w:t>
            </w:r>
          </w:p>
        </w:tc>
      </w:tr>
      <w:tr w:rsidR="000D1356" w:rsidRPr="00CD0FF4" w14:paraId="46551F5C" w14:textId="77777777" w:rsidTr="0069148C">
        <w:tc>
          <w:tcPr>
            <w:tcW w:w="1980" w:type="dxa"/>
            <w:vMerge/>
            <w:shd w:val="clear" w:color="auto" w:fill="auto"/>
          </w:tcPr>
          <w:p w14:paraId="4537F050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4E72D908" w14:textId="26FCDCA7" w:rsidR="00367004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2</w:t>
            </w:r>
          </w:p>
          <w:p w14:paraId="6D25A066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Completion of design specifications and costings </w:t>
            </w:r>
          </w:p>
          <w:p w14:paraId="586AD9B5" w14:textId="3FA54EF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Lodgement of statutory approvals and/or permits </w:t>
            </w:r>
          </w:p>
        </w:tc>
        <w:tc>
          <w:tcPr>
            <w:tcW w:w="1276" w:type="dxa"/>
            <w:shd w:val="clear" w:color="auto" w:fill="auto"/>
          </w:tcPr>
          <w:p w14:paraId="162EEBF8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211F3C32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2021</w:t>
            </w:r>
          </w:p>
        </w:tc>
      </w:tr>
      <w:tr w:rsidR="000D1356" w:rsidRPr="00CD0FF4" w14:paraId="3188D1BB" w14:textId="77777777" w:rsidTr="0069148C">
        <w:tc>
          <w:tcPr>
            <w:tcW w:w="1980" w:type="dxa"/>
            <w:vMerge/>
            <w:shd w:val="clear" w:color="auto" w:fill="auto"/>
          </w:tcPr>
          <w:p w14:paraId="4AA0D40E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16F3E971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Stage 2 implementation plan</w:t>
            </w:r>
          </w:p>
        </w:tc>
        <w:tc>
          <w:tcPr>
            <w:tcW w:w="1276" w:type="dxa"/>
            <w:shd w:val="clear" w:color="auto" w:fill="auto"/>
          </w:tcPr>
          <w:p w14:paraId="264F4B0D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AFEF1A3" w14:textId="00F29E55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2021</w:t>
            </w:r>
          </w:p>
        </w:tc>
      </w:tr>
      <w:tr w:rsidR="000D1356" w:rsidRPr="00CD0FF4" w14:paraId="555C0163" w14:textId="77777777" w:rsidTr="0069148C">
        <w:tc>
          <w:tcPr>
            <w:tcW w:w="1980" w:type="dxa"/>
            <w:vMerge/>
            <w:shd w:val="clear" w:color="auto" w:fill="auto"/>
          </w:tcPr>
          <w:p w14:paraId="2497B9DB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6BC1D010" w14:textId="672962F0" w:rsidR="000D1356" w:rsidRPr="00DD1785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76" w:type="dxa"/>
            <w:shd w:val="clear" w:color="auto" w:fill="auto"/>
          </w:tcPr>
          <w:p w14:paraId="0557D6EC" w14:textId="06BB56D8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2,3,4,5, 6</w:t>
            </w:r>
          </w:p>
        </w:tc>
        <w:tc>
          <w:tcPr>
            <w:tcW w:w="1843" w:type="dxa"/>
            <w:shd w:val="clear" w:color="auto" w:fill="auto"/>
          </w:tcPr>
          <w:p w14:paraId="5BFF5B55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6E5FB4ED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68ACDB43" w14:textId="4DA9B6DA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4A647A39" w14:textId="02D8AE4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0BB1B13B" w14:textId="1C2789D9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</w:p>
          <w:p w14:paraId="15DCDECC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</w:tr>
      <w:tr w:rsidR="000D1356" w:rsidRPr="00CD0FF4" w14:paraId="0AA22732" w14:textId="77777777" w:rsidTr="0069148C">
        <w:tc>
          <w:tcPr>
            <w:tcW w:w="1980" w:type="dxa"/>
            <w:vMerge w:val="restart"/>
            <w:shd w:val="clear" w:color="auto" w:fill="FFFFFF" w:themeFill="background1"/>
          </w:tcPr>
          <w:p w14:paraId="062492AD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Murrumbidgee National Parks </w:t>
            </w:r>
          </w:p>
        </w:tc>
        <w:tc>
          <w:tcPr>
            <w:tcW w:w="4252" w:type="dxa"/>
            <w:shd w:val="clear" w:color="auto" w:fill="FFFFFF" w:themeFill="background1"/>
          </w:tcPr>
          <w:p w14:paraId="441BA5D4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INSW Gateway 1 documentation development contracted 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ab/>
            </w:r>
          </w:p>
          <w:p w14:paraId="73B58B95" w14:textId="2677795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Completion of stakeholder engagement framework </w:t>
            </w:r>
          </w:p>
        </w:tc>
        <w:tc>
          <w:tcPr>
            <w:tcW w:w="1276" w:type="dxa"/>
            <w:shd w:val="clear" w:color="auto" w:fill="FFFFFF" w:themeFill="background1"/>
          </w:tcPr>
          <w:p w14:paraId="16B8BD9B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14:paraId="484E9B21" w14:textId="76B0CCFC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2019</w:t>
            </w:r>
          </w:p>
        </w:tc>
      </w:tr>
      <w:tr w:rsidR="000D1356" w:rsidRPr="00CD0FF4" w14:paraId="278CD2E1" w14:textId="77777777" w:rsidTr="0069148C">
        <w:tc>
          <w:tcPr>
            <w:tcW w:w="1980" w:type="dxa"/>
            <w:vMerge/>
            <w:shd w:val="clear" w:color="auto" w:fill="FFFFFF" w:themeFill="background1"/>
          </w:tcPr>
          <w:p w14:paraId="09C6535A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1B6987D1" w14:textId="17DA4CFA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1</w:t>
            </w:r>
          </w:p>
          <w:p w14:paraId="39D7EAD6" w14:textId="39C588A0" w:rsidR="00367004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conceptual modelling</w:t>
            </w:r>
          </w:p>
          <w:p w14:paraId="47B76049" w14:textId="6A172A21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Completion of design and commission framework documentation </w:t>
            </w:r>
          </w:p>
          <w:p w14:paraId="2921CD27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 of operating rules</w:t>
            </w:r>
          </w:p>
          <w:p w14:paraId="1FF7C083" w14:textId="15B8232F" w:rsidR="000D1356" w:rsidRPr="00DD1785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Development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of monitoring and evaluation plan 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1210D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067DEA29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2020</w:t>
            </w:r>
          </w:p>
        </w:tc>
      </w:tr>
      <w:tr w:rsidR="000D1356" w:rsidRPr="00CD0FF4" w14:paraId="0D417C15" w14:textId="77777777" w:rsidTr="0069148C">
        <w:tc>
          <w:tcPr>
            <w:tcW w:w="1980" w:type="dxa"/>
            <w:vMerge/>
            <w:shd w:val="clear" w:color="auto" w:fill="FFFFFF" w:themeFill="background1"/>
          </w:tcPr>
          <w:p w14:paraId="6082CD1D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D05632E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Design specifications and costings contracted</w:t>
            </w:r>
          </w:p>
        </w:tc>
        <w:tc>
          <w:tcPr>
            <w:tcW w:w="1276" w:type="dxa"/>
            <w:shd w:val="clear" w:color="auto" w:fill="FFFFFF" w:themeFill="background1"/>
          </w:tcPr>
          <w:p w14:paraId="62BAAE5B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14:paraId="2EBFC050" w14:textId="7171609A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2020</w:t>
            </w:r>
          </w:p>
        </w:tc>
      </w:tr>
      <w:tr w:rsidR="00367004" w:rsidRPr="00CD0FF4" w14:paraId="0FEBB55A" w14:textId="77777777" w:rsidTr="0069148C">
        <w:tc>
          <w:tcPr>
            <w:tcW w:w="1980" w:type="dxa"/>
            <w:vMerge/>
            <w:shd w:val="clear" w:color="auto" w:fill="A8D08D" w:themeFill="accent6" w:themeFillTint="99"/>
          </w:tcPr>
          <w:p w14:paraId="44E7D10D" w14:textId="77777777" w:rsidR="00367004" w:rsidRPr="00DD1785" w:rsidRDefault="00367004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C4BBD3D" w14:textId="600D8F28" w:rsidR="00367004" w:rsidRPr="00DD1785" w:rsidRDefault="00842C59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</w:t>
            </w:r>
            <w:r w:rsidR="00367004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ateway 2</w:t>
            </w:r>
          </w:p>
        </w:tc>
        <w:tc>
          <w:tcPr>
            <w:tcW w:w="1276" w:type="dxa"/>
            <w:shd w:val="clear" w:color="auto" w:fill="FFFFFF" w:themeFill="background1"/>
          </w:tcPr>
          <w:p w14:paraId="50A774A6" w14:textId="37879349" w:rsidR="00367004" w:rsidRPr="00DD1785" w:rsidRDefault="00367004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14:paraId="4332D394" w14:textId="562225B5" w:rsidR="00367004" w:rsidRPr="00DD1785" w:rsidRDefault="00367004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2021</w:t>
            </w:r>
          </w:p>
        </w:tc>
      </w:tr>
      <w:tr w:rsidR="000D1356" w:rsidRPr="00CD0FF4" w14:paraId="1CD79D62" w14:textId="77777777" w:rsidTr="0069148C">
        <w:tc>
          <w:tcPr>
            <w:tcW w:w="1980" w:type="dxa"/>
            <w:vMerge/>
            <w:shd w:val="clear" w:color="auto" w:fill="A8D08D" w:themeFill="accent6" w:themeFillTint="99"/>
          </w:tcPr>
          <w:p w14:paraId="2441DBE4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D9D7E64" w14:textId="13B3049C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design specifications and costings complete</w:t>
            </w:r>
          </w:p>
          <w:p w14:paraId="6E067D85" w14:textId="63B42981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statutory approvals and/or permits</w:t>
            </w:r>
          </w:p>
        </w:tc>
        <w:tc>
          <w:tcPr>
            <w:tcW w:w="1276" w:type="dxa"/>
            <w:shd w:val="clear" w:color="auto" w:fill="FFFFFF" w:themeFill="background1"/>
          </w:tcPr>
          <w:p w14:paraId="0A0A4431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14:paraId="46E6BC6E" w14:textId="2593E610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2021</w:t>
            </w:r>
          </w:p>
        </w:tc>
      </w:tr>
      <w:tr w:rsidR="000D1356" w:rsidRPr="00CD0FF4" w14:paraId="4296C02E" w14:textId="77777777" w:rsidTr="0069148C">
        <w:tc>
          <w:tcPr>
            <w:tcW w:w="1980" w:type="dxa"/>
            <w:vMerge/>
            <w:shd w:val="clear" w:color="auto" w:fill="A8D08D" w:themeFill="accent6" w:themeFillTint="99"/>
          </w:tcPr>
          <w:p w14:paraId="16BD6EC7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C4F8847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Stage 2 implementation plan</w:t>
            </w:r>
          </w:p>
        </w:tc>
        <w:tc>
          <w:tcPr>
            <w:tcW w:w="1276" w:type="dxa"/>
            <w:shd w:val="clear" w:color="auto" w:fill="FFFFFF" w:themeFill="background1"/>
          </w:tcPr>
          <w:p w14:paraId="122C10A5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14:paraId="3F873F5E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2022</w:t>
            </w:r>
          </w:p>
        </w:tc>
      </w:tr>
      <w:tr w:rsidR="000D1356" w:rsidRPr="00CD0FF4" w14:paraId="57DA0F87" w14:textId="77777777" w:rsidTr="0069148C">
        <w:tc>
          <w:tcPr>
            <w:tcW w:w="1980" w:type="dxa"/>
            <w:vMerge/>
            <w:shd w:val="clear" w:color="auto" w:fill="A8D08D" w:themeFill="accent6" w:themeFillTint="99"/>
          </w:tcPr>
          <w:p w14:paraId="3DBC3642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87A67F3" w14:textId="5EAE457B" w:rsidR="000D1356" w:rsidRPr="00DD1785" w:rsidRDefault="00367004" w:rsidP="00367004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0AF2DDA7" w14:textId="3139667C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2,3,4,5, 6</w:t>
            </w:r>
          </w:p>
        </w:tc>
        <w:tc>
          <w:tcPr>
            <w:tcW w:w="1843" w:type="dxa"/>
            <w:shd w:val="clear" w:color="auto" w:fill="FFFFFF" w:themeFill="background1"/>
          </w:tcPr>
          <w:p w14:paraId="021D7D57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405E215C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7632AD73" w14:textId="156B6313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1134FC42" w14:textId="53C48EEB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38BE1D9C" w14:textId="33BD8918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</w:p>
          <w:p w14:paraId="222DF343" w14:textId="77777777" w:rsidR="000D1356" w:rsidRPr="00DD1785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</w:tr>
      <w:tr w:rsidR="008B48A2" w:rsidRPr="009C46B8" w14:paraId="1D24EE2A" w14:textId="77777777" w:rsidTr="00B25D9B">
        <w:tc>
          <w:tcPr>
            <w:tcW w:w="1980" w:type="dxa"/>
            <w:vMerge w:val="restart"/>
            <w:shd w:val="clear" w:color="auto" w:fill="auto"/>
          </w:tcPr>
          <w:p w14:paraId="38515C46" w14:textId="36023528" w:rsidR="008B48A2" w:rsidRPr="00DD1785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Murrumbidgee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constraints measure</w:t>
            </w:r>
          </w:p>
        </w:tc>
        <w:tc>
          <w:tcPr>
            <w:tcW w:w="4252" w:type="dxa"/>
            <w:shd w:val="clear" w:color="auto" w:fill="auto"/>
          </w:tcPr>
          <w:p w14:paraId="302EBC8A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Deliverability risks and issues planning</w:t>
            </w:r>
          </w:p>
          <w:p w14:paraId="0C03CB6F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implementation plan aligning milestones across jurisdictions</w:t>
            </w:r>
          </w:p>
          <w:p w14:paraId="53730295" w14:textId="77777777" w:rsidR="008B48A2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INSW gateway 1 documentation development contracted</w:t>
            </w:r>
          </w:p>
          <w:p w14:paraId="55ABD613" w14:textId="7E36EF62" w:rsidR="00D07B03" w:rsidRPr="00DD1785" w:rsidRDefault="00D07B0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Provision of draft stakeholder engagement framework for discussion with Commonwealth</w:t>
            </w:r>
          </w:p>
        </w:tc>
        <w:tc>
          <w:tcPr>
            <w:tcW w:w="1276" w:type="dxa"/>
            <w:shd w:val="clear" w:color="auto" w:fill="auto"/>
          </w:tcPr>
          <w:p w14:paraId="3F658413" w14:textId="0742BDA3" w:rsidR="008B48A2" w:rsidRPr="00DD1785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C4070AB" w14:textId="35EDBFDE" w:rsidR="008B48A2" w:rsidRPr="00DD1785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2019</w:t>
            </w:r>
          </w:p>
        </w:tc>
      </w:tr>
      <w:tr w:rsidR="008B48A2" w:rsidRPr="009C46B8" w14:paraId="2FF741F1" w14:textId="77777777" w:rsidTr="00B25D9B">
        <w:tc>
          <w:tcPr>
            <w:tcW w:w="1980" w:type="dxa"/>
            <w:vMerge/>
            <w:shd w:val="clear" w:color="auto" w:fill="auto"/>
          </w:tcPr>
          <w:p w14:paraId="2CD18F1C" w14:textId="77777777" w:rsidR="008B48A2" w:rsidRPr="00DD1785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7D0B4ED5" w14:textId="77777777" w:rsidR="00842C59" w:rsidRDefault="00F7141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S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takeholder engagement framework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completed and agreed with the Commonwealth</w:t>
            </w:r>
            <w:r w:rsidRPr="00DD1785" w:rsidDel="00F71412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</w:p>
          <w:p w14:paraId="7E6BF471" w14:textId="509ED2DF" w:rsidR="008B48A2" w:rsidRPr="00DD1785" w:rsidRDefault="00842C59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</w:t>
            </w:r>
            <w:r w:rsidR="008B48A2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ateway 1 </w:t>
            </w:r>
          </w:p>
        </w:tc>
        <w:tc>
          <w:tcPr>
            <w:tcW w:w="1276" w:type="dxa"/>
            <w:shd w:val="clear" w:color="auto" w:fill="auto"/>
          </w:tcPr>
          <w:p w14:paraId="78E1EA9F" w14:textId="1CD04818" w:rsidR="008B48A2" w:rsidRPr="00DD1785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E8D9A00" w14:textId="3488A2FF" w:rsidR="008B48A2" w:rsidRPr="00DD1785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2020</w:t>
            </w:r>
          </w:p>
        </w:tc>
      </w:tr>
      <w:tr w:rsidR="008B48A2" w:rsidRPr="00DD1785" w14:paraId="2418BBD8" w14:textId="77777777" w:rsidTr="00B25D9B">
        <w:tc>
          <w:tcPr>
            <w:tcW w:w="1980" w:type="dxa"/>
            <w:vMerge/>
            <w:shd w:val="clear" w:color="auto" w:fill="auto"/>
          </w:tcPr>
          <w:p w14:paraId="3BA98003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54EB4B4A" w14:textId="780CA361" w:rsidR="008B48A2" w:rsidRPr="00DD1785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8B48A2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conceptual modelling</w:t>
            </w:r>
          </w:p>
          <w:p w14:paraId="7BA8824A" w14:textId="61B4399C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Development of mapping and operating rules </w:t>
            </w:r>
          </w:p>
          <w:p w14:paraId="70A0B52D" w14:textId="17E4AF6F" w:rsidR="008B48A2" w:rsidRPr="00DD1785" w:rsidRDefault="00367004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8B48A2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monitoring and evaluation plan</w:t>
            </w:r>
          </w:p>
        </w:tc>
        <w:tc>
          <w:tcPr>
            <w:tcW w:w="1276" w:type="dxa"/>
            <w:shd w:val="clear" w:color="auto" w:fill="auto"/>
          </w:tcPr>
          <w:p w14:paraId="38E48C72" w14:textId="38C06754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0536121" w14:textId="7CE66922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2020</w:t>
            </w:r>
          </w:p>
        </w:tc>
      </w:tr>
      <w:tr w:rsidR="008B48A2" w:rsidRPr="00DD1785" w14:paraId="50DEA859" w14:textId="77777777" w:rsidTr="00B25D9B">
        <w:tc>
          <w:tcPr>
            <w:tcW w:w="1980" w:type="dxa"/>
            <w:vMerge/>
            <w:shd w:val="clear" w:color="auto" w:fill="auto"/>
          </w:tcPr>
          <w:p w14:paraId="63EB18EB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15059979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Establishment of commercial framework</w:t>
            </w:r>
          </w:p>
          <w:p w14:paraId="4D27EC33" w14:textId="12DD6172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Landowner Consultation Progress Report 1</w:t>
            </w:r>
          </w:p>
        </w:tc>
        <w:tc>
          <w:tcPr>
            <w:tcW w:w="1276" w:type="dxa"/>
            <w:shd w:val="clear" w:color="auto" w:fill="auto"/>
          </w:tcPr>
          <w:p w14:paraId="3F9D810A" w14:textId="1BA78905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F9D51E6" w14:textId="32ECC064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2021</w:t>
            </w:r>
          </w:p>
        </w:tc>
      </w:tr>
      <w:tr w:rsidR="008B48A2" w:rsidRPr="00DD1785" w14:paraId="751312F8" w14:textId="77777777" w:rsidTr="00B25D9B">
        <w:tc>
          <w:tcPr>
            <w:tcW w:w="1980" w:type="dxa"/>
            <w:vMerge/>
            <w:shd w:val="clear" w:color="auto" w:fill="auto"/>
          </w:tcPr>
          <w:p w14:paraId="08ED2F1C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3E4B6E09" w14:textId="2CAEE90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Lodgement of statutory approvals and/or permits </w:t>
            </w:r>
          </w:p>
          <w:p w14:paraId="6E98A9BC" w14:textId="16FCBC25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Landowner Consultation Progress Report 2</w:t>
            </w:r>
          </w:p>
          <w:p w14:paraId="0E34F14F" w14:textId="5CCBB6DA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Design specifications and costings contracted</w:t>
            </w:r>
          </w:p>
        </w:tc>
        <w:tc>
          <w:tcPr>
            <w:tcW w:w="1276" w:type="dxa"/>
            <w:shd w:val="clear" w:color="auto" w:fill="auto"/>
          </w:tcPr>
          <w:p w14:paraId="07F18E79" w14:textId="6F98E2C8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01A16A7" w14:textId="2E5C341D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0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October 2021 </w:t>
            </w:r>
          </w:p>
        </w:tc>
      </w:tr>
      <w:tr w:rsidR="008B48A2" w:rsidRPr="00DD1785" w14:paraId="03092ECA" w14:textId="77777777" w:rsidTr="00B25D9B">
        <w:tc>
          <w:tcPr>
            <w:tcW w:w="1980" w:type="dxa"/>
            <w:vMerge/>
            <w:shd w:val="clear" w:color="auto" w:fill="auto"/>
          </w:tcPr>
          <w:p w14:paraId="77CBA60E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52351298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2</w:t>
            </w:r>
          </w:p>
          <w:p w14:paraId="591738C5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design specifications and costings</w:t>
            </w:r>
          </w:p>
          <w:p w14:paraId="6AE9B874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Landowner Consultation Progress Report 3</w:t>
            </w:r>
          </w:p>
          <w:p w14:paraId="71558143" w14:textId="235620A5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Stage 2 implementation proposal</w:t>
            </w:r>
          </w:p>
        </w:tc>
        <w:tc>
          <w:tcPr>
            <w:tcW w:w="1276" w:type="dxa"/>
            <w:shd w:val="clear" w:color="auto" w:fill="auto"/>
          </w:tcPr>
          <w:p w14:paraId="0D19F6C0" w14:textId="6DE9AF20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84CE451" w14:textId="58F36942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2022</w:t>
            </w:r>
          </w:p>
        </w:tc>
      </w:tr>
      <w:tr w:rsidR="008B48A2" w:rsidRPr="00DD1785" w14:paraId="38ADB17C" w14:textId="77777777" w:rsidTr="00B25D9B">
        <w:tc>
          <w:tcPr>
            <w:tcW w:w="1980" w:type="dxa"/>
            <w:vMerge/>
            <w:shd w:val="clear" w:color="auto" w:fill="auto"/>
          </w:tcPr>
          <w:p w14:paraId="7361FE95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252" w:type="dxa"/>
            <w:shd w:val="clear" w:color="auto" w:fill="auto"/>
          </w:tcPr>
          <w:p w14:paraId="117082CF" w14:textId="7B622D6A" w:rsidR="008B48A2" w:rsidRPr="00DD1785" w:rsidRDefault="00367004" w:rsidP="00367004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76" w:type="dxa"/>
            <w:shd w:val="clear" w:color="auto" w:fill="auto"/>
          </w:tcPr>
          <w:p w14:paraId="2456E93C" w14:textId="7C3390E6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2,3,4,5, 6</w:t>
            </w:r>
          </w:p>
        </w:tc>
        <w:tc>
          <w:tcPr>
            <w:tcW w:w="1843" w:type="dxa"/>
            <w:shd w:val="clear" w:color="auto" w:fill="auto"/>
          </w:tcPr>
          <w:p w14:paraId="614ABE9D" w14:textId="77777777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0B7F7F01" w14:textId="77777777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35380768" w14:textId="306FE713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4180E38B" w14:textId="5000A276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  <w:r w:rsid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08A61F45" w14:textId="007527C9" w:rsidR="008B48A2" w:rsidRDefault="008B48A2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</w:p>
          <w:p w14:paraId="353E78D1" w14:textId="77777777" w:rsidR="008B48A2" w:rsidRPr="00DD1785" w:rsidRDefault="008B48A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</w:tr>
    </w:tbl>
    <w:p w14:paraId="5D247791" w14:textId="77777777" w:rsidR="00D40ED8" w:rsidRPr="00DD1785" w:rsidRDefault="00D40ED8" w:rsidP="00DD1785">
      <w:pPr>
        <w:spacing w:after="0" w:line="240" w:lineRule="auto"/>
        <w:rPr>
          <w:rFonts w:ascii="Corbel" w:eastAsia="Times New Roman" w:hAnsi="Corbel" w:cs="Times New Roman"/>
          <w:color w:val="000000"/>
          <w:sz w:val="23"/>
          <w:szCs w:val="23"/>
          <w:lang w:eastAsia="ja-JP"/>
        </w:rPr>
      </w:pPr>
    </w:p>
    <w:p w14:paraId="315A14B7" w14:textId="084CFC7A" w:rsidR="00364565" w:rsidRPr="009C46B8" w:rsidRDefault="00364565" w:rsidP="00364565">
      <w:pPr>
        <w:pStyle w:val="ScheduleNumberedPara"/>
        <w:numPr>
          <w:ilvl w:val="0"/>
          <w:numId w:val="0"/>
        </w:num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  <w:r w:rsidRPr="009C46B8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>
        <w:rPr>
          <w:rFonts w:asciiTheme="minorHAnsi" w:hAnsiTheme="minorHAnsi" w:cstheme="minorHAnsi"/>
          <w:b/>
          <w:sz w:val="22"/>
          <w:szCs w:val="22"/>
        </w:rPr>
        <w:t>4: Darling</w:t>
      </w:r>
      <w:r w:rsidRPr="009C46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Work Stream </w:t>
      </w:r>
      <w:r w:rsidRPr="009C46B8">
        <w:rPr>
          <w:rFonts w:asciiTheme="minorHAnsi" w:hAnsiTheme="minorHAnsi" w:cstheme="minorHAnsi"/>
          <w:b/>
          <w:sz w:val="22"/>
          <w:szCs w:val="22"/>
        </w:rPr>
        <w:t>milestones</w:t>
      </w:r>
      <w:r w:rsidR="00924D1D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Pr="009C46B8">
        <w:rPr>
          <w:rFonts w:asciiTheme="minorHAnsi" w:hAnsiTheme="minorHAnsi" w:cstheme="minorHAnsi"/>
          <w:b/>
          <w:sz w:val="22"/>
          <w:szCs w:val="22"/>
        </w:rPr>
        <w:t xml:space="preserve"> reporting summary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276"/>
        <w:gridCol w:w="1701"/>
      </w:tblGrid>
      <w:tr w:rsidR="00364565" w:rsidRPr="009753EA" w14:paraId="6CBDFB2B" w14:textId="77777777" w:rsidTr="00623741">
        <w:trPr>
          <w:tblHeader/>
        </w:trPr>
        <w:tc>
          <w:tcPr>
            <w:tcW w:w="1838" w:type="dxa"/>
          </w:tcPr>
          <w:p w14:paraId="1FBB7084" w14:textId="77777777" w:rsidR="00364565" w:rsidRPr="00CD0FF4" w:rsidRDefault="00364565" w:rsidP="00CD0FF4">
            <w:pPr>
              <w:pStyle w:val="ListParagraph"/>
              <w:ind w:left="567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Outputs </w:t>
            </w:r>
          </w:p>
          <w:p w14:paraId="74D845CD" w14:textId="77777777" w:rsidR="00364565" w:rsidRPr="00CD0FF4" w:rsidRDefault="00364565" w:rsidP="00CD0FF4">
            <w:pPr>
              <w:pStyle w:val="ListParagraph"/>
              <w:ind w:left="567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</w:p>
        </w:tc>
        <w:tc>
          <w:tcPr>
            <w:tcW w:w="4536" w:type="dxa"/>
          </w:tcPr>
          <w:p w14:paraId="27FABF1D" w14:textId="224812A1" w:rsidR="00364565" w:rsidRPr="00CD0FF4" w:rsidRDefault="00364565" w:rsidP="0082403D">
            <w:pPr>
              <w:pStyle w:val="ListParagraph"/>
              <w:ind w:left="567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Milestone </w:t>
            </w:r>
            <w:r w:rsidR="00FA0AAC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Component</w:t>
            </w:r>
            <w:r w:rsidR="00FA0AAC"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14:paraId="140180FB" w14:textId="77777777" w:rsidR="00364565" w:rsidRDefault="00364565" w:rsidP="00B25D9B">
            <w:pPr>
              <w:pStyle w:val="ListParagraph"/>
              <w:ind w:left="34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Milestone</w:t>
            </w:r>
          </w:p>
          <w:p w14:paraId="598275E7" w14:textId="7541E731" w:rsidR="00FA0AAC" w:rsidRPr="00CD0FF4" w:rsidRDefault="00FA0AAC" w:rsidP="0082403D">
            <w:pPr>
              <w:pStyle w:val="ListParagraph"/>
              <w:ind w:left="34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number</w:t>
            </w:r>
          </w:p>
        </w:tc>
        <w:tc>
          <w:tcPr>
            <w:tcW w:w="1701" w:type="dxa"/>
          </w:tcPr>
          <w:p w14:paraId="7CF20BDC" w14:textId="77777777" w:rsidR="00364565" w:rsidRPr="00CD0FF4" w:rsidRDefault="00364565" w:rsidP="00B25D9B">
            <w:pPr>
              <w:pStyle w:val="ListParagraph"/>
              <w:ind w:left="34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 xml:space="preserve">Report Due </w:t>
            </w:r>
          </w:p>
        </w:tc>
      </w:tr>
      <w:tr w:rsidR="00364565" w:rsidRPr="009753EA" w14:paraId="71F48225" w14:textId="77777777" w:rsidTr="00623741">
        <w:tc>
          <w:tcPr>
            <w:tcW w:w="1838" w:type="dxa"/>
            <w:vMerge w:val="restart"/>
            <w:shd w:val="clear" w:color="auto" w:fill="FFFFFF" w:themeFill="background1"/>
          </w:tcPr>
          <w:p w14:paraId="4F599163" w14:textId="37335035" w:rsidR="00364565" w:rsidRPr="00DD1785" w:rsidRDefault="00364565" w:rsidP="00CD0FF4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Darling </w:t>
            </w:r>
            <w:r w:rsidR="00CD0FF4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Work Stream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delivery framework</w:t>
            </w:r>
          </w:p>
        </w:tc>
        <w:tc>
          <w:tcPr>
            <w:tcW w:w="4536" w:type="dxa"/>
            <w:shd w:val="clear" w:color="auto" w:fill="FFFFFF" w:themeFill="background1"/>
          </w:tcPr>
          <w:p w14:paraId="0FC5091F" w14:textId="77777777" w:rsidR="00924D1D" w:rsidRPr="00DD1785" w:rsidRDefault="00924D1D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Establishment of program management team </w:t>
            </w:r>
          </w:p>
          <w:p w14:paraId="3A2B6B0A" w14:textId="14FBA409" w:rsidR="00924D1D" w:rsidRPr="00DD1785" w:rsidRDefault="00924D1D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Registration of program with INSW</w:t>
            </w:r>
          </w:p>
        </w:tc>
        <w:tc>
          <w:tcPr>
            <w:tcW w:w="1276" w:type="dxa"/>
            <w:shd w:val="clear" w:color="auto" w:fill="FFFFFF" w:themeFill="background1"/>
          </w:tcPr>
          <w:p w14:paraId="2EB643F0" w14:textId="77777777" w:rsidR="00364565" w:rsidRPr="00DD1785" w:rsidRDefault="00364565" w:rsidP="00B25D9B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15917D8" w14:textId="651F0C73" w:rsidR="00364565" w:rsidRPr="00DD1785" w:rsidRDefault="00B25D9B" w:rsidP="00B25D9B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30 </w:t>
            </w:r>
            <w:r w:rsidR="00364565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April 2019</w:t>
            </w:r>
          </w:p>
        </w:tc>
      </w:tr>
      <w:tr w:rsidR="00364565" w:rsidRPr="009753EA" w14:paraId="677ACFC4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4C31CCFC" w14:textId="77777777" w:rsidR="00364565" w:rsidRPr="00DD1785" w:rsidRDefault="00364565" w:rsidP="00CD0FF4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D91D004" w14:textId="47394A60" w:rsidR="00924D1D" w:rsidRPr="00DD1785" w:rsidRDefault="00924D1D" w:rsidP="00924D1D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Establishment and operation of program governance controls &amp; reporting frameworks, processes and systems</w:t>
            </w:r>
          </w:p>
        </w:tc>
        <w:tc>
          <w:tcPr>
            <w:tcW w:w="1276" w:type="dxa"/>
            <w:shd w:val="clear" w:color="auto" w:fill="FFFFFF" w:themeFill="background1"/>
          </w:tcPr>
          <w:p w14:paraId="4DE5F594" w14:textId="77777777" w:rsidR="00364565" w:rsidRPr="00DD1785" w:rsidRDefault="00364565" w:rsidP="00B25D9B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0A0B1D97" w14:textId="77777777" w:rsidR="00364565" w:rsidRPr="00DD1785" w:rsidRDefault="00364565" w:rsidP="00B25D9B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October 2019</w:t>
            </w:r>
          </w:p>
        </w:tc>
      </w:tr>
      <w:tr w:rsidR="000D1356" w:rsidRPr="00CD0FF4" w14:paraId="4439C6A4" w14:textId="77777777" w:rsidTr="00623741">
        <w:tc>
          <w:tcPr>
            <w:tcW w:w="1838" w:type="dxa"/>
            <w:vMerge w:val="restart"/>
            <w:shd w:val="clear" w:color="auto" w:fill="FFFFFF" w:themeFill="background1"/>
          </w:tcPr>
          <w:p w14:paraId="0B6C1912" w14:textId="77777777" w:rsidR="000D1356" w:rsidRPr="00DD1785" w:rsidRDefault="000D1356" w:rsidP="0069148C">
            <w:pPr>
              <w:pStyle w:val="ListParagraph"/>
              <w:ind w:left="0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Menindee Lakes Water Savings Project </w:t>
            </w:r>
          </w:p>
        </w:tc>
        <w:tc>
          <w:tcPr>
            <w:tcW w:w="4536" w:type="dxa"/>
            <w:shd w:val="clear" w:color="auto" w:fill="FFFFFF" w:themeFill="background1"/>
          </w:tcPr>
          <w:p w14:paraId="4D0A7A57" w14:textId="01F2EBEA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Completion of stakeholder engagement framework </w:t>
            </w:r>
          </w:p>
          <w:p w14:paraId="26043B4A" w14:textId="6694A4E0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INSW gateway 1 documentation development contracted</w:t>
            </w:r>
          </w:p>
        </w:tc>
        <w:tc>
          <w:tcPr>
            <w:tcW w:w="1276" w:type="dxa"/>
            <w:shd w:val="clear" w:color="auto" w:fill="FFFFFF" w:themeFill="background1"/>
          </w:tcPr>
          <w:p w14:paraId="0B635E01" w14:textId="77777777" w:rsidR="000D1356" w:rsidRPr="00DD1785" w:rsidRDefault="000D1356" w:rsidP="0069148C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7E19F0DA" w14:textId="77777777" w:rsidR="000D1356" w:rsidRPr="00DD1785" w:rsidRDefault="000D1356" w:rsidP="0069148C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October 2019</w:t>
            </w:r>
          </w:p>
        </w:tc>
      </w:tr>
      <w:tr w:rsidR="000D1356" w:rsidRPr="00CD0FF4" w14:paraId="1909E09B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77866DB2" w14:textId="77777777" w:rsidR="000D1356" w:rsidRPr="00DD1785" w:rsidRDefault="000D1356" w:rsidP="0069148C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B2B49FC" w14:textId="04D63942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1</w:t>
            </w:r>
          </w:p>
          <w:p w14:paraId="46C2405B" w14:textId="297F168A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 of operating rules</w:t>
            </w:r>
          </w:p>
          <w:p w14:paraId="252BCDFC" w14:textId="2983E944" w:rsidR="000D1356" w:rsidRPr="00DD1785" w:rsidRDefault="00A11EED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Development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conceptual modelling</w:t>
            </w:r>
          </w:p>
          <w:p w14:paraId="1C89F7BE" w14:textId="7CE3D5B7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design and commission framework documentation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73F1FA87" w14:textId="77777777" w:rsidR="000D1356" w:rsidRPr="00DD1785" w:rsidRDefault="000D1356" w:rsidP="00DD1785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25250A53" w14:textId="77777777" w:rsidR="000D1356" w:rsidRPr="00DD1785" w:rsidRDefault="000D1356" w:rsidP="0069148C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2020</w:t>
            </w:r>
          </w:p>
        </w:tc>
      </w:tr>
      <w:tr w:rsidR="000D1356" w:rsidRPr="00CD0FF4" w14:paraId="3CC63D60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2AFA549B" w14:textId="77777777" w:rsidR="000D1356" w:rsidRPr="00DD1785" w:rsidRDefault="000D1356" w:rsidP="0069148C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08C7DEC" w14:textId="4498A5BA" w:rsidR="000D1356" w:rsidRPr="00DD1785" w:rsidRDefault="00A11EED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monitoring and evaluation plan</w:t>
            </w:r>
          </w:p>
        </w:tc>
        <w:tc>
          <w:tcPr>
            <w:tcW w:w="1276" w:type="dxa"/>
            <w:shd w:val="clear" w:color="auto" w:fill="FFFFFF" w:themeFill="background1"/>
          </w:tcPr>
          <w:p w14:paraId="08C7A8BF" w14:textId="77777777" w:rsidR="000D1356" w:rsidRPr="00DD1785" w:rsidRDefault="000D1356" w:rsidP="00DD1785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6EA14AFA" w14:textId="77777777" w:rsidR="000D1356" w:rsidRPr="00DD1785" w:rsidRDefault="000D1356" w:rsidP="0069148C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October 2020</w:t>
            </w:r>
          </w:p>
        </w:tc>
      </w:tr>
      <w:tr w:rsidR="000D1356" w:rsidRPr="00CD0FF4" w14:paraId="738826A6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1C2D5CBA" w14:textId="77777777" w:rsidR="000D1356" w:rsidRPr="00DD1785" w:rsidRDefault="000D1356" w:rsidP="0069148C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3E3D35B" w14:textId="77777777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2</w:t>
            </w:r>
          </w:p>
          <w:p w14:paraId="3F18E1AE" w14:textId="72B6AF7A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design specifications and costings</w:t>
            </w:r>
          </w:p>
        </w:tc>
        <w:tc>
          <w:tcPr>
            <w:tcW w:w="1276" w:type="dxa"/>
            <w:shd w:val="clear" w:color="auto" w:fill="FFFFFF" w:themeFill="background1"/>
          </w:tcPr>
          <w:p w14:paraId="389697D8" w14:textId="77777777" w:rsidR="000D1356" w:rsidRPr="00DD1785" w:rsidRDefault="000D1356" w:rsidP="00DD1785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044C05D3" w14:textId="77777777" w:rsidR="000D1356" w:rsidRPr="00DD1785" w:rsidRDefault="000D1356" w:rsidP="0069148C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2021</w:t>
            </w:r>
          </w:p>
        </w:tc>
      </w:tr>
      <w:tr w:rsidR="000D1356" w:rsidRPr="00CD0FF4" w14:paraId="3C3E653F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493F9495" w14:textId="77777777" w:rsidR="000D1356" w:rsidRPr="00DD1785" w:rsidRDefault="000D1356" w:rsidP="0069148C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E804CA6" w14:textId="3DEF63AC" w:rsidR="000D1356" w:rsidRPr="00DD1785" w:rsidRDefault="000D1356" w:rsidP="00F64ADE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hAnsi="Corbel" w:cstheme="minorHAnsi"/>
                <w:sz w:val="23"/>
                <w:szCs w:val="23"/>
              </w:rPr>
              <w:t>Lodgement of statutory approvals and/or permits</w:t>
            </w:r>
          </w:p>
        </w:tc>
        <w:tc>
          <w:tcPr>
            <w:tcW w:w="1276" w:type="dxa"/>
            <w:shd w:val="clear" w:color="auto" w:fill="FFFFFF" w:themeFill="background1"/>
          </w:tcPr>
          <w:p w14:paraId="6B0937DF" w14:textId="77777777" w:rsidR="000D1356" w:rsidRPr="00DD1785" w:rsidRDefault="000D1356" w:rsidP="00DD1785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5BB14F5C" w14:textId="77777777" w:rsidR="000D1356" w:rsidRPr="00DD1785" w:rsidRDefault="000D1356" w:rsidP="0069148C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30 October 2021 </w:t>
            </w:r>
          </w:p>
        </w:tc>
      </w:tr>
      <w:tr w:rsidR="000D1356" w:rsidRPr="00CD0FF4" w14:paraId="1ED94A53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40BF0026" w14:textId="77777777" w:rsidR="000D1356" w:rsidRPr="00DD1785" w:rsidRDefault="000D1356" w:rsidP="0069148C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A75789C" w14:textId="77777777" w:rsidR="000D1356" w:rsidRPr="00DD1785" w:rsidRDefault="000D1356" w:rsidP="00DD1785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Stage 2 implementation plan</w:t>
            </w:r>
          </w:p>
        </w:tc>
        <w:tc>
          <w:tcPr>
            <w:tcW w:w="1276" w:type="dxa"/>
            <w:shd w:val="clear" w:color="auto" w:fill="FFFFFF" w:themeFill="background1"/>
          </w:tcPr>
          <w:p w14:paraId="07A0EB77" w14:textId="77777777" w:rsidR="000D1356" w:rsidRPr="00DD1785" w:rsidRDefault="000D1356" w:rsidP="00DD1785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4375F232" w14:textId="77777777" w:rsidR="000D1356" w:rsidRPr="00DD1785" w:rsidRDefault="000D1356" w:rsidP="0069148C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2022</w:t>
            </w:r>
          </w:p>
        </w:tc>
      </w:tr>
      <w:tr w:rsidR="000D1356" w:rsidRPr="00CD0FF4" w14:paraId="3E763011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30B36212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CC62B05" w14:textId="2EB60C85" w:rsidR="000D1356" w:rsidRPr="00DD1785" w:rsidRDefault="00A11EED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096D60E5" w14:textId="28CF2F84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2,3,4,5, 6</w:t>
            </w:r>
          </w:p>
        </w:tc>
        <w:tc>
          <w:tcPr>
            <w:tcW w:w="1701" w:type="dxa"/>
            <w:shd w:val="clear" w:color="auto" w:fill="FFFFFF" w:themeFill="background1"/>
          </w:tcPr>
          <w:p w14:paraId="2F5EAA01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5DACB40A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4583CF01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</w:p>
          <w:p w14:paraId="6CA93E5D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</w:p>
          <w:p w14:paraId="442AF141" w14:textId="5C59631D" w:rsidR="000D1356" w:rsidRPr="00DD1785" w:rsidRDefault="000D1356" w:rsidP="00C546FE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</w:p>
        </w:tc>
      </w:tr>
      <w:tr w:rsidR="000D1356" w:rsidRPr="009753EA" w14:paraId="53492114" w14:textId="77777777" w:rsidTr="00623741">
        <w:tc>
          <w:tcPr>
            <w:tcW w:w="1838" w:type="dxa"/>
            <w:vMerge w:val="restart"/>
            <w:shd w:val="clear" w:color="auto" w:fill="FFFFFF" w:themeFill="background1"/>
          </w:tcPr>
          <w:p w14:paraId="6D818EF5" w14:textId="6F22F005" w:rsidR="000D1356" w:rsidRPr="00DD1785" w:rsidRDefault="000D1356" w:rsidP="000D1356">
            <w:pPr>
              <w:pStyle w:val="ListParagraph"/>
              <w:ind w:left="0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Lower Darling constraints measure</w:t>
            </w:r>
          </w:p>
        </w:tc>
        <w:tc>
          <w:tcPr>
            <w:tcW w:w="4536" w:type="dxa"/>
            <w:shd w:val="clear" w:color="auto" w:fill="FFFFFF" w:themeFill="background1"/>
          </w:tcPr>
          <w:p w14:paraId="094BF22A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Deliverability risks and issues planning</w:t>
            </w:r>
          </w:p>
          <w:p w14:paraId="4195F240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implementation plan aligning milestones across jurisdictions</w:t>
            </w:r>
          </w:p>
          <w:p w14:paraId="4A676763" w14:textId="77777777" w:rsidR="00D07B03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INSW gateway 1 documentation development contracted</w:t>
            </w:r>
            <w:r w:rsidR="00D07B03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</w:p>
          <w:p w14:paraId="2817EE4E" w14:textId="7BF62B96" w:rsidR="000D1356" w:rsidRPr="00DD1785" w:rsidRDefault="00D07B03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Provision of draft stakeholder engagement framework for discussion with Commonwealth</w:t>
            </w:r>
          </w:p>
        </w:tc>
        <w:tc>
          <w:tcPr>
            <w:tcW w:w="1276" w:type="dxa"/>
            <w:shd w:val="clear" w:color="auto" w:fill="FFFFFF" w:themeFill="background1"/>
          </w:tcPr>
          <w:p w14:paraId="391DFAC8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4E2A9955" w14:textId="77777777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October 2019</w:t>
            </w:r>
          </w:p>
        </w:tc>
      </w:tr>
      <w:tr w:rsidR="000D1356" w:rsidRPr="009753EA" w14:paraId="5296173A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3786D5E1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9DD9B30" w14:textId="77777777" w:rsidR="00842C59" w:rsidRDefault="00F71412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S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takeholder engagement framework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completed and agreed with the Commonwealth</w:t>
            </w:r>
            <w:r w:rsidRPr="00DD1785" w:rsidDel="00F71412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</w:p>
          <w:p w14:paraId="75165966" w14:textId="4A686B1A" w:rsidR="000D1356" w:rsidRPr="00DD1785" w:rsidRDefault="00842C59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ateway 1</w:t>
            </w:r>
          </w:p>
        </w:tc>
        <w:tc>
          <w:tcPr>
            <w:tcW w:w="1276" w:type="dxa"/>
            <w:shd w:val="clear" w:color="auto" w:fill="FFFFFF" w:themeFill="background1"/>
          </w:tcPr>
          <w:p w14:paraId="75709184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7A8B71B5" w14:textId="77777777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2020</w:t>
            </w:r>
          </w:p>
        </w:tc>
      </w:tr>
      <w:tr w:rsidR="000D1356" w:rsidRPr="009753EA" w14:paraId="2178932C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6305EA41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63F19AA" w14:textId="22E191B3" w:rsidR="000D1356" w:rsidRPr="00DD1785" w:rsidRDefault="00A11EED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conceptual modelling</w:t>
            </w:r>
          </w:p>
          <w:p w14:paraId="3DC855A4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Development of mapping and operating rules </w:t>
            </w:r>
          </w:p>
          <w:p w14:paraId="01FE137A" w14:textId="429F3DEB" w:rsidR="000D1356" w:rsidRPr="00DD1785" w:rsidRDefault="00A11EED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Development</w:t>
            </w: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="000D1356"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of monitoring and evaluation plan</w:t>
            </w:r>
          </w:p>
        </w:tc>
        <w:tc>
          <w:tcPr>
            <w:tcW w:w="1276" w:type="dxa"/>
            <w:shd w:val="clear" w:color="auto" w:fill="FFFFFF" w:themeFill="background1"/>
          </w:tcPr>
          <w:p w14:paraId="0B3DECFD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61B96C32" w14:textId="77777777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October 2020</w:t>
            </w:r>
          </w:p>
        </w:tc>
      </w:tr>
      <w:tr w:rsidR="000D1356" w:rsidRPr="009753EA" w14:paraId="04F2199D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29B2C173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55A9888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Establishment of commercial framework</w:t>
            </w:r>
          </w:p>
          <w:p w14:paraId="1BF083A8" w14:textId="6F9A6B4D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Landowner Consultation Progress Report 1</w:t>
            </w:r>
          </w:p>
        </w:tc>
        <w:tc>
          <w:tcPr>
            <w:tcW w:w="1276" w:type="dxa"/>
            <w:shd w:val="clear" w:color="auto" w:fill="FFFFFF" w:themeFill="background1"/>
          </w:tcPr>
          <w:p w14:paraId="74F79075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586DBCD5" w14:textId="77777777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2021</w:t>
            </w:r>
          </w:p>
        </w:tc>
      </w:tr>
      <w:tr w:rsidR="000D1356" w:rsidRPr="009753EA" w14:paraId="5FFD4620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56CD5488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4F4CF2A" w14:textId="77777777" w:rsidR="000D1356" w:rsidRPr="00DD1785" w:rsidRDefault="000D1356" w:rsidP="000D1356">
            <w:pPr>
              <w:rPr>
                <w:rFonts w:ascii="Corbel" w:hAnsi="Corbel" w:cstheme="minorHAnsi"/>
                <w:sz w:val="23"/>
                <w:szCs w:val="23"/>
              </w:rPr>
            </w:pPr>
            <w:r w:rsidRPr="00DD1785">
              <w:rPr>
                <w:rFonts w:ascii="Corbel" w:hAnsi="Corbel" w:cstheme="minorHAnsi"/>
                <w:sz w:val="23"/>
                <w:szCs w:val="23"/>
              </w:rPr>
              <w:t xml:space="preserve">Lodgement of statutory approvals and/or permits </w:t>
            </w:r>
          </w:p>
          <w:p w14:paraId="4EBC6AE7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Landowner Consultation Progress Report 2</w:t>
            </w:r>
          </w:p>
          <w:p w14:paraId="78401EBE" w14:textId="2D5E084B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Design specifications and costings contracted</w:t>
            </w:r>
          </w:p>
        </w:tc>
        <w:tc>
          <w:tcPr>
            <w:tcW w:w="1276" w:type="dxa"/>
            <w:shd w:val="clear" w:color="auto" w:fill="FFFFFF" w:themeFill="background1"/>
          </w:tcPr>
          <w:p w14:paraId="4EE84B5F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40A0482A" w14:textId="77777777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30 October 2021 </w:t>
            </w:r>
          </w:p>
        </w:tc>
      </w:tr>
      <w:tr w:rsidR="000D1356" w:rsidRPr="009753EA" w14:paraId="2D50659C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127835C9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48F250E" w14:textId="73F419B4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Lodgement of INSW gateway 2</w:t>
            </w:r>
          </w:p>
          <w:p w14:paraId="028D4AC1" w14:textId="77777777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design specifications and costings</w:t>
            </w:r>
          </w:p>
          <w:p w14:paraId="075711CC" w14:textId="46691C2F" w:rsidR="000D1356" w:rsidRPr="00DD1785" w:rsidRDefault="000D1356" w:rsidP="000D1356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Landowner Consultation Progress Report 3</w:t>
            </w:r>
          </w:p>
        </w:tc>
        <w:tc>
          <w:tcPr>
            <w:tcW w:w="1276" w:type="dxa"/>
            <w:shd w:val="clear" w:color="auto" w:fill="FFFFFF" w:themeFill="background1"/>
          </w:tcPr>
          <w:p w14:paraId="325262DA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1DA71153" w14:textId="77777777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2022</w:t>
            </w:r>
          </w:p>
        </w:tc>
      </w:tr>
      <w:tr w:rsidR="000D1356" w:rsidRPr="009753EA" w14:paraId="2C5BEB08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0056DDF4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1F8D89AC" w14:textId="77777777" w:rsidR="000D1356" w:rsidRPr="00DD1785" w:rsidRDefault="000D1356" w:rsidP="000D1356">
            <w:pPr>
              <w:pStyle w:val="ListParagraph"/>
              <w:ind w:left="10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Completion of Stage 2 implementation proposal</w:t>
            </w:r>
          </w:p>
        </w:tc>
        <w:tc>
          <w:tcPr>
            <w:tcW w:w="1276" w:type="dxa"/>
            <w:shd w:val="clear" w:color="auto" w:fill="FFFFFF" w:themeFill="background1"/>
          </w:tcPr>
          <w:p w14:paraId="13E74F86" w14:textId="77777777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2BE286D9" w14:textId="72173B8E" w:rsidR="000D1356" w:rsidRPr="00842C59" w:rsidRDefault="00485BA2" w:rsidP="00842C59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842C59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June </w:t>
            </w:r>
            <w:r w:rsidR="000D1356" w:rsidRPr="00842C59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2022</w:t>
            </w:r>
          </w:p>
        </w:tc>
      </w:tr>
      <w:tr w:rsidR="000D1356" w:rsidRPr="009753EA" w14:paraId="7BECDB2F" w14:textId="77777777" w:rsidTr="00623741">
        <w:tc>
          <w:tcPr>
            <w:tcW w:w="1838" w:type="dxa"/>
            <w:vMerge/>
            <w:shd w:val="clear" w:color="auto" w:fill="FFFFFF" w:themeFill="background1"/>
          </w:tcPr>
          <w:p w14:paraId="5238CA7D" w14:textId="77777777" w:rsidR="000D1356" w:rsidRPr="00DD1785" w:rsidRDefault="000D1356" w:rsidP="000D1356">
            <w:pPr>
              <w:pStyle w:val="ListParagraph"/>
              <w:ind w:left="567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7BCF586" w14:textId="51B9652D" w:rsidR="000D1356" w:rsidRPr="00DD1785" w:rsidRDefault="00A11EED" w:rsidP="000D1356">
            <w:pPr>
              <w:pStyle w:val="ListParagraph"/>
              <w:ind w:left="10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36700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572406E5" w14:textId="1E5B63A6" w:rsidR="000D1356" w:rsidRPr="00DD1785" w:rsidRDefault="000D1356" w:rsidP="000D1356">
            <w:pPr>
              <w:pStyle w:val="ListParagraph"/>
              <w:ind w:left="34"/>
              <w:jc w:val="both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2,3,4,5, 6,7 </w:t>
            </w:r>
          </w:p>
        </w:tc>
        <w:tc>
          <w:tcPr>
            <w:tcW w:w="1701" w:type="dxa"/>
            <w:shd w:val="clear" w:color="auto" w:fill="FFFFFF" w:themeFill="background1"/>
          </w:tcPr>
          <w:p w14:paraId="56D2155A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2019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5489F00A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2020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4ACAA160" w14:textId="1E653C8B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 </w:t>
            </w: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2020</w:t>
            </w:r>
            <w:r w:rsidR="00A11EE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5A9DAF5F" w14:textId="2CD051F3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April 2021</w:t>
            </w:r>
            <w:r w:rsidR="00A11EE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,</w:t>
            </w:r>
          </w:p>
          <w:p w14:paraId="6E5DC4FF" w14:textId="77777777" w:rsidR="000D1356" w:rsidRDefault="000D1356" w:rsidP="000D1356">
            <w:pPr>
              <w:pStyle w:val="ListParagraph"/>
              <w:ind w:left="29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30 October 2021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, </w:t>
            </w:r>
          </w:p>
          <w:p w14:paraId="1C296AA4" w14:textId="3880550D" w:rsidR="000D1356" w:rsidRPr="00DD1785" w:rsidRDefault="000D1356" w:rsidP="000D1356">
            <w:pPr>
              <w:pStyle w:val="ListParagraph"/>
              <w:ind w:left="45"/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30 April 2022</w:t>
            </w:r>
          </w:p>
        </w:tc>
      </w:tr>
    </w:tbl>
    <w:p w14:paraId="5E9EB584" w14:textId="3398286E" w:rsidR="00364565" w:rsidRPr="00903F85" w:rsidRDefault="00364565" w:rsidP="00903F85">
      <w:pPr>
        <w:pStyle w:val="ScheduleNumberedPara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  <w:vertAlign w:val="subscript"/>
        </w:rPr>
      </w:pPr>
    </w:p>
    <w:p w14:paraId="505CF698" w14:textId="26F366D1" w:rsidR="009D5962" w:rsidRDefault="00AD5CB5" w:rsidP="00DD1785">
      <w:pPr>
        <w:pStyle w:val="ListParagraph"/>
        <w:numPr>
          <w:ilvl w:val="1"/>
          <w:numId w:val="8"/>
        </w:numPr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</w:pPr>
      <w:r w:rsidRPr="00980E8D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 xml:space="preserve">Funds will be paid against </w:t>
      </w:r>
      <w:r w:rsidR="004C13C1" w:rsidRPr="00980E8D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 xml:space="preserve">actual expenditure </w:t>
      </w:r>
      <w:r w:rsidR="00EA06DF" w:rsidRPr="00980E8D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 xml:space="preserve">incurred for </w:t>
      </w:r>
      <w:r w:rsidR="00DD1785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>the achievement of the p</w:t>
      </w:r>
      <w:r w:rsidRPr="00980E8D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>ro</w:t>
      </w:r>
      <w:r w:rsidR="00BD68AF" w:rsidRPr="00980E8D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>ject</w:t>
      </w:r>
      <w:r w:rsidR="003A21A1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> </w:t>
      </w:r>
      <w:r w:rsidR="00DD1785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>milestones in each work s</w:t>
      </w:r>
      <w:r w:rsidR="00BD68AF" w:rsidRPr="00980E8D"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  <w:t>tream.</w:t>
      </w:r>
    </w:p>
    <w:p w14:paraId="4BB4A135" w14:textId="77777777" w:rsidR="009D6C76" w:rsidRPr="00DD1785" w:rsidRDefault="009D6C76" w:rsidP="009D6C76">
      <w:pPr>
        <w:pStyle w:val="ListParagraph"/>
        <w:ind w:left="567"/>
        <w:rPr>
          <w:rFonts w:ascii="Corbel" w:eastAsia="Times New Roman" w:hAnsi="Corbel" w:cs="Times New Roman"/>
          <w:color w:val="000000"/>
          <w:sz w:val="23"/>
          <w:szCs w:val="20"/>
          <w:lang w:eastAsia="ja-JP"/>
        </w:rPr>
      </w:pPr>
    </w:p>
    <w:p w14:paraId="0B71D027" w14:textId="5EE8ED0F" w:rsidR="00980E8D" w:rsidRPr="00980E8D" w:rsidRDefault="00980E8D" w:rsidP="00980E8D">
      <w:pPr>
        <w:pStyle w:val="ScheduleNumberedPara"/>
        <w:numPr>
          <w:ilvl w:val="0"/>
          <w:numId w:val="0"/>
        </w:numPr>
        <w:rPr>
          <w:rFonts w:ascii="Cambria" w:hAnsi="Cambria"/>
          <w:lang w:eastAsia="ja-JP"/>
        </w:rPr>
      </w:pPr>
      <w:r>
        <w:rPr>
          <w:b/>
          <w:lang w:eastAsia="ja-JP"/>
        </w:rPr>
        <w:t>T</w:t>
      </w:r>
      <w:r w:rsidRPr="00CD0FF4">
        <w:rPr>
          <w:b/>
          <w:lang w:eastAsia="ja-JP"/>
        </w:rPr>
        <w:t xml:space="preserve">able </w:t>
      </w:r>
      <w:r w:rsidR="00C546FE">
        <w:rPr>
          <w:b/>
          <w:lang w:eastAsia="ja-JP"/>
        </w:rPr>
        <w:t>5</w:t>
      </w:r>
      <w:r w:rsidRPr="00CD0FF4">
        <w:rPr>
          <w:b/>
          <w:lang w:eastAsia="ja-JP"/>
        </w:rPr>
        <w:t>. F</w:t>
      </w:r>
      <w:r>
        <w:rPr>
          <w:b/>
          <w:lang w:eastAsia="ja-JP"/>
        </w:rPr>
        <w:t>inancial Cost Breakdown for Murray Work Stream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197"/>
        <w:gridCol w:w="2484"/>
        <w:gridCol w:w="3544"/>
      </w:tblGrid>
      <w:tr w:rsidR="00980E8D" w:rsidRPr="00A978F5" w14:paraId="3E404C57" w14:textId="77777777" w:rsidTr="0069148C">
        <w:tc>
          <w:tcPr>
            <w:tcW w:w="1197" w:type="dxa"/>
          </w:tcPr>
          <w:p w14:paraId="586C6ADE" w14:textId="77777777" w:rsidR="00980E8D" w:rsidRPr="00A978F5" w:rsidRDefault="00980E8D" w:rsidP="0069148C">
            <w:pP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br w:type="page"/>
              <w:t>Milestone</w:t>
            </w:r>
          </w:p>
        </w:tc>
        <w:tc>
          <w:tcPr>
            <w:tcW w:w="2484" w:type="dxa"/>
          </w:tcPr>
          <w:p w14:paraId="524CADF9" w14:textId="77777777" w:rsidR="00980E8D" w:rsidRPr="00A978F5" w:rsidRDefault="00980E8D" w:rsidP="0069148C">
            <w:pP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Date Due</w:t>
            </w:r>
          </w:p>
        </w:tc>
        <w:tc>
          <w:tcPr>
            <w:tcW w:w="3544" w:type="dxa"/>
          </w:tcPr>
          <w:p w14:paraId="62BB15CD" w14:textId="77777777" w:rsidR="00980E8D" w:rsidRPr="00A978F5" w:rsidRDefault="00980E8D" w:rsidP="0069148C">
            <w:pPr>
              <w:jc w:val="center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Up to Payment ($M ex GST)</w:t>
            </w:r>
          </w:p>
        </w:tc>
      </w:tr>
      <w:tr w:rsidR="00980E8D" w:rsidRPr="00CD0FF4" w14:paraId="7F3C6040" w14:textId="77777777" w:rsidTr="0069148C">
        <w:trPr>
          <w:trHeight w:val="284"/>
        </w:trPr>
        <w:tc>
          <w:tcPr>
            <w:tcW w:w="1197" w:type="dxa"/>
          </w:tcPr>
          <w:p w14:paraId="43BD6A8A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</w:t>
            </w:r>
          </w:p>
        </w:tc>
        <w:tc>
          <w:tcPr>
            <w:tcW w:w="2484" w:type="dxa"/>
          </w:tcPr>
          <w:p w14:paraId="54AD0E2B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2019</w:t>
            </w:r>
          </w:p>
        </w:tc>
        <w:tc>
          <w:tcPr>
            <w:tcW w:w="3544" w:type="dxa"/>
            <w:vAlign w:val="bottom"/>
          </w:tcPr>
          <w:p w14:paraId="0E055FE4" w14:textId="3E45B58E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1.11</w:t>
            </w:r>
          </w:p>
        </w:tc>
      </w:tr>
      <w:tr w:rsidR="00980E8D" w:rsidRPr="00CD0FF4" w14:paraId="0FBA5A37" w14:textId="77777777" w:rsidTr="0069148C">
        <w:trPr>
          <w:trHeight w:val="284"/>
        </w:trPr>
        <w:tc>
          <w:tcPr>
            <w:tcW w:w="1197" w:type="dxa"/>
          </w:tcPr>
          <w:p w14:paraId="4A4580D1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2484" w:type="dxa"/>
          </w:tcPr>
          <w:p w14:paraId="676BBEA5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2019</w:t>
            </w:r>
          </w:p>
        </w:tc>
        <w:tc>
          <w:tcPr>
            <w:tcW w:w="3544" w:type="dxa"/>
            <w:vAlign w:val="bottom"/>
          </w:tcPr>
          <w:p w14:paraId="2B7DAF49" w14:textId="6BE256FE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4.75</w:t>
            </w:r>
          </w:p>
        </w:tc>
      </w:tr>
      <w:tr w:rsidR="00980E8D" w:rsidRPr="00CD0FF4" w14:paraId="562A152E" w14:textId="77777777" w:rsidTr="0069148C">
        <w:trPr>
          <w:trHeight w:val="284"/>
        </w:trPr>
        <w:tc>
          <w:tcPr>
            <w:tcW w:w="1197" w:type="dxa"/>
          </w:tcPr>
          <w:p w14:paraId="7B23A986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2484" w:type="dxa"/>
          </w:tcPr>
          <w:p w14:paraId="222B66B4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2020</w:t>
            </w:r>
          </w:p>
        </w:tc>
        <w:tc>
          <w:tcPr>
            <w:tcW w:w="3544" w:type="dxa"/>
            <w:vAlign w:val="bottom"/>
          </w:tcPr>
          <w:p w14:paraId="760FC5F4" w14:textId="09732DBE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7.41</w:t>
            </w:r>
          </w:p>
        </w:tc>
      </w:tr>
      <w:tr w:rsidR="00980E8D" w:rsidRPr="00CD0FF4" w14:paraId="79C24B15" w14:textId="77777777" w:rsidTr="0069148C">
        <w:trPr>
          <w:trHeight w:val="284"/>
        </w:trPr>
        <w:tc>
          <w:tcPr>
            <w:tcW w:w="1197" w:type="dxa"/>
          </w:tcPr>
          <w:p w14:paraId="277B6326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2484" w:type="dxa"/>
          </w:tcPr>
          <w:p w14:paraId="43976FB0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2020</w:t>
            </w:r>
          </w:p>
        </w:tc>
        <w:tc>
          <w:tcPr>
            <w:tcW w:w="3544" w:type="dxa"/>
            <w:vAlign w:val="bottom"/>
          </w:tcPr>
          <w:p w14:paraId="23A48656" w14:textId="1DA0218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10.91</w:t>
            </w:r>
          </w:p>
        </w:tc>
      </w:tr>
      <w:tr w:rsidR="00980E8D" w:rsidRPr="00CD0FF4" w14:paraId="06425D2D" w14:textId="77777777" w:rsidTr="0069148C">
        <w:trPr>
          <w:trHeight w:val="284"/>
        </w:trPr>
        <w:tc>
          <w:tcPr>
            <w:tcW w:w="1197" w:type="dxa"/>
          </w:tcPr>
          <w:p w14:paraId="2DC76D86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2484" w:type="dxa"/>
          </w:tcPr>
          <w:p w14:paraId="56C1821F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2021</w:t>
            </w:r>
          </w:p>
        </w:tc>
        <w:tc>
          <w:tcPr>
            <w:tcW w:w="3544" w:type="dxa"/>
            <w:vAlign w:val="bottom"/>
          </w:tcPr>
          <w:p w14:paraId="58A9D44C" w14:textId="7373BFA2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10.42</w:t>
            </w:r>
          </w:p>
        </w:tc>
      </w:tr>
      <w:tr w:rsidR="00980E8D" w:rsidRPr="00CD0FF4" w14:paraId="2918491D" w14:textId="77777777" w:rsidTr="0069148C">
        <w:trPr>
          <w:trHeight w:val="284"/>
        </w:trPr>
        <w:tc>
          <w:tcPr>
            <w:tcW w:w="1197" w:type="dxa"/>
          </w:tcPr>
          <w:p w14:paraId="3AFD3A99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</w:t>
            </w:r>
          </w:p>
        </w:tc>
        <w:tc>
          <w:tcPr>
            <w:tcW w:w="2484" w:type="dxa"/>
          </w:tcPr>
          <w:p w14:paraId="1FBDE2B7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2021</w:t>
            </w:r>
          </w:p>
        </w:tc>
        <w:tc>
          <w:tcPr>
            <w:tcW w:w="3544" w:type="dxa"/>
            <w:vAlign w:val="bottom"/>
          </w:tcPr>
          <w:p w14:paraId="52AF45DE" w14:textId="184D2C30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2.89</w:t>
            </w:r>
          </w:p>
        </w:tc>
      </w:tr>
      <w:tr w:rsidR="00980E8D" w:rsidRPr="00CD0FF4" w14:paraId="292E16F2" w14:textId="77777777" w:rsidTr="0069148C">
        <w:trPr>
          <w:trHeight w:val="284"/>
        </w:trPr>
        <w:tc>
          <w:tcPr>
            <w:tcW w:w="1197" w:type="dxa"/>
          </w:tcPr>
          <w:p w14:paraId="23B9B3DB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7</w:t>
            </w:r>
          </w:p>
        </w:tc>
        <w:tc>
          <w:tcPr>
            <w:tcW w:w="2484" w:type="dxa"/>
          </w:tcPr>
          <w:p w14:paraId="263595A1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2022</w:t>
            </w:r>
          </w:p>
        </w:tc>
        <w:tc>
          <w:tcPr>
            <w:tcW w:w="3544" w:type="dxa"/>
            <w:vAlign w:val="bottom"/>
          </w:tcPr>
          <w:p w14:paraId="70B9F663" w14:textId="47DC5C9A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1.75</w:t>
            </w:r>
          </w:p>
        </w:tc>
      </w:tr>
    </w:tbl>
    <w:p w14:paraId="2B28D47C" w14:textId="77777777" w:rsidR="00980E8D" w:rsidRDefault="00980E8D" w:rsidP="00980E8D">
      <w:pPr>
        <w:pStyle w:val="ScheduleNumberedPara"/>
        <w:numPr>
          <w:ilvl w:val="0"/>
          <w:numId w:val="0"/>
        </w:numPr>
        <w:rPr>
          <w:b/>
          <w:lang w:eastAsia="ja-JP"/>
        </w:rPr>
      </w:pPr>
    </w:p>
    <w:p w14:paraId="28B084A5" w14:textId="7C5E8FF7" w:rsidR="009D5962" w:rsidRDefault="00980E8D" w:rsidP="00980E8D">
      <w:pPr>
        <w:pStyle w:val="ScheduleNumberedPara"/>
        <w:numPr>
          <w:ilvl w:val="0"/>
          <w:numId w:val="0"/>
        </w:numPr>
        <w:rPr>
          <w:rFonts w:ascii="Cambria" w:hAnsi="Cambria"/>
          <w:lang w:eastAsia="ja-JP"/>
        </w:rPr>
      </w:pPr>
      <w:r>
        <w:rPr>
          <w:b/>
          <w:lang w:eastAsia="ja-JP"/>
        </w:rPr>
        <w:t>T</w:t>
      </w:r>
      <w:r w:rsidRPr="00CD0FF4">
        <w:rPr>
          <w:b/>
          <w:lang w:eastAsia="ja-JP"/>
        </w:rPr>
        <w:t xml:space="preserve">able </w:t>
      </w:r>
      <w:r w:rsidR="00C546FE">
        <w:rPr>
          <w:b/>
          <w:lang w:eastAsia="ja-JP"/>
        </w:rPr>
        <w:t>6</w:t>
      </w:r>
      <w:r w:rsidRPr="00CD0FF4">
        <w:rPr>
          <w:b/>
          <w:lang w:eastAsia="ja-JP"/>
        </w:rPr>
        <w:t>. F</w:t>
      </w:r>
      <w:r>
        <w:rPr>
          <w:b/>
          <w:lang w:eastAsia="ja-JP"/>
        </w:rPr>
        <w:t>inancial Cost Breakdown for Murrumbidgee Work Stream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197"/>
        <w:gridCol w:w="2484"/>
        <w:gridCol w:w="3544"/>
      </w:tblGrid>
      <w:tr w:rsidR="00980E8D" w:rsidRPr="00A978F5" w14:paraId="3914A622" w14:textId="77777777" w:rsidTr="00980E8D">
        <w:tc>
          <w:tcPr>
            <w:tcW w:w="1197" w:type="dxa"/>
          </w:tcPr>
          <w:p w14:paraId="3EEB5519" w14:textId="77777777" w:rsidR="00980E8D" w:rsidRPr="00A978F5" w:rsidRDefault="00980E8D" w:rsidP="0069148C">
            <w:pP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br w:type="page"/>
              <w:t>Milestone</w:t>
            </w:r>
          </w:p>
        </w:tc>
        <w:tc>
          <w:tcPr>
            <w:tcW w:w="2484" w:type="dxa"/>
          </w:tcPr>
          <w:p w14:paraId="652C6A2F" w14:textId="77777777" w:rsidR="00980E8D" w:rsidRPr="00A978F5" w:rsidRDefault="00980E8D" w:rsidP="0069148C">
            <w:pP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Date Due</w:t>
            </w:r>
          </w:p>
        </w:tc>
        <w:tc>
          <w:tcPr>
            <w:tcW w:w="3544" w:type="dxa"/>
          </w:tcPr>
          <w:p w14:paraId="73F27F90" w14:textId="77777777" w:rsidR="00980E8D" w:rsidRPr="00A978F5" w:rsidRDefault="00980E8D" w:rsidP="0069148C">
            <w:pPr>
              <w:jc w:val="center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Up to Payment ($M ex GST)</w:t>
            </w:r>
          </w:p>
        </w:tc>
      </w:tr>
      <w:tr w:rsidR="00980E8D" w:rsidRPr="00CD0FF4" w14:paraId="6D2FBA04" w14:textId="77777777" w:rsidTr="00980E8D">
        <w:trPr>
          <w:trHeight w:val="284"/>
        </w:trPr>
        <w:tc>
          <w:tcPr>
            <w:tcW w:w="1197" w:type="dxa"/>
          </w:tcPr>
          <w:p w14:paraId="78CD8C68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</w:t>
            </w:r>
          </w:p>
        </w:tc>
        <w:tc>
          <w:tcPr>
            <w:tcW w:w="2484" w:type="dxa"/>
          </w:tcPr>
          <w:p w14:paraId="00906BC5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2019</w:t>
            </w:r>
          </w:p>
        </w:tc>
        <w:tc>
          <w:tcPr>
            <w:tcW w:w="3544" w:type="dxa"/>
            <w:vAlign w:val="bottom"/>
          </w:tcPr>
          <w:p w14:paraId="3F830CF4" w14:textId="0EA8F54B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1.04</w:t>
            </w:r>
          </w:p>
        </w:tc>
      </w:tr>
      <w:tr w:rsidR="00980E8D" w:rsidRPr="00CD0FF4" w14:paraId="2C6F9CCB" w14:textId="77777777" w:rsidTr="00980E8D">
        <w:trPr>
          <w:trHeight w:val="284"/>
        </w:trPr>
        <w:tc>
          <w:tcPr>
            <w:tcW w:w="1197" w:type="dxa"/>
          </w:tcPr>
          <w:p w14:paraId="5B002356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2484" w:type="dxa"/>
          </w:tcPr>
          <w:p w14:paraId="2F588C0F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2019</w:t>
            </w:r>
          </w:p>
        </w:tc>
        <w:tc>
          <w:tcPr>
            <w:tcW w:w="3544" w:type="dxa"/>
            <w:vAlign w:val="bottom"/>
          </w:tcPr>
          <w:p w14:paraId="7301F1EA" w14:textId="0B09D7A0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4.16</w:t>
            </w:r>
          </w:p>
        </w:tc>
      </w:tr>
      <w:tr w:rsidR="00980E8D" w:rsidRPr="00CD0FF4" w14:paraId="78D1C569" w14:textId="77777777" w:rsidTr="00980E8D">
        <w:trPr>
          <w:trHeight w:val="284"/>
        </w:trPr>
        <w:tc>
          <w:tcPr>
            <w:tcW w:w="1197" w:type="dxa"/>
          </w:tcPr>
          <w:p w14:paraId="50DEE466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2484" w:type="dxa"/>
          </w:tcPr>
          <w:p w14:paraId="11ECEFEE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2020</w:t>
            </w:r>
          </w:p>
        </w:tc>
        <w:tc>
          <w:tcPr>
            <w:tcW w:w="3544" w:type="dxa"/>
            <w:vAlign w:val="bottom"/>
          </w:tcPr>
          <w:p w14:paraId="49BD2CE4" w14:textId="6964E0CB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6.35</w:t>
            </w:r>
          </w:p>
        </w:tc>
      </w:tr>
      <w:tr w:rsidR="00980E8D" w:rsidRPr="00CD0FF4" w14:paraId="1763DADE" w14:textId="77777777" w:rsidTr="00980E8D">
        <w:trPr>
          <w:trHeight w:val="284"/>
        </w:trPr>
        <w:tc>
          <w:tcPr>
            <w:tcW w:w="1197" w:type="dxa"/>
          </w:tcPr>
          <w:p w14:paraId="228F4495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2484" w:type="dxa"/>
          </w:tcPr>
          <w:p w14:paraId="6D46D048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2020</w:t>
            </w:r>
          </w:p>
        </w:tc>
        <w:tc>
          <w:tcPr>
            <w:tcW w:w="3544" w:type="dxa"/>
            <w:vAlign w:val="bottom"/>
          </w:tcPr>
          <w:p w14:paraId="50B15749" w14:textId="40625504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9.16</w:t>
            </w:r>
          </w:p>
        </w:tc>
      </w:tr>
      <w:tr w:rsidR="00980E8D" w:rsidRPr="00CD0FF4" w14:paraId="7B246FE7" w14:textId="77777777" w:rsidTr="00980E8D">
        <w:trPr>
          <w:trHeight w:val="284"/>
        </w:trPr>
        <w:tc>
          <w:tcPr>
            <w:tcW w:w="1197" w:type="dxa"/>
          </w:tcPr>
          <w:p w14:paraId="6CD03A15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2484" w:type="dxa"/>
          </w:tcPr>
          <w:p w14:paraId="0B5123C1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2021</w:t>
            </w:r>
          </w:p>
        </w:tc>
        <w:tc>
          <w:tcPr>
            <w:tcW w:w="3544" w:type="dxa"/>
            <w:vAlign w:val="bottom"/>
          </w:tcPr>
          <w:p w14:paraId="42D55AC9" w14:textId="0047644F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8.46</w:t>
            </w:r>
          </w:p>
        </w:tc>
      </w:tr>
      <w:tr w:rsidR="00980E8D" w:rsidRPr="00CD0FF4" w14:paraId="7FB2AA53" w14:textId="77777777" w:rsidTr="00980E8D">
        <w:trPr>
          <w:trHeight w:val="284"/>
        </w:trPr>
        <w:tc>
          <w:tcPr>
            <w:tcW w:w="1197" w:type="dxa"/>
          </w:tcPr>
          <w:p w14:paraId="3FE5DDA4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</w:t>
            </w:r>
          </w:p>
        </w:tc>
        <w:tc>
          <w:tcPr>
            <w:tcW w:w="2484" w:type="dxa"/>
          </w:tcPr>
          <w:p w14:paraId="7074A5A1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2021</w:t>
            </w:r>
          </w:p>
        </w:tc>
        <w:tc>
          <w:tcPr>
            <w:tcW w:w="3544" w:type="dxa"/>
            <w:vAlign w:val="bottom"/>
          </w:tcPr>
          <w:p w14:paraId="46031583" w14:textId="1F7DDFFB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3.22</w:t>
            </w:r>
          </w:p>
        </w:tc>
      </w:tr>
      <w:tr w:rsidR="00980E8D" w:rsidRPr="00CD0FF4" w14:paraId="7968C6FD" w14:textId="77777777" w:rsidTr="00980E8D">
        <w:trPr>
          <w:trHeight w:val="284"/>
        </w:trPr>
        <w:tc>
          <w:tcPr>
            <w:tcW w:w="1197" w:type="dxa"/>
          </w:tcPr>
          <w:p w14:paraId="043D3F2C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7</w:t>
            </w:r>
          </w:p>
        </w:tc>
        <w:tc>
          <w:tcPr>
            <w:tcW w:w="2484" w:type="dxa"/>
          </w:tcPr>
          <w:p w14:paraId="3CAD28C4" w14:textId="77777777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2022</w:t>
            </w:r>
          </w:p>
        </w:tc>
        <w:tc>
          <w:tcPr>
            <w:tcW w:w="3544" w:type="dxa"/>
            <w:vAlign w:val="bottom"/>
          </w:tcPr>
          <w:p w14:paraId="5A01C05E" w14:textId="006A820A" w:rsidR="00980E8D" w:rsidRPr="00CD0FF4" w:rsidRDefault="00980E8D" w:rsidP="00980E8D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1.12</w:t>
            </w:r>
          </w:p>
        </w:tc>
      </w:tr>
    </w:tbl>
    <w:p w14:paraId="2DCF1E0E" w14:textId="359F3702" w:rsidR="00842C59" w:rsidRDefault="00842C59" w:rsidP="00F64ADE">
      <w:pPr>
        <w:pStyle w:val="ScheduleNumberedPara"/>
        <w:numPr>
          <w:ilvl w:val="0"/>
          <w:numId w:val="0"/>
        </w:numPr>
        <w:rPr>
          <w:rFonts w:ascii="Cambria" w:hAnsi="Cambria"/>
          <w:lang w:eastAsia="ja-JP"/>
        </w:rPr>
      </w:pPr>
    </w:p>
    <w:p w14:paraId="42CF7C65" w14:textId="7B7464C3" w:rsidR="00980E8D" w:rsidRDefault="00980E8D" w:rsidP="00842C59">
      <w:pPr>
        <w:rPr>
          <w:rFonts w:ascii="Cambria" w:hAnsi="Cambria"/>
          <w:lang w:eastAsia="ja-JP"/>
        </w:rPr>
      </w:pPr>
      <w:r>
        <w:rPr>
          <w:b/>
          <w:lang w:eastAsia="ja-JP"/>
        </w:rPr>
        <w:t>T</w:t>
      </w:r>
      <w:r w:rsidRPr="00CD0FF4">
        <w:rPr>
          <w:b/>
          <w:lang w:eastAsia="ja-JP"/>
        </w:rPr>
        <w:t xml:space="preserve">able </w:t>
      </w:r>
      <w:r w:rsidR="00C546FE">
        <w:rPr>
          <w:b/>
          <w:lang w:eastAsia="ja-JP"/>
        </w:rPr>
        <w:t>7</w:t>
      </w:r>
      <w:r w:rsidRPr="00CD0FF4">
        <w:rPr>
          <w:b/>
          <w:lang w:eastAsia="ja-JP"/>
        </w:rPr>
        <w:t>. F</w:t>
      </w:r>
      <w:r>
        <w:rPr>
          <w:b/>
          <w:lang w:eastAsia="ja-JP"/>
        </w:rPr>
        <w:t>inancial Cost Breakdown for Darling Work Stream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197"/>
        <w:gridCol w:w="2484"/>
        <w:gridCol w:w="3544"/>
      </w:tblGrid>
      <w:tr w:rsidR="00980E8D" w:rsidRPr="00A978F5" w14:paraId="316E8C61" w14:textId="77777777" w:rsidTr="0069148C">
        <w:tc>
          <w:tcPr>
            <w:tcW w:w="1197" w:type="dxa"/>
          </w:tcPr>
          <w:p w14:paraId="2CE4169E" w14:textId="77777777" w:rsidR="00980E8D" w:rsidRPr="00A978F5" w:rsidRDefault="00980E8D" w:rsidP="0069148C">
            <w:pP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br w:type="page"/>
              <w:t>Milestone</w:t>
            </w:r>
          </w:p>
        </w:tc>
        <w:tc>
          <w:tcPr>
            <w:tcW w:w="2484" w:type="dxa"/>
          </w:tcPr>
          <w:p w14:paraId="454482C4" w14:textId="77777777" w:rsidR="00980E8D" w:rsidRPr="00A978F5" w:rsidRDefault="00980E8D" w:rsidP="0069148C">
            <w:pPr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Date Due</w:t>
            </w:r>
          </w:p>
        </w:tc>
        <w:tc>
          <w:tcPr>
            <w:tcW w:w="3544" w:type="dxa"/>
          </w:tcPr>
          <w:p w14:paraId="70596B19" w14:textId="77777777" w:rsidR="00980E8D" w:rsidRPr="00A978F5" w:rsidRDefault="00980E8D" w:rsidP="0069148C">
            <w:pPr>
              <w:jc w:val="center"/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</w:pPr>
            <w:r w:rsidRPr="00A978F5">
              <w:rPr>
                <w:rFonts w:ascii="Corbel" w:eastAsia="Times New Roman" w:hAnsi="Corbel" w:cs="Times New Roman"/>
                <w:b/>
                <w:color w:val="000000"/>
                <w:sz w:val="23"/>
                <w:szCs w:val="20"/>
                <w:lang w:eastAsia="ja-JP"/>
              </w:rPr>
              <w:t>Up to Payment ($M ex GST)</w:t>
            </w:r>
          </w:p>
        </w:tc>
      </w:tr>
      <w:tr w:rsidR="00980E8D" w:rsidRPr="00CD0FF4" w14:paraId="12CF95DA" w14:textId="77777777" w:rsidTr="0069148C">
        <w:trPr>
          <w:trHeight w:val="284"/>
        </w:trPr>
        <w:tc>
          <w:tcPr>
            <w:tcW w:w="1197" w:type="dxa"/>
          </w:tcPr>
          <w:p w14:paraId="790C2719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</w:t>
            </w:r>
          </w:p>
        </w:tc>
        <w:tc>
          <w:tcPr>
            <w:tcW w:w="2484" w:type="dxa"/>
          </w:tcPr>
          <w:p w14:paraId="6244DD52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2019</w:t>
            </w:r>
          </w:p>
        </w:tc>
        <w:tc>
          <w:tcPr>
            <w:tcW w:w="3544" w:type="dxa"/>
            <w:vAlign w:val="bottom"/>
          </w:tcPr>
          <w:p w14:paraId="06EB7AB8" w14:textId="553397F9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1.34</w:t>
            </w:r>
          </w:p>
        </w:tc>
      </w:tr>
      <w:tr w:rsidR="00980E8D" w:rsidRPr="00CD0FF4" w14:paraId="0A9CE478" w14:textId="77777777" w:rsidTr="0069148C">
        <w:trPr>
          <w:trHeight w:val="284"/>
        </w:trPr>
        <w:tc>
          <w:tcPr>
            <w:tcW w:w="1197" w:type="dxa"/>
          </w:tcPr>
          <w:p w14:paraId="40B477BB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2</w:t>
            </w:r>
          </w:p>
        </w:tc>
        <w:tc>
          <w:tcPr>
            <w:tcW w:w="2484" w:type="dxa"/>
          </w:tcPr>
          <w:p w14:paraId="666208DD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2019</w:t>
            </w:r>
          </w:p>
        </w:tc>
        <w:tc>
          <w:tcPr>
            <w:tcW w:w="3544" w:type="dxa"/>
            <w:vAlign w:val="bottom"/>
          </w:tcPr>
          <w:p w14:paraId="59FAEE82" w14:textId="14112035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3.39</w:t>
            </w:r>
          </w:p>
        </w:tc>
      </w:tr>
      <w:tr w:rsidR="00980E8D" w:rsidRPr="00CD0FF4" w14:paraId="29A720AB" w14:textId="77777777" w:rsidTr="0069148C">
        <w:trPr>
          <w:trHeight w:val="284"/>
        </w:trPr>
        <w:tc>
          <w:tcPr>
            <w:tcW w:w="1197" w:type="dxa"/>
          </w:tcPr>
          <w:p w14:paraId="3FF59102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</w:t>
            </w:r>
          </w:p>
        </w:tc>
        <w:tc>
          <w:tcPr>
            <w:tcW w:w="2484" w:type="dxa"/>
          </w:tcPr>
          <w:p w14:paraId="4AC8C328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2020</w:t>
            </w:r>
          </w:p>
        </w:tc>
        <w:tc>
          <w:tcPr>
            <w:tcW w:w="3544" w:type="dxa"/>
            <w:vAlign w:val="bottom"/>
          </w:tcPr>
          <w:p w14:paraId="12F3AFAC" w14:textId="47B96F9D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4.76</w:t>
            </w:r>
          </w:p>
        </w:tc>
      </w:tr>
      <w:tr w:rsidR="00980E8D" w:rsidRPr="00CD0FF4" w14:paraId="50EA1F94" w14:textId="77777777" w:rsidTr="0069148C">
        <w:trPr>
          <w:trHeight w:val="284"/>
        </w:trPr>
        <w:tc>
          <w:tcPr>
            <w:tcW w:w="1197" w:type="dxa"/>
          </w:tcPr>
          <w:p w14:paraId="0B9D0908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</w:t>
            </w:r>
          </w:p>
        </w:tc>
        <w:tc>
          <w:tcPr>
            <w:tcW w:w="2484" w:type="dxa"/>
          </w:tcPr>
          <w:p w14:paraId="22702145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2020</w:t>
            </w:r>
          </w:p>
        </w:tc>
        <w:tc>
          <w:tcPr>
            <w:tcW w:w="3544" w:type="dxa"/>
            <w:vAlign w:val="bottom"/>
          </w:tcPr>
          <w:p w14:paraId="42B911BC" w14:textId="6807D4D6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6.05</w:t>
            </w:r>
          </w:p>
        </w:tc>
      </w:tr>
      <w:tr w:rsidR="00980E8D" w:rsidRPr="00CD0FF4" w14:paraId="65FF8FF6" w14:textId="77777777" w:rsidTr="0069148C">
        <w:trPr>
          <w:trHeight w:val="284"/>
        </w:trPr>
        <w:tc>
          <w:tcPr>
            <w:tcW w:w="1197" w:type="dxa"/>
          </w:tcPr>
          <w:p w14:paraId="40CA5924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5</w:t>
            </w:r>
          </w:p>
        </w:tc>
        <w:tc>
          <w:tcPr>
            <w:tcW w:w="2484" w:type="dxa"/>
          </w:tcPr>
          <w:p w14:paraId="2DCA94E5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2021</w:t>
            </w:r>
          </w:p>
        </w:tc>
        <w:tc>
          <w:tcPr>
            <w:tcW w:w="3544" w:type="dxa"/>
            <w:vAlign w:val="bottom"/>
          </w:tcPr>
          <w:p w14:paraId="4FBECE5C" w14:textId="4922203B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4.83</w:t>
            </w:r>
          </w:p>
        </w:tc>
      </w:tr>
      <w:tr w:rsidR="00980E8D" w:rsidRPr="00CD0FF4" w14:paraId="19EF2C35" w14:textId="77777777" w:rsidTr="0069148C">
        <w:trPr>
          <w:trHeight w:val="284"/>
        </w:trPr>
        <w:tc>
          <w:tcPr>
            <w:tcW w:w="1197" w:type="dxa"/>
          </w:tcPr>
          <w:p w14:paraId="1842C9D4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6</w:t>
            </w:r>
          </w:p>
        </w:tc>
        <w:tc>
          <w:tcPr>
            <w:tcW w:w="2484" w:type="dxa"/>
          </w:tcPr>
          <w:p w14:paraId="55458E59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October 2021</w:t>
            </w:r>
          </w:p>
        </w:tc>
        <w:tc>
          <w:tcPr>
            <w:tcW w:w="3544" w:type="dxa"/>
            <w:vAlign w:val="bottom"/>
          </w:tcPr>
          <w:p w14:paraId="6872DF58" w14:textId="253CD80A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3.36</w:t>
            </w:r>
          </w:p>
        </w:tc>
      </w:tr>
      <w:tr w:rsidR="00980E8D" w:rsidRPr="00CD0FF4" w14:paraId="3D458C4E" w14:textId="77777777" w:rsidTr="0069148C">
        <w:trPr>
          <w:trHeight w:val="284"/>
        </w:trPr>
        <w:tc>
          <w:tcPr>
            <w:tcW w:w="1197" w:type="dxa"/>
          </w:tcPr>
          <w:p w14:paraId="077F9CB0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7</w:t>
            </w:r>
          </w:p>
        </w:tc>
        <w:tc>
          <w:tcPr>
            <w:tcW w:w="2484" w:type="dxa"/>
          </w:tcPr>
          <w:p w14:paraId="45AABE97" w14:textId="77777777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 w:rsidRPr="00CD0FF4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April 2022</w:t>
            </w:r>
          </w:p>
        </w:tc>
        <w:tc>
          <w:tcPr>
            <w:tcW w:w="3544" w:type="dxa"/>
            <w:vAlign w:val="bottom"/>
          </w:tcPr>
          <w:p w14:paraId="425E789A" w14:textId="5C22D62B" w:rsidR="00980E8D" w:rsidRPr="00CD0FF4" w:rsidRDefault="00980E8D" w:rsidP="0069148C">
            <w:pPr>
              <w:jc w:val="center"/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1.28</w:t>
            </w:r>
          </w:p>
        </w:tc>
      </w:tr>
    </w:tbl>
    <w:p w14:paraId="3FC9E1E1" w14:textId="6B995EB8" w:rsidR="00980E8D" w:rsidRPr="00F64ADE" w:rsidRDefault="00903F85" w:rsidP="00980E8D">
      <w:pPr>
        <w:pStyle w:val="ScheduleNumberedPara"/>
        <w:numPr>
          <w:ilvl w:val="0"/>
          <w:numId w:val="0"/>
        </w:numPr>
        <w:rPr>
          <w:rFonts w:asciiTheme="minorHAnsi" w:hAnsiTheme="minorHAnsi" w:cstheme="minorHAnsi"/>
          <w:sz w:val="24"/>
          <w:szCs w:val="22"/>
          <w:vertAlign w:val="subscript"/>
        </w:rPr>
      </w:pPr>
      <w:r>
        <w:rPr>
          <w:rFonts w:asciiTheme="minorHAnsi" w:hAnsiTheme="minorHAnsi" w:cstheme="minorHAnsi"/>
          <w:sz w:val="24"/>
          <w:szCs w:val="22"/>
          <w:vertAlign w:val="subscript"/>
        </w:rPr>
        <w:t xml:space="preserve">Note: </w:t>
      </w:r>
      <w:r w:rsidR="00AD47A2">
        <w:rPr>
          <w:rFonts w:asciiTheme="minorHAnsi" w:hAnsiTheme="minorHAnsi" w:cstheme="minorHAnsi"/>
          <w:sz w:val="24"/>
          <w:szCs w:val="22"/>
          <w:vertAlign w:val="subscript"/>
        </w:rPr>
        <w:t>Darling Work Stream includes f</w:t>
      </w:r>
      <w:r w:rsidRPr="00903F85">
        <w:rPr>
          <w:rFonts w:asciiTheme="minorHAnsi" w:hAnsiTheme="minorHAnsi" w:cstheme="minorHAnsi"/>
          <w:sz w:val="24"/>
          <w:szCs w:val="22"/>
          <w:vertAlign w:val="subscript"/>
        </w:rPr>
        <w:t xml:space="preserve">unding </w:t>
      </w:r>
      <w:r w:rsidR="00AD47A2">
        <w:rPr>
          <w:rFonts w:asciiTheme="minorHAnsi" w:hAnsiTheme="minorHAnsi" w:cstheme="minorHAnsi"/>
          <w:sz w:val="24"/>
          <w:szCs w:val="22"/>
          <w:vertAlign w:val="subscript"/>
        </w:rPr>
        <w:t xml:space="preserve">of $3.56 million </w:t>
      </w:r>
      <w:r w:rsidRPr="00903F85">
        <w:rPr>
          <w:rFonts w:asciiTheme="minorHAnsi" w:hAnsiTheme="minorHAnsi" w:cstheme="minorHAnsi"/>
          <w:sz w:val="24"/>
          <w:szCs w:val="22"/>
          <w:vertAlign w:val="subscript"/>
        </w:rPr>
        <w:t xml:space="preserve">for </w:t>
      </w:r>
      <w:r w:rsidR="009D6C76">
        <w:rPr>
          <w:rFonts w:asciiTheme="minorHAnsi" w:hAnsiTheme="minorHAnsi" w:cstheme="minorHAnsi"/>
          <w:sz w:val="24"/>
          <w:szCs w:val="22"/>
          <w:vertAlign w:val="subscript"/>
        </w:rPr>
        <w:t xml:space="preserve">activities associated with </w:t>
      </w:r>
      <w:r w:rsidRPr="00903F85">
        <w:rPr>
          <w:rFonts w:asciiTheme="minorHAnsi" w:hAnsiTheme="minorHAnsi" w:cstheme="minorHAnsi"/>
          <w:sz w:val="24"/>
          <w:szCs w:val="22"/>
          <w:vertAlign w:val="subscript"/>
        </w:rPr>
        <w:t xml:space="preserve">the Lower Darling </w:t>
      </w:r>
      <w:r w:rsidR="00AD47A2">
        <w:rPr>
          <w:rFonts w:asciiTheme="minorHAnsi" w:hAnsiTheme="minorHAnsi" w:cstheme="minorHAnsi"/>
          <w:sz w:val="24"/>
          <w:szCs w:val="22"/>
          <w:vertAlign w:val="subscript"/>
        </w:rPr>
        <w:t>River w</w:t>
      </w:r>
      <w:r w:rsidRPr="00903F85">
        <w:rPr>
          <w:rFonts w:asciiTheme="minorHAnsi" w:hAnsiTheme="minorHAnsi" w:cstheme="minorHAnsi"/>
          <w:sz w:val="24"/>
          <w:szCs w:val="22"/>
          <w:vertAlign w:val="subscript"/>
        </w:rPr>
        <w:t xml:space="preserve">ater </w:t>
      </w:r>
      <w:r w:rsidR="00AD47A2">
        <w:rPr>
          <w:rFonts w:asciiTheme="minorHAnsi" w:hAnsiTheme="minorHAnsi" w:cstheme="minorHAnsi"/>
          <w:sz w:val="24"/>
          <w:szCs w:val="22"/>
          <w:vertAlign w:val="subscript"/>
        </w:rPr>
        <w:t>s</w:t>
      </w:r>
      <w:r w:rsidRPr="00903F85">
        <w:rPr>
          <w:rFonts w:asciiTheme="minorHAnsi" w:hAnsiTheme="minorHAnsi" w:cstheme="minorHAnsi"/>
          <w:sz w:val="24"/>
          <w:szCs w:val="22"/>
          <w:vertAlign w:val="subscript"/>
        </w:rPr>
        <w:t xml:space="preserve">ecurity </w:t>
      </w:r>
      <w:r w:rsidR="00AD47A2">
        <w:rPr>
          <w:rFonts w:asciiTheme="minorHAnsi" w:hAnsiTheme="minorHAnsi" w:cstheme="minorHAnsi"/>
          <w:sz w:val="24"/>
          <w:szCs w:val="22"/>
          <w:vertAlign w:val="subscript"/>
        </w:rPr>
        <w:t xml:space="preserve">component of the Menindee Lakes Water Saving </w:t>
      </w:r>
      <w:r w:rsidRPr="00903F85">
        <w:rPr>
          <w:rFonts w:asciiTheme="minorHAnsi" w:hAnsiTheme="minorHAnsi" w:cstheme="minorHAnsi"/>
          <w:sz w:val="24"/>
          <w:szCs w:val="22"/>
          <w:vertAlign w:val="subscript"/>
        </w:rPr>
        <w:t>Project</w:t>
      </w:r>
      <w:r w:rsidR="009F2173">
        <w:rPr>
          <w:rFonts w:asciiTheme="minorHAnsi" w:hAnsiTheme="minorHAnsi" w:cstheme="minorHAnsi"/>
          <w:sz w:val="24"/>
          <w:szCs w:val="22"/>
          <w:vertAlign w:val="subscript"/>
        </w:rPr>
        <w:t xml:space="preserve">. </w:t>
      </w:r>
      <w:r w:rsidR="009F2173" w:rsidRPr="009F2173">
        <w:rPr>
          <w:rFonts w:asciiTheme="minorHAnsi" w:hAnsiTheme="minorHAnsi" w:cstheme="minorHAnsi"/>
          <w:sz w:val="24"/>
          <w:szCs w:val="22"/>
          <w:vertAlign w:val="subscript"/>
        </w:rPr>
        <w:t>The payment of any of this amount ($3.56 million) to New South Wales is subject to future decisions of the Co</w:t>
      </w:r>
      <w:r w:rsidR="00FA0AAC">
        <w:rPr>
          <w:rFonts w:asciiTheme="minorHAnsi" w:hAnsiTheme="minorHAnsi" w:cstheme="minorHAnsi"/>
          <w:sz w:val="24"/>
          <w:szCs w:val="22"/>
          <w:vertAlign w:val="subscript"/>
        </w:rPr>
        <w:t>mmonwealth and New South Wales g</w:t>
      </w:r>
      <w:r w:rsidR="009F2173" w:rsidRPr="009F2173">
        <w:rPr>
          <w:rFonts w:asciiTheme="minorHAnsi" w:hAnsiTheme="minorHAnsi" w:cstheme="minorHAnsi"/>
          <w:sz w:val="24"/>
          <w:szCs w:val="22"/>
          <w:vertAlign w:val="subscript"/>
        </w:rPr>
        <w:t xml:space="preserve">overnments. </w:t>
      </w:r>
    </w:p>
    <w:p w14:paraId="3126D6A2" w14:textId="3A04E2D0" w:rsidR="006A3AA4" w:rsidRPr="006A3AA4" w:rsidRDefault="006A3AA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mbria" w:hAnsi="Cambria"/>
          <w:lang w:eastAsia="ja-JP"/>
        </w:rPr>
      </w:pPr>
      <w:r>
        <w:t xml:space="preserve">Expenditure on activities under this Schedule incurred by New South Wales from 1 July 2018 will be eligible for consideration for payment under milestones in this Schedule.  </w:t>
      </w:r>
    </w:p>
    <w:p w14:paraId="6963C293" w14:textId="31358F3D" w:rsidR="00CD0FF4" w:rsidRPr="002A1082" w:rsidRDefault="00CD0FF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mbria" w:hAnsi="Cambria"/>
          <w:lang w:eastAsia="ja-JP"/>
        </w:rPr>
      </w:pPr>
      <w:r>
        <w:rPr>
          <w:lang w:eastAsia="ja-JP"/>
        </w:rPr>
        <w:t>If the actual expenditure for a particular milestone is less than the payment amount for that same milestone, the residual amount (being the difference between the actual expenditure and the payment amount) will rema</w:t>
      </w:r>
      <w:r w:rsidR="003A21A1">
        <w:rPr>
          <w:lang w:eastAsia="ja-JP"/>
        </w:rPr>
        <w:t>in available under this S</w:t>
      </w:r>
      <w:r>
        <w:rPr>
          <w:lang w:eastAsia="ja-JP"/>
        </w:rPr>
        <w:t>chedule as a contingency for meeting any necessary reasonable additional costs</w:t>
      </w:r>
      <w:r w:rsidR="003A21A1">
        <w:rPr>
          <w:lang w:eastAsia="ja-JP"/>
        </w:rPr>
        <w:t xml:space="preserve"> for activities under the S</w:t>
      </w:r>
      <w:r w:rsidR="006A3AA4">
        <w:rPr>
          <w:lang w:eastAsia="ja-JP"/>
        </w:rPr>
        <w:t>chedule subject to</w:t>
      </w:r>
      <w:r w:rsidR="00E17C97">
        <w:rPr>
          <w:lang w:eastAsia="ja-JP"/>
        </w:rPr>
        <w:t xml:space="preserve"> the clauses 13 to 17</w:t>
      </w:r>
      <w:r w:rsidR="006A3AA4">
        <w:rPr>
          <w:lang w:eastAsia="ja-JP"/>
        </w:rPr>
        <w:t xml:space="preserve"> of this Schedule.</w:t>
      </w:r>
    </w:p>
    <w:p w14:paraId="332C7FE2" w14:textId="77777777" w:rsidR="00CD0FF4" w:rsidRPr="002A1082" w:rsidRDefault="00CD0FF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mbria" w:hAnsi="Cambria"/>
          <w:lang w:eastAsia="ja-JP"/>
        </w:rPr>
      </w:pPr>
      <w:r>
        <w:rPr>
          <w:lang w:eastAsia="ja-JP"/>
        </w:rPr>
        <w:t>The Commonwealth may agree to requests from NSW to transfer a residual amount, or part thereof, to a subsequent milestone in the work streams in this Schedule.</w:t>
      </w:r>
    </w:p>
    <w:p w14:paraId="4D32CBF4" w14:textId="34BD5244" w:rsidR="00CD0FF4" w:rsidRPr="009D5962" w:rsidRDefault="00CD0FF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lang w:eastAsia="ja-JP"/>
        </w:rPr>
      </w:pPr>
      <w:r>
        <w:rPr>
          <w:lang w:eastAsia="ja-JP"/>
        </w:rPr>
        <w:t xml:space="preserve">A request from NSW to transfer a residual amount to a milestone falling within the same financial year may be agreed to by the Commonwealth </w:t>
      </w:r>
      <w:r w:rsidR="00F64ADE">
        <w:rPr>
          <w:lang w:eastAsia="ja-JP"/>
        </w:rPr>
        <w:t>portfolio m</w:t>
      </w:r>
      <w:r>
        <w:rPr>
          <w:lang w:eastAsia="ja-JP"/>
        </w:rPr>
        <w:t>inister. Such transfers may be agreed and take place without a variation to the Schedule.</w:t>
      </w:r>
    </w:p>
    <w:p w14:paraId="30C73B17" w14:textId="25B6626D" w:rsidR="00CD0FF4" w:rsidRPr="002A1082" w:rsidRDefault="00CD0FF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mbria" w:hAnsi="Cambria"/>
          <w:lang w:eastAsia="ja-JP"/>
        </w:rPr>
      </w:pPr>
      <w:r>
        <w:rPr>
          <w:lang w:eastAsia="ja-JP"/>
        </w:rPr>
        <w:t>The Commonwealth Minister may delegate the agreement of transfers of residual amounts within th</w:t>
      </w:r>
      <w:r w:rsidR="003A21A1">
        <w:rPr>
          <w:lang w:eastAsia="ja-JP"/>
        </w:rPr>
        <w:t xml:space="preserve">e same financial year to Senior Executive Service officers from the </w:t>
      </w:r>
      <w:r>
        <w:rPr>
          <w:lang w:eastAsia="ja-JP"/>
        </w:rPr>
        <w:t>Commonwealth, having regard to the financial and policy risks associated with the transfers.</w:t>
      </w:r>
    </w:p>
    <w:p w14:paraId="6632A6F6" w14:textId="77777777" w:rsidR="00CD0FF4" w:rsidRPr="002A1082" w:rsidRDefault="00CD0FF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mbria" w:hAnsi="Cambria"/>
          <w:lang w:eastAsia="ja-JP"/>
        </w:rPr>
      </w:pPr>
      <w:r>
        <w:rPr>
          <w:lang w:eastAsia="ja-JP"/>
        </w:rPr>
        <w:t>A request from NSW to transfer a residual amount to increase a milestone amount in a later financial year may be agreed in writing by the relevant Commonwealth and State portfolio ministers in accordance with clause 35 of the Agreement.</w:t>
      </w:r>
    </w:p>
    <w:p w14:paraId="23822DEB" w14:textId="671853D1" w:rsidR="009D5962" w:rsidRPr="009D5962" w:rsidRDefault="00CD0FF4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mbria" w:hAnsi="Cambria"/>
          <w:lang w:eastAsia="ja-JP"/>
        </w:rPr>
      </w:pPr>
      <w:r>
        <w:rPr>
          <w:lang w:eastAsia="ja-JP"/>
        </w:rPr>
        <w:t>NSW will provide a reconciliation of any residual amounts that have been transferred to subsequent milestones as part of reports require</w:t>
      </w:r>
      <w:r w:rsidR="00F64ADE">
        <w:rPr>
          <w:lang w:eastAsia="ja-JP"/>
        </w:rPr>
        <w:t>d in accordance with clause 23 of the Agreement</w:t>
      </w:r>
      <w:r>
        <w:rPr>
          <w:lang w:eastAsia="ja-JP"/>
        </w:rPr>
        <w:t>.     </w:t>
      </w:r>
    </w:p>
    <w:p w14:paraId="0ACEF914" w14:textId="75D3AB55" w:rsidR="00810CFF" w:rsidRPr="009D5962" w:rsidRDefault="000D1356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="Calibri" w:hAnsi="Calibri" w:cs="Calibri"/>
          <w:i/>
          <w:color w:val="FF0000"/>
          <w:shd w:val="clear" w:color="auto" w:fill="FFFFFF"/>
        </w:rPr>
      </w:pPr>
      <w:r>
        <w:rPr>
          <w:lang w:eastAsia="ja-JP"/>
        </w:rPr>
        <w:t>T</w:t>
      </w:r>
      <w:r w:rsidR="009F2173">
        <w:rPr>
          <w:lang w:eastAsia="ja-JP"/>
        </w:rPr>
        <w:t xml:space="preserve">he work streams </w:t>
      </w:r>
      <w:r w:rsidR="007340EB">
        <w:rPr>
          <w:lang w:eastAsia="ja-JP"/>
        </w:rPr>
        <w:t xml:space="preserve">in this Schedule </w:t>
      </w:r>
      <w:r w:rsidR="009F2173">
        <w:rPr>
          <w:lang w:eastAsia="ja-JP"/>
        </w:rPr>
        <w:t xml:space="preserve">are independent bodies of work.  </w:t>
      </w:r>
      <w:r w:rsidR="00CD0FF4">
        <w:rPr>
          <w:lang w:eastAsia="ja-JP"/>
        </w:rPr>
        <w:t xml:space="preserve">Milestones </w:t>
      </w:r>
      <w:r w:rsidR="009F2173">
        <w:rPr>
          <w:lang w:eastAsia="ja-JP"/>
        </w:rPr>
        <w:t xml:space="preserve">and associated payments </w:t>
      </w:r>
      <w:r w:rsidR="00CD0FF4">
        <w:rPr>
          <w:lang w:eastAsia="ja-JP"/>
        </w:rPr>
        <w:t xml:space="preserve">in </w:t>
      </w:r>
      <w:r w:rsidR="009F2173">
        <w:rPr>
          <w:lang w:eastAsia="ja-JP"/>
        </w:rPr>
        <w:t xml:space="preserve">one work stream are </w:t>
      </w:r>
      <w:r w:rsidR="00CD0FF4">
        <w:rPr>
          <w:lang w:eastAsia="ja-JP"/>
        </w:rPr>
        <w:t xml:space="preserve">independent </w:t>
      </w:r>
      <w:r w:rsidR="00F64ADE">
        <w:rPr>
          <w:lang w:eastAsia="ja-JP"/>
        </w:rPr>
        <w:t xml:space="preserve">of </w:t>
      </w:r>
      <w:r w:rsidR="009F2173">
        <w:rPr>
          <w:lang w:eastAsia="ja-JP"/>
        </w:rPr>
        <w:t xml:space="preserve">milestones and payments in </w:t>
      </w:r>
      <w:r w:rsidR="00F64ADE">
        <w:rPr>
          <w:lang w:eastAsia="ja-JP"/>
        </w:rPr>
        <w:t xml:space="preserve">other </w:t>
      </w:r>
      <w:r w:rsidR="009F2173">
        <w:rPr>
          <w:lang w:eastAsia="ja-JP"/>
        </w:rPr>
        <w:t>work streams. T</w:t>
      </w:r>
      <w:r w:rsidR="00CD0FF4">
        <w:rPr>
          <w:lang w:eastAsia="ja-JP"/>
        </w:rPr>
        <w:t>he non</w:t>
      </w:r>
      <w:r w:rsidR="00CD0FF4">
        <w:rPr>
          <w:lang w:eastAsia="ja-JP"/>
        </w:rPr>
        <w:noBreakHyphen/>
        <w:t xml:space="preserve">completion of a milestone </w:t>
      </w:r>
      <w:r w:rsidR="009F2173">
        <w:rPr>
          <w:lang w:eastAsia="ja-JP"/>
        </w:rPr>
        <w:t xml:space="preserve">by its reporting date </w:t>
      </w:r>
      <w:r w:rsidR="00CD0FF4">
        <w:rPr>
          <w:lang w:eastAsia="ja-JP"/>
        </w:rPr>
        <w:t>in a particular</w:t>
      </w:r>
      <w:r w:rsidR="00A54595">
        <w:rPr>
          <w:lang w:eastAsia="ja-JP"/>
        </w:rPr>
        <w:t xml:space="preserve"> work stream will not prevent payment being made for a completed </w:t>
      </w:r>
      <w:r w:rsidR="00F64ADE">
        <w:rPr>
          <w:lang w:eastAsia="ja-JP"/>
        </w:rPr>
        <w:t>milestone in a different</w:t>
      </w:r>
      <w:r w:rsidR="00CD0FF4">
        <w:rPr>
          <w:lang w:eastAsia="ja-JP"/>
        </w:rPr>
        <w:t xml:space="preserve"> work stream</w:t>
      </w:r>
      <w:r w:rsidR="00A54595">
        <w:rPr>
          <w:lang w:eastAsia="ja-JP"/>
        </w:rPr>
        <w:t>.</w:t>
      </w:r>
      <w:r w:rsidR="009F2173">
        <w:rPr>
          <w:lang w:eastAsia="ja-JP"/>
        </w:rPr>
        <w:t xml:space="preserve">  </w:t>
      </w:r>
    </w:p>
    <w:p w14:paraId="163F6A90" w14:textId="440AE34A" w:rsidR="00DB5402" w:rsidRDefault="00DB5402" w:rsidP="00E248BC">
      <w:pPr>
        <w:rPr>
          <w:rFonts w:cstheme="minorHAnsi"/>
        </w:rPr>
      </w:pPr>
    </w:p>
    <w:p w14:paraId="70BE580F" w14:textId="431E2FB5" w:rsidR="00DB5402" w:rsidRDefault="00DB5402" w:rsidP="00DB5402">
      <w:pPr>
        <w:tabs>
          <w:tab w:val="left" w:pos="4032"/>
        </w:tabs>
        <w:rPr>
          <w:rFonts w:cstheme="minorHAnsi"/>
        </w:rPr>
      </w:pPr>
      <w:r>
        <w:rPr>
          <w:rFonts w:cstheme="minorHAnsi"/>
        </w:rPr>
        <w:tab/>
      </w:r>
    </w:p>
    <w:p w14:paraId="66721F0D" w14:textId="74A5A7B6" w:rsidR="00F44774" w:rsidRPr="009C46B8" w:rsidRDefault="00074F46" w:rsidP="00E248BC">
      <w:pPr>
        <w:rPr>
          <w:rFonts w:eastAsia="Times New Roman" w:cstheme="minorHAnsi"/>
          <w:bCs/>
          <w:caps/>
          <w:color w:val="3D4B67"/>
          <w:kern w:val="32"/>
          <w:lang w:eastAsia="en-AU"/>
        </w:rPr>
      </w:pPr>
      <w:r w:rsidRPr="00DB5402">
        <w:rPr>
          <w:rFonts w:cstheme="minorHAnsi"/>
        </w:rPr>
        <w:br w:type="page"/>
      </w:r>
      <w:r w:rsidR="00F44774" w:rsidRPr="009C46B8">
        <w:rPr>
          <w:rFonts w:eastAsia="Times New Roman" w:cstheme="minorHAnsi"/>
          <w:bCs/>
          <w:caps/>
          <w:color w:val="3D4B67"/>
          <w:kern w:val="32"/>
          <w:lang w:eastAsia="en-AU"/>
        </w:rPr>
        <w:t xml:space="preserve"> </w:t>
      </w:r>
    </w:p>
    <w:p w14:paraId="794191BD" w14:textId="68997F5F" w:rsidR="007340EB" w:rsidRDefault="007340EB" w:rsidP="00E248BC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SIGN OFF </w:t>
      </w:r>
    </w:p>
    <w:p w14:paraId="366E8054" w14:textId="77777777" w:rsidR="00BE7A7A" w:rsidRPr="009C46B8" w:rsidRDefault="00BE7A7A" w:rsidP="00E248BC">
      <w:pPr>
        <w:rPr>
          <w:rFonts w:cstheme="minorHAnsi"/>
          <w:lang w:val="en-GB"/>
        </w:rPr>
      </w:pPr>
      <w:r w:rsidRPr="009C46B8">
        <w:rPr>
          <w:rFonts w:cstheme="minorHAnsi"/>
          <w:lang w:val="en-GB"/>
        </w:rPr>
        <w:t xml:space="preserve">The </w:t>
      </w:r>
      <w:r w:rsidRPr="009C46B8">
        <w:rPr>
          <w:rFonts w:cstheme="minorHAnsi"/>
        </w:rPr>
        <w:t>Parties</w:t>
      </w:r>
      <w:r w:rsidRPr="009C46B8">
        <w:rPr>
          <w:rFonts w:cstheme="minorHAnsi"/>
          <w:lang w:val="en-GB"/>
        </w:rPr>
        <w:t xml:space="preserve"> have confirmed their commitment to this Schedule as follows:</w:t>
      </w:r>
    </w:p>
    <w:p w14:paraId="483DD4C8" w14:textId="77777777" w:rsidR="00BE7A7A" w:rsidRPr="009C46B8" w:rsidRDefault="00BE7A7A" w:rsidP="00E248BC">
      <w:pPr>
        <w:pStyle w:val="ChartandTableFootnoteAlpha"/>
        <w:numPr>
          <w:ilvl w:val="0"/>
          <w:numId w:val="0"/>
        </w:numPr>
        <w:ind w:left="283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5954"/>
        <w:gridCol w:w="425"/>
        <w:gridCol w:w="2977"/>
      </w:tblGrid>
      <w:tr w:rsidR="00BE7A7A" w:rsidRPr="009C46B8" w14:paraId="0A45E12A" w14:textId="77777777" w:rsidTr="00B72F08">
        <w:trPr>
          <w:cantSplit/>
          <w:jc w:val="center"/>
        </w:trPr>
        <w:tc>
          <w:tcPr>
            <w:tcW w:w="5954" w:type="dxa"/>
          </w:tcPr>
          <w:p w14:paraId="0718D453" w14:textId="77777777" w:rsidR="00BE7A7A" w:rsidRPr="009C46B8" w:rsidRDefault="00BE7A7A" w:rsidP="00E248BC">
            <w:pPr>
              <w:pStyle w:val="Signed"/>
              <w:jc w:val="left"/>
              <w:rPr>
                <w:rFonts w:asciiTheme="minorHAnsi" w:hAnsiTheme="minorHAnsi" w:cstheme="minorHAnsi"/>
                <w:szCs w:val="22"/>
              </w:rPr>
            </w:pPr>
            <w:r w:rsidRPr="009C46B8">
              <w:rPr>
                <w:rStyle w:val="SignedBold"/>
                <w:rFonts w:asciiTheme="minorHAnsi" w:hAnsiTheme="minorHAnsi" w:cstheme="minorHAnsi"/>
                <w:szCs w:val="22"/>
              </w:rPr>
              <w:t>Signed</w:t>
            </w:r>
            <w:r w:rsidRPr="009C46B8">
              <w:rPr>
                <w:rFonts w:asciiTheme="minorHAnsi" w:hAnsiTheme="minorHAnsi" w:cstheme="minorHAnsi"/>
                <w:szCs w:val="22"/>
              </w:rPr>
              <w:t xml:space="preserve"> for and on behalf of the Commonwealth of Australia by</w:t>
            </w:r>
          </w:p>
          <w:p w14:paraId="5E963B8F" w14:textId="77777777" w:rsidR="00BE7A7A" w:rsidRPr="009C46B8" w:rsidRDefault="00BE7A7A" w:rsidP="00E248BC">
            <w:pPr>
              <w:pStyle w:val="LineForSignatur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7BAC2" w14:textId="77777777" w:rsidR="00BE7A7A" w:rsidRPr="009C46B8" w:rsidRDefault="00BE7A7A" w:rsidP="00E248BC">
            <w:pPr>
              <w:pStyle w:val="LineForSignature"/>
              <w:rPr>
                <w:rFonts w:asciiTheme="minorHAnsi" w:hAnsiTheme="minorHAnsi" w:cstheme="minorHAnsi"/>
                <w:sz w:val="22"/>
                <w:szCs w:val="22"/>
              </w:rPr>
            </w:pPr>
            <w:r w:rsidRPr="009C46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0448E33" w14:textId="77777777" w:rsidR="00BE7A7A" w:rsidRPr="009C46B8" w:rsidRDefault="00BE7A7A" w:rsidP="00E248BC">
            <w:pPr>
              <w:pStyle w:val="SingleParagraph"/>
              <w:rPr>
                <w:rStyle w:val="Bold"/>
                <w:rFonts w:asciiTheme="minorHAnsi" w:hAnsiTheme="minorHAnsi" w:cstheme="minorHAnsi"/>
                <w:sz w:val="22"/>
                <w:szCs w:val="22"/>
              </w:rPr>
            </w:pPr>
            <w:r w:rsidRPr="009C46B8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The Honourable David Littleproud MP</w:t>
            </w:r>
          </w:p>
          <w:p w14:paraId="21101FAF" w14:textId="77777777" w:rsidR="00BE7A7A" w:rsidRPr="009C46B8" w:rsidRDefault="00BE7A7A" w:rsidP="00E248BC">
            <w:pPr>
              <w:pStyle w:val="Position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C46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Minister for Agriculture and Water Resources </w:t>
            </w:r>
          </w:p>
          <w:p w14:paraId="004E3D9A" w14:textId="77777777" w:rsidR="008F1E71" w:rsidRPr="009C46B8" w:rsidRDefault="008F1E71" w:rsidP="00E248BC">
            <w:pPr>
              <w:pStyle w:val="Position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29C384C" w14:textId="77777777" w:rsidR="00BE7A7A" w:rsidRPr="009C46B8" w:rsidRDefault="00BE7A7A" w:rsidP="00E248BC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C46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[Day]  [Month]  [Year]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E28662B" w14:textId="77777777" w:rsidR="00BE7A7A" w:rsidRPr="009C46B8" w:rsidRDefault="00BE7A7A" w:rsidP="00E248BC">
            <w:pPr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2EE4600F" w14:textId="77777777" w:rsidR="00BE7A7A" w:rsidRPr="009C46B8" w:rsidRDefault="00BE7A7A" w:rsidP="00E248BC">
            <w:pPr>
              <w:rPr>
                <w:rFonts w:cstheme="minorHAnsi"/>
                <w:lang w:val="en-GB"/>
              </w:rPr>
            </w:pPr>
          </w:p>
        </w:tc>
      </w:tr>
      <w:tr w:rsidR="00BE7A7A" w:rsidRPr="009C46B8" w14:paraId="62B81731" w14:textId="77777777" w:rsidTr="00B72F08">
        <w:trPr>
          <w:cantSplit/>
          <w:jc w:val="center"/>
        </w:trPr>
        <w:tc>
          <w:tcPr>
            <w:tcW w:w="5954" w:type="dxa"/>
          </w:tcPr>
          <w:p w14:paraId="35DBC733" w14:textId="77777777" w:rsidR="00BE7A7A" w:rsidRPr="009C46B8" w:rsidRDefault="00BE7A7A" w:rsidP="00E248BC">
            <w:pPr>
              <w:pStyle w:val="Signed"/>
              <w:rPr>
                <w:rStyle w:val="SignedBold"/>
                <w:rFonts w:asciiTheme="minorHAnsi" w:hAnsiTheme="minorHAnsi" w:cstheme="minorHAnsi"/>
                <w:szCs w:val="22"/>
              </w:rPr>
            </w:pPr>
          </w:p>
          <w:p w14:paraId="4B75B92E" w14:textId="1C692E25" w:rsidR="00BE7A7A" w:rsidRPr="009C46B8" w:rsidRDefault="00BE7A7A" w:rsidP="00E248BC">
            <w:pPr>
              <w:pStyle w:val="Signed"/>
              <w:jc w:val="left"/>
              <w:rPr>
                <w:rFonts w:asciiTheme="minorHAnsi" w:hAnsiTheme="minorHAnsi" w:cstheme="minorHAnsi"/>
                <w:szCs w:val="22"/>
              </w:rPr>
            </w:pPr>
            <w:r w:rsidRPr="009C46B8">
              <w:rPr>
                <w:rFonts w:asciiTheme="minorHAnsi" w:hAnsiTheme="minorHAnsi" w:cstheme="minorHAnsi"/>
                <w:b/>
                <w:szCs w:val="22"/>
              </w:rPr>
              <w:t>Signed</w:t>
            </w:r>
            <w:r w:rsidRPr="009C46B8">
              <w:rPr>
                <w:rFonts w:asciiTheme="minorHAnsi" w:hAnsiTheme="minorHAnsi" w:cstheme="minorHAnsi"/>
                <w:szCs w:val="22"/>
              </w:rPr>
              <w:t xml:space="preserve"> for and on behalf of the</w:t>
            </w:r>
            <w:r w:rsidR="007C2F2B" w:rsidRPr="009C46B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72F08" w:rsidRPr="009C46B8">
              <w:rPr>
                <w:rFonts w:asciiTheme="minorHAnsi" w:hAnsiTheme="minorHAnsi" w:cstheme="minorHAnsi"/>
                <w:szCs w:val="22"/>
              </w:rPr>
              <w:t xml:space="preserve">State of </w:t>
            </w:r>
            <w:r w:rsidR="008F1E71" w:rsidRPr="009C46B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67F20" w:rsidRPr="009C46B8">
              <w:rPr>
                <w:rFonts w:asciiTheme="minorHAnsi" w:hAnsiTheme="minorHAnsi" w:cstheme="minorHAnsi"/>
                <w:szCs w:val="22"/>
              </w:rPr>
              <w:t>New South Wales</w:t>
            </w:r>
            <w:r w:rsidR="008F1E71" w:rsidRPr="009C46B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72F08" w:rsidRPr="009C46B8">
              <w:rPr>
                <w:rFonts w:asciiTheme="minorHAnsi" w:hAnsiTheme="minorHAnsi" w:cstheme="minorHAnsi"/>
                <w:szCs w:val="22"/>
              </w:rPr>
              <w:t xml:space="preserve"> by</w:t>
            </w:r>
          </w:p>
          <w:p w14:paraId="7E4E08C0" w14:textId="77777777" w:rsidR="00BE7A7A" w:rsidRPr="009C46B8" w:rsidRDefault="00BE7A7A" w:rsidP="00E248BC">
            <w:pPr>
              <w:pStyle w:val="LineForSignatur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2B54C" w14:textId="77777777" w:rsidR="00BE7A7A" w:rsidRPr="009C46B8" w:rsidRDefault="00BE7A7A" w:rsidP="00E248BC">
            <w:pPr>
              <w:pStyle w:val="LineForSignature"/>
              <w:rPr>
                <w:rFonts w:asciiTheme="minorHAnsi" w:hAnsiTheme="minorHAnsi" w:cstheme="minorHAnsi"/>
                <w:sz w:val="22"/>
                <w:szCs w:val="22"/>
              </w:rPr>
            </w:pPr>
            <w:r w:rsidRPr="009C46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CE1EEB6" w14:textId="3C996422" w:rsidR="00BE7A7A" w:rsidRPr="009C46B8" w:rsidRDefault="00BE7A7A" w:rsidP="00E248BC">
            <w:pPr>
              <w:pStyle w:val="SingleParagraph"/>
              <w:rPr>
                <w:rStyle w:val="Bold"/>
                <w:rFonts w:asciiTheme="minorHAnsi" w:hAnsiTheme="minorHAnsi" w:cstheme="minorHAnsi"/>
                <w:sz w:val="22"/>
                <w:szCs w:val="22"/>
              </w:rPr>
            </w:pPr>
            <w:r w:rsidRPr="009C46B8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 xml:space="preserve">The Honourable </w:t>
            </w:r>
            <w:r w:rsidR="002A5966" w:rsidRPr="009C46B8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Niall Blair MLC</w:t>
            </w:r>
          </w:p>
          <w:p w14:paraId="328FAE9C" w14:textId="21CFB440" w:rsidR="00BE7A7A" w:rsidRPr="009C46B8" w:rsidRDefault="00BE7A7A" w:rsidP="00E248BC">
            <w:pPr>
              <w:pStyle w:val="Position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C46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Minister for </w:t>
            </w:r>
            <w:r w:rsidR="00160774" w:rsidRPr="009C46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Regional </w:t>
            </w:r>
            <w:r w:rsidR="008F1E71" w:rsidRPr="009C46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Water </w:t>
            </w:r>
          </w:p>
          <w:p w14:paraId="549DEA80" w14:textId="77777777" w:rsidR="008F1E71" w:rsidRPr="009C46B8" w:rsidRDefault="008F1E71" w:rsidP="00E248BC">
            <w:pPr>
              <w:pStyle w:val="Position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D2A5F21" w14:textId="77777777" w:rsidR="00BE7A7A" w:rsidRPr="009C46B8" w:rsidRDefault="00BE7A7A" w:rsidP="00E248BC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C46B8" w:rsidDel="00542A8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Pr="009C46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[Day]  [Month]  [Year]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D904143" w14:textId="77777777" w:rsidR="00BE7A7A" w:rsidRPr="009C46B8" w:rsidRDefault="00BE7A7A" w:rsidP="00E248BC">
            <w:pPr>
              <w:pStyle w:val="SingleParagrap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224A418" w14:textId="77777777" w:rsidR="00BE7A7A" w:rsidRPr="009C46B8" w:rsidRDefault="00BE7A7A" w:rsidP="00E248BC">
            <w:pPr>
              <w:pStyle w:val="SingleParagrap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B5E90E9" w14:textId="77777777" w:rsidR="00777766" w:rsidRPr="009C46B8" w:rsidRDefault="00777766" w:rsidP="00E248BC">
      <w:pPr>
        <w:rPr>
          <w:rFonts w:cstheme="minorHAnsi"/>
        </w:rPr>
      </w:pPr>
    </w:p>
    <w:p w14:paraId="404D7B9A" w14:textId="1D511A15" w:rsidR="00FB24CE" w:rsidRPr="009C46B8" w:rsidRDefault="005C1B4D" w:rsidP="00FB24CE">
      <w:pPr>
        <w:jc w:val="right"/>
        <w:rPr>
          <w:rFonts w:eastAsia="Times New Roman" w:cstheme="minorHAnsi"/>
          <w:bCs/>
          <w:caps/>
          <w:color w:val="3D4B67"/>
          <w:kern w:val="32"/>
          <w:lang w:eastAsia="en-AU"/>
        </w:rPr>
      </w:pPr>
      <w:r w:rsidRPr="009C46B8">
        <w:rPr>
          <w:rFonts w:cstheme="minorHAnsi"/>
        </w:rPr>
        <w:br w:type="page"/>
      </w:r>
      <w:r w:rsidR="00FB24CE" w:rsidRPr="009C46B8">
        <w:rPr>
          <w:rFonts w:eastAsia="Times New Roman" w:cstheme="minorHAnsi"/>
          <w:bCs/>
          <w:color w:val="3D4B67"/>
          <w:kern w:val="32"/>
          <w:lang w:eastAsia="en-AU"/>
        </w:rPr>
        <w:t xml:space="preserve">Appendix </w:t>
      </w:r>
      <w:r w:rsidR="00921461" w:rsidRPr="009C46B8">
        <w:rPr>
          <w:rFonts w:eastAsia="Times New Roman" w:cstheme="minorHAnsi"/>
          <w:bCs/>
          <w:caps/>
          <w:color w:val="3D4B67"/>
          <w:kern w:val="32"/>
          <w:lang w:eastAsia="en-AU"/>
        </w:rPr>
        <w:t>1</w:t>
      </w:r>
    </w:p>
    <w:p w14:paraId="2DDED5B6" w14:textId="4600D85A" w:rsidR="001100DB" w:rsidRDefault="00DB5402" w:rsidP="00DB5402">
      <w:pPr>
        <w:pStyle w:val="Title"/>
        <w:spacing w:before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NSW Supply and Constraints Measures – </w:t>
      </w:r>
      <w:r w:rsidR="00A11EED">
        <w:rPr>
          <w:rFonts w:asciiTheme="minorHAnsi" w:hAnsiTheme="minorHAnsi" w:cstheme="minorHAnsi"/>
          <w:sz w:val="32"/>
          <w:szCs w:val="32"/>
        </w:rPr>
        <w:t>Guideline on i</w:t>
      </w:r>
      <w:r>
        <w:rPr>
          <w:rFonts w:asciiTheme="minorHAnsi" w:hAnsiTheme="minorHAnsi" w:cstheme="minorHAnsi"/>
          <w:sz w:val="32"/>
          <w:szCs w:val="32"/>
        </w:rPr>
        <w:t>tems to be addressed by NSW in the delivery of milestones for the</w:t>
      </w:r>
      <w:r w:rsidR="00F64ADE">
        <w:rPr>
          <w:rFonts w:asciiTheme="minorHAnsi" w:hAnsiTheme="minorHAnsi" w:cstheme="minorHAnsi"/>
          <w:sz w:val="32"/>
          <w:szCs w:val="32"/>
        </w:rPr>
        <w:t xml:space="preserve"> measures included in the</w:t>
      </w:r>
      <w:r>
        <w:rPr>
          <w:rFonts w:asciiTheme="minorHAnsi" w:hAnsiTheme="minorHAnsi" w:cstheme="minorHAnsi"/>
          <w:sz w:val="32"/>
          <w:szCs w:val="32"/>
        </w:rPr>
        <w:t xml:space="preserve"> Murray, Murrumbidgee and Darling Work Streams</w:t>
      </w:r>
      <w:r w:rsidR="00FB24CE" w:rsidRPr="009C46B8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63ED5C2" w14:textId="77777777" w:rsidR="00DB5402" w:rsidRPr="00DB5402" w:rsidRDefault="00DB5402" w:rsidP="00DB5402">
      <w:pPr>
        <w:pStyle w:val="Subtitle"/>
        <w:rPr>
          <w:lang w:eastAsia="ja-JP"/>
        </w:rPr>
      </w:pPr>
    </w:p>
    <w:tbl>
      <w:tblPr>
        <w:tblStyle w:val="TableGrid"/>
        <w:tblW w:w="8926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122"/>
        <w:gridCol w:w="2122"/>
        <w:gridCol w:w="4682"/>
      </w:tblGrid>
      <w:tr w:rsidR="00F64ADE" w:rsidRPr="00903F85" w14:paraId="5627BD14" w14:textId="77777777" w:rsidTr="006C4E73">
        <w:trPr>
          <w:trHeight w:val="251"/>
        </w:trPr>
        <w:tc>
          <w:tcPr>
            <w:tcW w:w="2122" w:type="dxa"/>
            <w:shd w:val="clear" w:color="auto" w:fill="5B9BD5" w:themeFill="accent1"/>
          </w:tcPr>
          <w:p w14:paraId="688CF3B9" w14:textId="5BC13DEE" w:rsidR="00DB5402" w:rsidRPr="00903F85" w:rsidRDefault="00DB5402" w:rsidP="00E248BC">
            <w:pPr>
              <w:rPr>
                <w:rFonts w:ascii="Corbel" w:hAnsi="Corbel" w:cstheme="minorHAnsi"/>
                <w:b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b/>
                <w:sz w:val="23"/>
                <w:szCs w:val="23"/>
              </w:rPr>
              <w:t>Milestones Description</w:t>
            </w:r>
          </w:p>
        </w:tc>
        <w:tc>
          <w:tcPr>
            <w:tcW w:w="2122" w:type="dxa"/>
            <w:shd w:val="clear" w:color="auto" w:fill="5B9BD5" w:themeFill="accent1"/>
          </w:tcPr>
          <w:p w14:paraId="74CC0C34" w14:textId="77777777" w:rsidR="00DB5402" w:rsidRPr="00903F85" w:rsidRDefault="00DB5402" w:rsidP="00E248BC">
            <w:pPr>
              <w:rPr>
                <w:rFonts w:ascii="Corbel" w:hAnsi="Corbel" w:cstheme="minorHAnsi"/>
                <w:b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b/>
                <w:sz w:val="23"/>
                <w:szCs w:val="23"/>
              </w:rPr>
              <w:t>Deliverable</w:t>
            </w:r>
          </w:p>
        </w:tc>
        <w:tc>
          <w:tcPr>
            <w:tcW w:w="4682" w:type="dxa"/>
            <w:shd w:val="clear" w:color="auto" w:fill="5B9BD5" w:themeFill="accent1"/>
          </w:tcPr>
          <w:p w14:paraId="52FD3003" w14:textId="77777777" w:rsidR="00DB5402" w:rsidRPr="00903F85" w:rsidRDefault="00DB5402" w:rsidP="00E248BC">
            <w:pPr>
              <w:rPr>
                <w:rFonts w:ascii="Corbel" w:hAnsi="Corbel" w:cstheme="minorHAnsi"/>
                <w:b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b/>
                <w:sz w:val="23"/>
                <w:szCs w:val="23"/>
              </w:rPr>
              <w:t>Details of Deliverables</w:t>
            </w:r>
          </w:p>
        </w:tc>
      </w:tr>
      <w:tr w:rsidR="00F64ADE" w:rsidRPr="00903F85" w14:paraId="47E5E2AA" w14:textId="77777777" w:rsidTr="006C4E73">
        <w:trPr>
          <w:trHeight w:val="617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716A3D96" w14:textId="77777777" w:rsidR="00F64ADE" w:rsidRDefault="00F64ADE" w:rsidP="00F64ADE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 xml:space="preserve">Establishment of program management team </w:t>
            </w:r>
          </w:p>
          <w:p w14:paraId="372FB124" w14:textId="77777777" w:rsidR="00F64ADE" w:rsidRPr="00DD1785" w:rsidRDefault="00F64ADE" w:rsidP="00F64ADE">
            <w:pPr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</w:pPr>
          </w:p>
          <w:p w14:paraId="4D8D87E0" w14:textId="13C99397" w:rsidR="00F64ADE" w:rsidRPr="00903F85" w:rsidRDefault="00F64ADE" w:rsidP="00F64ADE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Registration of program with INSW</w:t>
            </w:r>
          </w:p>
        </w:tc>
        <w:tc>
          <w:tcPr>
            <w:tcW w:w="2122" w:type="dxa"/>
            <w:shd w:val="clear" w:color="auto" w:fill="FFFFFF" w:themeFill="background1"/>
          </w:tcPr>
          <w:p w14:paraId="77507CA7" w14:textId="77777777" w:rsidR="00DB5402" w:rsidRPr="00903F85" w:rsidRDefault="00DB5402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Program Management Team structure established</w:t>
            </w:r>
          </w:p>
        </w:tc>
        <w:tc>
          <w:tcPr>
            <w:tcW w:w="4682" w:type="dxa"/>
            <w:shd w:val="clear" w:color="auto" w:fill="FFFFFF" w:themeFill="background1"/>
          </w:tcPr>
          <w:p w14:paraId="29DB3E11" w14:textId="62231494" w:rsidR="00DB5402" w:rsidRPr="00903F85" w:rsidRDefault="00DB5402" w:rsidP="00980E8D">
            <w:pPr>
              <w:pStyle w:val="ListParagraph"/>
              <w:numPr>
                <w:ilvl w:val="0"/>
                <w:numId w:val="12"/>
              </w:num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Staff organisation structure </w:t>
            </w:r>
          </w:p>
          <w:p w14:paraId="37752B3B" w14:textId="6F2764B4" w:rsidR="00DB5402" w:rsidRPr="00903F85" w:rsidRDefault="00DB5402" w:rsidP="00980E8D">
            <w:pPr>
              <w:pStyle w:val="ListParagraph"/>
              <w:numPr>
                <w:ilvl w:val="0"/>
                <w:numId w:val="12"/>
              </w:num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Summary of recruitment progress and appointments</w:t>
            </w:r>
          </w:p>
          <w:p w14:paraId="25083BAB" w14:textId="79BEC243" w:rsidR="00DB5402" w:rsidRPr="00903F85" w:rsidRDefault="00DB5402" w:rsidP="00980E8D">
            <w:pPr>
              <w:pStyle w:val="ListParagraph"/>
              <w:numPr>
                <w:ilvl w:val="0"/>
                <w:numId w:val="12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Sub-program level procurement plan</w:t>
            </w:r>
          </w:p>
        </w:tc>
      </w:tr>
      <w:tr w:rsidR="00F64ADE" w:rsidRPr="00903F85" w14:paraId="4FEF549B" w14:textId="77777777" w:rsidTr="006C4E73">
        <w:trPr>
          <w:trHeight w:val="617"/>
        </w:trPr>
        <w:tc>
          <w:tcPr>
            <w:tcW w:w="2122" w:type="dxa"/>
            <w:vMerge/>
            <w:shd w:val="clear" w:color="auto" w:fill="FFFFFF" w:themeFill="background1"/>
          </w:tcPr>
          <w:p w14:paraId="593581E7" w14:textId="77777777" w:rsidR="00DB5402" w:rsidRPr="00903F85" w:rsidRDefault="00DB5402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5162A75F" w14:textId="77777777" w:rsidR="00DB5402" w:rsidRPr="00903F85" w:rsidRDefault="00DB5402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INSW gateway registration documents</w:t>
            </w:r>
          </w:p>
        </w:tc>
        <w:tc>
          <w:tcPr>
            <w:tcW w:w="4682" w:type="dxa"/>
            <w:shd w:val="clear" w:color="auto" w:fill="FFFFFF" w:themeFill="background1"/>
          </w:tcPr>
          <w:p w14:paraId="50BBCE8A" w14:textId="6D3EA9C7" w:rsidR="00DB5402" w:rsidRPr="00903F85" w:rsidRDefault="00DB5402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Lodgement of projects into INSW Gate 0 (Program Registration)</w:t>
            </w:r>
          </w:p>
        </w:tc>
      </w:tr>
      <w:tr w:rsidR="00F64ADE" w:rsidRPr="00903F85" w14:paraId="654B052A" w14:textId="77777777" w:rsidTr="006C4E73">
        <w:trPr>
          <w:trHeight w:val="460"/>
        </w:trPr>
        <w:tc>
          <w:tcPr>
            <w:tcW w:w="2122" w:type="dxa"/>
            <w:vMerge w:val="restart"/>
            <w:shd w:val="clear" w:color="auto" w:fill="FFFFFF" w:themeFill="background1"/>
          </w:tcPr>
          <w:p w14:paraId="2B8D9B4C" w14:textId="7491436B" w:rsidR="00F64ADE" w:rsidRPr="00903F85" w:rsidRDefault="00F64ADE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DD1785">
              <w:rPr>
                <w:rFonts w:ascii="Corbel" w:eastAsia="Times New Roman" w:hAnsi="Corbel" w:cs="Times New Roman"/>
                <w:color w:val="000000"/>
                <w:sz w:val="23"/>
                <w:szCs w:val="23"/>
                <w:lang w:eastAsia="ja-JP"/>
              </w:rPr>
              <w:t>Establishment and operation of program governance controls &amp; reporting frameworks, processes and systems</w:t>
            </w:r>
          </w:p>
        </w:tc>
        <w:tc>
          <w:tcPr>
            <w:tcW w:w="2122" w:type="dxa"/>
            <w:shd w:val="clear" w:color="auto" w:fill="FFFFFF" w:themeFill="background1"/>
          </w:tcPr>
          <w:p w14:paraId="6B3C701E" w14:textId="6C7B654E" w:rsidR="00DB5402" w:rsidRPr="00903F85" w:rsidRDefault="00DB5402" w:rsidP="00365DE0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Establishment of governance arrangements</w:t>
            </w:r>
          </w:p>
        </w:tc>
        <w:tc>
          <w:tcPr>
            <w:tcW w:w="4682" w:type="dxa"/>
            <w:shd w:val="clear" w:color="auto" w:fill="FFFFFF" w:themeFill="background1"/>
          </w:tcPr>
          <w:p w14:paraId="13701961" w14:textId="3C4409E2" w:rsidR="00DB5402" w:rsidRPr="00903F85" w:rsidRDefault="00DB5402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Governance discussion paper to include  explanation and establishment of</w:t>
            </w:r>
            <w:r w:rsidR="009F2173">
              <w:rPr>
                <w:rFonts w:ascii="Corbel" w:hAnsi="Corbel" w:cstheme="minorHAnsi"/>
                <w:sz w:val="23"/>
                <w:szCs w:val="23"/>
                <w:lang w:eastAsia="ja-JP"/>
              </w:rPr>
              <w:t>: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</w:t>
            </w:r>
          </w:p>
          <w:p w14:paraId="54AB5DD1" w14:textId="2039A3E8" w:rsidR="00DB5402" w:rsidRPr="00903F85" w:rsidRDefault="00DB5402" w:rsidP="00980E8D">
            <w:pPr>
              <w:pStyle w:val="ListParagraph"/>
              <w:numPr>
                <w:ilvl w:val="1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Program governance structure</w:t>
            </w:r>
          </w:p>
          <w:p w14:paraId="4E8A56E2" w14:textId="45D698A9" w:rsidR="00DB5402" w:rsidRPr="00903F85" w:rsidRDefault="00DB5402" w:rsidP="00980E8D">
            <w:pPr>
              <w:pStyle w:val="ListParagraph"/>
              <w:numPr>
                <w:ilvl w:val="1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Project Control Board (PCB) and Project Management Office (PMO)</w:t>
            </w:r>
          </w:p>
          <w:p w14:paraId="2C34023B" w14:textId="77777777" w:rsidR="00DB5402" w:rsidRPr="00903F85" w:rsidRDefault="00DB5402" w:rsidP="00980E8D">
            <w:pPr>
              <w:pStyle w:val="ListParagraph"/>
              <w:numPr>
                <w:ilvl w:val="1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PCB Terms of reference</w:t>
            </w:r>
          </w:p>
          <w:p w14:paraId="08A60CF0" w14:textId="41DB9CAA" w:rsidR="00DB5402" w:rsidRPr="00903F85" w:rsidRDefault="00DB5402" w:rsidP="00980E8D">
            <w:pPr>
              <w:pStyle w:val="ListParagraph"/>
              <w:numPr>
                <w:ilvl w:val="1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Advisory group terms of reference</w:t>
            </w:r>
          </w:p>
        </w:tc>
      </w:tr>
      <w:tr w:rsidR="00F64ADE" w:rsidRPr="00903F85" w14:paraId="4644BE42" w14:textId="77777777" w:rsidTr="006C4E73">
        <w:trPr>
          <w:trHeight w:val="458"/>
        </w:trPr>
        <w:tc>
          <w:tcPr>
            <w:tcW w:w="2122" w:type="dxa"/>
            <w:vMerge/>
            <w:shd w:val="clear" w:color="auto" w:fill="FFFFFF" w:themeFill="background1"/>
          </w:tcPr>
          <w:p w14:paraId="0A11FC05" w14:textId="77777777" w:rsidR="00DB5402" w:rsidRPr="00903F85" w:rsidRDefault="00DB5402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2200E8DE" w14:textId="77777777" w:rsidR="00DB5402" w:rsidRPr="00903F85" w:rsidRDefault="00DB5402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Program delivery framework overview </w:t>
            </w:r>
          </w:p>
        </w:tc>
        <w:tc>
          <w:tcPr>
            <w:tcW w:w="4682" w:type="dxa"/>
            <w:shd w:val="clear" w:color="auto" w:fill="FFFFFF" w:themeFill="background1"/>
          </w:tcPr>
          <w:p w14:paraId="17F2521C" w14:textId="1ACD3A19" w:rsidR="00DB5402" w:rsidRPr="00903F85" w:rsidRDefault="00DB5402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Program management delivery framework</w:t>
            </w:r>
          </w:p>
        </w:tc>
      </w:tr>
      <w:tr w:rsidR="00F64ADE" w:rsidRPr="00903F85" w14:paraId="2954997B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70814E2A" w14:textId="77777777" w:rsidR="00026581" w:rsidRPr="00903F85" w:rsidRDefault="00026581" w:rsidP="00026581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Deliverability risks and issues planning</w:t>
            </w:r>
          </w:p>
          <w:p w14:paraId="79FA8770" w14:textId="0A1AD8FC" w:rsidR="00F64ADE" w:rsidRPr="00903F85" w:rsidRDefault="00F64ADE" w:rsidP="00F64ADE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1B2ABAA4" w14:textId="193BEE42" w:rsidR="00DB5402" w:rsidRPr="00903F85" w:rsidRDefault="00026581" w:rsidP="009F2173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NSW </w:t>
            </w:r>
            <w:r w:rsidR="009F2173">
              <w:rPr>
                <w:rFonts w:ascii="Corbel" w:hAnsi="Corbel" w:cstheme="minorHAnsi"/>
                <w:sz w:val="23"/>
                <w:szCs w:val="23"/>
                <w:lang w:eastAsia="ja-JP"/>
              </w:rPr>
              <w:t>i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nputs toward system-wide risk management strategy</w:t>
            </w:r>
          </w:p>
        </w:tc>
        <w:tc>
          <w:tcPr>
            <w:tcW w:w="4682" w:type="dxa"/>
            <w:shd w:val="clear" w:color="auto" w:fill="FFFFFF" w:themeFill="background1"/>
          </w:tcPr>
          <w:p w14:paraId="5146EF3B" w14:textId="79F235E1" w:rsidR="00DB5402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NSW constraints measures risk management strategy - provided to Constraints Measures Working Group</w:t>
            </w:r>
          </w:p>
        </w:tc>
      </w:tr>
      <w:tr w:rsidR="00F64ADE" w:rsidRPr="00903F85" w14:paraId="29B992C9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3452FB1C" w14:textId="24F29A6C" w:rsidR="00026581" w:rsidRPr="00903F85" w:rsidRDefault="00F64ADE" w:rsidP="00026581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Completion of i</w:t>
            </w:r>
            <w:r w:rsidR="00026581" w:rsidRPr="00903F85">
              <w:rPr>
                <w:rFonts w:ascii="Corbel" w:hAnsi="Corbel" w:cstheme="minorHAnsi"/>
                <w:sz w:val="23"/>
                <w:szCs w:val="23"/>
              </w:rPr>
              <w:t>mplementation plan aligning milestones across jurisdictions</w:t>
            </w:r>
          </w:p>
          <w:p w14:paraId="7B02E5A9" w14:textId="77777777" w:rsidR="00026581" w:rsidRPr="00903F85" w:rsidRDefault="00026581" w:rsidP="00026581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39318EF0" w14:textId="3B64CDBF" w:rsidR="00026581" w:rsidRPr="00903F85" w:rsidRDefault="00026581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NSW inputs toward framework for policy , regulatory and legal items prioritised to be resolved/aligned</w:t>
            </w:r>
          </w:p>
        </w:tc>
        <w:tc>
          <w:tcPr>
            <w:tcW w:w="4682" w:type="dxa"/>
            <w:shd w:val="clear" w:color="auto" w:fill="FFFFFF" w:themeFill="background1"/>
          </w:tcPr>
          <w:p w14:paraId="3D45617B" w14:textId="462AA241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NSW preliminary position paper on key constraints measures policy, regulatory and legal issues - provided to Constraints Measures Working Group</w:t>
            </w:r>
          </w:p>
        </w:tc>
      </w:tr>
      <w:tr w:rsidR="00F64ADE" w:rsidRPr="00903F85" w14:paraId="2C7F6C60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1C4F23F2" w14:textId="77777777" w:rsidR="00026581" w:rsidRPr="00903F85" w:rsidRDefault="00026581" w:rsidP="00026581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INSW gateway 1 documentation development contracted</w:t>
            </w:r>
          </w:p>
          <w:p w14:paraId="56F098CD" w14:textId="77777777" w:rsidR="00026581" w:rsidRPr="00903F85" w:rsidRDefault="00026581" w:rsidP="00026581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6722CB35" w14:textId="4FCA464F" w:rsidR="00026581" w:rsidRPr="00903F85" w:rsidRDefault="00026581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Consultant contracted and commenced work</w:t>
            </w:r>
          </w:p>
        </w:tc>
        <w:tc>
          <w:tcPr>
            <w:tcW w:w="4682" w:type="dxa"/>
            <w:shd w:val="clear" w:color="auto" w:fill="FFFFFF" w:themeFill="background1"/>
          </w:tcPr>
          <w:p w14:paraId="2BB97B50" w14:textId="77777777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Tender documentation and contract</w:t>
            </w:r>
          </w:p>
          <w:p w14:paraId="3CDAAF2F" w14:textId="05BC7DD0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Progress reports as per contract</w:t>
            </w:r>
          </w:p>
        </w:tc>
      </w:tr>
      <w:tr w:rsidR="00F64ADE" w:rsidRPr="00903F85" w14:paraId="5E99D25A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759F54C0" w14:textId="3AD942C4" w:rsidR="00026581" w:rsidRPr="00903F85" w:rsidRDefault="00F64ADE" w:rsidP="00F64ADE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Lodgement of INSW g</w:t>
            </w:r>
            <w:r w:rsidR="00026581" w:rsidRPr="00903F85">
              <w:rPr>
                <w:rFonts w:ascii="Corbel" w:hAnsi="Corbel" w:cstheme="minorHAnsi"/>
                <w:sz w:val="23"/>
                <w:szCs w:val="23"/>
              </w:rPr>
              <w:t xml:space="preserve">ateway 1 </w:t>
            </w:r>
          </w:p>
        </w:tc>
        <w:tc>
          <w:tcPr>
            <w:tcW w:w="2122" w:type="dxa"/>
            <w:shd w:val="clear" w:color="auto" w:fill="FFFFFF" w:themeFill="background1"/>
          </w:tcPr>
          <w:p w14:paraId="7C8330A0" w14:textId="5C64D07C" w:rsidR="00026581" w:rsidRPr="00903F85" w:rsidRDefault="00026581" w:rsidP="00E248BC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Preliminary business case and INSW gate</w:t>
            </w:r>
            <w:r w:rsidR="00F64ADE">
              <w:rPr>
                <w:rFonts w:ascii="Corbel" w:hAnsi="Corbel" w:cstheme="minorHAnsi"/>
                <w:sz w:val="23"/>
                <w:szCs w:val="23"/>
                <w:lang w:eastAsia="ja-JP"/>
              </w:rPr>
              <w:t>way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1 submission documents</w:t>
            </w:r>
          </w:p>
        </w:tc>
        <w:tc>
          <w:tcPr>
            <w:tcW w:w="4682" w:type="dxa"/>
            <w:shd w:val="clear" w:color="auto" w:fill="FFFFFF" w:themeFill="background1"/>
          </w:tcPr>
          <w:p w14:paraId="14C319AD" w14:textId="77777777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Project scope</w:t>
            </w:r>
          </w:p>
          <w:p w14:paraId="1BBCD1A6" w14:textId="77777777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Project justification</w:t>
            </w:r>
          </w:p>
          <w:p w14:paraId="35C391F1" w14:textId="77777777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Options analysis</w:t>
            </w:r>
          </w:p>
          <w:p w14:paraId="2AC28CB7" w14:textId="77777777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Preliminary cost estimate and cost benefit analysis</w:t>
            </w:r>
          </w:p>
          <w:p w14:paraId="049D0ADF" w14:textId="77777777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Project and governance arrangements</w:t>
            </w:r>
          </w:p>
          <w:p w14:paraId="4FED5319" w14:textId="17B6BDF1" w:rsidR="00026581" w:rsidRPr="00903F85" w:rsidRDefault="00026581" w:rsidP="00980E8D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Preliminary risk assessment</w:t>
            </w:r>
          </w:p>
        </w:tc>
      </w:tr>
      <w:tr w:rsidR="00FB7ED6" w:rsidRPr="00903F85" w14:paraId="18D8E839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572AA3E9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 xml:space="preserve">Lodgement of 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INSW gate</w:t>
            </w:r>
            <w:r>
              <w:rPr>
                <w:rFonts w:ascii="Corbel" w:hAnsi="Corbel" w:cstheme="minorHAnsi"/>
                <w:sz w:val="23"/>
                <w:szCs w:val="23"/>
              </w:rPr>
              <w:t xml:space="preserve">way 2 </w:t>
            </w:r>
          </w:p>
          <w:p w14:paraId="76DC4919" w14:textId="77777777" w:rsidR="00FB7ED6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7BED305A" w14:textId="19DEF531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INSW gate 2 submission documentation</w:t>
            </w:r>
          </w:p>
        </w:tc>
        <w:tc>
          <w:tcPr>
            <w:tcW w:w="4682" w:type="dxa"/>
            <w:shd w:val="clear" w:color="auto" w:fill="FFFFFF" w:themeFill="background1"/>
          </w:tcPr>
          <w:p w14:paraId="19712096" w14:textId="77777777" w:rsidR="00FB7ED6" w:rsidRPr="00903F85" w:rsidRDefault="00FB7ED6" w:rsidP="00FB7ED6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Detailed Risk Register;</w:t>
            </w:r>
          </w:p>
          <w:p w14:paraId="23FBCE6B" w14:textId="77777777" w:rsidR="00FB7ED6" w:rsidRPr="00903F85" w:rsidRDefault="00FB7ED6" w:rsidP="00FB7ED6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Detailed cost plan; </w:t>
            </w:r>
          </w:p>
          <w:p w14:paraId="0E2AB3FE" w14:textId="77777777" w:rsidR="00FB7ED6" w:rsidRPr="00903F85" w:rsidRDefault="00FB7ED6" w:rsidP="00FB7ED6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Detailed cost benefit analysis</w:t>
            </w:r>
          </w:p>
          <w:p w14:paraId="5564D8AA" w14:textId="1747D7F0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Procurement and delivery strategy</w:t>
            </w:r>
          </w:p>
        </w:tc>
      </w:tr>
      <w:tr w:rsidR="00496C94" w:rsidRPr="00903F85" w14:paraId="475579C1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081F7A11" w14:textId="352CBC87" w:rsidR="00496C94" w:rsidDel="005E16F2" w:rsidRDefault="00496C94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Provision of draft stakeholder engagement framework for discussion with Commonwealth</w:t>
            </w:r>
          </w:p>
        </w:tc>
        <w:tc>
          <w:tcPr>
            <w:tcW w:w="2122" w:type="dxa"/>
            <w:shd w:val="clear" w:color="auto" w:fill="FFFFFF" w:themeFill="background1"/>
          </w:tcPr>
          <w:p w14:paraId="3A9AA3A3" w14:textId="674BB5EE" w:rsidR="00496C94" w:rsidRPr="00903F85" w:rsidRDefault="00496C94" w:rsidP="00496C94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>Draft s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takeholder Engagement Plan</w:t>
            </w:r>
          </w:p>
        </w:tc>
        <w:tc>
          <w:tcPr>
            <w:tcW w:w="4682" w:type="dxa"/>
            <w:shd w:val="clear" w:color="auto" w:fill="FFFFFF" w:themeFill="background1"/>
          </w:tcPr>
          <w:p w14:paraId="240147D9" w14:textId="77777777" w:rsidR="00496C94" w:rsidRDefault="00496C94" w:rsidP="00496C94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>Draft S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takeholder Engagement Plan</w:t>
            </w: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to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progress statutory approvals, input into design and operating models</w:t>
            </w: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>,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provide framework for ‘whole of state’ support for project</w:t>
            </w: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and specify targets for the implementation of constraints measures including landholder consultation and execution of agreements with landholders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.</w:t>
            </w:r>
          </w:p>
          <w:p w14:paraId="5984664D" w14:textId="602E14B1" w:rsidR="00496C94" w:rsidRPr="00903F85" w:rsidRDefault="00496C94" w:rsidP="00496C94">
            <w:pPr>
              <w:pStyle w:val="ListParagraph"/>
              <w:ind w:left="360"/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</w:t>
            </w:r>
          </w:p>
        </w:tc>
      </w:tr>
      <w:tr w:rsidR="00FB7ED6" w:rsidRPr="00903F85" w14:paraId="7CBF9359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28BD2534" w14:textId="34F9CCBA" w:rsidR="005E16F2" w:rsidRPr="00903F85" w:rsidRDefault="005E16F2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S</w:t>
            </w:r>
            <w:r w:rsidRPr="00924D1D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 xml:space="preserve">takeholder engagement framework </w:t>
            </w:r>
            <w:r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completed and agreed with the Commonwealth</w:t>
            </w:r>
          </w:p>
        </w:tc>
        <w:tc>
          <w:tcPr>
            <w:tcW w:w="2122" w:type="dxa"/>
            <w:shd w:val="clear" w:color="auto" w:fill="FFFFFF" w:themeFill="background1"/>
          </w:tcPr>
          <w:p w14:paraId="7B4911E8" w14:textId="5F025CC3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Stakeholder Engagement Plan</w:t>
            </w:r>
          </w:p>
        </w:tc>
        <w:tc>
          <w:tcPr>
            <w:tcW w:w="4682" w:type="dxa"/>
            <w:shd w:val="clear" w:color="auto" w:fill="FFFFFF" w:themeFill="background1"/>
          </w:tcPr>
          <w:p w14:paraId="3D40DF34" w14:textId="761AD78A" w:rsidR="00FB7ED6" w:rsidRPr="00903F85" w:rsidRDefault="00FB7ED6" w:rsidP="00781738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Stakeholder engagement plan to progress statutory approvals, input into design and operating models</w:t>
            </w:r>
            <w:r w:rsidR="005E16F2">
              <w:rPr>
                <w:rFonts w:ascii="Corbel" w:hAnsi="Corbel" w:cstheme="minorHAnsi"/>
                <w:sz w:val="23"/>
                <w:szCs w:val="23"/>
                <w:lang w:eastAsia="ja-JP"/>
              </w:rPr>
              <w:t>,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provide framework for ‘whole of state’ support for project</w:t>
            </w:r>
            <w:r w:rsidR="00F71412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and specify targets for </w:t>
            </w:r>
            <w:r w:rsidR="005E16F2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the implementation of constraints measures including </w:t>
            </w:r>
            <w:r w:rsidR="00F71412">
              <w:rPr>
                <w:rFonts w:ascii="Corbel" w:hAnsi="Corbel" w:cstheme="minorHAnsi"/>
                <w:sz w:val="23"/>
                <w:szCs w:val="23"/>
                <w:lang w:eastAsia="ja-JP"/>
              </w:rPr>
              <w:t>landholder consultation and</w:t>
            </w:r>
            <w:r w:rsidR="005E16F2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</w:t>
            </w:r>
            <w:r w:rsidR="00F71412">
              <w:rPr>
                <w:rFonts w:ascii="Corbel" w:hAnsi="Corbel" w:cstheme="minorHAnsi"/>
                <w:sz w:val="23"/>
                <w:szCs w:val="23"/>
                <w:lang w:eastAsia="ja-JP"/>
              </w:rPr>
              <w:t>execution of agreements with landholders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.</w:t>
            </w:r>
          </w:p>
        </w:tc>
      </w:tr>
      <w:tr w:rsidR="00FB7ED6" w:rsidRPr="00903F85" w14:paraId="5B19D33B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7B986A80" w14:textId="153CE614" w:rsidR="00FB7ED6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 xml:space="preserve">Completion of 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Landowner Consultation Progress Report 1 </w:t>
            </w:r>
          </w:p>
        </w:tc>
        <w:tc>
          <w:tcPr>
            <w:tcW w:w="2122" w:type="dxa"/>
            <w:shd w:val="clear" w:color="auto" w:fill="FFFFFF" w:themeFill="background1"/>
          </w:tcPr>
          <w:p w14:paraId="213AA0BF" w14:textId="5C534409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Landowner Consultation Progress report 1</w:t>
            </w:r>
          </w:p>
        </w:tc>
        <w:tc>
          <w:tcPr>
            <w:tcW w:w="4682" w:type="dxa"/>
            <w:shd w:val="clear" w:color="auto" w:fill="FFFFFF" w:themeFill="background1"/>
          </w:tcPr>
          <w:p w14:paraId="613576C2" w14:textId="545C1879" w:rsidR="00FB7ED6" w:rsidRPr="00842C59" w:rsidRDefault="00572394" w:rsidP="00842C59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Achievement of </w:t>
            </w:r>
            <w:r w:rsidR="00FB7ED6" w:rsidRPr="00CE1CD8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targets in stakeholder engagement plan </w:t>
            </w:r>
          </w:p>
        </w:tc>
      </w:tr>
      <w:tr w:rsidR="00FB7ED6" w:rsidRPr="00903F85" w14:paraId="4E463549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002D2EBE" w14:textId="4A59BE0D" w:rsidR="00FB7ED6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Completion of Landowner Consultation Progress R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eport 2</w:t>
            </w:r>
          </w:p>
        </w:tc>
        <w:tc>
          <w:tcPr>
            <w:tcW w:w="2122" w:type="dxa"/>
            <w:shd w:val="clear" w:color="auto" w:fill="FFFFFF" w:themeFill="background1"/>
          </w:tcPr>
          <w:p w14:paraId="6066D7DC" w14:textId="2B301492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Landowner consultation report</w:t>
            </w:r>
            <w:r w:rsidR="009F2173">
              <w:rPr>
                <w:rFonts w:ascii="Corbel" w:hAnsi="Corbel" w:cstheme="minorHAnsi"/>
                <w:sz w:val="23"/>
                <w:szCs w:val="23"/>
              </w:rPr>
              <w:t> 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2</w:t>
            </w:r>
          </w:p>
        </w:tc>
        <w:tc>
          <w:tcPr>
            <w:tcW w:w="4682" w:type="dxa"/>
            <w:shd w:val="clear" w:color="auto" w:fill="FFFFFF" w:themeFill="background1"/>
          </w:tcPr>
          <w:p w14:paraId="050835AE" w14:textId="3410E41D" w:rsidR="00FB7ED6" w:rsidRPr="00CE1CD8" w:rsidRDefault="00572394" w:rsidP="00CE1CD8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Achievement of </w:t>
            </w:r>
            <w:r w:rsidR="00FB7ED6" w:rsidRPr="00CE1CD8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targets in stakeholder engagement plan </w:t>
            </w:r>
          </w:p>
          <w:p w14:paraId="5A51C4D7" w14:textId="02FE3EF7" w:rsidR="00FB7ED6" w:rsidRPr="00842C59" w:rsidRDefault="00FB7ED6" w:rsidP="00842C59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Public information session outcomes</w:t>
            </w:r>
          </w:p>
          <w:p w14:paraId="6473EC89" w14:textId="0DF94041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Landholder negotiation strategy evaluation</w:t>
            </w:r>
          </w:p>
        </w:tc>
      </w:tr>
      <w:tr w:rsidR="00FB7ED6" w:rsidRPr="00903F85" w14:paraId="60CE0A45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0D88F789" w14:textId="7AE4169F" w:rsidR="00FB7ED6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 xml:space="preserve">Completion of 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Landowner Cons</w:t>
            </w:r>
            <w:r>
              <w:rPr>
                <w:rFonts w:ascii="Corbel" w:hAnsi="Corbel" w:cstheme="minorHAnsi"/>
                <w:sz w:val="23"/>
                <w:szCs w:val="23"/>
              </w:rPr>
              <w:t>ultation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 Progress Report 3</w:t>
            </w:r>
          </w:p>
        </w:tc>
        <w:tc>
          <w:tcPr>
            <w:tcW w:w="2122" w:type="dxa"/>
            <w:shd w:val="clear" w:color="auto" w:fill="FFFFFF" w:themeFill="background1"/>
          </w:tcPr>
          <w:p w14:paraId="5A8CEEC0" w14:textId="6E920086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Landowner consultation report</w:t>
            </w:r>
            <w:r w:rsidR="009F2173">
              <w:rPr>
                <w:rFonts w:ascii="Corbel" w:hAnsi="Corbel" w:cstheme="minorHAnsi"/>
                <w:sz w:val="23"/>
                <w:szCs w:val="23"/>
              </w:rPr>
              <w:t> 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3</w:t>
            </w:r>
          </w:p>
        </w:tc>
        <w:tc>
          <w:tcPr>
            <w:tcW w:w="4682" w:type="dxa"/>
            <w:shd w:val="clear" w:color="auto" w:fill="FFFFFF" w:themeFill="background1"/>
          </w:tcPr>
          <w:p w14:paraId="396BAB96" w14:textId="6EC22DD8" w:rsidR="00FB7ED6" w:rsidRPr="00CE1CD8" w:rsidRDefault="00572394" w:rsidP="00CE1CD8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>Achievement of</w:t>
            </w:r>
            <w:r w:rsidR="00FB7ED6" w:rsidRPr="00CE1CD8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targets in stakeholder engagement plan </w:t>
            </w:r>
          </w:p>
          <w:p w14:paraId="1D84C270" w14:textId="24E8407F" w:rsidR="00AC5230" w:rsidRPr="00842C59" w:rsidRDefault="00FB7ED6" w:rsidP="00842C59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Public information session outcomes</w:t>
            </w:r>
          </w:p>
          <w:p w14:paraId="6BB02D7D" w14:textId="74FC584A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Landholder negotiation strategy evaluation</w:t>
            </w:r>
          </w:p>
        </w:tc>
      </w:tr>
      <w:tr w:rsidR="00FB7ED6" w:rsidRPr="00903F85" w14:paraId="1FEDDD19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76657B68" w14:textId="7CFF1CA7" w:rsidR="00FB7ED6" w:rsidRPr="00903F85" w:rsidRDefault="00CE1CD8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 xml:space="preserve">Development </w:t>
            </w:r>
            <w:r w:rsidR="00FB7ED6">
              <w:rPr>
                <w:rFonts w:ascii="Corbel" w:hAnsi="Corbel" w:cstheme="minorHAnsi"/>
                <w:sz w:val="23"/>
                <w:szCs w:val="23"/>
              </w:rPr>
              <w:t>of c</w:t>
            </w:r>
            <w:r w:rsidR="00FB7ED6" w:rsidRPr="00903F85">
              <w:rPr>
                <w:rFonts w:ascii="Corbel" w:hAnsi="Corbel" w:cstheme="minorHAnsi"/>
                <w:sz w:val="23"/>
                <w:szCs w:val="23"/>
              </w:rPr>
              <w:t>onceptual modelling</w:t>
            </w:r>
          </w:p>
          <w:p w14:paraId="7C189BAB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5718E907" w14:textId="60A858E3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Scheme Conceptual model</w:t>
            </w:r>
          </w:p>
        </w:tc>
        <w:tc>
          <w:tcPr>
            <w:tcW w:w="4682" w:type="dxa"/>
            <w:shd w:val="clear" w:color="auto" w:fill="FFFFFF" w:themeFill="background1"/>
          </w:tcPr>
          <w:p w14:paraId="71B09FC3" w14:textId="0BD2D3BF" w:rsidR="00FB7ED6" w:rsidRPr="00903F85" w:rsidRDefault="00FB7ED6" w:rsidP="00572394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Scheme conceptual modelling comprises Long Term Environmental Watering Plan Outcomes and Hydrology Modelling.</w:t>
            </w:r>
          </w:p>
        </w:tc>
      </w:tr>
      <w:tr w:rsidR="00FB7ED6" w:rsidRPr="00903F85" w14:paraId="67219FFA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427BFA93" w14:textId="4D3E7B6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Completion of d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esign and commission framework documentation </w:t>
            </w:r>
          </w:p>
        </w:tc>
        <w:tc>
          <w:tcPr>
            <w:tcW w:w="2122" w:type="dxa"/>
            <w:shd w:val="clear" w:color="auto" w:fill="FFFFFF" w:themeFill="background1"/>
          </w:tcPr>
          <w:p w14:paraId="2948BBDC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</w:p>
        </w:tc>
        <w:tc>
          <w:tcPr>
            <w:tcW w:w="4682" w:type="dxa"/>
            <w:shd w:val="clear" w:color="auto" w:fill="FFFFFF" w:themeFill="background1"/>
          </w:tcPr>
          <w:p w14:paraId="3AF7FEAE" w14:textId="2044A6D6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Design and Commission framework documentation for infrastructure included in Phase 2 business case</w:t>
            </w:r>
          </w:p>
          <w:p w14:paraId="665BB452" w14:textId="628A0A8D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Survey and geotech investigations, civil, hydraulic modelling, electrical and telemetry, peer-review and testing and commission framework.</w:t>
            </w:r>
          </w:p>
        </w:tc>
      </w:tr>
      <w:tr w:rsidR="00FB7ED6" w:rsidRPr="00903F85" w14:paraId="7B3B426A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1AEEC01D" w14:textId="51ABED60" w:rsidR="00FB7ED6" w:rsidRPr="00FB7ED6" w:rsidRDefault="00FB7ED6" w:rsidP="00FB7ED6">
            <w:pPr>
              <w:rPr>
                <w:rFonts w:ascii="Corbel" w:hAnsi="Corbel" w:cstheme="minorHAnsi"/>
                <w:b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Completion of d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esign specifications and costings</w:t>
            </w:r>
          </w:p>
        </w:tc>
        <w:tc>
          <w:tcPr>
            <w:tcW w:w="2122" w:type="dxa"/>
            <w:shd w:val="clear" w:color="auto" w:fill="FFFFFF" w:themeFill="background1"/>
          </w:tcPr>
          <w:p w14:paraId="4BBE62C0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Design specifications</w:t>
            </w:r>
          </w:p>
          <w:p w14:paraId="61DF48A6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</w:p>
          <w:p w14:paraId="544CEB68" w14:textId="4DF2ED88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Risk based cost estimates</w:t>
            </w:r>
          </w:p>
        </w:tc>
        <w:tc>
          <w:tcPr>
            <w:tcW w:w="4682" w:type="dxa"/>
            <w:shd w:val="clear" w:color="auto" w:fill="FFFFFF" w:themeFill="background1"/>
          </w:tcPr>
          <w:p w14:paraId="7B8F6374" w14:textId="77777777" w:rsidR="00FB7ED6" w:rsidRPr="00903F85" w:rsidRDefault="00FB7ED6" w:rsidP="00FB7ED6">
            <w:pPr>
              <w:pStyle w:val="ListParagraph"/>
              <w:numPr>
                <w:ilvl w:val="0"/>
                <w:numId w:val="11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Technical specifications for infrastructure included in Phase 2 business case</w:t>
            </w:r>
          </w:p>
          <w:p w14:paraId="25EFCA93" w14:textId="46E74C4E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Updated independently verified total cost estimate for project implementation</w:t>
            </w:r>
          </w:p>
        </w:tc>
      </w:tr>
      <w:tr w:rsidR="00FB7ED6" w:rsidRPr="00903F85" w14:paraId="4E91BD70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1E748BE6" w14:textId="509A87D6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Development of m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apping and </w:t>
            </w:r>
            <w:r>
              <w:rPr>
                <w:rFonts w:ascii="Corbel" w:hAnsi="Corbel" w:cstheme="minorHAnsi"/>
                <w:sz w:val="23"/>
                <w:szCs w:val="23"/>
              </w:rPr>
              <w:t>o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perating rules developed</w:t>
            </w:r>
          </w:p>
          <w:p w14:paraId="7B15ABD0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096D344A" w14:textId="1AC4E9C1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River Operations consultation report</w:t>
            </w:r>
          </w:p>
        </w:tc>
        <w:tc>
          <w:tcPr>
            <w:tcW w:w="4682" w:type="dxa"/>
            <w:shd w:val="clear" w:color="auto" w:fill="FFFFFF" w:themeFill="background1"/>
          </w:tcPr>
          <w:p w14:paraId="78A5E09F" w14:textId="47B5CCEA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>Inundation m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apping</w:t>
            </w:r>
          </w:p>
          <w:p w14:paraId="3D7BB9C0" w14:textId="6DF34DCF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Operating rules and requirements developed</w:t>
            </w:r>
          </w:p>
        </w:tc>
      </w:tr>
      <w:tr w:rsidR="00FB7ED6" w:rsidRPr="00903F85" w14:paraId="01E54F2C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19E66645" w14:textId="61FB2EAC" w:rsidR="00FB7ED6" w:rsidRPr="00903F85" w:rsidRDefault="00CE1CD8" w:rsidP="00CE1CD8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 xml:space="preserve">Development </w:t>
            </w:r>
            <w:r w:rsidR="00FB7ED6">
              <w:rPr>
                <w:rFonts w:ascii="Corbel" w:hAnsi="Corbel" w:cstheme="minorHAnsi"/>
                <w:sz w:val="23"/>
                <w:szCs w:val="23"/>
              </w:rPr>
              <w:t xml:space="preserve">of </w:t>
            </w:r>
            <w:r w:rsidR="00FB7ED6" w:rsidRPr="00903F85">
              <w:rPr>
                <w:rFonts w:ascii="Corbel" w:hAnsi="Corbel" w:cstheme="minorHAnsi"/>
                <w:sz w:val="23"/>
                <w:szCs w:val="23"/>
              </w:rPr>
              <w:t xml:space="preserve">Monitoring and Evaluation Plan </w:t>
            </w:r>
          </w:p>
        </w:tc>
        <w:tc>
          <w:tcPr>
            <w:tcW w:w="2122" w:type="dxa"/>
            <w:shd w:val="clear" w:color="auto" w:fill="FFFFFF" w:themeFill="background1"/>
          </w:tcPr>
          <w:p w14:paraId="36EE3697" w14:textId="254F4E70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Monitoring and Evaluation Plan</w:t>
            </w:r>
          </w:p>
        </w:tc>
        <w:tc>
          <w:tcPr>
            <w:tcW w:w="4682" w:type="dxa"/>
            <w:shd w:val="clear" w:color="auto" w:fill="FFFFFF" w:themeFill="background1"/>
          </w:tcPr>
          <w:p w14:paraId="6BB10A4E" w14:textId="79716503" w:rsidR="00FB7ED6" w:rsidRPr="00903F85" w:rsidRDefault="00FB7ED6" w:rsidP="00FB7ED6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Monitorin</w:t>
            </w:r>
            <w:r w:rsidR="00572394">
              <w:rPr>
                <w:rFonts w:ascii="Corbel" w:hAnsi="Corbel" w:cstheme="minorHAnsi"/>
                <w:sz w:val="23"/>
                <w:szCs w:val="23"/>
                <w:lang w:eastAsia="ja-JP"/>
              </w:rPr>
              <w:t>g and Evaluation Plan developed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 to determine operating model implementation effectiveness, baseline and framework for statutory consent conditions and M</w:t>
            </w: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>urray-Darling Basin Authority re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conciliation.</w:t>
            </w:r>
          </w:p>
        </w:tc>
      </w:tr>
      <w:tr w:rsidR="00FB7ED6" w:rsidRPr="00903F85" w14:paraId="1923AC8D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2319B5A4" w14:textId="054CDDDF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Establishment of c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ommercial framework </w:t>
            </w:r>
          </w:p>
          <w:p w14:paraId="6DCFD6E1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59737185" w14:textId="2D8B52EC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Commercial framework document</w:t>
            </w:r>
          </w:p>
        </w:tc>
        <w:tc>
          <w:tcPr>
            <w:tcW w:w="4682" w:type="dxa"/>
            <w:shd w:val="clear" w:color="auto" w:fill="FFFFFF" w:themeFill="background1"/>
          </w:tcPr>
          <w:p w14:paraId="3CD6D7DA" w14:textId="7C3A6DFF" w:rsidR="00FB7ED6" w:rsidRPr="00FB7ED6" w:rsidRDefault="00FB7ED6" w:rsidP="00CE1CD8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Incentive and/or compensation based model authorising land inundation developed.</w:t>
            </w:r>
          </w:p>
        </w:tc>
      </w:tr>
      <w:tr w:rsidR="00FB7ED6" w:rsidRPr="00903F85" w14:paraId="0F269DD3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56926C4D" w14:textId="3BCCAA4B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>Lodgement of s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tatutory approvals and/or permits</w:t>
            </w:r>
            <w:r>
              <w:rPr>
                <w:rFonts w:ascii="Corbel" w:hAnsi="Corbel" w:cstheme="minorHAnsi"/>
                <w:sz w:val="23"/>
                <w:szCs w:val="23"/>
              </w:rPr>
              <w:t xml:space="preserve"> </w:t>
            </w:r>
          </w:p>
          <w:p w14:paraId="4521F15D" w14:textId="77777777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423568E8" w14:textId="48D845B8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Statutory approvals</w:t>
            </w:r>
          </w:p>
        </w:tc>
        <w:tc>
          <w:tcPr>
            <w:tcW w:w="4682" w:type="dxa"/>
            <w:shd w:val="clear" w:color="auto" w:fill="FFFFFF" w:themeFill="background1"/>
          </w:tcPr>
          <w:p w14:paraId="01B630B3" w14:textId="77777777" w:rsidR="00FB7ED6" w:rsidRPr="00903F85" w:rsidRDefault="00FB7ED6" w:rsidP="00FB7ED6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Lodgement of key environmental referrals and any other necessary statutory approvals with approving authorities.</w:t>
            </w:r>
          </w:p>
          <w:p w14:paraId="30F33D32" w14:textId="35ADC9BA" w:rsidR="00FB7ED6" w:rsidRPr="00903F85" w:rsidRDefault="00FB7ED6" w:rsidP="00FB7ED6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Completion of Environmental Impact Statement </w:t>
            </w:r>
            <w:r>
              <w:rPr>
                <w:rFonts w:ascii="Corbel" w:hAnsi="Corbel" w:cstheme="minorHAnsi"/>
                <w:sz w:val="23"/>
                <w:szCs w:val="23"/>
                <w:lang w:eastAsia="ja-JP"/>
              </w:rPr>
              <w:t xml:space="preserve">(EIS) </w:t>
            </w: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comprising field inspection, technical reports and final EIS document drafting.</w:t>
            </w:r>
          </w:p>
          <w:p w14:paraId="16066A3F" w14:textId="6A8F1B88" w:rsidR="00FB7ED6" w:rsidRPr="00903F85" w:rsidRDefault="00FB7ED6" w:rsidP="00FB7ED6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  <w:lang w:eastAsia="ja-JP"/>
              </w:rPr>
              <w:t>Construction permits obtained (RMS, Utilities, Rail etc)</w:t>
            </w:r>
          </w:p>
        </w:tc>
      </w:tr>
      <w:tr w:rsidR="00FB7ED6" w:rsidRPr="00903F85" w14:paraId="536533B0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72157745" w14:textId="51C60C24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Completion of Stage 2 implementation proposal</w:t>
            </w:r>
          </w:p>
        </w:tc>
        <w:tc>
          <w:tcPr>
            <w:tcW w:w="2122" w:type="dxa"/>
            <w:shd w:val="clear" w:color="auto" w:fill="FFFFFF" w:themeFill="background1"/>
          </w:tcPr>
          <w:p w14:paraId="3C8D75A6" w14:textId="22846061" w:rsidR="00FB7ED6" w:rsidRPr="00903F85" w:rsidRDefault="00FB7ED6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>Stage 2 implementation proposal</w:t>
            </w:r>
          </w:p>
        </w:tc>
        <w:tc>
          <w:tcPr>
            <w:tcW w:w="4682" w:type="dxa"/>
            <w:shd w:val="clear" w:color="auto" w:fill="FFFFFF" w:themeFill="background1"/>
          </w:tcPr>
          <w:p w14:paraId="29795DB8" w14:textId="77777777" w:rsidR="00FB7ED6" w:rsidRPr="00903F85" w:rsidRDefault="00FB7ED6" w:rsidP="00FB7ED6">
            <w:pPr>
              <w:pStyle w:val="Wflowtabletext"/>
              <w:spacing w:before="0" w:after="40" w:line="256" w:lineRule="auto"/>
              <w:rPr>
                <w:rFonts w:ascii="Corbel" w:hAnsi="Corbel"/>
                <w:sz w:val="23"/>
                <w:szCs w:val="23"/>
              </w:rPr>
            </w:pPr>
            <w:r w:rsidRPr="00903F85">
              <w:rPr>
                <w:rFonts w:ascii="Corbel" w:hAnsi="Corbel"/>
                <w:sz w:val="23"/>
                <w:szCs w:val="23"/>
                <w:lang w:eastAsia="ja-JP"/>
              </w:rPr>
              <w:t>Stage 2 implementation proposal for the respective</w:t>
            </w:r>
            <w:r w:rsidRPr="00903F85">
              <w:rPr>
                <w:rFonts w:ascii="Corbel" w:hAnsi="Corbel"/>
                <w:sz w:val="23"/>
                <w:szCs w:val="23"/>
              </w:rPr>
              <w:t xml:space="preserve"> measure including, but not limited to the following information:</w:t>
            </w:r>
          </w:p>
          <w:p w14:paraId="300D1C49" w14:textId="71BF23C3" w:rsidR="00FB7ED6" w:rsidRPr="00903F85" w:rsidRDefault="00FB7ED6" w:rsidP="00FB7ED6">
            <w:pPr>
              <w:pStyle w:val="Wflowtabletext"/>
              <w:numPr>
                <w:ilvl w:val="0"/>
                <w:numId w:val="10"/>
              </w:numPr>
              <w:spacing w:before="0" w:after="40" w:line="256" w:lineRule="auto"/>
              <w:rPr>
                <w:rFonts w:ascii="Corbel" w:hAnsi="Corbel"/>
                <w:sz w:val="23"/>
                <w:szCs w:val="23"/>
              </w:rPr>
            </w:pPr>
            <w:r w:rsidRPr="00903F85">
              <w:rPr>
                <w:rFonts w:ascii="Corbel" w:hAnsi="Corbel"/>
                <w:sz w:val="23"/>
                <w:szCs w:val="23"/>
              </w:rPr>
              <w:t>Confirmation of the submission</w:t>
            </w:r>
            <w:r>
              <w:rPr>
                <w:rFonts w:ascii="Corbel" w:hAnsi="Corbel"/>
                <w:sz w:val="23"/>
                <w:szCs w:val="23"/>
              </w:rPr>
              <w:t xml:space="preserve"> of the respective measure to the Commonwealth for </w:t>
            </w:r>
            <w:r w:rsidRPr="00903F85">
              <w:rPr>
                <w:rFonts w:ascii="Corbel" w:hAnsi="Corbel"/>
                <w:sz w:val="23"/>
                <w:szCs w:val="23"/>
              </w:rPr>
              <w:t xml:space="preserve">gateway </w:t>
            </w:r>
            <w:r>
              <w:rPr>
                <w:rFonts w:ascii="Corbel" w:hAnsi="Corbel"/>
                <w:sz w:val="23"/>
                <w:szCs w:val="23"/>
              </w:rPr>
              <w:t>assessment</w:t>
            </w:r>
          </w:p>
          <w:p w14:paraId="0202D817" w14:textId="77777777" w:rsidR="00FB7ED6" w:rsidRPr="00903F85" w:rsidRDefault="00FB7ED6" w:rsidP="00FB7ED6">
            <w:pPr>
              <w:pStyle w:val="Wflowtabletext"/>
              <w:numPr>
                <w:ilvl w:val="0"/>
                <w:numId w:val="10"/>
              </w:numPr>
              <w:spacing w:before="0" w:after="40" w:line="256" w:lineRule="auto"/>
              <w:rPr>
                <w:rFonts w:ascii="Corbel" w:hAnsi="Corbel"/>
                <w:sz w:val="23"/>
                <w:szCs w:val="23"/>
              </w:rPr>
            </w:pPr>
            <w:r w:rsidRPr="00903F85">
              <w:rPr>
                <w:rFonts w:ascii="Corbel" w:hAnsi="Corbel"/>
                <w:sz w:val="23"/>
                <w:szCs w:val="23"/>
              </w:rPr>
              <w:t xml:space="preserve">Stage 2 cost estimate for the respective measure </w:t>
            </w:r>
          </w:p>
          <w:p w14:paraId="4228AD57" w14:textId="77777777" w:rsidR="00FB7ED6" w:rsidRPr="00903F85" w:rsidRDefault="00FB7ED6" w:rsidP="00FB7ED6">
            <w:pPr>
              <w:pStyle w:val="Wflowtabletext"/>
              <w:numPr>
                <w:ilvl w:val="0"/>
                <w:numId w:val="10"/>
              </w:numPr>
              <w:spacing w:before="0" w:after="40" w:line="256" w:lineRule="auto"/>
              <w:rPr>
                <w:rFonts w:ascii="Corbel" w:hAnsi="Corbel"/>
                <w:sz w:val="23"/>
                <w:szCs w:val="23"/>
              </w:rPr>
            </w:pPr>
            <w:r w:rsidRPr="00903F85">
              <w:rPr>
                <w:rFonts w:ascii="Corbel" w:hAnsi="Corbel"/>
                <w:sz w:val="23"/>
                <w:szCs w:val="23"/>
              </w:rPr>
              <w:t xml:space="preserve">Evidence to demonstrate resolution, or a strategy to resolve all post-Phase 2 assessment issues for the respective measure </w:t>
            </w:r>
          </w:p>
          <w:p w14:paraId="3F2EB34F" w14:textId="77777777" w:rsidR="00FB7ED6" w:rsidRDefault="00FB7ED6" w:rsidP="00FB7ED6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>
              <w:rPr>
                <w:rFonts w:ascii="Corbel" w:eastAsia="Times New Roman" w:hAnsi="Corbel" w:cstheme="minorHAnsi"/>
                <w:color w:val="000000"/>
                <w:sz w:val="23"/>
                <w:szCs w:val="20"/>
                <w:lang w:eastAsia="en-AU"/>
              </w:rPr>
              <w:t>Arrangements for the ongoing ownership and responsibility for the operations and maintenance costs for the respective measure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 </w:t>
            </w:r>
          </w:p>
          <w:p w14:paraId="19E72438" w14:textId="73638309" w:rsidR="00FB7ED6" w:rsidRPr="00903F85" w:rsidRDefault="00FB7ED6" w:rsidP="00CE1CD8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theme="minorHAnsi"/>
                <w:sz w:val="23"/>
                <w:szCs w:val="23"/>
                <w:lang w:eastAsia="ja-JP"/>
              </w:rPr>
            </w:pPr>
            <w:r w:rsidRPr="00903F85">
              <w:rPr>
                <w:rFonts w:ascii="Corbel" w:hAnsi="Corbel" w:cstheme="minorHAnsi"/>
                <w:sz w:val="23"/>
                <w:szCs w:val="23"/>
              </w:rPr>
              <w:t xml:space="preserve">Confirmation that the measure has received all necessary statutory </w:t>
            </w:r>
            <w:r w:rsidR="00CE1CD8">
              <w:rPr>
                <w:rFonts w:ascii="Corbel" w:hAnsi="Corbel" w:cstheme="minorHAnsi"/>
                <w:sz w:val="23"/>
                <w:szCs w:val="23"/>
              </w:rPr>
              <w:t>decisions</w:t>
            </w:r>
            <w:r w:rsidRPr="00903F85">
              <w:rPr>
                <w:rFonts w:ascii="Corbel" w:hAnsi="Corbel" w:cstheme="minorHAnsi"/>
                <w:sz w:val="23"/>
                <w:szCs w:val="23"/>
              </w:rPr>
              <w:t>.</w:t>
            </w:r>
          </w:p>
        </w:tc>
      </w:tr>
      <w:tr w:rsidR="00AC5230" w:rsidRPr="00903F85" w14:paraId="176D9E36" w14:textId="77777777" w:rsidTr="006C4E73">
        <w:trPr>
          <w:trHeight w:val="458"/>
        </w:trPr>
        <w:tc>
          <w:tcPr>
            <w:tcW w:w="2122" w:type="dxa"/>
            <w:shd w:val="clear" w:color="auto" w:fill="FFFFFF" w:themeFill="background1"/>
          </w:tcPr>
          <w:p w14:paraId="35CBAE93" w14:textId="5B000AC2" w:rsidR="00AC5230" w:rsidRPr="00903F85" w:rsidRDefault="00CE1CD8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 w:rsidRPr="00CE1CD8">
              <w:rPr>
                <w:rFonts w:ascii="Corbel" w:eastAsia="Times New Roman" w:hAnsi="Corbel" w:cs="Times New Roman"/>
                <w:color w:val="000000"/>
                <w:sz w:val="23"/>
                <w:szCs w:val="20"/>
                <w:lang w:eastAsia="ja-JP"/>
              </w:rPr>
              <w:t>Completion of activities that progress achievement of subsequent milestones as outlined in the Stage 1 Activities Status Update</w:t>
            </w:r>
          </w:p>
        </w:tc>
        <w:tc>
          <w:tcPr>
            <w:tcW w:w="2122" w:type="dxa"/>
            <w:shd w:val="clear" w:color="auto" w:fill="FFFFFF" w:themeFill="background1"/>
          </w:tcPr>
          <w:p w14:paraId="61F511FF" w14:textId="15FF56D7" w:rsidR="00AC5230" w:rsidRPr="00903F85" w:rsidRDefault="00AC5230" w:rsidP="00FB7ED6">
            <w:pPr>
              <w:rPr>
                <w:rFonts w:ascii="Corbel" w:hAnsi="Corbel" w:cstheme="minorHAnsi"/>
                <w:sz w:val="23"/>
                <w:szCs w:val="23"/>
              </w:rPr>
            </w:pPr>
            <w:r>
              <w:rPr>
                <w:rFonts w:ascii="Corbel" w:hAnsi="Corbel" w:cstheme="minorHAnsi"/>
                <w:sz w:val="23"/>
                <w:szCs w:val="23"/>
              </w:rPr>
              <w:t xml:space="preserve">Progress Report </w:t>
            </w:r>
          </w:p>
        </w:tc>
        <w:tc>
          <w:tcPr>
            <w:tcW w:w="4682" w:type="dxa"/>
            <w:shd w:val="clear" w:color="auto" w:fill="FFFFFF" w:themeFill="background1"/>
          </w:tcPr>
          <w:p w14:paraId="11C04040" w14:textId="472C546B" w:rsidR="00AC5230" w:rsidRPr="00903F85" w:rsidRDefault="00AC5230" w:rsidP="00781738">
            <w:pPr>
              <w:pStyle w:val="Wflowtabletext"/>
              <w:numPr>
                <w:ilvl w:val="0"/>
                <w:numId w:val="17"/>
              </w:numPr>
              <w:spacing w:before="0" w:after="40" w:line="256" w:lineRule="auto"/>
              <w:rPr>
                <w:rFonts w:ascii="Corbel" w:hAnsi="Corbel"/>
                <w:sz w:val="23"/>
                <w:szCs w:val="23"/>
                <w:lang w:eastAsia="ja-JP"/>
              </w:rPr>
            </w:pPr>
            <w:r>
              <w:rPr>
                <w:rFonts w:ascii="Corbel" w:hAnsi="Corbel"/>
                <w:sz w:val="23"/>
                <w:szCs w:val="23"/>
                <w:lang w:eastAsia="ja-JP"/>
              </w:rPr>
              <w:t>Details of activities undertaken in the current period [and associated costs]</w:t>
            </w:r>
            <w:r w:rsidR="00CE1CD8">
              <w:rPr>
                <w:rFonts w:ascii="Corbel" w:hAnsi="Corbel"/>
                <w:sz w:val="23"/>
                <w:szCs w:val="23"/>
                <w:lang w:eastAsia="ja-JP"/>
              </w:rPr>
              <w:t xml:space="preserve"> </w:t>
            </w:r>
            <w:r w:rsidR="00A96A52">
              <w:rPr>
                <w:rFonts w:ascii="Corbel" w:hAnsi="Corbel"/>
                <w:sz w:val="23"/>
                <w:szCs w:val="23"/>
                <w:lang w:eastAsia="ja-JP"/>
              </w:rPr>
              <w:t xml:space="preserve">as outlined in reports provided under clause </w:t>
            </w:r>
            <w:r w:rsidR="00781738">
              <w:rPr>
                <w:rFonts w:ascii="Corbel" w:hAnsi="Corbel"/>
                <w:sz w:val="23"/>
                <w:szCs w:val="23"/>
                <w:lang w:eastAsia="ja-JP"/>
              </w:rPr>
              <w:t>8</w:t>
            </w:r>
            <w:r w:rsidR="00A96A52">
              <w:rPr>
                <w:rFonts w:ascii="Corbel" w:hAnsi="Corbel"/>
                <w:sz w:val="23"/>
                <w:szCs w:val="23"/>
                <w:lang w:eastAsia="ja-JP"/>
              </w:rPr>
              <w:t> a) and b)</w:t>
            </w:r>
            <w:r>
              <w:rPr>
                <w:rFonts w:ascii="Corbel" w:hAnsi="Corbel"/>
                <w:sz w:val="23"/>
                <w:szCs w:val="23"/>
                <w:lang w:eastAsia="ja-JP"/>
              </w:rPr>
              <w:t xml:space="preserve">. Relevant activities may include </w:t>
            </w:r>
            <w:r w:rsidR="00A96A52">
              <w:rPr>
                <w:rFonts w:ascii="Corbel" w:hAnsi="Corbel"/>
                <w:sz w:val="23"/>
                <w:szCs w:val="23"/>
                <w:lang w:eastAsia="ja-JP"/>
              </w:rPr>
              <w:t xml:space="preserve">stakeholder consultation, </w:t>
            </w:r>
            <w:r w:rsidR="005E16F2">
              <w:rPr>
                <w:rFonts w:ascii="Corbel" w:hAnsi="Corbel"/>
                <w:sz w:val="23"/>
                <w:szCs w:val="23"/>
                <w:lang w:eastAsia="ja-JP"/>
              </w:rPr>
              <w:t xml:space="preserve">investigations and assessments, </w:t>
            </w:r>
            <w:r>
              <w:rPr>
                <w:rFonts w:ascii="Corbel" w:hAnsi="Corbel"/>
                <w:sz w:val="23"/>
                <w:szCs w:val="23"/>
                <w:lang w:eastAsia="ja-JP"/>
              </w:rPr>
              <w:t xml:space="preserve">procurement processes, engagement of contractors to undertake necessary work, payments to landholders and other external parties associated with securing easements for constraints measures.  </w:t>
            </w:r>
          </w:p>
        </w:tc>
      </w:tr>
    </w:tbl>
    <w:p w14:paraId="49D3F074" w14:textId="77777777" w:rsidR="00C4362F" w:rsidRDefault="00C4362F" w:rsidP="006C4E73">
      <w:pPr>
        <w:pStyle w:val="NoSpacing"/>
        <w:rPr>
          <w:rFonts w:ascii="Corbel" w:eastAsia="Times New Roman" w:hAnsi="Corbel" w:cstheme="minorHAnsi"/>
          <w:b/>
          <w:bCs/>
          <w:color w:val="3D4B67"/>
          <w:kern w:val="32"/>
          <w:sz w:val="23"/>
          <w:szCs w:val="23"/>
          <w:lang w:eastAsia="en-AU"/>
        </w:rPr>
      </w:pPr>
    </w:p>
    <w:p w14:paraId="372160C4" w14:textId="77777777" w:rsidR="00F64ADE" w:rsidRPr="00903F85" w:rsidRDefault="00F64ADE" w:rsidP="006C4E73">
      <w:pPr>
        <w:pStyle w:val="NoSpacing"/>
        <w:rPr>
          <w:rFonts w:ascii="Corbel" w:eastAsia="Times New Roman" w:hAnsi="Corbel" w:cstheme="minorHAnsi"/>
          <w:b/>
          <w:bCs/>
          <w:color w:val="3D4B67"/>
          <w:kern w:val="32"/>
          <w:sz w:val="23"/>
          <w:szCs w:val="23"/>
          <w:lang w:eastAsia="en-AU"/>
        </w:rPr>
      </w:pPr>
    </w:p>
    <w:sectPr w:rsidR="00F64ADE" w:rsidRPr="00903F85" w:rsidSect="00A06CD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B694" w14:textId="77777777" w:rsidR="00842C59" w:rsidRDefault="00842C59" w:rsidP="00F52972">
      <w:pPr>
        <w:spacing w:after="0" w:line="240" w:lineRule="auto"/>
      </w:pPr>
      <w:r>
        <w:separator/>
      </w:r>
    </w:p>
  </w:endnote>
  <w:endnote w:type="continuationSeparator" w:id="0">
    <w:p w14:paraId="744A07D7" w14:textId="77777777" w:rsidR="00842C59" w:rsidRDefault="00842C59" w:rsidP="00F5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id w:val="-1786103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FE541" w14:textId="39E3B7A9" w:rsidR="00842C59" w:rsidRDefault="00842C59" w:rsidP="00E17C97">
        <w:pPr>
          <w:pStyle w:val="HeaderOdd"/>
          <w:tabs>
            <w:tab w:val="num" w:pos="1134"/>
          </w:tabs>
          <w:jc w:val="left"/>
          <w:rPr>
            <w:b/>
            <w:color w:val="auto"/>
            <w:sz w:val="34"/>
          </w:rPr>
        </w:pPr>
      </w:p>
      <w:p w14:paraId="1FDAEA2C" w14:textId="77777777" w:rsidR="00842C59" w:rsidRPr="001A051C" w:rsidRDefault="00842C59">
        <w:pPr>
          <w:pStyle w:val="Footer"/>
          <w:jc w:val="center"/>
          <w:rPr>
            <w:sz w:val="18"/>
          </w:rPr>
        </w:pPr>
      </w:p>
      <w:p w14:paraId="40007F59" w14:textId="799FC3B1" w:rsidR="00842C59" w:rsidRPr="001A051C" w:rsidRDefault="00842C59">
        <w:pPr>
          <w:pStyle w:val="Footer"/>
          <w:jc w:val="center"/>
          <w:rPr>
            <w:sz w:val="18"/>
          </w:rPr>
        </w:pPr>
        <w:r w:rsidRPr="001A051C">
          <w:rPr>
            <w:sz w:val="18"/>
          </w:rPr>
          <w:fldChar w:fldCharType="begin"/>
        </w:r>
        <w:r w:rsidRPr="001A051C">
          <w:rPr>
            <w:sz w:val="18"/>
          </w:rPr>
          <w:instrText xml:space="preserve"> PAGE   \* MERGEFORMAT </w:instrText>
        </w:r>
        <w:r w:rsidRPr="001A051C">
          <w:rPr>
            <w:sz w:val="18"/>
          </w:rPr>
          <w:fldChar w:fldCharType="separate"/>
        </w:r>
        <w:r w:rsidR="00B80FBD">
          <w:rPr>
            <w:noProof/>
            <w:sz w:val="18"/>
          </w:rPr>
          <w:t>1</w:t>
        </w:r>
        <w:r w:rsidRPr="001A051C">
          <w:rPr>
            <w:noProof/>
            <w:sz w:val="18"/>
          </w:rPr>
          <w:fldChar w:fldCharType="end"/>
        </w:r>
      </w:p>
    </w:sdtContent>
  </w:sdt>
  <w:p w14:paraId="40241248" w14:textId="77777777" w:rsidR="00842C59" w:rsidRDefault="00842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AD1F" w14:textId="77777777" w:rsidR="00842C59" w:rsidRDefault="00842C59" w:rsidP="00F52972">
      <w:pPr>
        <w:spacing w:after="0" w:line="240" w:lineRule="auto"/>
      </w:pPr>
      <w:r>
        <w:separator/>
      </w:r>
    </w:p>
  </w:footnote>
  <w:footnote w:type="continuationSeparator" w:id="0">
    <w:p w14:paraId="15ECE1DF" w14:textId="77777777" w:rsidR="00842C59" w:rsidRDefault="00842C59" w:rsidP="00F5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19F9" w14:textId="7AA7BCFF" w:rsidR="00842C59" w:rsidRDefault="00842C59" w:rsidP="009A1735">
    <w:pPr>
      <w:pStyle w:val="HeaderOdd"/>
      <w:tabs>
        <w:tab w:val="num" w:pos="1134"/>
      </w:tabs>
      <w:rPr>
        <w:b/>
        <w:color w:val="auto"/>
        <w:sz w:val="34"/>
      </w:rPr>
    </w:pPr>
    <w:r>
      <w:rPr>
        <w:color w:val="800000"/>
      </w:rPr>
      <w:t xml:space="preserve">Schedule A - Project Agreement for Stage 1 Funding </w:t>
    </w:r>
    <w:r w:rsidRPr="00CE1733">
      <w:rPr>
        <w:color w:val="800000"/>
      </w:rPr>
      <w:t xml:space="preserve">for </w:t>
    </w:r>
    <w:r>
      <w:rPr>
        <w:color w:val="800000"/>
      </w:rPr>
      <w:t xml:space="preserve">SDL Adjustment </w:t>
    </w:r>
    <w:r w:rsidRPr="00CE1733">
      <w:rPr>
        <w:color w:val="800000"/>
      </w:rPr>
      <w:t xml:space="preserve">Supply </w:t>
    </w:r>
    <w:r>
      <w:rPr>
        <w:color w:val="800000"/>
      </w:rPr>
      <w:t>and Constraints M</w:t>
    </w:r>
    <w:r w:rsidRPr="00CE1733">
      <w:rPr>
        <w:color w:val="800000"/>
      </w:rPr>
      <w:t xml:space="preserve">easures in the </w:t>
    </w:r>
    <w:r>
      <w:rPr>
        <w:color w:val="800000"/>
      </w:rPr>
      <w:t>M</w:t>
    </w:r>
    <w:r w:rsidRPr="00CE1733">
      <w:rPr>
        <w:color w:val="800000"/>
      </w:rPr>
      <w:t xml:space="preserve">urray-Darling </w:t>
    </w:r>
    <w:r>
      <w:rPr>
        <w:color w:val="800000"/>
      </w:rPr>
      <w:t>B</w:t>
    </w:r>
    <w:r w:rsidRPr="00CE1733">
      <w:rPr>
        <w:color w:val="800000"/>
      </w:rPr>
      <w:t>asin</w:t>
    </w:r>
    <w:r w:rsidR="009A1735">
      <w:rPr>
        <w:color w:val="8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834D9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8121B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2814EA84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65884"/>
    <w:multiLevelType w:val="hybridMultilevel"/>
    <w:tmpl w:val="6ACC8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F3499"/>
    <w:multiLevelType w:val="hybridMultilevel"/>
    <w:tmpl w:val="6EB448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74C"/>
    <w:multiLevelType w:val="hybridMultilevel"/>
    <w:tmpl w:val="C6F2B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0143F"/>
    <w:multiLevelType w:val="hybridMultilevel"/>
    <w:tmpl w:val="F09885D6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AC5DE4"/>
    <w:multiLevelType w:val="hybridMultilevel"/>
    <w:tmpl w:val="9AE485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55D07"/>
    <w:multiLevelType w:val="hybridMultilevel"/>
    <w:tmpl w:val="36D86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6BA0"/>
    <w:multiLevelType w:val="hybridMultilevel"/>
    <w:tmpl w:val="58DC5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pStyle w:val="ScheduleNumberedPar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1" w15:restartNumberingAfterBreak="0">
    <w:nsid w:val="4ED15FCB"/>
    <w:multiLevelType w:val="multilevel"/>
    <w:tmpl w:val="784EBC2C"/>
    <w:lvl w:ilvl="0">
      <w:start w:val="1"/>
      <w:numFmt w:val="decimal"/>
      <w:pStyle w:val="Dot"/>
      <w:lvlText w:val="%1."/>
      <w:lvlJc w:val="left"/>
      <w:pPr>
        <w:tabs>
          <w:tab w:val="num" w:pos="6"/>
        </w:tabs>
        <w:ind w:left="6" w:hanging="72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72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72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72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72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72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72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72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720"/>
      </w:pPr>
    </w:lvl>
  </w:abstractNum>
  <w:abstractNum w:abstractNumId="12" w15:restartNumberingAfterBreak="0">
    <w:nsid w:val="58416E4D"/>
    <w:multiLevelType w:val="multilevel"/>
    <w:tmpl w:val="AF6A2136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981FEA"/>
    <w:multiLevelType w:val="hybridMultilevel"/>
    <w:tmpl w:val="1F52EB6A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6A2444A7"/>
    <w:multiLevelType w:val="hybridMultilevel"/>
    <w:tmpl w:val="DC94C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35138"/>
    <w:multiLevelType w:val="hybridMultilevel"/>
    <w:tmpl w:val="39F86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700665"/>
    <w:multiLevelType w:val="hybridMultilevel"/>
    <w:tmpl w:val="DD28D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F43D91"/>
    <w:multiLevelType w:val="multilevel"/>
    <w:tmpl w:val="C7A0DD08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7"/>
  </w:num>
  <w:num w:numId="9">
    <w:abstractNumId w:val="4"/>
  </w:num>
  <w:num w:numId="10">
    <w:abstractNumId w:val="15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8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72"/>
    <w:rsid w:val="00000EC0"/>
    <w:rsid w:val="000012E4"/>
    <w:rsid w:val="00003D3D"/>
    <w:rsid w:val="000057DA"/>
    <w:rsid w:val="00011D80"/>
    <w:rsid w:val="000151DE"/>
    <w:rsid w:val="000170F0"/>
    <w:rsid w:val="00017DC3"/>
    <w:rsid w:val="00026581"/>
    <w:rsid w:val="00035315"/>
    <w:rsid w:val="00035AC5"/>
    <w:rsid w:val="00053D99"/>
    <w:rsid w:val="00066DDD"/>
    <w:rsid w:val="00066E23"/>
    <w:rsid w:val="00067835"/>
    <w:rsid w:val="00074F46"/>
    <w:rsid w:val="00083EA5"/>
    <w:rsid w:val="00084948"/>
    <w:rsid w:val="000906B1"/>
    <w:rsid w:val="000A1B40"/>
    <w:rsid w:val="000B13BB"/>
    <w:rsid w:val="000B2732"/>
    <w:rsid w:val="000B3C1B"/>
    <w:rsid w:val="000C34F2"/>
    <w:rsid w:val="000C5CCC"/>
    <w:rsid w:val="000C6A12"/>
    <w:rsid w:val="000C6C47"/>
    <w:rsid w:val="000C6E87"/>
    <w:rsid w:val="000C72FF"/>
    <w:rsid w:val="000D05E4"/>
    <w:rsid w:val="000D1356"/>
    <w:rsid w:val="000D15D0"/>
    <w:rsid w:val="000D31F5"/>
    <w:rsid w:val="000D43C0"/>
    <w:rsid w:val="000D446A"/>
    <w:rsid w:val="000D70EC"/>
    <w:rsid w:val="000E6ACE"/>
    <w:rsid w:val="000E7291"/>
    <w:rsid w:val="001009AB"/>
    <w:rsid w:val="001055E7"/>
    <w:rsid w:val="001100DB"/>
    <w:rsid w:val="00112749"/>
    <w:rsid w:val="00112F65"/>
    <w:rsid w:val="001140F2"/>
    <w:rsid w:val="00120E0F"/>
    <w:rsid w:val="0014718D"/>
    <w:rsid w:val="00153FED"/>
    <w:rsid w:val="0015465A"/>
    <w:rsid w:val="00154CA3"/>
    <w:rsid w:val="00157154"/>
    <w:rsid w:val="00160774"/>
    <w:rsid w:val="001639BD"/>
    <w:rsid w:val="001647A0"/>
    <w:rsid w:val="00172468"/>
    <w:rsid w:val="00172B5E"/>
    <w:rsid w:val="00175C66"/>
    <w:rsid w:val="00187C8D"/>
    <w:rsid w:val="00190692"/>
    <w:rsid w:val="00191D00"/>
    <w:rsid w:val="001A046A"/>
    <w:rsid w:val="001A051C"/>
    <w:rsid w:val="001A21A5"/>
    <w:rsid w:val="001A3B1C"/>
    <w:rsid w:val="001A40FB"/>
    <w:rsid w:val="001B0FE2"/>
    <w:rsid w:val="001C0D71"/>
    <w:rsid w:val="001C1D93"/>
    <w:rsid w:val="001D1DC6"/>
    <w:rsid w:val="001D7512"/>
    <w:rsid w:val="001E02E2"/>
    <w:rsid w:val="001E45BC"/>
    <w:rsid w:val="001F0B58"/>
    <w:rsid w:val="001F2CBB"/>
    <w:rsid w:val="00202412"/>
    <w:rsid w:val="002028E2"/>
    <w:rsid w:val="00203B6A"/>
    <w:rsid w:val="00221900"/>
    <w:rsid w:val="00221F40"/>
    <w:rsid w:val="00227009"/>
    <w:rsid w:val="00236511"/>
    <w:rsid w:val="00241E60"/>
    <w:rsid w:val="00242B60"/>
    <w:rsid w:val="002609F3"/>
    <w:rsid w:val="002614EE"/>
    <w:rsid w:val="00261C8C"/>
    <w:rsid w:val="00263695"/>
    <w:rsid w:val="00263C80"/>
    <w:rsid w:val="002702FD"/>
    <w:rsid w:val="00274645"/>
    <w:rsid w:val="00275202"/>
    <w:rsid w:val="002764CC"/>
    <w:rsid w:val="002815F3"/>
    <w:rsid w:val="00297863"/>
    <w:rsid w:val="002A1082"/>
    <w:rsid w:val="002A5966"/>
    <w:rsid w:val="002B5318"/>
    <w:rsid w:val="002B56DE"/>
    <w:rsid w:val="002D0E88"/>
    <w:rsid w:val="002D7172"/>
    <w:rsid w:val="002F286F"/>
    <w:rsid w:val="002F3FB6"/>
    <w:rsid w:val="002F7825"/>
    <w:rsid w:val="00301DCC"/>
    <w:rsid w:val="00303396"/>
    <w:rsid w:val="00304257"/>
    <w:rsid w:val="00305F83"/>
    <w:rsid w:val="003105E0"/>
    <w:rsid w:val="003114F3"/>
    <w:rsid w:val="003263CE"/>
    <w:rsid w:val="00337DAF"/>
    <w:rsid w:val="00352B22"/>
    <w:rsid w:val="003574D4"/>
    <w:rsid w:val="00361382"/>
    <w:rsid w:val="00364565"/>
    <w:rsid w:val="00365DE0"/>
    <w:rsid w:val="00366F38"/>
    <w:rsid w:val="00367004"/>
    <w:rsid w:val="00367426"/>
    <w:rsid w:val="0037068D"/>
    <w:rsid w:val="00384823"/>
    <w:rsid w:val="00392586"/>
    <w:rsid w:val="00393F41"/>
    <w:rsid w:val="00394359"/>
    <w:rsid w:val="0039758F"/>
    <w:rsid w:val="003A21A1"/>
    <w:rsid w:val="003A3AF8"/>
    <w:rsid w:val="003A7A6D"/>
    <w:rsid w:val="003C1F04"/>
    <w:rsid w:val="003C246F"/>
    <w:rsid w:val="003D595E"/>
    <w:rsid w:val="003D69E4"/>
    <w:rsid w:val="003E2287"/>
    <w:rsid w:val="003E358A"/>
    <w:rsid w:val="003E4E3E"/>
    <w:rsid w:val="003E706A"/>
    <w:rsid w:val="003F6E7A"/>
    <w:rsid w:val="00407CDA"/>
    <w:rsid w:val="004122F8"/>
    <w:rsid w:val="00414791"/>
    <w:rsid w:val="00425EB2"/>
    <w:rsid w:val="00427AFC"/>
    <w:rsid w:val="004341BC"/>
    <w:rsid w:val="00434FB5"/>
    <w:rsid w:val="00436B5B"/>
    <w:rsid w:val="004405D7"/>
    <w:rsid w:val="0044223C"/>
    <w:rsid w:val="00451483"/>
    <w:rsid w:val="00451A85"/>
    <w:rsid w:val="00452EF2"/>
    <w:rsid w:val="00453510"/>
    <w:rsid w:val="00456DD0"/>
    <w:rsid w:val="00457701"/>
    <w:rsid w:val="00462760"/>
    <w:rsid w:val="00464422"/>
    <w:rsid w:val="00464537"/>
    <w:rsid w:val="0048097E"/>
    <w:rsid w:val="00481258"/>
    <w:rsid w:val="00482CDE"/>
    <w:rsid w:val="00485BA2"/>
    <w:rsid w:val="00496A56"/>
    <w:rsid w:val="00496C94"/>
    <w:rsid w:val="00497299"/>
    <w:rsid w:val="004A1456"/>
    <w:rsid w:val="004A5F99"/>
    <w:rsid w:val="004B7153"/>
    <w:rsid w:val="004C13C1"/>
    <w:rsid w:val="004C6F8F"/>
    <w:rsid w:val="004C78A8"/>
    <w:rsid w:val="004D0B4C"/>
    <w:rsid w:val="004D0BC7"/>
    <w:rsid w:val="004D0F22"/>
    <w:rsid w:val="004D6555"/>
    <w:rsid w:val="004D6DF6"/>
    <w:rsid w:val="004D7727"/>
    <w:rsid w:val="004E0502"/>
    <w:rsid w:val="004E0DD4"/>
    <w:rsid w:val="004E4D9E"/>
    <w:rsid w:val="004E79DF"/>
    <w:rsid w:val="004F173A"/>
    <w:rsid w:val="004F71D0"/>
    <w:rsid w:val="004F7236"/>
    <w:rsid w:val="00500505"/>
    <w:rsid w:val="005037DC"/>
    <w:rsid w:val="00512D14"/>
    <w:rsid w:val="00513F94"/>
    <w:rsid w:val="0052084B"/>
    <w:rsid w:val="00521DDD"/>
    <w:rsid w:val="00522409"/>
    <w:rsid w:val="00527F1F"/>
    <w:rsid w:val="005348E3"/>
    <w:rsid w:val="00534A07"/>
    <w:rsid w:val="00541A3C"/>
    <w:rsid w:val="0054643C"/>
    <w:rsid w:val="00546A36"/>
    <w:rsid w:val="00552A21"/>
    <w:rsid w:val="00553246"/>
    <w:rsid w:val="00555CBC"/>
    <w:rsid w:val="00557B86"/>
    <w:rsid w:val="00563CB6"/>
    <w:rsid w:val="00565F79"/>
    <w:rsid w:val="00572394"/>
    <w:rsid w:val="00576481"/>
    <w:rsid w:val="00582402"/>
    <w:rsid w:val="0058364E"/>
    <w:rsid w:val="005851E5"/>
    <w:rsid w:val="00587FFA"/>
    <w:rsid w:val="00595287"/>
    <w:rsid w:val="005957DD"/>
    <w:rsid w:val="005A0168"/>
    <w:rsid w:val="005A0A4F"/>
    <w:rsid w:val="005A1C76"/>
    <w:rsid w:val="005B3310"/>
    <w:rsid w:val="005C1B4D"/>
    <w:rsid w:val="005D2818"/>
    <w:rsid w:val="005D3F7E"/>
    <w:rsid w:val="005D6F37"/>
    <w:rsid w:val="005E16F2"/>
    <w:rsid w:val="005E600C"/>
    <w:rsid w:val="005F5C7F"/>
    <w:rsid w:val="005F7997"/>
    <w:rsid w:val="00600031"/>
    <w:rsid w:val="00603C85"/>
    <w:rsid w:val="00606AF5"/>
    <w:rsid w:val="006077BE"/>
    <w:rsid w:val="00611239"/>
    <w:rsid w:val="00622C7B"/>
    <w:rsid w:val="00623741"/>
    <w:rsid w:val="00627E94"/>
    <w:rsid w:val="00630F4E"/>
    <w:rsid w:val="006323D9"/>
    <w:rsid w:val="00635C68"/>
    <w:rsid w:val="00637FFE"/>
    <w:rsid w:val="00640594"/>
    <w:rsid w:val="00644CC8"/>
    <w:rsid w:val="006513AB"/>
    <w:rsid w:val="006538BC"/>
    <w:rsid w:val="006544AB"/>
    <w:rsid w:val="006562B7"/>
    <w:rsid w:val="0067449B"/>
    <w:rsid w:val="0068206E"/>
    <w:rsid w:val="0069148C"/>
    <w:rsid w:val="00695059"/>
    <w:rsid w:val="006A0C19"/>
    <w:rsid w:val="006A1A60"/>
    <w:rsid w:val="006A3AA4"/>
    <w:rsid w:val="006B01E5"/>
    <w:rsid w:val="006B1462"/>
    <w:rsid w:val="006C2BFC"/>
    <w:rsid w:val="006C4E73"/>
    <w:rsid w:val="006D2C29"/>
    <w:rsid w:val="006D5C79"/>
    <w:rsid w:val="006E1882"/>
    <w:rsid w:val="006F15CD"/>
    <w:rsid w:val="00701764"/>
    <w:rsid w:val="00702840"/>
    <w:rsid w:val="00710258"/>
    <w:rsid w:val="007171EC"/>
    <w:rsid w:val="00724E31"/>
    <w:rsid w:val="0072544A"/>
    <w:rsid w:val="007340EB"/>
    <w:rsid w:val="00744257"/>
    <w:rsid w:val="00747DC8"/>
    <w:rsid w:val="007524A3"/>
    <w:rsid w:val="007540B3"/>
    <w:rsid w:val="0075759C"/>
    <w:rsid w:val="007667D2"/>
    <w:rsid w:val="00766C14"/>
    <w:rsid w:val="00775B7E"/>
    <w:rsid w:val="00775F22"/>
    <w:rsid w:val="00777766"/>
    <w:rsid w:val="00781738"/>
    <w:rsid w:val="00781F9E"/>
    <w:rsid w:val="00784653"/>
    <w:rsid w:val="00785FA0"/>
    <w:rsid w:val="00786173"/>
    <w:rsid w:val="00787171"/>
    <w:rsid w:val="00794336"/>
    <w:rsid w:val="007949AB"/>
    <w:rsid w:val="00795634"/>
    <w:rsid w:val="007A524D"/>
    <w:rsid w:val="007A59A8"/>
    <w:rsid w:val="007A60A9"/>
    <w:rsid w:val="007B474C"/>
    <w:rsid w:val="007B56B1"/>
    <w:rsid w:val="007C10B5"/>
    <w:rsid w:val="007C2F2B"/>
    <w:rsid w:val="007C7E7D"/>
    <w:rsid w:val="007D180B"/>
    <w:rsid w:val="007D2451"/>
    <w:rsid w:val="007D6E07"/>
    <w:rsid w:val="007E4113"/>
    <w:rsid w:val="007E5CC0"/>
    <w:rsid w:val="007E5D23"/>
    <w:rsid w:val="007E6435"/>
    <w:rsid w:val="007F5B06"/>
    <w:rsid w:val="00810CFF"/>
    <w:rsid w:val="0081497E"/>
    <w:rsid w:val="00822244"/>
    <w:rsid w:val="0082403D"/>
    <w:rsid w:val="00833101"/>
    <w:rsid w:val="008351F6"/>
    <w:rsid w:val="00837AD2"/>
    <w:rsid w:val="00842C59"/>
    <w:rsid w:val="00842C8E"/>
    <w:rsid w:val="00843B18"/>
    <w:rsid w:val="00844D59"/>
    <w:rsid w:val="008629E4"/>
    <w:rsid w:val="00864248"/>
    <w:rsid w:val="00867688"/>
    <w:rsid w:val="00875444"/>
    <w:rsid w:val="00881124"/>
    <w:rsid w:val="008818A1"/>
    <w:rsid w:val="00893879"/>
    <w:rsid w:val="008950A1"/>
    <w:rsid w:val="008A0B25"/>
    <w:rsid w:val="008A1001"/>
    <w:rsid w:val="008A3856"/>
    <w:rsid w:val="008A5928"/>
    <w:rsid w:val="008B3D13"/>
    <w:rsid w:val="008B4528"/>
    <w:rsid w:val="008B48A2"/>
    <w:rsid w:val="008B6500"/>
    <w:rsid w:val="008B7D23"/>
    <w:rsid w:val="008C6E34"/>
    <w:rsid w:val="008C7660"/>
    <w:rsid w:val="008D0857"/>
    <w:rsid w:val="008D178A"/>
    <w:rsid w:val="008D1CE9"/>
    <w:rsid w:val="008D63AB"/>
    <w:rsid w:val="008D7B1F"/>
    <w:rsid w:val="008E0356"/>
    <w:rsid w:val="008E12C2"/>
    <w:rsid w:val="008F0061"/>
    <w:rsid w:val="008F1E71"/>
    <w:rsid w:val="008F3E0C"/>
    <w:rsid w:val="008F4D10"/>
    <w:rsid w:val="00900EEC"/>
    <w:rsid w:val="009029DA"/>
    <w:rsid w:val="00903894"/>
    <w:rsid w:val="00903F85"/>
    <w:rsid w:val="00904697"/>
    <w:rsid w:val="009072A4"/>
    <w:rsid w:val="00907B15"/>
    <w:rsid w:val="00910412"/>
    <w:rsid w:val="009105FE"/>
    <w:rsid w:val="00921461"/>
    <w:rsid w:val="00924D1D"/>
    <w:rsid w:val="00924F97"/>
    <w:rsid w:val="0093252A"/>
    <w:rsid w:val="00936332"/>
    <w:rsid w:val="0093796C"/>
    <w:rsid w:val="00942A4C"/>
    <w:rsid w:val="0094740A"/>
    <w:rsid w:val="009517A4"/>
    <w:rsid w:val="00952DD4"/>
    <w:rsid w:val="00952F30"/>
    <w:rsid w:val="00954F48"/>
    <w:rsid w:val="00955421"/>
    <w:rsid w:val="00955F0B"/>
    <w:rsid w:val="00960043"/>
    <w:rsid w:val="00962664"/>
    <w:rsid w:val="00964474"/>
    <w:rsid w:val="00964C12"/>
    <w:rsid w:val="009651FE"/>
    <w:rsid w:val="0096560C"/>
    <w:rsid w:val="009672C9"/>
    <w:rsid w:val="009801FD"/>
    <w:rsid w:val="00980B3F"/>
    <w:rsid w:val="00980E8D"/>
    <w:rsid w:val="00984F8C"/>
    <w:rsid w:val="00995B1C"/>
    <w:rsid w:val="009A03E8"/>
    <w:rsid w:val="009A1431"/>
    <w:rsid w:val="009A172E"/>
    <w:rsid w:val="009A1735"/>
    <w:rsid w:val="009A610F"/>
    <w:rsid w:val="009B219F"/>
    <w:rsid w:val="009C46B8"/>
    <w:rsid w:val="009C555D"/>
    <w:rsid w:val="009D3023"/>
    <w:rsid w:val="009D3163"/>
    <w:rsid w:val="009D5488"/>
    <w:rsid w:val="009D5962"/>
    <w:rsid w:val="009D6C76"/>
    <w:rsid w:val="009D7C95"/>
    <w:rsid w:val="009E45B5"/>
    <w:rsid w:val="009E5179"/>
    <w:rsid w:val="009E52F4"/>
    <w:rsid w:val="009F0A28"/>
    <w:rsid w:val="009F2173"/>
    <w:rsid w:val="009F28BE"/>
    <w:rsid w:val="00A00D2E"/>
    <w:rsid w:val="00A04223"/>
    <w:rsid w:val="00A06CD7"/>
    <w:rsid w:val="00A07D33"/>
    <w:rsid w:val="00A07DD7"/>
    <w:rsid w:val="00A11EED"/>
    <w:rsid w:val="00A13D68"/>
    <w:rsid w:val="00A14109"/>
    <w:rsid w:val="00A16A18"/>
    <w:rsid w:val="00A21731"/>
    <w:rsid w:val="00A308D6"/>
    <w:rsid w:val="00A346A7"/>
    <w:rsid w:val="00A441DD"/>
    <w:rsid w:val="00A53A41"/>
    <w:rsid w:val="00A54595"/>
    <w:rsid w:val="00A57636"/>
    <w:rsid w:val="00A60640"/>
    <w:rsid w:val="00A70A43"/>
    <w:rsid w:val="00A77BD5"/>
    <w:rsid w:val="00A8481F"/>
    <w:rsid w:val="00A85270"/>
    <w:rsid w:val="00A86FDF"/>
    <w:rsid w:val="00A87607"/>
    <w:rsid w:val="00A96A52"/>
    <w:rsid w:val="00A97544"/>
    <w:rsid w:val="00A978F5"/>
    <w:rsid w:val="00AA0E31"/>
    <w:rsid w:val="00AA6CEE"/>
    <w:rsid w:val="00AB1992"/>
    <w:rsid w:val="00AB229A"/>
    <w:rsid w:val="00AB3648"/>
    <w:rsid w:val="00AC5230"/>
    <w:rsid w:val="00AD32C5"/>
    <w:rsid w:val="00AD47A2"/>
    <w:rsid w:val="00AD49F1"/>
    <w:rsid w:val="00AD5CB5"/>
    <w:rsid w:val="00AD6163"/>
    <w:rsid w:val="00AF1713"/>
    <w:rsid w:val="00B03B94"/>
    <w:rsid w:val="00B06E1B"/>
    <w:rsid w:val="00B10ED3"/>
    <w:rsid w:val="00B1380B"/>
    <w:rsid w:val="00B14907"/>
    <w:rsid w:val="00B224EF"/>
    <w:rsid w:val="00B22A9A"/>
    <w:rsid w:val="00B254F5"/>
    <w:rsid w:val="00B25897"/>
    <w:rsid w:val="00B25D9B"/>
    <w:rsid w:val="00B2761B"/>
    <w:rsid w:val="00B42C9D"/>
    <w:rsid w:val="00B46B5D"/>
    <w:rsid w:val="00B53285"/>
    <w:rsid w:val="00B53E26"/>
    <w:rsid w:val="00B5425F"/>
    <w:rsid w:val="00B56BB6"/>
    <w:rsid w:val="00B578C5"/>
    <w:rsid w:val="00B64674"/>
    <w:rsid w:val="00B654CA"/>
    <w:rsid w:val="00B70903"/>
    <w:rsid w:val="00B72049"/>
    <w:rsid w:val="00B72F08"/>
    <w:rsid w:val="00B75710"/>
    <w:rsid w:val="00B75EA0"/>
    <w:rsid w:val="00B763F6"/>
    <w:rsid w:val="00B77597"/>
    <w:rsid w:val="00B8056F"/>
    <w:rsid w:val="00B80FBD"/>
    <w:rsid w:val="00B9090A"/>
    <w:rsid w:val="00B90C27"/>
    <w:rsid w:val="00B93A50"/>
    <w:rsid w:val="00B95492"/>
    <w:rsid w:val="00BA3B20"/>
    <w:rsid w:val="00BA6540"/>
    <w:rsid w:val="00BB52B1"/>
    <w:rsid w:val="00BB74B1"/>
    <w:rsid w:val="00BC1F2A"/>
    <w:rsid w:val="00BD274F"/>
    <w:rsid w:val="00BD3ADB"/>
    <w:rsid w:val="00BD68AF"/>
    <w:rsid w:val="00BE072F"/>
    <w:rsid w:val="00BE5FC7"/>
    <w:rsid w:val="00BE7443"/>
    <w:rsid w:val="00BE7A7A"/>
    <w:rsid w:val="00BF46BA"/>
    <w:rsid w:val="00C027BE"/>
    <w:rsid w:val="00C03DD8"/>
    <w:rsid w:val="00C04157"/>
    <w:rsid w:val="00C04307"/>
    <w:rsid w:val="00C04F38"/>
    <w:rsid w:val="00C05F99"/>
    <w:rsid w:val="00C12166"/>
    <w:rsid w:val="00C13B8E"/>
    <w:rsid w:val="00C15ED1"/>
    <w:rsid w:val="00C175DC"/>
    <w:rsid w:val="00C3163C"/>
    <w:rsid w:val="00C331CC"/>
    <w:rsid w:val="00C346FB"/>
    <w:rsid w:val="00C3562D"/>
    <w:rsid w:val="00C35DB0"/>
    <w:rsid w:val="00C40863"/>
    <w:rsid w:val="00C4362F"/>
    <w:rsid w:val="00C4669A"/>
    <w:rsid w:val="00C46881"/>
    <w:rsid w:val="00C47DBD"/>
    <w:rsid w:val="00C52B71"/>
    <w:rsid w:val="00C546FE"/>
    <w:rsid w:val="00C6071F"/>
    <w:rsid w:val="00C71BA5"/>
    <w:rsid w:val="00C74AFE"/>
    <w:rsid w:val="00C779A5"/>
    <w:rsid w:val="00C80635"/>
    <w:rsid w:val="00C84E3D"/>
    <w:rsid w:val="00C85396"/>
    <w:rsid w:val="00C9490C"/>
    <w:rsid w:val="00C95C71"/>
    <w:rsid w:val="00CA0A43"/>
    <w:rsid w:val="00CA20EF"/>
    <w:rsid w:val="00CA5A5E"/>
    <w:rsid w:val="00CA7954"/>
    <w:rsid w:val="00CB0CCB"/>
    <w:rsid w:val="00CB2F7D"/>
    <w:rsid w:val="00CB7E0D"/>
    <w:rsid w:val="00CC3EC7"/>
    <w:rsid w:val="00CD0FF4"/>
    <w:rsid w:val="00CD202D"/>
    <w:rsid w:val="00CD351E"/>
    <w:rsid w:val="00CD647E"/>
    <w:rsid w:val="00CD7240"/>
    <w:rsid w:val="00CE1733"/>
    <w:rsid w:val="00CE1CD8"/>
    <w:rsid w:val="00D03E83"/>
    <w:rsid w:val="00D07B03"/>
    <w:rsid w:val="00D111DA"/>
    <w:rsid w:val="00D1232A"/>
    <w:rsid w:val="00D21764"/>
    <w:rsid w:val="00D24DAC"/>
    <w:rsid w:val="00D2561F"/>
    <w:rsid w:val="00D356A3"/>
    <w:rsid w:val="00D37774"/>
    <w:rsid w:val="00D40ED8"/>
    <w:rsid w:val="00D43A9A"/>
    <w:rsid w:val="00D50D10"/>
    <w:rsid w:val="00D51699"/>
    <w:rsid w:val="00D53647"/>
    <w:rsid w:val="00D56077"/>
    <w:rsid w:val="00D66295"/>
    <w:rsid w:val="00D708AA"/>
    <w:rsid w:val="00D72B8F"/>
    <w:rsid w:val="00D87787"/>
    <w:rsid w:val="00DA0516"/>
    <w:rsid w:val="00DA523E"/>
    <w:rsid w:val="00DB5402"/>
    <w:rsid w:val="00DB67E9"/>
    <w:rsid w:val="00DC1BD3"/>
    <w:rsid w:val="00DC1F4B"/>
    <w:rsid w:val="00DC5C36"/>
    <w:rsid w:val="00DD1785"/>
    <w:rsid w:val="00DD2ABD"/>
    <w:rsid w:val="00DD68AC"/>
    <w:rsid w:val="00DE2518"/>
    <w:rsid w:val="00DE62D5"/>
    <w:rsid w:val="00DF53D1"/>
    <w:rsid w:val="00DF5F9B"/>
    <w:rsid w:val="00DF6020"/>
    <w:rsid w:val="00E001D6"/>
    <w:rsid w:val="00E0379F"/>
    <w:rsid w:val="00E1127C"/>
    <w:rsid w:val="00E1180D"/>
    <w:rsid w:val="00E119F6"/>
    <w:rsid w:val="00E17341"/>
    <w:rsid w:val="00E17AF0"/>
    <w:rsid w:val="00E17C97"/>
    <w:rsid w:val="00E22559"/>
    <w:rsid w:val="00E248BC"/>
    <w:rsid w:val="00E25CC3"/>
    <w:rsid w:val="00E27863"/>
    <w:rsid w:val="00E366BC"/>
    <w:rsid w:val="00E37066"/>
    <w:rsid w:val="00E44DF6"/>
    <w:rsid w:val="00E506B7"/>
    <w:rsid w:val="00E51419"/>
    <w:rsid w:val="00E5275E"/>
    <w:rsid w:val="00E5355A"/>
    <w:rsid w:val="00E67F20"/>
    <w:rsid w:val="00E92FF3"/>
    <w:rsid w:val="00EA06DF"/>
    <w:rsid w:val="00EB2281"/>
    <w:rsid w:val="00EB5FBB"/>
    <w:rsid w:val="00EC0F67"/>
    <w:rsid w:val="00EC13BC"/>
    <w:rsid w:val="00EC145F"/>
    <w:rsid w:val="00EC1A15"/>
    <w:rsid w:val="00EC501D"/>
    <w:rsid w:val="00ED1091"/>
    <w:rsid w:val="00ED284A"/>
    <w:rsid w:val="00ED344F"/>
    <w:rsid w:val="00EE6CFB"/>
    <w:rsid w:val="00EF2013"/>
    <w:rsid w:val="00F03866"/>
    <w:rsid w:val="00F04410"/>
    <w:rsid w:val="00F076F1"/>
    <w:rsid w:val="00F11A40"/>
    <w:rsid w:val="00F12A24"/>
    <w:rsid w:val="00F21475"/>
    <w:rsid w:val="00F220D1"/>
    <w:rsid w:val="00F22BC0"/>
    <w:rsid w:val="00F3095B"/>
    <w:rsid w:val="00F37F0C"/>
    <w:rsid w:val="00F412E7"/>
    <w:rsid w:val="00F42369"/>
    <w:rsid w:val="00F433DD"/>
    <w:rsid w:val="00F44774"/>
    <w:rsid w:val="00F526AE"/>
    <w:rsid w:val="00F52972"/>
    <w:rsid w:val="00F5397E"/>
    <w:rsid w:val="00F54104"/>
    <w:rsid w:val="00F5422C"/>
    <w:rsid w:val="00F6012E"/>
    <w:rsid w:val="00F64ADE"/>
    <w:rsid w:val="00F71412"/>
    <w:rsid w:val="00F7591B"/>
    <w:rsid w:val="00F81182"/>
    <w:rsid w:val="00F864F7"/>
    <w:rsid w:val="00F86B2A"/>
    <w:rsid w:val="00F86EB4"/>
    <w:rsid w:val="00F870D1"/>
    <w:rsid w:val="00F92426"/>
    <w:rsid w:val="00FA0AAC"/>
    <w:rsid w:val="00FA2D4A"/>
    <w:rsid w:val="00FA66AB"/>
    <w:rsid w:val="00FA7F0F"/>
    <w:rsid w:val="00FB24CE"/>
    <w:rsid w:val="00FB3403"/>
    <w:rsid w:val="00FB7ED6"/>
    <w:rsid w:val="00FC01BD"/>
    <w:rsid w:val="00FC19F7"/>
    <w:rsid w:val="00FD0369"/>
    <w:rsid w:val="00FD6440"/>
    <w:rsid w:val="00FE1097"/>
    <w:rsid w:val="00FE270E"/>
    <w:rsid w:val="00FE3D87"/>
    <w:rsid w:val="00FE4B8D"/>
    <w:rsid w:val="00FF4F2B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717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F8"/>
  </w:style>
  <w:style w:type="paragraph" w:styleId="Heading1">
    <w:name w:val="heading 1"/>
    <w:basedOn w:val="Normal"/>
    <w:next w:val="Normal"/>
    <w:link w:val="Heading1Char"/>
    <w:uiPriority w:val="9"/>
    <w:qFormat/>
    <w:rsid w:val="00CE1733"/>
    <w:pPr>
      <w:keepNext/>
      <w:spacing w:before="480" w:after="180" w:line="240" w:lineRule="auto"/>
      <w:outlineLvl w:val="0"/>
    </w:pPr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">
    <w:name w:val="Dot"/>
    <w:basedOn w:val="ListParagraph"/>
    <w:link w:val="DotChar"/>
    <w:qFormat/>
    <w:rsid w:val="006B1462"/>
    <w:pPr>
      <w:numPr>
        <w:numId w:val="1"/>
      </w:numPr>
      <w:ind w:left="714" w:hanging="357"/>
      <w:contextualSpacing w:val="0"/>
      <w:outlineLvl w:val="0"/>
    </w:pPr>
    <w:rPr>
      <w:rFonts w:ascii="Arial" w:eastAsia="Calibri" w:hAnsi="Arial" w:cs="Arial"/>
      <w:kern w:val="28"/>
      <w:lang w:val="en-GB"/>
    </w:rPr>
  </w:style>
  <w:style w:type="character" w:customStyle="1" w:styleId="DotChar">
    <w:name w:val="Dot Char"/>
    <w:basedOn w:val="DefaultParagraphFont"/>
    <w:link w:val="Dot"/>
    <w:rsid w:val="006B1462"/>
    <w:rPr>
      <w:rFonts w:ascii="Arial" w:eastAsia="Calibri" w:hAnsi="Arial" w:cs="Arial"/>
      <w:kern w:val="28"/>
      <w:lang w:val="en-GB"/>
    </w:rPr>
  </w:style>
  <w:style w:type="paragraph" w:styleId="ListParagraph">
    <w:name w:val="List Paragraph"/>
    <w:basedOn w:val="Normal"/>
    <w:uiPriority w:val="99"/>
    <w:qFormat/>
    <w:rsid w:val="006B1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72"/>
  </w:style>
  <w:style w:type="paragraph" w:styleId="Footer">
    <w:name w:val="footer"/>
    <w:basedOn w:val="Normal"/>
    <w:link w:val="FooterChar"/>
    <w:uiPriority w:val="99"/>
    <w:unhideWhenUsed/>
    <w:rsid w:val="00F52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72"/>
  </w:style>
  <w:style w:type="paragraph" w:customStyle="1" w:styleId="HeaderOdd">
    <w:name w:val="Header Odd"/>
    <w:basedOn w:val="Header"/>
    <w:rsid w:val="00F52972"/>
    <w:pPr>
      <w:keepNext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1733"/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CE17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E1733"/>
    <w:p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733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ScheduleNumberedPara">
    <w:name w:val="ScheduleNumberedPara"/>
    <w:basedOn w:val="Normal"/>
    <w:link w:val="ScheduleNumberedParaChar"/>
    <w:rsid w:val="00CE1733"/>
    <w:pPr>
      <w:numPr>
        <w:ilvl w:val="1"/>
        <w:numId w:val="2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ScheduleNumberedParaChar">
    <w:name w:val="ScheduleNumberedPara Char"/>
    <w:link w:val="ScheduleNumberedPara"/>
    <w:locked/>
    <w:rsid w:val="00CE1733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ListNumber2">
    <w:name w:val="List Number 2"/>
    <w:basedOn w:val="Normal"/>
    <w:uiPriority w:val="99"/>
    <w:rsid w:val="00CE1733"/>
    <w:pPr>
      <w:numPr>
        <w:numId w:val="3"/>
      </w:numPr>
      <w:tabs>
        <w:tab w:val="clear" w:pos="643"/>
        <w:tab w:val="num" w:pos="1086"/>
        <w:tab w:val="num" w:pos="1134"/>
        <w:tab w:val="num" w:pos="2268"/>
      </w:tabs>
      <w:spacing w:after="200" w:line="276" w:lineRule="auto"/>
      <w:ind w:left="738" w:hanging="369"/>
    </w:pPr>
    <w:rPr>
      <w:rFonts w:eastAsia="Times New Roman" w:cs="Times New Roman"/>
    </w:rPr>
  </w:style>
  <w:style w:type="paragraph" w:styleId="ListNumber3">
    <w:name w:val="List Number 3"/>
    <w:basedOn w:val="Normal"/>
    <w:uiPriority w:val="99"/>
    <w:rsid w:val="00CE1733"/>
    <w:pPr>
      <w:numPr>
        <w:numId w:val="4"/>
      </w:numPr>
      <w:tabs>
        <w:tab w:val="clear" w:pos="926"/>
        <w:tab w:val="num" w:pos="1629"/>
        <w:tab w:val="num" w:pos="1701"/>
        <w:tab w:val="num" w:pos="2268"/>
      </w:tabs>
      <w:spacing w:after="200" w:line="276" w:lineRule="auto"/>
      <w:ind w:left="1107" w:hanging="36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3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118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Paragraph">
    <w:name w:val="Alpha Paragraph"/>
    <w:basedOn w:val="Normal"/>
    <w:link w:val="AlphaParagraphCharChar"/>
    <w:rsid w:val="0077776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AlphaParagraphCharChar">
    <w:name w:val="Alpha Paragraph Char Char"/>
    <w:link w:val="AlphaParagraph"/>
    <w:locked/>
    <w:rsid w:val="00777766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Normalnumbered">
    <w:name w:val="Normal numbered"/>
    <w:basedOn w:val="Normal"/>
    <w:link w:val="NormalnumberedChar"/>
    <w:rsid w:val="00A00D2E"/>
    <w:pPr>
      <w:numPr>
        <w:numId w:val="5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NormalnumberedChar">
    <w:name w:val="Normal numbered Char"/>
    <w:link w:val="Normalnumbered"/>
    <w:locked/>
    <w:rsid w:val="00A00D2E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ChartandTableFootnoteAlpha">
    <w:name w:val="Chart and Table Footnote Alpha"/>
    <w:rsid w:val="00A00D2E"/>
    <w:pPr>
      <w:numPr>
        <w:numId w:val="6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styleId="Title">
    <w:name w:val="Title"/>
    <w:basedOn w:val="Normal"/>
    <w:next w:val="Subtitle"/>
    <w:link w:val="TitleChar"/>
    <w:uiPriority w:val="10"/>
    <w:qFormat/>
    <w:rsid w:val="00B53285"/>
    <w:pPr>
      <w:spacing w:after="0" w:line="240" w:lineRule="auto"/>
    </w:pPr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3285"/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32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53285"/>
    <w:rPr>
      <w:rFonts w:eastAsiaTheme="minorEastAsia"/>
      <w:color w:val="5A5A5A" w:themeColor="text1" w:themeTint="A5"/>
      <w:spacing w:val="15"/>
    </w:rPr>
  </w:style>
  <w:style w:type="paragraph" w:customStyle="1" w:styleId="SingleParagraph">
    <w:name w:val="Single Paragraph"/>
    <w:basedOn w:val="Normal"/>
    <w:rsid w:val="00BE7A7A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BE7A7A"/>
    <w:rPr>
      <w:b/>
    </w:rPr>
  </w:style>
  <w:style w:type="paragraph" w:customStyle="1" w:styleId="Signed">
    <w:name w:val="Signed"/>
    <w:basedOn w:val="Normal"/>
    <w:rsid w:val="00BE7A7A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BE7A7A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BE7A7A"/>
    <w:rPr>
      <w:b/>
      <w:i/>
    </w:rPr>
  </w:style>
  <w:style w:type="paragraph" w:customStyle="1" w:styleId="LineForSignature">
    <w:name w:val="LineForSignature"/>
    <w:basedOn w:val="Normal"/>
    <w:rsid w:val="00BE7A7A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DD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DD"/>
    <w:rPr>
      <w:rFonts w:ascii="Corbel" w:eastAsia="Times New Roman" w:hAnsi="Corbel" w:cs="Times New Roman"/>
      <w:b/>
      <w:bCs/>
      <w:color w:val="000000"/>
      <w:sz w:val="20"/>
      <w:szCs w:val="20"/>
      <w:lang w:eastAsia="en-AU"/>
    </w:rPr>
  </w:style>
  <w:style w:type="paragraph" w:customStyle="1" w:styleId="OutlineNumbered1">
    <w:name w:val="Outline Numbered 1"/>
    <w:basedOn w:val="Normal"/>
    <w:link w:val="OutlineNumbered1Char"/>
    <w:rsid w:val="00D50D10"/>
    <w:pPr>
      <w:numPr>
        <w:numId w:val="7"/>
      </w:numPr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OutlineNumbered1Char">
    <w:name w:val="Outline Numbered 1 Char"/>
    <w:basedOn w:val="ScheduleNumberedParaChar"/>
    <w:link w:val="OutlineNumbered1"/>
    <w:rsid w:val="00D50D10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D50D10"/>
    <w:pPr>
      <w:numPr>
        <w:ilvl w:val="1"/>
        <w:numId w:val="7"/>
      </w:numPr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OutlineNumbered2Char">
    <w:name w:val="Outline Numbered 2 Char"/>
    <w:basedOn w:val="ScheduleNumberedParaChar"/>
    <w:link w:val="OutlineNumbered2"/>
    <w:rsid w:val="00D50D10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D50D10"/>
    <w:pPr>
      <w:numPr>
        <w:ilvl w:val="2"/>
        <w:numId w:val="7"/>
      </w:numPr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OutlineNumbered3Char">
    <w:name w:val="Outline Numbered 3 Char"/>
    <w:basedOn w:val="ScheduleNumberedParaChar"/>
    <w:link w:val="OutlineNumbered3"/>
    <w:rsid w:val="00D50D10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Wflowtabletext">
    <w:name w:val="Wflow table text"/>
    <w:basedOn w:val="Normal"/>
    <w:uiPriority w:val="3"/>
    <w:qFormat/>
    <w:rsid w:val="00120E0F"/>
    <w:pPr>
      <w:spacing w:before="60" w:after="60" w:line="240" w:lineRule="auto"/>
    </w:pPr>
    <w:rPr>
      <w:rFonts w:cstheme="minorHAnsi"/>
      <w:sz w:val="20"/>
      <w:szCs w:val="20"/>
    </w:rPr>
  </w:style>
  <w:style w:type="paragraph" w:customStyle="1" w:styleId="Wflowtablecolhead">
    <w:name w:val="Wflow table col head"/>
    <w:basedOn w:val="Normal"/>
    <w:uiPriority w:val="3"/>
    <w:rsid w:val="00120E0F"/>
    <w:pPr>
      <w:keepNext/>
      <w:spacing w:before="40" w:after="40" w:line="240" w:lineRule="atLeast"/>
    </w:pPr>
    <w:rPr>
      <w:rFonts w:eastAsiaTheme="minorEastAsia" w:cstheme="minorHAnsi"/>
      <w:b/>
      <w:color w:val="FFFFFF" w:themeColor="background1"/>
      <w:sz w:val="20"/>
      <w:szCs w:val="20"/>
    </w:rPr>
  </w:style>
  <w:style w:type="paragraph" w:styleId="NoSpacing">
    <w:name w:val="No Spacing"/>
    <w:uiPriority w:val="1"/>
    <w:qFormat/>
    <w:rsid w:val="009029DA"/>
    <w:pPr>
      <w:spacing w:after="0" w:line="240" w:lineRule="auto"/>
    </w:pPr>
  </w:style>
  <w:style w:type="paragraph" w:customStyle="1" w:styleId="Tabletextnumbered">
    <w:name w:val="Table text numbered"/>
    <w:basedOn w:val="ScheduleNumberedPara"/>
    <w:link w:val="TabletextnumberedChar"/>
    <w:qFormat/>
    <w:rsid w:val="00FA66AB"/>
    <w:pPr>
      <w:numPr>
        <w:ilvl w:val="0"/>
        <w:numId w:val="0"/>
      </w:numPr>
      <w:tabs>
        <w:tab w:val="num" w:pos="766"/>
      </w:tabs>
      <w:spacing w:after="120"/>
      <w:ind w:left="482" w:hanging="284"/>
      <w:jc w:val="left"/>
    </w:pPr>
    <w:rPr>
      <w:rFonts w:asciiTheme="majorHAnsi" w:hAnsiTheme="majorHAnsi"/>
      <w:lang w:eastAsia="ja-JP"/>
    </w:rPr>
  </w:style>
  <w:style w:type="character" w:customStyle="1" w:styleId="TabletextnumberedChar">
    <w:name w:val="Table text numbered Char"/>
    <w:basedOn w:val="ScheduleNumberedParaChar"/>
    <w:link w:val="Tabletextnumbered"/>
    <w:rsid w:val="00FA66AB"/>
    <w:rPr>
      <w:rFonts w:asciiTheme="majorHAnsi" w:eastAsia="Times New Roman" w:hAnsiTheme="majorHAnsi" w:cs="Times New Roman"/>
      <w:color w:val="000000"/>
      <w:sz w:val="23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18"/>
    <w:qFormat/>
    <w:rsid w:val="00E51419"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sid w:val="00E51419"/>
    <w:rPr>
      <w:rFonts w:eastAsia="Times New Roman"/>
      <w:iCs/>
      <w:color w:val="000000"/>
      <w:sz w:val="20"/>
      <w:szCs w:val="24"/>
    </w:rPr>
  </w:style>
  <w:style w:type="paragraph" w:styleId="Revision">
    <w:name w:val="Revision"/>
    <w:hidden/>
    <w:uiPriority w:val="99"/>
    <w:semiHidden/>
    <w:rsid w:val="0093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2019FG-64-58483</_dlc_DocId>
    <TaxCatchAll xmlns="0f563589-9cf9-4143-b1eb-fb0534803d38">
      <Value>2</Value>
    </TaxCatchAll>
    <_dlc_DocIdUrl xmlns="0f563589-9cf9-4143-b1eb-fb0534803d38">
      <Url>http://tweb/sites/fg/csrd/_layouts/15/DocIdRedir.aspx?ID=2019FG-64-58483</Url>
      <Description>2019FG-64-58483</Description>
    </_dlc_DocIdUrl>
    <IconOverlay xmlns="http://schemas.microsoft.com/sharepoint/v4" xsi:nil="true"/>
  </documentManagement>
</p:properties>
</file>

<file path=customXml/item4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19439" ma:contentTypeDescription=" " ma:contentTypeScope="" ma:versionID="a07bba08a93a3235bffcf60d2fe1234d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3870-C840-404B-9A64-EA9FDC76673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E90F385-DF4E-4F6C-8147-B1E3B868B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BE87F-2E3B-4FC5-941F-18263FD9F3DC}">
  <ds:schemaRefs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e544e5cc-ab70-42e1-849e-1a0f8bb1f4ef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54D212-38B3-4B28-A0C1-E5CF040BBB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0F48D78-071D-4FFC-ACCB-DDF196E1BC7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0A6C45-5975-4814-9DEF-2C7AA3D1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DD7C7E0-CCDD-4BB9-A7A3-524296DB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3750</Words>
  <Characters>22279</Characters>
  <Application>Microsoft Office Word</Application>
  <DocSecurity>0</DocSecurity>
  <Lines>1166</Lines>
  <Paragraphs>591</Paragraphs>
  <ScaleCrop>false</ScaleCrop>
  <Company/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Australian Governments - NSW - Stage 1 Funding for SDL Adjustment Supply and Contraints Measures in the MDB </dc:title>
  <dc:creator/>
  <cp:lastModifiedBy/>
  <cp:revision>1</cp:revision>
  <dcterms:created xsi:type="dcterms:W3CDTF">2019-04-26T06:22:00Z</dcterms:created>
  <dcterms:modified xsi:type="dcterms:W3CDTF">2019-04-26T06:22:00Z</dcterms:modified>
  <dc:language>English</dc:language>
</cp:coreProperties>
</file>