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942"/>
        <w:tblW w:w="5000" w:type="pct"/>
        <w:tblLook w:val="01E0" w:firstRow="1" w:lastRow="1" w:firstColumn="1" w:lastColumn="1" w:noHBand="0" w:noVBand="0"/>
      </w:tblPr>
      <w:tblGrid>
        <w:gridCol w:w="1475"/>
        <w:gridCol w:w="7551"/>
      </w:tblGrid>
      <w:tr w:rsidR="009F42E6" w14:paraId="5254F169" w14:textId="77777777" w:rsidTr="00652BFB">
        <w:tc>
          <w:tcPr>
            <w:tcW w:w="817" w:type="pct"/>
          </w:tcPr>
          <w:p w14:paraId="5254F167" w14:textId="77777777" w:rsidR="009F42E6" w:rsidRDefault="009F42E6" w:rsidP="00652BFB"/>
        </w:tc>
        <w:tc>
          <w:tcPr>
            <w:tcW w:w="4183" w:type="pct"/>
          </w:tcPr>
          <w:p w14:paraId="5254F168" w14:textId="77777777" w:rsidR="009F42E6" w:rsidRDefault="009F42E6" w:rsidP="00652BFB">
            <w:pPr>
              <w:pStyle w:val="AgreementParties"/>
              <w:numPr>
                <w:ilvl w:val="0"/>
                <w:numId w:val="0"/>
              </w:numPr>
              <w:ind w:left="49"/>
            </w:pPr>
          </w:p>
        </w:tc>
      </w:tr>
    </w:tbl>
    <w:p w14:paraId="5254F16A" w14:textId="77777777" w:rsidR="009F42E6" w:rsidRPr="0044106B" w:rsidRDefault="00F142E3" w:rsidP="009F42E6">
      <w:pPr>
        <w:pStyle w:val="Title"/>
        <w:jc w:val="right"/>
        <w:rPr>
          <w:rFonts w:ascii="Consolas" w:hAnsi="Consolas" w:cs="Consolas"/>
          <w:sz w:val="40"/>
        </w:rPr>
      </w:pPr>
      <w:r w:rsidRPr="0044106B">
        <w:rPr>
          <w:rFonts w:ascii="Consolas" w:hAnsi="Consolas" w:cs="Consolas"/>
          <w:sz w:val="40"/>
        </w:rPr>
        <w:t>Schedule Q</w:t>
      </w:r>
    </w:p>
    <w:p w14:paraId="5254F16B" w14:textId="51FD74CC" w:rsidR="009F42E6" w:rsidRPr="0044106B" w:rsidRDefault="009F42E6" w:rsidP="00225E78">
      <w:pPr>
        <w:pStyle w:val="Title"/>
        <w:ind w:right="-188"/>
        <w:rPr>
          <w:rFonts w:ascii="Consolas" w:hAnsi="Consolas" w:cs="Consolas"/>
          <w:sz w:val="56"/>
          <w:szCs w:val="56"/>
        </w:rPr>
      </w:pPr>
      <w:r w:rsidRPr="0044106B">
        <w:rPr>
          <w:rFonts w:ascii="Consolas" w:hAnsi="Consolas" w:cs="Consolas"/>
          <w:sz w:val="56"/>
          <w:szCs w:val="56"/>
        </w:rPr>
        <w:t xml:space="preserve">National </w:t>
      </w:r>
      <w:r w:rsidR="00F142E3" w:rsidRPr="0044106B">
        <w:rPr>
          <w:rFonts w:ascii="Consolas" w:hAnsi="Consolas" w:cs="Consolas"/>
          <w:sz w:val="56"/>
          <w:szCs w:val="56"/>
        </w:rPr>
        <w:t>Browsing</w:t>
      </w:r>
      <w:r w:rsidRPr="0044106B">
        <w:rPr>
          <w:rFonts w:ascii="Consolas" w:hAnsi="Consolas" w:cs="Consolas"/>
          <w:sz w:val="56"/>
          <w:szCs w:val="56"/>
        </w:rPr>
        <w:t xml:space="preserve"> Ant</w:t>
      </w:r>
      <w:r w:rsidR="000D6C6F">
        <w:rPr>
          <w:rFonts w:ascii="Consolas" w:hAnsi="Consolas" w:cs="Consolas"/>
          <w:sz w:val="56"/>
          <w:szCs w:val="56"/>
        </w:rPr>
        <w:t xml:space="preserve"> </w:t>
      </w:r>
      <w:r w:rsidR="00225E78">
        <w:rPr>
          <w:rFonts w:ascii="Consolas" w:hAnsi="Consolas" w:cs="Consolas"/>
          <w:sz w:val="56"/>
          <w:szCs w:val="56"/>
        </w:rPr>
        <w:t>N</w:t>
      </w:r>
      <w:r w:rsidR="000D6C6F">
        <w:rPr>
          <w:rFonts w:ascii="Consolas" w:hAnsi="Consolas" w:cs="Consolas"/>
          <w:sz w:val="56"/>
          <w:szCs w:val="56"/>
        </w:rPr>
        <w:t>orthern</w:t>
      </w:r>
      <w:r w:rsidR="00DF05D6">
        <w:rPr>
          <w:rFonts w:ascii="Consolas" w:hAnsi="Consolas" w:cs="Consolas"/>
          <w:sz w:val="56"/>
          <w:szCs w:val="56"/>
        </w:rPr>
        <w:t xml:space="preserve"> Territory Eradication Program</w:t>
      </w:r>
    </w:p>
    <w:p w14:paraId="5254F16C" w14:textId="77777777" w:rsidR="009F42E6" w:rsidRPr="0044106B" w:rsidRDefault="009F42E6" w:rsidP="009F42E6">
      <w:pPr>
        <w:pStyle w:val="Heading1"/>
        <w:keepLines w:val="0"/>
        <w:spacing w:before="360" w:after="180"/>
        <w:rPr>
          <w:rFonts w:cs="Arial"/>
        </w:rPr>
      </w:pPr>
      <w:r w:rsidRPr="0044106B">
        <w:rPr>
          <w:rFonts w:cs="Arial"/>
        </w:rPr>
        <w:t>Part 1: Preliminaries</w:t>
      </w:r>
    </w:p>
    <w:p w14:paraId="7456D70B" w14:textId="7557CB49" w:rsidR="00C84467" w:rsidRPr="00C84467" w:rsidRDefault="009F42E6" w:rsidP="00C84467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44106B">
        <w:rPr>
          <w:rFonts w:ascii="Corbel" w:hAnsi="Corbel" w:cs="Calibri"/>
          <w:sz w:val="23"/>
          <w:szCs w:val="23"/>
        </w:rPr>
        <w:t xml:space="preserve">The purpose of this Schedule is to outline the delivery of agreed activities for the </w:t>
      </w:r>
      <w:r w:rsidR="00DF05D6">
        <w:rPr>
          <w:rFonts w:ascii="Corbel" w:hAnsi="Corbel" w:cs="Calibri"/>
          <w:sz w:val="23"/>
          <w:szCs w:val="23"/>
        </w:rPr>
        <w:t>N</w:t>
      </w:r>
      <w:r w:rsidRPr="00225E78">
        <w:rPr>
          <w:rFonts w:ascii="Corbel" w:hAnsi="Corbel" w:cs="Calibri"/>
          <w:sz w:val="23"/>
          <w:szCs w:val="23"/>
        </w:rPr>
        <w:t xml:space="preserve">ational </w:t>
      </w:r>
      <w:r w:rsidR="00DF05D6">
        <w:rPr>
          <w:rFonts w:ascii="Corbel" w:hAnsi="Corbel" w:cs="Calibri"/>
          <w:sz w:val="23"/>
          <w:szCs w:val="23"/>
        </w:rPr>
        <w:t>B</w:t>
      </w:r>
      <w:r w:rsidR="00F142E3" w:rsidRPr="00225E78">
        <w:rPr>
          <w:rFonts w:ascii="Corbel" w:hAnsi="Corbel" w:cs="Calibri"/>
          <w:sz w:val="23"/>
          <w:szCs w:val="23"/>
        </w:rPr>
        <w:t xml:space="preserve">rowsing </w:t>
      </w:r>
      <w:r w:rsidR="008F5324">
        <w:rPr>
          <w:rFonts w:ascii="Corbel" w:hAnsi="Corbel" w:cs="Calibri"/>
          <w:sz w:val="23"/>
          <w:szCs w:val="23"/>
        </w:rPr>
        <w:t>A</w:t>
      </w:r>
      <w:r w:rsidR="00F142E3" w:rsidRPr="00225E78">
        <w:rPr>
          <w:rFonts w:ascii="Corbel" w:hAnsi="Corbel" w:cs="Calibri"/>
          <w:sz w:val="23"/>
          <w:szCs w:val="23"/>
        </w:rPr>
        <w:t>nt</w:t>
      </w:r>
      <w:r w:rsidRPr="00225E78">
        <w:rPr>
          <w:rFonts w:ascii="Corbel" w:hAnsi="Corbel" w:cs="Calibri"/>
          <w:sz w:val="23"/>
          <w:szCs w:val="23"/>
        </w:rPr>
        <w:t xml:space="preserve"> </w:t>
      </w:r>
      <w:r w:rsidR="00DF05D6">
        <w:rPr>
          <w:rFonts w:ascii="Corbel" w:hAnsi="Corbel" w:cs="Calibri"/>
          <w:sz w:val="23"/>
          <w:szCs w:val="23"/>
        </w:rPr>
        <w:t>E</w:t>
      </w:r>
      <w:r w:rsidRPr="00225E78">
        <w:rPr>
          <w:rFonts w:ascii="Corbel" w:hAnsi="Corbel" w:cs="Calibri"/>
          <w:sz w:val="23"/>
          <w:szCs w:val="23"/>
        </w:rPr>
        <w:t xml:space="preserve">radication </w:t>
      </w:r>
      <w:r w:rsidR="00DF05D6">
        <w:rPr>
          <w:rFonts w:ascii="Corbel" w:hAnsi="Corbel" w:cs="Calibri"/>
          <w:sz w:val="23"/>
          <w:szCs w:val="23"/>
        </w:rPr>
        <w:t>Program</w:t>
      </w:r>
      <w:r w:rsidRPr="00225E78">
        <w:rPr>
          <w:rFonts w:ascii="Corbel" w:hAnsi="Corbel" w:cs="Calibri"/>
          <w:sz w:val="23"/>
          <w:szCs w:val="23"/>
        </w:rPr>
        <w:t xml:space="preserve"> – </w:t>
      </w:r>
      <w:r w:rsidR="00CC0B55" w:rsidRPr="00225E78">
        <w:rPr>
          <w:rFonts w:ascii="Corbel" w:hAnsi="Corbel" w:cs="Calibri"/>
          <w:sz w:val="23"/>
          <w:szCs w:val="23"/>
        </w:rPr>
        <w:t>Northern Territory</w:t>
      </w:r>
      <w:r w:rsidRPr="00225E78">
        <w:rPr>
          <w:rFonts w:ascii="Corbel" w:hAnsi="Corbel" w:cs="Calibri"/>
          <w:sz w:val="23"/>
          <w:szCs w:val="23"/>
        </w:rPr>
        <w:t xml:space="preserve"> from </w:t>
      </w:r>
      <w:r w:rsidR="00DF05D6">
        <w:rPr>
          <w:rFonts w:ascii="Corbel" w:hAnsi="Corbel" w:cs="Calibri"/>
          <w:sz w:val="23"/>
          <w:szCs w:val="23"/>
        </w:rPr>
        <w:t>2017-18</w:t>
      </w:r>
      <w:r w:rsidRPr="00225E78">
        <w:rPr>
          <w:rFonts w:ascii="Corbel" w:hAnsi="Corbel" w:cs="Calibri"/>
          <w:sz w:val="23"/>
          <w:szCs w:val="23"/>
        </w:rPr>
        <w:t xml:space="preserve"> to </w:t>
      </w:r>
      <w:r w:rsidR="00DF05D6">
        <w:rPr>
          <w:rFonts w:ascii="Corbel" w:hAnsi="Corbel" w:cs="Calibri"/>
          <w:sz w:val="23"/>
          <w:szCs w:val="23"/>
        </w:rPr>
        <w:t>2021-22</w:t>
      </w:r>
      <w:r w:rsidRPr="0044106B">
        <w:rPr>
          <w:rFonts w:ascii="Corbel" w:hAnsi="Corbel" w:cs="Calibri"/>
          <w:sz w:val="23"/>
          <w:szCs w:val="23"/>
        </w:rPr>
        <w:t xml:space="preserve"> and to facilitate the Commonwealth’s cost-shared contribution to </w:t>
      </w:r>
      <w:r w:rsidR="00507011">
        <w:rPr>
          <w:rFonts w:ascii="Corbel" w:hAnsi="Corbel" w:cs="Calibri"/>
          <w:sz w:val="23"/>
          <w:szCs w:val="23"/>
        </w:rPr>
        <w:t xml:space="preserve">the </w:t>
      </w:r>
      <w:r w:rsidR="00F142E3" w:rsidRPr="0044106B">
        <w:rPr>
          <w:rFonts w:ascii="Corbel" w:hAnsi="Corbel" w:cs="Calibri"/>
          <w:sz w:val="23"/>
          <w:szCs w:val="23"/>
        </w:rPr>
        <w:t>Northern Territory</w:t>
      </w:r>
      <w:r w:rsidRPr="0044106B">
        <w:rPr>
          <w:rFonts w:ascii="Corbel" w:hAnsi="Corbel" w:cs="Calibri"/>
          <w:sz w:val="23"/>
          <w:szCs w:val="23"/>
        </w:rPr>
        <w:t>, the combatant stat</w:t>
      </w:r>
      <w:r w:rsidR="00DF05D6">
        <w:rPr>
          <w:rFonts w:ascii="Corbel" w:hAnsi="Corbel" w:cs="Calibri"/>
          <w:sz w:val="23"/>
          <w:szCs w:val="23"/>
        </w:rPr>
        <w:t>e for this eradication program</w:t>
      </w:r>
      <w:r w:rsidRPr="0044106B">
        <w:rPr>
          <w:rFonts w:ascii="Corbel" w:hAnsi="Corbel" w:cs="Calibri"/>
          <w:sz w:val="23"/>
          <w:szCs w:val="23"/>
        </w:rPr>
        <w:t>.</w:t>
      </w:r>
    </w:p>
    <w:p w14:paraId="5254F16E" w14:textId="3F0B9AC9" w:rsidR="009F42E6" w:rsidRPr="0044106B" w:rsidRDefault="009F42E6" w:rsidP="00C40DF7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44106B">
        <w:rPr>
          <w:rFonts w:ascii="Corbel" w:hAnsi="Corbel" w:cs="Calibri"/>
          <w:sz w:val="23"/>
          <w:szCs w:val="23"/>
        </w:rPr>
        <w:t xml:space="preserve">The </w:t>
      </w:r>
      <w:r w:rsidR="008F5324">
        <w:rPr>
          <w:rFonts w:ascii="Corbel" w:hAnsi="Corbel" w:cs="Calibri"/>
          <w:sz w:val="23"/>
          <w:szCs w:val="23"/>
        </w:rPr>
        <w:t>National Browsing A</w:t>
      </w:r>
      <w:r w:rsidR="00C40DF7" w:rsidRPr="00C40DF7">
        <w:rPr>
          <w:rFonts w:ascii="Corbel" w:hAnsi="Corbel" w:cs="Calibri"/>
          <w:sz w:val="23"/>
          <w:szCs w:val="23"/>
        </w:rPr>
        <w:t>nt Eradication Program – Northern Territory</w:t>
      </w:r>
      <w:r w:rsidRPr="0044106B">
        <w:rPr>
          <w:rFonts w:ascii="Corbel" w:hAnsi="Corbel" w:cs="Calibri"/>
          <w:sz w:val="23"/>
          <w:szCs w:val="23"/>
        </w:rPr>
        <w:t xml:space="preserve"> is being conducted under the National Environmental Biosecurity Response Agreement (NEBRA)</w:t>
      </w:r>
      <w:r w:rsidR="00CE0BA7">
        <w:rPr>
          <w:rFonts w:ascii="Corbel" w:hAnsi="Corbel" w:cs="Calibri"/>
          <w:sz w:val="23"/>
          <w:szCs w:val="23"/>
        </w:rPr>
        <w:t xml:space="preserve">, as agreed by the National Biosecurity Management Group (NBMG) on </w:t>
      </w:r>
      <w:r w:rsidR="00DF05D6">
        <w:rPr>
          <w:rFonts w:ascii="Corbel" w:hAnsi="Corbel" w:cs="Calibri"/>
          <w:sz w:val="23"/>
          <w:szCs w:val="23"/>
        </w:rPr>
        <w:t>24 January 2018</w:t>
      </w:r>
      <w:r w:rsidR="00CE0BA7">
        <w:rPr>
          <w:rFonts w:ascii="Corbel" w:hAnsi="Corbel" w:cs="Calibri"/>
          <w:sz w:val="23"/>
          <w:szCs w:val="23"/>
        </w:rPr>
        <w:t>.</w:t>
      </w:r>
    </w:p>
    <w:p w14:paraId="5254F16F" w14:textId="5716C465" w:rsidR="009F42E6" w:rsidRDefault="004A7DE9" w:rsidP="009F42E6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Financial commitments are approved by the NBMG subject to budget considerations. </w:t>
      </w:r>
      <w:r w:rsidR="009F42E6" w:rsidRPr="0044106B">
        <w:rPr>
          <w:rFonts w:ascii="Corbel" w:hAnsi="Corbel" w:cs="Calibri"/>
          <w:sz w:val="23"/>
          <w:szCs w:val="23"/>
        </w:rPr>
        <w:t xml:space="preserve">The </w:t>
      </w:r>
      <w:r w:rsidR="00DF05D6" w:rsidRPr="004A7DE9">
        <w:rPr>
          <w:rFonts w:ascii="Corbel" w:hAnsi="Corbel"/>
          <w:i/>
          <w:sz w:val="23"/>
          <w:szCs w:val="23"/>
        </w:rPr>
        <w:t xml:space="preserve">National Browsing Ant Eradication Program (NT) Response Plan, Version 2.2 </w:t>
      </w:r>
      <w:r>
        <w:rPr>
          <w:rFonts w:ascii="Corbel" w:hAnsi="Corbel"/>
          <w:sz w:val="23"/>
          <w:szCs w:val="23"/>
        </w:rPr>
        <w:t xml:space="preserve">budget </w:t>
      </w:r>
      <w:r>
        <w:rPr>
          <w:rFonts w:ascii="Corbel" w:hAnsi="Corbel" w:cs="Calibri"/>
          <w:sz w:val="23"/>
          <w:szCs w:val="23"/>
        </w:rPr>
        <w:t xml:space="preserve">was </w:t>
      </w:r>
      <w:r w:rsidR="009F42E6" w:rsidRPr="0044106B">
        <w:rPr>
          <w:rFonts w:ascii="Corbel" w:hAnsi="Corbel" w:cs="Calibri"/>
          <w:sz w:val="23"/>
          <w:szCs w:val="23"/>
        </w:rPr>
        <w:t>approved by the NBMG in accordance with the NEBRA</w:t>
      </w:r>
      <w:r w:rsidR="00CE0BA7">
        <w:rPr>
          <w:rFonts w:ascii="Corbel" w:hAnsi="Corbel" w:cs="Calibri"/>
          <w:sz w:val="23"/>
          <w:szCs w:val="23"/>
        </w:rPr>
        <w:t>.</w:t>
      </w:r>
    </w:p>
    <w:p w14:paraId="5254F171" w14:textId="0151E237" w:rsidR="009F42E6" w:rsidRPr="0044106B" w:rsidRDefault="004A7DE9" w:rsidP="009F42E6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If required, t</w:t>
      </w:r>
      <w:r w:rsidR="00F25EE3">
        <w:rPr>
          <w:rFonts w:ascii="Corbel" w:hAnsi="Corbel" w:cs="Calibri"/>
          <w:sz w:val="23"/>
          <w:szCs w:val="23"/>
        </w:rPr>
        <w:t>his</w:t>
      </w:r>
      <w:r w:rsidR="000D6C6F">
        <w:rPr>
          <w:rFonts w:ascii="Corbel" w:hAnsi="Corbel" w:cs="Calibri"/>
          <w:sz w:val="23"/>
          <w:szCs w:val="23"/>
        </w:rPr>
        <w:t xml:space="preserve"> </w:t>
      </w:r>
      <w:r w:rsidR="00854DCF">
        <w:rPr>
          <w:rFonts w:ascii="Corbel" w:hAnsi="Corbel" w:cs="Calibri"/>
          <w:sz w:val="23"/>
          <w:szCs w:val="23"/>
        </w:rPr>
        <w:t>S</w:t>
      </w:r>
      <w:r w:rsidR="00F25EE3">
        <w:rPr>
          <w:rFonts w:ascii="Corbel" w:hAnsi="Corbel" w:cs="Calibri"/>
          <w:sz w:val="23"/>
          <w:szCs w:val="23"/>
        </w:rPr>
        <w:t>chedule will be</w:t>
      </w:r>
      <w:r w:rsidR="009F42E6" w:rsidRPr="0044106B">
        <w:rPr>
          <w:rFonts w:ascii="Corbel" w:hAnsi="Corbel" w:cs="Calibri"/>
          <w:sz w:val="23"/>
          <w:szCs w:val="23"/>
        </w:rPr>
        <w:t xml:space="preserve"> reviewed in conjunction with reviews of the </w:t>
      </w:r>
      <w:r w:rsidR="00F25EE3">
        <w:rPr>
          <w:rFonts w:ascii="Corbel" w:hAnsi="Corbel" w:cs="Calibri"/>
          <w:sz w:val="23"/>
          <w:szCs w:val="23"/>
        </w:rPr>
        <w:t>e</w:t>
      </w:r>
      <w:r w:rsidR="009F42E6" w:rsidRPr="0044106B">
        <w:rPr>
          <w:rFonts w:ascii="Corbel" w:hAnsi="Corbel" w:cs="Calibri"/>
          <w:sz w:val="23"/>
          <w:szCs w:val="23"/>
        </w:rPr>
        <w:t xml:space="preserve">radication </w:t>
      </w:r>
      <w:r w:rsidR="00DF05D6">
        <w:rPr>
          <w:rFonts w:ascii="Corbel" w:hAnsi="Corbel" w:cs="Calibri"/>
          <w:sz w:val="23"/>
          <w:szCs w:val="23"/>
        </w:rPr>
        <w:t>program</w:t>
      </w:r>
      <w:r w:rsidR="009F42E6" w:rsidRPr="0044106B">
        <w:rPr>
          <w:rFonts w:ascii="Corbel" w:hAnsi="Corbel" w:cs="Calibri"/>
          <w:sz w:val="23"/>
          <w:szCs w:val="23"/>
        </w:rPr>
        <w:t xml:space="preserve"> in accordance with the provisions of the NEBRA.</w:t>
      </w:r>
    </w:p>
    <w:p w14:paraId="5254F172" w14:textId="77777777" w:rsidR="009F42E6" w:rsidRPr="0044106B" w:rsidRDefault="009F42E6" w:rsidP="009F42E6">
      <w:pPr>
        <w:pStyle w:val="Heading1"/>
        <w:keepLines w:val="0"/>
        <w:spacing w:before="360" w:after="180"/>
        <w:rPr>
          <w:rFonts w:cs="Arial"/>
        </w:rPr>
      </w:pPr>
      <w:r w:rsidRPr="0044106B">
        <w:rPr>
          <w:rFonts w:cs="Arial"/>
        </w:rPr>
        <w:t>Part 2: FORMALITIES</w:t>
      </w:r>
      <w:r w:rsidRPr="0044106B">
        <w:rPr>
          <w:rFonts w:cs="Arial"/>
        </w:rPr>
        <w:tab/>
      </w:r>
    </w:p>
    <w:p w14:paraId="5254F173" w14:textId="77777777" w:rsidR="009F42E6" w:rsidRPr="0044106B" w:rsidRDefault="009F42E6" w:rsidP="009F42E6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44106B">
        <w:rPr>
          <w:rFonts w:ascii="Corbel" w:hAnsi="Corbel" w:cs="Calibri"/>
          <w:sz w:val="23"/>
          <w:szCs w:val="23"/>
        </w:rPr>
        <w:t xml:space="preserve">The Parties to this Schedule are the Commonwealth of Australia and the </w:t>
      </w:r>
      <w:r w:rsidR="00CC0B55" w:rsidRPr="0044106B">
        <w:rPr>
          <w:rFonts w:ascii="Corbel" w:hAnsi="Corbel" w:cs="Calibri"/>
          <w:sz w:val="23"/>
          <w:szCs w:val="23"/>
        </w:rPr>
        <w:t>Northern Territory</w:t>
      </w:r>
      <w:r w:rsidRPr="0044106B">
        <w:rPr>
          <w:rFonts w:ascii="Corbel" w:hAnsi="Corbel" w:cs="Calibri"/>
          <w:sz w:val="23"/>
          <w:szCs w:val="23"/>
        </w:rPr>
        <w:t>.</w:t>
      </w:r>
    </w:p>
    <w:p w14:paraId="5254F174" w14:textId="0DFDD4F9" w:rsidR="009F42E6" w:rsidRPr="004A7DE9" w:rsidRDefault="009F42E6" w:rsidP="009F42E6">
      <w:pPr>
        <w:pStyle w:val="Normalnumbered"/>
        <w:numPr>
          <w:ilvl w:val="0"/>
          <w:numId w:val="2"/>
        </w:numPr>
        <w:spacing w:after="240" w:line="260" w:lineRule="exact"/>
      </w:pPr>
      <w:r w:rsidRPr="0044106B">
        <w:rPr>
          <w:rFonts w:ascii="Corbel" w:hAnsi="Corbel" w:cs="Calibri"/>
          <w:sz w:val="23"/>
          <w:szCs w:val="23"/>
        </w:rPr>
        <w:t xml:space="preserve">This Schedule will commence as soon as it is agreed between the Commonwealth and </w:t>
      </w:r>
      <w:r w:rsidR="00CC0B55" w:rsidRPr="0044106B">
        <w:rPr>
          <w:rFonts w:ascii="Corbel" w:hAnsi="Corbel" w:cs="Calibri"/>
          <w:sz w:val="23"/>
          <w:szCs w:val="23"/>
        </w:rPr>
        <w:t>Northern Territory</w:t>
      </w:r>
      <w:r w:rsidRPr="0044106B">
        <w:rPr>
          <w:rFonts w:ascii="Corbel" w:hAnsi="Corbel" w:cs="Calibri"/>
          <w:sz w:val="23"/>
          <w:szCs w:val="23"/>
        </w:rPr>
        <w:t xml:space="preserve"> ministers with portfolio responsibility for national biosecurity emergency management</w:t>
      </w:r>
      <w:r w:rsidR="00927527">
        <w:rPr>
          <w:rFonts w:ascii="Corbel" w:hAnsi="Corbel" w:cs="Calibri"/>
          <w:sz w:val="23"/>
          <w:szCs w:val="23"/>
        </w:rPr>
        <w:t xml:space="preserve"> and will expire on 30 June 2023</w:t>
      </w:r>
      <w:r w:rsidRPr="0044106B">
        <w:rPr>
          <w:rFonts w:ascii="Corbel" w:hAnsi="Corbel" w:cs="Calibri"/>
          <w:sz w:val="23"/>
          <w:szCs w:val="23"/>
        </w:rPr>
        <w:t xml:space="preserve">, or upon completion or termination of the </w:t>
      </w:r>
      <w:r w:rsidR="00C40DF7">
        <w:rPr>
          <w:rFonts w:ascii="Corbel" w:hAnsi="Corbel" w:cs="Calibri"/>
          <w:sz w:val="23"/>
          <w:szCs w:val="23"/>
        </w:rPr>
        <w:t>N</w:t>
      </w:r>
      <w:r w:rsidR="00C40DF7" w:rsidRPr="00225E78">
        <w:rPr>
          <w:rFonts w:ascii="Corbel" w:hAnsi="Corbel" w:cs="Calibri"/>
          <w:sz w:val="23"/>
          <w:szCs w:val="23"/>
        </w:rPr>
        <w:t xml:space="preserve">ational </w:t>
      </w:r>
      <w:r w:rsidR="00C40DF7">
        <w:rPr>
          <w:rFonts w:ascii="Corbel" w:hAnsi="Corbel" w:cs="Calibri"/>
          <w:sz w:val="23"/>
          <w:szCs w:val="23"/>
        </w:rPr>
        <w:t>B</w:t>
      </w:r>
      <w:r w:rsidR="00C40DF7" w:rsidRPr="00225E78">
        <w:rPr>
          <w:rFonts w:ascii="Corbel" w:hAnsi="Corbel" w:cs="Calibri"/>
          <w:sz w:val="23"/>
          <w:szCs w:val="23"/>
        </w:rPr>
        <w:t xml:space="preserve">rowsing </w:t>
      </w:r>
      <w:r w:rsidR="009A1D96">
        <w:rPr>
          <w:rFonts w:ascii="Corbel" w:hAnsi="Corbel" w:cs="Calibri"/>
          <w:sz w:val="23"/>
          <w:szCs w:val="23"/>
        </w:rPr>
        <w:t>A</w:t>
      </w:r>
      <w:r w:rsidR="00C40DF7" w:rsidRPr="00225E78">
        <w:rPr>
          <w:rFonts w:ascii="Corbel" w:hAnsi="Corbel" w:cs="Calibri"/>
          <w:sz w:val="23"/>
          <w:szCs w:val="23"/>
        </w:rPr>
        <w:t xml:space="preserve">nt </w:t>
      </w:r>
      <w:r w:rsidR="00C40DF7">
        <w:rPr>
          <w:rFonts w:ascii="Corbel" w:hAnsi="Corbel" w:cs="Calibri"/>
          <w:sz w:val="23"/>
          <w:szCs w:val="23"/>
        </w:rPr>
        <w:t>E</w:t>
      </w:r>
      <w:r w:rsidR="00C40DF7" w:rsidRPr="00225E78">
        <w:rPr>
          <w:rFonts w:ascii="Corbel" w:hAnsi="Corbel" w:cs="Calibri"/>
          <w:sz w:val="23"/>
          <w:szCs w:val="23"/>
        </w:rPr>
        <w:t xml:space="preserve">radication </w:t>
      </w:r>
      <w:r w:rsidR="00C40DF7">
        <w:rPr>
          <w:rFonts w:ascii="Corbel" w:hAnsi="Corbel" w:cs="Calibri"/>
          <w:sz w:val="23"/>
          <w:szCs w:val="23"/>
        </w:rPr>
        <w:t>Program</w:t>
      </w:r>
      <w:r w:rsidR="00C40DF7" w:rsidRPr="00225E78">
        <w:rPr>
          <w:rFonts w:ascii="Corbel" w:hAnsi="Corbel" w:cs="Calibri"/>
          <w:sz w:val="23"/>
          <w:szCs w:val="23"/>
        </w:rPr>
        <w:t xml:space="preserve"> – Northern Territory</w:t>
      </w:r>
      <w:r w:rsidR="00C40DF7">
        <w:rPr>
          <w:rFonts w:ascii="Corbel" w:hAnsi="Corbel" w:cs="Calibri"/>
          <w:sz w:val="23"/>
          <w:szCs w:val="23"/>
        </w:rPr>
        <w:t xml:space="preserve"> </w:t>
      </w:r>
      <w:r w:rsidR="004A7DE9">
        <w:rPr>
          <w:rFonts w:ascii="Corbel" w:hAnsi="Corbel" w:cs="Calibri"/>
          <w:sz w:val="23"/>
          <w:szCs w:val="23"/>
        </w:rPr>
        <w:t>as determined</w:t>
      </w:r>
      <w:r w:rsidRPr="0044106B">
        <w:rPr>
          <w:rFonts w:ascii="Corbel" w:hAnsi="Corbel" w:cs="Calibri"/>
          <w:sz w:val="23"/>
          <w:szCs w:val="23"/>
        </w:rPr>
        <w:t xml:space="preserve"> by the NBMG, including </w:t>
      </w:r>
      <w:r w:rsidR="00D1564C">
        <w:rPr>
          <w:rFonts w:ascii="Corbel" w:hAnsi="Corbel" w:cs="Calibri"/>
          <w:sz w:val="23"/>
          <w:szCs w:val="23"/>
        </w:rPr>
        <w:t xml:space="preserve">endorsement of </w:t>
      </w:r>
      <w:r w:rsidRPr="0044106B">
        <w:rPr>
          <w:rFonts w:ascii="Corbel" w:hAnsi="Corbel" w:cs="Calibri"/>
          <w:sz w:val="23"/>
          <w:szCs w:val="23"/>
        </w:rPr>
        <w:t xml:space="preserve">the final </w:t>
      </w:r>
      <w:r w:rsidR="00F25EE3">
        <w:rPr>
          <w:rFonts w:ascii="Corbel" w:hAnsi="Corbel" w:cs="Calibri"/>
          <w:sz w:val="23"/>
          <w:szCs w:val="23"/>
        </w:rPr>
        <w:t>progress report</w:t>
      </w:r>
      <w:r w:rsidRPr="0044106B">
        <w:rPr>
          <w:rFonts w:ascii="Corbel" w:hAnsi="Corbel" w:cs="Calibri"/>
          <w:sz w:val="23"/>
          <w:szCs w:val="23"/>
        </w:rPr>
        <w:t xml:space="preserve"> and </w:t>
      </w:r>
      <w:proofErr w:type="gramStart"/>
      <w:r w:rsidRPr="0044106B">
        <w:rPr>
          <w:rFonts w:ascii="Corbel" w:hAnsi="Corbel" w:cs="Calibri"/>
          <w:sz w:val="23"/>
          <w:szCs w:val="23"/>
        </w:rPr>
        <w:t>processing</w:t>
      </w:r>
      <w:proofErr w:type="gramEnd"/>
      <w:r w:rsidRPr="0044106B">
        <w:rPr>
          <w:rFonts w:ascii="Corbel" w:hAnsi="Corbel" w:cs="Calibri"/>
          <w:sz w:val="23"/>
          <w:szCs w:val="23"/>
        </w:rPr>
        <w:t xml:space="preserve"> of final payments against milestones, </w:t>
      </w:r>
      <w:r w:rsidRPr="0044106B">
        <w:rPr>
          <w:rFonts w:ascii="Corbel" w:hAnsi="Corbel"/>
          <w:sz w:val="23"/>
          <w:szCs w:val="20"/>
        </w:rPr>
        <w:t xml:space="preserve">unless </w:t>
      </w:r>
      <w:r w:rsidR="00F25EE3">
        <w:rPr>
          <w:rFonts w:ascii="Corbel" w:hAnsi="Corbel"/>
          <w:sz w:val="23"/>
          <w:szCs w:val="20"/>
        </w:rPr>
        <w:t>terminated earlier or extended as</w:t>
      </w:r>
      <w:r w:rsidRPr="0044106B">
        <w:rPr>
          <w:rFonts w:ascii="Corbel" w:hAnsi="Corbel"/>
          <w:sz w:val="23"/>
          <w:szCs w:val="20"/>
        </w:rPr>
        <w:t xml:space="preserve"> agreed in writing by the Parties</w:t>
      </w:r>
      <w:r w:rsidRPr="0044106B">
        <w:rPr>
          <w:rFonts w:ascii="Corbel" w:hAnsi="Corbel" w:cs="Calibri"/>
          <w:sz w:val="23"/>
          <w:szCs w:val="23"/>
        </w:rPr>
        <w:t xml:space="preserve">. </w:t>
      </w:r>
    </w:p>
    <w:p w14:paraId="12D99052" w14:textId="56BC88CD" w:rsidR="00376CA5" w:rsidRPr="00376CA5" w:rsidRDefault="004A7DE9" w:rsidP="00376CA5">
      <w:pPr>
        <w:pStyle w:val="Normalnumbered"/>
        <w:numPr>
          <w:ilvl w:val="0"/>
          <w:numId w:val="2"/>
        </w:numPr>
        <w:spacing w:after="240" w:line="260" w:lineRule="exact"/>
      </w:pPr>
      <w:r>
        <w:rPr>
          <w:rFonts w:ascii="Corbel" w:hAnsi="Corbel" w:cs="Calibri"/>
          <w:sz w:val="23"/>
          <w:szCs w:val="23"/>
        </w:rPr>
        <w:t xml:space="preserve">This Schedule replaces the Schedule on the </w:t>
      </w:r>
      <w:r w:rsidR="00C40DF7">
        <w:rPr>
          <w:rFonts w:ascii="Corbel" w:hAnsi="Corbel" w:cs="Calibri"/>
          <w:sz w:val="23"/>
          <w:szCs w:val="23"/>
        </w:rPr>
        <w:t>N</w:t>
      </w:r>
      <w:r w:rsidR="00C40DF7" w:rsidRPr="00225E78">
        <w:rPr>
          <w:rFonts w:ascii="Corbel" w:hAnsi="Corbel" w:cs="Calibri"/>
          <w:sz w:val="23"/>
          <w:szCs w:val="23"/>
        </w:rPr>
        <w:t xml:space="preserve">ational </w:t>
      </w:r>
      <w:r w:rsidR="00C40DF7">
        <w:rPr>
          <w:rFonts w:ascii="Corbel" w:hAnsi="Corbel" w:cs="Calibri"/>
          <w:sz w:val="23"/>
          <w:szCs w:val="23"/>
        </w:rPr>
        <w:t>B</w:t>
      </w:r>
      <w:r w:rsidR="00C40DF7" w:rsidRPr="00225E78">
        <w:rPr>
          <w:rFonts w:ascii="Corbel" w:hAnsi="Corbel" w:cs="Calibri"/>
          <w:sz w:val="23"/>
          <w:szCs w:val="23"/>
        </w:rPr>
        <w:t xml:space="preserve">rowsing </w:t>
      </w:r>
      <w:r w:rsidR="009A1D96">
        <w:rPr>
          <w:rFonts w:ascii="Corbel" w:hAnsi="Corbel" w:cs="Calibri"/>
          <w:sz w:val="23"/>
          <w:szCs w:val="23"/>
        </w:rPr>
        <w:t>A</w:t>
      </w:r>
      <w:r w:rsidR="00C40DF7" w:rsidRPr="00225E78">
        <w:rPr>
          <w:rFonts w:ascii="Corbel" w:hAnsi="Corbel" w:cs="Calibri"/>
          <w:sz w:val="23"/>
          <w:szCs w:val="23"/>
        </w:rPr>
        <w:t xml:space="preserve">nt </w:t>
      </w:r>
      <w:r w:rsidR="00C40DF7">
        <w:rPr>
          <w:rFonts w:ascii="Corbel" w:hAnsi="Corbel" w:cs="Calibri"/>
          <w:sz w:val="23"/>
          <w:szCs w:val="23"/>
        </w:rPr>
        <w:t>E</w:t>
      </w:r>
      <w:r w:rsidR="00C40DF7" w:rsidRPr="00225E78">
        <w:rPr>
          <w:rFonts w:ascii="Corbel" w:hAnsi="Corbel" w:cs="Calibri"/>
          <w:sz w:val="23"/>
          <w:szCs w:val="23"/>
        </w:rPr>
        <w:t xml:space="preserve">radication </w:t>
      </w:r>
      <w:r w:rsidR="00C40DF7">
        <w:rPr>
          <w:rFonts w:ascii="Corbel" w:hAnsi="Corbel" w:cs="Calibri"/>
          <w:sz w:val="23"/>
          <w:szCs w:val="23"/>
        </w:rPr>
        <w:t>Program</w:t>
      </w:r>
      <w:r w:rsidR="00C40DF7" w:rsidRPr="00225E78">
        <w:rPr>
          <w:rFonts w:ascii="Corbel" w:hAnsi="Corbel" w:cs="Calibri"/>
          <w:sz w:val="23"/>
          <w:szCs w:val="23"/>
        </w:rPr>
        <w:t xml:space="preserve"> – Northern Territory</w:t>
      </w:r>
      <w:r w:rsidR="00C40DF7">
        <w:rPr>
          <w:rFonts w:ascii="Corbel" w:hAnsi="Corbel" w:cs="Calibri"/>
          <w:sz w:val="23"/>
          <w:szCs w:val="23"/>
        </w:rPr>
        <w:t xml:space="preserve"> </w:t>
      </w:r>
      <w:r>
        <w:rPr>
          <w:rFonts w:ascii="Corbel" w:hAnsi="Corbel" w:cs="Calibri"/>
          <w:sz w:val="23"/>
          <w:szCs w:val="23"/>
        </w:rPr>
        <w:t xml:space="preserve">which was agreed on </w:t>
      </w:r>
      <w:r w:rsidR="006363E8">
        <w:rPr>
          <w:rFonts w:ascii="Corbel" w:hAnsi="Corbel" w:cs="Calibri"/>
          <w:sz w:val="23"/>
          <w:szCs w:val="23"/>
        </w:rPr>
        <w:t>18</w:t>
      </w:r>
      <w:r>
        <w:rPr>
          <w:rFonts w:ascii="Corbel" w:hAnsi="Corbel" w:cs="Calibri"/>
          <w:sz w:val="23"/>
          <w:szCs w:val="23"/>
        </w:rPr>
        <w:t xml:space="preserve"> May 2016.</w:t>
      </w:r>
    </w:p>
    <w:p w14:paraId="5254F175" w14:textId="77777777" w:rsidR="009F42E6" w:rsidRPr="00225E78" w:rsidRDefault="009F42E6" w:rsidP="00225E78">
      <w:pPr>
        <w:pStyle w:val="Heading1"/>
        <w:keepLines w:val="0"/>
        <w:spacing w:before="360" w:after="180"/>
        <w:rPr>
          <w:rFonts w:cs="Arial"/>
        </w:rPr>
      </w:pPr>
      <w:r w:rsidRPr="0044106B">
        <w:rPr>
          <w:rFonts w:cs="Arial"/>
        </w:rPr>
        <w:t xml:space="preserve">Part 3: </w:t>
      </w:r>
      <w:r w:rsidRPr="0044106B">
        <w:rPr>
          <w:rFonts w:cs="Arial"/>
        </w:rPr>
        <w:tab/>
        <w:t>PROJECT ELEMENTS AND MILESTONES</w:t>
      </w:r>
    </w:p>
    <w:p w14:paraId="0EC41155" w14:textId="112704AB" w:rsidR="00376CA5" w:rsidRPr="0044106B" w:rsidRDefault="009F42E6" w:rsidP="009F42E6">
      <w:pPr>
        <w:pStyle w:val="Normalnumbered"/>
        <w:ind w:left="360"/>
        <w:rPr>
          <w:rFonts w:cs="Calibri"/>
          <w:szCs w:val="23"/>
        </w:rPr>
      </w:pPr>
      <w:r w:rsidRPr="0044106B">
        <w:rPr>
          <w:rFonts w:ascii="Corbel" w:hAnsi="Corbel" w:cs="Calibri"/>
          <w:sz w:val="23"/>
          <w:szCs w:val="23"/>
        </w:rPr>
        <w:t xml:space="preserve">The project elements </w:t>
      </w:r>
      <w:r w:rsidR="00F25EE3">
        <w:rPr>
          <w:rFonts w:ascii="Corbel" w:hAnsi="Corbel" w:cs="Calibri"/>
          <w:sz w:val="23"/>
          <w:szCs w:val="23"/>
        </w:rPr>
        <w:t xml:space="preserve">for the </w:t>
      </w:r>
      <w:r w:rsidR="009A1D96">
        <w:rPr>
          <w:rFonts w:ascii="Corbel" w:hAnsi="Corbel" w:cs="Calibri"/>
          <w:sz w:val="23"/>
          <w:szCs w:val="23"/>
        </w:rPr>
        <w:t>National Browsing A</w:t>
      </w:r>
      <w:r w:rsidR="00C40DF7" w:rsidRPr="00C40DF7">
        <w:rPr>
          <w:rFonts w:ascii="Corbel" w:hAnsi="Corbel" w:cs="Calibri"/>
          <w:sz w:val="23"/>
          <w:szCs w:val="23"/>
        </w:rPr>
        <w:t xml:space="preserve">nt Eradication Program – Northern Territory </w:t>
      </w:r>
      <w:r w:rsidR="00F25EE3">
        <w:rPr>
          <w:rFonts w:ascii="Corbel" w:hAnsi="Corbel" w:cs="Calibri"/>
          <w:sz w:val="23"/>
          <w:szCs w:val="23"/>
        </w:rPr>
        <w:t>are</w:t>
      </w:r>
      <w:r w:rsidR="00C40DF7">
        <w:rPr>
          <w:rFonts w:ascii="Corbel" w:hAnsi="Corbel" w:cs="Calibri"/>
          <w:sz w:val="23"/>
          <w:szCs w:val="23"/>
        </w:rPr>
        <w:t xml:space="preserve"> as</w:t>
      </w:r>
      <w:r w:rsidR="00F25EE3">
        <w:rPr>
          <w:rFonts w:ascii="Corbel" w:hAnsi="Corbel" w:cs="Calibri"/>
          <w:sz w:val="23"/>
          <w:szCs w:val="23"/>
        </w:rPr>
        <w:t xml:space="preserve"> described in the </w:t>
      </w:r>
      <w:r w:rsidR="00C40DF7" w:rsidRPr="004A7DE9">
        <w:rPr>
          <w:rFonts w:ascii="Corbel" w:hAnsi="Corbel"/>
          <w:i/>
          <w:sz w:val="23"/>
          <w:szCs w:val="23"/>
        </w:rPr>
        <w:t>National Browsing Ant Eradication Program (NT) Response Plan, Version 2.2</w:t>
      </w:r>
      <w:r w:rsidR="00451012">
        <w:rPr>
          <w:rFonts w:ascii="Corbel" w:hAnsi="Corbel" w:cs="Calibri"/>
          <w:sz w:val="23"/>
          <w:szCs w:val="23"/>
        </w:rPr>
        <w:t xml:space="preserve">. </w:t>
      </w:r>
      <w:r w:rsidR="00E05F60">
        <w:rPr>
          <w:rFonts w:ascii="Corbel" w:hAnsi="Corbel" w:cs="Calibri"/>
          <w:sz w:val="23"/>
          <w:szCs w:val="23"/>
        </w:rPr>
        <w:t xml:space="preserve">The </w:t>
      </w:r>
      <w:r w:rsidR="00AA5E58">
        <w:rPr>
          <w:rFonts w:ascii="Corbel" w:hAnsi="Corbel" w:cs="Calibri"/>
          <w:sz w:val="23"/>
          <w:szCs w:val="23"/>
        </w:rPr>
        <w:t>Northern Territory is responsible for delivering the following elements in accordance with the Response Plan:</w:t>
      </w:r>
    </w:p>
    <w:p w14:paraId="5254F178" w14:textId="7D1AFFED" w:rsidR="009F42E6" w:rsidRPr="00117FF8" w:rsidRDefault="005B024A" w:rsidP="00225E78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993" w:hanging="567"/>
        <w:rPr>
          <w:rFonts w:cs="Calibri"/>
          <w:szCs w:val="23"/>
        </w:rPr>
      </w:pPr>
      <w:r w:rsidRPr="00117FF8">
        <w:rPr>
          <w:rFonts w:cs="Calibri"/>
          <w:i/>
          <w:color w:val="auto"/>
          <w:szCs w:val="23"/>
        </w:rPr>
        <w:t>Surveillance</w:t>
      </w:r>
    </w:p>
    <w:p w14:paraId="6CF01E2D" w14:textId="6CC9C68E" w:rsidR="005B024A" w:rsidRPr="001B5F4D" w:rsidRDefault="005B024A" w:rsidP="001B5F4D">
      <w:pPr>
        <w:pStyle w:val="ListParagraph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120"/>
        <w:ind w:left="1349" w:hanging="357"/>
        <w:rPr>
          <w:rFonts w:cs="Calibri"/>
          <w:szCs w:val="23"/>
        </w:rPr>
      </w:pPr>
      <w:r w:rsidRPr="001B5F4D">
        <w:rPr>
          <w:rFonts w:cs="Calibri"/>
          <w:szCs w:val="23"/>
        </w:rPr>
        <w:t>Surveillance will be focused around the infected properties</w:t>
      </w:r>
      <w:r w:rsidR="008F5324">
        <w:rPr>
          <w:rFonts w:cs="Calibri"/>
          <w:szCs w:val="23"/>
        </w:rPr>
        <w:t xml:space="preserve"> (IP)</w:t>
      </w:r>
      <w:r w:rsidRPr="001B5F4D">
        <w:rPr>
          <w:rFonts w:cs="Calibri"/>
          <w:szCs w:val="23"/>
        </w:rPr>
        <w:t xml:space="preserve"> and those identified as a risk by trace activities that are primarily around Darwin and along the Northern Territory coastline.</w:t>
      </w:r>
    </w:p>
    <w:p w14:paraId="268CF7B4" w14:textId="384DAE09" w:rsidR="006145D8" w:rsidRPr="001B5F4D" w:rsidRDefault="009F5B88" w:rsidP="001B5F4D">
      <w:pPr>
        <w:pStyle w:val="ListParagraph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120"/>
        <w:ind w:left="1349" w:hanging="357"/>
        <w:rPr>
          <w:rFonts w:cs="Calibri"/>
          <w:szCs w:val="23"/>
        </w:rPr>
      </w:pPr>
      <w:r w:rsidRPr="001B5F4D">
        <w:rPr>
          <w:rFonts w:cs="Calibri"/>
          <w:szCs w:val="23"/>
        </w:rPr>
        <w:lastRenderedPageBreak/>
        <w:t>Delimiting surv</w:t>
      </w:r>
      <w:r w:rsidR="005B024A" w:rsidRPr="001B5F4D">
        <w:rPr>
          <w:rFonts w:cs="Calibri"/>
          <w:szCs w:val="23"/>
        </w:rPr>
        <w:t>eillance of high risk locations,</w:t>
      </w:r>
      <w:r w:rsidRPr="001B5F4D">
        <w:rPr>
          <w:rFonts w:cs="Calibri"/>
          <w:szCs w:val="23"/>
        </w:rPr>
        <w:t xml:space="preserve"> waste</w:t>
      </w:r>
      <w:r w:rsidR="005B024A" w:rsidRPr="001B5F4D">
        <w:rPr>
          <w:rFonts w:cs="Calibri"/>
          <w:szCs w:val="23"/>
        </w:rPr>
        <w:t xml:space="preserve"> transfer stations, transport companies, oil and gas equipment operations, earthmoving and equipment hire companies and the establishment and monitoring of sentinel sites.</w:t>
      </w:r>
    </w:p>
    <w:p w14:paraId="171A65D1" w14:textId="6EEE2F37" w:rsidR="005B024A" w:rsidRPr="001B5F4D" w:rsidRDefault="005B024A" w:rsidP="001B5F4D">
      <w:pPr>
        <w:pStyle w:val="ListParagraph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120"/>
        <w:ind w:left="1349" w:hanging="357"/>
        <w:rPr>
          <w:rFonts w:cs="Calibri"/>
          <w:szCs w:val="23"/>
        </w:rPr>
      </w:pPr>
      <w:r w:rsidRPr="001B5F4D">
        <w:rPr>
          <w:rFonts w:cs="Calibri"/>
          <w:szCs w:val="23"/>
        </w:rPr>
        <w:t xml:space="preserve">All </w:t>
      </w:r>
      <w:r w:rsidR="00F4556C" w:rsidRPr="001B5F4D">
        <w:rPr>
          <w:rFonts w:cs="Calibri"/>
          <w:szCs w:val="23"/>
        </w:rPr>
        <w:t>assessed negative</w:t>
      </w:r>
      <w:r w:rsidR="008F5324">
        <w:rPr>
          <w:rFonts w:cs="Calibri"/>
          <w:szCs w:val="23"/>
        </w:rPr>
        <w:t xml:space="preserve"> properties</w:t>
      </w:r>
      <w:r w:rsidRPr="001B5F4D">
        <w:rPr>
          <w:rFonts w:cs="Calibri"/>
          <w:szCs w:val="23"/>
        </w:rPr>
        <w:t xml:space="preserve">, </w:t>
      </w:r>
      <w:r w:rsidR="00F4556C" w:rsidRPr="001B5F4D">
        <w:rPr>
          <w:rFonts w:cs="Calibri"/>
          <w:szCs w:val="23"/>
        </w:rPr>
        <w:t>contact premises</w:t>
      </w:r>
      <w:r w:rsidRPr="001B5F4D">
        <w:rPr>
          <w:rFonts w:cs="Calibri"/>
          <w:szCs w:val="23"/>
        </w:rPr>
        <w:t xml:space="preserve"> and trace premi</w:t>
      </w:r>
      <w:r w:rsidR="006363E8">
        <w:rPr>
          <w:rFonts w:cs="Calibri"/>
          <w:szCs w:val="23"/>
        </w:rPr>
        <w:t xml:space="preserve">ses on the existing program to be </w:t>
      </w:r>
      <w:r w:rsidRPr="001B5F4D">
        <w:rPr>
          <w:rFonts w:cs="Calibri"/>
          <w:szCs w:val="23"/>
        </w:rPr>
        <w:t xml:space="preserve">surveyed, with </w:t>
      </w:r>
      <w:r w:rsidR="00F4556C" w:rsidRPr="001B5F4D">
        <w:rPr>
          <w:rFonts w:cs="Calibri"/>
          <w:szCs w:val="23"/>
        </w:rPr>
        <w:t xml:space="preserve">assessed negative </w:t>
      </w:r>
      <w:r w:rsidRPr="001B5F4D">
        <w:rPr>
          <w:rFonts w:cs="Calibri"/>
          <w:szCs w:val="23"/>
        </w:rPr>
        <w:t>properties to be surveyed at least twice at six month</w:t>
      </w:r>
      <w:r w:rsidR="00280192">
        <w:rPr>
          <w:rFonts w:cs="Calibri"/>
          <w:szCs w:val="23"/>
        </w:rPr>
        <w:t>ly</w:t>
      </w:r>
      <w:r w:rsidRPr="001B5F4D">
        <w:rPr>
          <w:rFonts w:cs="Calibri"/>
          <w:szCs w:val="23"/>
        </w:rPr>
        <w:t xml:space="preserve"> intervals. </w:t>
      </w:r>
    </w:p>
    <w:p w14:paraId="5254F17F" w14:textId="77777777" w:rsidR="009F42E6" w:rsidRPr="005B024A" w:rsidRDefault="009F42E6" w:rsidP="00225E78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993" w:hanging="567"/>
        <w:rPr>
          <w:rFonts w:cs="Calibri"/>
          <w:szCs w:val="23"/>
        </w:rPr>
      </w:pPr>
      <w:r w:rsidRPr="005B024A">
        <w:rPr>
          <w:rFonts w:cs="Calibri"/>
          <w:i/>
          <w:color w:val="auto"/>
          <w:szCs w:val="23"/>
        </w:rPr>
        <w:t>Treatment</w:t>
      </w:r>
    </w:p>
    <w:p w14:paraId="5254F180" w14:textId="42964139" w:rsidR="00451012" w:rsidRPr="001B5F4D" w:rsidRDefault="009F42E6" w:rsidP="001B5F4D">
      <w:pPr>
        <w:pStyle w:val="ListParagraph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120"/>
        <w:rPr>
          <w:rFonts w:cs="Calibri"/>
          <w:szCs w:val="23"/>
        </w:rPr>
      </w:pPr>
      <w:r w:rsidRPr="001B5F4D">
        <w:rPr>
          <w:rFonts w:cs="Calibri"/>
          <w:szCs w:val="23"/>
        </w:rPr>
        <w:t>Scheduled series of prophylactic chemical treatments</w:t>
      </w:r>
      <w:r w:rsidR="00596D08" w:rsidRPr="001B5F4D">
        <w:rPr>
          <w:rFonts w:cs="Calibri"/>
          <w:szCs w:val="23"/>
        </w:rPr>
        <w:t xml:space="preserve"> (bait and spray)</w:t>
      </w:r>
      <w:r w:rsidRPr="001B5F4D">
        <w:rPr>
          <w:rFonts w:cs="Calibri"/>
          <w:szCs w:val="23"/>
        </w:rPr>
        <w:t xml:space="preserve"> and surveillance </w:t>
      </w:r>
      <w:r w:rsidR="00596D08" w:rsidRPr="001B5F4D">
        <w:rPr>
          <w:rFonts w:cs="Calibri"/>
          <w:szCs w:val="23"/>
        </w:rPr>
        <w:t xml:space="preserve">at the infected properties </w:t>
      </w:r>
      <w:r w:rsidRPr="001B5F4D">
        <w:rPr>
          <w:rFonts w:cs="Calibri"/>
          <w:szCs w:val="23"/>
        </w:rPr>
        <w:t xml:space="preserve">as per the </w:t>
      </w:r>
      <w:r w:rsidR="00451012" w:rsidRPr="001B5F4D">
        <w:rPr>
          <w:rFonts w:cs="Calibri"/>
          <w:szCs w:val="23"/>
        </w:rPr>
        <w:t>r</w:t>
      </w:r>
      <w:r w:rsidRPr="001B5F4D">
        <w:rPr>
          <w:rFonts w:cs="Calibri"/>
          <w:szCs w:val="23"/>
        </w:rPr>
        <w:t xml:space="preserve">esponse </w:t>
      </w:r>
      <w:r w:rsidR="00451012" w:rsidRPr="001B5F4D">
        <w:rPr>
          <w:rFonts w:cs="Calibri"/>
          <w:szCs w:val="23"/>
        </w:rPr>
        <w:t>p</w:t>
      </w:r>
      <w:r w:rsidRPr="001B5F4D">
        <w:rPr>
          <w:rFonts w:cs="Calibri"/>
          <w:szCs w:val="23"/>
        </w:rPr>
        <w:t>lan</w:t>
      </w:r>
      <w:r w:rsidR="00280192">
        <w:rPr>
          <w:rFonts w:cs="Calibri"/>
          <w:szCs w:val="23"/>
        </w:rPr>
        <w:t>.</w:t>
      </w:r>
    </w:p>
    <w:p w14:paraId="5254F181" w14:textId="77777777" w:rsidR="009F42E6" w:rsidRPr="009F5B88" w:rsidRDefault="009F42E6" w:rsidP="00225E78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993" w:hanging="567"/>
        <w:rPr>
          <w:rFonts w:cs="Calibri"/>
          <w:szCs w:val="23"/>
        </w:rPr>
      </w:pPr>
      <w:r w:rsidRPr="009F5B88">
        <w:rPr>
          <w:rFonts w:cs="Calibri"/>
          <w:i/>
          <w:color w:val="auto"/>
          <w:szCs w:val="23"/>
        </w:rPr>
        <w:t>Community engagement</w:t>
      </w:r>
    </w:p>
    <w:p w14:paraId="45A88175" w14:textId="16505966" w:rsidR="001F4C39" w:rsidRPr="009F5B88" w:rsidRDefault="001F4C39" w:rsidP="001B5F4D">
      <w:pPr>
        <w:pStyle w:val="ListParagraph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spacing w:after="120"/>
        <w:rPr>
          <w:rFonts w:cs="Calibri"/>
          <w:szCs w:val="23"/>
        </w:rPr>
      </w:pPr>
      <w:r w:rsidRPr="009F5B88">
        <w:rPr>
          <w:rFonts w:cs="Calibri"/>
          <w:szCs w:val="23"/>
        </w:rPr>
        <w:t>Community Awareness Kit to be developed and distributed to targeted stakeholders</w:t>
      </w:r>
      <w:r w:rsidR="009F5B88" w:rsidRPr="009F5B88">
        <w:rPr>
          <w:rFonts w:cs="Calibri"/>
          <w:szCs w:val="23"/>
        </w:rPr>
        <w:t>.</w:t>
      </w:r>
    </w:p>
    <w:p w14:paraId="3B6CB328" w14:textId="730010B6" w:rsidR="009F5B88" w:rsidRDefault="009F5B88" w:rsidP="001B5F4D">
      <w:pPr>
        <w:pStyle w:val="ListParagraph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spacing w:after="120"/>
        <w:rPr>
          <w:rFonts w:cs="Calibri"/>
          <w:szCs w:val="23"/>
        </w:rPr>
      </w:pPr>
      <w:r w:rsidRPr="009F5B88">
        <w:rPr>
          <w:rFonts w:cs="Calibri"/>
          <w:szCs w:val="23"/>
        </w:rPr>
        <w:t>Educational package and awareness sessions f</w:t>
      </w:r>
      <w:r w:rsidR="006363E8">
        <w:rPr>
          <w:rFonts w:cs="Calibri"/>
          <w:szCs w:val="23"/>
        </w:rPr>
        <w:t>or IP landholders and employees.</w:t>
      </w:r>
    </w:p>
    <w:p w14:paraId="4BF25B85" w14:textId="64A2D98E" w:rsidR="009F5B88" w:rsidRPr="009F5B88" w:rsidRDefault="009F5B88" w:rsidP="001B5F4D">
      <w:pPr>
        <w:pStyle w:val="ListParagraph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spacing w:after="120"/>
        <w:rPr>
          <w:rFonts w:cs="Calibri"/>
          <w:szCs w:val="23"/>
        </w:rPr>
      </w:pPr>
      <w:r>
        <w:rPr>
          <w:rFonts w:cs="Calibri"/>
          <w:szCs w:val="23"/>
        </w:rPr>
        <w:t xml:space="preserve">Communication and engagement through a variety of materials with key risk businesses, schools and community groups. </w:t>
      </w:r>
    </w:p>
    <w:p w14:paraId="5254F185" w14:textId="77777777" w:rsidR="009F42E6" w:rsidRPr="001F4C39" w:rsidRDefault="009F42E6" w:rsidP="00225E78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993" w:hanging="567"/>
        <w:rPr>
          <w:rFonts w:cs="Calibri"/>
          <w:szCs w:val="23"/>
        </w:rPr>
      </w:pPr>
      <w:r w:rsidRPr="001F4C39">
        <w:rPr>
          <w:rFonts w:cs="Calibri"/>
          <w:i/>
          <w:color w:val="auto"/>
          <w:szCs w:val="23"/>
        </w:rPr>
        <w:t>Science</w:t>
      </w:r>
    </w:p>
    <w:p w14:paraId="4A7E7C36" w14:textId="648DF832" w:rsidR="006145D8" w:rsidRPr="001F4C39" w:rsidRDefault="009F42E6" w:rsidP="001F4C39">
      <w:pPr>
        <w:pStyle w:val="ListParagraph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240"/>
        <w:ind w:left="1349" w:hanging="357"/>
        <w:rPr>
          <w:rFonts w:cs="Calibri"/>
          <w:szCs w:val="23"/>
        </w:rPr>
      </w:pPr>
      <w:r w:rsidRPr="001F4C39">
        <w:rPr>
          <w:rFonts w:cs="Calibri"/>
          <w:szCs w:val="23"/>
        </w:rPr>
        <w:t xml:space="preserve">Scientific and technical support </w:t>
      </w:r>
      <w:r w:rsidR="001F4C39" w:rsidRPr="001F4C39">
        <w:rPr>
          <w:rFonts w:cs="Calibri"/>
          <w:szCs w:val="23"/>
        </w:rPr>
        <w:t>to complete</w:t>
      </w:r>
      <w:r w:rsidRPr="001F4C39">
        <w:rPr>
          <w:rFonts w:cs="Calibri"/>
          <w:szCs w:val="23"/>
        </w:rPr>
        <w:t xml:space="preserve"> </w:t>
      </w:r>
      <w:r w:rsidR="001F4C39" w:rsidRPr="001F4C39">
        <w:rPr>
          <w:rFonts w:cs="Calibri"/>
          <w:szCs w:val="23"/>
        </w:rPr>
        <w:t xml:space="preserve">genetic analysis, biological research and treatment trials. </w:t>
      </w:r>
    </w:p>
    <w:p w14:paraId="0907738F" w14:textId="2DFF3CDC" w:rsidR="006145D8" w:rsidRPr="000837C9" w:rsidRDefault="006145D8" w:rsidP="006145D8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993" w:hanging="567"/>
        <w:rPr>
          <w:rFonts w:cs="Calibri"/>
          <w:i/>
          <w:szCs w:val="23"/>
        </w:rPr>
      </w:pPr>
      <w:r w:rsidRPr="000837C9">
        <w:rPr>
          <w:rFonts w:cs="Calibri"/>
          <w:i/>
          <w:szCs w:val="23"/>
        </w:rPr>
        <w:t>Efficiency auditing</w:t>
      </w:r>
    </w:p>
    <w:p w14:paraId="3E54F418" w14:textId="4C754901" w:rsidR="006145D8" w:rsidRPr="006145D8" w:rsidRDefault="006145D8" w:rsidP="006145D8">
      <w:pPr>
        <w:pStyle w:val="ListParagraph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after="240"/>
        <w:ind w:left="1349" w:hanging="357"/>
        <w:rPr>
          <w:rFonts w:cs="Calibri"/>
          <w:szCs w:val="23"/>
        </w:rPr>
      </w:pPr>
      <w:r>
        <w:rPr>
          <w:rFonts w:cs="Calibri"/>
          <w:szCs w:val="23"/>
        </w:rPr>
        <w:t xml:space="preserve">An efficiency audit will be completed in 2020 to assess program practices and provide advice on opportunities for efficiencies and operational strategy for the program. </w:t>
      </w:r>
    </w:p>
    <w:p w14:paraId="5254F187" w14:textId="77777777" w:rsidR="00400A96" w:rsidRPr="001F4C39" w:rsidRDefault="00400A96" w:rsidP="00225E78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993" w:hanging="567"/>
        <w:rPr>
          <w:rFonts w:cs="Calibri"/>
          <w:szCs w:val="23"/>
        </w:rPr>
      </w:pPr>
      <w:r w:rsidRPr="001F4C39">
        <w:rPr>
          <w:rFonts w:cs="Calibri"/>
          <w:i/>
          <w:color w:val="auto"/>
          <w:szCs w:val="23"/>
        </w:rPr>
        <w:t>Proof of freedom</w:t>
      </w:r>
    </w:p>
    <w:p w14:paraId="5254F189" w14:textId="2DBA2BFE" w:rsidR="009F42E6" w:rsidRPr="006363E8" w:rsidRDefault="001F4C39" w:rsidP="006363E8">
      <w:pPr>
        <w:pStyle w:val="ListParagraph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120"/>
        <w:rPr>
          <w:rFonts w:cs="Calibri"/>
          <w:szCs w:val="23"/>
        </w:rPr>
      </w:pPr>
      <w:r w:rsidRPr="001F4C39">
        <w:rPr>
          <w:rFonts w:cs="Calibri"/>
          <w:szCs w:val="23"/>
        </w:rPr>
        <w:t xml:space="preserve">Proof of freedom </w:t>
      </w:r>
      <w:r w:rsidR="003D200E">
        <w:rPr>
          <w:rFonts w:cs="Calibri"/>
          <w:szCs w:val="23"/>
        </w:rPr>
        <w:t xml:space="preserve">report completed after final surveillance has been completed. </w:t>
      </w:r>
      <w:r w:rsidR="006363E8">
        <w:rPr>
          <w:rFonts w:cs="Calibri"/>
          <w:szCs w:val="23"/>
        </w:rPr>
        <w:t xml:space="preserve"> </w:t>
      </w:r>
    </w:p>
    <w:p w14:paraId="07B50B0E" w14:textId="77777777" w:rsidR="00376CA5" w:rsidRDefault="00376CA5" w:rsidP="00376CA5">
      <w:pPr>
        <w:pStyle w:val="Normalnumbered"/>
        <w:ind w:left="357"/>
        <w:rPr>
          <w:rFonts w:ascii="Corbel" w:hAnsi="Corbel" w:cs="Calibri"/>
          <w:sz w:val="23"/>
          <w:szCs w:val="23"/>
        </w:rPr>
      </w:pPr>
    </w:p>
    <w:p w14:paraId="4B8AE350" w14:textId="53C1AD93" w:rsidR="008F5324" w:rsidRPr="006363E8" w:rsidRDefault="009F42E6" w:rsidP="008F5324">
      <w:pPr>
        <w:pStyle w:val="Normalnumbered"/>
        <w:numPr>
          <w:ilvl w:val="0"/>
          <w:numId w:val="2"/>
        </w:numPr>
        <w:ind w:left="357" w:hanging="357"/>
        <w:rPr>
          <w:rFonts w:ascii="Corbel" w:hAnsi="Corbel" w:cs="Calibri"/>
          <w:sz w:val="23"/>
          <w:szCs w:val="23"/>
        </w:rPr>
      </w:pPr>
      <w:r w:rsidRPr="0044106B">
        <w:rPr>
          <w:rFonts w:ascii="Corbel" w:hAnsi="Corbel" w:cs="Calibri"/>
          <w:sz w:val="23"/>
          <w:szCs w:val="23"/>
        </w:rPr>
        <w:t>To qualify for the ass</w:t>
      </w:r>
      <w:r w:rsidR="00CC0B55" w:rsidRPr="0044106B">
        <w:rPr>
          <w:rFonts w:ascii="Corbel" w:hAnsi="Corbel" w:cs="Calibri"/>
          <w:sz w:val="23"/>
          <w:szCs w:val="23"/>
        </w:rPr>
        <w:t xml:space="preserve">ociated payment, </w:t>
      </w:r>
      <w:r w:rsidR="00E05F60">
        <w:rPr>
          <w:rFonts w:ascii="Corbel" w:hAnsi="Corbel" w:cs="Calibri"/>
          <w:sz w:val="23"/>
          <w:szCs w:val="23"/>
        </w:rPr>
        <w:t xml:space="preserve">the </w:t>
      </w:r>
      <w:r w:rsidR="00CC0B55" w:rsidRPr="0044106B">
        <w:rPr>
          <w:rFonts w:ascii="Corbel" w:hAnsi="Corbel" w:cs="Calibri"/>
          <w:sz w:val="23"/>
          <w:szCs w:val="23"/>
        </w:rPr>
        <w:t>Northern Territory</w:t>
      </w:r>
      <w:r w:rsidRPr="0044106B">
        <w:rPr>
          <w:rFonts w:ascii="Corbel" w:hAnsi="Corbel" w:cs="Calibri"/>
          <w:sz w:val="23"/>
          <w:szCs w:val="23"/>
        </w:rPr>
        <w:t xml:space="preserve"> must meet the following milestones:</w:t>
      </w:r>
    </w:p>
    <w:p w14:paraId="5254F18B" w14:textId="77777777" w:rsidR="009F42E6" w:rsidRPr="0044106B" w:rsidRDefault="009F42E6" w:rsidP="009F42E6">
      <w:pPr>
        <w:keepNext/>
        <w:spacing w:before="120" w:after="120"/>
        <w:rPr>
          <w:b/>
          <w:color w:val="auto"/>
          <w:szCs w:val="20"/>
        </w:rPr>
      </w:pPr>
      <w:r w:rsidRPr="0044106B">
        <w:rPr>
          <w:b/>
          <w:color w:val="auto"/>
          <w:szCs w:val="20"/>
        </w:rPr>
        <w:t>Table 1: Milestones</w:t>
      </w:r>
    </w:p>
    <w:tbl>
      <w:tblPr>
        <w:tblW w:w="45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1"/>
        <w:gridCol w:w="1348"/>
        <w:gridCol w:w="1849"/>
      </w:tblGrid>
      <w:tr w:rsidR="009F42E6" w:rsidRPr="0044106B" w14:paraId="5254F18F" w14:textId="77777777" w:rsidTr="00015A0A">
        <w:trPr>
          <w:jc w:val="center"/>
        </w:trPr>
        <w:tc>
          <w:tcPr>
            <w:tcW w:w="3041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D5DCE4" w:themeFill="text2" w:themeFillTint="33"/>
            <w:vAlign w:val="center"/>
          </w:tcPr>
          <w:p w14:paraId="5254F18C" w14:textId="77777777" w:rsidR="009F42E6" w:rsidRPr="00C51999" w:rsidRDefault="009F42E6" w:rsidP="00652BFB">
            <w:pPr>
              <w:jc w:val="center"/>
              <w:rPr>
                <w:rFonts w:cs="Calibri"/>
                <w:b/>
                <w:szCs w:val="23"/>
              </w:rPr>
            </w:pPr>
            <w:r w:rsidRPr="00C51999">
              <w:rPr>
                <w:rFonts w:cs="Calibri"/>
                <w:b/>
                <w:szCs w:val="23"/>
              </w:rPr>
              <w:t>Milestones</w:t>
            </w:r>
          </w:p>
        </w:tc>
        <w:tc>
          <w:tcPr>
            <w:tcW w:w="826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D5DCE4" w:themeFill="text2" w:themeFillTint="33"/>
            <w:vAlign w:val="center"/>
          </w:tcPr>
          <w:p w14:paraId="5254F18D" w14:textId="77777777" w:rsidR="009F42E6" w:rsidRPr="00C51999" w:rsidRDefault="009F42E6" w:rsidP="00652BFB">
            <w:pPr>
              <w:jc w:val="center"/>
              <w:rPr>
                <w:rFonts w:cs="Calibri"/>
                <w:b/>
                <w:szCs w:val="23"/>
              </w:rPr>
            </w:pPr>
            <w:r w:rsidRPr="00C51999">
              <w:rPr>
                <w:rFonts w:cs="Calibri"/>
                <w:b/>
                <w:szCs w:val="23"/>
              </w:rPr>
              <w:t>Due date</w:t>
            </w:r>
          </w:p>
        </w:tc>
        <w:tc>
          <w:tcPr>
            <w:tcW w:w="1133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D5DCE4" w:themeFill="text2" w:themeFillTint="33"/>
          </w:tcPr>
          <w:p w14:paraId="5254F18E" w14:textId="77777777" w:rsidR="009F42E6" w:rsidRPr="00C51999" w:rsidRDefault="009F42E6" w:rsidP="00652BFB">
            <w:pPr>
              <w:jc w:val="center"/>
              <w:rPr>
                <w:rFonts w:cs="Calibri"/>
                <w:b/>
                <w:szCs w:val="23"/>
              </w:rPr>
            </w:pPr>
            <w:r w:rsidRPr="00C51999">
              <w:rPr>
                <w:rFonts w:cs="Calibri"/>
                <w:b/>
                <w:szCs w:val="23"/>
              </w:rPr>
              <w:t>Payment</w:t>
            </w:r>
          </w:p>
        </w:tc>
      </w:tr>
      <w:tr w:rsidR="0011475D" w:rsidRPr="0044106B" w14:paraId="0D913CAA" w14:textId="77777777" w:rsidTr="0011475D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14:paraId="1FF4CE0B" w14:textId="5E56B3F0" w:rsidR="0011475D" w:rsidRPr="00C51999" w:rsidRDefault="0011475D" w:rsidP="00E66308">
            <w:pPr>
              <w:spacing w:before="60" w:after="60"/>
              <w:rPr>
                <w:rFonts w:cs="Calibri"/>
                <w:b/>
                <w:szCs w:val="23"/>
              </w:rPr>
            </w:pPr>
            <w:r>
              <w:rPr>
                <w:rFonts w:cs="Calibri"/>
                <w:b/>
                <w:szCs w:val="23"/>
              </w:rPr>
              <w:t>2017-18</w:t>
            </w:r>
          </w:p>
        </w:tc>
      </w:tr>
      <w:tr w:rsidR="009F42E6" w:rsidRPr="0044106B" w14:paraId="5254F19B" w14:textId="77777777" w:rsidTr="00843ED3">
        <w:trPr>
          <w:trHeight w:val="927"/>
          <w:jc w:val="center"/>
        </w:trPr>
        <w:tc>
          <w:tcPr>
            <w:tcW w:w="304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254F198" w14:textId="756ACA4F" w:rsidR="009F42E6" w:rsidRPr="000E4CC2" w:rsidRDefault="00CE0BA7" w:rsidP="00843ED3">
            <w:pPr>
              <w:spacing w:before="120" w:after="120"/>
              <w:rPr>
                <w:rFonts w:cs="Calibri"/>
                <w:color w:val="auto"/>
                <w:sz w:val="21"/>
                <w:szCs w:val="21"/>
              </w:rPr>
            </w:pPr>
            <w:r w:rsidRPr="00CE0BA7">
              <w:rPr>
                <w:iCs/>
                <w:color w:val="auto"/>
              </w:rPr>
              <w:t>Annual</w:t>
            </w:r>
            <w:r w:rsidR="009F42E6" w:rsidRPr="000E4CC2">
              <w:rPr>
                <w:iCs/>
                <w:color w:val="auto"/>
              </w:rPr>
              <w:t xml:space="preserve"> progress report (201</w:t>
            </w:r>
            <w:r w:rsidR="00787D5E" w:rsidRPr="000E4CC2">
              <w:rPr>
                <w:iCs/>
                <w:color w:val="auto"/>
              </w:rPr>
              <w:t>6</w:t>
            </w:r>
            <w:r w:rsidR="009F42E6" w:rsidRPr="000E4CC2">
              <w:rPr>
                <w:iCs/>
                <w:color w:val="auto"/>
              </w:rPr>
              <w:t>-1</w:t>
            </w:r>
            <w:r w:rsidR="00787D5E" w:rsidRPr="000E4CC2">
              <w:rPr>
                <w:iCs/>
                <w:color w:val="auto"/>
              </w:rPr>
              <w:t>7</w:t>
            </w:r>
            <w:r w:rsidR="009F42E6" w:rsidRPr="000E4CC2">
              <w:rPr>
                <w:iCs/>
                <w:color w:val="auto"/>
              </w:rPr>
              <w:t>) demonstrating satisfactory progress towards the above projec</w:t>
            </w:r>
            <w:r w:rsidR="000837C9">
              <w:rPr>
                <w:iCs/>
                <w:color w:val="auto"/>
              </w:rPr>
              <w:t>t elements as per the endorsed Response P</w:t>
            </w:r>
            <w:r w:rsidR="009F42E6" w:rsidRPr="000E4CC2">
              <w:rPr>
                <w:iCs/>
                <w:color w:val="auto"/>
              </w:rPr>
              <w:t>lan.</w:t>
            </w:r>
          </w:p>
        </w:tc>
        <w:tc>
          <w:tcPr>
            <w:tcW w:w="826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254F199" w14:textId="3AE36822" w:rsidR="009F42E6" w:rsidRPr="000E4CC2" w:rsidRDefault="001A51CD" w:rsidP="00843ED3">
            <w:pPr>
              <w:spacing w:before="120" w:after="120"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cs="Calibri"/>
                <w:color w:val="auto"/>
                <w:sz w:val="21"/>
                <w:szCs w:val="21"/>
              </w:rPr>
              <w:t>June</w:t>
            </w:r>
            <w:r w:rsidRPr="000E4CC2">
              <w:rPr>
                <w:rFonts w:cs="Calibri"/>
                <w:color w:val="auto"/>
                <w:sz w:val="21"/>
                <w:szCs w:val="21"/>
              </w:rPr>
              <w:t xml:space="preserve"> </w:t>
            </w:r>
            <w:r w:rsidR="00F70B3C" w:rsidRPr="000E4CC2">
              <w:rPr>
                <w:rFonts w:cs="Calibri"/>
                <w:color w:val="auto"/>
                <w:sz w:val="21"/>
                <w:szCs w:val="21"/>
              </w:rPr>
              <w:t>2018</w:t>
            </w:r>
          </w:p>
        </w:tc>
        <w:tc>
          <w:tcPr>
            <w:tcW w:w="1133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07346AE9" w14:textId="77777777" w:rsidR="008B2042" w:rsidRDefault="008B2042" w:rsidP="00843ED3">
            <w:pPr>
              <w:spacing w:before="120" w:after="12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Up to</w:t>
            </w:r>
          </w:p>
          <w:p w14:paraId="5254F19A" w14:textId="00F6163C" w:rsidR="009F42E6" w:rsidRPr="0044106B" w:rsidRDefault="009F42E6" w:rsidP="00843ED3">
            <w:pPr>
              <w:spacing w:before="120" w:after="120"/>
              <w:jc w:val="center"/>
              <w:rPr>
                <w:color w:val="000000" w:themeColor="text1"/>
                <w:sz w:val="21"/>
                <w:szCs w:val="21"/>
              </w:rPr>
            </w:pPr>
            <w:r w:rsidRPr="0044106B">
              <w:rPr>
                <w:rFonts w:cs="Calibri"/>
                <w:sz w:val="21"/>
                <w:szCs w:val="21"/>
              </w:rPr>
              <w:t>$</w:t>
            </w:r>
            <w:r w:rsidR="00451012">
              <w:rPr>
                <w:rFonts w:cs="Calibri"/>
                <w:sz w:val="21"/>
                <w:szCs w:val="21"/>
              </w:rPr>
              <w:t>150</w:t>
            </w:r>
            <w:r w:rsidR="008A65A8">
              <w:rPr>
                <w:rFonts w:cs="Calibri"/>
                <w:sz w:val="21"/>
                <w:szCs w:val="21"/>
              </w:rPr>
              <w:t>,</w:t>
            </w:r>
            <w:r w:rsidR="00451012">
              <w:rPr>
                <w:rFonts w:cs="Calibri"/>
                <w:sz w:val="21"/>
                <w:szCs w:val="21"/>
              </w:rPr>
              <w:t>451</w:t>
            </w:r>
          </w:p>
        </w:tc>
      </w:tr>
      <w:tr w:rsidR="00015A0A" w:rsidRPr="0044106B" w14:paraId="3B035EC0" w14:textId="77777777" w:rsidTr="008D3FD8">
        <w:trPr>
          <w:trHeight w:val="1769"/>
          <w:jc w:val="center"/>
        </w:trPr>
        <w:tc>
          <w:tcPr>
            <w:tcW w:w="304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01A50141" w14:textId="71758ED8" w:rsidR="00015A0A" w:rsidRPr="00CE0BA7" w:rsidRDefault="00BF4537" w:rsidP="00843ED3">
            <w:pPr>
              <w:spacing w:before="120" w:after="12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</w:t>
            </w:r>
            <w:r w:rsidRPr="00BF4537">
              <w:rPr>
                <w:iCs/>
                <w:color w:val="auto"/>
                <w:vertAlign w:val="superscript"/>
              </w:rPr>
              <w:t>st</w:t>
            </w:r>
            <w:r>
              <w:rPr>
                <w:iCs/>
                <w:color w:val="auto"/>
              </w:rPr>
              <w:t>, 2</w:t>
            </w:r>
            <w:r w:rsidRPr="00BF4537">
              <w:rPr>
                <w:iCs/>
                <w:color w:val="auto"/>
                <w:vertAlign w:val="superscript"/>
              </w:rPr>
              <w:t>nd</w:t>
            </w:r>
            <w:r>
              <w:rPr>
                <w:iCs/>
                <w:color w:val="auto"/>
              </w:rPr>
              <w:t xml:space="preserve"> and 3</w:t>
            </w:r>
            <w:r w:rsidRPr="00BF4537">
              <w:rPr>
                <w:iCs/>
                <w:color w:val="auto"/>
                <w:vertAlign w:val="superscript"/>
              </w:rPr>
              <w:t>rd</w:t>
            </w:r>
            <w:r w:rsidR="0045259B">
              <w:rPr>
                <w:iCs/>
                <w:color w:val="auto"/>
              </w:rPr>
              <w:t xml:space="preserve"> and 4</w:t>
            </w:r>
            <w:r w:rsidR="0045259B" w:rsidRPr="0045259B">
              <w:rPr>
                <w:iCs/>
                <w:color w:val="auto"/>
                <w:vertAlign w:val="superscript"/>
              </w:rPr>
              <w:t>th</w:t>
            </w:r>
            <w:r w:rsidR="0045259B">
              <w:rPr>
                <w:iCs/>
                <w:color w:val="auto"/>
              </w:rPr>
              <w:t xml:space="preserve"> </w:t>
            </w:r>
            <w:r>
              <w:rPr>
                <w:iCs/>
                <w:color w:val="auto"/>
              </w:rPr>
              <w:t xml:space="preserve">Quarterly reports (2017-18), endorsed by the </w:t>
            </w:r>
            <w:r w:rsidR="000837C9">
              <w:rPr>
                <w:iCs/>
                <w:color w:val="auto"/>
              </w:rPr>
              <w:t>National Biosecurity Management Consultative Committee (</w:t>
            </w:r>
            <w:r w:rsidR="0006440B">
              <w:rPr>
                <w:iCs/>
                <w:color w:val="auto"/>
              </w:rPr>
              <w:t>NBMCC</w:t>
            </w:r>
            <w:r w:rsidR="000837C9">
              <w:rPr>
                <w:iCs/>
                <w:color w:val="auto"/>
              </w:rPr>
              <w:t>)</w:t>
            </w:r>
            <w:r>
              <w:rPr>
                <w:iCs/>
                <w:color w:val="auto"/>
              </w:rPr>
              <w:t xml:space="preserve"> demonstrating satisfactory progress towards the above project elements</w:t>
            </w:r>
            <w:r w:rsidR="000837C9">
              <w:rPr>
                <w:iCs/>
                <w:color w:val="auto"/>
              </w:rPr>
              <w:t xml:space="preserve"> as per the agree</w:t>
            </w:r>
            <w:r w:rsidR="000160ED">
              <w:rPr>
                <w:iCs/>
                <w:color w:val="auto"/>
              </w:rPr>
              <w:t>d</w:t>
            </w:r>
            <w:r w:rsidR="000837C9">
              <w:rPr>
                <w:iCs/>
                <w:color w:val="auto"/>
              </w:rPr>
              <w:t xml:space="preserve"> Response Plan.</w:t>
            </w:r>
          </w:p>
        </w:tc>
        <w:tc>
          <w:tcPr>
            <w:tcW w:w="826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322DD6C8" w14:textId="745F7157" w:rsidR="00015A0A" w:rsidRPr="000E4CC2" w:rsidRDefault="001A51CD" w:rsidP="00843ED3">
            <w:pPr>
              <w:spacing w:before="120" w:after="120"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cs="Calibri"/>
                <w:color w:val="auto"/>
                <w:sz w:val="21"/>
                <w:szCs w:val="21"/>
              </w:rPr>
              <w:t xml:space="preserve">August </w:t>
            </w:r>
            <w:r w:rsidR="00015A0A">
              <w:rPr>
                <w:rFonts w:cs="Calibri"/>
                <w:color w:val="auto"/>
                <w:sz w:val="21"/>
                <w:szCs w:val="21"/>
              </w:rPr>
              <w:t>2018</w:t>
            </w:r>
          </w:p>
        </w:tc>
        <w:tc>
          <w:tcPr>
            <w:tcW w:w="1133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3958B07" w14:textId="4962534C" w:rsidR="00015A0A" w:rsidRDefault="00015A0A" w:rsidP="00843ED3">
            <w:pPr>
              <w:spacing w:before="120" w:after="12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Up to $341,201</w:t>
            </w:r>
          </w:p>
        </w:tc>
      </w:tr>
      <w:tr w:rsidR="0011475D" w:rsidRPr="0044106B" w14:paraId="4505D42D" w14:textId="77777777" w:rsidTr="0011475D">
        <w:trPr>
          <w:trHeight w:val="276"/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14:paraId="74DFB3E8" w14:textId="06EC363F" w:rsidR="0011475D" w:rsidRPr="0011475D" w:rsidRDefault="0011475D" w:rsidP="00843ED3">
            <w:pPr>
              <w:spacing w:before="60" w:after="60"/>
              <w:rPr>
                <w:rFonts w:cs="Calibri"/>
                <w:b/>
                <w:sz w:val="21"/>
                <w:szCs w:val="21"/>
              </w:rPr>
            </w:pPr>
            <w:r w:rsidRPr="0011475D">
              <w:rPr>
                <w:b/>
                <w:iCs/>
                <w:color w:val="auto"/>
              </w:rPr>
              <w:t>2018-19</w:t>
            </w:r>
          </w:p>
        </w:tc>
      </w:tr>
      <w:tr w:rsidR="00015A0A" w:rsidRPr="0044106B" w14:paraId="60B03D38" w14:textId="77777777" w:rsidTr="006363E8">
        <w:trPr>
          <w:trHeight w:val="699"/>
          <w:jc w:val="center"/>
        </w:trPr>
        <w:tc>
          <w:tcPr>
            <w:tcW w:w="304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214586D" w14:textId="2BCA6C4B" w:rsidR="00015A0A" w:rsidRPr="00CE0BA7" w:rsidRDefault="00BF4537" w:rsidP="00BF4537">
            <w:p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1</w:t>
            </w:r>
            <w:r w:rsidRPr="00BF4537">
              <w:rPr>
                <w:iCs/>
                <w:color w:val="auto"/>
                <w:vertAlign w:val="superscript"/>
              </w:rPr>
              <w:t>st</w:t>
            </w:r>
            <w:r>
              <w:rPr>
                <w:iCs/>
                <w:color w:val="auto"/>
              </w:rPr>
              <w:t>, 2</w:t>
            </w:r>
            <w:r w:rsidRPr="00BF4537">
              <w:rPr>
                <w:iCs/>
                <w:color w:val="auto"/>
                <w:vertAlign w:val="superscript"/>
              </w:rPr>
              <w:t>nd</w:t>
            </w:r>
            <w:r>
              <w:rPr>
                <w:iCs/>
                <w:color w:val="auto"/>
              </w:rPr>
              <w:t xml:space="preserve"> and 3</w:t>
            </w:r>
            <w:r w:rsidRPr="00BF4537">
              <w:rPr>
                <w:iCs/>
                <w:color w:val="auto"/>
                <w:vertAlign w:val="superscript"/>
              </w:rPr>
              <w:t>rd</w:t>
            </w:r>
            <w:r>
              <w:rPr>
                <w:iCs/>
                <w:color w:val="auto"/>
              </w:rPr>
              <w:t xml:space="preserve"> Quarterly reports (2018-19), endorsed by the </w:t>
            </w:r>
            <w:r w:rsidR="0006440B">
              <w:rPr>
                <w:iCs/>
                <w:color w:val="auto"/>
              </w:rPr>
              <w:t>NBMCC</w:t>
            </w:r>
            <w:r>
              <w:rPr>
                <w:iCs/>
                <w:color w:val="auto"/>
              </w:rPr>
              <w:t xml:space="preserve"> demonstrating </w:t>
            </w:r>
            <w:r>
              <w:rPr>
                <w:iCs/>
                <w:color w:val="auto"/>
              </w:rPr>
              <w:lastRenderedPageBreak/>
              <w:t>satisfactory progress towards the above project elements as per the agreed Response Plan.</w:t>
            </w:r>
          </w:p>
        </w:tc>
        <w:tc>
          <w:tcPr>
            <w:tcW w:w="826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71913705" w14:textId="6AB95D26" w:rsidR="00015A0A" w:rsidRPr="000E4CC2" w:rsidRDefault="0006440B" w:rsidP="0006440B">
            <w:pPr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cs="Calibri"/>
                <w:color w:val="auto"/>
                <w:sz w:val="21"/>
                <w:szCs w:val="21"/>
              </w:rPr>
              <w:lastRenderedPageBreak/>
              <w:t xml:space="preserve">May </w:t>
            </w:r>
            <w:r w:rsidR="000B28B4">
              <w:rPr>
                <w:rFonts w:cs="Calibri"/>
                <w:color w:val="auto"/>
                <w:sz w:val="21"/>
                <w:szCs w:val="21"/>
              </w:rPr>
              <w:t>2019</w:t>
            </w:r>
          </w:p>
        </w:tc>
        <w:tc>
          <w:tcPr>
            <w:tcW w:w="1133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6AF8AA75" w14:textId="1A1D6B72" w:rsidR="00015A0A" w:rsidRDefault="00015A0A" w:rsidP="008A65A8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Up to $711,669</w:t>
            </w:r>
          </w:p>
        </w:tc>
      </w:tr>
      <w:tr w:rsidR="0011475D" w:rsidRPr="0011475D" w14:paraId="6C59161B" w14:textId="77777777" w:rsidTr="0011475D">
        <w:trPr>
          <w:trHeight w:val="274"/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14:paraId="45E7E56B" w14:textId="78CAFED3" w:rsidR="0011475D" w:rsidRPr="0011475D" w:rsidRDefault="0011475D" w:rsidP="00843ED3">
            <w:pPr>
              <w:spacing w:before="60" w:after="60"/>
              <w:rPr>
                <w:rFonts w:cs="Calibri"/>
                <w:b/>
                <w:sz w:val="21"/>
                <w:szCs w:val="21"/>
              </w:rPr>
            </w:pPr>
            <w:r w:rsidRPr="0011475D">
              <w:rPr>
                <w:b/>
                <w:iCs/>
                <w:color w:val="auto"/>
              </w:rPr>
              <w:t>2019-20</w:t>
            </w:r>
          </w:p>
        </w:tc>
      </w:tr>
      <w:tr w:rsidR="00015A0A" w:rsidRPr="0044106B" w14:paraId="2B656542" w14:textId="77777777" w:rsidTr="00015A0A">
        <w:trPr>
          <w:trHeight w:val="993"/>
          <w:jc w:val="center"/>
        </w:trPr>
        <w:tc>
          <w:tcPr>
            <w:tcW w:w="304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163A2E7C" w14:textId="5FC37053" w:rsidR="00015A0A" w:rsidRPr="00CE0BA7" w:rsidRDefault="00BF4537" w:rsidP="00652BFB">
            <w:p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</w:t>
            </w:r>
            <w:r w:rsidRPr="00BF4537">
              <w:rPr>
                <w:iCs/>
                <w:color w:val="auto"/>
                <w:vertAlign w:val="superscript"/>
              </w:rPr>
              <w:t>th</w:t>
            </w:r>
            <w:r>
              <w:rPr>
                <w:iCs/>
                <w:color w:val="auto"/>
              </w:rPr>
              <w:t xml:space="preserve"> Quarterly report (2018-19) and 1</w:t>
            </w:r>
            <w:r w:rsidRPr="00BF4537">
              <w:rPr>
                <w:iCs/>
                <w:color w:val="auto"/>
                <w:vertAlign w:val="superscript"/>
              </w:rPr>
              <w:t>st</w:t>
            </w:r>
            <w:r>
              <w:rPr>
                <w:iCs/>
                <w:color w:val="auto"/>
              </w:rPr>
              <w:t>, 2</w:t>
            </w:r>
            <w:r w:rsidRPr="00BF4537">
              <w:rPr>
                <w:iCs/>
                <w:color w:val="auto"/>
                <w:vertAlign w:val="superscript"/>
              </w:rPr>
              <w:t>nd</w:t>
            </w:r>
            <w:r>
              <w:rPr>
                <w:iCs/>
                <w:color w:val="auto"/>
              </w:rPr>
              <w:t xml:space="preserve"> and 3</w:t>
            </w:r>
            <w:r w:rsidRPr="00BF4537">
              <w:rPr>
                <w:iCs/>
                <w:color w:val="auto"/>
                <w:vertAlign w:val="superscript"/>
              </w:rPr>
              <w:t>rd</w:t>
            </w:r>
            <w:r>
              <w:rPr>
                <w:iCs/>
                <w:color w:val="auto"/>
              </w:rPr>
              <w:t xml:space="preserve"> Quarterly reports (2019-20), endorsed by the </w:t>
            </w:r>
            <w:r w:rsidR="0006440B">
              <w:rPr>
                <w:iCs/>
                <w:color w:val="auto"/>
              </w:rPr>
              <w:t>NBMCC</w:t>
            </w:r>
            <w:r>
              <w:rPr>
                <w:iCs/>
                <w:color w:val="auto"/>
              </w:rPr>
              <w:t xml:space="preserve"> demonstrating satisfactory progress towards the above project elements as per the agreed Response Plan.</w:t>
            </w:r>
          </w:p>
        </w:tc>
        <w:tc>
          <w:tcPr>
            <w:tcW w:w="826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115FBA3" w14:textId="08C38F4E" w:rsidR="000B28B4" w:rsidRPr="000E4CC2" w:rsidRDefault="0006440B" w:rsidP="00652BFB">
            <w:pPr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cs="Calibri"/>
                <w:color w:val="auto"/>
                <w:sz w:val="21"/>
                <w:szCs w:val="21"/>
              </w:rPr>
              <w:t>May</w:t>
            </w:r>
            <w:r w:rsidR="000B28B4">
              <w:rPr>
                <w:rFonts w:cs="Calibri"/>
                <w:color w:val="auto"/>
                <w:sz w:val="21"/>
                <w:szCs w:val="21"/>
              </w:rPr>
              <w:t xml:space="preserve"> 2020</w:t>
            </w:r>
          </w:p>
        </w:tc>
        <w:tc>
          <w:tcPr>
            <w:tcW w:w="1133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3638154" w14:textId="553AC58E" w:rsidR="00015A0A" w:rsidRDefault="00015A0A" w:rsidP="008A65A8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Up to $648,411</w:t>
            </w:r>
          </w:p>
        </w:tc>
      </w:tr>
      <w:tr w:rsidR="0011475D" w:rsidRPr="0011475D" w14:paraId="20BDF3BA" w14:textId="77777777" w:rsidTr="0011475D">
        <w:trPr>
          <w:trHeight w:val="128"/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14:paraId="2E1618B0" w14:textId="0BEA3D33" w:rsidR="0011475D" w:rsidRPr="0011475D" w:rsidRDefault="0011475D" w:rsidP="00843ED3">
            <w:pPr>
              <w:spacing w:before="60" w:after="60"/>
              <w:rPr>
                <w:rFonts w:cs="Calibri"/>
                <w:b/>
                <w:sz w:val="21"/>
                <w:szCs w:val="21"/>
              </w:rPr>
            </w:pPr>
            <w:r w:rsidRPr="0011475D">
              <w:rPr>
                <w:b/>
                <w:iCs/>
                <w:color w:val="auto"/>
              </w:rPr>
              <w:t>2020-21</w:t>
            </w:r>
          </w:p>
        </w:tc>
      </w:tr>
      <w:tr w:rsidR="00015A0A" w:rsidRPr="0044106B" w14:paraId="2CBF0EC7" w14:textId="77777777" w:rsidTr="00015A0A">
        <w:trPr>
          <w:trHeight w:val="993"/>
          <w:jc w:val="center"/>
        </w:trPr>
        <w:tc>
          <w:tcPr>
            <w:tcW w:w="304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E1DECB4" w14:textId="3EF68FF6" w:rsidR="00015A0A" w:rsidRPr="00CE0BA7" w:rsidRDefault="00BF4537" w:rsidP="00652BFB">
            <w:p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</w:t>
            </w:r>
            <w:r w:rsidRPr="00BF4537">
              <w:rPr>
                <w:iCs/>
                <w:color w:val="auto"/>
                <w:vertAlign w:val="superscript"/>
              </w:rPr>
              <w:t>th</w:t>
            </w:r>
            <w:r>
              <w:rPr>
                <w:iCs/>
                <w:color w:val="auto"/>
              </w:rPr>
              <w:t xml:space="preserve"> Quarterly report (2019-20) and 1</w:t>
            </w:r>
            <w:r w:rsidRPr="00BF4537">
              <w:rPr>
                <w:iCs/>
                <w:color w:val="auto"/>
                <w:vertAlign w:val="superscript"/>
              </w:rPr>
              <w:t>st</w:t>
            </w:r>
            <w:r>
              <w:rPr>
                <w:iCs/>
                <w:color w:val="auto"/>
              </w:rPr>
              <w:t>, 2</w:t>
            </w:r>
            <w:r w:rsidRPr="00BF4537">
              <w:rPr>
                <w:iCs/>
                <w:color w:val="auto"/>
                <w:vertAlign w:val="superscript"/>
              </w:rPr>
              <w:t>nd</w:t>
            </w:r>
            <w:r>
              <w:rPr>
                <w:iCs/>
                <w:color w:val="auto"/>
              </w:rPr>
              <w:t xml:space="preserve"> and 3</w:t>
            </w:r>
            <w:r w:rsidRPr="00BF4537">
              <w:rPr>
                <w:iCs/>
                <w:color w:val="auto"/>
                <w:vertAlign w:val="superscript"/>
              </w:rPr>
              <w:t>rd</w:t>
            </w:r>
            <w:r>
              <w:rPr>
                <w:iCs/>
                <w:color w:val="auto"/>
              </w:rPr>
              <w:t xml:space="preserve"> Quarterly reports (2020-21), endorsed by the </w:t>
            </w:r>
            <w:r w:rsidR="0006440B">
              <w:rPr>
                <w:iCs/>
                <w:color w:val="auto"/>
              </w:rPr>
              <w:t>NBMCC</w:t>
            </w:r>
            <w:r>
              <w:rPr>
                <w:iCs/>
                <w:color w:val="auto"/>
              </w:rPr>
              <w:t xml:space="preserve"> demonstrating satisfactory progress towards the above project elements as per the agreed Response Plan</w:t>
            </w:r>
            <w:r w:rsidR="000B28B4">
              <w:rPr>
                <w:iCs/>
                <w:color w:val="auto"/>
              </w:rPr>
              <w:t>.</w:t>
            </w:r>
          </w:p>
        </w:tc>
        <w:tc>
          <w:tcPr>
            <w:tcW w:w="826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3D0EAC4D" w14:textId="11FEA7F0" w:rsidR="000B28B4" w:rsidRDefault="0006440B" w:rsidP="00652BFB">
            <w:pPr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cs="Calibri"/>
                <w:color w:val="auto"/>
                <w:sz w:val="21"/>
                <w:szCs w:val="21"/>
              </w:rPr>
              <w:t>May</w:t>
            </w:r>
            <w:r w:rsidR="000B28B4">
              <w:rPr>
                <w:rFonts w:cs="Calibri"/>
                <w:color w:val="auto"/>
                <w:sz w:val="21"/>
                <w:szCs w:val="21"/>
              </w:rPr>
              <w:t xml:space="preserve"> 2021</w:t>
            </w:r>
          </w:p>
        </w:tc>
        <w:tc>
          <w:tcPr>
            <w:tcW w:w="1133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76F4E9ED" w14:textId="6D8145E8" w:rsidR="00015A0A" w:rsidRDefault="00015A0A" w:rsidP="008A65A8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Up to $432,572</w:t>
            </w:r>
          </w:p>
        </w:tc>
      </w:tr>
      <w:tr w:rsidR="0011475D" w:rsidRPr="0044106B" w14:paraId="1E8B4F35" w14:textId="77777777" w:rsidTr="0011475D">
        <w:trPr>
          <w:trHeight w:val="124"/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14:paraId="6A1E1151" w14:textId="6C8C7570" w:rsidR="0011475D" w:rsidRPr="0011475D" w:rsidRDefault="0011475D" w:rsidP="00843ED3">
            <w:pPr>
              <w:spacing w:before="60" w:after="60"/>
              <w:rPr>
                <w:rFonts w:cs="Calibri"/>
                <w:b/>
                <w:sz w:val="21"/>
                <w:szCs w:val="21"/>
              </w:rPr>
            </w:pPr>
            <w:r w:rsidRPr="0011475D">
              <w:rPr>
                <w:b/>
                <w:iCs/>
                <w:color w:val="auto"/>
              </w:rPr>
              <w:t>2021-22</w:t>
            </w:r>
          </w:p>
        </w:tc>
      </w:tr>
      <w:tr w:rsidR="00015A0A" w:rsidRPr="0044106B" w14:paraId="3E754017" w14:textId="77777777" w:rsidTr="00015A0A">
        <w:trPr>
          <w:trHeight w:val="993"/>
          <w:jc w:val="center"/>
        </w:trPr>
        <w:tc>
          <w:tcPr>
            <w:tcW w:w="304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31089709" w14:textId="5ECC64E8" w:rsidR="00E145B6" w:rsidRPr="00CE0BA7" w:rsidRDefault="00BF4537" w:rsidP="00E145B6">
            <w:p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4</w:t>
            </w:r>
            <w:r w:rsidRPr="00BF4537">
              <w:rPr>
                <w:iCs/>
                <w:color w:val="auto"/>
                <w:vertAlign w:val="superscript"/>
              </w:rPr>
              <w:t>th</w:t>
            </w:r>
            <w:r>
              <w:rPr>
                <w:iCs/>
                <w:color w:val="auto"/>
              </w:rPr>
              <w:t xml:space="preserve"> Quarterly report (2020-21) and </w:t>
            </w:r>
            <w:r w:rsidR="00E145B6">
              <w:rPr>
                <w:iCs/>
                <w:color w:val="auto"/>
              </w:rPr>
              <w:t>final report</w:t>
            </w:r>
            <w:r>
              <w:rPr>
                <w:iCs/>
                <w:color w:val="auto"/>
              </w:rPr>
              <w:t xml:space="preserve">, endorsed by the </w:t>
            </w:r>
            <w:r w:rsidR="0006440B">
              <w:rPr>
                <w:iCs/>
                <w:color w:val="auto"/>
              </w:rPr>
              <w:t>NBMCC</w:t>
            </w:r>
            <w:r>
              <w:rPr>
                <w:iCs/>
                <w:color w:val="auto"/>
              </w:rPr>
              <w:t xml:space="preserve"> demonstrating satisfactory progress towards the above project elements as per the agreed Response Plan.</w:t>
            </w:r>
          </w:p>
        </w:tc>
        <w:tc>
          <w:tcPr>
            <w:tcW w:w="826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3197050B" w14:textId="215A5C76" w:rsidR="000B28B4" w:rsidRDefault="007C6B53" w:rsidP="00652BFB">
            <w:pPr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cs="Calibri"/>
                <w:color w:val="auto"/>
                <w:sz w:val="21"/>
                <w:szCs w:val="21"/>
              </w:rPr>
              <w:t>January</w:t>
            </w:r>
            <w:r w:rsidR="000B28B4">
              <w:rPr>
                <w:rFonts w:cs="Calibri"/>
                <w:color w:val="auto"/>
                <w:sz w:val="21"/>
                <w:szCs w:val="21"/>
              </w:rPr>
              <w:t xml:space="preserve"> 2022</w:t>
            </w:r>
          </w:p>
        </w:tc>
        <w:tc>
          <w:tcPr>
            <w:tcW w:w="1133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09A9497F" w14:textId="32CE4BE9" w:rsidR="00015A0A" w:rsidRDefault="00015A0A" w:rsidP="008A65A8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Up to $59,016</w:t>
            </w:r>
          </w:p>
        </w:tc>
      </w:tr>
    </w:tbl>
    <w:p w14:paraId="5254F19C" w14:textId="77777777" w:rsidR="009F42E6" w:rsidRPr="0044106B" w:rsidRDefault="009F42E6" w:rsidP="009F42E6">
      <w:pPr>
        <w:pStyle w:val="Heading1"/>
        <w:keepLines w:val="0"/>
        <w:spacing w:before="240" w:after="180"/>
        <w:rPr>
          <w:rFonts w:cs="Arial"/>
        </w:rPr>
      </w:pPr>
      <w:r w:rsidRPr="0044106B">
        <w:rPr>
          <w:rFonts w:cs="Arial"/>
        </w:rPr>
        <w:t>PART 4:</w:t>
      </w:r>
      <w:r w:rsidRPr="0044106B">
        <w:rPr>
          <w:rFonts w:cs="Arial"/>
        </w:rPr>
        <w:tab/>
        <w:t>REPORTING ARRANGEMENTS</w:t>
      </w:r>
    </w:p>
    <w:p w14:paraId="5254F19D" w14:textId="7B94C755" w:rsidR="009F42E6" w:rsidRDefault="00451012" w:rsidP="009F42E6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The </w:t>
      </w:r>
      <w:r w:rsidR="00CC0B55" w:rsidRPr="0044106B">
        <w:rPr>
          <w:rFonts w:ascii="Corbel" w:hAnsi="Corbel" w:cs="Calibri"/>
          <w:sz w:val="23"/>
          <w:szCs w:val="23"/>
        </w:rPr>
        <w:t>Northern Territory</w:t>
      </w:r>
      <w:r>
        <w:rPr>
          <w:rFonts w:ascii="Corbel" w:hAnsi="Corbel" w:cs="Calibri"/>
          <w:sz w:val="23"/>
          <w:szCs w:val="23"/>
        </w:rPr>
        <w:t xml:space="preserve"> </w:t>
      </w:r>
      <w:r w:rsidR="009F42E6" w:rsidRPr="0044106B">
        <w:rPr>
          <w:rFonts w:ascii="Corbel" w:hAnsi="Corbel" w:cs="Calibri"/>
          <w:sz w:val="23"/>
          <w:szCs w:val="23"/>
        </w:rPr>
        <w:t>will report against the agreed milestones as outlined in Table 1</w:t>
      </w:r>
      <w:r w:rsidR="00467E6C">
        <w:rPr>
          <w:rFonts w:ascii="Corbel" w:hAnsi="Corbel" w:cs="Calibri"/>
          <w:sz w:val="23"/>
          <w:szCs w:val="23"/>
        </w:rPr>
        <w:t>.</w:t>
      </w:r>
    </w:p>
    <w:p w14:paraId="2F42F540" w14:textId="195110D6" w:rsidR="00015A0A" w:rsidRDefault="009568F7" w:rsidP="009F42E6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The Northern Territory will provide a final report demonstrating completion of the</w:t>
      </w:r>
      <w:r w:rsidR="0006440B">
        <w:rPr>
          <w:rFonts w:ascii="Corbel" w:hAnsi="Corbel" w:cs="Calibri"/>
          <w:sz w:val="23"/>
          <w:szCs w:val="23"/>
        </w:rPr>
        <w:t xml:space="preserve"> eradication program in 2021-22</w:t>
      </w:r>
      <w:r>
        <w:rPr>
          <w:rFonts w:ascii="Corbel" w:hAnsi="Corbel" w:cs="Calibri"/>
          <w:sz w:val="23"/>
          <w:szCs w:val="23"/>
        </w:rPr>
        <w:t xml:space="preserve"> within three months of completion</w:t>
      </w:r>
      <w:r w:rsidR="0006440B">
        <w:rPr>
          <w:rFonts w:ascii="Corbel" w:hAnsi="Corbel" w:cs="Calibri"/>
          <w:sz w:val="23"/>
          <w:szCs w:val="23"/>
        </w:rPr>
        <w:t xml:space="preserve"> of operational requirements of the Response Plan including demonstration of completion of outputs under the agreed Response Plan.</w:t>
      </w:r>
    </w:p>
    <w:p w14:paraId="27D8A0F8" w14:textId="41E3E18E" w:rsidR="00AA5E58" w:rsidRPr="0044106B" w:rsidRDefault="003722B8" w:rsidP="009F42E6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Circumstances may give rise to additional reporting being sought in accordance with the NEBRA</w:t>
      </w:r>
      <w:r w:rsidR="00AA5E58">
        <w:rPr>
          <w:rFonts w:ascii="Corbel" w:hAnsi="Corbel" w:cs="Calibri"/>
          <w:sz w:val="23"/>
          <w:szCs w:val="23"/>
        </w:rPr>
        <w:t>.</w:t>
      </w:r>
    </w:p>
    <w:p w14:paraId="5254F19F" w14:textId="77777777" w:rsidR="009F42E6" w:rsidRPr="0044106B" w:rsidRDefault="009F42E6" w:rsidP="009F42E6">
      <w:pPr>
        <w:pStyle w:val="Heading1"/>
        <w:keepLines w:val="0"/>
        <w:spacing w:before="240" w:after="180"/>
        <w:rPr>
          <w:rFonts w:cs="Arial"/>
        </w:rPr>
      </w:pPr>
      <w:r w:rsidRPr="0044106B">
        <w:rPr>
          <w:rFonts w:cs="Arial"/>
        </w:rPr>
        <w:t>PART 5: FINANCIAL ARRANGEMENTS</w:t>
      </w:r>
    </w:p>
    <w:p w14:paraId="5254F1A0" w14:textId="4823817E" w:rsidR="009F42E6" w:rsidRDefault="009F42E6" w:rsidP="009F42E6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44106B">
        <w:rPr>
          <w:rFonts w:ascii="Corbel" w:hAnsi="Corbel" w:cs="Calibri"/>
          <w:sz w:val="23"/>
          <w:szCs w:val="23"/>
        </w:rPr>
        <w:t xml:space="preserve">The </w:t>
      </w:r>
      <w:r w:rsidR="00591514">
        <w:rPr>
          <w:rFonts w:ascii="Corbel" w:hAnsi="Corbel" w:cs="Calibri"/>
          <w:sz w:val="23"/>
          <w:szCs w:val="23"/>
        </w:rPr>
        <w:t xml:space="preserve">Commonwealth’s </w:t>
      </w:r>
      <w:r w:rsidR="00AA5E58" w:rsidRPr="0044106B">
        <w:rPr>
          <w:rFonts w:ascii="Corbel" w:hAnsi="Corbel" w:cs="Calibri"/>
          <w:sz w:val="23"/>
          <w:szCs w:val="23"/>
        </w:rPr>
        <w:t>agreed</w:t>
      </w:r>
      <w:r w:rsidR="00AA5E58">
        <w:rPr>
          <w:rFonts w:ascii="Corbel" w:hAnsi="Corbel" w:cs="Calibri"/>
          <w:sz w:val="23"/>
          <w:szCs w:val="23"/>
        </w:rPr>
        <w:t xml:space="preserve"> </w:t>
      </w:r>
      <w:r w:rsidRPr="0044106B">
        <w:rPr>
          <w:rFonts w:ascii="Corbel" w:hAnsi="Corbel" w:cs="Calibri"/>
          <w:sz w:val="23"/>
          <w:szCs w:val="23"/>
        </w:rPr>
        <w:t xml:space="preserve">financial contribution for the </w:t>
      </w:r>
      <w:r w:rsidR="009568F7">
        <w:rPr>
          <w:rFonts w:ascii="Corbel" w:hAnsi="Corbel" w:cs="Calibri"/>
          <w:sz w:val="23"/>
          <w:szCs w:val="23"/>
        </w:rPr>
        <w:t>N</w:t>
      </w:r>
      <w:r w:rsidRPr="0044106B">
        <w:rPr>
          <w:rFonts w:ascii="Corbel" w:hAnsi="Corbel" w:cs="Calibri"/>
          <w:sz w:val="23"/>
          <w:szCs w:val="23"/>
        </w:rPr>
        <w:t xml:space="preserve">ational </w:t>
      </w:r>
      <w:r w:rsidR="009568F7">
        <w:rPr>
          <w:rFonts w:ascii="Corbel" w:hAnsi="Corbel" w:cs="Calibri"/>
          <w:sz w:val="23"/>
          <w:szCs w:val="23"/>
        </w:rPr>
        <w:t>B</w:t>
      </w:r>
      <w:r w:rsidR="00F142E3" w:rsidRPr="0044106B">
        <w:rPr>
          <w:rFonts w:ascii="Corbel" w:hAnsi="Corbel" w:cs="Calibri"/>
          <w:sz w:val="23"/>
          <w:szCs w:val="23"/>
        </w:rPr>
        <w:t xml:space="preserve">rowsing </w:t>
      </w:r>
      <w:r w:rsidR="009A1D96">
        <w:rPr>
          <w:rFonts w:ascii="Corbel" w:hAnsi="Corbel" w:cs="Calibri"/>
          <w:sz w:val="23"/>
          <w:szCs w:val="23"/>
        </w:rPr>
        <w:t>A</w:t>
      </w:r>
      <w:r w:rsidR="00F142E3" w:rsidRPr="0044106B">
        <w:rPr>
          <w:rFonts w:ascii="Corbel" w:hAnsi="Corbel" w:cs="Calibri"/>
          <w:sz w:val="23"/>
          <w:szCs w:val="23"/>
        </w:rPr>
        <w:t>nt</w:t>
      </w:r>
      <w:r w:rsidRPr="0044106B">
        <w:rPr>
          <w:rFonts w:ascii="Corbel" w:hAnsi="Corbel" w:cs="Calibri"/>
          <w:sz w:val="23"/>
          <w:szCs w:val="23"/>
        </w:rPr>
        <w:t xml:space="preserve"> </w:t>
      </w:r>
      <w:r w:rsidR="009568F7">
        <w:rPr>
          <w:rFonts w:ascii="Corbel" w:hAnsi="Corbel" w:cs="Calibri"/>
          <w:sz w:val="23"/>
          <w:szCs w:val="23"/>
        </w:rPr>
        <w:t>E</w:t>
      </w:r>
      <w:r w:rsidR="00E05F60">
        <w:rPr>
          <w:rFonts w:ascii="Corbel" w:hAnsi="Corbel" w:cs="Calibri"/>
          <w:sz w:val="23"/>
          <w:szCs w:val="23"/>
        </w:rPr>
        <w:t xml:space="preserve">radication </w:t>
      </w:r>
      <w:r w:rsidR="009568F7">
        <w:rPr>
          <w:rFonts w:ascii="Corbel" w:hAnsi="Corbel" w:cs="Calibri"/>
          <w:sz w:val="23"/>
          <w:szCs w:val="23"/>
        </w:rPr>
        <w:t>P</w:t>
      </w:r>
      <w:r w:rsidR="00DF05D6">
        <w:rPr>
          <w:rFonts w:ascii="Corbel" w:hAnsi="Corbel" w:cs="Calibri"/>
          <w:sz w:val="23"/>
          <w:szCs w:val="23"/>
        </w:rPr>
        <w:t>rogram</w:t>
      </w:r>
      <w:r w:rsidR="00E05F60">
        <w:rPr>
          <w:rFonts w:ascii="Corbel" w:hAnsi="Corbel" w:cs="Calibri"/>
          <w:sz w:val="23"/>
          <w:szCs w:val="23"/>
        </w:rPr>
        <w:t xml:space="preserve"> </w:t>
      </w:r>
      <w:r w:rsidRPr="0044106B">
        <w:rPr>
          <w:rFonts w:ascii="Corbel" w:hAnsi="Corbel" w:cs="Calibri"/>
          <w:sz w:val="23"/>
          <w:szCs w:val="23"/>
        </w:rPr>
        <w:t xml:space="preserve">– </w:t>
      </w:r>
      <w:r w:rsidR="00E05F60">
        <w:rPr>
          <w:rFonts w:ascii="Corbel" w:hAnsi="Corbel" w:cs="Calibri"/>
          <w:sz w:val="23"/>
          <w:szCs w:val="23"/>
        </w:rPr>
        <w:t>Northern Territory</w:t>
      </w:r>
      <w:r w:rsidRPr="0044106B">
        <w:rPr>
          <w:rFonts w:ascii="Corbel" w:hAnsi="Corbel" w:cs="Calibri"/>
          <w:sz w:val="23"/>
          <w:szCs w:val="23"/>
        </w:rPr>
        <w:t xml:space="preserve"> is outlined in Table 2 and payable in accordance with the </w:t>
      </w:r>
      <w:r w:rsidR="00280192">
        <w:rPr>
          <w:rFonts w:ascii="Corbel" w:hAnsi="Corbel" w:cs="Calibri"/>
          <w:sz w:val="23"/>
          <w:szCs w:val="23"/>
        </w:rPr>
        <w:t>milestones set out in Table 1. </w:t>
      </w:r>
      <w:r w:rsidRPr="0044106B">
        <w:rPr>
          <w:rFonts w:ascii="Corbel" w:hAnsi="Corbel" w:cs="Calibri"/>
          <w:sz w:val="23"/>
          <w:szCs w:val="23"/>
        </w:rPr>
        <w:t>All payments are exclusive of GST.</w:t>
      </w:r>
    </w:p>
    <w:p w14:paraId="5254F1A1" w14:textId="7F473144" w:rsidR="009F42E6" w:rsidRPr="0044106B" w:rsidRDefault="009F42E6" w:rsidP="009F42E6">
      <w:pPr>
        <w:pStyle w:val="Heading3"/>
        <w:spacing w:before="120" w:after="120"/>
        <w:rPr>
          <w:rFonts w:ascii="Corbel" w:hAnsi="Corbel"/>
          <w:color w:val="auto"/>
        </w:rPr>
      </w:pPr>
      <w:r w:rsidRPr="0044106B">
        <w:rPr>
          <w:rFonts w:ascii="Corbel" w:hAnsi="Corbel"/>
          <w:color w:val="auto"/>
        </w:rPr>
        <w:t xml:space="preserve">Table 2: Estimated financial contributions </w:t>
      </w:r>
    </w:p>
    <w:tbl>
      <w:tblPr>
        <w:tblStyle w:val="TableGrid"/>
        <w:tblW w:w="8595" w:type="dxa"/>
        <w:tblInd w:w="421" w:type="dxa"/>
        <w:tblLook w:val="04A0" w:firstRow="1" w:lastRow="0" w:firstColumn="1" w:lastColumn="0" w:noHBand="0" w:noVBand="1"/>
      </w:tblPr>
      <w:tblGrid>
        <w:gridCol w:w="2326"/>
        <w:gridCol w:w="1253"/>
        <w:gridCol w:w="1254"/>
        <w:gridCol w:w="1254"/>
        <w:gridCol w:w="1254"/>
        <w:gridCol w:w="1254"/>
      </w:tblGrid>
      <w:tr w:rsidR="009568F7" w:rsidRPr="0044106B" w14:paraId="5254F1A6" w14:textId="1EFB51C2" w:rsidTr="00E66308">
        <w:trPr>
          <w:trHeight w:val="3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254F1A2" w14:textId="2C84AA1F" w:rsidR="009568F7" w:rsidRPr="00F70B3C" w:rsidRDefault="009568F7" w:rsidP="00C51999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color w:val="auto"/>
              </w:rPr>
            </w:pPr>
          </w:p>
        </w:tc>
        <w:tc>
          <w:tcPr>
            <w:tcW w:w="1253" w:type="dxa"/>
            <w:shd w:val="clear" w:color="auto" w:fill="BDD6EE" w:themeFill="accent1" w:themeFillTint="66"/>
          </w:tcPr>
          <w:p w14:paraId="66974A00" w14:textId="60607A3F" w:rsidR="009568F7" w:rsidRPr="00F70B3C" w:rsidRDefault="009568F7" w:rsidP="00C51999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color w:val="auto"/>
              </w:rPr>
              <w:t>2017-18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14:paraId="5254F1A3" w14:textId="5404DACC" w:rsidR="009568F7" w:rsidRPr="00F70B3C" w:rsidRDefault="009568F7" w:rsidP="00C51999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color w:val="auto"/>
              </w:rPr>
              <w:t>2018-19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14:paraId="5254F1A4" w14:textId="11C58102" w:rsidR="009568F7" w:rsidRPr="00F70B3C" w:rsidRDefault="009568F7" w:rsidP="00C51999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color w:val="auto"/>
              </w:rPr>
              <w:t>2019-20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14:paraId="5254F1A5" w14:textId="60DCC062" w:rsidR="009568F7" w:rsidRPr="00F70B3C" w:rsidRDefault="009568F7" w:rsidP="00C51999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color w:val="auto"/>
              </w:rPr>
              <w:t>2020-21</w:t>
            </w:r>
          </w:p>
        </w:tc>
        <w:tc>
          <w:tcPr>
            <w:tcW w:w="1254" w:type="dxa"/>
            <w:shd w:val="clear" w:color="auto" w:fill="BDD6EE" w:themeFill="accent1" w:themeFillTint="66"/>
          </w:tcPr>
          <w:p w14:paraId="2A7C3FC4" w14:textId="557E6D0A" w:rsidR="009568F7" w:rsidRDefault="009568F7" w:rsidP="00C51999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color w:val="auto"/>
              </w:rPr>
              <w:t>2021-22</w:t>
            </w:r>
          </w:p>
        </w:tc>
      </w:tr>
      <w:tr w:rsidR="009568F7" w:rsidRPr="0044106B" w14:paraId="5254F1AB" w14:textId="7BA71632" w:rsidTr="009568F7">
        <w:trPr>
          <w:trHeight w:val="282"/>
        </w:trPr>
        <w:tc>
          <w:tcPr>
            <w:tcW w:w="2326" w:type="dxa"/>
          </w:tcPr>
          <w:p w14:paraId="5254F1A7" w14:textId="561C5C9F" w:rsidR="009568F7" w:rsidRPr="0044106B" w:rsidRDefault="009568F7" w:rsidP="00591514">
            <w:pPr>
              <w:pStyle w:val="Heading3"/>
              <w:spacing w:before="120" w:after="120"/>
              <w:outlineLvl w:val="2"/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b w:val="0"/>
                <w:color w:val="auto"/>
              </w:rPr>
              <w:t>Commonwealth</w:t>
            </w:r>
          </w:p>
        </w:tc>
        <w:tc>
          <w:tcPr>
            <w:tcW w:w="1253" w:type="dxa"/>
          </w:tcPr>
          <w:p w14:paraId="512A5735" w14:textId="6E39F1CC" w:rsidR="009568F7" w:rsidRPr="0044106B" w:rsidRDefault="009568F7" w:rsidP="000D6C6F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b w:val="0"/>
                <w:color w:val="auto"/>
              </w:rPr>
            </w:pPr>
            <w:r w:rsidRPr="009568F7">
              <w:rPr>
                <w:rFonts w:ascii="Corbel" w:hAnsi="Corbel"/>
                <w:b w:val="0"/>
                <w:color w:val="auto"/>
              </w:rPr>
              <w:t>$491,652</w:t>
            </w:r>
          </w:p>
        </w:tc>
        <w:tc>
          <w:tcPr>
            <w:tcW w:w="1254" w:type="dxa"/>
            <w:vAlign w:val="center"/>
          </w:tcPr>
          <w:p w14:paraId="5254F1A8" w14:textId="5280555E" w:rsidR="009568F7" w:rsidRPr="0044106B" w:rsidRDefault="009568F7" w:rsidP="000D6C6F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b w:val="0"/>
                <w:color w:val="auto"/>
              </w:rPr>
            </w:pPr>
            <w:r w:rsidRPr="009568F7">
              <w:rPr>
                <w:rFonts w:ascii="Corbel" w:hAnsi="Corbel"/>
                <w:b w:val="0"/>
                <w:color w:val="auto"/>
              </w:rPr>
              <w:t>$711,669</w:t>
            </w:r>
          </w:p>
        </w:tc>
        <w:tc>
          <w:tcPr>
            <w:tcW w:w="1254" w:type="dxa"/>
            <w:vAlign w:val="center"/>
          </w:tcPr>
          <w:p w14:paraId="5254F1A9" w14:textId="15FF4107" w:rsidR="009568F7" w:rsidRPr="0044106B" w:rsidRDefault="009568F7" w:rsidP="008A65A8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b w:val="0"/>
                <w:color w:val="auto"/>
              </w:rPr>
            </w:pPr>
            <w:r w:rsidRPr="009568F7">
              <w:rPr>
                <w:rFonts w:ascii="Corbel" w:hAnsi="Corbel"/>
                <w:b w:val="0"/>
                <w:color w:val="auto"/>
              </w:rPr>
              <w:t>$648,411</w:t>
            </w:r>
          </w:p>
        </w:tc>
        <w:tc>
          <w:tcPr>
            <w:tcW w:w="1254" w:type="dxa"/>
            <w:vAlign w:val="center"/>
          </w:tcPr>
          <w:p w14:paraId="5254F1AA" w14:textId="2A028756" w:rsidR="009568F7" w:rsidRPr="0044106B" w:rsidRDefault="009568F7" w:rsidP="008A65A8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b w:val="0"/>
                <w:color w:val="auto"/>
              </w:rPr>
            </w:pPr>
            <w:r w:rsidRPr="009568F7">
              <w:rPr>
                <w:rFonts w:ascii="Corbel" w:hAnsi="Corbel"/>
                <w:b w:val="0"/>
                <w:color w:val="auto"/>
              </w:rPr>
              <w:t>$432,572</w:t>
            </w:r>
          </w:p>
        </w:tc>
        <w:tc>
          <w:tcPr>
            <w:tcW w:w="1254" w:type="dxa"/>
          </w:tcPr>
          <w:p w14:paraId="540B6DC1" w14:textId="56E7405E" w:rsidR="009568F7" w:rsidRPr="0044106B" w:rsidRDefault="009568F7" w:rsidP="008A65A8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b w:val="0"/>
                <w:color w:val="auto"/>
              </w:rPr>
            </w:pPr>
            <w:r w:rsidRPr="009568F7">
              <w:rPr>
                <w:rFonts w:ascii="Corbel" w:hAnsi="Corbel"/>
                <w:b w:val="0"/>
                <w:color w:val="auto"/>
              </w:rPr>
              <w:t>$59,016</w:t>
            </w:r>
          </w:p>
        </w:tc>
      </w:tr>
    </w:tbl>
    <w:p w14:paraId="0D0932DC" w14:textId="77777777" w:rsidR="00CF6A02" w:rsidRDefault="00CF6A02" w:rsidP="00E05F60">
      <w:pPr>
        <w:pStyle w:val="Heading1"/>
      </w:pPr>
    </w:p>
    <w:p w14:paraId="4680D832" w14:textId="77777777" w:rsidR="00CF6A02" w:rsidRDefault="00CF6A02" w:rsidP="00CF6A02"/>
    <w:p w14:paraId="4E898E73" w14:textId="77777777" w:rsidR="00B403E3" w:rsidRPr="00CF6A02" w:rsidRDefault="00B403E3" w:rsidP="00CF6A02">
      <w:bookmarkStart w:id="0" w:name="_GoBack"/>
      <w:bookmarkEnd w:id="0"/>
    </w:p>
    <w:p w14:paraId="57F2D5C5" w14:textId="77777777" w:rsidR="00CF6A02" w:rsidRDefault="00CF6A02" w:rsidP="00E05F60">
      <w:pPr>
        <w:pStyle w:val="Heading1"/>
      </w:pPr>
    </w:p>
    <w:p w14:paraId="5254F1AE" w14:textId="2398E2D0" w:rsidR="009F42E6" w:rsidRPr="00E05F60" w:rsidRDefault="00E05F60" w:rsidP="00E05F60">
      <w:pPr>
        <w:pStyle w:val="Heading1"/>
      </w:pPr>
      <w:r>
        <w:t>P</w:t>
      </w:r>
      <w:r w:rsidR="009F42E6" w:rsidRPr="0044106B">
        <w:t>ART 6:</w:t>
      </w:r>
      <w:r w:rsidR="009F42E6" w:rsidRPr="0044106B">
        <w:tab/>
        <w:t>Sign off</w:t>
      </w:r>
    </w:p>
    <w:p w14:paraId="5254F1AF" w14:textId="77777777" w:rsidR="009F42E6" w:rsidRPr="0044106B" w:rsidRDefault="009F42E6" w:rsidP="009F42E6">
      <w:pPr>
        <w:spacing w:after="240" w:line="260" w:lineRule="exact"/>
        <w:jc w:val="both"/>
        <w:rPr>
          <w:rFonts w:cs="Calibri"/>
          <w:szCs w:val="23"/>
          <w:lang w:val="en-GB"/>
        </w:rPr>
      </w:pPr>
      <w:r w:rsidRPr="0044106B">
        <w:rPr>
          <w:rFonts w:cs="Calibri"/>
          <w:szCs w:val="23"/>
          <w:lang w:val="en-GB"/>
        </w:rPr>
        <w:t>The Parties have confirmed their commitment to this Schedule as follows: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192"/>
        <w:gridCol w:w="290"/>
        <w:gridCol w:w="3982"/>
      </w:tblGrid>
      <w:tr w:rsidR="009F42E6" w:rsidRPr="0044106B" w14:paraId="5254F1B7" w14:textId="77777777" w:rsidTr="00652BFB">
        <w:tc>
          <w:tcPr>
            <w:tcW w:w="5192" w:type="dxa"/>
            <w:vAlign w:val="center"/>
          </w:tcPr>
          <w:p w14:paraId="5254F1B0" w14:textId="77777777" w:rsidR="009F42E6" w:rsidRPr="0044106B" w:rsidRDefault="009F42E6" w:rsidP="00652BFB">
            <w:pPr>
              <w:pStyle w:val="Signed"/>
              <w:rPr>
                <w:rFonts w:ascii="Corbel" w:hAnsi="Corbel"/>
                <w:sz w:val="23"/>
                <w:szCs w:val="23"/>
              </w:rPr>
            </w:pPr>
            <w:r w:rsidRPr="0044106B">
              <w:rPr>
                <w:rStyle w:val="SignedBold"/>
                <w:rFonts w:ascii="Corbel" w:hAnsi="Corbel"/>
                <w:sz w:val="23"/>
                <w:szCs w:val="23"/>
              </w:rPr>
              <w:t>Signed</w:t>
            </w:r>
            <w:r w:rsidRPr="0044106B">
              <w:rPr>
                <w:rFonts w:ascii="Corbel" w:hAnsi="Corbel"/>
                <w:sz w:val="23"/>
                <w:szCs w:val="23"/>
              </w:rPr>
              <w:t xml:space="preserve"> for and on behalf of the Commonwealth of Australia by</w:t>
            </w:r>
          </w:p>
          <w:p w14:paraId="5254F1B1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B2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336E4EFC" w14:textId="77777777" w:rsidR="00E05F60" w:rsidRDefault="00E05F60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29D8F5EF" w14:textId="77777777" w:rsidR="00E05F60" w:rsidRDefault="00E05F60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B3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44106B">
              <w:rPr>
                <w:rFonts w:cs="Calibri"/>
                <w:b/>
                <w:bCs/>
                <w:color w:val="C00000"/>
                <w:sz w:val="24"/>
              </w:rPr>
              <w:br/>
              <w:t>Signature</w:t>
            </w:r>
          </w:p>
        </w:tc>
        <w:tc>
          <w:tcPr>
            <w:tcW w:w="290" w:type="dxa"/>
          </w:tcPr>
          <w:p w14:paraId="5254F1B4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</w:tc>
        <w:tc>
          <w:tcPr>
            <w:tcW w:w="3982" w:type="dxa"/>
            <w:vAlign w:val="center"/>
          </w:tcPr>
          <w:p w14:paraId="5254F1B5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B6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44106B">
              <w:rPr>
                <w:rFonts w:cs="Calibri"/>
                <w:b/>
                <w:bCs/>
                <w:color w:val="C00000"/>
                <w:sz w:val="24"/>
              </w:rPr>
              <w:br/>
              <w:t>Date</w:t>
            </w:r>
          </w:p>
        </w:tc>
      </w:tr>
      <w:tr w:rsidR="009F42E6" w:rsidRPr="0044106B" w14:paraId="5254F1BB" w14:textId="77777777" w:rsidTr="00652BFB">
        <w:tc>
          <w:tcPr>
            <w:tcW w:w="9464" w:type="dxa"/>
            <w:gridSpan w:val="3"/>
          </w:tcPr>
          <w:p w14:paraId="5254F1B8" w14:textId="41FE0EF6" w:rsidR="009F42E6" w:rsidRPr="0044106B" w:rsidRDefault="009F42E6" w:rsidP="00652BFB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 w:rsidRPr="0044106B">
              <w:rPr>
                <w:rFonts w:cs="Calibri"/>
                <w:b/>
                <w:bCs/>
                <w:color w:val="365F91"/>
                <w:sz w:val="24"/>
              </w:rPr>
              <w:t xml:space="preserve">The Honourable </w:t>
            </w:r>
            <w:r w:rsidR="00B30EAC">
              <w:rPr>
                <w:rFonts w:cs="Calibri"/>
                <w:b/>
                <w:bCs/>
                <w:color w:val="365F91"/>
                <w:sz w:val="24"/>
              </w:rPr>
              <w:t xml:space="preserve">David </w:t>
            </w:r>
            <w:proofErr w:type="spellStart"/>
            <w:r w:rsidR="00B30EAC">
              <w:rPr>
                <w:rFonts w:cs="Calibri"/>
                <w:b/>
                <w:bCs/>
                <w:color w:val="365F91"/>
                <w:sz w:val="24"/>
              </w:rPr>
              <w:t>Littleproud</w:t>
            </w:r>
            <w:proofErr w:type="spellEnd"/>
            <w:r w:rsidRPr="0044106B">
              <w:rPr>
                <w:rFonts w:cs="Calibri"/>
                <w:b/>
                <w:bCs/>
                <w:color w:val="365F91"/>
                <w:sz w:val="24"/>
              </w:rPr>
              <w:t xml:space="preserve"> MP</w:t>
            </w:r>
          </w:p>
          <w:p w14:paraId="5254F1B9" w14:textId="77777777" w:rsidR="009F42E6" w:rsidRPr="0044106B" w:rsidRDefault="009F42E6" w:rsidP="00652BFB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 w:rsidRPr="0044106B">
              <w:rPr>
                <w:rFonts w:cs="Calibri"/>
                <w:b/>
                <w:bCs/>
                <w:color w:val="365F91"/>
                <w:sz w:val="24"/>
              </w:rPr>
              <w:t>Minister for Agriculture and Water Resources</w:t>
            </w:r>
          </w:p>
          <w:p w14:paraId="5254F1BA" w14:textId="77777777" w:rsidR="009F42E6" w:rsidRPr="0044106B" w:rsidRDefault="009F42E6" w:rsidP="00652BFB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</w:p>
        </w:tc>
      </w:tr>
      <w:tr w:rsidR="009F42E6" w:rsidRPr="0044106B" w14:paraId="5254F1C7" w14:textId="77777777" w:rsidTr="00652BFB">
        <w:tc>
          <w:tcPr>
            <w:tcW w:w="5192" w:type="dxa"/>
            <w:vAlign w:val="center"/>
          </w:tcPr>
          <w:p w14:paraId="5254F1BC" w14:textId="77777777" w:rsidR="009F42E6" w:rsidRPr="0044106B" w:rsidRDefault="009F42E6" w:rsidP="00652BFB">
            <w:pPr>
              <w:pStyle w:val="Signed"/>
              <w:rPr>
                <w:rFonts w:ascii="Corbel" w:hAnsi="Corbel"/>
                <w:sz w:val="23"/>
                <w:szCs w:val="23"/>
              </w:rPr>
            </w:pPr>
            <w:r w:rsidRPr="0044106B">
              <w:rPr>
                <w:rStyle w:val="SignedBold"/>
                <w:rFonts w:ascii="Corbel" w:hAnsi="Corbel"/>
                <w:sz w:val="23"/>
                <w:szCs w:val="23"/>
              </w:rPr>
              <w:t>Signed</w:t>
            </w:r>
            <w:r w:rsidRPr="0044106B">
              <w:rPr>
                <w:rFonts w:ascii="Corbel" w:hAnsi="Corbel"/>
                <w:sz w:val="23"/>
                <w:szCs w:val="23"/>
              </w:rPr>
              <w:t xml:space="preserve"> for and on behalf of the </w:t>
            </w:r>
            <w:r w:rsidR="00CC0B55" w:rsidRPr="0044106B">
              <w:rPr>
                <w:rFonts w:ascii="Corbel" w:hAnsi="Corbel"/>
                <w:sz w:val="23"/>
                <w:szCs w:val="23"/>
              </w:rPr>
              <w:t xml:space="preserve">Northern Territory </w:t>
            </w:r>
            <w:r w:rsidRPr="0044106B">
              <w:rPr>
                <w:rFonts w:ascii="Corbel" w:hAnsi="Corbel"/>
                <w:sz w:val="23"/>
                <w:szCs w:val="23"/>
              </w:rPr>
              <w:t>by</w:t>
            </w:r>
          </w:p>
          <w:p w14:paraId="5254F1BD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BE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BF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C0" w14:textId="77777777" w:rsidR="009F42E6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035FAA3E" w14:textId="77777777" w:rsidR="00E05F60" w:rsidRPr="0044106B" w:rsidRDefault="00E05F60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C1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44106B">
              <w:rPr>
                <w:rFonts w:cs="Calibri"/>
                <w:b/>
                <w:bCs/>
                <w:color w:val="C00000"/>
                <w:sz w:val="24"/>
              </w:rPr>
              <w:t>Signature</w:t>
            </w:r>
          </w:p>
        </w:tc>
        <w:tc>
          <w:tcPr>
            <w:tcW w:w="290" w:type="dxa"/>
          </w:tcPr>
          <w:p w14:paraId="5254F1C2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</w:tc>
        <w:tc>
          <w:tcPr>
            <w:tcW w:w="3982" w:type="dxa"/>
            <w:vAlign w:val="center"/>
          </w:tcPr>
          <w:p w14:paraId="5254F1C3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C4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C5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C6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44106B">
              <w:rPr>
                <w:rFonts w:cs="Calibri"/>
                <w:b/>
                <w:bCs/>
                <w:color w:val="C00000"/>
                <w:sz w:val="24"/>
              </w:rPr>
              <w:t>Date</w:t>
            </w:r>
          </w:p>
        </w:tc>
      </w:tr>
      <w:tr w:rsidR="009F42E6" w14:paraId="5254F1CB" w14:textId="77777777" w:rsidTr="00652BFB">
        <w:trPr>
          <w:trHeight w:val="822"/>
        </w:trPr>
        <w:tc>
          <w:tcPr>
            <w:tcW w:w="9464" w:type="dxa"/>
            <w:gridSpan w:val="3"/>
          </w:tcPr>
          <w:p w14:paraId="5254F1C8" w14:textId="28874C35" w:rsidR="009F42E6" w:rsidRPr="0044106B" w:rsidRDefault="009F42E6" w:rsidP="00652BFB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 w:rsidRPr="0044106B">
              <w:rPr>
                <w:rFonts w:cs="Calibri"/>
                <w:b/>
                <w:bCs/>
                <w:color w:val="365F91"/>
                <w:sz w:val="24"/>
              </w:rPr>
              <w:t>The Honourable</w:t>
            </w:r>
            <w:r w:rsidR="000D6C6F">
              <w:rPr>
                <w:rFonts w:cs="Calibri"/>
                <w:b/>
                <w:bCs/>
                <w:color w:val="365F91"/>
                <w:sz w:val="24"/>
              </w:rPr>
              <w:t xml:space="preserve"> </w:t>
            </w:r>
            <w:r w:rsidR="00B30EAC">
              <w:rPr>
                <w:rFonts w:cs="Calibri"/>
                <w:b/>
                <w:bCs/>
                <w:color w:val="365F91"/>
                <w:sz w:val="24"/>
              </w:rPr>
              <w:t>Ken</w:t>
            </w:r>
            <w:r w:rsidR="00471FDB">
              <w:rPr>
                <w:rFonts w:cs="Calibri"/>
                <w:b/>
                <w:bCs/>
                <w:color w:val="365F91"/>
                <w:sz w:val="24"/>
              </w:rPr>
              <w:t>neth</w:t>
            </w:r>
            <w:r w:rsidR="00B30EAC">
              <w:rPr>
                <w:rFonts w:cs="Calibri"/>
                <w:b/>
                <w:bCs/>
                <w:color w:val="365F91"/>
                <w:sz w:val="24"/>
              </w:rPr>
              <w:t xml:space="preserve"> </w:t>
            </w:r>
            <w:proofErr w:type="spellStart"/>
            <w:r w:rsidR="00B30EAC">
              <w:rPr>
                <w:rFonts w:cs="Calibri"/>
                <w:b/>
                <w:bCs/>
                <w:color w:val="365F91"/>
                <w:sz w:val="24"/>
              </w:rPr>
              <w:t>Vowles</w:t>
            </w:r>
            <w:proofErr w:type="spellEnd"/>
            <w:r w:rsidR="0044106B" w:rsidRPr="0044106B">
              <w:rPr>
                <w:rFonts w:cs="Calibri"/>
                <w:b/>
                <w:bCs/>
                <w:color w:val="365F91"/>
                <w:sz w:val="24"/>
                <w:lang w:val="en"/>
              </w:rPr>
              <w:t xml:space="preserve"> MLA</w:t>
            </w:r>
            <w:r w:rsidR="0044106B" w:rsidRPr="0044106B">
              <w:rPr>
                <w:rFonts w:cs="Calibri"/>
                <w:b/>
                <w:bCs/>
                <w:color w:val="365F91"/>
                <w:sz w:val="24"/>
              </w:rPr>
              <w:t xml:space="preserve"> </w:t>
            </w:r>
          </w:p>
          <w:p w14:paraId="5254F1C9" w14:textId="700C1E8C" w:rsidR="009F42E6" w:rsidRDefault="009F42E6" w:rsidP="00652BFB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 w:rsidRPr="0044106B">
              <w:rPr>
                <w:rFonts w:cs="Calibri"/>
                <w:b/>
                <w:bCs/>
                <w:color w:val="365F91"/>
                <w:sz w:val="24"/>
              </w:rPr>
              <w:t xml:space="preserve">Minister for </w:t>
            </w:r>
            <w:r w:rsidR="00D81164">
              <w:rPr>
                <w:rFonts w:cs="Calibri"/>
                <w:b/>
                <w:bCs/>
                <w:color w:val="365F91"/>
                <w:sz w:val="24"/>
              </w:rPr>
              <w:t>Primary Industry</w:t>
            </w:r>
            <w:r w:rsidR="0044106B" w:rsidRPr="0044106B">
              <w:rPr>
                <w:rFonts w:cs="Calibri"/>
                <w:b/>
                <w:bCs/>
                <w:color w:val="365F91"/>
                <w:sz w:val="24"/>
              </w:rPr>
              <w:t xml:space="preserve"> and </w:t>
            </w:r>
            <w:r w:rsidR="00B30EAC">
              <w:rPr>
                <w:rFonts w:cs="Calibri"/>
                <w:b/>
                <w:bCs/>
                <w:color w:val="365F91"/>
                <w:sz w:val="24"/>
              </w:rPr>
              <w:t>Resources</w:t>
            </w:r>
            <w:r>
              <w:rPr>
                <w:rFonts w:cs="Calibri"/>
                <w:b/>
                <w:bCs/>
                <w:color w:val="365F91"/>
                <w:sz w:val="24"/>
              </w:rPr>
              <w:t xml:space="preserve"> </w:t>
            </w:r>
          </w:p>
          <w:p w14:paraId="5254F1CA" w14:textId="77777777" w:rsidR="0044106B" w:rsidRDefault="0044106B" w:rsidP="0044106B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</w:p>
        </w:tc>
      </w:tr>
    </w:tbl>
    <w:p w14:paraId="5254F1CC" w14:textId="77777777" w:rsidR="009F42E6" w:rsidRDefault="009F42E6" w:rsidP="009F42E6"/>
    <w:p w14:paraId="5254F1CD" w14:textId="77777777" w:rsidR="00652BFB" w:rsidRDefault="00652BFB"/>
    <w:sectPr w:rsidR="00652BFB" w:rsidSect="00225E78">
      <w:footerReference w:type="default" r:id="rId14"/>
      <w:footerReference w:type="first" r:id="rId15"/>
      <w:pgSz w:w="11906" w:h="16838" w:code="9"/>
      <w:pgMar w:top="851" w:right="1440" w:bottom="1021" w:left="1440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181B7" w14:textId="77777777" w:rsidR="006E5F65" w:rsidRDefault="006E5F65">
      <w:r>
        <w:separator/>
      </w:r>
    </w:p>
  </w:endnote>
  <w:endnote w:type="continuationSeparator" w:id="0">
    <w:p w14:paraId="259F2891" w14:textId="77777777" w:rsidR="006E5F65" w:rsidRDefault="006E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4E1EB" w14:textId="77777777" w:rsidR="00571842" w:rsidRDefault="00571842" w:rsidP="00571842">
    <w:pPr>
      <w:pStyle w:val="Title"/>
      <w:rPr>
        <w:rFonts w:cs="Consolas"/>
        <w:color w:val="auto"/>
        <w:sz w:val="16"/>
        <w:szCs w:val="23"/>
      </w:rPr>
    </w:pPr>
  </w:p>
  <w:p w14:paraId="5254F1D4" w14:textId="03BF835C" w:rsidR="00596D08" w:rsidRPr="00571842" w:rsidRDefault="00B30EAC" w:rsidP="00571842">
    <w:pPr>
      <w:pStyle w:val="Title"/>
      <w:rPr>
        <w:rFonts w:cs="Consolas"/>
        <w:color w:val="auto"/>
        <w:sz w:val="16"/>
        <w:szCs w:val="23"/>
      </w:rPr>
    </w:pPr>
    <w:r w:rsidRPr="00571842">
      <w:rPr>
        <w:rFonts w:cs="Consolas"/>
        <w:color w:val="auto"/>
        <w:sz w:val="16"/>
        <w:szCs w:val="23"/>
      </w:rPr>
      <w:t>Schedule Q</w:t>
    </w:r>
    <w:r w:rsidR="00225E78" w:rsidRPr="00571842">
      <w:rPr>
        <w:rFonts w:cs="Consolas"/>
        <w:color w:val="auto"/>
        <w:sz w:val="16"/>
        <w:szCs w:val="23"/>
      </w:rPr>
      <w:t xml:space="preserve"> - National </w:t>
    </w:r>
    <w:r w:rsidR="003A720C" w:rsidRPr="00571842">
      <w:rPr>
        <w:rFonts w:cs="Consolas"/>
        <w:color w:val="auto"/>
        <w:sz w:val="16"/>
        <w:szCs w:val="23"/>
      </w:rPr>
      <w:t>B</w:t>
    </w:r>
    <w:r w:rsidR="00225E78" w:rsidRPr="00571842">
      <w:rPr>
        <w:rFonts w:cs="Consolas"/>
        <w:color w:val="auto"/>
        <w:sz w:val="16"/>
        <w:szCs w:val="23"/>
      </w:rPr>
      <w:t xml:space="preserve">rowsing </w:t>
    </w:r>
    <w:r w:rsidR="009A1D96" w:rsidRPr="00571842">
      <w:rPr>
        <w:rFonts w:cs="Consolas"/>
        <w:color w:val="auto"/>
        <w:sz w:val="16"/>
        <w:szCs w:val="23"/>
      </w:rPr>
      <w:t>A</w:t>
    </w:r>
    <w:r w:rsidR="00225E78" w:rsidRPr="00571842">
      <w:rPr>
        <w:rFonts w:cs="Consolas"/>
        <w:color w:val="auto"/>
        <w:sz w:val="16"/>
        <w:szCs w:val="23"/>
      </w:rPr>
      <w:t xml:space="preserve">nt </w:t>
    </w:r>
    <w:r w:rsidR="00854DCF" w:rsidRPr="00571842">
      <w:rPr>
        <w:rFonts w:cs="Consolas"/>
        <w:color w:val="auto"/>
        <w:sz w:val="16"/>
        <w:szCs w:val="23"/>
      </w:rPr>
      <w:t xml:space="preserve">Northern Territory </w:t>
    </w:r>
    <w:r w:rsidR="003A720C" w:rsidRPr="00571842">
      <w:rPr>
        <w:rFonts w:cs="Consolas"/>
        <w:color w:val="auto"/>
        <w:sz w:val="16"/>
        <w:szCs w:val="23"/>
      </w:rPr>
      <w:t>E</w:t>
    </w:r>
    <w:r w:rsidR="00225E78" w:rsidRPr="00571842">
      <w:rPr>
        <w:rFonts w:cs="Consolas"/>
        <w:color w:val="auto"/>
        <w:sz w:val="16"/>
        <w:szCs w:val="23"/>
      </w:rPr>
      <w:t xml:space="preserve">radication </w:t>
    </w:r>
    <w:r w:rsidR="00DF05D6" w:rsidRPr="00571842">
      <w:rPr>
        <w:rFonts w:cs="Consolas"/>
        <w:color w:val="auto"/>
        <w:sz w:val="16"/>
        <w:szCs w:val="23"/>
      </w:rPr>
      <w:t>Program</w:t>
    </w:r>
    <w:r w:rsidR="00571842">
      <w:rPr>
        <w:rFonts w:cs="Consolas"/>
        <w:color w:val="auto"/>
        <w:sz w:val="16"/>
        <w:szCs w:val="23"/>
      </w:rPr>
      <w:tab/>
    </w:r>
    <w:r w:rsidR="00571842">
      <w:rPr>
        <w:rFonts w:cs="Consolas"/>
        <w:color w:val="auto"/>
        <w:sz w:val="16"/>
        <w:szCs w:val="23"/>
      </w:rPr>
      <w:tab/>
    </w:r>
    <w:r w:rsidR="00596D08" w:rsidRPr="00571842">
      <w:rPr>
        <w:sz w:val="22"/>
        <w:szCs w:val="22"/>
      </w:rPr>
      <w:fldChar w:fldCharType="begin"/>
    </w:r>
    <w:r w:rsidR="00596D08" w:rsidRPr="00571842">
      <w:rPr>
        <w:sz w:val="22"/>
        <w:szCs w:val="22"/>
      </w:rPr>
      <w:instrText xml:space="preserve"> PAGE  \* Arabic  \* MERGEFORMAT </w:instrText>
    </w:r>
    <w:r w:rsidR="00596D08" w:rsidRPr="00571842">
      <w:rPr>
        <w:sz w:val="22"/>
        <w:szCs w:val="22"/>
      </w:rPr>
      <w:fldChar w:fldCharType="separate"/>
    </w:r>
    <w:r w:rsidR="00B403E3">
      <w:rPr>
        <w:noProof/>
        <w:sz w:val="22"/>
        <w:szCs w:val="22"/>
      </w:rPr>
      <w:t>4</w:t>
    </w:r>
    <w:r w:rsidR="00596D08" w:rsidRPr="00571842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7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4F1D5" w14:textId="5662801A" w:rsidR="00225E78" w:rsidRDefault="00571842" w:rsidP="00571842">
        <w:pPr>
          <w:pStyle w:val="Footer"/>
        </w:pPr>
        <w:r w:rsidRPr="00571842">
          <w:rPr>
            <w:rFonts w:ascii="Corbel" w:hAnsi="Corbel"/>
            <w:sz w:val="16"/>
            <w:szCs w:val="16"/>
          </w:rPr>
          <w:t>Schedule Q - National Browsing Ant Northern Territory Eradication Program</w:t>
        </w:r>
        <w:r>
          <w:rPr>
            <w:rFonts w:ascii="Corbel" w:hAnsi="Corbel"/>
            <w:sz w:val="23"/>
            <w:szCs w:val="23"/>
          </w:rPr>
          <w:t xml:space="preserve">             </w:t>
        </w:r>
        <w:r w:rsidR="00225E78" w:rsidRPr="00571842">
          <w:rPr>
            <w:rFonts w:ascii="Corbel" w:hAnsi="Corbel"/>
            <w:sz w:val="22"/>
            <w:szCs w:val="22"/>
          </w:rPr>
          <w:fldChar w:fldCharType="begin"/>
        </w:r>
        <w:r w:rsidR="00225E78" w:rsidRPr="00571842">
          <w:rPr>
            <w:rFonts w:ascii="Corbel" w:hAnsi="Corbel"/>
            <w:sz w:val="22"/>
            <w:szCs w:val="22"/>
          </w:rPr>
          <w:instrText xml:space="preserve"> PAGE   \* MERGEFORMAT </w:instrText>
        </w:r>
        <w:r w:rsidR="00225E78" w:rsidRPr="00571842">
          <w:rPr>
            <w:rFonts w:ascii="Corbel" w:hAnsi="Corbel"/>
            <w:sz w:val="22"/>
            <w:szCs w:val="22"/>
          </w:rPr>
          <w:fldChar w:fldCharType="separate"/>
        </w:r>
        <w:r w:rsidR="00B403E3">
          <w:rPr>
            <w:rFonts w:ascii="Corbel" w:hAnsi="Corbel"/>
            <w:noProof/>
            <w:sz w:val="22"/>
            <w:szCs w:val="22"/>
          </w:rPr>
          <w:t>1</w:t>
        </w:r>
        <w:r w:rsidR="00225E78" w:rsidRPr="00571842">
          <w:rPr>
            <w:rFonts w:ascii="Corbel" w:hAnsi="Corbel"/>
            <w:noProof/>
            <w:sz w:val="22"/>
            <w:szCs w:val="22"/>
          </w:rPr>
          <w:fldChar w:fldCharType="end"/>
        </w:r>
      </w:p>
    </w:sdtContent>
  </w:sdt>
  <w:p w14:paraId="5254F1D6" w14:textId="77777777" w:rsidR="00225E78" w:rsidRDefault="00225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012D1" w14:textId="77777777" w:rsidR="006E5F65" w:rsidRDefault="006E5F65">
      <w:r>
        <w:separator/>
      </w:r>
    </w:p>
  </w:footnote>
  <w:footnote w:type="continuationSeparator" w:id="0">
    <w:p w14:paraId="3CDCEAD2" w14:textId="77777777" w:rsidR="006E5F65" w:rsidRDefault="006E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932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68A7299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68E79F0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55C0114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2487" w:hanging="360"/>
      </w:pPr>
    </w:lvl>
    <w:lvl w:ilvl="1" w:tplc="0C090019">
      <w:start w:val="1"/>
      <w:numFmt w:val="lowerLetter"/>
      <w:lvlText w:val="%2."/>
      <w:lvlJc w:val="left"/>
      <w:pPr>
        <w:ind w:left="3207" w:hanging="360"/>
      </w:p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2800AC6"/>
    <w:multiLevelType w:val="hybridMultilevel"/>
    <w:tmpl w:val="A936F89C"/>
    <w:lvl w:ilvl="0" w:tplc="F398AEE4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sz w:val="23"/>
        <w:szCs w:val="23"/>
      </w:rPr>
    </w:lvl>
    <w:lvl w:ilvl="1" w:tplc="5D389968">
      <w:start w:val="3"/>
      <w:numFmt w:val="lowerLetter"/>
      <w:lvlText w:val="(%2)"/>
      <w:lvlJc w:val="left"/>
      <w:pPr>
        <w:ind w:left="1211" w:hanging="360"/>
      </w:pPr>
      <w:rPr>
        <w:rFonts w:hint="default"/>
        <w:i w:val="0"/>
        <w:color w:val="auto"/>
      </w:rPr>
    </w:lvl>
    <w:lvl w:ilvl="2" w:tplc="43FC69B6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26766F"/>
    <w:multiLevelType w:val="hybridMultilevel"/>
    <w:tmpl w:val="25825658"/>
    <w:lvl w:ilvl="0" w:tplc="E9C81FEC">
      <w:start w:val="1"/>
      <w:numFmt w:val="lowerLetter"/>
      <w:lvlText w:val="(%1)"/>
      <w:lvlJc w:val="left"/>
      <w:pPr>
        <w:ind w:left="220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81EC0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BF65E40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16727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22C2A10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3D8421B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CE0768"/>
    <w:multiLevelType w:val="hybridMultilevel"/>
    <w:tmpl w:val="9190AFEA"/>
    <w:lvl w:ilvl="0" w:tplc="F822E09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cs="ZapfDingbats" w:hint="default"/>
        <w:color w:val="000080"/>
        <w:sz w:val="20"/>
        <w:szCs w:val="20"/>
      </w:rPr>
    </w:lvl>
    <w:lvl w:ilvl="1" w:tplc="F662C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EA4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989D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1AC8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0C4F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A8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267B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0465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EB3B50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E6"/>
    <w:rsid w:val="00015A0A"/>
    <w:rsid w:val="000160ED"/>
    <w:rsid w:val="00017CD6"/>
    <w:rsid w:val="000321AB"/>
    <w:rsid w:val="00044C5F"/>
    <w:rsid w:val="0006440B"/>
    <w:rsid w:val="000837C9"/>
    <w:rsid w:val="000B28B4"/>
    <w:rsid w:val="000C3F5A"/>
    <w:rsid w:val="000D6C6F"/>
    <w:rsid w:val="000E4CC2"/>
    <w:rsid w:val="0011475D"/>
    <w:rsid w:val="00117FF8"/>
    <w:rsid w:val="0015391A"/>
    <w:rsid w:val="00175E28"/>
    <w:rsid w:val="00192658"/>
    <w:rsid w:val="001A51CD"/>
    <w:rsid w:val="001B5F4D"/>
    <w:rsid w:val="001F4C39"/>
    <w:rsid w:val="002250F4"/>
    <w:rsid w:val="00225E78"/>
    <w:rsid w:val="00280192"/>
    <w:rsid w:val="00310C30"/>
    <w:rsid w:val="003328BF"/>
    <w:rsid w:val="003450FF"/>
    <w:rsid w:val="00367458"/>
    <w:rsid w:val="003722B8"/>
    <w:rsid w:val="00376CA5"/>
    <w:rsid w:val="003A720C"/>
    <w:rsid w:val="003C4350"/>
    <w:rsid w:val="003D200E"/>
    <w:rsid w:val="00400A96"/>
    <w:rsid w:val="00425E9F"/>
    <w:rsid w:val="0044106B"/>
    <w:rsid w:val="004474BE"/>
    <w:rsid w:val="00451012"/>
    <w:rsid w:val="0045259B"/>
    <w:rsid w:val="004616C8"/>
    <w:rsid w:val="00467E6C"/>
    <w:rsid w:val="00471FDB"/>
    <w:rsid w:val="00497A29"/>
    <w:rsid w:val="004A7DE9"/>
    <w:rsid w:val="00507011"/>
    <w:rsid w:val="005562B5"/>
    <w:rsid w:val="00571842"/>
    <w:rsid w:val="00591514"/>
    <w:rsid w:val="00596D08"/>
    <w:rsid w:val="005B024A"/>
    <w:rsid w:val="006145D8"/>
    <w:rsid w:val="006363E8"/>
    <w:rsid w:val="00652BFB"/>
    <w:rsid w:val="006A18BF"/>
    <w:rsid w:val="006E5F65"/>
    <w:rsid w:val="00787D5E"/>
    <w:rsid w:val="007C6B53"/>
    <w:rsid w:val="007C6E98"/>
    <w:rsid w:val="007F1813"/>
    <w:rsid w:val="00843ED3"/>
    <w:rsid w:val="00854DCF"/>
    <w:rsid w:val="008A0C9D"/>
    <w:rsid w:val="008A65A8"/>
    <w:rsid w:val="008B2042"/>
    <w:rsid w:val="008D3FD8"/>
    <w:rsid w:val="008F5324"/>
    <w:rsid w:val="00927527"/>
    <w:rsid w:val="009568F7"/>
    <w:rsid w:val="0096147B"/>
    <w:rsid w:val="009A1D96"/>
    <w:rsid w:val="009F42E6"/>
    <w:rsid w:val="009F5B88"/>
    <w:rsid w:val="00A63821"/>
    <w:rsid w:val="00A732B1"/>
    <w:rsid w:val="00AA5E58"/>
    <w:rsid w:val="00AE0660"/>
    <w:rsid w:val="00B30EAC"/>
    <w:rsid w:val="00B32421"/>
    <w:rsid w:val="00B403E3"/>
    <w:rsid w:val="00BF4537"/>
    <w:rsid w:val="00BF7468"/>
    <w:rsid w:val="00C40DF7"/>
    <w:rsid w:val="00C51999"/>
    <w:rsid w:val="00C726ED"/>
    <w:rsid w:val="00C84467"/>
    <w:rsid w:val="00CC0B55"/>
    <w:rsid w:val="00CD0043"/>
    <w:rsid w:val="00CE05AF"/>
    <w:rsid w:val="00CE0BA7"/>
    <w:rsid w:val="00CF645E"/>
    <w:rsid w:val="00CF6A02"/>
    <w:rsid w:val="00D1564C"/>
    <w:rsid w:val="00D30FC3"/>
    <w:rsid w:val="00D4310C"/>
    <w:rsid w:val="00D62342"/>
    <w:rsid w:val="00D81164"/>
    <w:rsid w:val="00DA7519"/>
    <w:rsid w:val="00DB002D"/>
    <w:rsid w:val="00DF05D6"/>
    <w:rsid w:val="00E05F60"/>
    <w:rsid w:val="00E145B6"/>
    <w:rsid w:val="00E251CE"/>
    <w:rsid w:val="00E26855"/>
    <w:rsid w:val="00E66308"/>
    <w:rsid w:val="00E843CE"/>
    <w:rsid w:val="00EC302B"/>
    <w:rsid w:val="00F04278"/>
    <w:rsid w:val="00F142E3"/>
    <w:rsid w:val="00F25EE3"/>
    <w:rsid w:val="00F4556C"/>
    <w:rsid w:val="00F70B3C"/>
    <w:rsid w:val="00FA06B0"/>
    <w:rsid w:val="00FD334F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54F167"/>
  <w15:docId w15:val="{12A9F8A7-6619-4216-A7B7-C5054A47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E6"/>
    <w:pPr>
      <w:spacing w:after="0" w:line="240" w:lineRule="auto"/>
    </w:pPr>
    <w:rPr>
      <w:rFonts w:ascii="Corbel" w:eastAsia="Times New Roman" w:hAnsi="Corbel" w:cs="Times New Roman"/>
      <w:color w:val="000000"/>
      <w:sz w:val="23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F42E6"/>
    <w:pPr>
      <w:keepNext/>
      <w:keepLines/>
      <w:spacing w:before="480"/>
      <w:outlineLvl w:val="0"/>
    </w:pPr>
    <w:rPr>
      <w:rFonts w:ascii="Consolas" w:hAnsi="Consolas"/>
      <w:bCs/>
      <w:caps/>
      <w:color w:val="3D4B67"/>
      <w:kern w:val="32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42E6"/>
    <w:pPr>
      <w:keepNext/>
      <w:spacing w:before="240" w:after="240"/>
      <w:outlineLvl w:val="2"/>
    </w:pPr>
    <w:rPr>
      <w:rFonts w:ascii="Consolas" w:hAnsi="Consolas"/>
      <w:b/>
      <w:color w:val="3D4B6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2E6"/>
    <w:rPr>
      <w:rFonts w:ascii="Consolas" w:eastAsia="Times New Roman" w:hAnsi="Consolas" w:cs="Times New Roman"/>
      <w:bCs/>
      <w:caps/>
      <w:color w:val="3D4B67"/>
      <w:kern w:val="32"/>
      <w:sz w:val="32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9F42E6"/>
    <w:rPr>
      <w:rFonts w:ascii="Consolas" w:eastAsia="Times New Roman" w:hAnsi="Consolas" w:cs="Times New Roman"/>
      <w:b/>
      <w:color w:val="3D4B67"/>
      <w:sz w:val="23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9F42E6"/>
    <w:pPr>
      <w:ind w:left="720"/>
    </w:pPr>
  </w:style>
  <w:style w:type="paragraph" w:styleId="Footer">
    <w:name w:val="footer"/>
    <w:basedOn w:val="Normal"/>
    <w:link w:val="FooterChar"/>
    <w:uiPriority w:val="99"/>
    <w:rsid w:val="009F42E6"/>
    <w:pPr>
      <w:tabs>
        <w:tab w:val="center" w:pos="4513"/>
        <w:tab w:val="right" w:pos="9026"/>
      </w:tabs>
    </w:pPr>
    <w:rPr>
      <w:rFonts w:ascii="Times New Roman" w:hAnsi="Times New Roman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F42E6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99"/>
    <w:rsid w:val="009F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greementParties">
    <w:name w:val="AgreementParties"/>
    <w:uiPriority w:val="99"/>
    <w:rsid w:val="009F42E6"/>
    <w:pPr>
      <w:numPr>
        <w:numId w:val="1"/>
      </w:numPr>
      <w:spacing w:before="120" w:after="120" w:line="240" w:lineRule="auto"/>
    </w:pPr>
    <w:rPr>
      <w:rFonts w:ascii="Consolas" w:eastAsia="Times New Roman" w:hAnsi="Consolas" w:cs="Consolas"/>
      <w:color w:val="3D4B67"/>
      <w:sz w:val="30"/>
      <w:szCs w:val="30"/>
      <w:lang w:eastAsia="ja-JP"/>
    </w:rPr>
  </w:style>
  <w:style w:type="paragraph" w:styleId="Title">
    <w:name w:val="Title"/>
    <w:basedOn w:val="Normal"/>
    <w:next w:val="Subtitle"/>
    <w:link w:val="TitleChar"/>
    <w:uiPriority w:val="99"/>
    <w:qFormat/>
    <w:rsid w:val="009F42E6"/>
    <w:rPr>
      <w:color w:val="3D4B67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9F42E6"/>
    <w:rPr>
      <w:rFonts w:ascii="Corbel" w:eastAsia="Times New Roman" w:hAnsi="Corbel" w:cs="Times New Roman"/>
      <w:color w:val="3D4B67"/>
      <w:sz w:val="72"/>
      <w:szCs w:val="72"/>
      <w:lang w:eastAsia="ja-JP"/>
    </w:rPr>
  </w:style>
  <w:style w:type="paragraph" w:customStyle="1" w:styleId="Normalnumbered">
    <w:name w:val="Normal numbered"/>
    <w:basedOn w:val="Normal"/>
    <w:link w:val="NormalnumberedChar"/>
    <w:rsid w:val="009F42E6"/>
    <w:rPr>
      <w:rFonts w:ascii="Times New Roman" w:hAnsi="Times New Roman"/>
      <w:color w:val="auto"/>
      <w:sz w:val="24"/>
    </w:rPr>
  </w:style>
  <w:style w:type="paragraph" w:customStyle="1" w:styleId="Signed">
    <w:name w:val="Signed"/>
    <w:basedOn w:val="Normal"/>
    <w:uiPriority w:val="99"/>
    <w:rsid w:val="009F42E6"/>
    <w:pPr>
      <w:spacing w:after="120"/>
    </w:pPr>
    <w:rPr>
      <w:rFonts w:ascii="Book Antiqua" w:hAnsi="Book Antiqua" w:cs="Book Antiqua"/>
      <w:i/>
      <w:iCs/>
      <w:sz w:val="22"/>
      <w:szCs w:val="22"/>
    </w:rPr>
  </w:style>
  <w:style w:type="character" w:customStyle="1" w:styleId="SignedBold">
    <w:name w:val="SignedBold"/>
    <w:uiPriority w:val="99"/>
    <w:rsid w:val="009F42E6"/>
    <w:rPr>
      <w:b/>
      <w:bCs/>
      <w:i/>
      <w:iCs/>
    </w:rPr>
  </w:style>
  <w:style w:type="character" w:customStyle="1" w:styleId="NormalnumberedChar">
    <w:name w:val="Normal numbered Char"/>
    <w:link w:val="Normalnumbered"/>
    <w:locked/>
    <w:rsid w:val="009F42E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2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42E6"/>
    <w:rPr>
      <w:rFonts w:eastAsiaTheme="minorEastAsia"/>
      <w:color w:val="5A5A5A" w:themeColor="text1" w:themeTint="A5"/>
      <w:spacing w:val="15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C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B55"/>
    <w:rPr>
      <w:rFonts w:ascii="Corbel" w:eastAsia="Times New Roman" w:hAnsi="Corbel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B55"/>
    <w:rPr>
      <w:rFonts w:ascii="Corbel" w:eastAsia="Times New Roman" w:hAnsi="Corbel" w:cs="Times New Roman"/>
      <w:b/>
      <w:bCs/>
      <w:color w:val="00000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55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30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FC3"/>
    <w:rPr>
      <w:rFonts w:ascii="Corbel" w:eastAsia="Times New Roman" w:hAnsi="Corbel" w:cs="Times New Roman"/>
      <w:color w:val="000000"/>
      <w:sz w:val="23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e544e5cc-ab70-42e1-849e-1a0f8bb1f4ef">2018FG-64-46181</_dlc_DocId>
    <TaxCatchAll xmlns="e544e5cc-ab70-42e1-849e-1a0f8bb1f4ef">
      <Value>2</Value>
    </TaxCatchAll>
    <_dlc_DocIdUrl xmlns="e544e5cc-ab70-42e1-849e-1a0f8bb1f4ef">
      <Url>http://tweb/sites/fg/csrd/_layouts/15/DocIdRedir.aspx?ID=2018FG-64-46181</Url>
      <Description>2018FG-64-46181</Description>
    </_dlc_DocIdUrl>
    <IconOverlay xmlns="http://schemas.microsoft.com/sharepoint/v4" xsi:nil="true"/>
  </documentManagement>
</p:properti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11771" ma:contentTypeDescription=" " ma:contentTypeScope="" ma:versionID="515f95690d8e841450840d84d731510f">
  <xsd:schema xmlns:xsd="http://www.w3.org/2001/XMLSchema" xmlns:xs="http://www.w3.org/2001/XMLSchema" xmlns:p="http://schemas.microsoft.com/office/2006/metadata/properties" xmlns:ns1="http://schemas.microsoft.com/sharepoint/v3" xmlns:ns2="e544e5cc-ab70-42e1-849e-1a0f8bb1f4ef" xmlns:ns4="http://schemas.microsoft.com/sharepoint/v4" targetNamespace="http://schemas.microsoft.com/office/2006/metadata/properties" ma:root="true" ma:fieldsID="b695b91a920971196e190b01c4725fce" ns1:_="" ns2:_="" ns4:_="">
    <xsd:import namespace="http://schemas.microsoft.com/sharepoint/v3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5249-3BBD-4A1C-802D-7435DB96CB7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7EBA08E-E6F0-4EAA-93B9-1E595CB0816E}">
  <ds:schemaRefs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e544e5cc-ab70-42e1-849e-1a0f8bb1f4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1D021B-F02C-4543-9171-DFEBF5F7D5B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79EAC84-C360-4499-BB69-856FBFACA0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D3B411-2B7C-4CD0-93BA-A3909FE5C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F0770FF-7B59-4037-B00D-BD67EAB1ABF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C18CA6B-B6D5-4427-91D4-5002D41F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Hutchinson</dc:creator>
  <cp:keywords/>
  <dc:description/>
  <cp:lastModifiedBy>Begg, Nicole</cp:lastModifiedBy>
  <cp:revision>15</cp:revision>
  <cp:lastPrinted>2018-07-26T05:52:00Z</cp:lastPrinted>
  <dcterms:created xsi:type="dcterms:W3CDTF">2018-06-07T00:18:00Z</dcterms:created>
  <dcterms:modified xsi:type="dcterms:W3CDTF">2018-08-01T00:00:00Z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727e55c3-9e00-423f-9638-4cd995a3250d</vt:lpwstr>
  </property>
  <property fmtid="{D5CDD505-2E9C-101B-9397-08002B2CF9AE}" pid="3" name="ContentTypeId">
    <vt:lpwstr>0x010100348D01E61E107C4DA4B97E380EA20D47005CDF45B49E80F24CAD80DFC012154DA9</vt:lpwstr>
  </property>
  <property fmtid="{D5CDD505-2E9C-101B-9397-08002B2CF9AE}" pid="4" name="TSYRecordClass">
    <vt:lpwstr>2;#TSY RA-8748 - Retain as national archives|243f2231-dbfc-4282-b24a-c9b768286bd0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{727e55c3-9e00-423f-9638-4cd995a3250d}</vt:lpwstr>
  </property>
  <property fmtid="{D5CDD505-2E9C-101B-9397-08002B2CF9AE}" pid="9" name="RecordPoint_ActiveItemWebId">
    <vt:lpwstr>{a4589788-615f-4b8b-8296-7f9f6dfbab44}</vt:lpwstr>
  </property>
  <property fmtid="{D5CDD505-2E9C-101B-9397-08002B2CF9AE}" pid="10" name="RecordPoint_RecordNumberSubmitted">
    <vt:lpwstr>R0001730201</vt:lpwstr>
  </property>
  <property fmtid="{D5CDD505-2E9C-101B-9397-08002B2CF9AE}" pid="11" name="RecordPoint_SubmissionCompleted">
    <vt:lpwstr>2018-06-06T10:51:31.5026455+10:00</vt:lpwstr>
  </property>
  <property fmtid="{D5CDD505-2E9C-101B-9397-08002B2CF9AE}" pid="12" name="_NewReviewCycle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