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520331" w:rsidRPr="00B50119" w14:paraId="50266262" w14:textId="77777777">
        <w:tc>
          <w:tcPr>
            <w:tcW w:w="817" w:type="pct"/>
          </w:tcPr>
          <w:p w14:paraId="3D989724" w14:textId="77777777" w:rsidR="00520331" w:rsidRPr="00B50119" w:rsidRDefault="00520331" w:rsidP="00520331"/>
        </w:tc>
        <w:tc>
          <w:tcPr>
            <w:tcW w:w="4183" w:type="pct"/>
          </w:tcPr>
          <w:p w14:paraId="21EB04DD" w14:textId="77777777" w:rsidR="00520331" w:rsidRPr="00FC55E9" w:rsidRDefault="00520331" w:rsidP="00520331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6B992A1B" w14:textId="3B2ABBC3" w:rsidR="003F75C5" w:rsidRPr="00411784" w:rsidRDefault="003F75C5" w:rsidP="003F75C5">
      <w:pPr>
        <w:pStyle w:val="Title"/>
        <w:jc w:val="right"/>
        <w:rPr>
          <w:rFonts w:ascii="Consolas" w:hAnsi="Consolas" w:cs="Consolas"/>
          <w:sz w:val="40"/>
        </w:rPr>
      </w:pPr>
      <w:r w:rsidRPr="00411784">
        <w:rPr>
          <w:rFonts w:ascii="Consolas" w:hAnsi="Consolas" w:cs="Consolas"/>
          <w:sz w:val="40"/>
        </w:rPr>
        <w:t xml:space="preserve">Schedule </w:t>
      </w:r>
      <w:r w:rsidR="008471B8">
        <w:rPr>
          <w:rFonts w:ascii="Consolas" w:hAnsi="Consolas" w:cs="Consolas"/>
          <w:sz w:val="40"/>
        </w:rPr>
        <w:t>W</w:t>
      </w:r>
    </w:p>
    <w:p w14:paraId="6DF14C36" w14:textId="4B933713" w:rsidR="0036688B" w:rsidRPr="00411784" w:rsidRDefault="00D91DDB" w:rsidP="00A17D70">
      <w:pPr>
        <w:pStyle w:val="Title"/>
        <w:rPr>
          <w:rFonts w:ascii="Consolas" w:hAnsi="Consolas" w:cs="Consolas"/>
          <w:sz w:val="56"/>
          <w:szCs w:val="56"/>
        </w:rPr>
      </w:pPr>
      <w:r>
        <w:rPr>
          <w:rFonts w:ascii="Consolas" w:hAnsi="Consolas" w:cs="Consolas"/>
          <w:sz w:val="56"/>
          <w:szCs w:val="56"/>
        </w:rPr>
        <w:t xml:space="preserve">National </w:t>
      </w:r>
      <w:r w:rsidR="00EB09D0" w:rsidRPr="00D91DDB">
        <w:rPr>
          <w:rFonts w:ascii="Consolas" w:hAnsi="Consolas" w:cs="Consolas"/>
          <w:sz w:val="56"/>
          <w:szCs w:val="56"/>
        </w:rPr>
        <w:t xml:space="preserve">Varroa </w:t>
      </w:r>
      <w:r w:rsidR="00C9414D">
        <w:rPr>
          <w:rFonts w:ascii="Consolas" w:hAnsi="Consolas" w:cs="Consolas"/>
          <w:sz w:val="56"/>
          <w:szCs w:val="56"/>
        </w:rPr>
        <w:t>M</w:t>
      </w:r>
      <w:r w:rsidRPr="00D91DDB">
        <w:rPr>
          <w:rFonts w:ascii="Consolas" w:hAnsi="Consolas" w:cs="Consolas"/>
          <w:sz w:val="56"/>
          <w:szCs w:val="56"/>
        </w:rPr>
        <w:t>ite</w:t>
      </w:r>
      <w:r>
        <w:rPr>
          <w:rFonts w:ascii="Consolas" w:hAnsi="Consolas" w:cs="Consolas"/>
          <w:sz w:val="56"/>
          <w:szCs w:val="56"/>
        </w:rPr>
        <w:t xml:space="preserve"> </w:t>
      </w:r>
      <w:r w:rsidR="003F75C5" w:rsidRPr="00411784">
        <w:rPr>
          <w:rFonts w:ascii="Consolas" w:hAnsi="Consolas" w:cs="Consolas"/>
          <w:sz w:val="56"/>
          <w:szCs w:val="56"/>
        </w:rPr>
        <w:t>Eradication Program</w:t>
      </w:r>
      <w:r w:rsidR="0036688B" w:rsidRPr="00411784">
        <w:rPr>
          <w:rFonts w:ascii="Consolas" w:hAnsi="Consolas" w:cs="Consolas"/>
          <w:sz w:val="56"/>
          <w:szCs w:val="56"/>
        </w:rPr>
        <w:t xml:space="preserve"> </w:t>
      </w:r>
      <w:r w:rsidR="00B925F7">
        <w:rPr>
          <w:rFonts w:ascii="Consolas" w:hAnsi="Consolas" w:cs="Consolas"/>
          <w:sz w:val="56"/>
          <w:szCs w:val="56"/>
        </w:rPr>
        <w:t>2016-17 – 20</w:t>
      </w:r>
      <w:r w:rsidR="003F5ACE">
        <w:rPr>
          <w:rFonts w:ascii="Consolas" w:hAnsi="Consolas" w:cs="Consolas"/>
          <w:sz w:val="56"/>
          <w:szCs w:val="56"/>
        </w:rPr>
        <w:t>20</w:t>
      </w:r>
      <w:r w:rsidR="00B925F7">
        <w:rPr>
          <w:rFonts w:ascii="Consolas" w:hAnsi="Consolas" w:cs="Consolas"/>
          <w:sz w:val="56"/>
          <w:szCs w:val="56"/>
        </w:rPr>
        <w:t>-</w:t>
      </w:r>
      <w:r w:rsidR="00685AC6">
        <w:rPr>
          <w:rFonts w:ascii="Consolas" w:hAnsi="Consolas" w:cs="Consolas"/>
          <w:sz w:val="56"/>
          <w:szCs w:val="56"/>
        </w:rPr>
        <w:t>2</w:t>
      </w:r>
      <w:r w:rsidR="003F5ACE">
        <w:rPr>
          <w:rFonts w:ascii="Consolas" w:hAnsi="Consolas" w:cs="Consolas"/>
          <w:sz w:val="56"/>
          <w:szCs w:val="56"/>
        </w:rPr>
        <w:t>1</w:t>
      </w:r>
    </w:p>
    <w:p w14:paraId="5D059DF0" w14:textId="77777777" w:rsidR="0036688B" w:rsidRPr="003F75C5" w:rsidRDefault="0036688B" w:rsidP="000E5633">
      <w:pPr>
        <w:pStyle w:val="Heading1"/>
        <w:keepLines w:val="0"/>
        <w:spacing w:before="360" w:after="180"/>
        <w:rPr>
          <w:rFonts w:cs="Arial"/>
        </w:rPr>
      </w:pPr>
      <w:r w:rsidRPr="003F75C5">
        <w:rPr>
          <w:rFonts w:cs="Arial"/>
        </w:rPr>
        <w:t>Part 1: Preliminaries</w:t>
      </w:r>
      <w:bookmarkStart w:id="0" w:name="_GoBack"/>
      <w:bookmarkEnd w:id="0"/>
    </w:p>
    <w:p w14:paraId="3B88F6CD" w14:textId="11369857" w:rsidR="003F75C5" w:rsidRPr="00C626BA" w:rsidRDefault="003F75C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The purpose of this Schedule is to outline the delivery of agreed activities for the </w:t>
      </w:r>
      <w:r w:rsidR="006A755B">
        <w:rPr>
          <w:rFonts w:ascii="Corbel" w:hAnsi="Corbel" w:cs="Calibri"/>
          <w:sz w:val="23"/>
          <w:szCs w:val="23"/>
        </w:rPr>
        <w:t>N</w:t>
      </w:r>
      <w:r w:rsidR="00EB09D0">
        <w:rPr>
          <w:rFonts w:ascii="Corbel" w:hAnsi="Corbel" w:cs="Calibri"/>
          <w:sz w:val="23"/>
          <w:szCs w:val="23"/>
        </w:rPr>
        <w:t xml:space="preserve">ational </w:t>
      </w:r>
      <w:r w:rsidR="00D91DDB">
        <w:rPr>
          <w:rFonts w:ascii="Corbel" w:hAnsi="Corbel" w:cs="Calibri"/>
          <w:sz w:val="23"/>
          <w:szCs w:val="23"/>
        </w:rPr>
        <w:t xml:space="preserve">Varroa </w:t>
      </w:r>
      <w:r w:rsidR="00C9414D">
        <w:rPr>
          <w:rFonts w:ascii="Corbel" w:hAnsi="Corbel" w:cs="Calibri"/>
          <w:sz w:val="23"/>
          <w:szCs w:val="23"/>
        </w:rPr>
        <w:t>M</w:t>
      </w:r>
      <w:r w:rsidR="00D91DDB">
        <w:rPr>
          <w:rFonts w:ascii="Corbel" w:hAnsi="Corbel" w:cs="Calibri"/>
          <w:sz w:val="23"/>
          <w:szCs w:val="23"/>
        </w:rPr>
        <w:t>ite (</w:t>
      </w:r>
      <w:r w:rsidR="00EB09D0" w:rsidRPr="00EB09D0">
        <w:rPr>
          <w:rFonts w:ascii="Corbel" w:hAnsi="Corbel" w:cs="Calibri"/>
          <w:i/>
          <w:sz w:val="23"/>
          <w:szCs w:val="23"/>
        </w:rPr>
        <w:t>Varroa jacobsoni</w:t>
      </w:r>
      <w:r w:rsidR="00D91DDB">
        <w:rPr>
          <w:rFonts w:ascii="Corbel" w:hAnsi="Corbel" w:cs="Calibri"/>
          <w:i/>
          <w:sz w:val="23"/>
          <w:szCs w:val="23"/>
        </w:rPr>
        <w:t>)</w:t>
      </w:r>
      <w:r w:rsidR="00EB09D0">
        <w:rPr>
          <w:rFonts w:ascii="Corbel" w:hAnsi="Corbel" w:cs="Calibri"/>
          <w:sz w:val="23"/>
          <w:szCs w:val="23"/>
        </w:rPr>
        <w:t xml:space="preserve"> </w:t>
      </w:r>
      <w:r w:rsidR="00C9414D">
        <w:rPr>
          <w:rFonts w:ascii="Corbel" w:hAnsi="Corbel" w:cs="Calibri"/>
          <w:sz w:val="23"/>
          <w:szCs w:val="23"/>
        </w:rPr>
        <w:t>E</w:t>
      </w:r>
      <w:r w:rsidR="007A567F">
        <w:rPr>
          <w:rFonts w:ascii="Corbel" w:hAnsi="Corbel" w:cs="Calibri"/>
          <w:sz w:val="23"/>
          <w:szCs w:val="23"/>
        </w:rPr>
        <w:t xml:space="preserve">radication </w:t>
      </w:r>
      <w:r w:rsidR="00C9414D">
        <w:rPr>
          <w:rFonts w:ascii="Corbel" w:hAnsi="Corbel" w:cs="Calibri"/>
          <w:sz w:val="23"/>
          <w:szCs w:val="23"/>
        </w:rPr>
        <w:t>P</w:t>
      </w:r>
      <w:r w:rsidR="007A567F">
        <w:rPr>
          <w:rFonts w:ascii="Corbel" w:hAnsi="Corbel" w:cs="Calibri"/>
          <w:sz w:val="23"/>
          <w:szCs w:val="23"/>
        </w:rPr>
        <w:t xml:space="preserve">rogram </w:t>
      </w:r>
      <w:r w:rsidR="00EB09D0">
        <w:rPr>
          <w:rFonts w:ascii="Corbel" w:hAnsi="Corbel" w:cs="Calibri"/>
          <w:sz w:val="23"/>
          <w:szCs w:val="23"/>
        </w:rPr>
        <w:t xml:space="preserve">from </w:t>
      </w:r>
      <w:r w:rsidR="00685AC6">
        <w:rPr>
          <w:rFonts w:ascii="Corbel" w:hAnsi="Corbel" w:cs="Calibri"/>
          <w:sz w:val="23"/>
          <w:szCs w:val="23"/>
        </w:rPr>
        <w:t>2016-17 to 20</w:t>
      </w:r>
      <w:r w:rsidR="00E75CB3">
        <w:rPr>
          <w:rFonts w:ascii="Corbel" w:hAnsi="Corbel" w:cs="Calibri"/>
          <w:sz w:val="23"/>
          <w:szCs w:val="23"/>
        </w:rPr>
        <w:t>19</w:t>
      </w:r>
      <w:r w:rsidR="00685AC6">
        <w:rPr>
          <w:rFonts w:ascii="Corbel" w:hAnsi="Corbel" w:cs="Calibri"/>
          <w:sz w:val="23"/>
          <w:szCs w:val="23"/>
        </w:rPr>
        <w:t>-2</w:t>
      </w:r>
      <w:r w:rsidR="00E75CB3">
        <w:rPr>
          <w:rFonts w:ascii="Corbel" w:hAnsi="Corbel" w:cs="Calibri"/>
          <w:sz w:val="23"/>
          <w:szCs w:val="23"/>
        </w:rPr>
        <w:t>0</w:t>
      </w:r>
      <w:r w:rsidR="00D91DDB">
        <w:rPr>
          <w:rFonts w:ascii="Corbel" w:hAnsi="Corbel" w:cs="Calibri"/>
          <w:sz w:val="23"/>
          <w:szCs w:val="23"/>
        </w:rPr>
        <w:t xml:space="preserve"> </w:t>
      </w:r>
      <w:r w:rsidRPr="00C626BA">
        <w:rPr>
          <w:rFonts w:ascii="Corbel" w:hAnsi="Corbel" w:cs="Calibri"/>
          <w:sz w:val="23"/>
          <w:szCs w:val="23"/>
        </w:rPr>
        <w:t xml:space="preserve">and to facilitate the Commonwealth’s cost-shared contributions to </w:t>
      </w:r>
      <w:r w:rsidR="00EB09D0">
        <w:rPr>
          <w:rFonts w:ascii="Corbel" w:hAnsi="Corbel" w:cs="Calibri"/>
          <w:sz w:val="23"/>
          <w:szCs w:val="23"/>
        </w:rPr>
        <w:t>Queensland</w:t>
      </w:r>
      <w:r w:rsidRPr="00C626BA">
        <w:rPr>
          <w:rFonts w:ascii="Corbel" w:hAnsi="Corbel" w:cs="Calibri"/>
          <w:sz w:val="23"/>
          <w:szCs w:val="23"/>
        </w:rPr>
        <w:t>, the combatant state for this eradication program.</w:t>
      </w:r>
    </w:p>
    <w:p w14:paraId="1070DE8F" w14:textId="3FD82CEA" w:rsidR="003F75C5" w:rsidRPr="00C44CE7" w:rsidRDefault="003F75C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The </w:t>
      </w:r>
      <w:r w:rsidR="00C9414D">
        <w:rPr>
          <w:rFonts w:ascii="Corbel" w:hAnsi="Corbel" w:cs="Calibri"/>
          <w:sz w:val="23"/>
          <w:szCs w:val="23"/>
        </w:rPr>
        <w:t>N</w:t>
      </w:r>
      <w:r w:rsidR="008937C3">
        <w:rPr>
          <w:rFonts w:ascii="Corbel" w:hAnsi="Corbel" w:cs="Calibri"/>
          <w:sz w:val="23"/>
          <w:szCs w:val="23"/>
        </w:rPr>
        <w:t xml:space="preserve">ational </w:t>
      </w:r>
      <w:r w:rsidR="00D91DDB" w:rsidRPr="00D91DDB">
        <w:rPr>
          <w:rFonts w:ascii="Corbel" w:hAnsi="Corbel" w:cs="Calibri"/>
          <w:sz w:val="23"/>
          <w:szCs w:val="23"/>
        </w:rPr>
        <w:t xml:space="preserve">Varroa </w:t>
      </w:r>
      <w:r w:rsidR="00C9414D">
        <w:rPr>
          <w:rFonts w:ascii="Corbel" w:hAnsi="Corbel" w:cs="Calibri"/>
          <w:sz w:val="23"/>
          <w:szCs w:val="23"/>
        </w:rPr>
        <w:t>M</w:t>
      </w:r>
      <w:r w:rsidR="00D91DDB" w:rsidRPr="00D91DDB">
        <w:rPr>
          <w:rFonts w:ascii="Corbel" w:hAnsi="Corbel" w:cs="Calibri"/>
          <w:sz w:val="23"/>
          <w:szCs w:val="23"/>
        </w:rPr>
        <w:t>ite</w:t>
      </w:r>
      <w:r w:rsidR="008937C3">
        <w:rPr>
          <w:rFonts w:ascii="Corbel" w:hAnsi="Corbel" w:cs="Calibri"/>
          <w:sz w:val="23"/>
          <w:szCs w:val="23"/>
        </w:rPr>
        <w:t xml:space="preserve"> </w:t>
      </w:r>
      <w:r w:rsidR="00C9414D">
        <w:rPr>
          <w:rFonts w:ascii="Corbel" w:hAnsi="Corbel" w:cs="Calibri"/>
          <w:sz w:val="23"/>
          <w:szCs w:val="23"/>
        </w:rPr>
        <w:t>E</w:t>
      </w:r>
      <w:r w:rsidR="008937C3">
        <w:rPr>
          <w:rFonts w:ascii="Corbel" w:hAnsi="Corbel" w:cs="Calibri"/>
          <w:sz w:val="23"/>
          <w:szCs w:val="23"/>
        </w:rPr>
        <w:t xml:space="preserve">radication </w:t>
      </w:r>
      <w:r w:rsidR="00C9414D">
        <w:rPr>
          <w:rFonts w:ascii="Corbel" w:hAnsi="Corbel" w:cs="Calibri"/>
          <w:sz w:val="23"/>
          <w:szCs w:val="23"/>
        </w:rPr>
        <w:t>P</w:t>
      </w:r>
      <w:r w:rsidRPr="008937C3">
        <w:rPr>
          <w:rFonts w:ascii="Corbel" w:hAnsi="Corbel" w:cs="Calibri"/>
          <w:sz w:val="23"/>
          <w:szCs w:val="23"/>
        </w:rPr>
        <w:t>rogram</w:t>
      </w:r>
      <w:r w:rsidRPr="00C626BA">
        <w:rPr>
          <w:rFonts w:ascii="Corbel" w:hAnsi="Corbel" w:cs="Calibri"/>
          <w:sz w:val="23"/>
          <w:szCs w:val="23"/>
        </w:rPr>
        <w:t xml:space="preserve"> is being conducted </w:t>
      </w:r>
      <w:r w:rsidR="00C44CE7">
        <w:rPr>
          <w:rFonts w:ascii="Corbel" w:hAnsi="Corbel" w:cs="Calibri"/>
          <w:sz w:val="23"/>
          <w:szCs w:val="23"/>
        </w:rPr>
        <w:t xml:space="preserve">under the </w:t>
      </w:r>
      <w:r w:rsidR="008937C3">
        <w:rPr>
          <w:rFonts w:ascii="Corbel" w:hAnsi="Corbel" w:cs="Calibri"/>
          <w:sz w:val="23"/>
          <w:szCs w:val="23"/>
        </w:rPr>
        <w:t>Emergency Plant Pest Response Deed (EPPRD)</w:t>
      </w:r>
      <w:r w:rsidR="00C44CE7">
        <w:rPr>
          <w:rFonts w:ascii="Corbel" w:hAnsi="Corbel" w:cs="Calibri"/>
          <w:sz w:val="23"/>
          <w:szCs w:val="23"/>
        </w:rPr>
        <w:t xml:space="preserve"> </w:t>
      </w:r>
      <w:r w:rsidRPr="00C626BA">
        <w:rPr>
          <w:rFonts w:ascii="Corbel" w:hAnsi="Corbel" w:cs="Calibri"/>
          <w:sz w:val="23"/>
          <w:szCs w:val="23"/>
        </w:rPr>
        <w:t xml:space="preserve">as agreed by the </w:t>
      </w:r>
      <w:r w:rsidR="00EC6577" w:rsidRPr="00C44CE7">
        <w:rPr>
          <w:rFonts w:ascii="Corbel" w:hAnsi="Corbel" w:cs="Calibri"/>
          <w:sz w:val="23"/>
          <w:szCs w:val="23"/>
        </w:rPr>
        <w:t>National Management Group</w:t>
      </w:r>
      <w:r w:rsidR="00C44CE7" w:rsidRPr="00C44CE7">
        <w:rPr>
          <w:rFonts w:ascii="Corbel" w:hAnsi="Corbel" w:cs="Calibri"/>
          <w:sz w:val="23"/>
          <w:szCs w:val="23"/>
        </w:rPr>
        <w:t xml:space="preserve"> </w:t>
      </w:r>
      <w:r w:rsidR="00873017">
        <w:rPr>
          <w:rFonts w:ascii="Corbel" w:hAnsi="Corbel" w:cs="Calibri"/>
          <w:sz w:val="23"/>
          <w:szCs w:val="23"/>
        </w:rPr>
        <w:t xml:space="preserve">(NMG) </w:t>
      </w:r>
      <w:r w:rsidR="008937C3">
        <w:rPr>
          <w:rFonts w:ascii="Corbel" w:hAnsi="Corbel" w:cs="Calibri"/>
          <w:sz w:val="23"/>
          <w:szCs w:val="23"/>
        </w:rPr>
        <w:t>on 12 September 2016.</w:t>
      </w:r>
    </w:p>
    <w:p w14:paraId="70E67799" w14:textId="4AA438C6" w:rsidR="005F1943" w:rsidRDefault="00C9414D" w:rsidP="005F194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Financial commitments are approved by the NMG subject to budget considerations.</w:t>
      </w:r>
      <w:r w:rsidR="005F1943">
        <w:rPr>
          <w:rFonts w:ascii="Corbel" w:hAnsi="Corbel" w:cs="Calibri"/>
          <w:sz w:val="23"/>
          <w:szCs w:val="23"/>
        </w:rPr>
        <w:t xml:space="preserve"> </w:t>
      </w:r>
      <w:r w:rsidR="005F1943" w:rsidRPr="00C44CE7">
        <w:rPr>
          <w:rFonts w:ascii="Corbel" w:hAnsi="Corbel" w:cs="Calibri"/>
          <w:sz w:val="23"/>
          <w:szCs w:val="23"/>
        </w:rPr>
        <w:t xml:space="preserve">The </w:t>
      </w:r>
      <w:r w:rsidR="005F1943" w:rsidRPr="00FA6AC3">
        <w:rPr>
          <w:rFonts w:ascii="Corbel" w:hAnsi="Corbel" w:cs="Calibri"/>
          <w:i/>
          <w:sz w:val="23"/>
          <w:szCs w:val="23"/>
        </w:rPr>
        <w:t xml:space="preserve">National Response Plan for Eradication of Varroa </w:t>
      </w:r>
      <w:r w:rsidR="00845F74">
        <w:rPr>
          <w:rFonts w:ascii="Corbel" w:hAnsi="Corbel" w:cs="Calibri"/>
          <w:i/>
          <w:sz w:val="23"/>
          <w:szCs w:val="23"/>
        </w:rPr>
        <w:t>jacobsoni</w:t>
      </w:r>
      <w:r w:rsidR="00845F74" w:rsidRPr="00FA6AC3">
        <w:rPr>
          <w:rFonts w:ascii="Corbel" w:hAnsi="Corbel" w:cs="Calibri"/>
          <w:i/>
          <w:sz w:val="23"/>
          <w:szCs w:val="23"/>
        </w:rPr>
        <w:t xml:space="preserve"> </w:t>
      </w:r>
      <w:r w:rsidR="005F1943" w:rsidRPr="00FA6AC3">
        <w:rPr>
          <w:rFonts w:ascii="Corbel" w:hAnsi="Corbel" w:cs="Calibri"/>
          <w:i/>
          <w:sz w:val="23"/>
          <w:szCs w:val="23"/>
        </w:rPr>
        <w:t>from Queensland</w:t>
      </w:r>
      <w:r w:rsidR="001A4873">
        <w:rPr>
          <w:rFonts w:ascii="Corbel" w:hAnsi="Corbel" w:cs="Calibri"/>
          <w:i/>
          <w:sz w:val="23"/>
          <w:szCs w:val="23"/>
        </w:rPr>
        <w:t xml:space="preserve"> V1.5</w:t>
      </w:r>
      <w:r w:rsidR="00096104">
        <w:rPr>
          <w:rFonts w:ascii="Corbel" w:hAnsi="Corbel" w:cs="Calibri"/>
          <w:i/>
          <w:sz w:val="23"/>
          <w:szCs w:val="23"/>
        </w:rPr>
        <w:t xml:space="preserve"> </w:t>
      </w:r>
      <w:r w:rsidR="001A4873">
        <w:rPr>
          <w:rFonts w:ascii="Corbel" w:hAnsi="Corbel" w:cs="Calibri"/>
          <w:sz w:val="23"/>
          <w:szCs w:val="23"/>
        </w:rPr>
        <w:t>(the Re</w:t>
      </w:r>
      <w:r w:rsidR="00F56E34">
        <w:rPr>
          <w:rFonts w:ascii="Corbel" w:hAnsi="Corbel" w:cs="Calibri"/>
          <w:sz w:val="23"/>
          <w:szCs w:val="23"/>
        </w:rPr>
        <w:t>s</w:t>
      </w:r>
      <w:r w:rsidR="001A4873">
        <w:rPr>
          <w:rFonts w:ascii="Corbel" w:hAnsi="Corbel" w:cs="Calibri"/>
          <w:sz w:val="23"/>
          <w:szCs w:val="23"/>
        </w:rPr>
        <w:t xml:space="preserve">ponse Plan) </w:t>
      </w:r>
      <w:r w:rsidR="005F1943" w:rsidRPr="00C44CE7">
        <w:rPr>
          <w:rFonts w:ascii="Corbel" w:hAnsi="Corbel" w:cs="Calibri"/>
          <w:sz w:val="23"/>
          <w:szCs w:val="23"/>
        </w:rPr>
        <w:t xml:space="preserve">budget </w:t>
      </w:r>
      <w:r w:rsidR="005F1943">
        <w:rPr>
          <w:rFonts w:ascii="Corbel" w:hAnsi="Corbel" w:cs="Calibri"/>
          <w:sz w:val="23"/>
          <w:szCs w:val="23"/>
        </w:rPr>
        <w:t>was</w:t>
      </w:r>
      <w:r w:rsidR="005F1943" w:rsidRPr="00C44CE7">
        <w:rPr>
          <w:rFonts w:ascii="Corbel" w:hAnsi="Corbel" w:cs="Calibri"/>
          <w:sz w:val="23"/>
          <w:szCs w:val="23"/>
        </w:rPr>
        <w:t xml:space="preserve"> approved by the NMG </w:t>
      </w:r>
      <w:r w:rsidR="005F1943">
        <w:rPr>
          <w:rFonts w:ascii="Corbel" w:hAnsi="Corbel" w:cs="Calibri"/>
          <w:sz w:val="23"/>
          <w:szCs w:val="23"/>
        </w:rPr>
        <w:t xml:space="preserve">on 12 September 2016 </w:t>
      </w:r>
      <w:r w:rsidR="005F1943" w:rsidRPr="00C44CE7">
        <w:rPr>
          <w:rFonts w:ascii="Corbel" w:hAnsi="Corbel" w:cs="Calibri"/>
          <w:sz w:val="23"/>
          <w:szCs w:val="23"/>
        </w:rPr>
        <w:t xml:space="preserve">in accordance with the </w:t>
      </w:r>
      <w:r w:rsidR="005F1943">
        <w:rPr>
          <w:rFonts w:ascii="Corbel" w:hAnsi="Corbel" w:cs="Calibri"/>
          <w:sz w:val="23"/>
          <w:szCs w:val="23"/>
        </w:rPr>
        <w:t>EPPRD</w:t>
      </w:r>
      <w:r w:rsidR="005F1943" w:rsidRPr="00C44CE7">
        <w:rPr>
          <w:rFonts w:ascii="Corbel" w:hAnsi="Corbel" w:cs="Calibri"/>
          <w:sz w:val="23"/>
          <w:szCs w:val="23"/>
        </w:rPr>
        <w:t>.</w:t>
      </w:r>
    </w:p>
    <w:p w14:paraId="286A2D1C" w14:textId="77777777" w:rsidR="007A567F" w:rsidRPr="007A567F" w:rsidRDefault="007A567F" w:rsidP="007A567F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If required, t</w:t>
      </w:r>
      <w:r w:rsidRPr="00C626BA">
        <w:rPr>
          <w:rFonts w:ascii="Corbel" w:hAnsi="Corbel" w:cs="Calibri"/>
          <w:sz w:val="23"/>
          <w:szCs w:val="23"/>
        </w:rPr>
        <w:t xml:space="preserve">his Schedule will be reviewed in conjunction with reviews of the </w:t>
      </w:r>
      <w:r>
        <w:rPr>
          <w:rFonts w:ascii="Corbel" w:hAnsi="Corbel" w:cs="Calibri"/>
          <w:sz w:val="23"/>
          <w:szCs w:val="23"/>
        </w:rPr>
        <w:t>eradication program</w:t>
      </w:r>
      <w:r w:rsidRPr="00C626BA">
        <w:rPr>
          <w:rFonts w:ascii="Corbel" w:hAnsi="Corbel" w:cs="Calibri"/>
          <w:sz w:val="23"/>
          <w:szCs w:val="23"/>
        </w:rPr>
        <w:t xml:space="preserve"> in accordance with the provisions of the</w:t>
      </w:r>
      <w:r>
        <w:rPr>
          <w:rFonts w:ascii="Corbel" w:hAnsi="Corbel" w:cs="Calibri"/>
          <w:sz w:val="23"/>
          <w:szCs w:val="23"/>
        </w:rPr>
        <w:t xml:space="preserve"> EPPRD</w:t>
      </w:r>
      <w:r w:rsidRPr="00C626BA">
        <w:rPr>
          <w:rFonts w:ascii="Corbel" w:hAnsi="Corbel" w:cs="Calibri"/>
          <w:sz w:val="23"/>
          <w:szCs w:val="23"/>
        </w:rPr>
        <w:t>.</w:t>
      </w:r>
    </w:p>
    <w:p w14:paraId="0C514D90" w14:textId="77777777" w:rsidR="003E230C" w:rsidRPr="003F75C5" w:rsidRDefault="003E230C" w:rsidP="000E5633">
      <w:pPr>
        <w:pStyle w:val="Heading1"/>
        <w:keepLines w:val="0"/>
        <w:spacing w:before="360" w:after="180"/>
        <w:rPr>
          <w:rFonts w:cs="Arial"/>
        </w:rPr>
      </w:pPr>
      <w:r w:rsidRPr="003F75C5">
        <w:rPr>
          <w:rFonts w:cs="Arial"/>
        </w:rPr>
        <w:t xml:space="preserve">Part 2: </w:t>
      </w:r>
      <w:r w:rsidR="00085DE7">
        <w:rPr>
          <w:rFonts w:cs="Arial"/>
        </w:rPr>
        <w:t>FORMALITIES</w:t>
      </w:r>
      <w:r w:rsidR="004D78CB" w:rsidRPr="003F75C5">
        <w:rPr>
          <w:rFonts w:cs="Arial"/>
        </w:rPr>
        <w:tab/>
      </w:r>
    </w:p>
    <w:p w14:paraId="26193E3E" w14:textId="77777777" w:rsidR="00085DE7" w:rsidRPr="00C626BA" w:rsidRDefault="00C8574C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The Parties to this Schedule are the Commonwealth of Australia and </w:t>
      </w:r>
      <w:r w:rsidR="00643F33">
        <w:rPr>
          <w:rFonts w:ascii="Corbel" w:hAnsi="Corbel" w:cs="Calibri"/>
          <w:sz w:val="23"/>
          <w:szCs w:val="23"/>
        </w:rPr>
        <w:t>Queensland</w:t>
      </w:r>
      <w:r w:rsidRPr="00C626BA">
        <w:rPr>
          <w:rFonts w:ascii="Corbel" w:hAnsi="Corbel" w:cs="Calibri"/>
          <w:sz w:val="23"/>
          <w:szCs w:val="23"/>
        </w:rPr>
        <w:t>.</w:t>
      </w:r>
    </w:p>
    <w:p w14:paraId="31759B74" w14:textId="1922E796" w:rsidR="00C8574C" w:rsidRPr="00C44CE7" w:rsidRDefault="007A567F" w:rsidP="00EF3079">
      <w:pPr>
        <w:pStyle w:val="Normalnumbered"/>
        <w:numPr>
          <w:ilvl w:val="0"/>
          <w:numId w:val="38"/>
        </w:numPr>
        <w:spacing w:after="240" w:line="260" w:lineRule="exact"/>
      </w:pPr>
      <w:r w:rsidRPr="00C44CE7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5F1943">
        <w:rPr>
          <w:rFonts w:ascii="Corbel" w:hAnsi="Corbel" w:cs="Calibri"/>
          <w:sz w:val="23"/>
          <w:szCs w:val="23"/>
        </w:rPr>
        <w:t>Queensland</w:t>
      </w:r>
      <w:r w:rsidR="005F1943" w:rsidRPr="00C44CE7">
        <w:rPr>
          <w:rFonts w:ascii="Corbel" w:hAnsi="Corbel" w:cs="Calibri"/>
          <w:sz w:val="23"/>
          <w:szCs w:val="23"/>
        </w:rPr>
        <w:t xml:space="preserve"> </w:t>
      </w:r>
      <w:r w:rsidRPr="00C44CE7">
        <w:rPr>
          <w:rFonts w:ascii="Corbel" w:hAnsi="Corbel" w:cs="Calibri"/>
          <w:sz w:val="23"/>
          <w:szCs w:val="23"/>
        </w:rPr>
        <w:t xml:space="preserve">ministers with portfolio responsibility for </w:t>
      </w:r>
      <w:r>
        <w:rPr>
          <w:rFonts w:ascii="Corbel" w:hAnsi="Corbel" w:cs="Calibri"/>
          <w:sz w:val="23"/>
          <w:szCs w:val="23"/>
        </w:rPr>
        <w:t>national biosecurity emergency management</w:t>
      </w:r>
      <w:r w:rsidRPr="00C44CE7">
        <w:rPr>
          <w:rFonts w:ascii="Corbel" w:hAnsi="Corbel" w:cs="Calibri"/>
          <w:sz w:val="23"/>
          <w:szCs w:val="23"/>
        </w:rPr>
        <w:t>, and will expire</w:t>
      </w:r>
      <w:r w:rsidR="00F73CDE" w:rsidRPr="00C44CE7">
        <w:rPr>
          <w:rFonts w:ascii="Corbel" w:hAnsi="Corbel" w:cs="Calibri"/>
          <w:sz w:val="23"/>
          <w:szCs w:val="23"/>
        </w:rPr>
        <w:t xml:space="preserve"> </w:t>
      </w:r>
      <w:r w:rsidR="00C8574C" w:rsidRPr="00C44CE7">
        <w:rPr>
          <w:rFonts w:ascii="Corbel" w:hAnsi="Corbel" w:cs="Calibri"/>
          <w:sz w:val="23"/>
          <w:szCs w:val="23"/>
        </w:rPr>
        <w:t>on</w:t>
      </w:r>
      <w:r w:rsidR="00C44CE7" w:rsidRPr="00C44CE7">
        <w:rPr>
          <w:rFonts w:ascii="Corbel" w:hAnsi="Corbel" w:cs="Calibri"/>
          <w:sz w:val="23"/>
          <w:szCs w:val="23"/>
        </w:rPr>
        <w:t xml:space="preserve"> 30 June 20</w:t>
      </w:r>
      <w:r w:rsidR="00F33258">
        <w:rPr>
          <w:rFonts w:ascii="Corbel" w:hAnsi="Corbel" w:cs="Calibri"/>
          <w:sz w:val="23"/>
          <w:szCs w:val="23"/>
        </w:rPr>
        <w:t>2</w:t>
      </w:r>
      <w:r w:rsidR="00551C12">
        <w:rPr>
          <w:rFonts w:ascii="Corbel" w:hAnsi="Corbel" w:cs="Calibri"/>
          <w:sz w:val="23"/>
          <w:szCs w:val="23"/>
        </w:rPr>
        <w:t>1</w:t>
      </w:r>
      <w:r w:rsidR="00C44CE7" w:rsidRPr="00C44CE7">
        <w:rPr>
          <w:rFonts w:ascii="Corbel" w:hAnsi="Corbel" w:cs="Calibri"/>
          <w:sz w:val="23"/>
          <w:szCs w:val="23"/>
        </w:rPr>
        <w:t xml:space="preserve">, </w:t>
      </w:r>
      <w:r w:rsidR="00F73CDE" w:rsidRPr="00C44CE7">
        <w:rPr>
          <w:rFonts w:ascii="Corbel" w:hAnsi="Corbel" w:cs="Calibri"/>
          <w:sz w:val="23"/>
          <w:szCs w:val="23"/>
        </w:rPr>
        <w:t>or</w:t>
      </w:r>
      <w:r w:rsidR="00C44CE7" w:rsidRPr="00C44CE7">
        <w:rPr>
          <w:rFonts w:ascii="Corbel" w:hAnsi="Corbel" w:cs="Calibri"/>
          <w:sz w:val="23"/>
          <w:szCs w:val="23"/>
        </w:rPr>
        <w:t xml:space="preserve"> upon</w:t>
      </w:r>
      <w:r w:rsidR="00F73CDE" w:rsidRPr="00C44CE7">
        <w:rPr>
          <w:rFonts w:ascii="Corbel" w:hAnsi="Corbel" w:cs="Calibri"/>
          <w:sz w:val="23"/>
          <w:szCs w:val="23"/>
        </w:rPr>
        <w:t xml:space="preserve"> </w:t>
      </w:r>
      <w:r w:rsidR="00C8574C" w:rsidRPr="00C44CE7">
        <w:rPr>
          <w:rFonts w:ascii="Corbel" w:hAnsi="Corbel" w:cs="Calibri"/>
          <w:sz w:val="23"/>
          <w:szCs w:val="23"/>
        </w:rPr>
        <w:t xml:space="preserve">completion or termination </w:t>
      </w:r>
      <w:r w:rsidR="00C8574C" w:rsidRPr="001A48B8">
        <w:rPr>
          <w:rFonts w:ascii="Corbel" w:hAnsi="Corbel" w:cs="Calibri"/>
          <w:sz w:val="23"/>
          <w:szCs w:val="23"/>
        </w:rPr>
        <w:t>of the</w:t>
      </w:r>
      <w:r w:rsidR="00C8574C" w:rsidRPr="001A48B8">
        <w:rPr>
          <w:rFonts w:ascii="Corbel" w:hAnsi="Corbel" w:cs="Calibri"/>
          <w:i/>
          <w:sz w:val="23"/>
          <w:szCs w:val="23"/>
        </w:rPr>
        <w:t xml:space="preserve"> </w:t>
      </w:r>
      <w:r w:rsidR="00D91DDB" w:rsidRPr="00D91DDB">
        <w:rPr>
          <w:rFonts w:ascii="Corbel" w:hAnsi="Corbel" w:cs="Calibri"/>
          <w:sz w:val="23"/>
          <w:szCs w:val="23"/>
        </w:rPr>
        <w:t>Varroa mite</w:t>
      </w:r>
      <w:r w:rsidR="00F33258" w:rsidRPr="001A48B8">
        <w:rPr>
          <w:rFonts w:ascii="Corbel" w:hAnsi="Corbel" w:cs="Calibri"/>
          <w:i/>
          <w:sz w:val="23"/>
          <w:szCs w:val="23"/>
        </w:rPr>
        <w:t xml:space="preserve"> </w:t>
      </w:r>
      <w:r w:rsidR="00F33258">
        <w:rPr>
          <w:rFonts w:ascii="Corbel" w:hAnsi="Corbel" w:cs="Calibri"/>
          <w:sz w:val="23"/>
          <w:szCs w:val="23"/>
        </w:rPr>
        <w:t>eradication p</w:t>
      </w:r>
      <w:r w:rsidR="00F33258" w:rsidRPr="008937C3">
        <w:rPr>
          <w:rFonts w:ascii="Corbel" w:hAnsi="Corbel" w:cs="Calibri"/>
          <w:sz w:val="23"/>
          <w:szCs w:val="23"/>
        </w:rPr>
        <w:t>rogram</w:t>
      </w:r>
      <w:r w:rsidR="00C8574C" w:rsidRPr="00C44CE7">
        <w:rPr>
          <w:rFonts w:ascii="Corbel" w:hAnsi="Corbel" w:cs="Calibri"/>
          <w:sz w:val="23"/>
          <w:szCs w:val="23"/>
        </w:rPr>
        <w:t xml:space="preserve"> as determined by the </w:t>
      </w:r>
      <w:r w:rsidR="00C44CE7" w:rsidRPr="00C44CE7">
        <w:rPr>
          <w:rFonts w:ascii="Corbel" w:hAnsi="Corbel" w:cs="Calibri"/>
          <w:sz w:val="23"/>
          <w:szCs w:val="23"/>
        </w:rPr>
        <w:t>NMG</w:t>
      </w:r>
      <w:r w:rsidR="00F73CDE" w:rsidRPr="00C44CE7">
        <w:rPr>
          <w:rFonts w:ascii="Corbel" w:hAnsi="Corbel" w:cs="Calibri"/>
          <w:sz w:val="23"/>
          <w:szCs w:val="23"/>
        </w:rPr>
        <w:t xml:space="preserve">, </w:t>
      </w:r>
      <w:r>
        <w:rPr>
          <w:rFonts w:ascii="Corbel" w:hAnsi="Corbel" w:cs="Calibri"/>
          <w:sz w:val="23"/>
          <w:szCs w:val="23"/>
        </w:rPr>
        <w:t xml:space="preserve">including endorsement of the final progress report and processing of final payments against milestones, </w:t>
      </w:r>
      <w:r w:rsidRPr="00C44CE7">
        <w:rPr>
          <w:rFonts w:ascii="Corbel" w:hAnsi="Corbel"/>
          <w:sz w:val="23"/>
          <w:szCs w:val="20"/>
        </w:rPr>
        <w:t xml:space="preserve">unless </w:t>
      </w:r>
      <w:r w:rsidR="00F00E57">
        <w:rPr>
          <w:rFonts w:ascii="Corbel" w:hAnsi="Corbel"/>
          <w:sz w:val="23"/>
          <w:szCs w:val="23"/>
        </w:rPr>
        <w:t>terminated earlier or extended as</w:t>
      </w:r>
      <w:r w:rsidRPr="00C44CE7">
        <w:rPr>
          <w:rFonts w:ascii="Corbel" w:hAnsi="Corbel"/>
          <w:sz w:val="23"/>
          <w:szCs w:val="20"/>
        </w:rPr>
        <w:t xml:space="preserve"> agreed in writing by the Parties</w:t>
      </w:r>
      <w:r w:rsidRPr="00C44CE7">
        <w:rPr>
          <w:rFonts w:ascii="Corbel" w:hAnsi="Corbel" w:cs="Calibri"/>
          <w:sz w:val="23"/>
          <w:szCs w:val="23"/>
        </w:rPr>
        <w:t>.</w:t>
      </w:r>
    </w:p>
    <w:p w14:paraId="07D97D32" w14:textId="77777777" w:rsidR="0036688B" w:rsidRPr="00C8574C" w:rsidRDefault="0036688B" w:rsidP="000E5633">
      <w:pPr>
        <w:pStyle w:val="Heading1"/>
        <w:keepLines w:val="0"/>
        <w:spacing w:before="360" w:after="180"/>
        <w:rPr>
          <w:rFonts w:cs="Arial"/>
        </w:rPr>
      </w:pPr>
      <w:r w:rsidRPr="00C8574C">
        <w:rPr>
          <w:rFonts w:cs="Arial"/>
        </w:rPr>
        <w:t xml:space="preserve">Part </w:t>
      </w:r>
      <w:r w:rsidR="00C26A29" w:rsidRPr="00C8574C">
        <w:rPr>
          <w:rFonts w:cs="Arial"/>
        </w:rPr>
        <w:t>3</w:t>
      </w:r>
      <w:r w:rsidRPr="00C8574C">
        <w:rPr>
          <w:rFonts w:cs="Arial"/>
        </w:rPr>
        <w:t xml:space="preserve">: </w:t>
      </w:r>
      <w:r w:rsidR="00C8574C" w:rsidRPr="00C8574C">
        <w:rPr>
          <w:rFonts w:cs="Arial"/>
        </w:rPr>
        <w:tab/>
        <w:t>PROJECT ELEMENTS AND MILESTONES</w:t>
      </w:r>
    </w:p>
    <w:p w14:paraId="089D6C8A" w14:textId="1732A299" w:rsidR="00551C12" w:rsidRPr="00C626BA" w:rsidRDefault="00FB5E25" w:rsidP="00551C12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>The project elements</w:t>
      </w:r>
      <w:r w:rsidR="00C8574C" w:rsidRPr="00C626BA">
        <w:rPr>
          <w:rFonts w:ascii="Corbel" w:hAnsi="Corbel" w:cs="Calibri"/>
          <w:sz w:val="23"/>
          <w:szCs w:val="23"/>
        </w:rPr>
        <w:t xml:space="preserve"> </w:t>
      </w:r>
      <w:r w:rsidR="00F33258">
        <w:rPr>
          <w:rFonts w:ascii="Corbel" w:hAnsi="Corbel" w:cs="Calibri"/>
          <w:sz w:val="23"/>
          <w:szCs w:val="23"/>
        </w:rPr>
        <w:t xml:space="preserve">are described in the </w:t>
      </w:r>
      <w:r w:rsidR="00F33258" w:rsidRPr="00D87DF7">
        <w:rPr>
          <w:rFonts w:ascii="Corbel" w:hAnsi="Corbel" w:cs="Calibri"/>
          <w:i/>
          <w:sz w:val="23"/>
          <w:szCs w:val="23"/>
        </w:rPr>
        <w:t xml:space="preserve">National Response Plan for Eradication of </w:t>
      </w:r>
      <w:r w:rsidR="00D91DDB" w:rsidRPr="00D87DF7">
        <w:rPr>
          <w:rFonts w:ascii="Corbel" w:hAnsi="Corbel" w:cs="Calibri"/>
          <w:i/>
          <w:sz w:val="23"/>
          <w:szCs w:val="23"/>
        </w:rPr>
        <w:t xml:space="preserve">Varroa </w:t>
      </w:r>
      <w:r w:rsidR="00845F74" w:rsidRPr="00D87DF7">
        <w:rPr>
          <w:rFonts w:ascii="Corbel" w:hAnsi="Corbel" w:cs="Calibri"/>
          <w:i/>
          <w:sz w:val="23"/>
          <w:szCs w:val="23"/>
        </w:rPr>
        <w:t>jacobsoni</w:t>
      </w:r>
      <w:r w:rsidR="00845F74" w:rsidRPr="00845F74">
        <w:rPr>
          <w:rFonts w:ascii="Corbel" w:hAnsi="Corbel" w:cs="Calibri"/>
          <w:i/>
          <w:sz w:val="23"/>
          <w:szCs w:val="23"/>
        </w:rPr>
        <w:t xml:space="preserve"> </w:t>
      </w:r>
      <w:r w:rsidR="00F33258" w:rsidRPr="00D87DF7">
        <w:rPr>
          <w:rFonts w:ascii="Corbel" w:hAnsi="Corbel" w:cs="Calibri"/>
          <w:i/>
          <w:sz w:val="23"/>
          <w:szCs w:val="23"/>
        </w:rPr>
        <w:t xml:space="preserve">from </w:t>
      </w:r>
      <w:r w:rsidR="006F4985" w:rsidRPr="00D87DF7">
        <w:rPr>
          <w:rFonts w:ascii="Corbel" w:hAnsi="Corbel" w:cs="Calibri"/>
          <w:i/>
          <w:sz w:val="23"/>
          <w:szCs w:val="23"/>
        </w:rPr>
        <w:t>Queensland</w:t>
      </w:r>
      <w:r w:rsidR="006F4985">
        <w:rPr>
          <w:rFonts w:ascii="Corbel" w:hAnsi="Corbel" w:cs="Calibri"/>
          <w:sz w:val="23"/>
          <w:szCs w:val="23"/>
        </w:rPr>
        <w:t>, Version</w:t>
      </w:r>
      <w:r w:rsidR="00F33258">
        <w:rPr>
          <w:rFonts w:ascii="Corbel" w:hAnsi="Corbel" w:cs="Calibri"/>
          <w:sz w:val="23"/>
          <w:szCs w:val="23"/>
        </w:rPr>
        <w:t xml:space="preserve"> 1.5. </w:t>
      </w:r>
      <w:r w:rsidR="00551C12" w:rsidRPr="00551C12">
        <w:rPr>
          <w:rFonts w:cs="Calibri"/>
          <w:szCs w:val="23"/>
        </w:rPr>
        <w:t xml:space="preserve"> </w:t>
      </w:r>
      <w:r w:rsidR="00551C12">
        <w:rPr>
          <w:rFonts w:ascii="Corbel" w:hAnsi="Corbel" w:cs="Calibri"/>
          <w:sz w:val="23"/>
          <w:szCs w:val="23"/>
        </w:rPr>
        <w:t>Queensland is responsible for delivering the following elements in accordance with the Response Plan:</w:t>
      </w:r>
    </w:p>
    <w:p w14:paraId="1A59A5EE" w14:textId="77777777" w:rsidR="00551C12" w:rsidRPr="00482D39" w:rsidRDefault="00551C12" w:rsidP="00551C12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EC6577">
        <w:rPr>
          <w:rFonts w:ascii="Corbel" w:hAnsi="Corbel" w:cs="Calibri"/>
          <w:i/>
          <w:color w:val="808080" w:themeColor="background1" w:themeShade="80"/>
          <w:sz w:val="23"/>
          <w:szCs w:val="23"/>
        </w:rPr>
        <w:t xml:space="preserve"> </w:t>
      </w:r>
      <w:r w:rsidRPr="00FA6AC3">
        <w:rPr>
          <w:rFonts w:ascii="Corbel" w:hAnsi="Corbel" w:cs="Calibri"/>
          <w:sz w:val="23"/>
          <w:szCs w:val="23"/>
        </w:rPr>
        <w:t xml:space="preserve">Quarantine and movement control: </w:t>
      </w:r>
    </w:p>
    <w:p w14:paraId="7C3F4CFC" w14:textId="2A93FF1C" w:rsidR="00551C12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6F4985">
        <w:rPr>
          <w:rFonts w:ascii="Corbel" w:hAnsi="Corbel" w:cs="Calibri"/>
          <w:sz w:val="23"/>
          <w:szCs w:val="23"/>
        </w:rPr>
        <w:t>Movement controls were introduced to restrict movement of certain carrier products to prevent any possible spread of the mite. The movement control order relates to an area with a radius of 10</w:t>
      </w:r>
      <w:r w:rsidR="00482D39">
        <w:rPr>
          <w:rFonts w:ascii="Corbel" w:hAnsi="Corbel" w:cs="Calibri"/>
          <w:sz w:val="23"/>
          <w:szCs w:val="23"/>
        </w:rPr>
        <w:t xml:space="preserve"> </w:t>
      </w:r>
      <w:r w:rsidR="00482D39" w:rsidRPr="006F4985">
        <w:rPr>
          <w:rFonts w:ascii="Corbel" w:hAnsi="Corbel" w:cs="Calibri"/>
          <w:sz w:val="23"/>
          <w:szCs w:val="23"/>
        </w:rPr>
        <w:t>k</w:t>
      </w:r>
      <w:r w:rsidR="00482D39">
        <w:rPr>
          <w:rFonts w:ascii="Corbel" w:hAnsi="Corbel" w:cs="Calibri"/>
          <w:sz w:val="23"/>
          <w:szCs w:val="23"/>
        </w:rPr>
        <w:t>ilometres</w:t>
      </w:r>
      <w:r w:rsidR="00482D39" w:rsidRPr="006F4985">
        <w:rPr>
          <w:rFonts w:ascii="Corbel" w:hAnsi="Corbel" w:cs="Calibri"/>
          <w:sz w:val="23"/>
          <w:szCs w:val="23"/>
        </w:rPr>
        <w:t xml:space="preserve"> </w:t>
      </w:r>
      <w:r w:rsidRPr="006F4985">
        <w:rPr>
          <w:rFonts w:ascii="Corbel" w:hAnsi="Corbel" w:cs="Calibri"/>
          <w:sz w:val="23"/>
          <w:szCs w:val="23"/>
        </w:rPr>
        <w:t xml:space="preserve">around any detection of </w:t>
      </w:r>
      <w:r w:rsidRPr="001A48B8">
        <w:rPr>
          <w:rFonts w:ascii="Corbel" w:hAnsi="Corbel" w:cs="Calibri"/>
          <w:i/>
          <w:sz w:val="23"/>
          <w:szCs w:val="23"/>
        </w:rPr>
        <w:t>Varroa jacobsoni</w:t>
      </w:r>
      <w:r w:rsidRPr="006F4985">
        <w:rPr>
          <w:rFonts w:ascii="Corbel" w:hAnsi="Corbel" w:cs="Calibri"/>
          <w:sz w:val="23"/>
          <w:szCs w:val="23"/>
        </w:rPr>
        <w:t xml:space="preserve"> and each new Asian honey bee detection.</w:t>
      </w:r>
    </w:p>
    <w:p w14:paraId="23796239" w14:textId="0AAEA114" w:rsidR="00551C12" w:rsidRPr="006F4985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6F4985">
        <w:rPr>
          <w:rFonts w:ascii="Corbel" w:hAnsi="Corbel" w:cs="Calibri"/>
          <w:sz w:val="23"/>
          <w:szCs w:val="23"/>
        </w:rPr>
        <w:lastRenderedPageBreak/>
        <w:t xml:space="preserve">The movement controls </w:t>
      </w:r>
      <w:r w:rsidR="00F00E57">
        <w:rPr>
          <w:rFonts w:ascii="Corbel" w:hAnsi="Corbel" w:cs="Calibri"/>
          <w:sz w:val="23"/>
          <w:szCs w:val="23"/>
        </w:rPr>
        <w:t>are</w:t>
      </w:r>
      <w:r w:rsidRPr="006F4985">
        <w:rPr>
          <w:rFonts w:ascii="Corbel" w:hAnsi="Corbel" w:cs="Calibri"/>
          <w:sz w:val="23"/>
          <w:szCs w:val="23"/>
        </w:rPr>
        <w:t xml:space="preserve"> reassessed based on advice from the Consultative Committee on Emergency Plant Pests (CCEPP) and the Scientific Advisory Panel.</w:t>
      </w:r>
    </w:p>
    <w:p w14:paraId="02B9F628" w14:textId="77777777" w:rsidR="00551C12" w:rsidRPr="00482D39" w:rsidRDefault="00551C12" w:rsidP="00551C12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FA6AC3">
        <w:rPr>
          <w:rFonts w:ascii="Corbel" w:hAnsi="Corbel" w:cs="Calibri"/>
          <w:sz w:val="23"/>
          <w:szCs w:val="23"/>
        </w:rPr>
        <w:t>Surveillance:</w:t>
      </w:r>
      <w:r w:rsidRPr="00482D39">
        <w:rPr>
          <w:rFonts w:ascii="Corbel" w:hAnsi="Corbel" w:cs="Calibri"/>
          <w:sz w:val="23"/>
          <w:szCs w:val="23"/>
        </w:rPr>
        <w:t xml:space="preserve"> </w:t>
      </w:r>
    </w:p>
    <w:p w14:paraId="33252104" w14:textId="77777777" w:rsidR="00551C12" w:rsidRPr="00453CE1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453CE1">
        <w:rPr>
          <w:rFonts w:ascii="Corbel" w:hAnsi="Corbel" w:cs="Calibri"/>
          <w:sz w:val="23"/>
          <w:szCs w:val="23"/>
        </w:rPr>
        <w:t>The surveillance program consists of a general surveillance program and four specific surveys. The general surveillance program will also be run in conjunction with a communication plan to raise general awareness and encourage public reporting of feral bees.</w:t>
      </w:r>
    </w:p>
    <w:p w14:paraId="3270710C" w14:textId="77777777" w:rsidR="00551C12" w:rsidRPr="00453CE1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453CE1">
        <w:rPr>
          <w:rFonts w:ascii="Corbel" w:hAnsi="Corbel" w:cs="Calibri"/>
          <w:sz w:val="23"/>
          <w:szCs w:val="23"/>
        </w:rPr>
        <w:t xml:space="preserve">The general program is focussed on detecting any populations of </w:t>
      </w:r>
      <w:r w:rsidRPr="001A48B8">
        <w:rPr>
          <w:rFonts w:ascii="Corbel" w:hAnsi="Corbel" w:cs="Calibri"/>
          <w:i/>
          <w:sz w:val="23"/>
          <w:szCs w:val="23"/>
        </w:rPr>
        <w:t>V. jacobsoni</w:t>
      </w:r>
      <w:r w:rsidRPr="00453CE1">
        <w:rPr>
          <w:rFonts w:ascii="Corbel" w:hAnsi="Corbel" w:cs="Calibri"/>
          <w:sz w:val="23"/>
          <w:szCs w:val="23"/>
        </w:rPr>
        <w:t xml:space="preserve"> that may occur within 10 kilometres of a prior detection with higher intensity surveillance activities focussed within a 2.5 kilometre radius. </w:t>
      </w:r>
    </w:p>
    <w:p w14:paraId="1EAD94A1" w14:textId="0C9496C9" w:rsidR="00551C12" w:rsidRPr="00453CE1" w:rsidRDefault="00482D39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In e</w:t>
      </w:r>
      <w:r w:rsidRPr="00453CE1">
        <w:rPr>
          <w:rFonts w:ascii="Corbel" w:hAnsi="Corbel" w:cs="Calibri"/>
          <w:sz w:val="23"/>
          <w:szCs w:val="23"/>
        </w:rPr>
        <w:t xml:space="preserve">ach </w:t>
      </w:r>
      <w:r w:rsidR="00551C12" w:rsidRPr="00453CE1">
        <w:rPr>
          <w:rFonts w:ascii="Corbel" w:hAnsi="Corbel" w:cs="Calibri"/>
          <w:sz w:val="23"/>
          <w:szCs w:val="23"/>
        </w:rPr>
        <w:t xml:space="preserve">of the four specific surveys there </w:t>
      </w:r>
      <w:r>
        <w:rPr>
          <w:rFonts w:ascii="Corbel" w:hAnsi="Corbel" w:cs="Calibri"/>
          <w:sz w:val="23"/>
          <w:szCs w:val="23"/>
        </w:rPr>
        <w:t>are</w:t>
      </w:r>
      <w:r w:rsidRPr="00453CE1">
        <w:rPr>
          <w:rFonts w:ascii="Corbel" w:hAnsi="Corbel" w:cs="Calibri"/>
          <w:sz w:val="23"/>
          <w:szCs w:val="23"/>
        </w:rPr>
        <w:t xml:space="preserve"> </w:t>
      </w:r>
      <w:r w:rsidR="00551C12" w:rsidRPr="00453CE1">
        <w:rPr>
          <w:rFonts w:ascii="Corbel" w:hAnsi="Corbel" w:cs="Calibri"/>
          <w:sz w:val="23"/>
          <w:szCs w:val="23"/>
        </w:rPr>
        <w:t>identified trigger points that will indicate a significant change in the status of the incursion and will prompt a review of the surveillance plan. The four specific surveys will target:</w:t>
      </w:r>
    </w:p>
    <w:p w14:paraId="042BB1F8" w14:textId="7A5EEA83" w:rsidR="00551C12" w:rsidRPr="00453CE1" w:rsidRDefault="005F1943" w:rsidP="00FA6AC3">
      <w:pPr>
        <w:pStyle w:val="Normalnumbered"/>
        <w:spacing w:line="260" w:lineRule="exact"/>
        <w:ind w:left="1996" w:hanging="436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a)</w:t>
      </w:r>
      <w:r w:rsidR="00F00E57">
        <w:rPr>
          <w:rFonts w:ascii="Corbel" w:hAnsi="Corbel" w:cs="Calibri"/>
          <w:sz w:val="23"/>
          <w:szCs w:val="23"/>
        </w:rPr>
        <w:tab/>
      </w:r>
      <w:r w:rsidR="00551C12" w:rsidRPr="00453CE1">
        <w:rPr>
          <w:rFonts w:ascii="Corbel" w:hAnsi="Corbel" w:cs="Calibri"/>
          <w:sz w:val="23"/>
          <w:szCs w:val="23"/>
        </w:rPr>
        <w:t>Identifying any feral nests within 10</w:t>
      </w:r>
      <w:r w:rsidR="00482D39">
        <w:rPr>
          <w:rFonts w:ascii="Corbel" w:hAnsi="Corbel" w:cs="Calibri"/>
          <w:sz w:val="23"/>
          <w:szCs w:val="23"/>
        </w:rPr>
        <w:t xml:space="preserve"> </w:t>
      </w:r>
      <w:r w:rsidR="00482D39" w:rsidRPr="00453CE1">
        <w:rPr>
          <w:rFonts w:ascii="Corbel" w:hAnsi="Corbel" w:cs="Calibri"/>
          <w:sz w:val="23"/>
          <w:szCs w:val="23"/>
        </w:rPr>
        <w:t>k</w:t>
      </w:r>
      <w:r w:rsidR="00482D39">
        <w:rPr>
          <w:rFonts w:ascii="Corbel" w:hAnsi="Corbel" w:cs="Calibri"/>
          <w:sz w:val="23"/>
          <w:szCs w:val="23"/>
        </w:rPr>
        <w:t>ilometres</w:t>
      </w:r>
      <w:r w:rsidR="00482D39" w:rsidRPr="00453CE1">
        <w:rPr>
          <w:rFonts w:ascii="Corbel" w:hAnsi="Corbel" w:cs="Calibri"/>
          <w:sz w:val="23"/>
          <w:szCs w:val="23"/>
        </w:rPr>
        <w:t xml:space="preserve"> </w:t>
      </w:r>
      <w:r w:rsidR="00551C12" w:rsidRPr="00453CE1">
        <w:rPr>
          <w:rFonts w:ascii="Corbel" w:hAnsi="Corbel" w:cs="Calibri"/>
          <w:sz w:val="23"/>
          <w:szCs w:val="23"/>
        </w:rPr>
        <w:t>of a detection</w:t>
      </w:r>
      <w:r w:rsidR="00482D39">
        <w:rPr>
          <w:rFonts w:ascii="Corbel" w:hAnsi="Corbel" w:cs="Calibri"/>
          <w:sz w:val="23"/>
          <w:szCs w:val="23"/>
        </w:rPr>
        <w:t>;</w:t>
      </w:r>
    </w:p>
    <w:p w14:paraId="1B572387" w14:textId="18D82A20" w:rsidR="00551C12" w:rsidRPr="00453CE1" w:rsidRDefault="005F1943" w:rsidP="00FA6AC3">
      <w:pPr>
        <w:pStyle w:val="Normalnumbered"/>
        <w:spacing w:line="260" w:lineRule="exact"/>
        <w:ind w:left="1996" w:hanging="436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b)</w:t>
      </w:r>
      <w:r w:rsidR="00F00E57">
        <w:rPr>
          <w:rFonts w:ascii="Corbel" w:hAnsi="Corbel" w:cs="Calibri"/>
          <w:sz w:val="23"/>
          <w:szCs w:val="23"/>
        </w:rPr>
        <w:tab/>
      </w:r>
      <w:r w:rsidR="00551C12" w:rsidRPr="00453CE1">
        <w:rPr>
          <w:rFonts w:ascii="Corbel" w:hAnsi="Corbel" w:cs="Calibri"/>
          <w:sz w:val="23"/>
          <w:szCs w:val="23"/>
        </w:rPr>
        <w:t xml:space="preserve">Determining if </w:t>
      </w:r>
      <w:r w:rsidR="00551C12" w:rsidRPr="001A48B8">
        <w:rPr>
          <w:rFonts w:ascii="Corbel" w:hAnsi="Corbel" w:cs="Calibri"/>
          <w:i/>
          <w:sz w:val="23"/>
          <w:szCs w:val="23"/>
        </w:rPr>
        <w:t>V. jacobsoni</w:t>
      </w:r>
      <w:r w:rsidR="00551C12" w:rsidRPr="00453CE1">
        <w:rPr>
          <w:rFonts w:ascii="Corbel" w:hAnsi="Corbel" w:cs="Calibri"/>
          <w:sz w:val="23"/>
          <w:szCs w:val="23"/>
        </w:rPr>
        <w:t xml:space="preserve"> is present in managed European honey bees</w:t>
      </w:r>
      <w:r w:rsidR="00482D39">
        <w:rPr>
          <w:rFonts w:ascii="Corbel" w:hAnsi="Corbel" w:cs="Calibri"/>
          <w:sz w:val="23"/>
          <w:szCs w:val="23"/>
        </w:rPr>
        <w:t>;</w:t>
      </w:r>
    </w:p>
    <w:p w14:paraId="78FAC0DD" w14:textId="1B655E94" w:rsidR="00551C12" w:rsidRPr="00453CE1" w:rsidRDefault="005F1943" w:rsidP="00FA6AC3">
      <w:pPr>
        <w:pStyle w:val="Normalnumbered"/>
        <w:spacing w:line="260" w:lineRule="exact"/>
        <w:ind w:left="1996" w:hanging="436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c)</w:t>
      </w:r>
      <w:r w:rsidR="00F00E57">
        <w:rPr>
          <w:rFonts w:ascii="Corbel" w:hAnsi="Corbel" w:cs="Calibri"/>
          <w:sz w:val="23"/>
          <w:szCs w:val="23"/>
        </w:rPr>
        <w:tab/>
      </w:r>
      <w:r w:rsidR="00551C12" w:rsidRPr="00453CE1">
        <w:rPr>
          <w:rFonts w:ascii="Corbel" w:hAnsi="Corbel" w:cs="Calibri"/>
          <w:sz w:val="23"/>
          <w:szCs w:val="23"/>
        </w:rPr>
        <w:t>A low</w:t>
      </w:r>
      <w:r w:rsidR="00482D39">
        <w:rPr>
          <w:rFonts w:ascii="Corbel" w:hAnsi="Corbel" w:cs="Calibri"/>
          <w:sz w:val="23"/>
          <w:szCs w:val="23"/>
        </w:rPr>
        <w:t>-</w:t>
      </w:r>
      <w:r w:rsidR="00551C12" w:rsidRPr="00453CE1">
        <w:rPr>
          <w:rFonts w:ascii="Corbel" w:hAnsi="Corbel" w:cs="Calibri"/>
          <w:sz w:val="23"/>
          <w:szCs w:val="23"/>
        </w:rPr>
        <w:t xml:space="preserve">level monitoring of established populations of Asian honey bees in the Cairns region for </w:t>
      </w:r>
      <w:r w:rsidR="00551C12" w:rsidRPr="001A48B8">
        <w:rPr>
          <w:rFonts w:ascii="Corbel" w:hAnsi="Corbel" w:cs="Calibri"/>
          <w:i/>
          <w:sz w:val="23"/>
          <w:szCs w:val="23"/>
        </w:rPr>
        <w:t>V. jacobsoni</w:t>
      </w:r>
      <w:r w:rsidR="00482D39">
        <w:rPr>
          <w:rFonts w:ascii="Corbel" w:hAnsi="Corbel" w:cs="Calibri"/>
          <w:sz w:val="23"/>
          <w:szCs w:val="23"/>
        </w:rPr>
        <w:t>;</w:t>
      </w:r>
    </w:p>
    <w:p w14:paraId="46C5E1C9" w14:textId="20C29493" w:rsidR="00551C12" w:rsidRPr="00453CE1" w:rsidRDefault="005F1943" w:rsidP="00FA6AC3">
      <w:pPr>
        <w:pStyle w:val="Normalnumbered"/>
        <w:spacing w:after="240" w:line="260" w:lineRule="exact"/>
        <w:ind w:left="1996" w:hanging="436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d)</w:t>
      </w:r>
      <w:r w:rsidR="00F00E57">
        <w:rPr>
          <w:rFonts w:ascii="Corbel" w:hAnsi="Corbel" w:cs="Calibri"/>
          <w:sz w:val="23"/>
          <w:szCs w:val="23"/>
        </w:rPr>
        <w:tab/>
      </w:r>
      <w:r w:rsidR="00551C12" w:rsidRPr="00453CE1">
        <w:rPr>
          <w:rFonts w:ascii="Corbel" w:hAnsi="Corbel" w:cs="Calibri"/>
          <w:sz w:val="23"/>
          <w:szCs w:val="23"/>
        </w:rPr>
        <w:t>Targeted sampling of rainbow bee</w:t>
      </w:r>
      <w:r w:rsidR="00482D39">
        <w:rPr>
          <w:rFonts w:ascii="Corbel" w:hAnsi="Corbel" w:cs="Calibri"/>
          <w:sz w:val="23"/>
          <w:szCs w:val="23"/>
        </w:rPr>
        <w:t>-</w:t>
      </w:r>
      <w:r w:rsidR="00551C12" w:rsidRPr="00453CE1">
        <w:rPr>
          <w:rFonts w:ascii="Corbel" w:hAnsi="Corbel" w:cs="Calibri"/>
          <w:sz w:val="23"/>
          <w:szCs w:val="23"/>
        </w:rPr>
        <w:t>eater pellets for evidence of Asian honey bees.</w:t>
      </w:r>
    </w:p>
    <w:p w14:paraId="3073AD78" w14:textId="77777777" w:rsidR="00551C12" w:rsidRPr="00FA6AC3" w:rsidRDefault="00551C12" w:rsidP="00551C12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FA6AC3">
        <w:rPr>
          <w:rFonts w:ascii="Corbel" w:hAnsi="Corbel" w:cs="Calibri"/>
          <w:sz w:val="23"/>
          <w:szCs w:val="23"/>
        </w:rPr>
        <w:t>Destruction</w:t>
      </w:r>
    </w:p>
    <w:p w14:paraId="60D29914" w14:textId="67AD7E21" w:rsidR="00551C12" w:rsidRPr="00CA6278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CA6278">
        <w:rPr>
          <w:rFonts w:ascii="Corbel" w:hAnsi="Corbel" w:cs="Calibri"/>
          <w:sz w:val="23"/>
          <w:szCs w:val="23"/>
        </w:rPr>
        <w:t>Nests of Asian honey bees will be destroyed in the evening following detection when most foraging bees have returned to the nest. Where possible</w:t>
      </w:r>
      <w:r w:rsidR="00482D39">
        <w:rPr>
          <w:rFonts w:ascii="Corbel" w:hAnsi="Corbel" w:cs="Calibri"/>
          <w:sz w:val="23"/>
          <w:szCs w:val="23"/>
        </w:rPr>
        <w:t>,</w:t>
      </w:r>
      <w:r w:rsidRPr="00CA6278">
        <w:rPr>
          <w:rFonts w:ascii="Corbel" w:hAnsi="Corbel" w:cs="Calibri"/>
          <w:sz w:val="23"/>
          <w:szCs w:val="23"/>
        </w:rPr>
        <w:t xml:space="preserve"> swarms of Asian honey bees will be destroyed immediately after detection prior to establishing a new nest site. </w:t>
      </w:r>
    </w:p>
    <w:p w14:paraId="0A476EDC" w14:textId="0CF24D3B" w:rsidR="00551C12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CA6278">
        <w:rPr>
          <w:rFonts w:ascii="Corbel" w:hAnsi="Corbel" w:cs="Calibri"/>
          <w:sz w:val="23"/>
          <w:szCs w:val="23"/>
        </w:rPr>
        <w:t>All bees and comb will be collected wh</w:t>
      </w:r>
      <w:r w:rsidR="00096104">
        <w:rPr>
          <w:rFonts w:ascii="Corbel" w:hAnsi="Corbel" w:cs="Calibri"/>
          <w:sz w:val="23"/>
          <w:szCs w:val="23"/>
        </w:rPr>
        <w:t>enever possible and submitted for</w:t>
      </w:r>
      <w:r w:rsidRPr="00CA6278">
        <w:rPr>
          <w:rFonts w:ascii="Corbel" w:hAnsi="Corbel" w:cs="Calibri"/>
          <w:sz w:val="23"/>
          <w:szCs w:val="23"/>
        </w:rPr>
        <w:t xml:space="preserve"> laboratory testing and evaluation.</w:t>
      </w:r>
    </w:p>
    <w:p w14:paraId="7174922F" w14:textId="77777777" w:rsidR="00551C12" w:rsidRPr="00FA6AC3" w:rsidRDefault="00551C12" w:rsidP="00551C12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FA6AC3">
        <w:rPr>
          <w:rFonts w:ascii="Corbel" w:hAnsi="Corbel" w:cs="Calibri"/>
          <w:sz w:val="23"/>
          <w:szCs w:val="23"/>
        </w:rPr>
        <w:t>Proof of Freedom</w:t>
      </w:r>
    </w:p>
    <w:p w14:paraId="201911FB" w14:textId="77777777" w:rsidR="00551C12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It is anticipated that three years of additional surveillance, following perceived eradication, may be required to provide proof of freedom.</w:t>
      </w:r>
    </w:p>
    <w:p w14:paraId="7CD39C3A" w14:textId="28AAC9EB" w:rsidR="00551C12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A detection of Asian honey bee or </w:t>
      </w:r>
      <w:r w:rsidRPr="001A48B8">
        <w:rPr>
          <w:rFonts w:ascii="Corbel" w:hAnsi="Corbel" w:cs="Calibri"/>
          <w:i/>
          <w:sz w:val="23"/>
          <w:szCs w:val="23"/>
        </w:rPr>
        <w:t>V. jacobsoni</w:t>
      </w:r>
      <w:r>
        <w:rPr>
          <w:rFonts w:ascii="Corbel" w:hAnsi="Corbel" w:cs="Calibri"/>
          <w:sz w:val="23"/>
          <w:szCs w:val="23"/>
        </w:rPr>
        <w:t xml:space="preserve"> in the Townsville area during the proof of freedom phase will </w:t>
      </w:r>
      <w:r w:rsidR="001A4873">
        <w:rPr>
          <w:rFonts w:ascii="Corbel" w:hAnsi="Corbel" w:cs="Calibri"/>
          <w:sz w:val="23"/>
          <w:szCs w:val="23"/>
        </w:rPr>
        <w:t>be immediately reported to CCEPP for consideration in terms of the continued technical feasibility of eradication.</w:t>
      </w:r>
    </w:p>
    <w:p w14:paraId="5D1D594D" w14:textId="77777777" w:rsidR="00551C12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Proof of freedom activities:</w:t>
      </w:r>
    </w:p>
    <w:p w14:paraId="49F7BF1B" w14:textId="2473D4DF" w:rsidR="00551C12" w:rsidRDefault="005F1943" w:rsidP="00FA6AC3">
      <w:pPr>
        <w:pStyle w:val="Normalnumbered"/>
        <w:spacing w:line="260" w:lineRule="exact"/>
        <w:ind w:left="1985" w:hanging="425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a)</w:t>
      </w:r>
      <w:r w:rsidR="00F00E57">
        <w:rPr>
          <w:rFonts w:ascii="Corbel" w:hAnsi="Corbel" w:cs="Calibri"/>
          <w:sz w:val="23"/>
          <w:szCs w:val="23"/>
        </w:rPr>
        <w:tab/>
      </w:r>
      <w:r w:rsidR="00096104">
        <w:rPr>
          <w:rFonts w:ascii="Corbel" w:hAnsi="Corbel" w:cs="Calibri"/>
          <w:sz w:val="23"/>
          <w:szCs w:val="23"/>
        </w:rPr>
        <w:t>Establishing</w:t>
      </w:r>
      <w:r w:rsidR="00551C12">
        <w:rPr>
          <w:rFonts w:ascii="Corbel" w:hAnsi="Corbel" w:cs="Calibri"/>
          <w:sz w:val="23"/>
          <w:szCs w:val="23"/>
        </w:rPr>
        <w:t xml:space="preserve"> sentinel hives at the infested premises to check for </w:t>
      </w:r>
      <w:r w:rsidR="00E32D4E" w:rsidRPr="00D87DF7">
        <w:rPr>
          <w:rFonts w:ascii="Corbel" w:hAnsi="Corbel" w:cs="Calibri"/>
          <w:i/>
          <w:sz w:val="23"/>
          <w:szCs w:val="23"/>
        </w:rPr>
        <w:t>V. jacobsoni</w:t>
      </w:r>
      <w:r w:rsidR="00551C12">
        <w:rPr>
          <w:rFonts w:ascii="Corbel" w:hAnsi="Corbel" w:cs="Calibri"/>
          <w:sz w:val="23"/>
          <w:szCs w:val="23"/>
        </w:rPr>
        <w:t xml:space="preserve"> in swarms</w:t>
      </w:r>
      <w:r w:rsidR="00482D39">
        <w:rPr>
          <w:rFonts w:ascii="Corbel" w:hAnsi="Corbel" w:cs="Calibri"/>
          <w:sz w:val="23"/>
          <w:szCs w:val="23"/>
        </w:rPr>
        <w:t>;</w:t>
      </w:r>
    </w:p>
    <w:p w14:paraId="406B4A5F" w14:textId="7F98710E" w:rsidR="00551C12" w:rsidRDefault="005F1943" w:rsidP="00FA6AC3">
      <w:pPr>
        <w:pStyle w:val="Normalnumbered"/>
        <w:spacing w:line="260" w:lineRule="exact"/>
        <w:ind w:left="1985" w:hanging="425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b)</w:t>
      </w:r>
      <w:r w:rsidR="00F00E57">
        <w:rPr>
          <w:rFonts w:ascii="Corbel" w:hAnsi="Corbel" w:cs="Calibri"/>
          <w:sz w:val="23"/>
          <w:szCs w:val="23"/>
        </w:rPr>
        <w:tab/>
      </w:r>
      <w:r w:rsidR="00551C12">
        <w:rPr>
          <w:rFonts w:ascii="Corbel" w:hAnsi="Corbel" w:cs="Calibri"/>
          <w:sz w:val="23"/>
          <w:szCs w:val="23"/>
        </w:rPr>
        <w:t>Maintaining good sanitation, hygiene and surveillance practices in managed hives</w:t>
      </w:r>
      <w:r w:rsidR="00482D39">
        <w:rPr>
          <w:rFonts w:ascii="Corbel" w:hAnsi="Corbel" w:cs="Calibri"/>
          <w:sz w:val="23"/>
          <w:szCs w:val="23"/>
        </w:rPr>
        <w:t>;</w:t>
      </w:r>
    </w:p>
    <w:p w14:paraId="6F10F700" w14:textId="0ABA2D21" w:rsidR="00551C12" w:rsidRDefault="005F1943" w:rsidP="00FA6AC3">
      <w:pPr>
        <w:pStyle w:val="Normalnumbered"/>
        <w:spacing w:line="260" w:lineRule="exact"/>
        <w:ind w:left="1985" w:hanging="425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c)</w:t>
      </w:r>
      <w:r>
        <w:rPr>
          <w:rFonts w:ascii="Corbel" w:hAnsi="Corbel" w:cs="Calibri"/>
          <w:sz w:val="23"/>
          <w:szCs w:val="23"/>
        </w:rPr>
        <w:tab/>
      </w:r>
      <w:r w:rsidR="00F00E57">
        <w:rPr>
          <w:rFonts w:ascii="Corbel" w:hAnsi="Corbel" w:cs="Calibri"/>
          <w:sz w:val="23"/>
          <w:szCs w:val="23"/>
        </w:rPr>
        <w:t>Reporting a</w:t>
      </w:r>
      <w:r w:rsidR="00551C12">
        <w:rPr>
          <w:rFonts w:ascii="Corbel" w:hAnsi="Corbel" w:cs="Calibri"/>
          <w:sz w:val="23"/>
          <w:szCs w:val="23"/>
        </w:rPr>
        <w:t>ny suspect honey bees or symptoms detected by industry surveillance to authorities for investigation</w:t>
      </w:r>
      <w:r w:rsidR="00482D39">
        <w:rPr>
          <w:rFonts w:ascii="Corbel" w:hAnsi="Corbel" w:cs="Calibri"/>
          <w:sz w:val="23"/>
          <w:szCs w:val="23"/>
        </w:rPr>
        <w:t>;</w:t>
      </w:r>
    </w:p>
    <w:p w14:paraId="78E0A8B1" w14:textId="236214B8" w:rsidR="00551C12" w:rsidRDefault="005F1943" w:rsidP="00FA6AC3">
      <w:pPr>
        <w:pStyle w:val="Normalnumbered"/>
        <w:spacing w:after="240" w:line="260" w:lineRule="exact"/>
        <w:ind w:left="1985" w:hanging="425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d)</w:t>
      </w:r>
      <w:r w:rsidR="00F00E57">
        <w:rPr>
          <w:rFonts w:ascii="Corbel" w:hAnsi="Corbel" w:cs="Calibri"/>
          <w:sz w:val="23"/>
          <w:szCs w:val="23"/>
        </w:rPr>
        <w:tab/>
        <w:t>Undertaking t</w:t>
      </w:r>
      <w:r w:rsidR="00551C12">
        <w:rPr>
          <w:rFonts w:ascii="Corbel" w:hAnsi="Corbel" w:cs="Calibri"/>
          <w:sz w:val="23"/>
          <w:szCs w:val="23"/>
        </w:rPr>
        <w:t xml:space="preserve">argeted surveys for </w:t>
      </w:r>
      <w:r w:rsidR="00E32D4E" w:rsidRPr="00D87DF7">
        <w:rPr>
          <w:rFonts w:ascii="Corbel" w:hAnsi="Corbel" w:cs="Calibri"/>
          <w:i/>
          <w:sz w:val="23"/>
          <w:szCs w:val="23"/>
        </w:rPr>
        <w:t>V. jacobsoni</w:t>
      </w:r>
      <w:r w:rsidR="00551C12">
        <w:rPr>
          <w:rFonts w:ascii="Corbel" w:hAnsi="Corbel" w:cs="Calibri"/>
          <w:sz w:val="23"/>
          <w:szCs w:val="23"/>
        </w:rPr>
        <w:t xml:space="preserve"> for three years after eradication has been achieved.</w:t>
      </w:r>
    </w:p>
    <w:p w14:paraId="507D0413" w14:textId="77777777" w:rsidR="009025F7" w:rsidRPr="00CA6278" w:rsidRDefault="009025F7" w:rsidP="00FA6AC3">
      <w:pPr>
        <w:pStyle w:val="Normalnumbered"/>
        <w:spacing w:after="240" w:line="260" w:lineRule="exact"/>
        <w:ind w:left="1985" w:hanging="425"/>
        <w:rPr>
          <w:rFonts w:ascii="Corbel" w:hAnsi="Corbel" w:cs="Calibri"/>
          <w:sz w:val="23"/>
          <w:szCs w:val="23"/>
        </w:rPr>
      </w:pPr>
    </w:p>
    <w:p w14:paraId="5DB48B81" w14:textId="77777777" w:rsidR="00551C12" w:rsidRPr="00482D39" w:rsidRDefault="00551C12" w:rsidP="00551C12">
      <w:pPr>
        <w:pStyle w:val="Normalnumbered"/>
        <w:numPr>
          <w:ilvl w:val="1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FA6AC3">
        <w:rPr>
          <w:rFonts w:ascii="Corbel" w:hAnsi="Corbel" w:cs="Calibri"/>
          <w:sz w:val="23"/>
          <w:szCs w:val="23"/>
        </w:rPr>
        <w:t xml:space="preserve">Community engagement: </w:t>
      </w:r>
    </w:p>
    <w:p w14:paraId="7258C1C8" w14:textId="39823826" w:rsidR="00551C12" w:rsidRPr="0070304C" w:rsidRDefault="00551C12" w:rsidP="00D87DF7">
      <w:pPr>
        <w:pStyle w:val="Normalnumbered"/>
        <w:numPr>
          <w:ilvl w:val="2"/>
          <w:numId w:val="38"/>
        </w:numPr>
        <w:spacing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70304C">
        <w:rPr>
          <w:rFonts w:ascii="Corbel" w:hAnsi="Corbel" w:cs="Calibri"/>
          <w:sz w:val="23"/>
          <w:szCs w:val="23"/>
        </w:rPr>
        <w:t>Identify</w:t>
      </w:r>
      <w:r w:rsidR="00096104">
        <w:rPr>
          <w:rFonts w:ascii="Corbel" w:hAnsi="Corbel" w:cs="Calibri"/>
          <w:sz w:val="23"/>
          <w:szCs w:val="23"/>
        </w:rPr>
        <w:t>ing and collaborating</w:t>
      </w:r>
      <w:r w:rsidRPr="0070304C">
        <w:rPr>
          <w:rFonts w:ascii="Corbel" w:hAnsi="Corbel" w:cs="Calibri"/>
          <w:sz w:val="23"/>
          <w:szCs w:val="23"/>
        </w:rPr>
        <w:t xml:space="preserve"> with critical stakeholders, enabling contribution to decisions that could impact response effectiveness.</w:t>
      </w:r>
    </w:p>
    <w:p w14:paraId="520F0167" w14:textId="53B0CB71" w:rsidR="00551C12" w:rsidRPr="0070304C" w:rsidRDefault="00551C12" w:rsidP="00D87DF7">
      <w:pPr>
        <w:pStyle w:val="Normalnumbered"/>
        <w:numPr>
          <w:ilvl w:val="2"/>
          <w:numId w:val="38"/>
        </w:numPr>
        <w:spacing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70304C">
        <w:rPr>
          <w:rFonts w:ascii="Corbel" w:hAnsi="Corbel" w:cs="Calibri"/>
          <w:sz w:val="23"/>
          <w:szCs w:val="23"/>
        </w:rPr>
        <w:t>Hold</w:t>
      </w:r>
      <w:r w:rsidR="00096104">
        <w:rPr>
          <w:rFonts w:ascii="Corbel" w:hAnsi="Corbel" w:cs="Calibri"/>
          <w:sz w:val="23"/>
          <w:szCs w:val="23"/>
        </w:rPr>
        <w:t>ing</w:t>
      </w:r>
      <w:r w:rsidRPr="0070304C">
        <w:rPr>
          <w:rFonts w:ascii="Corbel" w:hAnsi="Corbel" w:cs="Calibri"/>
          <w:sz w:val="23"/>
          <w:szCs w:val="23"/>
        </w:rPr>
        <w:t xml:space="preserve"> specific briefings with stakeholders and the community to prompt reporting of suspect bees.</w:t>
      </w:r>
    </w:p>
    <w:p w14:paraId="24B5AE0D" w14:textId="586BA246" w:rsidR="00551C12" w:rsidRPr="0070304C" w:rsidRDefault="00551C12" w:rsidP="00D87DF7">
      <w:pPr>
        <w:pStyle w:val="Normalnumbered"/>
        <w:numPr>
          <w:ilvl w:val="2"/>
          <w:numId w:val="38"/>
        </w:numPr>
        <w:spacing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70304C">
        <w:rPr>
          <w:rFonts w:ascii="Corbel" w:hAnsi="Corbel" w:cs="Calibri"/>
          <w:sz w:val="23"/>
          <w:szCs w:val="23"/>
        </w:rPr>
        <w:t>Brief</w:t>
      </w:r>
      <w:r w:rsidR="00096104">
        <w:rPr>
          <w:rFonts w:ascii="Corbel" w:hAnsi="Corbel" w:cs="Calibri"/>
          <w:sz w:val="23"/>
          <w:szCs w:val="23"/>
        </w:rPr>
        <w:t>ing</w:t>
      </w:r>
      <w:r w:rsidRPr="0070304C">
        <w:rPr>
          <w:rFonts w:ascii="Corbel" w:hAnsi="Corbel" w:cs="Calibri"/>
          <w:sz w:val="23"/>
          <w:szCs w:val="23"/>
        </w:rPr>
        <w:t xml:space="preserve"> field personnel regularly ab</w:t>
      </w:r>
      <w:r w:rsidR="0085056B">
        <w:rPr>
          <w:rFonts w:ascii="Corbel" w:hAnsi="Corbel" w:cs="Calibri"/>
          <w:sz w:val="23"/>
          <w:szCs w:val="23"/>
        </w:rPr>
        <w:t>out engagement material and making</w:t>
      </w:r>
      <w:r w:rsidRPr="0070304C">
        <w:rPr>
          <w:rFonts w:ascii="Corbel" w:hAnsi="Corbel" w:cs="Calibri"/>
          <w:sz w:val="23"/>
          <w:szCs w:val="23"/>
        </w:rPr>
        <w:t xml:space="preserve"> available appropriate public relations training and strategies for answering questions.</w:t>
      </w:r>
    </w:p>
    <w:p w14:paraId="68E2F632" w14:textId="343D44A7" w:rsidR="00551C12" w:rsidRPr="0070304C" w:rsidRDefault="00551C12" w:rsidP="00551C12">
      <w:pPr>
        <w:pStyle w:val="Normalnumbered"/>
        <w:numPr>
          <w:ilvl w:val="2"/>
          <w:numId w:val="38"/>
        </w:numPr>
        <w:spacing w:after="240" w:line="260" w:lineRule="exact"/>
        <w:ind w:left="1418" w:hanging="284"/>
        <w:rPr>
          <w:rFonts w:ascii="Corbel" w:hAnsi="Corbel" w:cs="Calibri"/>
          <w:sz w:val="23"/>
          <w:szCs w:val="23"/>
        </w:rPr>
      </w:pPr>
      <w:r w:rsidRPr="0070304C">
        <w:rPr>
          <w:rFonts w:ascii="Corbel" w:hAnsi="Corbel" w:cs="Calibri"/>
          <w:sz w:val="23"/>
          <w:szCs w:val="23"/>
        </w:rPr>
        <w:t>Review</w:t>
      </w:r>
      <w:r w:rsidR="0085056B">
        <w:rPr>
          <w:rFonts w:ascii="Corbel" w:hAnsi="Corbel" w:cs="Calibri"/>
          <w:sz w:val="23"/>
          <w:szCs w:val="23"/>
        </w:rPr>
        <w:t>ing</w:t>
      </w:r>
      <w:r w:rsidRPr="0070304C">
        <w:rPr>
          <w:rFonts w:ascii="Corbel" w:hAnsi="Corbel" w:cs="Calibri"/>
          <w:sz w:val="23"/>
          <w:szCs w:val="23"/>
        </w:rPr>
        <w:t xml:space="preserve"> </w:t>
      </w:r>
      <w:r w:rsidR="00482D39">
        <w:rPr>
          <w:rFonts w:ascii="Corbel" w:hAnsi="Corbel" w:cs="Calibri"/>
          <w:sz w:val="23"/>
          <w:szCs w:val="23"/>
        </w:rPr>
        <w:t xml:space="preserve">the </w:t>
      </w:r>
      <w:r w:rsidRPr="0070304C">
        <w:rPr>
          <w:rFonts w:ascii="Corbel" w:hAnsi="Corbel" w:cs="Calibri"/>
          <w:sz w:val="23"/>
          <w:szCs w:val="23"/>
        </w:rPr>
        <w:t xml:space="preserve">effectiveness of </w:t>
      </w:r>
      <w:r w:rsidR="00482D39">
        <w:rPr>
          <w:rFonts w:ascii="Corbel" w:hAnsi="Corbel" w:cs="Calibri"/>
          <w:sz w:val="23"/>
          <w:szCs w:val="23"/>
        </w:rPr>
        <w:t xml:space="preserve">the </w:t>
      </w:r>
      <w:r w:rsidRPr="0070304C">
        <w:rPr>
          <w:rFonts w:ascii="Corbel" w:hAnsi="Corbel" w:cs="Calibri"/>
          <w:sz w:val="23"/>
          <w:szCs w:val="23"/>
        </w:rPr>
        <w:t>engagement strategy to ensure the objective is providing both proactive and reactive results.</w:t>
      </w:r>
    </w:p>
    <w:p w14:paraId="70E6DF10" w14:textId="77777777" w:rsidR="004869ED" w:rsidRDefault="004869ED" w:rsidP="000E5633">
      <w:pPr>
        <w:pStyle w:val="Normalnumbered"/>
        <w:numPr>
          <w:ilvl w:val="0"/>
          <w:numId w:val="38"/>
        </w:numPr>
        <w:ind w:left="357" w:hanging="357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To qualify for the associated payment, </w:t>
      </w:r>
      <w:r w:rsidR="00BB4A32">
        <w:rPr>
          <w:rFonts w:ascii="Corbel" w:hAnsi="Corbel" w:cs="Calibri"/>
          <w:sz w:val="23"/>
          <w:szCs w:val="23"/>
        </w:rPr>
        <w:t xml:space="preserve">Queensland </w:t>
      </w:r>
      <w:r w:rsidRPr="00C626BA">
        <w:rPr>
          <w:rFonts w:ascii="Corbel" w:hAnsi="Corbel" w:cs="Calibri"/>
          <w:sz w:val="23"/>
          <w:szCs w:val="23"/>
        </w:rPr>
        <w:t>must meet the following milestones:</w:t>
      </w:r>
    </w:p>
    <w:p w14:paraId="64086531" w14:textId="77777777" w:rsidR="00614ADF" w:rsidRDefault="00614ADF" w:rsidP="00614ADF">
      <w:pPr>
        <w:pStyle w:val="Normalnumbered"/>
        <w:ind w:left="357"/>
        <w:rPr>
          <w:rFonts w:ascii="Corbel" w:hAnsi="Corbel" w:cs="Calibri"/>
          <w:sz w:val="23"/>
          <w:szCs w:val="23"/>
        </w:rPr>
      </w:pPr>
    </w:p>
    <w:p w14:paraId="311EF6B9" w14:textId="77777777" w:rsidR="00794446" w:rsidRPr="00C626BA" w:rsidRDefault="00794446" w:rsidP="000E5633">
      <w:pPr>
        <w:keepNext/>
        <w:spacing w:before="120" w:after="120"/>
        <w:rPr>
          <w:b/>
          <w:color w:val="auto"/>
          <w:szCs w:val="20"/>
        </w:rPr>
      </w:pPr>
      <w:r w:rsidRPr="00C626BA">
        <w:rPr>
          <w:b/>
          <w:color w:val="auto"/>
          <w:szCs w:val="20"/>
        </w:rPr>
        <w:t>Table 1: Milestones</w:t>
      </w:r>
    </w:p>
    <w:tbl>
      <w:tblPr>
        <w:tblW w:w="452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58"/>
        <w:gridCol w:w="1557"/>
        <w:gridCol w:w="1152"/>
      </w:tblGrid>
      <w:tr w:rsidR="008F2B34" w:rsidRPr="000E5633" w14:paraId="1E9CC97B" w14:textId="77777777" w:rsidTr="00D87DF7">
        <w:trPr>
          <w:jc w:val="center"/>
        </w:trPr>
        <w:tc>
          <w:tcPr>
            <w:tcW w:w="334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0BEBDC98" w14:textId="77777777" w:rsidR="008F2B34" w:rsidRPr="000E5633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E5633">
              <w:rPr>
                <w:rFonts w:cs="Calibri"/>
                <w:b/>
                <w:sz w:val="21"/>
                <w:szCs w:val="21"/>
              </w:rPr>
              <w:t>Milestones</w:t>
            </w:r>
          </w:p>
        </w:tc>
        <w:tc>
          <w:tcPr>
            <w:tcW w:w="953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727A6E56" w14:textId="77777777" w:rsidR="008F2B34" w:rsidRPr="000E5633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E5633">
              <w:rPr>
                <w:rFonts w:cs="Calibri"/>
                <w:b/>
                <w:sz w:val="21"/>
                <w:szCs w:val="21"/>
              </w:rPr>
              <w:t>Due date</w:t>
            </w:r>
          </w:p>
        </w:tc>
        <w:tc>
          <w:tcPr>
            <w:tcW w:w="70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</w:tcPr>
          <w:p w14:paraId="5DE7BF25" w14:textId="77777777" w:rsidR="008F2B34" w:rsidRPr="000E5633" w:rsidRDefault="008F2B34" w:rsidP="00794446">
            <w:pPr>
              <w:jc w:val="center"/>
              <w:rPr>
                <w:rFonts w:cs="Calibri"/>
                <w:b/>
                <w:sz w:val="21"/>
                <w:szCs w:val="21"/>
              </w:rPr>
            </w:pPr>
            <w:r w:rsidRPr="000E5633">
              <w:rPr>
                <w:rFonts w:cs="Calibri"/>
                <w:b/>
                <w:sz w:val="21"/>
                <w:szCs w:val="21"/>
              </w:rPr>
              <w:t>Payment</w:t>
            </w:r>
          </w:p>
        </w:tc>
      </w:tr>
      <w:tr w:rsidR="00CA6F7D" w:rsidRPr="000E5633" w14:paraId="09F91F42" w14:textId="77777777" w:rsidTr="00D87DF7">
        <w:trPr>
          <w:jc w:val="center"/>
        </w:trPr>
        <w:tc>
          <w:tcPr>
            <w:tcW w:w="33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FEA41C1" w14:textId="31294953" w:rsidR="00CA6F7D" w:rsidRPr="00685AC6" w:rsidRDefault="006E78AB" w:rsidP="00187556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1</w:t>
            </w:r>
            <w:r w:rsidRPr="00D87DF7">
              <w:rPr>
                <w:rFonts w:cs="Calibri"/>
                <w:szCs w:val="23"/>
                <w:vertAlign w:val="superscript"/>
              </w:rPr>
              <w:t>st</w:t>
            </w:r>
            <w:r>
              <w:rPr>
                <w:rFonts w:cs="Calibri"/>
                <w:szCs w:val="23"/>
              </w:rPr>
              <w:t>, 2</w:t>
            </w:r>
            <w:r w:rsidRPr="00D87DF7">
              <w:rPr>
                <w:rFonts w:cs="Calibri"/>
                <w:szCs w:val="23"/>
                <w:vertAlign w:val="superscript"/>
              </w:rPr>
              <w:t>nd</w:t>
            </w:r>
            <w:r>
              <w:rPr>
                <w:rFonts w:cs="Calibri"/>
                <w:szCs w:val="23"/>
              </w:rPr>
              <w:t xml:space="preserve"> and 3</w:t>
            </w:r>
            <w:r w:rsidRPr="00D87DF7">
              <w:rPr>
                <w:rFonts w:cs="Calibri"/>
                <w:szCs w:val="23"/>
                <w:vertAlign w:val="superscript"/>
              </w:rPr>
              <w:t>rd</w:t>
            </w:r>
            <w:r>
              <w:rPr>
                <w:rFonts w:cs="Calibri"/>
                <w:szCs w:val="23"/>
              </w:rPr>
              <w:t xml:space="preserve"> Quarterly </w:t>
            </w:r>
            <w:r w:rsidR="0027687B" w:rsidRPr="00685AC6">
              <w:rPr>
                <w:rFonts w:cs="Calibri"/>
                <w:szCs w:val="23"/>
              </w:rPr>
              <w:t>progress report</w:t>
            </w:r>
            <w:r w:rsidR="00507F82">
              <w:rPr>
                <w:rFonts w:cs="Calibri"/>
                <w:szCs w:val="23"/>
              </w:rPr>
              <w:t>s</w:t>
            </w:r>
            <w:r w:rsidR="0027687B" w:rsidRPr="00685AC6">
              <w:rPr>
                <w:rFonts w:cs="Calibri"/>
                <w:szCs w:val="23"/>
              </w:rPr>
              <w:t xml:space="preserve"> (2016-17)</w:t>
            </w:r>
            <w:r w:rsidR="00E32D4E">
              <w:rPr>
                <w:rFonts w:cs="Calibri"/>
                <w:szCs w:val="23"/>
              </w:rPr>
              <w:t>,</w:t>
            </w:r>
            <w:r w:rsidR="0027687B" w:rsidRPr="00685AC6">
              <w:rPr>
                <w:rFonts w:cs="Calibri"/>
                <w:szCs w:val="23"/>
              </w:rPr>
              <w:t xml:space="preserve"> </w:t>
            </w:r>
            <w:r w:rsidR="00B723C8">
              <w:rPr>
                <w:rFonts w:cs="Calibri"/>
                <w:szCs w:val="23"/>
              </w:rPr>
              <w:t>have been provided to</w:t>
            </w:r>
            <w:r w:rsidR="0085056B">
              <w:rPr>
                <w:rFonts w:cs="Calibri"/>
                <w:szCs w:val="23"/>
              </w:rPr>
              <w:t xml:space="preserve"> </w:t>
            </w:r>
            <w:r w:rsidR="00E32D4E">
              <w:rPr>
                <w:rFonts w:cs="Calibri"/>
                <w:szCs w:val="23"/>
              </w:rPr>
              <w:t xml:space="preserve">the </w:t>
            </w:r>
            <w:r w:rsidR="00187556">
              <w:rPr>
                <w:rFonts w:cs="Calibri"/>
                <w:szCs w:val="23"/>
              </w:rPr>
              <w:t>CCEPP</w:t>
            </w:r>
            <w:r w:rsidR="00E32D4E" w:rsidRPr="00E84062">
              <w:rPr>
                <w:rFonts w:cs="Calibri"/>
                <w:szCs w:val="23"/>
              </w:rPr>
              <w:t xml:space="preserve"> demonstrating satisfactory progress towards the above project elements as per the </w:t>
            </w:r>
            <w:r w:rsidR="00E32D4E">
              <w:rPr>
                <w:rFonts w:cs="Calibri"/>
                <w:szCs w:val="23"/>
              </w:rPr>
              <w:t>agreed</w:t>
            </w:r>
            <w:r w:rsidR="00E32D4E" w:rsidRPr="00E84062">
              <w:rPr>
                <w:rFonts w:cs="Calibri"/>
                <w:szCs w:val="23"/>
              </w:rPr>
              <w:t xml:space="preserve"> </w:t>
            </w:r>
            <w:r w:rsidR="00E32D4E">
              <w:rPr>
                <w:rFonts w:cs="Calibri"/>
                <w:szCs w:val="23"/>
              </w:rPr>
              <w:t>R</w:t>
            </w:r>
            <w:r w:rsidR="00E32D4E" w:rsidRPr="00E84062">
              <w:rPr>
                <w:rFonts w:cs="Calibri"/>
                <w:szCs w:val="23"/>
              </w:rPr>
              <w:t xml:space="preserve">esponse </w:t>
            </w:r>
            <w:r w:rsidR="00E32D4E">
              <w:rPr>
                <w:rFonts w:cs="Calibri"/>
                <w:szCs w:val="23"/>
              </w:rPr>
              <w:t>P</w:t>
            </w:r>
            <w:r w:rsidR="00E32D4E" w:rsidRPr="00E84062">
              <w:rPr>
                <w:rFonts w:cs="Calibri"/>
                <w:szCs w:val="23"/>
              </w:rPr>
              <w:t>lan</w:t>
            </w:r>
          </w:p>
        </w:tc>
        <w:tc>
          <w:tcPr>
            <w:tcW w:w="95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8E993A8" w14:textId="30DDE83E" w:rsidR="00CA6F7D" w:rsidRPr="00685AC6" w:rsidRDefault="00FC68BC" w:rsidP="007A4E8E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May </w:t>
            </w:r>
            <w:r w:rsidR="006E78AB" w:rsidRPr="00685AC6">
              <w:rPr>
                <w:rFonts w:cs="Calibri"/>
                <w:szCs w:val="23"/>
              </w:rPr>
              <w:t>201</w:t>
            </w:r>
            <w:r w:rsidR="006E78AB">
              <w:rPr>
                <w:rFonts w:cs="Calibri"/>
                <w:szCs w:val="23"/>
              </w:rPr>
              <w:t>8</w:t>
            </w:r>
          </w:p>
        </w:tc>
        <w:tc>
          <w:tcPr>
            <w:tcW w:w="70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3D26854" w14:textId="28DB7013" w:rsidR="00CA6F7D" w:rsidRPr="00685AC6" w:rsidRDefault="001E575D" w:rsidP="00C24B0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Up to </w:t>
            </w:r>
            <w:r w:rsidR="00614ADF" w:rsidRPr="00685AC6">
              <w:rPr>
                <w:rFonts w:cs="Calibri"/>
                <w:szCs w:val="23"/>
              </w:rPr>
              <w:t>$</w:t>
            </w:r>
            <w:r w:rsidR="005A7C94">
              <w:rPr>
                <w:rFonts w:cs="Calibri"/>
                <w:szCs w:val="23"/>
              </w:rPr>
              <w:t>875,108</w:t>
            </w:r>
          </w:p>
        </w:tc>
      </w:tr>
      <w:tr w:rsidR="00CA6F7D" w:rsidRPr="000E5633" w14:paraId="1EDE1961" w14:textId="77777777" w:rsidTr="00D87DF7">
        <w:trPr>
          <w:jc w:val="center"/>
        </w:trPr>
        <w:tc>
          <w:tcPr>
            <w:tcW w:w="33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530D80E" w14:textId="0C199605" w:rsidR="00CA6F7D" w:rsidRPr="00685AC6" w:rsidRDefault="006E78AB" w:rsidP="00187556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4</w:t>
            </w:r>
            <w:r w:rsidRPr="00D87DF7">
              <w:rPr>
                <w:rFonts w:cs="Calibri"/>
                <w:szCs w:val="23"/>
                <w:vertAlign w:val="superscript"/>
              </w:rPr>
              <w:t>th</w:t>
            </w:r>
            <w:r>
              <w:rPr>
                <w:rFonts w:cs="Calibri"/>
                <w:szCs w:val="23"/>
              </w:rPr>
              <w:t xml:space="preserve"> Quarterly Report (2016-17) and </w:t>
            </w:r>
            <w:r w:rsidR="001F6A91">
              <w:rPr>
                <w:rFonts w:cs="Calibri"/>
                <w:szCs w:val="23"/>
              </w:rPr>
              <w:t>1</w:t>
            </w:r>
            <w:r w:rsidR="001F6A91" w:rsidRPr="00D87DF7">
              <w:rPr>
                <w:rFonts w:cs="Calibri"/>
                <w:szCs w:val="23"/>
                <w:vertAlign w:val="superscript"/>
              </w:rPr>
              <w:t>st</w:t>
            </w:r>
            <w:r w:rsidR="001F6A91">
              <w:rPr>
                <w:rFonts w:cs="Calibri"/>
                <w:szCs w:val="23"/>
              </w:rPr>
              <w:t>, 2</w:t>
            </w:r>
            <w:r w:rsidR="001F6A91" w:rsidRPr="00D87DF7">
              <w:rPr>
                <w:rFonts w:cs="Calibri"/>
                <w:szCs w:val="23"/>
                <w:vertAlign w:val="superscript"/>
              </w:rPr>
              <w:t>nd</w:t>
            </w:r>
            <w:r w:rsidR="001F6A91">
              <w:rPr>
                <w:rFonts w:cs="Calibri"/>
                <w:szCs w:val="23"/>
              </w:rPr>
              <w:t xml:space="preserve"> and 3</w:t>
            </w:r>
            <w:r w:rsidR="001F6A91" w:rsidRPr="00D87DF7">
              <w:rPr>
                <w:rFonts w:cs="Calibri"/>
                <w:szCs w:val="23"/>
                <w:vertAlign w:val="superscript"/>
              </w:rPr>
              <w:t>rd</w:t>
            </w:r>
            <w:r w:rsidR="001F6A91">
              <w:rPr>
                <w:rFonts w:cs="Calibri"/>
                <w:szCs w:val="23"/>
              </w:rPr>
              <w:t xml:space="preserve"> </w:t>
            </w:r>
            <w:r>
              <w:rPr>
                <w:rFonts w:cs="Calibri"/>
                <w:szCs w:val="23"/>
              </w:rPr>
              <w:t>Quarterly report (201</w:t>
            </w:r>
            <w:r w:rsidR="001F6A91">
              <w:rPr>
                <w:rFonts w:cs="Calibri"/>
                <w:szCs w:val="23"/>
              </w:rPr>
              <w:t>7</w:t>
            </w:r>
            <w:r>
              <w:rPr>
                <w:rFonts w:cs="Calibri"/>
                <w:szCs w:val="23"/>
              </w:rPr>
              <w:t>-1</w:t>
            </w:r>
            <w:r w:rsidR="001F6A91">
              <w:rPr>
                <w:rFonts w:cs="Calibri"/>
                <w:szCs w:val="23"/>
              </w:rPr>
              <w:t>8</w:t>
            </w:r>
            <w:r>
              <w:rPr>
                <w:rFonts w:cs="Calibri"/>
                <w:szCs w:val="23"/>
              </w:rPr>
              <w:t xml:space="preserve">), endorsed by </w:t>
            </w:r>
            <w:r w:rsidR="001F6A91">
              <w:rPr>
                <w:rFonts w:cs="Calibri"/>
                <w:szCs w:val="23"/>
              </w:rPr>
              <w:t xml:space="preserve">the </w:t>
            </w:r>
            <w:r w:rsidR="00187556">
              <w:rPr>
                <w:rFonts w:cs="Calibri"/>
                <w:szCs w:val="23"/>
              </w:rPr>
              <w:t>CCEPP</w:t>
            </w:r>
            <w:r w:rsidRPr="00E84062">
              <w:rPr>
                <w:rFonts w:cs="Calibri"/>
                <w:szCs w:val="23"/>
              </w:rPr>
              <w:t xml:space="preserve"> demonstrating satisfactory progress towards the above project elements as per the </w:t>
            </w:r>
            <w:r>
              <w:rPr>
                <w:rFonts w:cs="Calibri"/>
                <w:szCs w:val="23"/>
              </w:rPr>
              <w:t>agreed</w:t>
            </w:r>
            <w:r w:rsidRPr="00E84062">
              <w:rPr>
                <w:rFonts w:cs="Calibri"/>
                <w:szCs w:val="23"/>
              </w:rPr>
              <w:t xml:space="preserve"> </w:t>
            </w:r>
            <w:r>
              <w:rPr>
                <w:rFonts w:cs="Calibri"/>
                <w:szCs w:val="23"/>
              </w:rPr>
              <w:t>R</w:t>
            </w:r>
            <w:r w:rsidRPr="00E84062">
              <w:rPr>
                <w:rFonts w:cs="Calibri"/>
                <w:szCs w:val="23"/>
              </w:rPr>
              <w:t xml:space="preserve">esponse </w:t>
            </w:r>
            <w:r>
              <w:rPr>
                <w:rFonts w:cs="Calibri"/>
                <w:szCs w:val="23"/>
              </w:rPr>
              <w:t>P</w:t>
            </w:r>
            <w:r w:rsidRPr="00E84062">
              <w:rPr>
                <w:rFonts w:cs="Calibri"/>
                <w:szCs w:val="23"/>
              </w:rPr>
              <w:t>lan</w:t>
            </w:r>
          </w:p>
        </w:tc>
        <w:tc>
          <w:tcPr>
            <w:tcW w:w="95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DDD69F4" w14:textId="104C8323" w:rsidR="00CA6F7D" w:rsidRPr="00685AC6" w:rsidRDefault="00FC68BC" w:rsidP="00CA6F7D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May</w:t>
            </w:r>
            <w:r w:rsidRPr="00685AC6">
              <w:rPr>
                <w:rFonts w:cs="Calibri"/>
                <w:szCs w:val="23"/>
              </w:rPr>
              <w:t xml:space="preserve"> </w:t>
            </w:r>
            <w:r w:rsidR="00844394" w:rsidRPr="00685AC6">
              <w:rPr>
                <w:rFonts w:cs="Calibri"/>
                <w:szCs w:val="23"/>
              </w:rPr>
              <w:t>2018</w:t>
            </w:r>
          </w:p>
        </w:tc>
        <w:tc>
          <w:tcPr>
            <w:tcW w:w="70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2367974" w14:textId="05674692" w:rsidR="00CA6F7D" w:rsidRPr="00685AC6" w:rsidRDefault="001E575D" w:rsidP="00C24B0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Up to </w:t>
            </w:r>
            <w:r w:rsidR="00614ADF" w:rsidRPr="00685AC6">
              <w:rPr>
                <w:rFonts w:cs="Calibri"/>
                <w:szCs w:val="23"/>
              </w:rPr>
              <w:t>$</w:t>
            </w:r>
            <w:r w:rsidR="005A7C94">
              <w:rPr>
                <w:rFonts w:cs="Calibri"/>
                <w:szCs w:val="23"/>
              </w:rPr>
              <w:t>394,120</w:t>
            </w:r>
          </w:p>
        </w:tc>
      </w:tr>
      <w:tr w:rsidR="00CA6F7D" w:rsidRPr="000E5633" w14:paraId="36664762" w14:textId="77777777" w:rsidTr="00D87DF7">
        <w:trPr>
          <w:jc w:val="center"/>
        </w:trPr>
        <w:tc>
          <w:tcPr>
            <w:tcW w:w="33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49806798" w14:textId="4361C74F" w:rsidR="00CA6F7D" w:rsidRPr="00685AC6" w:rsidRDefault="001F6A91" w:rsidP="00187556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4</w:t>
            </w:r>
            <w:r w:rsidRPr="00704FD0">
              <w:rPr>
                <w:rFonts w:cs="Calibri"/>
                <w:szCs w:val="23"/>
                <w:vertAlign w:val="superscript"/>
              </w:rPr>
              <w:t>th</w:t>
            </w:r>
            <w:r>
              <w:rPr>
                <w:rFonts w:cs="Calibri"/>
                <w:szCs w:val="23"/>
              </w:rPr>
              <w:t xml:space="preserve"> Quarterly Report (2017-18) and 1</w:t>
            </w:r>
            <w:r w:rsidRPr="00704FD0">
              <w:rPr>
                <w:rFonts w:cs="Calibri"/>
                <w:szCs w:val="23"/>
                <w:vertAlign w:val="superscript"/>
              </w:rPr>
              <w:t>st</w:t>
            </w:r>
            <w:r>
              <w:rPr>
                <w:rFonts w:cs="Calibri"/>
                <w:szCs w:val="23"/>
              </w:rPr>
              <w:t>, 2</w:t>
            </w:r>
            <w:r w:rsidRPr="00704FD0">
              <w:rPr>
                <w:rFonts w:cs="Calibri"/>
                <w:szCs w:val="23"/>
                <w:vertAlign w:val="superscript"/>
              </w:rPr>
              <w:t>nd</w:t>
            </w:r>
            <w:r>
              <w:rPr>
                <w:rFonts w:cs="Calibri"/>
                <w:szCs w:val="23"/>
              </w:rPr>
              <w:t xml:space="preserve"> and 3</w:t>
            </w:r>
            <w:r w:rsidRPr="00704FD0">
              <w:rPr>
                <w:rFonts w:cs="Calibri"/>
                <w:szCs w:val="23"/>
                <w:vertAlign w:val="superscript"/>
              </w:rPr>
              <w:t>rd</w:t>
            </w:r>
            <w:r>
              <w:rPr>
                <w:rFonts w:cs="Calibri"/>
                <w:szCs w:val="23"/>
              </w:rPr>
              <w:t xml:space="preserve"> Quarterly report (2018-19), endorsed by the </w:t>
            </w:r>
            <w:r w:rsidR="00187556">
              <w:rPr>
                <w:rFonts w:cs="Calibri"/>
                <w:szCs w:val="23"/>
              </w:rPr>
              <w:t>CCEPP</w:t>
            </w:r>
            <w:r w:rsidRPr="00E84062">
              <w:rPr>
                <w:rFonts w:cs="Calibri"/>
                <w:szCs w:val="23"/>
              </w:rPr>
              <w:t xml:space="preserve"> demonstrating satisfactory progress towards the above project elements as per the </w:t>
            </w:r>
            <w:r>
              <w:rPr>
                <w:rFonts w:cs="Calibri"/>
                <w:szCs w:val="23"/>
              </w:rPr>
              <w:t>agreed</w:t>
            </w:r>
            <w:r w:rsidRPr="00E84062">
              <w:rPr>
                <w:rFonts w:cs="Calibri"/>
                <w:szCs w:val="23"/>
              </w:rPr>
              <w:t xml:space="preserve"> </w:t>
            </w:r>
            <w:r>
              <w:rPr>
                <w:rFonts w:cs="Calibri"/>
                <w:szCs w:val="23"/>
              </w:rPr>
              <w:t>R</w:t>
            </w:r>
            <w:r w:rsidRPr="00E84062">
              <w:rPr>
                <w:rFonts w:cs="Calibri"/>
                <w:szCs w:val="23"/>
              </w:rPr>
              <w:t xml:space="preserve">esponse </w:t>
            </w:r>
            <w:r>
              <w:rPr>
                <w:rFonts w:cs="Calibri"/>
                <w:szCs w:val="23"/>
              </w:rPr>
              <w:t>P</w:t>
            </w:r>
            <w:r w:rsidRPr="00E84062">
              <w:rPr>
                <w:rFonts w:cs="Calibri"/>
                <w:szCs w:val="23"/>
              </w:rPr>
              <w:t>lan</w:t>
            </w:r>
          </w:p>
        </w:tc>
        <w:tc>
          <w:tcPr>
            <w:tcW w:w="95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E130563" w14:textId="71382494" w:rsidR="00CA6F7D" w:rsidRPr="00685AC6" w:rsidRDefault="00FC68BC" w:rsidP="00CA6F7D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May</w:t>
            </w:r>
            <w:r w:rsidRPr="00685AC6">
              <w:rPr>
                <w:rFonts w:cs="Calibri"/>
                <w:szCs w:val="23"/>
              </w:rPr>
              <w:t xml:space="preserve"> </w:t>
            </w:r>
            <w:r w:rsidR="00844394" w:rsidRPr="00685AC6">
              <w:rPr>
                <w:rFonts w:cs="Calibri"/>
                <w:szCs w:val="23"/>
              </w:rPr>
              <w:t>2019</w:t>
            </w:r>
          </w:p>
        </w:tc>
        <w:tc>
          <w:tcPr>
            <w:tcW w:w="705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AC298A2" w14:textId="660B1552" w:rsidR="00CA6F7D" w:rsidRPr="00685AC6" w:rsidRDefault="001E575D" w:rsidP="00C24B0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Up to </w:t>
            </w:r>
            <w:r w:rsidR="00614ADF" w:rsidRPr="00685AC6">
              <w:rPr>
                <w:rFonts w:cs="Calibri"/>
                <w:szCs w:val="23"/>
              </w:rPr>
              <w:t>$</w:t>
            </w:r>
            <w:r w:rsidR="005A7C94">
              <w:rPr>
                <w:rFonts w:cs="Calibri"/>
                <w:szCs w:val="23"/>
              </w:rPr>
              <w:t>411,301</w:t>
            </w:r>
          </w:p>
        </w:tc>
      </w:tr>
      <w:tr w:rsidR="0027687B" w:rsidRPr="000E5633" w14:paraId="430F97F7" w14:textId="77777777" w:rsidTr="00D87DF7">
        <w:trPr>
          <w:jc w:val="center"/>
        </w:trPr>
        <w:tc>
          <w:tcPr>
            <w:tcW w:w="334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0CCD4DDA" w14:textId="4765D6EB" w:rsidR="0027687B" w:rsidRPr="00685AC6" w:rsidRDefault="001F6A91" w:rsidP="00187556">
            <w:pPr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4</w:t>
            </w:r>
            <w:r w:rsidRPr="00704FD0">
              <w:rPr>
                <w:rFonts w:cs="Calibri"/>
                <w:szCs w:val="23"/>
                <w:vertAlign w:val="superscript"/>
              </w:rPr>
              <w:t>th</w:t>
            </w:r>
            <w:r>
              <w:rPr>
                <w:rFonts w:cs="Calibri"/>
                <w:szCs w:val="23"/>
              </w:rPr>
              <w:t xml:space="preserve"> Quarterly Report (2018-19) and 1</w:t>
            </w:r>
            <w:r w:rsidRPr="00704FD0">
              <w:rPr>
                <w:rFonts w:cs="Calibri"/>
                <w:szCs w:val="23"/>
                <w:vertAlign w:val="superscript"/>
              </w:rPr>
              <w:t>st</w:t>
            </w:r>
            <w:r>
              <w:rPr>
                <w:rFonts w:cs="Calibri"/>
                <w:szCs w:val="23"/>
              </w:rPr>
              <w:t>, 2</w:t>
            </w:r>
            <w:r w:rsidRPr="00704FD0">
              <w:rPr>
                <w:rFonts w:cs="Calibri"/>
                <w:szCs w:val="23"/>
                <w:vertAlign w:val="superscript"/>
              </w:rPr>
              <w:t>nd</w:t>
            </w:r>
            <w:r>
              <w:rPr>
                <w:rFonts w:cs="Calibri"/>
                <w:szCs w:val="23"/>
              </w:rPr>
              <w:t xml:space="preserve"> and 3</w:t>
            </w:r>
            <w:r w:rsidRPr="00704FD0">
              <w:rPr>
                <w:rFonts w:cs="Calibri"/>
                <w:szCs w:val="23"/>
                <w:vertAlign w:val="superscript"/>
              </w:rPr>
              <w:t>rd</w:t>
            </w:r>
            <w:r>
              <w:rPr>
                <w:rFonts w:cs="Calibri"/>
                <w:szCs w:val="23"/>
              </w:rPr>
              <w:t xml:space="preserve"> Quarterly report (2019-20), endorsed by the </w:t>
            </w:r>
            <w:r w:rsidR="00187556">
              <w:rPr>
                <w:rFonts w:cs="Calibri"/>
                <w:szCs w:val="23"/>
              </w:rPr>
              <w:t>CCEPP</w:t>
            </w:r>
            <w:r w:rsidRPr="00E84062">
              <w:rPr>
                <w:rFonts w:cs="Calibri"/>
                <w:szCs w:val="23"/>
              </w:rPr>
              <w:t xml:space="preserve"> demonstrating satisfactory progress towards the above project elements as per the </w:t>
            </w:r>
            <w:r>
              <w:rPr>
                <w:rFonts w:cs="Calibri"/>
                <w:szCs w:val="23"/>
              </w:rPr>
              <w:t>agreed</w:t>
            </w:r>
            <w:r w:rsidRPr="00E84062">
              <w:rPr>
                <w:rFonts w:cs="Calibri"/>
                <w:szCs w:val="23"/>
              </w:rPr>
              <w:t xml:space="preserve"> </w:t>
            </w:r>
            <w:r>
              <w:rPr>
                <w:rFonts w:cs="Calibri"/>
                <w:szCs w:val="23"/>
              </w:rPr>
              <w:t>R</w:t>
            </w:r>
            <w:r w:rsidRPr="00E84062">
              <w:rPr>
                <w:rFonts w:cs="Calibri"/>
                <w:szCs w:val="23"/>
              </w:rPr>
              <w:t xml:space="preserve">esponse </w:t>
            </w:r>
            <w:r>
              <w:rPr>
                <w:rFonts w:cs="Calibri"/>
                <w:szCs w:val="23"/>
              </w:rPr>
              <w:t>P</w:t>
            </w:r>
            <w:r w:rsidRPr="00E84062">
              <w:rPr>
                <w:rFonts w:cs="Calibri"/>
                <w:szCs w:val="23"/>
              </w:rPr>
              <w:t>lan</w:t>
            </w:r>
          </w:p>
        </w:tc>
        <w:tc>
          <w:tcPr>
            <w:tcW w:w="953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3B30501B" w14:textId="11A7BC3E" w:rsidR="0027687B" w:rsidRPr="00685AC6" w:rsidRDefault="00FC68BC" w:rsidP="0027687B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May</w:t>
            </w:r>
            <w:r w:rsidRPr="00685AC6">
              <w:rPr>
                <w:rFonts w:cs="Calibri"/>
                <w:szCs w:val="23"/>
              </w:rPr>
              <w:t xml:space="preserve"> </w:t>
            </w:r>
            <w:r w:rsidR="00844394" w:rsidRPr="00685AC6">
              <w:rPr>
                <w:rFonts w:cs="Calibri"/>
                <w:szCs w:val="23"/>
              </w:rPr>
              <w:t>2020</w:t>
            </w:r>
          </w:p>
        </w:tc>
        <w:tc>
          <w:tcPr>
            <w:tcW w:w="705" w:type="pct"/>
            <w:tcBorders>
              <w:top w:val="single" w:sz="4" w:space="0" w:color="000080"/>
            </w:tcBorders>
            <w:vAlign w:val="center"/>
          </w:tcPr>
          <w:p w14:paraId="477DE038" w14:textId="523DD32A" w:rsidR="0027687B" w:rsidRPr="00685AC6" w:rsidRDefault="001E575D" w:rsidP="00C24B0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Up to </w:t>
            </w:r>
            <w:r w:rsidR="0027687B" w:rsidRPr="00685AC6">
              <w:rPr>
                <w:rFonts w:cs="Calibri"/>
                <w:szCs w:val="23"/>
              </w:rPr>
              <w:t>$</w:t>
            </w:r>
            <w:r w:rsidR="005A7C94">
              <w:rPr>
                <w:rFonts w:cs="Calibri"/>
                <w:szCs w:val="23"/>
              </w:rPr>
              <w:t>67,368</w:t>
            </w:r>
          </w:p>
        </w:tc>
      </w:tr>
    </w:tbl>
    <w:p w14:paraId="4845AD7B" w14:textId="77777777" w:rsidR="007B35A6" w:rsidRPr="007B35A6" w:rsidRDefault="007B35A6" w:rsidP="000E5633">
      <w:pPr>
        <w:pStyle w:val="Heading1"/>
        <w:keepLines w:val="0"/>
        <w:spacing w:before="240" w:after="180"/>
        <w:rPr>
          <w:rFonts w:cs="Arial"/>
        </w:rPr>
      </w:pPr>
      <w:r w:rsidRPr="007B35A6">
        <w:rPr>
          <w:rFonts w:cs="Arial"/>
        </w:rPr>
        <w:t>PART 4:</w:t>
      </w:r>
      <w:r w:rsidRPr="007B35A6">
        <w:rPr>
          <w:rFonts w:cs="Arial"/>
        </w:rPr>
        <w:tab/>
        <w:t>REPORTING ARRANGEMENTS</w:t>
      </w:r>
    </w:p>
    <w:p w14:paraId="341D1DDA" w14:textId="77777777" w:rsidR="007B35A6" w:rsidRDefault="005D6DC6" w:rsidP="007B35A6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Queensland</w:t>
      </w:r>
      <w:r w:rsidR="00614ADF" w:rsidRPr="00C44CE7">
        <w:rPr>
          <w:rFonts w:ascii="Corbel" w:hAnsi="Corbel" w:cs="Calibri"/>
          <w:sz w:val="23"/>
          <w:szCs w:val="23"/>
        </w:rPr>
        <w:t xml:space="preserve"> </w:t>
      </w:r>
      <w:r w:rsidR="00CA6F7D" w:rsidRPr="000E5633">
        <w:rPr>
          <w:rFonts w:ascii="Corbel" w:hAnsi="Corbel" w:cs="Calibri"/>
          <w:sz w:val="23"/>
          <w:szCs w:val="23"/>
        </w:rPr>
        <w:t>will</w:t>
      </w:r>
      <w:r w:rsidR="007B35A6" w:rsidRPr="000E5633">
        <w:rPr>
          <w:rFonts w:ascii="Corbel" w:hAnsi="Corbel" w:cs="Calibri"/>
          <w:sz w:val="23"/>
          <w:szCs w:val="23"/>
        </w:rPr>
        <w:t xml:space="preserve"> report against the agreed milestones as </w:t>
      </w:r>
      <w:r w:rsidR="000E5633" w:rsidRPr="000E5633">
        <w:rPr>
          <w:rFonts w:ascii="Corbel" w:hAnsi="Corbel" w:cs="Calibri"/>
          <w:sz w:val="23"/>
          <w:szCs w:val="23"/>
        </w:rPr>
        <w:t>outlined in Table 1 above</w:t>
      </w:r>
      <w:r w:rsidR="007B35A6" w:rsidRPr="000E5633">
        <w:rPr>
          <w:rFonts w:ascii="Corbel" w:hAnsi="Corbel" w:cs="Calibri"/>
          <w:sz w:val="23"/>
          <w:szCs w:val="23"/>
        </w:rPr>
        <w:t xml:space="preserve">. </w:t>
      </w:r>
    </w:p>
    <w:p w14:paraId="25B884A6" w14:textId="3984CE84" w:rsidR="00FC68BC" w:rsidRDefault="00FC68BC" w:rsidP="00FC68BC">
      <w:pPr>
        <w:pStyle w:val="Normalnumbered"/>
        <w:numPr>
          <w:ilvl w:val="0"/>
          <w:numId w:val="38"/>
        </w:numPr>
        <w:spacing w:after="120"/>
        <w:ind w:left="357" w:hanging="357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Queensland will provide a final report demonstrating completion of the eradication program in 201</w:t>
      </w:r>
      <w:r w:rsidR="00A83AC4">
        <w:rPr>
          <w:rFonts w:ascii="Corbel" w:hAnsi="Corbel" w:cs="Calibri"/>
          <w:sz w:val="23"/>
          <w:szCs w:val="23"/>
        </w:rPr>
        <w:t>9</w:t>
      </w:r>
      <w:r>
        <w:rPr>
          <w:rFonts w:ascii="Corbel" w:hAnsi="Corbel" w:cs="Calibri"/>
          <w:sz w:val="23"/>
          <w:szCs w:val="23"/>
        </w:rPr>
        <w:t>-</w:t>
      </w:r>
      <w:r w:rsidR="00A83AC4">
        <w:rPr>
          <w:rFonts w:ascii="Corbel" w:hAnsi="Corbel" w:cs="Calibri"/>
          <w:sz w:val="23"/>
          <w:szCs w:val="23"/>
        </w:rPr>
        <w:t>20</w:t>
      </w:r>
      <w:r>
        <w:rPr>
          <w:rFonts w:ascii="Corbel" w:hAnsi="Corbel" w:cs="Calibri"/>
          <w:sz w:val="23"/>
          <w:szCs w:val="23"/>
        </w:rPr>
        <w:t xml:space="preserve"> within three months of completion</w:t>
      </w:r>
      <w:r w:rsidR="001A4873">
        <w:rPr>
          <w:rFonts w:ascii="Corbel" w:hAnsi="Corbel" w:cs="Calibri"/>
          <w:sz w:val="23"/>
          <w:szCs w:val="23"/>
        </w:rPr>
        <w:t xml:space="preserve"> of operational requirements of the Response Plan</w:t>
      </w:r>
      <w:r>
        <w:rPr>
          <w:rFonts w:ascii="Corbel" w:hAnsi="Corbel" w:cs="Calibri"/>
          <w:sz w:val="23"/>
          <w:szCs w:val="23"/>
        </w:rPr>
        <w:t xml:space="preserve"> including demonstration of compl</w:t>
      </w:r>
      <w:r w:rsidR="00452E4F">
        <w:rPr>
          <w:rFonts w:ascii="Corbel" w:hAnsi="Corbel" w:cs="Calibri"/>
          <w:sz w:val="23"/>
          <w:szCs w:val="23"/>
        </w:rPr>
        <w:t>etion of outputs in the 4</w:t>
      </w:r>
      <w:r w:rsidR="00452E4F" w:rsidRPr="00452E4F">
        <w:rPr>
          <w:rFonts w:ascii="Corbel" w:hAnsi="Corbel" w:cs="Calibri"/>
          <w:sz w:val="23"/>
          <w:szCs w:val="23"/>
          <w:vertAlign w:val="superscript"/>
        </w:rPr>
        <w:t>th</w:t>
      </w:r>
      <w:r w:rsidR="00452E4F">
        <w:rPr>
          <w:rFonts w:ascii="Corbel" w:hAnsi="Corbel" w:cs="Calibri"/>
          <w:sz w:val="23"/>
          <w:szCs w:val="23"/>
        </w:rPr>
        <w:t xml:space="preserve"> quarterly for 2020</w:t>
      </w:r>
      <w:r>
        <w:rPr>
          <w:rFonts w:ascii="Corbel" w:hAnsi="Corbel" w:cs="Calibri"/>
          <w:sz w:val="23"/>
          <w:szCs w:val="23"/>
        </w:rPr>
        <w:t xml:space="preserve"> under the agreed emergency </w:t>
      </w:r>
      <w:r w:rsidR="001A4873">
        <w:rPr>
          <w:rFonts w:ascii="Corbel" w:hAnsi="Corbel" w:cs="Calibri"/>
          <w:sz w:val="23"/>
          <w:szCs w:val="23"/>
        </w:rPr>
        <w:t>R</w:t>
      </w:r>
      <w:r>
        <w:rPr>
          <w:rFonts w:ascii="Corbel" w:hAnsi="Corbel" w:cs="Calibri"/>
          <w:sz w:val="23"/>
          <w:szCs w:val="23"/>
        </w:rPr>
        <w:t xml:space="preserve">esponse </w:t>
      </w:r>
      <w:r w:rsidR="001A4873">
        <w:rPr>
          <w:rFonts w:ascii="Corbel" w:hAnsi="Corbel" w:cs="Calibri"/>
          <w:sz w:val="23"/>
          <w:szCs w:val="23"/>
        </w:rPr>
        <w:t>P</w:t>
      </w:r>
      <w:r>
        <w:rPr>
          <w:rFonts w:ascii="Corbel" w:hAnsi="Corbel" w:cs="Calibri"/>
          <w:sz w:val="23"/>
          <w:szCs w:val="23"/>
        </w:rPr>
        <w:t>lan.</w:t>
      </w:r>
    </w:p>
    <w:p w14:paraId="2BE671BF" w14:textId="3ECB93B4" w:rsidR="009025F7" w:rsidRDefault="007B35A6" w:rsidP="009025F7">
      <w:pPr>
        <w:pStyle w:val="Normalnumbered"/>
        <w:numPr>
          <w:ilvl w:val="0"/>
          <w:numId w:val="38"/>
        </w:numPr>
        <w:spacing w:after="120"/>
        <w:ind w:left="357" w:hanging="357"/>
        <w:rPr>
          <w:rFonts w:ascii="Corbel" w:hAnsi="Corbel" w:cs="Calibri"/>
          <w:sz w:val="23"/>
          <w:szCs w:val="23"/>
        </w:rPr>
      </w:pPr>
      <w:r w:rsidRPr="00CA6F7D">
        <w:rPr>
          <w:rFonts w:ascii="Corbel" w:hAnsi="Corbel" w:cs="Calibri"/>
          <w:sz w:val="23"/>
          <w:szCs w:val="23"/>
        </w:rPr>
        <w:t xml:space="preserve">Circumstances may give rise to additional reporting being sought in accordance with the </w:t>
      </w:r>
      <w:r w:rsidR="005D6DC6">
        <w:rPr>
          <w:rFonts w:ascii="Corbel" w:hAnsi="Corbel" w:cs="Calibri"/>
          <w:sz w:val="23"/>
          <w:szCs w:val="23"/>
        </w:rPr>
        <w:t>EPPRD</w:t>
      </w:r>
      <w:r w:rsidRPr="00C626BA">
        <w:rPr>
          <w:rFonts w:ascii="Corbel" w:hAnsi="Corbel" w:cs="Calibri"/>
          <w:sz w:val="23"/>
          <w:szCs w:val="23"/>
        </w:rPr>
        <w:t xml:space="preserve">.  </w:t>
      </w:r>
    </w:p>
    <w:p w14:paraId="22EE2AF2" w14:textId="77777777" w:rsidR="009025F7" w:rsidRPr="009025F7" w:rsidRDefault="009025F7" w:rsidP="009025F7">
      <w:pPr>
        <w:pStyle w:val="Normalnumbered"/>
        <w:spacing w:after="120"/>
        <w:ind w:left="357"/>
        <w:rPr>
          <w:rFonts w:ascii="Corbel" w:hAnsi="Corbel" w:cs="Calibri"/>
          <w:sz w:val="23"/>
          <w:szCs w:val="23"/>
        </w:rPr>
      </w:pPr>
    </w:p>
    <w:p w14:paraId="25F2557D" w14:textId="77777777" w:rsidR="009025F7" w:rsidRDefault="009025F7" w:rsidP="000E5633">
      <w:pPr>
        <w:pStyle w:val="Heading1"/>
        <w:keepLines w:val="0"/>
        <w:spacing w:before="240" w:after="180"/>
        <w:rPr>
          <w:rFonts w:cs="Arial"/>
        </w:rPr>
      </w:pPr>
    </w:p>
    <w:p w14:paraId="14231E5E" w14:textId="77777777" w:rsidR="00A642FD" w:rsidRPr="00A642FD" w:rsidRDefault="00A642FD" w:rsidP="00A642FD"/>
    <w:p w14:paraId="47F38871" w14:textId="77777777" w:rsidR="007B35A6" w:rsidRPr="007B35A6" w:rsidRDefault="007B35A6" w:rsidP="000E5633">
      <w:pPr>
        <w:pStyle w:val="Heading1"/>
        <w:keepLines w:val="0"/>
        <w:spacing w:before="240" w:after="180"/>
        <w:rPr>
          <w:rFonts w:cs="Arial"/>
        </w:rPr>
      </w:pPr>
      <w:r w:rsidRPr="007B35A6">
        <w:rPr>
          <w:rFonts w:cs="Arial"/>
        </w:rPr>
        <w:t>PART 5: FINANCIAL ARRANGEMENTS</w:t>
      </w:r>
    </w:p>
    <w:p w14:paraId="64C63948" w14:textId="5A6EB61E" w:rsidR="00CB6E96" w:rsidRDefault="00CB6E96" w:rsidP="002F3B9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Commonwealth’s agreed </w:t>
      </w:r>
      <w:r w:rsidR="00E32D4E">
        <w:rPr>
          <w:rFonts w:ascii="Corbel" w:hAnsi="Corbel" w:cs="Calibri"/>
          <w:sz w:val="23"/>
          <w:szCs w:val="23"/>
        </w:rPr>
        <w:t xml:space="preserve">maximum potential </w:t>
      </w:r>
      <w:r w:rsidRPr="00C626BA">
        <w:rPr>
          <w:rFonts w:ascii="Corbel" w:hAnsi="Corbel" w:cs="Calibri"/>
          <w:sz w:val="23"/>
          <w:szCs w:val="23"/>
        </w:rPr>
        <w:t xml:space="preserve">financial contribution </w:t>
      </w:r>
      <w:r>
        <w:rPr>
          <w:rFonts w:ascii="Corbel" w:hAnsi="Corbel" w:cs="Calibri"/>
          <w:sz w:val="23"/>
          <w:szCs w:val="23"/>
        </w:rPr>
        <w:t xml:space="preserve">for the </w:t>
      </w:r>
      <w:r w:rsidR="00F00E57">
        <w:rPr>
          <w:rFonts w:ascii="Corbel" w:hAnsi="Corbel" w:cs="Calibri"/>
          <w:sz w:val="23"/>
          <w:szCs w:val="23"/>
        </w:rPr>
        <w:t>N</w:t>
      </w:r>
      <w:r>
        <w:rPr>
          <w:rFonts w:ascii="Corbel" w:hAnsi="Corbel" w:cs="Calibri"/>
          <w:sz w:val="23"/>
          <w:szCs w:val="23"/>
        </w:rPr>
        <w:t xml:space="preserve">ational Varroa </w:t>
      </w:r>
      <w:r w:rsidR="00F00E57">
        <w:rPr>
          <w:rFonts w:ascii="Corbel" w:hAnsi="Corbel" w:cs="Calibri"/>
          <w:sz w:val="23"/>
          <w:szCs w:val="23"/>
        </w:rPr>
        <w:t>M</w:t>
      </w:r>
      <w:r>
        <w:rPr>
          <w:rFonts w:ascii="Corbel" w:hAnsi="Corbel" w:cs="Calibri"/>
          <w:sz w:val="23"/>
          <w:szCs w:val="23"/>
        </w:rPr>
        <w:t xml:space="preserve">ite </w:t>
      </w:r>
      <w:r w:rsidR="00F00E57">
        <w:rPr>
          <w:rFonts w:ascii="Corbel" w:hAnsi="Corbel" w:cs="Calibri"/>
          <w:sz w:val="23"/>
          <w:szCs w:val="23"/>
        </w:rPr>
        <w:t>E</w:t>
      </w:r>
      <w:r>
        <w:rPr>
          <w:rFonts w:ascii="Corbel" w:hAnsi="Corbel" w:cs="Calibri"/>
          <w:sz w:val="23"/>
          <w:szCs w:val="23"/>
        </w:rPr>
        <w:t xml:space="preserve">radication </w:t>
      </w:r>
      <w:r w:rsidR="00F00E57">
        <w:rPr>
          <w:rFonts w:ascii="Corbel" w:hAnsi="Corbel" w:cs="Calibri"/>
          <w:sz w:val="23"/>
          <w:szCs w:val="23"/>
        </w:rPr>
        <w:t>P</w:t>
      </w:r>
      <w:r>
        <w:rPr>
          <w:rFonts w:ascii="Corbel" w:hAnsi="Corbel" w:cs="Calibri"/>
          <w:sz w:val="23"/>
          <w:szCs w:val="23"/>
        </w:rPr>
        <w:t>rogram is</w:t>
      </w:r>
      <w:r w:rsidRPr="00C626BA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>outlined</w:t>
      </w:r>
      <w:r w:rsidRPr="00C626BA">
        <w:rPr>
          <w:rFonts w:ascii="Corbel" w:hAnsi="Corbel" w:cs="Calibri"/>
          <w:sz w:val="23"/>
          <w:szCs w:val="23"/>
        </w:rPr>
        <w:t xml:space="preserve"> in Table 2 and</w:t>
      </w:r>
      <w:r>
        <w:rPr>
          <w:rFonts w:ascii="Corbel" w:hAnsi="Corbel" w:cs="Calibri"/>
          <w:sz w:val="23"/>
          <w:szCs w:val="23"/>
        </w:rPr>
        <w:t xml:space="preserve"> </w:t>
      </w:r>
      <w:r w:rsidRPr="00C626BA">
        <w:rPr>
          <w:rFonts w:ascii="Corbel" w:hAnsi="Corbel" w:cs="Calibri"/>
          <w:sz w:val="23"/>
          <w:szCs w:val="23"/>
        </w:rPr>
        <w:t xml:space="preserve">payable in accordance with the milestones set out </w:t>
      </w:r>
      <w:r>
        <w:rPr>
          <w:rFonts w:ascii="Corbel" w:hAnsi="Corbel" w:cs="Calibri"/>
          <w:sz w:val="23"/>
          <w:szCs w:val="23"/>
        </w:rPr>
        <w:t xml:space="preserve">in </w:t>
      </w:r>
      <w:r w:rsidRPr="00C626BA">
        <w:rPr>
          <w:rFonts w:ascii="Corbel" w:hAnsi="Corbel" w:cs="Calibri"/>
          <w:sz w:val="23"/>
          <w:szCs w:val="23"/>
        </w:rPr>
        <w:t>Table 1. All payments are exclusive of GST</w:t>
      </w:r>
      <w:r w:rsidR="00DC528F">
        <w:rPr>
          <w:rFonts w:ascii="Corbel" w:hAnsi="Corbel" w:cs="Calibri"/>
          <w:sz w:val="23"/>
          <w:szCs w:val="23"/>
        </w:rPr>
        <w:t>.</w:t>
      </w:r>
    </w:p>
    <w:p w14:paraId="23905E04" w14:textId="49C04925" w:rsidR="005D6DC6" w:rsidRDefault="005D6DC6" w:rsidP="002F3B9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Where the industry party is not able to meet its </w:t>
      </w:r>
      <w:r w:rsidR="00482D39">
        <w:rPr>
          <w:rFonts w:ascii="Corbel" w:hAnsi="Corbel" w:cs="Calibri"/>
          <w:sz w:val="23"/>
          <w:szCs w:val="23"/>
        </w:rPr>
        <w:t>cost-</w:t>
      </w:r>
      <w:r>
        <w:rPr>
          <w:rFonts w:ascii="Corbel" w:hAnsi="Corbel" w:cs="Calibri"/>
          <w:sz w:val="23"/>
          <w:szCs w:val="23"/>
        </w:rPr>
        <w:t xml:space="preserve">sharing obligations either directly, or from funds held on its behalf, the Commonwealth will initially meet an industry party’s </w:t>
      </w:r>
      <w:r w:rsidR="00482D39">
        <w:rPr>
          <w:rFonts w:ascii="Corbel" w:hAnsi="Corbel" w:cs="Calibri"/>
          <w:sz w:val="23"/>
          <w:szCs w:val="23"/>
        </w:rPr>
        <w:t>cost-</w:t>
      </w:r>
      <w:r>
        <w:rPr>
          <w:rFonts w:ascii="Corbel" w:hAnsi="Corbel" w:cs="Calibri"/>
          <w:sz w:val="23"/>
          <w:szCs w:val="23"/>
        </w:rPr>
        <w:t xml:space="preserve">sharing obligations as set out in section 10.4.2 of the EPPRD. Each industry party will meet its </w:t>
      </w:r>
      <w:r w:rsidR="00482D39">
        <w:rPr>
          <w:rFonts w:ascii="Corbel" w:hAnsi="Corbel" w:cs="Calibri"/>
          <w:sz w:val="23"/>
          <w:szCs w:val="23"/>
        </w:rPr>
        <w:t>cost-</w:t>
      </w:r>
      <w:r>
        <w:rPr>
          <w:rFonts w:ascii="Corbel" w:hAnsi="Corbel" w:cs="Calibri"/>
          <w:sz w:val="23"/>
          <w:szCs w:val="23"/>
        </w:rPr>
        <w:t>sharing obligations to the Commonwealth, arising as a consequence of the Commonwealth meeting industry party obligations pursuant to clause 10.4.2, as set out in part 1 of Schedule 7 of the EPPRD (10.4.3).</w:t>
      </w:r>
    </w:p>
    <w:p w14:paraId="38181B05" w14:textId="70C2E03D" w:rsidR="00734CF9" w:rsidRDefault="007522B6" w:rsidP="002F3B9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If any additional i</w:t>
      </w:r>
      <w:r w:rsidR="004B2C1D">
        <w:rPr>
          <w:rFonts w:ascii="Corbel" w:hAnsi="Corbel" w:cs="Calibri"/>
          <w:sz w:val="23"/>
          <w:szCs w:val="23"/>
        </w:rPr>
        <w:t>ndustry parties</w:t>
      </w:r>
      <w:r>
        <w:rPr>
          <w:rFonts w:ascii="Corbel" w:hAnsi="Corbel" w:cs="Calibri"/>
          <w:sz w:val="23"/>
          <w:szCs w:val="23"/>
        </w:rPr>
        <w:t xml:space="preserve"> to the eradication program, other than those listed in table 2, submit a re</w:t>
      </w:r>
      <w:r w:rsidR="004B2C1D">
        <w:rPr>
          <w:rFonts w:ascii="Corbel" w:hAnsi="Corbel" w:cs="Calibri"/>
          <w:sz w:val="23"/>
          <w:szCs w:val="23"/>
        </w:rPr>
        <w:t xml:space="preserve">quest </w:t>
      </w:r>
      <w:r>
        <w:rPr>
          <w:rFonts w:ascii="Corbel" w:hAnsi="Corbel" w:cs="Calibri"/>
          <w:sz w:val="23"/>
          <w:szCs w:val="23"/>
        </w:rPr>
        <w:t xml:space="preserve">for the Commonwealth to meet their </w:t>
      </w:r>
      <w:r w:rsidR="00482D39">
        <w:rPr>
          <w:rFonts w:ascii="Corbel" w:hAnsi="Corbel" w:cs="Calibri"/>
          <w:sz w:val="23"/>
          <w:szCs w:val="23"/>
        </w:rPr>
        <w:t>cost-</w:t>
      </w:r>
      <w:r>
        <w:rPr>
          <w:rFonts w:ascii="Corbel" w:hAnsi="Corbel" w:cs="Calibri"/>
          <w:sz w:val="23"/>
          <w:szCs w:val="23"/>
        </w:rPr>
        <w:t xml:space="preserve">sharing obligations then a </w:t>
      </w:r>
      <w:r w:rsidR="00194A32">
        <w:rPr>
          <w:rFonts w:ascii="Corbel" w:hAnsi="Corbel" w:cs="Calibri"/>
          <w:sz w:val="23"/>
          <w:szCs w:val="23"/>
        </w:rPr>
        <w:t xml:space="preserve">new </w:t>
      </w:r>
      <w:r>
        <w:rPr>
          <w:rFonts w:ascii="Corbel" w:hAnsi="Corbel" w:cs="Calibri"/>
          <w:sz w:val="23"/>
          <w:szCs w:val="23"/>
        </w:rPr>
        <w:t xml:space="preserve">revised schedule will be </w:t>
      </w:r>
      <w:r w:rsidR="00194A32">
        <w:rPr>
          <w:rFonts w:ascii="Corbel" w:hAnsi="Corbel" w:cs="Calibri"/>
          <w:sz w:val="23"/>
          <w:szCs w:val="23"/>
        </w:rPr>
        <w:t>submitted</w:t>
      </w:r>
      <w:r>
        <w:rPr>
          <w:rFonts w:ascii="Corbel" w:hAnsi="Corbel" w:cs="Calibri"/>
          <w:sz w:val="23"/>
          <w:szCs w:val="23"/>
        </w:rPr>
        <w:t>.</w:t>
      </w:r>
    </w:p>
    <w:p w14:paraId="747397A4" w14:textId="3AB84CD8" w:rsidR="008A1747" w:rsidRDefault="008A1747" w:rsidP="000E5633">
      <w:pPr>
        <w:pStyle w:val="Heading3"/>
        <w:spacing w:before="120" w:after="120"/>
        <w:rPr>
          <w:rFonts w:ascii="Corbel" w:hAnsi="Corbel"/>
          <w:color w:val="auto"/>
        </w:rPr>
      </w:pPr>
      <w:r w:rsidRPr="00C626BA">
        <w:rPr>
          <w:rFonts w:ascii="Corbel" w:hAnsi="Corbel"/>
          <w:color w:val="auto"/>
        </w:rPr>
        <w:t xml:space="preserve">Table </w:t>
      </w:r>
      <w:r w:rsidR="007B35A6" w:rsidRPr="00C626BA">
        <w:rPr>
          <w:rFonts w:ascii="Corbel" w:hAnsi="Corbel"/>
          <w:color w:val="auto"/>
        </w:rPr>
        <w:t>2</w:t>
      </w:r>
      <w:r w:rsidRPr="00C626BA">
        <w:rPr>
          <w:rFonts w:ascii="Corbel" w:hAnsi="Corbel"/>
          <w:color w:val="auto"/>
        </w:rPr>
        <w:t xml:space="preserve">: </w:t>
      </w:r>
      <w:r w:rsidR="00B925F7">
        <w:rPr>
          <w:rFonts w:ascii="Corbel" w:hAnsi="Corbel"/>
          <w:color w:val="auto"/>
        </w:rPr>
        <w:t>Estimated</w:t>
      </w:r>
      <w:r w:rsidR="00B925F7" w:rsidRPr="00C626BA">
        <w:rPr>
          <w:rFonts w:ascii="Corbel" w:hAnsi="Corbel"/>
          <w:color w:val="auto"/>
        </w:rPr>
        <w:t xml:space="preserve"> </w:t>
      </w:r>
      <w:r w:rsidRPr="00C626BA">
        <w:rPr>
          <w:rFonts w:ascii="Corbel" w:hAnsi="Corbel"/>
          <w:color w:val="auto"/>
        </w:rPr>
        <w:t xml:space="preserve">financial contributions </w:t>
      </w:r>
      <w:r w:rsidR="008C21DD">
        <w:rPr>
          <w:rFonts w:ascii="Corbel" w:hAnsi="Corbel"/>
          <w:color w:val="auto"/>
        </w:rPr>
        <w:br/>
      </w:r>
    </w:p>
    <w:tbl>
      <w:tblPr>
        <w:tblStyle w:val="TableGrid"/>
        <w:tblW w:w="8987" w:type="dxa"/>
        <w:tblLook w:val="04A0" w:firstRow="1" w:lastRow="0" w:firstColumn="1" w:lastColumn="0" w:noHBand="0" w:noVBand="1"/>
      </w:tblPr>
      <w:tblGrid>
        <w:gridCol w:w="2122"/>
        <w:gridCol w:w="1417"/>
        <w:gridCol w:w="1336"/>
        <w:gridCol w:w="1401"/>
        <w:gridCol w:w="1323"/>
        <w:gridCol w:w="1388"/>
      </w:tblGrid>
      <w:tr w:rsidR="004A44EB" w14:paraId="399B9ECE" w14:textId="77777777" w:rsidTr="00C24B01">
        <w:tc>
          <w:tcPr>
            <w:tcW w:w="2122" w:type="dxa"/>
          </w:tcPr>
          <w:p w14:paraId="118D66C4" w14:textId="4B68D44F" w:rsidR="008C21DD" w:rsidRPr="00C24B01" w:rsidRDefault="008C21DD" w:rsidP="008C21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8AC2E2A" w14:textId="61D291E6" w:rsidR="008C21DD" w:rsidRPr="00C24B01" w:rsidRDefault="008C21DD" w:rsidP="008C21DD">
            <w:pPr>
              <w:jc w:val="center"/>
              <w:rPr>
                <w:b/>
                <w:sz w:val="18"/>
                <w:szCs w:val="18"/>
              </w:rPr>
            </w:pPr>
            <w:r w:rsidRPr="00C24B01">
              <w:rPr>
                <w:b/>
                <w:sz w:val="18"/>
                <w:szCs w:val="18"/>
              </w:rPr>
              <w:t>20</w:t>
            </w:r>
            <w:r w:rsidR="00685AC6" w:rsidRPr="00C24B01">
              <w:rPr>
                <w:b/>
                <w:sz w:val="18"/>
                <w:szCs w:val="18"/>
              </w:rPr>
              <w:t>1</w:t>
            </w:r>
            <w:r w:rsidR="00551C12" w:rsidRPr="00C24B01">
              <w:rPr>
                <w:b/>
                <w:sz w:val="18"/>
                <w:szCs w:val="18"/>
              </w:rPr>
              <w:t>6</w:t>
            </w:r>
            <w:r w:rsidRPr="00C24B01">
              <w:rPr>
                <w:b/>
                <w:sz w:val="18"/>
                <w:szCs w:val="18"/>
              </w:rPr>
              <w:t>-</w:t>
            </w:r>
            <w:r w:rsidR="00685AC6" w:rsidRPr="00C24B01">
              <w:rPr>
                <w:b/>
                <w:sz w:val="18"/>
                <w:szCs w:val="18"/>
              </w:rPr>
              <w:t>1</w:t>
            </w:r>
            <w:r w:rsidR="00551C12" w:rsidRPr="00C24B01">
              <w:rPr>
                <w:b/>
                <w:sz w:val="18"/>
                <w:szCs w:val="18"/>
              </w:rPr>
              <w:t>7</w:t>
            </w:r>
          </w:p>
          <w:p w14:paraId="0073ED9C" w14:textId="66341924" w:rsidR="008C21DD" w:rsidRPr="00C24B01" w:rsidRDefault="008C21DD" w:rsidP="008C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6" w:type="dxa"/>
          </w:tcPr>
          <w:p w14:paraId="7A6F1FCF" w14:textId="40B23A0E" w:rsidR="008C21DD" w:rsidRPr="00C24B01" w:rsidRDefault="00685AC6" w:rsidP="008C21DD">
            <w:pPr>
              <w:jc w:val="center"/>
              <w:rPr>
                <w:b/>
                <w:sz w:val="18"/>
                <w:szCs w:val="18"/>
              </w:rPr>
            </w:pPr>
            <w:r w:rsidRPr="00C24B01">
              <w:rPr>
                <w:b/>
                <w:sz w:val="18"/>
                <w:szCs w:val="18"/>
              </w:rPr>
              <w:t>201</w:t>
            </w:r>
            <w:r w:rsidR="003F5ACE">
              <w:rPr>
                <w:b/>
                <w:sz w:val="18"/>
                <w:szCs w:val="18"/>
              </w:rPr>
              <w:t>7</w:t>
            </w:r>
            <w:r w:rsidRPr="00C24B01">
              <w:rPr>
                <w:b/>
                <w:sz w:val="18"/>
                <w:szCs w:val="18"/>
              </w:rPr>
              <w:t>-1</w:t>
            </w:r>
            <w:r w:rsidR="003F5ACE">
              <w:rPr>
                <w:b/>
                <w:sz w:val="18"/>
                <w:szCs w:val="18"/>
              </w:rPr>
              <w:t>8</w:t>
            </w:r>
          </w:p>
          <w:p w14:paraId="14243380" w14:textId="77B56C31" w:rsidR="008C21DD" w:rsidRPr="00C24B01" w:rsidRDefault="008C21DD" w:rsidP="008C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1" w:type="dxa"/>
          </w:tcPr>
          <w:p w14:paraId="4BD878B6" w14:textId="508AAFE7" w:rsidR="008C21DD" w:rsidRPr="00C24B01" w:rsidRDefault="00685AC6" w:rsidP="008C21DD">
            <w:pPr>
              <w:jc w:val="center"/>
              <w:rPr>
                <w:b/>
                <w:sz w:val="18"/>
                <w:szCs w:val="18"/>
              </w:rPr>
            </w:pPr>
            <w:r w:rsidRPr="00C24B01">
              <w:rPr>
                <w:b/>
                <w:sz w:val="18"/>
                <w:szCs w:val="18"/>
              </w:rPr>
              <w:t>201</w:t>
            </w:r>
            <w:r w:rsidR="003F5ACE">
              <w:rPr>
                <w:b/>
                <w:sz w:val="18"/>
                <w:szCs w:val="18"/>
              </w:rPr>
              <w:t>8</w:t>
            </w:r>
            <w:r w:rsidRPr="00C24B01">
              <w:rPr>
                <w:b/>
                <w:sz w:val="18"/>
                <w:szCs w:val="18"/>
              </w:rPr>
              <w:t>-</w:t>
            </w:r>
            <w:r w:rsidR="003F5ACE">
              <w:rPr>
                <w:b/>
                <w:sz w:val="18"/>
                <w:szCs w:val="18"/>
              </w:rPr>
              <w:t>19</w:t>
            </w:r>
          </w:p>
          <w:p w14:paraId="4A9BB555" w14:textId="06048625" w:rsidR="008C21DD" w:rsidRPr="00C24B01" w:rsidRDefault="008C21DD" w:rsidP="008C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</w:tcPr>
          <w:p w14:paraId="52886834" w14:textId="3B0E24C8" w:rsidR="008C21DD" w:rsidRPr="00C24B01" w:rsidRDefault="003F5ACE" w:rsidP="008C21DD">
            <w:pPr>
              <w:jc w:val="center"/>
              <w:rPr>
                <w:b/>
                <w:sz w:val="18"/>
                <w:szCs w:val="18"/>
              </w:rPr>
            </w:pPr>
            <w:r w:rsidRPr="00C24B0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19</w:t>
            </w:r>
            <w:r w:rsidR="00685AC6" w:rsidRPr="00C24B01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0</w:t>
            </w:r>
          </w:p>
          <w:p w14:paraId="56126310" w14:textId="769AF41B" w:rsidR="008C21DD" w:rsidRPr="00C24B01" w:rsidRDefault="008C21DD" w:rsidP="008C21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A6F444B" w14:textId="3193B8A1" w:rsidR="008C21DD" w:rsidRPr="00C24B01" w:rsidRDefault="008C21DD" w:rsidP="00620BF0">
            <w:pPr>
              <w:jc w:val="center"/>
              <w:rPr>
                <w:b/>
                <w:sz w:val="18"/>
                <w:szCs w:val="18"/>
              </w:rPr>
            </w:pPr>
            <w:r w:rsidRPr="00C24B01">
              <w:rPr>
                <w:b/>
                <w:sz w:val="18"/>
                <w:szCs w:val="18"/>
              </w:rPr>
              <w:t xml:space="preserve">Total </w:t>
            </w:r>
          </w:p>
        </w:tc>
      </w:tr>
      <w:tr w:rsidR="004A44EB" w14:paraId="60C624C0" w14:textId="77777777" w:rsidTr="00C24B01">
        <w:trPr>
          <w:trHeight w:val="277"/>
        </w:trPr>
        <w:tc>
          <w:tcPr>
            <w:tcW w:w="2122" w:type="dxa"/>
          </w:tcPr>
          <w:p w14:paraId="22280919" w14:textId="77777777" w:rsidR="008C21DD" w:rsidRPr="00C24B01" w:rsidRDefault="005D6DC6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Commonwealth</w:t>
            </w:r>
          </w:p>
        </w:tc>
        <w:tc>
          <w:tcPr>
            <w:tcW w:w="1417" w:type="dxa"/>
          </w:tcPr>
          <w:p w14:paraId="74F1C9C3" w14:textId="0B1EC60B" w:rsidR="008C21DD" w:rsidRPr="00C24B01" w:rsidRDefault="00A772B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$321</w:t>
            </w:r>
            <w:r w:rsidR="00FD3BDA" w:rsidRPr="00C24B01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>164</w:t>
            </w:r>
          </w:p>
        </w:tc>
        <w:tc>
          <w:tcPr>
            <w:tcW w:w="1336" w:type="dxa"/>
          </w:tcPr>
          <w:p w14:paraId="7AD63B31" w14:textId="36A04766" w:rsidR="008C21DD" w:rsidRPr="00C24B01" w:rsidRDefault="00A772B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$144</w:t>
            </w:r>
            <w:r w:rsidR="00FD3BDA" w:rsidRPr="00C24B01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>642</w:t>
            </w:r>
          </w:p>
        </w:tc>
        <w:tc>
          <w:tcPr>
            <w:tcW w:w="1401" w:type="dxa"/>
          </w:tcPr>
          <w:p w14:paraId="07A9C2A9" w14:textId="3DDFDEC2" w:rsidR="008C21DD" w:rsidRPr="00C24B01" w:rsidRDefault="00A772B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$150</w:t>
            </w:r>
            <w:r w:rsidR="00FD3BDA" w:rsidRPr="00C24B01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>9</w:t>
            </w:r>
            <w:r w:rsidR="0027687B" w:rsidRPr="00C24B01">
              <w:rPr>
                <w:sz w:val="18"/>
                <w:szCs w:val="18"/>
              </w:rPr>
              <w:t>48</w:t>
            </w:r>
          </w:p>
        </w:tc>
        <w:tc>
          <w:tcPr>
            <w:tcW w:w="1323" w:type="dxa"/>
          </w:tcPr>
          <w:p w14:paraId="169D8A9D" w14:textId="507195FD" w:rsidR="008C21DD" w:rsidRPr="00C24B01" w:rsidRDefault="00E703C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</w:t>
            </w:r>
            <w:r w:rsidR="0027687B" w:rsidRPr="00C24B01">
              <w:rPr>
                <w:sz w:val="18"/>
                <w:szCs w:val="18"/>
              </w:rPr>
              <w:t>24</w:t>
            </w:r>
            <w:r w:rsidR="00FD3BDA" w:rsidRPr="00C24B01">
              <w:rPr>
                <w:sz w:val="18"/>
                <w:szCs w:val="18"/>
              </w:rPr>
              <w:t>,</w:t>
            </w:r>
            <w:r w:rsidR="0027687B" w:rsidRPr="00C24B01">
              <w:rPr>
                <w:sz w:val="18"/>
                <w:szCs w:val="18"/>
              </w:rPr>
              <w:t>724</w:t>
            </w:r>
          </w:p>
        </w:tc>
        <w:tc>
          <w:tcPr>
            <w:tcW w:w="1388" w:type="dxa"/>
          </w:tcPr>
          <w:p w14:paraId="34DB6BDF" w14:textId="3093D8C3" w:rsidR="008C21DD" w:rsidRPr="00C24B01" w:rsidRDefault="0027687B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$641</w:t>
            </w:r>
            <w:r w:rsidR="00FD3BDA" w:rsidRPr="00C24B01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>478</w:t>
            </w:r>
          </w:p>
        </w:tc>
      </w:tr>
      <w:tr w:rsidR="004A44EB" w14:paraId="167A8631" w14:textId="77777777" w:rsidTr="00C24B01">
        <w:trPr>
          <w:trHeight w:val="409"/>
        </w:trPr>
        <w:tc>
          <w:tcPr>
            <w:tcW w:w="2122" w:type="dxa"/>
          </w:tcPr>
          <w:p w14:paraId="3C177293" w14:textId="757AD36C" w:rsidR="00FD3BDA" w:rsidRPr="00C24B01" w:rsidRDefault="00FD3BDA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Almond Board of Australia</w:t>
            </w:r>
          </w:p>
        </w:tc>
        <w:tc>
          <w:tcPr>
            <w:tcW w:w="1417" w:type="dxa"/>
          </w:tcPr>
          <w:p w14:paraId="6A9334FC" w14:textId="2878514E" w:rsidR="00FD3BDA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$158,912</w:t>
            </w:r>
          </w:p>
        </w:tc>
        <w:tc>
          <w:tcPr>
            <w:tcW w:w="1336" w:type="dxa"/>
          </w:tcPr>
          <w:p w14:paraId="2C64A19B" w14:textId="2AD3E232" w:rsidR="00FD3BDA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$71,569</w:t>
            </w:r>
          </w:p>
        </w:tc>
        <w:tc>
          <w:tcPr>
            <w:tcW w:w="1401" w:type="dxa"/>
          </w:tcPr>
          <w:p w14:paraId="2B988D07" w14:textId="1D996F3C" w:rsidR="00FD3BDA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$74,689</w:t>
            </w:r>
          </w:p>
        </w:tc>
        <w:tc>
          <w:tcPr>
            <w:tcW w:w="1323" w:type="dxa"/>
          </w:tcPr>
          <w:p w14:paraId="16671798" w14:textId="224D06D3" w:rsidR="00FD3BDA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$12,234</w:t>
            </w:r>
          </w:p>
        </w:tc>
        <w:tc>
          <w:tcPr>
            <w:tcW w:w="1388" w:type="dxa"/>
          </w:tcPr>
          <w:p w14:paraId="0C00D1BA" w14:textId="3B099E08" w:rsidR="00FD3BDA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$317,404</w:t>
            </w:r>
          </w:p>
        </w:tc>
      </w:tr>
      <w:tr w:rsidR="000D358D" w14:paraId="460CD8CF" w14:textId="77777777" w:rsidTr="00C24B01">
        <w:trPr>
          <w:trHeight w:val="245"/>
        </w:trPr>
        <w:tc>
          <w:tcPr>
            <w:tcW w:w="2122" w:type="dxa"/>
          </w:tcPr>
          <w:p w14:paraId="733DEF26" w14:textId="75E66951" w:rsidR="000D358D" w:rsidRPr="00C24B01" w:rsidRDefault="000D358D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Apple and Pear Australia</w:t>
            </w:r>
          </w:p>
        </w:tc>
        <w:tc>
          <w:tcPr>
            <w:tcW w:w="1417" w:type="dxa"/>
          </w:tcPr>
          <w:p w14:paraId="2A0C8409" w14:textId="23634CC0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$203,361</w:t>
            </w:r>
          </w:p>
        </w:tc>
        <w:tc>
          <w:tcPr>
            <w:tcW w:w="1336" w:type="dxa"/>
          </w:tcPr>
          <w:p w14:paraId="3D32113B" w14:textId="71ACF002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$91,587</w:t>
            </w:r>
          </w:p>
        </w:tc>
        <w:tc>
          <w:tcPr>
            <w:tcW w:w="1401" w:type="dxa"/>
          </w:tcPr>
          <w:p w14:paraId="44CBD49B" w14:textId="666246EA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$95,580</w:t>
            </w:r>
          </w:p>
        </w:tc>
        <w:tc>
          <w:tcPr>
            <w:tcW w:w="1323" w:type="dxa"/>
          </w:tcPr>
          <w:p w14:paraId="5AA825C9" w14:textId="63475C84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$15,655</w:t>
            </w:r>
          </w:p>
        </w:tc>
        <w:tc>
          <w:tcPr>
            <w:tcW w:w="1388" w:type="dxa"/>
          </w:tcPr>
          <w:p w14:paraId="7FBE63F0" w14:textId="43B5282B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$406,183</w:t>
            </w:r>
          </w:p>
        </w:tc>
      </w:tr>
      <w:tr w:rsidR="000D358D" w14:paraId="2DF14238" w14:textId="77777777" w:rsidTr="00D87DF7">
        <w:trPr>
          <w:trHeight w:val="391"/>
        </w:trPr>
        <w:tc>
          <w:tcPr>
            <w:tcW w:w="2122" w:type="dxa"/>
          </w:tcPr>
          <w:p w14:paraId="6519B910" w14:textId="026C0B32" w:rsidR="000D358D" w:rsidRPr="00C24B01" w:rsidRDefault="000D358D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Australian Macadamia Society</w:t>
            </w:r>
          </w:p>
        </w:tc>
        <w:tc>
          <w:tcPr>
            <w:tcW w:w="1417" w:type="dxa"/>
          </w:tcPr>
          <w:p w14:paraId="26DD91CD" w14:textId="05F638D0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$14,902</w:t>
            </w:r>
          </w:p>
        </w:tc>
        <w:tc>
          <w:tcPr>
            <w:tcW w:w="1336" w:type="dxa"/>
          </w:tcPr>
          <w:p w14:paraId="1D2F2A09" w14:textId="3860FEB7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$6,711</w:t>
            </w:r>
          </w:p>
        </w:tc>
        <w:tc>
          <w:tcPr>
            <w:tcW w:w="1401" w:type="dxa"/>
          </w:tcPr>
          <w:p w14:paraId="356C5677" w14:textId="7C189130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$7,004</w:t>
            </w:r>
          </w:p>
        </w:tc>
        <w:tc>
          <w:tcPr>
            <w:tcW w:w="1323" w:type="dxa"/>
          </w:tcPr>
          <w:p w14:paraId="183DD9BE" w14:textId="2FC2263A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$1,147</w:t>
            </w:r>
          </w:p>
        </w:tc>
        <w:tc>
          <w:tcPr>
            <w:tcW w:w="1388" w:type="dxa"/>
          </w:tcPr>
          <w:p w14:paraId="17D6FE94" w14:textId="46414641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$29,764</w:t>
            </w:r>
          </w:p>
        </w:tc>
      </w:tr>
      <w:tr w:rsidR="000D358D" w14:paraId="298F2B2C" w14:textId="77777777" w:rsidTr="00C24B01">
        <w:trPr>
          <w:trHeight w:val="413"/>
        </w:trPr>
        <w:tc>
          <w:tcPr>
            <w:tcW w:w="2122" w:type="dxa"/>
          </w:tcPr>
          <w:p w14:paraId="0AFD2DAC" w14:textId="3C6C88DC" w:rsidR="000D358D" w:rsidRPr="00C24B01" w:rsidRDefault="000D358D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Australian Melon Association</w:t>
            </w:r>
          </w:p>
        </w:tc>
        <w:tc>
          <w:tcPr>
            <w:tcW w:w="1417" w:type="dxa"/>
          </w:tcPr>
          <w:p w14:paraId="2DCDC34D" w14:textId="51E6BA56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$74,639</w:t>
            </w:r>
          </w:p>
        </w:tc>
        <w:tc>
          <w:tcPr>
            <w:tcW w:w="1336" w:type="dxa"/>
          </w:tcPr>
          <w:p w14:paraId="49CA3411" w14:textId="34EB3C85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$33,615</w:t>
            </w:r>
          </w:p>
        </w:tc>
        <w:tc>
          <w:tcPr>
            <w:tcW w:w="1401" w:type="dxa"/>
          </w:tcPr>
          <w:p w14:paraId="6D3C5ADF" w14:textId="3621C643" w:rsidR="000D358D" w:rsidRPr="00C24B01" w:rsidRDefault="000D358D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</w:t>
            </w:r>
            <w:r w:rsidR="006F1FA5" w:rsidRPr="00C24B01">
              <w:rPr>
                <w:sz w:val="18"/>
                <w:szCs w:val="18"/>
              </w:rPr>
              <w:t>35,080</w:t>
            </w:r>
          </w:p>
        </w:tc>
        <w:tc>
          <w:tcPr>
            <w:tcW w:w="1323" w:type="dxa"/>
          </w:tcPr>
          <w:p w14:paraId="3F771007" w14:textId="02F1B4BF" w:rsidR="000D358D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$5,746</w:t>
            </w:r>
          </w:p>
        </w:tc>
        <w:tc>
          <w:tcPr>
            <w:tcW w:w="1388" w:type="dxa"/>
          </w:tcPr>
          <w:p w14:paraId="55AEAF7D" w14:textId="0DAFC327" w:rsidR="000D358D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$149,080</w:t>
            </w:r>
          </w:p>
        </w:tc>
      </w:tr>
      <w:tr w:rsidR="006F1FA5" w14:paraId="0F33A1B6" w14:textId="77777777" w:rsidTr="00D87DF7">
        <w:trPr>
          <w:trHeight w:val="249"/>
        </w:trPr>
        <w:tc>
          <w:tcPr>
            <w:tcW w:w="2122" w:type="dxa"/>
          </w:tcPr>
          <w:p w14:paraId="6EF84412" w14:textId="4ACF7FCF" w:rsidR="006F1FA5" w:rsidRPr="00C24B01" w:rsidRDefault="006F1FA5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Avocados Australia</w:t>
            </w:r>
          </w:p>
        </w:tc>
        <w:tc>
          <w:tcPr>
            <w:tcW w:w="1417" w:type="dxa"/>
          </w:tcPr>
          <w:p w14:paraId="45584D91" w14:textId="2C83C2C5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$22,867</w:t>
            </w:r>
          </w:p>
        </w:tc>
        <w:tc>
          <w:tcPr>
            <w:tcW w:w="1336" w:type="dxa"/>
          </w:tcPr>
          <w:p w14:paraId="67A48439" w14:textId="55D3D582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$10,298</w:t>
            </w:r>
          </w:p>
        </w:tc>
        <w:tc>
          <w:tcPr>
            <w:tcW w:w="1401" w:type="dxa"/>
          </w:tcPr>
          <w:p w14:paraId="2D7162AA" w14:textId="3AB2C32E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$10,747</w:t>
            </w:r>
          </w:p>
        </w:tc>
        <w:tc>
          <w:tcPr>
            <w:tcW w:w="1323" w:type="dxa"/>
          </w:tcPr>
          <w:p w14:paraId="71E2D312" w14:textId="76F68536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$1,760</w:t>
            </w:r>
          </w:p>
        </w:tc>
        <w:tc>
          <w:tcPr>
            <w:tcW w:w="1388" w:type="dxa"/>
          </w:tcPr>
          <w:p w14:paraId="25C8460A" w14:textId="6A617016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$45,672</w:t>
            </w:r>
          </w:p>
        </w:tc>
      </w:tr>
      <w:tr w:rsidR="006F1FA5" w14:paraId="2E87B4C6" w14:textId="77777777" w:rsidTr="00C24B01">
        <w:trPr>
          <w:trHeight w:val="446"/>
        </w:trPr>
        <w:tc>
          <w:tcPr>
            <w:tcW w:w="2122" w:type="dxa"/>
          </w:tcPr>
          <w:p w14:paraId="20EEE664" w14:textId="1EA2B36E" w:rsidR="006F1FA5" w:rsidRPr="00C24B01" w:rsidRDefault="006F1FA5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Cherry Growers of Australia</w:t>
            </w:r>
          </w:p>
        </w:tc>
        <w:tc>
          <w:tcPr>
            <w:tcW w:w="1417" w:type="dxa"/>
          </w:tcPr>
          <w:p w14:paraId="08093C29" w14:textId="62CA3FCD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$51,643</w:t>
            </w:r>
          </w:p>
        </w:tc>
        <w:tc>
          <w:tcPr>
            <w:tcW w:w="1336" w:type="dxa"/>
          </w:tcPr>
          <w:p w14:paraId="65559C5A" w14:textId="56BBAF25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$23,258</w:t>
            </w:r>
          </w:p>
        </w:tc>
        <w:tc>
          <w:tcPr>
            <w:tcW w:w="1401" w:type="dxa"/>
          </w:tcPr>
          <w:p w14:paraId="205C1006" w14:textId="793AF521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$24,272</w:t>
            </w:r>
          </w:p>
        </w:tc>
        <w:tc>
          <w:tcPr>
            <w:tcW w:w="1323" w:type="dxa"/>
          </w:tcPr>
          <w:p w14:paraId="06DF7C2B" w14:textId="1C994600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$3,976</w:t>
            </w:r>
          </w:p>
        </w:tc>
        <w:tc>
          <w:tcPr>
            <w:tcW w:w="1388" w:type="dxa"/>
          </w:tcPr>
          <w:p w14:paraId="46AB23C2" w14:textId="29FAA3FC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$103,149</w:t>
            </w:r>
          </w:p>
        </w:tc>
      </w:tr>
      <w:tr w:rsidR="006F1FA5" w14:paraId="0C6523A8" w14:textId="77777777" w:rsidTr="00D87DF7">
        <w:trPr>
          <w:trHeight w:val="417"/>
        </w:trPr>
        <w:tc>
          <w:tcPr>
            <w:tcW w:w="2122" w:type="dxa"/>
          </w:tcPr>
          <w:p w14:paraId="4B9FB66E" w14:textId="2B0CA5EF" w:rsidR="006F1FA5" w:rsidRPr="00C24B01" w:rsidRDefault="00F01943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Raspberries</w:t>
            </w:r>
            <w:r w:rsidR="006F1FA5" w:rsidRPr="00C24B01">
              <w:rPr>
                <w:sz w:val="18"/>
                <w:szCs w:val="18"/>
              </w:rPr>
              <w:t xml:space="preserve"> and Blackberries Australia</w:t>
            </w:r>
          </w:p>
        </w:tc>
        <w:tc>
          <w:tcPr>
            <w:tcW w:w="1417" w:type="dxa"/>
          </w:tcPr>
          <w:p w14:paraId="49268722" w14:textId="19203663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$22,738</w:t>
            </w:r>
          </w:p>
        </w:tc>
        <w:tc>
          <w:tcPr>
            <w:tcW w:w="1336" w:type="dxa"/>
          </w:tcPr>
          <w:p w14:paraId="661AEFC7" w14:textId="03D32832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$10,241</w:t>
            </w:r>
          </w:p>
        </w:tc>
        <w:tc>
          <w:tcPr>
            <w:tcW w:w="1401" w:type="dxa"/>
          </w:tcPr>
          <w:p w14:paraId="326D89A0" w14:textId="56B9AA6E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$10,687</w:t>
            </w:r>
          </w:p>
        </w:tc>
        <w:tc>
          <w:tcPr>
            <w:tcW w:w="1323" w:type="dxa"/>
          </w:tcPr>
          <w:p w14:paraId="2F457AEB" w14:textId="2BCC1481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$1,750</w:t>
            </w:r>
          </w:p>
        </w:tc>
        <w:tc>
          <w:tcPr>
            <w:tcW w:w="1388" w:type="dxa"/>
          </w:tcPr>
          <w:p w14:paraId="17896144" w14:textId="4F3B6AD6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$45,416</w:t>
            </w:r>
          </w:p>
        </w:tc>
      </w:tr>
      <w:tr w:rsidR="006F1FA5" w14:paraId="10ABB6E1" w14:textId="77777777" w:rsidTr="00C24B01">
        <w:trPr>
          <w:trHeight w:val="255"/>
        </w:trPr>
        <w:tc>
          <w:tcPr>
            <w:tcW w:w="2122" w:type="dxa"/>
          </w:tcPr>
          <w:p w14:paraId="73550906" w14:textId="57255E2D" w:rsidR="006F1FA5" w:rsidRPr="00C24B01" w:rsidRDefault="006F1FA5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Strawberries Australia</w:t>
            </w:r>
          </w:p>
        </w:tc>
        <w:tc>
          <w:tcPr>
            <w:tcW w:w="1417" w:type="dxa"/>
          </w:tcPr>
          <w:p w14:paraId="20482743" w14:textId="4F9AC561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$2,698</w:t>
            </w:r>
          </w:p>
        </w:tc>
        <w:tc>
          <w:tcPr>
            <w:tcW w:w="1336" w:type="dxa"/>
          </w:tcPr>
          <w:p w14:paraId="0B170764" w14:textId="44F50611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$1,215</w:t>
            </w:r>
          </w:p>
        </w:tc>
        <w:tc>
          <w:tcPr>
            <w:tcW w:w="1401" w:type="dxa"/>
          </w:tcPr>
          <w:p w14:paraId="0D8336D6" w14:textId="06F68615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$1,268</w:t>
            </w:r>
          </w:p>
        </w:tc>
        <w:tc>
          <w:tcPr>
            <w:tcW w:w="1323" w:type="dxa"/>
          </w:tcPr>
          <w:p w14:paraId="7DDB695C" w14:textId="3A82872E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$208</w:t>
            </w:r>
          </w:p>
        </w:tc>
        <w:tc>
          <w:tcPr>
            <w:tcW w:w="1388" w:type="dxa"/>
          </w:tcPr>
          <w:p w14:paraId="6565E269" w14:textId="3C88C85A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$5,389</w:t>
            </w:r>
          </w:p>
        </w:tc>
      </w:tr>
      <w:tr w:rsidR="006F1FA5" w14:paraId="6319BCC0" w14:textId="77777777" w:rsidTr="00C24B01">
        <w:trPr>
          <w:trHeight w:val="272"/>
        </w:trPr>
        <w:tc>
          <w:tcPr>
            <w:tcW w:w="2122" w:type="dxa"/>
          </w:tcPr>
          <w:p w14:paraId="31E06A34" w14:textId="3DC244A7" w:rsidR="006F1FA5" w:rsidRPr="00C24B01" w:rsidRDefault="006F1FA5" w:rsidP="008C21DD">
            <w:pPr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Summerfruit Australia</w:t>
            </w:r>
          </w:p>
        </w:tc>
        <w:tc>
          <w:tcPr>
            <w:tcW w:w="1417" w:type="dxa"/>
          </w:tcPr>
          <w:p w14:paraId="09572157" w14:textId="3B3A63C8" w:rsidR="006F1FA5" w:rsidRPr="00C24B01" w:rsidRDefault="006F1FA5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$2,184</w:t>
            </w:r>
          </w:p>
        </w:tc>
        <w:tc>
          <w:tcPr>
            <w:tcW w:w="1336" w:type="dxa"/>
          </w:tcPr>
          <w:p w14:paraId="6EA6AEEA" w14:textId="31859F88" w:rsidR="006F1FA5" w:rsidRPr="00C24B01" w:rsidRDefault="004A44EB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$984</w:t>
            </w:r>
          </w:p>
        </w:tc>
        <w:tc>
          <w:tcPr>
            <w:tcW w:w="1401" w:type="dxa"/>
          </w:tcPr>
          <w:p w14:paraId="0B913C93" w14:textId="6E45E18C" w:rsidR="006F1FA5" w:rsidRPr="00C24B01" w:rsidRDefault="004A44EB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$1,026</w:t>
            </w:r>
          </w:p>
        </w:tc>
        <w:tc>
          <w:tcPr>
            <w:tcW w:w="1323" w:type="dxa"/>
          </w:tcPr>
          <w:p w14:paraId="5DCD86BA" w14:textId="09EA9A18" w:rsidR="006F1FA5" w:rsidRPr="00C24B01" w:rsidRDefault="004A44EB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$168</w:t>
            </w:r>
          </w:p>
        </w:tc>
        <w:tc>
          <w:tcPr>
            <w:tcW w:w="1388" w:type="dxa"/>
          </w:tcPr>
          <w:p w14:paraId="30B677AC" w14:textId="23C86CB3" w:rsidR="004A44EB" w:rsidRPr="00C24B01" w:rsidRDefault="004A44EB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$4,362</w:t>
            </w:r>
          </w:p>
        </w:tc>
      </w:tr>
      <w:tr w:rsidR="004A44EB" w14:paraId="39440043" w14:textId="77777777" w:rsidTr="00C24B01">
        <w:trPr>
          <w:trHeight w:val="570"/>
        </w:trPr>
        <w:tc>
          <w:tcPr>
            <w:tcW w:w="2122" w:type="dxa"/>
          </w:tcPr>
          <w:p w14:paraId="2C7CB251" w14:textId="32EF801D" w:rsidR="005D6DC6" w:rsidRPr="00C24B01" w:rsidRDefault="004A44EB" w:rsidP="008C2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i</w:t>
            </w:r>
            <w:r w:rsidR="005D6DC6" w:rsidRPr="00C24B01">
              <w:rPr>
                <w:sz w:val="18"/>
                <w:szCs w:val="18"/>
              </w:rPr>
              <w:t>ndustry cost sharing met by Commonwealth</w:t>
            </w:r>
          </w:p>
        </w:tc>
        <w:tc>
          <w:tcPr>
            <w:tcW w:w="1417" w:type="dxa"/>
          </w:tcPr>
          <w:p w14:paraId="46D19BBA" w14:textId="11344CC8" w:rsidR="005D6DC6" w:rsidRPr="00C24B01" w:rsidRDefault="00E703C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$553</w:t>
            </w:r>
            <w:r w:rsidR="006D6336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 xml:space="preserve"> 944</w:t>
            </w:r>
          </w:p>
        </w:tc>
        <w:tc>
          <w:tcPr>
            <w:tcW w:w="1336" w:type="dxa"/>
          </w:tcPr>
          <w:p w14:paraId="7250014A" w14:textId="1E725D7D" w:rsidR="005D6DC6" w:rsidRPr="00C24B01" w:rsidRDefault="00E703C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$249</w:t>
            </w:r>
            <w:r w:rsidR="006D6336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 xml:space="preserve"> 478</w:t>
            </w:r>
          </w:p>
        </w:tc>
        <w:tc>
          <w:tcPr>
            <w:tcW w:w="1401" w:type="dxa"/>
          </w:tcPr>
          <w:p w14:paraId="024E621B" w14:textId="24794D2B" w:rsidR="005D6DC6" w:rsidRPr="00C24B01" w:rsidRDefault="00E703C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$260</w:t>
            </w:r>
            <w:r w:rsidR="006D6336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 xml:space="preserve"> 353</w:t>
            </w:r>
          </w:p>
        </w:tc>
        <w:tc>
          <w:tcPr>
            <w:tcW w:w="1323" w:type="dxa"/>
          </w:tcPr>
          <w:p w14:paraId="141660C8" w14:textId="5C922C68" w:rsidR="005D6DC6" w:rsidRPr="00C24B01" w:rsidRDefault="00E703C9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$42</w:t>
            </w:r>
            <w:r w:rsidR="006D6336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 xml:space="preserve"> 644</w:t>
            </w:r>
          </w:p>
        </w:tc>
        <w:tc>
          <w:tcPr>
            <w:tcW w:w="1388" w:type="dxa"/>
          </w:tcPr>
          <w:p w14:paraId="398B8A43" w14:textId="1CF6A49F" w:rsidR="005D6DC6" w:rsidRPr="00C24B01" w:rsidRDefault="001C5E60" w:rsidP="008C21DD">
            <w:pPr>
              <w:jc w:val="center"/>
              <w:rPr>
                <w:sz w:val="18"/>
                <w:szCs w:val="18"/>
              </w:rPr>
            </w:pPr>
            <w:r w:rsidRPr="00C24B01">
              <w:rPr>
                <w:sz w:val="18"/>
                <w:szCs w:val="18"/>
              </w:rPr>
              <w:t>$1</w:t>
            </w:r>
            <w:r w:rsidR="006D6336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 xml:space="preserve"> 106</w:t>
            </w:r>
            <w:r w:rsidR="006D6336">
              <w:rPr>
                <w:sz w:val="18"/>
                <w:szCs w:val="18"/>
              </w:rPr>
              <w:t>,</w:t>
            </w:r>
            <w:r w:rsidRPr="00C24B01">
              <w:rPr>
                <w:sz w:val="18"/>
                <w:szCs w:val="18"/>
              </w:rPr>
              <w:t xml:space="preserve"> 419</w:t>
            </w:r>
          </w:p>
        </w:tc>
      </w:tr>
      <w:tr w:rsidR="00727290" w14:paraId="0918D4B2" w14:textId="77777777" w:rsidTr="004A44EB">
        <w:trPr>
          <w:trHeight w:val="570"/>
        </w:trPr>
        <w:tc>
          <w:tcPr>
            <w:tcW w:w="2122" w:type="dxa"/>
          </w:tcPr>
          <w:p w14:paraId="529BB205" w14:textId="18A46498" w:rsidR="00727290" w:rsidRPr="00D87DF7" w:rsidRDefault="00727290" w:rsidP="008C21DD">
            <w:pPr>
              <w:rPr>
                <w:b/>
                <w:sz w:val="18"/>
                <w:szCs w:val="18"/>
              </w:rPr>
            </w:pPr>
            <w:r w:rsidRPr="00D87DF7">
              <w:rPr>
                <w:b/>
                <w:sz w:val="18"/>
                <w:szCs w:val="18"/>
              </w:rPr>
              <w:t>Total Commonwealth Liability</w:t>
            </w:r>
          </w:p>
        </w:tc>
        <w:tc>
          <w:tcPr>
            <w:tcW w:w="1417" w:type="dxa"/>
          </w:tcPr>
          <w:p w14:paraId="3A093A84" w14:textId="75B3C9F9" w:rsidR="00727290" w:rsidRPr="00D87DF7" w:rsidRDefault="00727290" w:rsidP="008C21DD">
            <w:pPr>
              <w:jc w:val="center"/>
              <w:rPr>
                <w:b/>
                <w:sz w:val="18"/>
                <w:szCs w:val="18"/>
              </w:rPr>
            </w:pPr>
            <w:r w:rsidRPr="00D87DF7">
              <w:rPr>
                <w:b/>
                <w:sz w:val="18"/>
                <w:szCs w:val="18"/>
              </w:rPr>
              <w:t>$875,108</w:t>
            </w:r>
          </w:p>
        </w:tc>
        <w:tc>
          <w:tcPr>
            <w:tcW w:w="1336" w:type="dxa"/>
          </w:tcPr>
          <w:p w14:paraId="0F16A57C" w14:textId="0D583C7D" w:rsidR="00727290" w:rsidRPr="00D87DF7" w:rsidRDefault="00727290" w:rsidP="008C21DD">
            <w:pPr>
              <w:jc w:val="center"/>
              <w:rPr>
                <w:b/>
                <w:sz w:val="18"/>
                <w:szCs w:val="18"/>
              </w:rPr>
            </w:pPr>
            <w:r w:rsidRPr="00D87DF7">
              <w:rPr>
                <w:b/>
                <w:sz w:val="18"/>
                <w:szCs w:val="18"/>
              </w:rPr>
              <w:t>$394,120</w:t>
            </w:r>
          </w:p>
        </w:tc>
        <w:tc>
          <w:tcPr>
            <w:tcW w:w="1401" w:type="dxa"/>
          </w:tcPr>
          <w:p w14:paraId="72D73D1E" w14:textId="3C3B15AA" w:rsidR="00727290" w:rsidRPr="00D87DF7" w:rsidRDefault="00727290" w:rsidP="008C21DD">
            <w:pPr>
              <w:jc w:val="center"/>
              <w:rPr>
                <w:b/>
                <w:sz w:val="18"/>
                <w:szCs w:val="18"/>
              </w:rPr>
            </w:pPr>
            <w:r w:rsidRPr="00D87DF7">
              <w:rPr>
                <w:b/>
                <w:sz w:val="18"/>
                <w:szCs w:val="18"/>
              </w:rPr>
              <w:t>$411,301</w:t>
            </w:r>
          </w:p>
        </w:tc>
        <w:tc>
          <w:tcPr>
            <w:tcW w:w="1323" w:type="dxa"/>
          </w:tcPr>
          <w:p w14:paraId="46509525" w14:textId="41BAE0E4" w:rsidR="00727290" w:rsidRPr="00D87DF7" w:rsidRDefault="00727290" w:rsidP="008C21DD">
            <w:pPr>
              <w:jc w:val="center"/>
              <w:rPr>
                <w:b/>
                <w:sz w:val="18"/>
                <w:szCs w:val="18"/>
              </w:rPr>
            </w:pPr>
            <w:r w:rsidRPr="00D87DF7">
              <w:rPr>
                <w:b/>
                <w:sz w:val="18"/>
                <w:szCs w:val="18"/>
              </w:rPr>
              <w:t>$67,368</w:t>
            </w:r>
          </w:p>
        </w:tc>
        <w:tc>
          <w:tcPr>
            <w:tcW w:w="1388" w:type="dxa"/>
          </w:tcPr>
          <w:p w14:paraId="1C767FFD" w14:textId="2ABB90F9" w:rsidR="00727290" w:rsidRPr="00D87DF7" w:rsidRDefault="00727290" w:rsidP="008C21DD">
            <w:pPr>
              <w:jc w:val="center"/>
              <w:rPr>
                <w:b/>
                <w:sz w:val="18"/>
                <w:szCs w:val="18"/>
              </w:rPr>
            </w:pPr>
            <w:r w:rsidRPr="00D87DF7">
              <w:rPr>
                <w:b/>
                <w:sz w:val="18"/>
                <w:szCs w:val="18"/>
              </w:rPr>
              <w:t>$1,747,897</w:t>
            </w:r>
          </w:p>
        </w:tc>
      </w:tr>
    </w:tbl>
    <w:p w14:paraId="00CACE9B" w14:textId="77777777" w:rsidR="008C21DD" w:rsidRDefault="008C21DD" w:rsidP="008C21DD"/>
    <w:p w14:paraId="679F3569" w14:textId="77777777" w:rsidR="009025F7" w:rsidRDefault="009025F7" w:rsidP="00C24B01">
      <w:pPr>
        <w:pStyle w:val="Heading1"/>
        <w:keepLines w:val="0"/>
        <w:spacing w:before="120" w:after="180"/>
        <w:rPr>
          <w:rFonts w:cs="Arial"/>
        </w:rPr>
      </w:pPr>
    </w:p>
    <w:p w14:paraId="2445D511" w14:textId="77777777" w:rsidR="009025F7" w:rsidRDefault="009025F7" w:rsidP="009025F7"/>
    <w:p w14:paraId="260BB901" w14:textId="77777777" w:rsidR="009025F7" w:rsidRDefault="009025F7" w:rsidP="009025F7"/>
    <w:p w14:paraId="2AC52E4F" w14:textId="77777777" w:rsidR="009025F7" w:rsidRPr="009025F7" w:rsidRDefault="009025F7" w:rsidP="009025F7"/>
    <w:p w14:paraId="24DCC753" w14:textId="77777777" w:rsidR="009025F7" w:rsidRDefault="009025F7" w:rsidP="00C24B01">
      <w:pPr>
        <w:pStyle w:val="Heading1"/>
        <w:keepLines w:val="0"/>
        <w:spacing w:before="120" w:after="180"/>
        <w:rPr>
          <w:rFonts w:cs="Arial"/>
        </w:rPr>
      </w:pPr>
    </w:p>
    <w:p w14:paraId="698E6975" w14:textId="77777777" w:rsidR="009025F7" w:rsidRPr="009025F7" w:rsidRDefault="009025F7" w:rsidP="009025F7"/>
    <w:p w14:paraId="1857212E" w14:textId="77777777" w:rsidR="009025F7" w:rsidRDefault="009025F7" w:rsidP="00C24B01">
      <w:pPr>
        <w:pStyle w:val="Heading1"/>
        <w:keepLines w:val="0"/>
        <w:spacing w:before="120" w:after="180"/>
        <w:rPr>
          <w:rFonts w:cs="Arial"/>
        </w:rPr>
      </w:pPr>
    </w:p>
    <w:p w14:paraId="580712F6" w14:textId="77777777" w:rsidR="009025F7" w:rsidRPr="009025F7" w:rsidRDefault="009025F7" w:rsidP="009025F7"/>
    <w:p w14:paraId="699C17B1" w14:textId="77777777" w:rsidR="009025F7" w:rsidRDefault="009025F7" w:rsidP="00C24B01">
      <w:pPr>
        <w:pStyle w:val="Heading1"/>
        <w:keepLines w:val="0"/>
        <w:spacing w:before="120" w:after="180"/>
        <w:rPr>
          <w:rFonts w:cs="Arial"/>
        </w:rPr>
      </w:pPr>
    </w:p>
    <w:p w14:paraId="54B28A7B" w14:textId="77777777" w:rsidR="0036688B" w:rsidRPr="007B35A6" w:rsidRDefault="007B35A6" w:rsidP="00C24B01">
      <w:pPr>
        <w:pStyle w:val="Heading1"/>
        <w:keepLines w:val="0"/>
        <w:spacing w:before="120" w:after="180"/>
        <w:rPr>
          <w:rFonts w:cs="Arial"/>
        </w:rPr>
      </w:pPr>
      <w:r>
        <w:rPr>
          <w:rFonts w:cs="Arial"/>
        </w:rPr>
        <w:t>PART 6:</w:t>
      </w:r>
      <w:r>
        <w:rPr>
          <w:rFonts w:cs="Arial"/>
        </w:rPr>
        <w:tab/>
      </w:r>
      <w:r w:rsidR="0036688B" w:rsidRPr="007B35A6">
        <w:rPr>
          <w:rFonts w:cs="Arial"/>
        </w:rPr>
        <w:t>Sign off</w:t>
      </w:r>
    </w:p>
    <w:p w14:paraId="60777190" w14:textId="77777777" w:rsidR="0036688B" w:rsidRPr="00C626BA" w:rsidRDefault="0036688B" w:rsidP="0036688B">
      <w:pPr>
        <w:spacing w:after="240" w:line="260" w:lineRule="exact"/>
        <w:jc w:val="both"/>
        <w:rPr>
          <w:rFonts w:cs="Calibri"/>
          <w:szCs w:val="23"/>
          <w:lang w:val="en-GB"/>
        </w:rPr>
      </w:pPr>
      <w:r w:rsidRPr="00C626BA">
        <w:rPr>
          <w:rFonts w:cs="Calibri"/>
          <w:szCs w:val="23"/>
          <w:lang w:val="en-GB"/>
        </w:rPr>
        <w:t xml:space="preserve">The Parties have confirmed their commitment to this </w:t>
      </w:r>
      <w:r w:rsidR="003F1D33" w:rsidRPr="00C626BA">
        <w:rPr>
          <w:rFonts w:cs="Calibri"/>
          <w:szCs w:val="23"/>
          <w:lang w:val="en-GB"/>
        </w:rPr>
        <w:t>Schedule</w:t>
      </w:r>
      <w:r w:rsidRPr="00C626BA">
        <w:rPr>
          <w:rFonts w:cs="Calibri"/>
          <w:szCs w:val="23"/>
          <w:lang w:val="en-GB"/>
        </w:rPr>
        <w:t xml:space="preserve">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1D3E5C" w:rsidRPr="00C626BA" w14:paraId="665CCEA2" w14:textId="77777777" w:rsidTr="00FB54B0">
        <w:tc>
          <w:tcPr>
            <w:tcW w:w="5192" w:type="dxa"/>
            <w:vAlign w:val="center"/>
          </w:tcPr>
          <w:p w14:paraId="614C9C31" w14:textId="77777777" w:rsidR="00BF3CD7" w:rsidRPr="00BF3CD7" w:rsidRDefault="00BF3CD7" w:rsidP="00BF3CD7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BF3CD7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BF3CD7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5310FFCE" w14:textId="77777777" w:rsidR="007B35A6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250BE3D" w14:textId="77777777" w:rsidR="00A642FD" w:rsidRDefault="00A642FD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130F482C" w14:textId="77777777" w:rsidR="00FD3BDA" w:rsidRPr="00C626BA" w:rsidRDefault="00FD3BDA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E327347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007D44C9" w14:textId="77777777" w:rsidR="001D3E5C" w:rsidRPr="00C626BA" w:rsidRDefault="001D3E5C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60C48C43" w14:textId="77777777" w:rsidR="007B35A6" w:rsidRPr="00C626BA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6F45DDD9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1D3E5C" w:rsidRPr="00C626BA" w14:paraId="5EF12E33" w14:textId="77777777" w:rsidTr="00FB54B0">
        <w:tc>
          <w:tcPr>
            <w:tcW w:w="9464" w:type="dxa"/>
            <w:gridSpan w:val="3"/>
          </w:tcPr>
          <w:p w14:paraId="627D4FDA" w14:textId="6AED4174" w:rsidR="00A06B8A" w:rsidRDefault="00A06B8A" w:rsidP="00A06B8A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The Honourable David Littleproud MP</w:t>
            </w:r>
            <w:r w:rsidR="009D20D2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  <w:p w14:paraId="7C6D3BA1" w14:textId="77777777" w:rsidR="00A06B8A" w:rsidRDefault="00A06B8A" w:rsidP="00A06B8A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C626BA">
              <w:rPr>
                <w:rFonts w:cs="Calibri"/>
                <w:b/>
                <w:bCs/>
                <w:color w:val="365F91"/>
                <w:sz w:val="24"/>
              </w:rPr>
              <w:t>Minister for Agriculture</w:t>
            </w:r>
            <w:r>
              <w:rPr>
                <w:rFonts w:cs="Calibri"/>
                <w:b/>
                <w:bCs/>
                <w:color w:val="365F91"/>
                <w:sz w:val="24"/>
              </w:rPr>
              <w:t xml:space="preserve"> and Water Resources</w:t>
            </w:r>
          </w:p>
          <w:p w14:paraId="1D08354B" w14:textId="77777777" w:rsidR="001D3E5C" w:rsidRPr="00C626BA" w:rsidRDefault="001D3E5C" w:rsidP="00C626BA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  <w:tr w:rsidR="0036688B" w:rsidRPr="00C626BA" w14:paraId="522DF36D" w14:textId="77777777" w:rsidTr="00FB54B0">
        <w:tc>
          <w:tcPr>
            <w:tcW w:w="5192" w:type="dxa"/>
            <w:vAlign w:val="center"/>
          </w:tcPr>
          <w:p w14:paraId="65863DF5" w14:textId="77777777" w:rsidR="006E23EE" w:rsidRPr="006E23EE" w:rsidRDefault="006E23EE" w:rsidP="006E23EE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6E23EE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 for and on behalf of the</w:t>
            </w:r>
            <w:r>
              <w:rPr>
                <w:rFonts w:ascii="Corbel" w:hAnsi="Corbel"/>
                <w:sz w:val="23"/>
                <w:szCs w:val="23"/>
              </w:rPr>
              <w:t xml:space="preserve"> 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State of </w:t>
            </w:r>
            <w:r w:rsidRPr="007A567F">
              <w:rPr>
                <w:rFonts w:ascii="Corbel" w:hAnsi="Corbel"/>
                <w:sz w:val="23"/>
                <w:szCs w:val="23"/>
              </w:rPr>
              <w:t>Queensland</w:t>
            </w:r>
            <w:r w:rsidRPr="006E23EE">
              <w:rPr>
                <w:rFonts w:ascii="Corbel" w:hAnsi="Corbel"/>
                <w:sz w:val="23"/>
                <w:szCs w:val="23"/>
              </w:rPr>
              <w:t xml:space="preserve"> by</w:t>
            </w:r>
          </w:p>
          <w:p w14:paraId="6A03BB44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E9EE595" w14:textId="77777777" w:rsidR="00A642FD" w:rsidRDefault="00A642FD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C50764F" w14:textId="77777777" w:rsidR="00FD3BDA" w:rsidRDefault="00FD3BD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C3402AF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6257CB63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5D2290AC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1214EC0E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7B09932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CF1F146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8C1E9AA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36688B" w:rsidRPr="00C626BA" w14:paraId="09D4009A" w14:textId="77777777" w:rsidTr="00FB54B0">
        <w:trPr>
          <w:trHeight w:val="822"/>
        </w:trPr>
        <w:tc>
          <w:tcPr>
            <w:tcW w:w="9464" w:type="dxa"/>
            <w:gridSpan w:val="3"/>
          </w:tcPr>
          <w:p w14:paraId="47E0802D" w14:textId="2AF5026B" w:rsidR="006E23EE" w:rsidRPr="00C626BA" w:rsidRDefault="006E23EE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C626BA">
              <w:rPr>
                <w:rFonts w:cs="Calibri"/>
                <w:b/>
                <w:bCs/>
                <w:color w:val="365F91"/>
                <w:sz w:val="24"/>
              </w:rPr>
              <w:t>The Honourable</w:t>
            </w:r>
            <w:r w:rsidR="00FD3BDA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  <w:r w:rsidR="009E6E5A">
              <w:rPr>
                <w:rFonts w:cs="Calibri"/>
                <w:b/>
                <w:bCs/>
                <w:color w:val="365F91"/>
                <w:sz w:val="24"/>
              </w:rPr>
              <w:t>Mark Furner</w:t>
            </w:r>
            <w:r w:rsidR="00FD3BDA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  <w:r w:rsidRPr="00C626BA">
              <w:rPr>
                <w:rFonts w:cs="Calibri"/>
                <w:b/>
                <w:bCs/>
                <w:color w:val="365F91"/>
                <w:sz w:val="24"/>
              </w:rPr>
              <w:t>MP</w:t>
            </w:r>
          </w:p>
          <w:p w14:paraId="0AA2278D" w14:textId="146A7F57" w:rsidR="006E23EE" w:rsidRPr="00C626BA" w:rsidRDefault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C626BA">
              <w:rPr>
                <w:rFonts w:cs="Calibri"/>
                <w:b/>
                <w:bCs/>
                <w:color w:val="365F91"/>
                <w:sz w:val="24"/>
              </w:rPr>
              <w:t>Minister for Agricultur</w:t>
            </w:r>
            <w:r w:rsidR="009E6E5A">
              <w:rPr>
                <w:rFonts w:cs="Calibri"/>
                <w:b/>
                <w:bCs/>
                <w:color w:val="365F91"/>
                <w:sz w:val="24"/>
              </w:rPr>
              <w:t>al Industry Development</w:t>
            </w:r>
            <w:r w:rsidR="00FD3BDA">
              <w:rPr>
                <w:rFonts w:cs="Calibri"/>
                <w:b/>
                <w:bCs/>
                <w:color w:val="365F91"/>
                <w:sz w:val="24"/>
              </w:rPr>
              <w:t xml:space="preserve"> and </w:t>
            </w:r>
            <w:r w:rsidRPr="00C626BA">
              <w:rPr>
                <w:rFonts w:cs="Calibri"/>
                <w:b/>
                <w:bCs/>
                <w:color w:val="365F91"/>
                <w:sz w:val="24"/>
              </w:rPr>
              <w:t>Fisheries</w:t>
            </w:r>
          </w:p>
        </w:tc>
      </w:tr>
    </w:tbl>
    <w:p w14:paraId="2527C626" w14:textId="77777777" w:rsidR="0036688B" w:rsidRDefault="0036688B" w:rsidP="00695DE1"/>
    <w:sectPr w:rsidR="0036688B" w:rsidSect="0052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440" w:bottom="1021" w:left="1440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D470" w14:textId="77777777" w:rsidR="004C6935" w:rsidRDefault="004C6935" w:rsidP="00520331">
      <w:r>
        <w:separator/>
      </w:r>
    </w:p>
  </w:endnote>
  <w:endnote w:type="continuationSeparator" w:id="0">
    <w:p w14:paraId="7643D505" w14:textId="77777777" w:rsidR="004C6935" w:rsidRDefault="004C6935" w:rsidP="00520331">
      <w:r>
        <w:continuationSeparator/>
      </w:r>
    </w:p>
  </w:endnote>
  <w:endnote w:type="continuationNotice" w:id="1">
    <w:p w14:paraId="646A7422" w14:textId="77777777" w:rsidR="00324C53" w:rsidRDefault="00324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0122D" w14:textId="77777777" w:rsidR="002B164F" w:rsidRDefault="002B1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A3533" w14:textId="77777777" w:rsidR="004C6935" w:rsidRPr="00413980" w:rsidRDefault="004C693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  \* MERGEFORMAT </w:instrText>
    </w:r>
    <w:r>
      <w:rPr>
        <w:sz w:val="20"/>
        <w:szCs w:val="20"/>
      </w:rPr>
      <w:fldChar w:fldCharType="separate"/>
    </w:r>
    <w:r w:rsidR="00810B0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14:paraId="6667ABCF" w14:textId="77777777" w:rsidR="004C6935" w:rsidRDefault="004C6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C2F77" w14:textId="77777777" w:rsidR="002B164F" w:rsidRDefault="002B1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B61FD" w14:textId="77777777" w:rsidR="004C6935" w:rsidRDefault="004C6935" w:rsidP="00520331">
      <w:r>
        <w:separator/>
      </w:r>
    </w:p>
  </w:footnote>
  <w:footnote w:type="continuationSeparator" w:id="0">
    <w:p w14:paraId="567389F9" w14:textId="77777777" w:rsidR="004C6935" w:rsidRDefault="004C6935" w:rsidP="00520331">
      <w:r>
        <w:continuationSeparator/>
      </w:r>
    </w:p>
  </w:footnote>
  <w:footnote w:type="continuationNotice" w:id="1">
    <w:p w14:paraId="2021CAFD" w14:textId="77777777" w:rsidR="00324C53" w:rsidRDefault="00324C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AF0BD" w14:textId="77777777" w:rsidR="002B164F" w:rsidRDefault="002B1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03B6F" w14:textId="76A39598" w:rsidR="002B164F" w:rsidRDefault="002B1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C8048" w14:textId="77777777" w:rsidR="002B164F" w:rsidRDefault="002B1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655"/>
    <w:multiLevelType w:val="hybridMultilevel"/>
    <w:tmpl w:val="4F107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79A0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3" w15:restartNumberingAfterBreak="0">
    <w:nsid w:val="11B61A4C"/>
    <w:multiLevelType w:val="hybridMultilevel"/>
    <w:tmpl w:val="FF4801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94BCA"/>
    <w:multiLevelType w:val="hybridMultilevel"/>
    <w:tmpl w:val="782C98D6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E6A86"/>
    <w:multiLevelType w:val="hybridMultilevel"/>
    <w:tmpl w:val="E01E5F56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30283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7C5"/>
    <w:multiLevelType w:val="multilevel"/>
    <w:tmpl w:val="58FC54C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b w:val="0"/>
        <w:bCs w:val="0"/>
        <w:i w:val="0"/>
        <w:iCs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b w:val="0"/>
        <w:bCs w:val="0"/>
        <w:i w:val="0"/>
        <w:iCs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28EE7561"/>
    <w:multiLevelType w:val="hybridMultilevel"/>
    <w:tmpl w:val="D3EECB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E40B3"/>
    <w:multiLevelType w:val="hybridMultilevel"/>
    <w:tmpl w:val="8512A60C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1DD2F50"/>
    <w:multiLevelType w:val="hybridMultilevel"/>
    <w:tmpl w:val="AF56F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00AC6"/>
    <w:multiLevelType w:val="hybridMultilevel"/>
    <w:tmpl w:val="5BF2ACDC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43FC69B6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B3D39"/>
    <w:multiLevelType w:val="hybridMultilevel"/>
    <w:tmpl w:val="652836B2"/>
    <w:lvl w:ilvl="0" w:tplc="102CA794">
      <w:start w:val="1"/>
      <w:numFmt w:val="bullet"/>
      <w:pStyle w:val="StatesLis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5510E28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24EF24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52A84620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B89E094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158F2D0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9E408F3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11621F6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35B4AAF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C07436"/>
    <w:multiLevelType w:val="hybridMultilevel"/>
    <w:tmpl w:val="EB4C46F8"/>
    <w:lvl w:ilvl="0" w:tplc="590C94CC">
      <w:start w:val="1"/>
      <w:numFmt w:val="bullet"/>
      <w:pStyle w:val="SubBullets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sz w:val="20"/>
        <w:szCs w:val="20"/>
      </w:rPr>
    </w:lvl>
    <w:lvl w:ilvl="1" w:tplc="039E2B68">
      <w:start w:val="1"/>
      <w:numFmt w:val="bullet"/>
      <w:pStyle w:val="SubBullets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C9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C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7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0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C1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26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1982"/>
    <w:multiLevelType w:val="hybridMultilevel"/>
    <w:tmpl w:val="0F5EF5D6"/>
    <w:lvl w:ilvl="0" w:tplc="0C09001B">
      <w:start w:val="1"/>
      <w:numFmt w:val="lowerRoman"/>
      <w:lvlText w:val="%1."/>
      <w:lvlJc w:val="right"/>
      <w:pPr>
        <w:ind w:left="2248" w:hanging="360"/>
      </w:pPr>
    </w:lvl>
    <w:lvl w:ilvl="1" w:tplc="0C090019" w:tentative="1">
      <w:start w:val="1"/>
      <w:numFmt w:val="lowerLetter"/>
      <w:lvlText w:val="%2."/>
      <w:lvlJc w:val="left"/>
      <w:pPr>
        <w:ind w:left="2968" w:hanging="360"/>
      </w:pPr>
    </w:lvl>
    <w:lvl w:ilvl="2" w:tplc="0C09001B" w:tentative="1">
      <w:start w:val="1"/>
      <w:numFmt w:val="lowerRoman"/>
      <w:lvlText w:val="%3."/>
      <w:lvlJc w:val="right"/>
      <w:pPr>
        <w:ind w:left="3688" w:hanging="180"/>
      </w:pPr>
    </w:lvl>
    <w:lvl w:ilvl="3" w:tplc="0C09000F" w:tentative="1">
      <w:start w:val="1"/>
      <w:numFmt w:val="decimal"/>
      <w:lvlText w:val="%4."/>
      <w:lvlJc w:val="left"/>
      <w:pPr>
        <w:ind w:left="4408" w:hanging="360"/>
      </w:pPr>
    </w:lvl>
    <w:lvl w:ilvl="4" w:tplc="0C090019" w:tentative="1">
      <w:start w:val="1"/>
      <w:numFmt w:val="lowerLetter"/>
      <w:lvlText w:val="%5."/>
      <w:lvlJc w:val="left"/>
      <w:pPr>
        <w:ind w:left="5128" w:hanging="360"/>
      </w:pPr>
    </w:lvl>
    <w:lvl w:ilvl="5" w:tplc="0C09001B" w:tentative="1">
      <w:start w:val="1"/>
      <w:numFmt w:val="lowerRoman"/>
      <w:lvlText w:val="%6."/>
      <w:lvlJc w:val="right"/>
      <w:pPr>
        <w:ind w:left="5848" w:hanging="180"/>
      </w:pPr>
    </w:lvl>
    <w:lvl w:ilvl="6" w:tplc="0C09000F" w:tentative="1">
      <w:start w:val="1"/>
      <w:numFmt w:val="decimal"/>
      <w:lvlText w:val="%7."/>
      <w:lvlJc w:val="left"/>
      <w:pPr>
        <w:ind w:left="6568" w:hanging="360"/>
      </w:pPr>
    </w:lvl>
    <w:lvl w:ilvl="7" w:tplc="0C090019" w:tentative="1">
      <w:start w:val="1"/>
      <w:numFmt w:val="lowerLetter"/>
      <w:lvlText w:val="%8."/>
      <w:lvlJc w:val="left"/>
      <w:pPr>
        <w:ind w:left="7288" w:hanging="360"/>
      </w:pPr>
    </w:lvl>
    <w:lvl w:ilvl="8" w:tplc="0C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5" w15:restartNumberingAfterBreak="0">
    <w:nsid w:val="3CF70027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6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7" w15:restartNumberingAfterBreak="0">
    <w:nsid w:val="47BF37F9"/>
    <w:multiLevelType w:val="hybridMultilevel"/>
    <w:tmpl w:val="06A8C9E0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47DF6857"/>
    <w:multiLevelType w:val="hybridMultilevel"/>
    <w:tmpl w:val="31D6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E515B4"/>
    <w:multiLevelType w:val="multilevel"/>
    <w:tmpl w:val="A49C9C3E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0" w15:restartNumberingAfterBreak="0">
    <w:nsid w:val="4A3E6939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0"/>
        </w:tabs>
        <w:ind w:left="-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</w:abstractNum>
  <w:abstractNum w:abstractNumId="21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2" w15:restartNumberingAfterBreak="0">
    <w:nsid w:val="4D7A770F"/>
    <w:multiLevelType w:val="multilevel"/>
    <w:tmpl w:val="A3DCA004"/>
    <w:lvl w:ilvl="0">
      <w:start w:val="1"/>
      <w:numFmt w:val="lowerRoman"/>
      <w:lvlText w:val="%1."/>
      <w:lvlJc w:val="right"/>
      <w:pPr>
        <w:tabs>
          <w:tab w:val="num" w:pos="2007"/>
        </w:tabs>
        <w:ind w:left="144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007"/>
        </w:tabs>
        <w:ind w:left="200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574"/>
        </w:tabs>
        <w:ind w:left="2574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3141"/>
        </w:tabs>
        <w:ind w:left="3141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708"/>
        </w:tabs>
        <w:ind w:left="3708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4275"/>
        </w:tabs>
        <w:ind w:left="4275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842"/>
        </w:tabs>
        <w:ind w:left="4842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409"/>
        </w:tabs>
        <w:ind w:left="5409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976"/>
        </w:tabs>
        <w:ind w:left="5976" w:hanging="567"/>
      </w:pPr>
      <w:rPr>
        <w:rFonts w:cs="Times New Roman" w:hint="default"/>
        <w:b w:val="0"/>
        <w:i w:val="0"/>
        <w:color w:val="000000"/>
      </w:rPr>
    </w:lvl>
  </w:abstractNum>
  <w:abstractNum w:abstractNumId="23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bCs w:val="0"/>
        <w:i w:val="0"/>
        <w:iCs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25" w15:restartNumberingAfterBreak="0">
    <w:nsid w:val="59B70749"/>
    <w:multiLevelType w:val="multilevel"/>
    <w:tmpl w:val="2E0CEB0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26" w15:restartNumberingAfterBreak="0">
    <w:nsid w:val="5AF812B6"/>
    <w:multiLevelType w:val="hybridMultilevel"/>
    <w:tmpl w:val="205E30FA"/>
    <w:lvl w:ilvl="0" w:tplc="F000DD02">
      <w:start w:val="1"/>
      <w:numFmt w:val="decimal"/>
      <w:pStyle w:val="Bullet1"/>
      <w:lvlText w:val="%1."/>
      <w:lvlJc w:val="left"/>
      <w:pPr>
        <w:ind w:left="1287" w:hanging="360"/>
      </w:pPr>
    </w:lvl>
    <w:lvl w:ilvl="1" w:tplc="1D8E2386">
      <w:start w:val="1"/>
      <w:numFmt w:val="lowerLetter"/>
      <w:lvlText w:val="%2."/>
      <w:lvlJc w:val="left"/>
      <w:pPr>
        <w:ind w:left="2007" w:hanging="360"/>
      </w:pPr>
    </w:lvl>
    <w:lvl w:ilvl="2" w:tplc="54709E00">
      <w:start w:val="1"/>
      <w:numFmt w:val="lowerRoman"/>
      <w:lvlText w:val="%3."/>
      <w:lvlJc w:val="right"/>
      <w:pPr>
        <w:ind w:left="2727" w:hanging="180"/>
      </w:pPr>
    </w:lvl>
    <w:lvl w:ilvl="3" w:tplc="DCF08D54">
      <w:start w:val="1"/>
      <w:numFmt w:val="decimal"/>
      <w:lvlText w:val="%4."/>
      <w:lvlJc w:val="left"/>
      <w:pPr>
        <w:ind w:left="3447" w:hanging="360"/>
      </w:pPr>
    </w:lvl>
    <w:lvl w:ilvl="4" w:tplc="330E2D12">
      <w:start w:val="1"/>
      <w:numFmt w:val="lowerLetter"/>
      <w:lvlText w:val="%5."/>
      <w:lvlJc w:val="left"/>
      <w:pPr>
        <w:ind w:left="4167" w:hanging="360"/>
      </w:pPr>
    </w:lvl>
    <w:lvl w:ilvl="5" w:tplc="6980C6C2">
      <w:start w:val="1"/>
      <w:numFmt w:val="lowerRoman"/>
      <w:lvlText w:val="%6."/>
      <w:lvlJc w:val="right"/>
      <w:pPr>
        <w:ind w:left="4887" w:hanging="180"/>
      </w:pPr>
    </w:lvl>
    <w:lvl w:ilvl="6" w:tplc="9352383A">
      <w:start w:val="1"/>
      <w:numFmt w:val="decimal"/>
      <w:lvlText w:val="%7."/>
      <w:lvlJc w:val="left"/>
      <w:pPr>
        <w:ind w:left="5607" w:hanging="360"/>
      </w:pPr>
    </w:lvl>
    <w:lvl w:ilvl="7" w:tplc="51CA46FA">
      <w:start w:val="1"/>
      <w:numFmt w:val="lowerLetter"/>
      <w:lvlText w:val="%8."/>
      <w:lvlJc w:val="left"/>
      <w:pPr>
        <w:ind w:left="6327" w:hanging="360"/>
      </w:pPr>
    </w:lvl>
    <w:lvl w:ilvl="8" w:tplc="630EA262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EAA7AC4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8" w15:restartNumberingAfterBreak="0">
    <w:nsid w:val="621E6C2E"/>
    <w:multiLevelType w:val="hybridMultilevel"/>
    <w:tmpl w:val="F23C761A"/>
    <w:lvl w:ilvl="0" w:tplc="C2EA35B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73852"/>
    <w:multiLevelType w:val="hybridMultilevel"/>
    <w:tmpl w:val="D65876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A75E7E"/>
    <w:multiLevelType w:val="hybridMultilevel"/>
    <w:tmpl w:val="1E065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043544"/>
    <w:multiLevelType w:val="hybridMultilevel"/>
    <w:tmpl w:val="3BE08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A39BC"/>
    <w:multiLevelType w:val="multilevel"/>
    <w:tmpl w:val="F64C5FBE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hint="default"/>
      </w:rPr>
    </w:lvl>
  </w:abstractNum>
  <w:abstractNum w:abstractNumId="33" w15:restartNumberingAfterBreak="0">
    <w:nsid w:val="6DAD42C3"/>
    <w:multiLevelType w:val="multilevel"/>
    <w:tmpl w:val="9E129E6C"/>
    <w:lvl w:ilvl="0">
      <w:start w:val="1"/>
      <w:numFmt w:val="lowerLetter"/>
      <w:pStyle w:val="AlphaLis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List"/>
      <w:lvlText w:val="%2."/>
      <w:lvlJc w:val="left"/>
      <w:pPr>
        <w:ind w:left="1440" w:hanging="360"/>
      </w:pPr>
    </w:lvl>
    <w:lvl w:ilvl="2">
      <w:start w:val="1"/>
      <w:numFmt w:val="lowerRoman"/>
      <w:pStyle w:val="AlphaList"/>
      <w:lvlText w:val="%3."/>
      <w:lvlJc w:val="right"/>
      <w:pPr>
        <w:ind w:left="2160" w:hanging="180"/>
      </w:pPr>
    </w:lvl>
    <w:lvl w:ilvl="3">
      <w:start w:val="1"/>
      <w:numFmt w:val="decimal"/>
      <w:pStyle w:val="AlphaList"/>
      <w:lvlText w:val="%4."/>
      <w:lvlJc w:val="left"/>
      <w:pPr>
        <w:ind w:left="2880" w:hanging="360"/>
      </w:pPr>
    </w:lvl>
    <w:lvl w:ilvl="4">
      <w:start w:val="1"/>
      <w:numFmt w:val="lowerLetter"/>
      <w:pStyle w:val="AlphaList"/>
      <w:lvlText w:val="%5."/>
      <w:lvlJc w:val="left"/>
      <w:pPr>
        <w:ind w:left="3600" w:hanging="360"/>
      </w:pPr>
    </w:lvl>
    <w:lvl w:ilvl="5">
      <w:start w:val="1"/>
      <w:numFmt w:val="lowerRoman"/>
      <w:pStyle w:val="AlphaList"/>
      <w:lvlText w:val="%6."/>
      <w:lvlJc w:val="right"/>
      <w:pPr>
        <w:ind w:left="4320" w:hanging="180"/>
      </w:pPr>
    </w:lvl>
    <w:lvl w:ilvl="6">
      <w:start w:val="1"/>
      <w:numFmt w:val="decimal"/>
      <w:pStyle w:val="AlphaList"/>
      <w:lvlText w:val="%7."/>
      <w:lvlJc w:val="left"/>
      <w:pPr>
        <w:ind w:left="5040" w:hanging="360"/>
      </w:pPr>
    </w:lvl>
    <w:lvl w:ilvl="7">
      <w:start w:val="1"/>
      <w:numFmt w:val="lowerLetter"/>
      <w:pStyle w:val="AlphaList"/>
      <w:lvlText w:val="%8."/>
      <w:lvlJc w:val="left"/>
      <w:pPr>
        <w:ind w:left="5760" w:hanging="360"/>
      </w:pPr>
    </w:lvl>
    <w:lvl w:ilvl="8">
      <w:start w:val="1"/>
      <w:numFmt w:val="lowerRoman"/>
      <w:pStyle w:val="AlphaList"/>
      <w:lvlText w:val="%9."/>
      <w:lvlJc w:val="right"/>
      <w:pPr>
        <w:ind w:left="6480" w:hanging="180"/>
      </w:pPr>
    </w:lvl>
  </w:abstractNum>
  <w:abstractNum w:abstractNumId="34" w15:restartNumberingAfterBreak="0">
    <w:nsid w:val="758C4C95"/>
    <w:multiLevelType w:val="hybridMultilevel"/>
    <w:tmpl w:val="55808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981C0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6" w15:restartNumberingAfterBreak="0">
    <w:nsid w:val="78854AAC"/>
    <w:multiLevelType w:val="hybridMultilevel"/>
    <w:tmpl w:val="1CE845E0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8064C9"/>
    <w:multiLevelType w:val="hybridMultilevel"/>
    <w:tmpl w:val="8A52C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80194"/>
    <w:multiLevelType w:val="hybridMultilevel"/>
    <w:tmpl w:val="EEB0634A"/>
    <w:lvl w:ilvl="0" w:tplc="9B9883F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FEA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0A8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089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12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69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82D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42A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CF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B21654"/>
    <w:multiLevelType w:val="hybridMultilevel"/>
    <w:tmpl w:val="AC76B81A"/>
    <w:lvl w:ilvl="0" w:tplc="DC66DA1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7"/>
  </w:num>
  <w:num w:numId="5">
    <w:abstractNumId w:val="24"/>
  </w:num>
  <w:num w:numId="6">
    <w:abstractNumId w:val="2"/>
  </w:num>
  <w:num w:numId="7">
    <w:abstractNumId w:val="25"/>
  </w:num>
  <w:num w:numId="8">
    <w:abstractNumId w:val="16"/>
  </w:num>
  <w:num w:numId="9">
    <w:abstractNumId w:val="36"/>
  </w:num>
  <w:num w:numId="10">
    <w:abstractNumId w:val="32"/>
  </w:num>
  <w:num w:numId="11">
    <w:abstractNumId w:val="33"/>
  </w:num>
  <w:num w:numId="12">
    <w:abstractNumId w:val="38"/>
  </w:num>
  <w:num w:numId="13">
    <w:abstractNumId w:val="26"/>
  </w:num>
  <w:num w:numId="14">
    <w:abstractNumId w:val="13"/>
  </w:num>
  <w:num w:numId="15">
    <w:abstractNumId w:val="21"/>
  </w:num>
  <w:num w:numId="16">
    <w:abstractNumId w:val="35"/>
  </w:num>
  <w:num w:numId="17">
    <w:abstractNumId w:val="37"/>
  </w:num>
  <w:num w:numId="18">
    <w:abstractNumId w:val="18"/>
  </w:num>
  <w:num w:numId="19">
    <w:abstractNumId w:val="34"/>
  </w:num>
  <w:num w:numId="20">
    <w:abstractNumId w:val="5"/>
  </w:num>
  <w:num w:numId="21">
    <w:abstractNumId w:val="20"/>
  </w:num>
  <w:num w:numId="22">
    <w:abstractNumId w:val="25"/>
  </w:num>
  <w:num w:numId="23">
    <w:abstractNumId w:val="15"/>
  </w:num>
  <w:num w:numId="24">
    <w:abstractNumId w:val="25"/>
  </w:num>
  <w:num w:numId="25">
    <w:abstractNumId w:val="27"/>
  </w:num>
  <w:num w:numId="26">
    <w:abstractNumId w:val="31"/>
  </w:num>
  <w:num w:numId="27">
    <w:abstractNumId w:val="0"/>
  </w:num>
  <w:num w:numId="28">
    <w:abstractNumId w:val="30"/>
  </w:num>
  <w:num w:numId="29">
    <w:abstractNumId w:val="36"/>
  </w:num>
  <w:num w:numId="30">
    <w:abstractNumId w:val="9"/>
  </w:num>
  <w:num w:numId="31">
    <w:abstractNumId w:val="14"/>
  </w:num>
  <w:num w:numId="32">
    <w:abstractNumId w:val="22"/>
  </w:num>
  <w:num w:numId="33">
    <w:abstractNumId w:val="3"/>
  </w:num>
  <w:num w:numId="34">
    <w:abstractNumId w:val="39"/>
  </w:num>
  <w:num w:numId="35">
    <w:abstractNumId w:val="6"/>
  </w:num>
  <w:num w:numId="36">
    <w:abstractNumId w:val="1"/>
  </w:num>
  <w:num w:numId="37">
    <w:abstractNumId w:val="36"/>
  </w:num>
  <w:num w:numId="38">
    <w:abstractNumId w:val="11"/>
  </w:num>
  <w:num w:numId="39">
    <w:abstractNumId w:val="29"/>
  </w:num>
  <w:num w:numId="40">
    <w:abstractNumId w:val="28"/>
  </w:num>
  <w:num w:numId="41">
    <w:abstractNumId w:val="10"/>
  </w:num>
  <w:num w:numId="42">
    <w:abstractNumId w:val="8"/>
  </w:num>
  <w:num w:numId="43">
    <w:abstractNumId w:val="4"/>
  </w:num>
  <w:num w:numId="44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E"/>
    <w:rsid w:val="000014B1"/>
    <w:rsid w:val="00003A92"/>
    <w:rsid w:val="00011DA2"/>
    <w:rsid w:val="00012AAE"/>
    <w:rsid w:val="00013A91"/>
    <w:rsid w:val="00014618"/>
    <w:rsid w:val="00023C24"/>
    <w:rsid w:val="000240B5"/>
    <w:rsid w:val="00024B99"/>
    <w:rsid w:val="0002586A"/>
    <w:rsid w:val="00030F67"/>
    <w:rsid w:val="00034877"/>
    <w:rsid w:val="000352AD"/>
    <w:rsid w:val="000375F8"/>
    <w:rsid w:val="00041625"/>
    <w:rsid w:val="0004432A"/>
    <w:rsid w:val="00044E74"/>
    <w:rsid w:val="00045778"/>
    <w:rsid w:val="00045AD7"/>
    <w:rsid w:val="00046527"/>
    <w:rsid w:val="00047FE7"/>
    <w:rsid w:val="00054A8D"/>
    <w:rsid w:val="0005527C"/>
    <w:rsid w:val="000562D3"/>
    <w:rsid w:val="00056C4B"/>
    <w:rsid w:val="00062172"/>
    <w:rsid w:val="000758BF"/>
    <w:rsid w:val="00085DE7"/>
    <w:rsid w:val="00086B8C"/>
    <w:rsid w:val="000873E5"/>
    <w:rsid w:val="00091BA8"/>
    <w:rsid w:val="00091D8D"/>
    <w:rsid w:val="000925CD"/>
    <w:rsid w:val="00093235"/>
    <w:rsid w:val="00096104"/>
    <w:rsid w:val="00096164"/>
    <w:rsid w:val="000A5763"/>
    <w:rsid w:val="000B09BC"/>
    <w:rsid w:val="000C017B"/>
    <w:rsid w:val="000C1698"/>
    <w:rsid w:val="000D358D"/>
    <w:rsid w:val="000D4B5B"/>
    <w:rsid w:val="000D5B7F"/>
    <w:rsid w:val="000D5C4C"/>
    <w:rsid w:val="000D7C4C"/>
    <w:rsid w:val="000E3092"/>
    <w:rsid w:val="000E5633"/>
    <w:rsid w:val="000E78C0"/>
    <w:rsid w:val="000F0715"/>
    <w:rsid w:val="000F5EB9"/>
    <w:rsid w:val="00102898"/>
    <w:rsid w:val="00102DDE"/>
    <w:rsid w:val="00103793"/>
    <w:rsid w:val="00105402"/>
    <w:rsid w:val="00105FB1"/>
    <w:rsid w:val="00111761"/>
    <w:rsid w:val="0011223F"/>
    <w:rsid w:val="00113524"/>
    <w:rsid w:val="001168E4"/>
    <w:rsid w:val="00120218"/>
    <w:rsid w:val="0012049E"/>
    <w:rsid w:val="00126E2D"/>
    <w:rsid w:val="001272B6"/>
    <w:rsid w:val="001273B5"/>
    <w:rsid w:val="00127DB3"/>
    <w:rsid w:val="001331EC"/>
    <w:rsid w:val="00134C4F"/>
    <w:rsid w:val="00140BDA"/>
    <w:rsid w:val="00146B46"/>
    <w:rsid w:val="00150526"/>
    <w:rsid w:val="001637AC"/>
    <w:rsid w:val="00164CEE"/>
    <w:rsid w:val="00166245"/>
    <w:rsid w:val="00170B1A"/>
    <w:rsid w:val="00171B14"/>
    <w:rsid w:val="00172229"/>
    <w:rsid w:val="00172B12"/>
    <w:rsid w:val="00173269"/>
    <w:rsid w:val="00173AF6"/>
    <w:rsid w:val="00174BD4"/>
    <w:rsid w:val="0017548F"/>
    <w:rsid w:val="001755D1"/>
    <w:rsid w:val="00187556"/>
    <w:rsid w:val="00187A15"/>
    <w:rsid w:val="001904EE"/>
    <w:rsid w:val="00191251"/>
    <w:rsid w:val="001918B1"/>
    <w:rsid w:val="00192CDE"/>
    <w:rsid w:val="00194A32"/>
    <w:rsid w:val="001A4873"/>
    <w:rsid w:val="001A48B8"/>
    <w:rsid w:val="001A652E"/>
    <w:rsid w:val="001C1144"/>
    <w:rsid w:val="001C56EC"/>
    <w:rsid w:val="001C5E60"/>
    <w:rsid w:val="001C6B67"/>
    <w:rsid w:val="001D14B8"/>
    <w:rsid w:val="001D3D7D"/>
    <w:rsid w:val="001D3E5C"/>
    <w:rsid w:val="001D4553"/>
    <w:rsid w:val="001D47EA"/>
    <w:rsid w:val="001D6D63"/>
    <w:rsid w:val="001E2CBA"/>
    <w:rsid w:val="001E4E1F"/>
    <w:rsid w:val="001E52C3"/>
    <w:rsid w:val="001E575D"/>
    <w:rsid w:val="001F45C6"/>
    <w:rsid w:val="001F68F6"/>
    <w:rsid w:val="001F6A91"/>
    <w:rsid w:val="001F7CB8"/>
    <w:rsid w:val="002010E0"/>
    <w:rsid w:val="00202B40"/>
    <w:rsid w:val="002043B6"/>
    <w:rsid w:val="00206671"/>
    <w:rsid w:val="00211FB0"/>
    <w:rsid w:val="00221363"/>
    <w:rsid w:val="002268B0"/>
    <w:rsid w:val="00227051"/>
    <w:rsid w:val="00227130"/>
    <w:rsid w:val="00227BC0"/>
    <w:rsid w:val="002303F5"/>
    <w:rsid w:val="002310A1"/>
    <w:rsid w:val="002311B1"/>
    <w:rsid w:val="002330D9"/>
    <w:rsid w:val="00236724"/>
    <w:rsid w:val="00236C5F"/>
    <w:rsid w:val="00241B51"/>
    <w:rsid w:val="00246AC0"/>
    <w:rsid w:val="002514DE"/>
    <w:rsid w:val="0025586C"/>
    <w:rsid w:val="00256AB0"/>
    <w:rsid w:val="00257088"/>
    <w:rsid w:val="00261564"/>
    <w:rsid w:val="002616A0"/>
    <w:rsid w:val="00262670"/>
    <w:rsid w:val="00262978"/>
    <w:rsid w:val="002648E8"/>
    <w:rsid w:val="0026503A"/>
    <w:rsid w:val="002678DE"/>
    <w:rsid w:val="00267B81"/>
    <w:rsid w:val="00270D9D"/>
    <w:rsid w:val="00276542"/>
    <w:rsid w:val="0027687B"/>
    <w:rsid w:val="002775E7"/>
    <w:rsid w:val="00281AE3"/>
    <w:rsid w:val="00282641"/>
    <w:rsid w:val="00285609"/>
    <w:rsid w:val="00286265"/>
    <w:rsid w:val="00286FA2"/>
    <w:rsid w:val="00292CB8"/>
    <w:rsid w:val="00292F4F"/>
    <w:rsid w:val="002A0B94"/>
    <w:rsid w:val="002A2A30"/>
    <w:rsid w:val="002A2D45"/>
    <w:rsid w:val="002A3B52"/>
    <w:rsid w:val="002A53DD"/>
    <w:rsid w:val="002A7553"/>
    <w:rsid w:val="002B164F"/>
    <w:rsid w:val="002B5BE3"/>
    <w:rsid w:val="002C5CB3"/>
    <w:rsid w:val="002C5FEA"/>
    <w:rsid w:val="002D0C18"/>
    <w:rsid w:val="002D0CB9"/>
    <w:rsid w:val="002D3ACC"/>
    <w:rsid w:val="002D46C5"/>
    <w:rsid w:val="002D76C5"/>
    <w:rsid w:val="002D7778"/>
    <w:rsid w:val="002E061E"/>
    <w:rsid w:val="002E328E"/>
    <w:rsid w:val="002E6DC9"/>
    <w:rsid w:val="002F3B93"/>
    <w:rsid w:val="002F5890"/>
    <w:rsid w:val="002F5D46"/>
    <w:rsid w:val="002F7B82"/>
    <w:rsid w:val="002F7C37"/>
    <w:rsid w:val="003020F6"/>
    <w:rsid w:val="00305C9B"/>
    <w:rsid w:val="00306502"/>
    <w:rsid w:val="00307C5E"/>
    <w:rsid w:val="00310280"/>
    <w:rsid w:val="0031129A"/>
    <w:rsid w:val="00312179"/>
    <w:rsid w:val="00314D9E"/>
    <w:rsid w:val="0031758F"/>
    <w:rsid w:val="00324C53"/>
    <w:rsid w:val="003258BF"/>
    <w:rsid w:val="003259CC"/>
    <w:rsid w:val="00326AD1"/>
    <w:rsid w:val="00326B13"/>
    <w:rsid w:val="00332357"/>
    <w:rsid w:val="00334C02"/>
    <w:rsid w:val="003355F1"/>
    <w:rsid w:val="00336199"/>
    <w:rsid w:val="003422D5"/>
    <w:rsid w:val="00346587"/>
    <w:rsid w:val="003478BB"/>
    <w:rsid w:val="00347F6D"/>
    <w:rsid w:val="00353B11"/>
    <w:rsid w:val="00357F8E"/>
    <w:rsid w:val="0036301F"/>
    <w:rsid w:val="0036688B"/>
    <w:rsid w:val="00376922"/>
    <w:rsid w:val="00377F3C"/>
    <w:rsid w:val="003806A8"/>
    <w:rsid w:val="003815E5"/>
    <w:rsid w:val="003820C9"/>
    <w:rsid w:val="00384D6E"/>
    <w:rsid w:val="00391D0E"/>
    <w:rsid w:val="00394698"/>
    <w:rsid w:val="0039525D"/>
    <w:rsid w:val="003976F6"/>
    <w:rsid w:val="003A1A3E"/>
    <w:rsid w:val="003A421A"/>
    <w:rsid w:val="003B1409"/>
    <w:rsid w:val="003B149C"/>
    <w:rsid w:val="003B21D1"/>
    <w:rsid w:val="003B2C3D"/>
    <w:rsid w:val="003B53DB"/>
    <w:rsid w:val="003B6C45"/>
    <w:rsid w:val="003B7DE3"/>
    <w:rsid w:val="003C1C0B"/>
    <w:rsid w:val="003C590D"/>
    <w:rsid w:val="003C7037"/>
    <w:rsid w:val="003D0FF5"/>
    <w:rsid w:val="003E0C92"/>
    <w:rsid w:val="003E14C4"/>
    <w:rsid w:val="003E230C"/>
    <w:rsid w:val="003E2CD7"/>
    <w:rsid w:val="003E3308"/>
    <w:rsid w:val="003E59CF"/>
    <w:rsid w:val="003F0FF6"/>
    <w:rsid w:val="003F1D33"/>
    <w:rsid w:val="003F5357"/>
    <w:rsid w:val="003F57B4"/>
    <w:rsid w:val="003F5ACE"/>
    <w:rsid w:val="003F5E46"/>
    <w:rsid w:val="003F75C5"/>
    <w:rsid w:val="0040020D"/>
    <w:rsid w:val="00403BD6"/>
    <w:rsid w:val="004058AB"/>
    <w:rsid w:val="00406094"/>
    <w:rsid w:val="00411784"/>
    <w:rsid w:val="00411AEC"/>
    <w:rsid w:val="0041257A"/>
    <w:rsid w:val="00413EC6"/>
    <w:rsid w:val="00420B18"/>
    <w:rsid w:val="00423987"/>
    <w:rsid w:val="00424699"/>
    <w:rsid w:val="0042665A"/>
    <w:rsid w:val="00426754"/>
    <w:rsid w:val="00432B5D"/>
    <w:rsid w:val="00435169"/>
    <w:rsid w:val="00440223"/>
    <w:rsid w:val="00450CC7"/>
    <w:rsid w:val="0045119E"/>
    <w:rsid w:val="00452E4F"/>
    <w:rsid w:val="00453CE1"/>
    <w:rsid w:val="00454D37"/>
    <w:rsid w:val="004554D1"/>
    <w:rsid w:val="00455FF8"/>
    <w:rsid w:val="0045685E"/>
    <w:rsid w:val="00456FE1"/>
    <w:rsid w:val="0045732B"/>
    <w:rsid w:val="00464B1D"/>
    <w:rsid w:val="00466976"/>
    <w:rsid w:val="0046735E"/>
    <w:rsid w:val="00470E82"/>
    <w:rsid w:val="00473439"/>
    <w:rsid w:val="00481B0B"/>
    <w:rsid w:val="00482D39"/>
    <w:rsid w:val="00484314"/>
    <w:rsid w:val="004869ED"/>
    <w:rsid w:val="00494A59"/>
    <w:rsid w:val="00497DC1"/>
    <w:rsid w:val="004A23CE"/>
    <w:rsid w:val="004A3502"/>
    <w:rsid w:val="004A44EB"/>
    <w:rsid w:val="004B1483"/>
    <w:rsid w:val="004B2C1D"/>
    <w:rsid w:val="004B4105"/>
    <w:rsid w:val="004B764C"/>
    <w:rsid w:val="004B76AB"/>
    <w:rsid w:val="004B7BE0"/>
    <w:rsid w:val="004C6399"/>
    <w:rsid w:val="004C6935"/>
    <w:rsid w:val="004D2EF7"/>
    <w:rsid w:val="004D4FD7"/>
    <w:rsid w:val="004D78CB"/>
    <w:rsid w:val="004E1366"/>
    <w:rsid w:val="004E4069"/>
    <w:rsid w:val="004E56B6"/>
    <w:rsid w:val="004E5C62"/>
    <w:rsid w:val="004F6F15"/>
    <w:rsid w:val="00500237"/>
    <w:rsid w:val="005052EB"/>
    <w:rsid w:val="00507F82"/>
    <w:rsid w:val="00510C2C"/>
    <w:rsid w:val="00512094"/>
    <w:rsid w:val="0051547D"/>
    <w:rsid w:val="005160EA"/>
    <w:rsid w:val="00516681"/>
    <w:rsid w:val="00520331"/>
    <w:rsid w:val="005215AD"/>
    <w:rsid w:val="00522DD3"/>
    <w:rsid w:val="0052492E"/>
    <w:rsid w:val="00524DF0"/>
    <w:rsid w:val="005252BB"/>
    <w:rsid w:val="0052720F"/>
    <w:rsid w:val="005304E0"/>
    <w:rsid w:val="00532174"/>
    <w:rsid w:val="00532D46"/>
    <w:rsid w:val="00534699"/>
    <w:rsid w:val="00534B9E"/>
    <w:rsid w:val="0053594B"/>
    <w:rsid w:val="00536679"/>
    <w:rsid w:val="005371C5"/>
    <w:rsid w:val="0053794F"/>
    <w:rsid w:val="00542C7B"/>
    <w:rsid w:val="00543CF2"/>
    <w:rsid w:val="00544CBF"/>
    <w:rsid w:val="00547C53"/>
    <w:rsid w:val="00551C12"/>
    <w:rsid w:val="005534AB"/>
    <w:rsid w:val="00555335"/>
    <w:rsid w:val="00557847"/>
    <w:rsid w:val="00557E9F"/>
    <w:rsid w:val="00564642"/>
    <w:rsid w:val="00576D34"/>
    <w:rsid w:val="0058036E"/>
    <w:rsid w:val="00582B9D"/>
    <w:rsid w:val="00586704"/>
    <w:rsid w:val="005872C4"/>
    <w:rsid w:val="005944CD"/>
    <w:rsid w:val="005971F4"/>
    <w:rsid w:val="005A0BC4"/>
    <w:rsid w:val="005A409C"/>
    <w:rsid w:val="005A5320"/>
    <w:rsid w:val="005A785C"/>
    <w:rsid w:val="005A7C94"/>
    <w:rsid w:val="005B03E6"/>
    <w:rsid w:val="005B6897"/>
    <w:rsid w:val="005B7422"/>
    <w:rsid w:val="005C4FC7"/>
    <w:rsid w:val="005C5F3F"/>
    <w:rsid w:val="005D0B69"/>
    <w:rsid w:val="005D34CF"/>
    <w:rsid w:val="005D354B"/>
    <w:rsid w:val="005D442C"/>
    <w:rsid w:val="005D6DC6"/>
    <w:rsid w:val="005E0B0D"/>
    <w:rsid w:val="005E0B1E"/>
    <w:rsid w:val="005E11BD"/>
    <w:rsid w:val="005E3643"/>
    <w:rsid w:val="005F065C"/>
    <w:rsid w:val="005F1943"/>
    <w:rsid w:val="006016C6"/>
    <w:rsid w:val="006051B7"/>
    <w:rsid w:val="006071A3"/>
    <w:rsid w:val="006131E0"/>
    <w:rsid w:val="00614ADF"/>
    <w:rsid w:val="00615F14"/>
    <w:rsid w:val="00620BF0"/>
    <w:rsid w:val="00623A09"/>
    <w:rsid w:val="006260DA"/>
    <w:rsid w:val="0062623F"/>
    <w:rsid w:val="00626E51"/>
    <w:rsid w:val="00634EA2"/>
    <w:rsid w:val="006353DA"/>
    <w:rsid w:val="00642796"/>
    <w:rsid w:val="00643F33"/>
    <w:rsid w:val="00645CF3"/>
    <w:rsid w:val="00646513"/>
    <w:rsid w:val="00651117"/>
    <w:rsid w:val="0065252E"/>
    <w:rsid w:val="00654910"/>
    <w:rsid w:val="006557F7"/>
    <w:rsid w:val="00657AC0"/>
    <w:rsid w:val="0066045D"/>
    <w:rsid w:val="006615DF"/>
    <w:rsid w:val="00664B5C"/>
    <w:rsid w:val="00670C93"/>
    <w:rsid w:val="0067255B"/>
    <w:rsid w:val="00672EF8"/>
    <w:rsid w:val="006744F3"/>
    <w:rsid w:val="00674BD1"/>
    <w:rsid w:val="006835A1"/>
    <w:rsid w:val="00685AC6"/>
    <w:rsid w:val="0068653B"/>
    <w:rsid w:val="006876C0"/>
    <w:rsid w:val="0069039D"/>
    <w:rsid w:val="00690E5F"/>
    <w:rsid w:val="006932B9"/>
    <w:rsid w:val="00693514"/>
    <w:rsid w:val="00695736"/>
    <w:rsid w:val="0069593D"/>
    <w:rsid w:val="00695DE1"/>
    <w:rsid w:val="00696732"/>
    <w:rsid w:val="00697B63"/>
    <w:rsid w:val="00697EFC"/>
    <w:rsid w:val="006A700D"/>
    <w:rsid w:val="006A755B"/>
    <w:rsid w:val="006B1FEC"/>
    <w:rsid w:val="006B2240"/>
    <w:rsid w:val="006B2276"/>
    <w:rsid w:val="006B38A5"/>
    <w:rsid w:val="006B4654"/>
    <w:rsid w:val="006B73B2"/>
    <w:rsid w:val="006C1AB3"/>
    <w:rsid w:val="006C5FD6"/>
    <w:rsid w:val="006C674D"/>
    <w:rsid w:val="006D2308"/>
    <w:rsid w:val="006D2E7E"/>
    <w:rsid w:val="006D6336"/>
    <w:rsid w:val="006E1D9A"/>
    <w:rsid w:val="006E23EE"/>
    <w:rsid w:val="006E26BF"/>
    <w:rsid w:val="006E3E61"/>
    <w:rsid w:val="006E78AB"/>
    <w:rsid w:val="006F1FA5"/>
    <w:rsid w:val="006F39E8"/>
    <w:rsid w:val="006F4985"/>
    <w:rsid w:val="007014B7"/>
    <w:rsid w:val="007019CF"/>
    <w:rsid w:val="00702027"/>
    <w:rsid w:val="0070304C"/>
    <w:rsid w:val="007045EF"/>
    <w:rsid w:val="0070504A"/>
    <w:rsid w:val="00710578"/>
    <w:rsid w:val="00710A58"/>
    <w:rsid w:val="007113CA"/>
    <w:rsid w:val="00711D54"/>
    <w:rsid w:val="00712CD4"/>
    <w:rsid w:val="00713060"/>
    <w:rsid w:val="0071515C"/>
    <w:rsid w:val="00720E5B"/>
    <w:rsid w:val="00724B5D"/>
    <w:rsid w:val="00725D61"/>
    <w:rsid w:val="00726ECC"/>
    <w:rsid w:val="00727290"/>
    <w:rsid w:val="00730ACE"/>
    <w:rsid w:val="007322F4"/>
    <w:rsid w:val="00734CF9"/>
    <w:rsid w:val="00736FEE"/>
    <w:rsid w:val="007374A0"/>
    <w:rsid w:val="00737A4C"/>
    <w:rsid w:val="00737BBB"/>
    <w:rsid w:val="00740B95"/>
    <w:rsid w:val="00740C7B"/>
    <w:rsid w:val="00741883"/>
    <w:rsid w:val="00741BC1"/>
    <w:rsid w:val="00742F33"/>
    <w:rsid w:val="00743A3B"/>
    <w:rsid w:val="007445C9"/>
    <w:rsid w:val="0074790D"/>
    <w:rsid w:val="007522B6"/>
    <w:rsid w:val="007536A2"/>
    <w:rsid w:val="007538EC"/>
    <w:rsid w:val="00753B56"/>
    <w:rsid w:val="00756F0C"/>
    <w:rsid w:val="0076189D"/>
    <w:rsid w:val="00761ECE"/>
    <w:rsid w:val="00762C15"/>
    <w:rsid w:val="007732AB"/>
    <w:rsid w:val="007751D6"/>
    <w:rsid w:val="0077559C"/>
    <w:rsid w:val="007771AF"/>
    <w:rsid w:val="0078054D"/>
    <w:rsid w:val="0078156F"/>
    <w:rsid w:val="00785C43"/>
    <w:rsid w:val="00792303"/>
    <w:rsid w:val="00793ABA"/>
    <w:rsid w:val="00794446"/>
    <w:rsid w:val="00794FAA"/>
    <w:rsid w:val="00795BF2"/>
    <w:rsid w:val="007A0B18"/>
    <w:rsid w:val="007A36B5"/>
    <w:rsid w:val="007A3D80"/>
    <w:rsid w:val="007A4E8E"/>
    <w:rsid w:val="007A567F"/>
    <w:rsid w:val="007B0CDF"/>
    <w:rsid w:val="007B1244"/>
    <w:rsid w:val="007B1E44"/>
    <w:rsid w:val="007B35A6"/>
    <w:rsid w:val="007B69EC"/>
    <w:rsid w:val="007B7FDC"/>
    <w:rsid w:val="007C4061"/>
    <w:rsid w:val="007C664E"/>
    <w:rsid w:val="007C69E0"/>
    <w:rsid w:val="007D0BE1"/>
    <w:rsid w:val="007D29D9"/>
    <w:rsid w:val="007D55E2"/>
    <w:rsid w:val="007D600E"/>
    <w:rsid w:val="007D72C0"/>
    <w:rsid w:val="007D79EB"/>
    <w:rsid w:val="007D7D3F"/>
    <w:rsid w:val="007E37B4"/>
    <w:rsid w:val="007E4289"/>
    <w:rsid w:val="007E7F84"/>
    <w:rsid w:val="007F0686"/>
    <w:rsid w:val="007F231E"/>
    <w:rsid w:val="007F3B70"/>
    <w:rsid w:val="007F3F14"/>
    <w:rsid w:val="007F690A"/>
    <w:rsid w:val="0080298E"/>
    <w:rsid w:val="008031E3"/>
    <w:rsid w:val="00805249"/>
    <w:rsid w:val="00810B08"/>
    <w:rsid w:val="00811C8E"/>
    <w:rsid w:val="0081390E"/>
    <w:rsid w:val="008201C5"/>
    <w:rsid w:val="00821A01"/>
    <w:rsid w:val="00826620"/>
    <w:rsid w:val="00826D29"/>
    <w:rsid w:val="008306E2"/>
    <w:rsid w:val="00832143"/>
    <w:rsid w:val="0083400A"/>
    <w:rsid w:val="008364CD"/>
    <w:rsid w:val="00844394"/>
    <w:rsid w:val="00845F74"/>
    <w:rsid w:val="00846C3D"/>
    <w:rsid w:val="008471B8"/>
    <w:rsid w:val="0085056B"/>
    <w:rsid w:val="00851070"/>
    <w:rsid w:val="008528B5"/>
    <w:rsid w:val="00853DC4"/>
    <w:rsid w:val="00856EC2"/>
    <w:rsid w:val="00862E8C"/>
    <w:rsid w:val="008630BC"/>
    <w:rsid w:val="00865435"/>
    <w:rsid w:val="00866C07"/>
    <w:rsid w:val="00870963"/>
    <w:rsid w:val="00871BC6"/>
    <w:rsid w:val="00873017"/>
    <w:rsid w:val="00874371"/>
    <w:rsid w:val="00876035"/>
    <w:rsid w:val="00876D07"/>
    <w:rsid w:val="00880A5C"/>
    <w:rsid w:val="0088309A"/>
    <w:rsid w:val="00883B42"/>
    <w:rsid w:val="00884E25"/>
    <w:rsid w:val="008858EC"/>
    <w:rsid w:val="00892AB4"/>
    <w:rsid w:val="00892C3A"/>
    <w:rsid w:val="008937C3"/>
    <w:rsid w:val="008949AC"/>
    <w:rsid w:val="00895853"/>
    <w:rsid w:val="00895C19"/>
    <w:rsid w:val="008A02DF"/>
    <w:rsid w:val="008A1747"/>
    <w:rsid w:val="008A1ADB"/>
    <w:rsid w:val="008A4B96"/>
    <w:rsid w:val="008B4B4F"/>
    <w:rsid w:val="008C11FF"/>
    <w:rsid w:val="008C21DD"/>
    <w:rsid w:val="008C23FF"/>
    <w:rsid w:val="008C4246"/>
    <w:rsid w:val="008C7CDD"/>
    <w:rsid w:val="008D12CD"/>
    <w:rsid w:val="008D269B"/>
    <w:rsid w:val="008D2EFE"/>
    <w:rsid w:val="008D36C0"/>
    <w:rsid w:val="008E5657"/>
    <w:rsid w:val="008F1F0E"/>
    <w:rsid w:val="008F2B34"/>
    <w:rsid w:val="008F4B5F"/>
    <w:rsid w:val="008F5323"/>
    <w:rsid w:val="009025F7"/>
    <w:rsid w:val="00902C70"/>
    <w:rsid w:val="00903748"/>
    <w:rsid w:val="00903874"/>
    <w:rsid w:val="00904DE4"/>
    <w:rsid w:val="00913044"/>
    <w:rsid w:val="0091451C"/>
    <w:rsid w:val="00916F5D"/>
    <w:rsid w:val="00920FC6"/>
    <w:rsid w:val="00926B7B"/>
    <w:rsid w:val="00927D01"/>
    <w:rsid w:val="00934F9B"/>
    <w:rsid w:val="0093628D"/>
    <w:rsid w:val="00936FD4"/>
    <w:rsid w:val="00943512"/>
    <w:rsid w:val="00945600"/>
    <w:rsid w:val="00950AF2"/>
    <w:rsid w:val="00950DCC"/>
    <w:rsid w:val="0095265D"/>
    <w:rsid w:val="00956E74"/>
    <w:rsid w:val="00961C19"/>
    <w:rsid w:val="009629ED"/>
    <w:rsid w:val="009629F2"/>
    <w:rsid w:val="00967793"/>
    <w:rsid w:val="00971E73"/>
    <w:rsid w:val="00977256"/>
    <w:rsid w:val="00983B12"/>
    <w:rsid w:val="00986EB9"/>
    <w:rsid w:val="00990792"/>
    <w:rsid w:val="00991B97"/>
    <w:rsid w:val="009956D5"/>
    <w:rsid w:val="00996AB2"/>
    <w:rsid w:val="0099753D"/>
    <w:rsid w:val="00997CA0"/>
    <w:rsid w:val="009A0108"/>
    <w:rsid w:val="009A2AE5"/>
    <w:rsid w:val="009A489E"/>
    <w:rsid w:val="009A5FF9"/>
    <w:rsid w:val="009A67F3"/>
    <w:rsid w:val="009A6ADF"/>
    <w:rsid w:val="009A6DA0"/>
    <w:rsid w:val="009B0F83"/>
    <w:rsid w:val="009B2905"/>
    <w:rsid w:val="009B2DE1"/>
    <w:rsid w:val="009B39BE"/>
    <w:rsid w:val="009B538E"/>
    <w:rsid w:val="009B61C8"/>
    <w:rsid w:val="009B7028"/>
    <w:rsid w:val="009C48DE"/>
    <w:rsid w:val="009C68EB"/>
    <w:rsid w:val="009D02F8"/>
    <w:rsid w:val="009D20D2"/>
    <w:rsid w:val="009D2DCF"/>
    <w:rsid w:val="009D3346"/>
    <w:rsid w:val="009E17B0"/>
    <w:rsid w:val="009E2880"/>
    <w:rsid w:val="009E2929"/>
    <w:rsid w:val="009E4D9F"/>
    <w:rsid w:val="009E6E5A"/>
    <w:rsid w:val="009E7480"/>
    <w:rsid w:val="009F4008"/>
    <w:rsid w:val="009F4238"/>
    <w:rsid w:val="00A00980"/>
    <w:rsid w:val="00A06B8A"/>
    <w:rsid w:val="00A113A9"/>
    <w:rsid w:val="00A11622"/>
    <w:rsid w:val="00A154B6"/>
    <w:rsid w:val="00A17D70"/>
    <w:rsid w:val="00A21407"/>
    <w:rsid w:val="00A21A05"/>
    <w:rsid w:val="00A2674A"/>
    <w:rsid w:val="00A304B9"/>
    <w:rsid w:val="00A30520"/>
    <w:rsid w:val="00A342D3"/>
    <w:rsid w:val="00A34861"/>
    <w:rsid w:val="00A40E00"/>
    <w:rsid w:val="00A4144A"/>
    <w:rsid w:val="00A43902"/>
    <w:rsid w:val="00A459E0"/>
    <w:rsid w:val="00A512C0"/>
    <w:rsid w:val="00A53AB3"/>
    <w:rsid w:val="00A54DD4"/>
    <w:rsid w:val="00A567F0"/>
    <w:rsid w:val="00A642FD"/>
    <w:rsid w:val="00A6718F"/>
    <w:rsid w:val="00A67DF5"/>
    <w:rsid w:val="00A74588"/>
    <w:rsid w:val="00A75DF2"/>
    <w:rsid w:val="00A772B9"/>
    <w:rsid w:val="00A7767B"/>
    <w:rsid w:val="00A83AC4"/>
    <w:rsid w:val="00A86184"/>
    <w:rsid w:val="00A93008"/>
    <w:rsid w:val="00A94024"/>
    <w:rsid w:val="00AA0E00"/>
    <w:rsid w:val="00AA45EF"/>
    <w:rsid w:val="00AA64AF"/>
    <w:rsid w:val="00AB1B9F"/>
    <w:rsid w:val="00AB55B1"/>
    <w:rsid w:val="00AC0B68"/>
    <w:rsid w:val="00AC5296"/>
    <w:rsid w:val="00AC530A"/>
    <w:rsid w:val="00AC6A39"/>
    <w:rsid w:val="00AD0639"/>
    <w:rsid w:val="00AD2E8B"/>
    <w:rsid w:val="00AD3518"/>
    <w:rsid w:val="00AD483C"/>
    <w:rsid w:val="00AE59E7"/>
    <w:rsid w:val="00AE68AA"/>
    <w:rsid w:val="00AE72E6"/>
    <w:rsid w:val="00AF2007"/>
    <w:rsid w:val="00AF2429"/>
    <w:rsid w:val="00AF6AFA"/>
    <w:rsid w:val="00B07788"/>
    <w:rsid w:val="00B16941"/>
    <w:rsid w:val="00B1753F"/>
    <w:rsid w:val="00B20B73"/>
    <w:rsid w:val="00B21E7E"/>
    <w:rsid w:val="00B24B34"/>
    <w:rsid w:val="00B2724A"/>
    <w:rsid w:val="00B276EB"/>
    <w:rsid w:val="00B314DA"/>
    <w:rsid w:val="00B33F8E"/>
    <w:rsid w:val="00B36CBE"/>
    <w:rsid w:val="00B37AF0"/>
    <w:rsid w:val="00B37EA8"/>
    <w:rsid w:val="00B42587"/>
    <w:rsid w:val="00B473E7"/>
    <w:rsid w:val="00B50119"/>
    <w:rsid w:val="00B50F88"/>
    <w:rsid w:val="00B5581B"/>
    <w:rsid w:val="00B55C78"/>
    <w:rsid w:val="00B64B72"/>
    <w:rsid w:val="00B65FDC"/>
    <w:rsid w:val="00B6768A"/>
    <w:rsid w:val="00B704A8"/>
    <w:rsid w:val="00B71936"/>
    <w:rsid w:val="00B723C8"/>
    <w:rsid w:val="00B83A11"/>
    <w:rsid w:val="00B925F7"/>
    <w:rsid w:val="00B960B9"/>
    <w:rsid w:val="00BA2E35"/>
    <w:rsid w:val="00BA56A2"/>
    <w:rsid w:val="00BA67A7"/>
    <w:rsid w:val="00BB0F3B"/>
    <w:rsid w:val="00BB4A32"/>
    <w:rsid w:val="00BB5A3F"/>
    <w:rsid w:val="00BB5AE1"/>
    <w:rsid w:val="00BC0F74"/>
    <w:rsid w:val="00BC1631"/>
    <w:rsid w:val="00BC3169"/>
    <w:rsid w:val="00BC3EE5"/>
    <w:rsid w:val="00BC4BB8"/>
    <w:rsid w:val="00BC553E"/>
    <w:rsid w:val="00BC5E6C"/>
    <w:rsid w:val="00BC5FA5"/>
    <w:rsid w:val="00BD1061"/>
    <w:rsid w:val="00BD10DF"/>
    <w:rsid w:val="00BD24EE"/>
    <w:rsid w:val="00BD44D2"/>
    <w:rsid w:val="00BD6CB7"/>
    <w:rsid w:val="00BE1840"/>
    <w:rsid w:val="00BE19EA"/>
    <w:rsid w:val="00BE4322"/>
    <w:rsid w:val="00BE4B5C"/>
    <w:rsid w:val="00BE6FD1"/>
    <w:rsid w:val="00BE73AE"/>
    <w:rsid w:val="00BF0182"/>
    <w:rsid w:val="00BF3CD7"/>
    <w:rsid w:val="00BF49C1"/>
    <w:rsid w:val="00BF5863"/>
    <w:rsid w:val="00BF7C9F"/>
    <w:rsid w:val="00BF7CA1"/>
    <w:rsid w:val="00C00AB6"/>
    <w:rsid w:val="00C027FC"/>
    <w:rsid w:val="00C0629B"/>
    <w:rsid w:val="00C1197B"/>
    <w:rsid w:val="00C14B63"/>
    <w:rsid w:val="00C2152E"/>
    <w:rsid w:val="00C22701"/>
    <w:rsid w:val="00C24B01"/>
    <w:rsid w:val="00C26A29"/>
    <w:rsid w:val="00C2706B"/>
    <w:rsid w:val="00C27447"/>
    <w:rsid w:val="00C31746"/>
    <w:rsid w:val="00C33102"/>
    <w:rsid w:val="00C35F52"/>
    <w:rsid w:val="00C426A7"/>
    <w:rsid w:val="00C44CE7"/>
    <w:rsid w:val="00C44D75"/>
    <w:rsid w:val="00C450B4"/>
    <w:rsid w:val="00C50000"/>
    <w:rsid w:val="00C51281"/>
    <w:rsid w:val="00C5363A"/>
    <w:rsid w:val="00C577C6"/>
    <w:rsid w:val="00C57E16"/>
    <w:rsid w:val="00C60217"/>
    <w:rsid w:val="00C60C02"/>
    <w:rsid w:val="00C61EB5"/>
    <w:rsid w:val="00C626BA"/>
    <w:rsid w:val="00C65B2D"/>
    <w:rsid w:val="00C75F10"/>
    <w:rsid w:val="00C763AE"/>
    <w:rsid w:val="00C84398"/>
    <w:rsid w:val="00C85701"/>
    <w:rsid w:val="00C8574C"/>
    <w:rsid w:val="00C85D70"/>
    <w:rsid w:val="00C9144D"/>
    <w:rsid w:val="00C92A30"/>
    <w:rsid w:val="00C9414D"/>
    <w:rsid w:val="00CA34B2"/>
    <w:rsid w:val="00CA4F7A"/>
    <w:rsid w:val="00CA54F6"/>
    <w:rsid w:val="00CA6278"/>
    <w:rsid w:val="00CA6F7D"/>
    <w:rsid w:val="00CB5B74"/>
    <w:rsid w:val="00CB6E96"/>
    <w:rsid w:val="00CC0A9D"/>
    <w:rsid w:val="00CC2C29"/>
    <w:rsid w:val="00CC7566"/>
    <w:rsid w:val="00CD3DC7"/>
    <w:rsid w:val="00CD5739"/>
    <w:rsid w:val="00CD6673"/>
    <w:rsid w:val="00CE11F9"/>
    <w:rsid w:val="00CE2BA4"/>
    <w:rsid w:val="00CE34D7"/>
    <w:rsid w:val="00CE5578"/>
    <w:rsid w:val="00D027F7"/>
    <w:rsid w:val="00D076B7"/>
    <w:rsid w:val="00D136B3"/>
    <w:rsid w:val="00D16756"/>
    <w:rsid w:val="00D179BE"/>
    <w:rsid w:val="00D23AF6"/>
    <w:rsid w:val="00D24267"/>
    <w:rsid w:val="00D25B98"/>
    <w:rsid w:val="00D2629A"/>
    <w:rsid w:val="00D3241C"/>
    <w:rsid w:val="00D37DD9"/>
    <w:rsid w:val="00D42064"/>
    <w:rsid w:val="00D42934"/>
    <w:rsid w:val="00D430F7"/>
    <w:rsid w:val="00D43E61"/>
    <w:rsid w:val="00D45B7E"/>
    <w:rsid w:val="00D45D49"/>
    <w:rsid w:val="00D517E6"/>
    <w:rsid w:val="00D52EC8"/>
    <w:rsid w:val="00D5437C"/>
    <w:rsid w:val="00D579C1"/>
    <w:rsid w:val="00D57B16"/>
    <w:rsid w:val="00D60677"/>
    <w:rsid w:val="00D633A7"/>
    <w:rsid w:val="00D70214"/>
    <w:rsid w:val="00D703F6"/>
    <w:rsid w:val="00D70F2B"/>
    <w:rsid w:val="00D71EDE"/>
    <w:rsid w:val="00D72562"/>
    <w:rsid w:val="00D77520"/>
    <w:rsid w:val="00D77C3A"/>
    <w:rsid w:val="00D81D66"/>
    <w:rsid w:val="00D827FC"/>
    <w:rsid w:val="00D83DE1"/>
    <w:rsid w:val="00D86004"/>
    <w:rsid w:val="00D87DF7"/>
    <w:rsid w:val="00D91DDB"/>
    <w:rsid w:val="00D92955"/>
    <w:rsid w:val="00D92C97"/>
    <w:rsid w:val="00D948CC"/>
    <w:rsid w:val="00D954B8"/>
    <w:rsid w:val="00D97CBD"/>
    <w:rsid w:val="00DA058B"/>
    <w:rsid w:val="00DA2596"/>
    <w:rsid w:val="00DA3B2B"/>
    <w:rsid w:val="00DA5878"/>
    <w:rsid w:val="00DA68EA"/>
    <w:rsid w:val="00DA69C4"/>
    <w:rsid w:val="00DB03E0"/>
    <w:rsid w:val="00DB2A89"/>
    <w:rsid w:val="00DB3377"/>
    <w:rsid w:val="00DB59F5"/>
    <w:rsid w:val="00DB5DD6"/>
    <w:rsid w:val="00DB6AE7"/>
    <w:rsid w:val="00DB7FCA"/>
    <w:rsid w:val="00DC0703"/>
    <w:rsid w:val="00DC14FF"/>
    <w:rsid w:val="00DC188E"/>
    <w:rsid w:val="00DC528F"/>
    <w:rsid w:val="00DD68A3"/>
    <w:rsid w:val="00DE0B15"/>
    <w:rsid w:val="00DE28F3"/>
    <w:rsid w:val="00DE34B4"/>
    <w:rsid w:val="00DE39E4"/>
    <w:rsid w:val="00DE4056"/>
    <w:rsid w:val="00DE692E"/>
    <w:rsid w:val="00DE6BDB"/>
    <w:rsid w:val="00DF0CC5"/>
    <w:rsid w:val="00DF1B30"/>
    <w:rsid w:val="00DF2B7E"/>
    <w:rsid w:val="00DF33A8"/>
    <w:rsid w:val="00DF351A"/>
    <w:rsid w:val="00DF41AC"/>
    <w:rsid w:val="00E00D48"/>
    <w:rsid w:val="00E10974"/>
    <w:rsid w:val="00E12F01"/>
    <w:rsid w:val="00E13C2D"/>
    <w:rsid w:val="00E141A1"/>
    <w:rsid w:val="00E151E6"/>
    <w:rsid w:val="00E153AF"/>
    <w:rsid w:val="00E22229"/>
    <w:rsid w:val="00E27404"/>
    <w:rsid w:val="00E32D4E"/>
    <w:rsid w:val="00E355ED"/>
    <w:rsid w:val="00E4007F"/>
    <w:rsid w:val="00E41DFF"/>
    <w:rsid w:val="00E43636"/>
    <w:rsid w:val="00E43CEF"/>
    <w:rsid w:val="00E4438D"/>
    <w:rsid w:val="00E44943"/>
    <w:rsid w:val="00E47C62"/>
    <w:rsid w:val="00E503CB"/>
    <w:rsid w:val="00E51046"/>
    <w:rsid w:val="00E520B3"/>
    <w:rsid w:val="00E56622"/>
    <w:rsid w:val="00E61E47"/>
    <w:rsid w:val="00E61FE1"/>
    <w:rsid w:val="00E65248"/>
    <w:rsid w:val="00E66A12"/>
    <w:rsid w:val="00E703C9"/>
    <w:rsid w:val="00E73924"/>
    <w:rsid w:val="00E75BBD"/>
    <w:rsid w:val="00E75CB3"/>
    <w:rsid w:val="00E766C0"/>
    <w:rsid w:val="00E76E07"/>
    <w:rsid w:val="00E77CDD"/>
    <w:rsid w:val="00E8431B"/>
    <w:rsid w:val="00E84CEE"/>
    <w:rsid w:val="00EA201E"/>
    <w:rsid w:val="00EA76D3"/>
    <w:rsid w:val="00EB0830"/>
    <w:rsid w:val="00EB09D0"/>
    <w:rsid w:val="00EB14CE"/>
    <w:rsid w:val="00EB5A7F"/>
    <w:rsid w:val="00EB5AB5"/>
    <w:rsid w:val="00EC6577"/>
    <w:rsid w:val="00EC7B84"/>
    <w:rsid w:val="00ED76DB"/>
    <w:rsid w:val="00EE75A7"/>
    <w:rsid w:val="00EF12E8"/>
    <w:rsid w:val="00EF3079"/>
    <w:rsid w:val="00F00003"/>
    <w:rsid w:val="00F00938"/>
    <w:rsid w:val="00F00E57"/>
    <w:rsid w:val="00F01943"/>
    <w:rsid w:val="00F0314A"/>
    <w:rsid w:val="00F05A8B"/>
    <w:rsid w:val="00F06F33"/>
    <w:rsid w:val="00F10C35"/>
    <w:rsid w:val="00F12AA8"/>
    <w:rsid w:val="00F14AB9"/>
    <w:rsid w:val="00F16280"/>
    <w:rsid w:val="00F20501"/>
    <w:rsid w:val="00F2328A"/>
    <w:rsid w:val="00F2493A"/>
    <w:rsid w:val="00F2796D"/>
    <w:rsid w:val="00F30A59"/>
    <w:rsid w:val="00F33258"/>
    <w:rsid w:val="00F345AD"/>
    <w:rsid w:val="00F368C9"/>
    <w:rsid w:val="00F437C8"/>
    <w:rsid w:val="00F43E64"/>
    <w:rsid w:val="00F461D5"/>
    <w:rsid w:val="00F52240"/>
    <w:rsid w:val="00F53028"/>
    <w:rsid w:val="00F53671"/>
    <w:rsid w:val="00F55B2D"/>
    <w:rsid w:val="00F56E34"/>
    <w:rsid w:val="00F57428"/>
    <w:rsid w:val="00F627AB"/>
    <w:rsid w:val="00F6354B"/>
    <w:rsid w:val="00F64102"/>
    <w:rsid w:val="00F6538F"/>
    <w:rsid w:val="00F654E0"/>
    <w:rsid w:val="00F66846"/>
    <w:rsid w:val="00F73CDE"/>
    <w:rsid w:val="00F84646"/>
    <w:rsid w:val="00F85D0A"/>
    <w:rsid w:val="00F8666C"/>
    <w:rsid w:val="00F878E5"/>
    <w:rsid w:val="00F9039F"/>
    <w:rsid w:val="00F91C6A"/>
    <w:rsid w:val="00F961DF"/>
    <w:rsid w:val="00F97FE5"/>
    <w:rsid w:val="00FA0AB5"/>
    <w:rsid w:val="00FA2DAE"/>
    <w:rsid w:val="00FA3F8F"/>
    <w:rsid w:val="00FA486F"/>
    <w:rsid w:val="00FA6AC3"/>
    <w:rsid w:val="00FB0F1F"/>
    <w:rsid w:val="00FB3170"/>
    <w:rsid w:val="00FB54B0"/>
    <w:rsid w:val="00FB5E25"/>
    <w:rsid w:val="00FC0A11"/>
    <w:rsid w:val="00FC0C06"/>
    <w:rsid w:val="00FC199F"/>
    <w:rsid w:val="00FC3672"/>
    <w:rsid w:val="00FC68BC"/>
    <w:rsid w:val="00FD3BDA"/>
    <w:rsid w:val="00FD4D69"/>
    <w:rsid w:val="00FD569D"/>
    <w:rsid w:val="00FD652B"/>
    <w:rsid w:val="00FD78BF"/>
    <w:rsid w:val="00FE0271"/>
    <w:rsid w:val="00FE089D"/>
    <w:rsid w:val="00FE1DE9"/>
    <w:rsid w:val="00FE421E"/>
    <w:rsid w:val="00FE4669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  <w14:docId w14:val="21CAC922"/>
  <w15:docId w15:val="{2469FCA1-6BCD-4ED6-BD96-864BE955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58"/>
    <w:rPr>
      <w:rFonts w:ascii="Corbel" w:hAnsi="Corbel"/>
      <w:color w:val="000000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A17D70"/>
    <w:pPr>
      <w:keepNext/>
      <w:keepLines/>
      <w:spacing w:before="48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70"/>
    <w:pPr>
      <w:keepNext/>
      <w:keepLines/>
      <w:spacing w:before="200"/>
      <w:outlineLvl w:val="1"/>
    </w:pPr>
    <w:rPr>
      <w:b/>
      <w:bCs/>
      <w:iCs/>
      <w:color w:val="3D4B67"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70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paragraph" w:styleId="Heading9">
    <w:name w:val="heading 9"/>
    <w:basedOn w:val="CoverTitleMain"/>
    <w:next w:val="Normal"/>
    <w:link w:val="Heading9Char"/>
    <w:uiPriority w:val="99"/>
    <w:qFormat/>
    <w:rsid w:val="00262AC7"/>
    <w:pPr>
      <w:numPr>
        <w:ilvl w:val="8"/>
        <w:numId w:val="10"/>
      </w:numPr>
      <w:spacing w:before="120" w:after="120"/>
      <w:jc w:val="right"/>
      <w:outlineLvl w:val="8"/>
    </w:pPr>
    <w:rPr>
      <w:rFonts w:ascii="Corbel" w:hAnsi="Corbel" w:cs="Times New Roman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17D70"/>
    <w:rPr>
      <w:rFonts w:ascii="Consolas" w:hAnsi="Consolas" w:cs="Arial"/>
      <w:bCs/>
      <w:caps/>
      <w:color w:val="3D4B67"/>
      <w:kern w:val="32"/>
      <w:sz w:val="32"/>
      <w:szCs w:val="36"/>
    </w:rPr>
  </w:style>
  <w:style w:type="character" w:customStyle="1" w:styleId="Heading2Char">
    <w:name w:val="Heading 2 Char"/>
    <w:link w:val="Heading2"/>
    <w:uiPriority w:val="99"/>
    <w:locked/>
    <w:rsid w:val="00A17D70"/>
    <w:rPr>
      <w:rFonts w:ascii="Corbel" w:hAnsi="Corbel" w:cs="Arial"/>
      <w:b/>
      <w:bCs/>
      <w:iCs/>
      <w:color w:val="3D4B67"/>
      <w:sz w:val="29"/>
      <w:szCs w:val="28"/>
    </w:rPr>
  </w:style>
  <w:style w:type="character" w:customStyle="1" w:styleId="Heading3Char">
    <w:name w:val="Heading 3 Char"/>
    <w:link w:val="Heading3"/>
    <w:uiPriority w:val="99"/>
    <w:locked/>
    <w:rsid w:val="00A17D70"/>
    <w:rPr>
      <w:rFonts w:ascii="Consolas" w:hAnsi="Consolas"/>
      <w:b/>
      <w:color w:val="3D4B67"/>
      <w:sz w:val="23"/>
    </w:rPr>
  </w:style>
  <w:style w:type="character" w:customStyle="1" w:styleId="Heading9Char">
    <w:name w:val="Heading 9 Char"/>
    <w:link w:val="Heading9"/>
    <w:uiPriority w:val="99"/>
    <w:locked/>
    <w:rsid w:val="00262AC7"/>
    <w:rPr>
      <w:rFonts w:ascii="Corbel" w:hAnsi="Corbel"/>
      <w:color w:val="3D4B67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E7E"/>
    <w:pPr>
      <w:ind w:left="720"/>
    </w:pPr>
  </w:style>
  <w:style w:type="character" w:styleId="CommentReference">
    <w:name w:val="annotation reference"/>
    <w:uiPriority w:val="99"/>
    <w:semiHidden/>
    <w:rsid w:val="00B2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1E7E"/>
  </w:style>
  <w:style w:type="paragraph" w:styleId="BalloonText">
    <w:name w:val="Balloon Text"/>
    <w:basedOn w:val="Normal"/>
    <w:link w:val="BalloonTextChar"/>
    <w:uiPriority w:val="99"/>
    <w:semiHidden/>
    <w:rsid w:val="00B21E7E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2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link w:val="Header"/>
    <w:uiPriority w:val="99"/>
    <w:locked/>
    <w:rsid w:val="000A1E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locked/>
    <w:rsid w:val="000A1E09"/>
    <w:rPr>
      <w:sz w:val="24"/>
      <w:szCs w:val="24"/>
    </w:rPr>
  </w:style>
  <w:style w:type="paragraph" w:customStyle="1" w:styleId="NumberedParagraph">
    <w:name w:val="Numbered Paragraph"/>
    <w:basedOn w:val="Normal"/>
    <w:uiPriority w:val="99"/>
    <w:rsid w:val="00E13EF7"/>
    <w:pPr>
      <w:spacing w:after="240"/>
    </w:pPr>
  </w:style>
  <w:style w:type="paragraph" w:customStyle="1" w:styleId="Bullet">
    <w:name w:val="Bullet"/>
    <w:basedOn w:val="Normal"/>
    <w:link w:val="BulletChar"/>
    <w:uiPriority w:val="99"/>
    <w:rsid w:val="00E13EF7"/>
    <w:pPr>
      <w:numPr>
        <w:numId w:val="1"/>
      </w:numPr>
      <w:spacing w:after="240"/>
    </w:pPr>
    <w:rPr>
      <w:rFonts w:ascii="Times New Roman" w:hAnsi="Times New Roman"/>
      <w:color w:val="auto"/>
      <w:sz w:val="24"/>
    </w:rPr>
  </w:style>
  <w:style w:type="paragraph" w:customStyle="1" w:styleId="Dash">
    <w:name w:val="Dash"/>
    <w:basedOn w:val="Normal"/>
    <w:uiPriority w:val="99"/>
    <w:rsid w:val="00E13EF7"/>
    <w:pPr>
      <w:numPr>
        <w:ilvl w:val="1"/>
        <w:numId w:val="1"/>
      </w:numPr>
      <w:spacing w:after="240"/>
    </w:pPr>
  </w:style>
  <w:style w:type="paragraph" w:customStyle="1" w:styleId="DoubleDot">
    <w:name w:val="Double Dot"/>
    <w:basedOn w:val="Normal"/>
    <w:uiPriority w:val="99"/>
    <w:rsid w:val="00E13EF7"/>
    <w:pPr>
      <w:numPr>
        <w:ilvl w:val="2"/>
        <w:numId w:val="1"/>
      </w:numPr>
      <w:spacing w:after="240"/>
    </w:pPr>
  </w:style>
  <w:style w:type="character" w:customStyle="1" w:styleId="BulletChar">
    <w:name w:val="Bullet Char"/>
    <w:link w:val="Bullet"/>
    <w:uiPriority w:val="99"/>
    <w:locked/>
    <w:rsid w:val="00E13EF7"/>
    <w:rPr>
      <w:sz w:val="24"/>
      <w:szCs w:val="24"/>
    </w:rPr>
  </w:style>
  <w:style w:type="character" w:styleId="Hyperlink">
    <w:name w:val="Hyperlink"/>
    <w:rsid w:val="00E13EF7"/>
    <w:rPr>
      <w:color w:val="0000FF"/>
      <w:u w:val="single"/>
    </w:rPr>
  </w:style>
  <w:style w:type="table" w:styleId="TableGrid">
    <w:name w:val="Table Grid"/>
    <w:basedOn w:val="TableNormal"/>
    <w:uiPriority w:val="99"/>
    <w:rsid w:val="0085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761C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F72"/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locked/>
    <w:rsid w:val="00D61F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90FBD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0FBD"/>
  </w:style>
  <w:style w:type="character" w:styleId="FootnoteReference">
    <w:name w:val="footnote reference"/>
    <w:uiPriority w:val="99"/>
    <w:semiHidden/>
    <w:rsid w:val="00590FBD"/>
    <w:rPr>
      <w:vertAlign w:val="superscript"/>
    </w:rPr>
  </w:style>
  <w:style w:type="table" w:styleId="Table3Deffects3">
    <w:name w:val="Table 3D effects 3"/>
    <w:basedOn w:val="TableNormal"/>
    <w:uiPriority w:val="99"/>
    <w:rsid w:val="00C168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62DE"/>
    <w:rPr>
      <w:sz w:val="24"/>
      <w:szCs w:val="24"/>
    </w:rPr>
  </w:style>
  <w:style w:type="character" w:styleId="HTMLAcronym">
    <w:name w:val="HTML Acronym"/>
    <w:basedOn w:val="DefaultParagraphFont"/>
    <w:uiPriority w:val="99"/>
    <w:rsid w:val="004E3D0F"/>
  </w:style>
  <w:style w:type="character" w:styleId="Strong">
    <w:name w:val="Strong"/>
    <w:uiPriority w:val="99"/>
    <w:qFormat/>
    <w:rsid w:val="00096B9C"/>
    <w:rPr>
      <w:b/>
      <w:bCs/>
    </w:rPr>
  </w:style>
  <w:style w:type="paragraph" w:customStyle="1" w:styleId="Default">
    <w:name w:val="Default"/>
    <w:uiPriority w:val="99"/>
    <w:rsid w:val="00E4430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ingleParagraph">
    <w:name w:val="Single Paragraph"/>
    <w:basedOn w:val="Normal"/>
    <w:uiPriority w:val="99"/>
    <w:rsid w:val="00FC55E9"/>
  </w:style>
  <w:style w:type="paragraph" w:customStyle="1" w:styleId="CoverTitleMain">
    <w:name w:val="Cover Title Main"/>
    <w:basedOn w:val="Normal"/>
    <w:next w:val="Normal"/>
    <w:uiPriority w:val="99"/>
    <w:rsid w:val="00FC55E9"/>
    <w:pPr>
      <w:keepNext/>
    </w:pPr>
    <w:rPr>
      <w:rFonts w:ascii="Consolas" w:hAnsi="Consolas" w:cs="Consolas"/>
      <w:caps/>
      <w:color w:val="3D4B67"/>
      <w:sz w:val="84"/>
      <w:szCs w:val="84"/>
    </w:rPr>
  </w:style>
  <w:style w:type="paragraph" w:customStyle="1" w:styleId="CoverTitleSub">
    <w:name w:val="Cover Title Sub"/>
    <w:basedOn w:val="Normal"/>
    <w:uiPriority w:val="99"/>
    <w:rsid w:val="00FC55E9"/>
    <w:pPr>
      <w:keepNext/>
    </w:pPr>
    <w:rPr>
      <w:rFonts w:cs="Corbel"/>
      <w:color w:val="FFFFFF"/>
      <w:sz w:val="36"/>
      <w:szCs w:val="36"/>
    </w:rPr>
  </w:style>
  <w:style w:type="paragraph" w:customStyle="1" w:styleId="StatesList">
    <w:name w:val="StatesList"/>
    <w:basedOn w:val="AgreementParties"/>
    <w:uiPriority w:val="99"/>
    <w:rsid w:val="00FC55E9"/>
    <w:pPr>
      <w:numPr>
        <w:numId w:val="2"/>
      </w:numPr>
    </w:pPr>
  </w:style>
  <w:style w:type="paragraph" w:customStyle="1" w:styleId="Abstract">
    <w:name w:val="Abstract"/>
    <w:basedOn w:val="Normal"/>
    <w:uiPriority w:val="99"/>
    <w:rsid w:val="00FC55E9"/>
    <w:pPr>
      <w:spacing w:before="240"/>
    </w:pPr>
    <w:rPr>
      <w:rFonts w:ascii="Consolas" w:hAnsi="Consolas" w:cs="Consolas"/>
      <w:color w:val="3D4B67"/>
      <w:sz w:val="20"/>
      <w:szCs w:val="20"/>
    </w:rPr>
  </w:style>
  <w:style w:type="paragraph" w:customStyle="1" w:styleId="AgreementHeading">
    <w:name w:val="AgreementHeading"/>
    <w:basedOn w:val="StatesList"/>
    <w:next w:val="StatesList"/>
    <w:uiPriority w:val="99"/>
    <w:rsid w:val="00FC55E9"/>
    <w:pPr>
      <w:numPr>
        <w:numId w:val="0"/>
      </w:numPr>
      <w:ind w:left="1560"/>
    </w:pPr>
  </w:style>
  <w:style w:type="paragraph" w:customStyle="1" w:styleId="AgreementParties">
    <w:name w:val="AgreementParties"/>
    <w:uiPriority w:val="99"/>
    <w:rsid w:val="00FC55E9"/>
    <w:pPr>
      <w:numPr>
        <w:numId w:val="3"/>
      </w:numPr>
      <w:spacing w:before="120" w:after="120"/>
    </w:pPr>
    <w:rPr>
      <w:rFonts w:ascii="Consolas" w:hAnsi="Consolas" w:cs="Consolas"/>
      <w:color w:val="3D4B67"/>
      <w:sz w:val="30"/>
      <w:szCs w:val="30"/>
      <w:lang w:eastAsia="ja-JP"/>
    </w:rPr>
  </w:style>
  <w:style w:type="paragraph" w:customStyle="1" w:styleId="OutlineNumbered1">
    <w:name w:val="Outline Numbered 1"/>
    <w:basedOn w:val="Normal"/>
    <w:uiPriority w:val="99"/>
    <w:rsid w:val="003B124A"/>
    <w:pPr>
      <w:numPr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2">
    <w:name w:val="Outline Numbered 2"/>
    <w:basedOn w:val="Normal"/>
    <w:uiPriority w:val="99"/>
    <w:rsid w:val="003B124A"/>
    <w:pPr>
      <w:numPr>
        <w:ilvl w:val="1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3">
    <w:name w:val="Outline Numbered 3"/>
    <w:basedOn w:val="Normal"/>
    <w:uiPriority w:val="99"/>
    <w:rsid w:val="003B124A"/>
    <w:pPr>
      <w:numPr>
        <w:ilvl w:val="2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AlphaParagraph">
    <w:name w:val="Alpha Paragraph"/>
    <w:basedOn w:val="Normal"/>
    <w:link w:val="AlphaParagraphCharChar"/>
    <w:rsid w:val="003B124A"/>
    <w:pPr>
      <w:spacing w:after="240" w:line="260" w:lineRule="exact"/>
      <w:jc w:val="both"/>
    </w:pPr>
    <w:rPr>
      <w:szCs w:val="23"/>
    </w:rPr>
  </w:style>
  <w:style w:type="paragraph" w:customStyle="1" w:styleId="ChartorTableNote">
    <w:name w:val="Chart or Table Note"/>
    <w:next w:val="Normal"/>
    <w:uiPriority w:val="99"/>
    <w:rsid w:val="003B124A"/>
    <w:pPr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MainHeading">
    <w:name w:val="Table Main Heading"/>
    <w:basedOn w:val="Normal"/>
    <w:next w:val="Normal"/>
    <w:rsid w:val="003B124A"/>
    <w:pPr>
      <w:keepNext/>
      <w:spacing w:after="20"/>
    </w:pPr>
    <w:rPr>
      <w:rFonts w:ascii="Consolas" w:hAnsi="Consolas" w:cs="Consolas"/>
      <w:b/>
      <w:bCs/>
      <w:color w:val="3D4B67"/>
    </w:rPr>
  </w:style>
  <w:style w:type="paragraph" w:customStyle="1" w:styleId="BoxBullet">
    <w:name w:val="Box Bullet"/>
    <w:basedOn w:val="Normal"/>
    <w:uiPriority w:val="99"/>
    <w:rsid w:val="003B124A"/>
    <w:pPr>
      <w:numPr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ash">
    <w:name w:val="Box Dash"/>
    <w:basedOn w:val="Normal"/>
    <w:uiPriority w:val="99"/>
    <w:rsid w:val="003B124A"/>
    <w:pPr>
      <w:numPr>
        <w:ilvl w:val="1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oubleDot">
    <w:name w:val="Box Double Dot"/>
    <w:basedOn w:val="Normal"/>
    <w:uiPriority w:val="99"/>
    <w:rsid w:val="003B124A"/>
    <w:pPr>
      <w:numPr>
        <w:ilvl w:val="2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Romannumeral">
    <w:name w:val="Roman numeral"/>
    <w:basedOn w:val="Normal"/>
    <w:uiPriority w:val="99"/>
    <w:rsid w:val="003B124A"/>
    <w:pPr>
      <w:numPr>
        <w:numId w:val="6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ScheduleStartNnumber">
    <w:name w:val="ScheduleStartNnumber"/>
    <w:uiPriority w:val="99"/>
    <w:rsid w:val="003B124A"/>
    <w:pPr>
      <w:numPr>
        <w:numId w:val="8"/>
      </w:numPr>
    </w:pPr>
    <w:rPr>
      <w:rFonts w:ascii="Consolas" w:hAnsi="Consolas" w:cs="Consolas"/>
      <w:vanish/>
      <w:color w:val="000000"/>
      <w:kern w:val="32"/>
      <w:sz w:val="12"/>
      <w:szCs w:val="12"/>
    </w:rPr>
  </w:style>
  <w:style w:type="paragraph" w:styleId="Subtitle">
    <w:name w:val="Subtitle"/>
    <w:basedOn w:val="Normal"/>
    <w:link w:val="SubtitleChar"/>
    <w:uiPriority w:val="99"/>
    <w:qFormat/>
    <w:rsid w:val="00A17D70"/>
    <w:pPr>
      <w:spacing w:after="600"/>
    </w:pPr>
    <w:rPr>
      <w:rFonts w:ascii="Consolas" w:hAnsi="Consolas"/>
      <w:b/>
      <w:bCs/>
      <w:caps/>
      <w:color w:val="C7823E"/>
      <w:spacing w:val="50"/>
      <w:lang w:eastAsia="ja-JP"/>
    </w:rPr>
  </w:style>
  <w:style w:type="character" w:customStyle="1" w:styleId="SubtitleChar">
    <w:name w:val="Subtitle Char"/>
    <w:link w:val="Subtitle"/>
    <w:uiPriority w:val="99"/>
    <w:locked/>
    <w:rsid w:val="00A17D70"/>
    <w:rPr>
      <w:rFonts w:ascii="Consolas" w:hAnsi="Consolas" w:cs="Consolas"/>
      <w:b/>
      <w:bCs/>
      <w:caps/>
      <w:color w:val="C7823E"/>
      <w:spacing w:val="50"/>
      <w:sz w:val="23"/>
      <w:szCs w:val="24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A17D70"/>
    <w:rPr>
      <w:color w:val="3D4B67"/>
      <w:sz w:val="72"/>
      <w:szCs w:val="72"/>
      <w:lang w:eastAsia="ja-JP"/>
    </w:rPr>
  </w:style>
  <w:style w:type="character" w:customStyle="1" w:styleId="TitleChar">
    <w:name w:val="Title Char"/>
    <w:link w:val="Title"/>
    <w:uiPriority w:val="99"/>
    <w:locked/>
    <w:rsid w:val="00A17D70"/>
    <w:rPr>
      <w:rFonts w:ascii="Corbel" w:hAnsi="Corbel" w:cs="Corbel"/>
      <w:color w:val="3D4B67"/>
      <w:sz w:val="72"/>
      <w:szCs w:val="72"/>
      <w:lang w:eastAsia="ja-JP"/>
    </w:rPr>
  </w:style>
  <w:style w:type="character" w:customStyle="1" w:styleId="AlphaParagraphCharChar">
    <w:name w:val="Alpha Paragraph Char Char"/>
    <w:link w:val="AlphaParagraph"/>
    <w:locked/>
    <w:rsid w:val="003B124A"/>
    <w:rPr>
      <w:rFonts w:ascii="Corbel" w:hAnsi="Corbel"/>
      <w:color w:val="000000"/>
      <w:sz w:val="23"/>
      <w:szCs w:val="23"/>
    </w:rPr>
  </w:style>
  <w:style w:type="paragraph" w:customStyle="1" w:styleId="ScheduleNumberedPara">
    <w:name w:val="ScheduleNumberedPara"/>
    <w:basedOn w:val="Normal"/>
    <w:link w:val="ScheduleNumberedParaCharChar"/>
    <w:rsid w:val="003B124A"/>
    <w:pPr>
      <w:numPr>
        <w:ilvl w:val="1"/>
        <w:numId w:val="8"/>
      </w:numPr>
      <w:spacing w:after="240" w:line="260" w:lineRule="exact"/>
      <w:jc w:val="both"/>
    </w:pPr>
    <w:rPr>
      <w:szCs w:val="23"/>
    </w:rPr>
  </w:style>
  <w:style w:type="paragraph" w:customStyle="1" w:styleId="FooterEven">
    <w:name w:val="Footer Even"/>
    <w:basedOn w:val="Foot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FooterOdd">
    <w:name w:val="Footer Odd"/>
    <w:basedOn w:val="Footer"/>
    <w:uiPriority w:val="99"/>
    <w:rsid w:val="00262AC7"/>
    <w:pPr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HeaderEven">
    <w:name w:val="Header Even"/>
    <w:basedOn w:val="Head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HeaderOdd">
    <w:name w:val="Header Odd"/>
    <w:basedOn w:val="Header"/>
    <w:uiPriority w:val="99"/>
    <w:rsid w:val="00262AC7"/>
    <w:pPr>
      <w:keepNext/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262AC7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rsid w:val="00262AC7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rsid w:val="00262AC7"/>
  </w:style>
  <w:style w:type="paragraph" w:customStyle="1" w:styleId="Position">
    <w:name w:val="Position"/>
    <w:basedOn w:val="Normal"/>
    <w:uiPriority w:val="99"/>
    <w:rsid w:val="00262AC7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262AC7"/>
    <w:rPr>
      <w:b/>
      <w:bCs/>
      <w:i/>
      <w:iCs/>
    </w:rPr>
  </w:style>
  <w:style w:type="paragraph" w:customStyle="1" w:styleId="LineForSignature">
    <w:name w:val="LineForSignature"/>
    <w:basedOn w:val="Normal"/>
    <w:uiPriority w:val="99"/>
    <w:rsid w:val="00262AC7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paragraph" w:customStyle="1" w:styleId="AlphaList">
    <w:name w:val="Alpha List"/>
    <w:basedOn w:val="Normal"/>
    <w:uiPriority w:val="99"/>
    <w:rsid w:val="008A70E8"/>
    <w:pPr>
      <w:numPr>
        <w:numId w:val="11"/>
      </w:numPr>
      <w:spacing w:after="120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BullettedList">
    <w:name w:val="Bulletted List"/>
    <w:basedOn w:val="Normal"/>
    <w:uiPriority w:val="99"/>
    <w:rsid w:val="008F53CE"/>
    <w:pPr>
      <w:numPr>
        <w:numId w:val="12"/>
      </w:numPr>
      <w:spacing w:after="120"/>
      <w:ind w:left="357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53CE"/>
    <w:pPr>
      <w:spacing w:before="240" w:after="240" w:line="240" w:lineRule="atLeast"/>
    </w:pPr>
    <w:rPr>
      <w:rFonts w:ascii="Arial" w:hAnsi="Arial"/>
      <w:color w:val="auto"/>
      <w:spacing w:val="4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8F53CE"/>
    <w:rPr>
      <w:rFonts w:ascii="Arial" w:hAnsi="Arial" w:cs="Arial"/>
      <w:spacing w:val="4"/>
      <w:lang w:val="en-US" w:eastAsia="en-US"/>
    </w:rPr>
  </w:style>
  <w:style w:type="paragraph" w:customStyle="1" w:styleId="TableHeading">
    <w:name w:val="Table Heading"/>
    <w:basedOn w:val="Normal"/>
    <w:uiPriority w:val="99"/>
    <w:rsid w:val="008F53CE"/>
    <w:pPr>
      <w:spacing w:before="60" w:after="60"/>
    </w:pPr>
    <w:rPr>
      <w:rFonts w:ascii="Arial" w:hAnsi="Arial" w:cs="Arial"/>
      <w:b/>
      <w:bCs/>
      <w:spacing w:val="4"/>
      <w:sz w:val="18"/>
      <w:szCs w:val="18"/>
      <w:lang w:val="en-US" w:eastAsia="en-US"/>
    </w:rPr>
  </w:style>
  <w:style w:type="paragraph" w:customStyle="1" w:styleId="FigureTitle">
    <w:name w:val="Figure Title"/>
    <w:basedOn w:val="Normal"/>
    <w:uiPriority w:val="99"/>
    <w:rsid w:val="008F53CE"/>
    <w:pPr>
      <w:spacing w:before="240" w:after="60"/>
    </w:pPr>
    <w:rPr>
      <w:rFonts w:ascii="Arial" w:hAnsi="Arial" w:cs="Arial"/>
      <w:b/>
      <w:bCs/>
      <w:spacing w:val="4"/>
      <w:sz w:val="18"/>
      <w:szCs w:val="18"/>
      <w:lang w:eastAsia="en-US"/>
    </w:rPr>
  </w:style>
  <w:style w:type="paragraph" w:customStyle="1" w:styleId="Bullet1">
    <w:name w:val="Bullet 1"/>
    <w:basedOn w:val="Bullet"/>
    <w:uiPriority w:val="99"/>
    <w:rsid w:val="00305C80"/>
    <w:pPr>
      <w:numPr>
        <w:numId w:val="13"/>
      </w:numPr>
    </w:pPr>
    <w:rPr>
      <w:rFonts w:ascii="Arial" w:hAnsi="Arial" w:cs="Arial"/>
      <w:sz w:val="22"/>
      <w:szCs w:val="22"/>
    </w:rPr>
  </w:style>
  <w:style w:type="character" w:styleId="Emphasis">
    <w:name w:val="Emphasis"/>
    <w:uiPriority w:val="99"/>
    <w:qFormat/>
    <w:rsid w:val="00876A66"/>
    <w:rPr>
      <w:i/>
      <w:iCs/>
    </w:rPr>
  </w:style>
  <w:style w:type="paragraph" w:customStyle="1" w:styleId="SubBullets">
    <w:name w:val="Sub Bullets"/>
    <w:basedOn w:val="Normal"/>
    <w:uiPriority w:val="99"/>
    <w:rsid w:val="006F2DE1"/>
    <w:pPr>
      <w:numPr>
        <w:ilvl w:val="1"/>
        <w:numId w:val="14"/>
      </w:numPr>
      <w:tabs>
        <w:tab w:val="num" w:pos="720"/>
      </w:tabs>
      <w:spacing w:after="120"/>
      <w:ind w:left="714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644E2F"/>
    <w:pPr>
      <w:spacing w:before="60" w:after="60"/>
    </w:pPr>
    <w:rPr>
      <w:rFonts w:ascii="Arial" w:hAnsi="Arial" w:cs="Arial"/>
      <w:spacing w:val="4"/>
      <w:sz w:val="18"/>
      <w:szCs w:val="18"/>
      <w:lang w:eastAsia="en-US"/>
    </w:rPr>
  </w:style>
  <w:style w:type="paragraph" w:customStyle="1" w:styleId="ChartandTableFootnoteAlpha">
    <w:name w:val="Chart and Table Footnote Alpha"/>
    <w:rsid w:val="00FD4D69"/>
    <w:pPr>
      <w:numPr>
        <w:numId w:val="1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TableGraphic">
    <w:name w:val="Table Graphic"/>
    <w:basedOn w:val="Normal"/>
    <w:next w:val="Normal"/>
    <w:rsid w:val="00FD4D69"/>
    <w:pPr>
      <w:keepNext/>
    </w:pPr>
    <w:rPr>
      <w:color w:val="3D4B67"/>
      <w:sz w:val="20"/>
      <w:szCs w:val="20"/>
    </w:rPr>
  </w:style>
  <w:style w:type="character" w:customStyle="1" w:styleId="NormalnumberedChar">
    <w:name w:val="Normal numbered Char"/>
    <w:link w:val="Normalnumbered"/>
    <w:locked/>
    <w:rsid w:val="00FD4D69"/>
    <w:rPr>
      <w:sz w:val="24"/>
      <w:szCs w:val="24"/>
    </w:rPr>
  </w:style>
  <w:style w:type="character" w:customStyle="1" w:styleId="AlphaParagraphChar">
    <w:name w:val="Alpha Paragraph Char"/>
    <w:locked/>
    <w:rsid w:val="00CD3DC7"/>
    <w:rPr>
      <w:rFonts w:ascii="Calibri" w:hAnsi="Calibri"/>
    </w:rPr>
  </w:style>
  <w:style w:type="character" w:customStyle="1" w:styleId="ScheduleNumberedParaCharChar">
    <w:name w:val="ScheduleNumberedPara Char Char"/>
    <w:link w:val="ScheduleNumberedPara"/>
    <w:locked/>
    <w:rsid w:val="00CD3DC7"/>
    <w:rPr>
      <w:rFonts w:ascii="Corbel" w:hAnsi="Corbel"/>
      <w:color w:val="000000"/>
      <w:sz w:val="23"/>
      <w:szCs w:val="23"/>
    </w:rPr>
  </w:style>
  <w:style w:type="character" w:styleId="FollowedHyperlink">
    <w:name w:val="FollowedHyperlink"/>
    <w:uiPriority w:val="99"/>
    <w:semiHidden/>
    <w:unhideWhenUsed/>
    <w:rsid w:val="00227BC0"/>
    <w:rPr>
      <w:color w:val="800080"/>
      <w:u w:val="single"/>
    </w:rPr>
  </w:style>
  <w:style w:type="paragraph" w:customStyle="1" w:styleId="Tableheaderleft">
    <w:name w:val="Table header left"/>
    <w:basedOn w:val="Normal"/>
    <w:rsid w:val="008C21DD"/>
    <w:pPr>
      <w:spacing w:before="120" w:after="120"/>
    </w:pPr>
    <w:rPr>
      <w:rFonts w:ascii="Arial" w:hAnsi="Arial"/>
      <w:b/>
      <w:color w:val="auto"/>
      <w:sz w:val="16"/>
      <w:lang w:val="en-US" w:eastAsia="en-US"/>
    </w:rPr>
  </w:style>
  <w:style w:type="paragraph" w:customStyle="1" w:styleId="Tableheadercentre">
    <w:name w:val="Table header centre"/>
    <w:basedOn w:val="Tableheaderleft"/>
    <w:rsid w:val="008C21DD"/>
    <w:pPr>
      <w:jc w:val="center"/>
    </w:pPr>
  </w:style>
  <w:style w:type="paragraph" w:customStyle="1" w:styleId="Tablebodyleft">
    <w:name w:val="Table body left"/>
    <w:basedOn w:val="Normal"/>
    <w:rsid w:val="008C21DD"/>
    <w:pPr>
      <w:spacing w:before="120" w:after="120"/>
    </w:pPr>
    <w:rPr>
      <w:rFonts w:ascii="Arial" w:hAnsi="Arial"/>
      <w:color w:val="auto"/>
      <w:sz w:val="16"/>
      <w:lang w:val="en-US" w:eastAsia="en-US"/>
    </w:rPr>
  </w:style>
  <w:style w:type="paragraph" w:customStyle="1" w:styleId="Tablebodycentre">
    <w:name w:val="Table body centre"/>
    <w:basedOn w:val="Tablebodyleft"/>
    <w:rsid w:val="008C21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TaxCatchAll xmlns="e544e5cc-ab70-42e1-849e-1a0f8bb1f4ef">
      <Value>2</Value>
    </TaxCatchAll>
    <_dlc_DocId xmlns="e544e5cc-ab70-42e1-849e-1a0f8bb1f4ef">2017FG-64-39597</_dlc_DocId>
    <_dlc_DocIdUrl xmlns="e544e5cc-ab70-42e1-849e-1a0f8bb1f4ef">
      <Url>http://tweb/sites/fg/csrd/_layouts/15/DocIdRedir.aspx?ID=2017FG-64-39597</Url>
      <Description>2017FG-64-39597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5746" ma:contentTypeDescription=" " ma:contentTypeScope="" ma:versionID="a0a745446cd50d938cc7ff5206320a40">
  <xsd:schema xmlns:xsd="http://www.w3.org/2001/XMLSchema" xmlns:xs="http://www.w3.org/2001/XMLSchema" xmlns:p="http://schemas.microsoft.com/office/2006/metadata/properties" xmlns:ns1="http://schemas.microsoft.com/sharepoint/v3" xmlns:ns2="e544e5cc-ab70-42e1-849e-1a0f8bb1f4ef" xmlns:ns4="http://schemas.microsoft.com/sharepoint/v4" targetNamespace="http://schemas.microsoft.com/office/2006/metadata/properties" ma:root="true" ma:fieldsID="b695b91a920971196e190b01c4725fce" ns1:_="" ns2:_="" ns4:_="">
    <xsd:import namespace="http://schemas.microsoft.com/sharepoint/v3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A247-1698-4899-853A-0BC284D24F12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26E63323-CFC9-4C1A-8BBB-78466FDBBA7A}">
  <ds:schemaRefs>
    <ds:schemaRef ds:uri="e544e5cc-ab70-42e1-849e-1a0f8bb1f4ef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1DE037-A6D2-4CE8-9A29-C46F7978F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C69A8-D772-4093-97D4-AB7CFA3346F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D5517BE-6FEF-4E54-8622-DE2EF254CB7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CB61D10-5EE1-4D3D-91E1-4F0603CE891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0C78826-886A-4D3D-B8FD-38F3C0B2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FINANCES CIRCULAR NO</vt:lpstr>
    </vt:vector>
  </TitlesOfParts>
  <Company>Department of the Prime Minister and Cabinet</Company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FINANCES CIRCULAR NO</dc:title>
  <dc:creator>Glen Granger</dc:creator>
  <cp:lastModifiedBy>Finn, Kate</cp:lastModifiedBy>
  <cp:revision>2</cp:revision>
  <cp:lastPrinted>2018-05-29T06:23:00Z</cp:lastPrinted>
  <dcterms:created xsi:type="dcterms:W3CDTF">2018-05-29T06:24:00Z</dcterms:created>
  <dcterms:modified xsi:type="dcterms:W3CDTF">2018-05-29T06:24:00Z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RecordPoint_ActiveItemUniqueId">
    <vt:lpwstr>{25572abb-2293-4717-a6e0-0816bbbcdee0}</vt:lpwstr>
  </property>
  <property fmtid="{D5CDD505-2E9C-101B-9397-08002B2CF9AE}" pid="5" name="TSYRecordClass">
    <vt:lpwstr>2;#TSY RA-8748 - Retain as national archives|243f2231-dbfc-4282-b24a-c9b768286bd0</vt:lpwstr>
  </property>
  <property fmtid="{D5CDD505-2E9C-101B-9397-08002B2CF9AE}" pid="6" name="RecordPoint_WorkflowType">
    <vt:lpwstr>ActiveSubmitStub</vt:lpwstr>
  </property>
  <property fmtid="{D5CDD505-2E9C-101B-9397-08002B2CF9AE}" pid="7" name="_dlc_DocIdItemGuid">
    <vt:lpwstr>25572abb-2293-4717-a6e0-0816bbbcdee0</vt:lpwstr>
  </property>
  <property fmtid="{D5CDD505-2E9C-101B-9397-08002B2CF9AE}" pid="8" name="RecordPoint_ActiveItemSiteId">
    <vt:lpwstr>{a3a280d1-e8f1-4ce7-94f0-aaa2322da0dd}</vt:lpwstr>
  </property>
  <property fmtid="{D5CDD505-2E9C-101B-9397-08002B2CF9AE}" pid="9" name="RecordPoint_ActiveItemListId">
    <vt:lpwstr>{4435c73b-6585-4bc2-a76a-5d21b1a02e06}</vt:lpwstr>
  </property>
  <property fmtid="{D5CDD505-2E9C-101B-9397-08002B2CF9AE}" pid="10" name="RecordPoint_ActiveItemWebId">
    <vt:lpwstr>{a4589788-615f-4b8b-8296-7f9f6dfbab44}</vt:lpwstr>
  </property>
  <property fmtid="{D5CDD505-2E9C-101B-9397-08002B2CF9AE}" pid="11" name="RecordPoint_RecordNumberSubmitted">
    <vt:lpwstr>R0001426596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2017-09-28T09:33:39.8624067+10:00</vt:lpwstr>
  </property>
</Properties>
</file>