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ACEA" w14:textId="77777777" w:rsidR="00A21A05" w:rsidRDefault="00A21A05" w:rsidP="00A17D70">
      <w:pPr>
        <w:pStyle w:val="Title"/>
      </w:pPr>
    </w:p>
    <w:p w14:paraId="56BB89B0" w14:textId="77777777" w:rsidR="0036688B" w:rsidRPr="00A17D70" w:rsidRDefault="00047AA6" w:rsidP="00A17D70">
      <w:pPr>
        <w:pStyle w:val="Title"/>
      </w:pPr>
      <w:r>
        <w:t>Tasmania</w:t>
      </w:r>
      <w:r w:rsidR="00195B84">
        <w:t>n</w:t>
      </w:r>
      <w:r w:rsidR="0036688B" w:rsidRPr="00A17D70">
        <w:t xml:space="preserve"> Implementation Plan </w:t>
      </w:r>
      <w:r w:rsidR="001A5D90">
        <w:t xml:space="preserve">2019–20 </w:t>
      </w:r>
    </w:p>
    <w:p w14:paraId="739E085D" w14:textId="77777777" w:rsidR="0036688B" w:rsidRPr="00A17D70" w:rsidRDefault="00047AA6" w:rsidP="00A17D70">
      <w:pPr>
        <w:pStyle w:val="Subtitle"/>
      </w:pPr>
      <w:r>
        <w:t>PRoject agreem</w:t>
      </w:r>
      <w:r w:rsidR="001D0305">
        <w:t>e</w:t>
      </w:r>
      <w:r>
        <w:t>nt for Energising tasmania</w:t>
      </w:r>
    </w:p>
    <w:p w14:paraId="10B3D96A" w14:textId="77777777" w:rsidR="0036688B" w:rsidRPr="001130A7" w:rsidRDefault="0036688B" w:rsidP="001130A7">
      <w:pPr>
        <w:pStyle w:val="Heading1"/>
      </w:pPr>
      <w:r w:rsidRPr="001130A7">
        <w:t>Part 1: Preliminaries</w:t>
      </w:r>
    </w:p>
    <w:p w14:paraId="5EA87446" w14:textId="77777777" w:rsidR="00B46E07" w:rsidRDefault="001918B1" w:rsidP="009548A0">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195B84" w:rsidRPr="006E2F07">
        <w:rPr>
          <w:szCs w:val="23"/>
        </w:rPr>
        <w:t>created subject to the provisions</w:t>
      </w:r>
      <w:r w:rsidR="00195B84">
        <w:rPr>
          <w:szCs w:val="23"/>
        </w:rPr>
        <w:t xml:space="preserve"> of</w:t>
      </w:r>
      <w:r w:rsidRPr="00041625">
        <w:rPr>
          <w:szCs w:val="23"/>
        </w:rPr>
        <w:t xml:space="preserve"> the </w:t>
      </w:r>
      <w:r w:rsidR="00047AA6">
        <w:rPr>
          <w:szCs w:val="23"/>
        </w:rPr>
        <w:t xml:space="preserve">Project Agreement for Energising Tasmania </w:t>
      </w:r>
      <w:r w:rsidRPr="00041625">
        <w:rPr>
          <w:szCs w:val="23"/>
        </w:rPr>
        <w:t xml:space="preserve">and should be read in conjunction with that Agreement. </w:t>
      </w:r>
    </w:p>
    <w:p w14:paraId="7F81872E" w14:textId="77777777" w:rsidR="001918B1" w:rsidRPr="00041625" w:rsidRDefault="001918B1" w:rsidP="009548A0">
      <w:pPr>
        <w:pStyle w:val="Normalnumbered"/>
        <w:spacing w:after="240" w:line="260" w:lineRule="exact"/>
        <w:rPr>
          <w:szCs w:val="23"/>
        </w:rPr>
      </w:pPr>
      <w:r w:rsidRPr="00041625">
        <w:rPr>
          <w:szCs w:val="23"/>
        </w:rPr>
        <w:t xml:space="preserve">The objective in the </w:t>
      </w:r>
      <w:r w:rsidR="00047AA6">
        <w:rPr>
          <w:szCs w:val="23"/>
        </w:rPr>
        <w:t>Project Agreement</w:t>
      </w:r>
      <w:r w:rsidRPr="00041625">
        <w:rPr>
          <w:szCs w:val="23"/>
        </w:rPr>
        <w:t xml:space="preserve"> is </w:t>
      </w:r>
      <w:r w:rsidR="00047AA6">
        <w:rPr>
          <w:szCs w:val="23"/>
        </w:rPr>
        <w:t xml:space="preserve">to </w:t>
      </w:r>
      <w:r w:rsidR="00195B84">
        <w:rPr>
          <w:szCs w:val="23"/>
        </w:rPr>
        <w:t xml:space="preserve">support </w:t>
      </w:r>
      <w:r w:rsidR="00047AA6">
        <w:rPr>
          <w:szCs w:val="23"/>
        </w:rPr>
        <w:t xml:space="preserve">Tasmania </w:t>
      </w:r>
      <w:r w:rsidR="00195B84">
        <w:rPr>
          <w:szCs w:val="23"/>
        </w:rPr>
        <w:t xml:space="preserve">to build </w:t>
      </w:r>
      <w:r w:rsidR="00047AA6">
        <w:rPr>
          <w:szCs w:val="23"/>
        </w:rPr>
        <w:t xml:space="preserve">a skilled workforce equipped with the expertise needed </w:t>
      </w:r>
      <w:r w:rsidR="007F43FD">
        <w:rPr>
          <w:szCs w:val="23"/>
        </w:rPr>
        <w:t>for</w:t>
      </w:r>
      <w:r w:rsidR="00047AA6">
        <w:rPr>
          <w:szCs w:val="23"/>
        </w:rPr>
        <w:t xml:space="preserve"> the </w:t>
      </w:r>
      <w:r w:rsidR="001D0305">
        <w:rPr>
          <w:szCs w:val="23"/>
        </w:rPr>
        <w:t>Battery of the Nation initiati</w:t>
      </w:r>
      <w:r w:rsidR="007F43FD">
        <w:rPr>
          <w:szCs w:val="23"/>
        </w:rPr>
        <w:t>ve</w:t>
      </w:r>
      <w:r w:rsidR="001D0305">
        <w:rPr>
          <w:szCs w:val="23"/>
        </w:rPr>
        <w:t xml:space="preserve"> and more broadly the renewable energy and related </w:t>
      </w:r>
      <w:r w:rsidR="00047AA6">
        <w:rPr>
          <w:szCs w:val="23"/>
        </w:rPr>
        <w:t>sector</w:t>
      </w:r>
      <w:r w:rsidR="001D0305">
        <w:rPr>
          <w:szCs w:val="23"/>
        </w:rPr>
        <w:t xml:space="preserve">s in Tasmania. </w:t>
      </w:r>
      <w:r w:rsidR="00047AA6">
        <w:rPr>
          <w:szCs w:val="23"/>
        </w:rPr>
        <w:t xml:space="preserve"> </w:t>
      </w:r>
    </w:p>
    <w:p w14:paraId="272BE32D" w14:textId="77777777" w:rsidR="00104FFB" w:rsidRDefault="003A1564" w:rsidP="009548A0">
      <w:pPr>
        <w:pStyle w:val="Normalnumbered"/>
        <w:spacing w:after="240" w:line="260" w:lineRule="exact"/>
        <w:rPr>
          <w:szCs w:val="23"/>
        </w:rPr>
      </w:pPr>
      <w:r>
        <w:rPr>
          <w:szCs w:val="23"/>
        </w:rPr>
        <w:t>Energising Tasmania</w:t>
      </w:r>
      <w:r w:rsidR="009F2050">
        <w:rPr>
          <w:szCs w:val="23"/>
        </w:rPr>
        <w:t xml:space="preserve"> will </w:t>
      </w:r>
      <w:r>
        <w:rPr>
          <w:szCs w:val="23"/>
        </w:rPr>
        <w:t>establish</w:t>
      </w:r>
      <w:r w:rsidR="001D0305">
        <w:rPr>
          <w:szCs w:val="23"/>
        </w:rPr>
        <w:t>:</w:t>
      </w:r>
    </w:p>
    <w:p w14:paraId="59B70BBD" w14:textId="77777777" w:rsidR="0013448A" w:rsidRPr="0013448A" w:rsidRDefault="0013448A" w:rsidP="0013448A">
      <w:pPr>
        <w:pStyle w:val="Normalnumbered"/>
        <w:numPr>
          <w:ilvl w:val="1"/>
          <w:numId w:val="9"/>
        </w:numPr>
        <w:spacing w:after="240" w:line="260" w:lineRule="exact"/>
        <w:rPr>
          <w:szCs w:val="23"/>
        </w:rPr>
      </w:pPr>
      <w:r w:rsidRPr="0013448A">
        <w:rPr>
          <w:szCs w:val="23"/>
        </w:rPr>
        <w:t>a new training grants fund to deliver up to 2,500 fully subsidised training places in areas of identified skills need and provide up to $1,000 per learner to assist with non-tuition fee costs (such as training materials);</w:t>
      </w:r>
    </w:p>
    <w:p w14:paraId="5E4A3C0F" w14:textId="2D93895D" w:rsidR="0013448A" w:rsidRPr="0013448A" w:rsidRDefault="0013448A" w:rsidP="0013448A">
      <w:pPr>
        <w:pStyle w:val="Normalnumbered"/>
        <w:numPr>
          <w:ilvl w:val="1"/>
          <w:numId w:val="9"/>
        </w:numPr>
        <w:spacing w:after="240" w:line="260" w:lineRule="exact"/>
        <w:rPr>
          <w:szCs w:val="23"/>
        </w:rPr>
      </w:pPr>
      <w:r w:rsidRPr="0013448A">
        <w:rPr>
          <w:szCs w:val="23"/>
        </w:rPr>
        <w:t xml:space="preserve">a new training market development fund to support  capacity building of training providers (including trainer recruitment, upskilling trainers, supporting trainers to relocate) as well as developing courses and delivery methods that meet the needs of industry; </w:t>
      </w:r>
    </w:p>
    <w:p w14:paraId="60EEE297" w14:textId="77777777" w:rsidR="0013448A" w:rsidRPr="0013448A" w:rsidRDefault="0013448A" w:rsidP="0013448A">
      <w:pPr>
        <w:pStyle w:val="Normalnumbered"/>
        <w:numPr>
          <w:ilvl w:val="1"/>
          <w:numId w:val="9"/>
        </w:numPr>
        <w:spacing w:after="240" w:line="260" w:lineRule="exact"/>
        <w:rPr>
          <w:szCs w:val="23"/>
        </w:rPr>
      </w:pPr>
      <w:r w:rsidRPr="0013448A">
        <w:rPr>
          <w:szCs w:val="23"/>
        </w:rPr>
        <w:t xml:space="preserve">a new workforce development fund to deliver an industry-led workforce development plan to inform and drive priority training and undertake activities </w:t>
      </w:r>
      <w:bookmarkStart w:id="0" w:name="_GoBack"/>
      <w:bookmarkEnd w:id="0"/>
      <w:r w:rsidRPr="0013448A">
        <w:rPr>
          <w:szCs w:val="23"/>
        </w:rPr>
        <w:t>identified in the plan that support necessary workforce development; and</w:t>
      </w:r>
    </w:p>
    <w:p w14:paraId="47779E36" w14:textId="77777777" w:rsidR="0013448A" w:rsidRPr="0013448A" w:rsidRDefault="0013448A" w:rsidP="0013448A">
      <w:pPr>
        <w:pStyle w:val="Normalnumbered"/>
        <w:numPr>
          <w:ilvl w:val="1"/>
          <w:numId w:val="9"/>
        </w:numPr>
        <w:spacing w:after="240" w:line="260" w:lineRule="exact"/>
        <w:rPr>
          <w:szCs w:val="23"/>
        </w:rPr>
      </w:pPr>
      <w:r w:rsidRPr="0013448A">
        <w:rPr>
          <w:szCs w:val="23"/>
        </w:rPr>
        <w:t>a new industry advisory group dedicated to building the skills needed to support the Battery of the Nation initiative and more broadly the renewable energy and related sectors that will engage with employers and registered training organisations and support the development of the workforce plan and implementation of activities identified in the plan.</w:t>
      </w:r>
    </w:p>
    <w:p w14:paraId="52FD51E9" w14:textId="77777777" w:rsidR="003E230C" w:rsidRPr="00041625" w:rsidRDefault="003E230C" w:rsidP="001130A7">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14:paraId="5B3C3EBF"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w:t>
      </w:r>
      <w:r w:rsidR="00D21974">
        <w:rPr>
          <w:szCs w:val="23"/>
        </w:rPr>
        <w:t xml:space="preserve"> the Commonwealth of Australia</w:t>
      </w:r>
      <w:r w:rsidR="003A1564">
        <w:rPr>
          <w:szCs w:val="23"/>
        </w:rPr>
        <w:t xml:space="preserve">, </w:t>
      </w:r>
      <w:r w:rsidR="003A1564" w:rsidRPr="00041625">
        <w:rPr>
          <w:szCs w:val="23"/>
        </w:rPr>
        <w:t>represented by</w:t>
      </w:r>
      <w:r w:rsidR="005E395B">
        <w:rPr>
          <w:szCs w:val="23"/>
        </w:rPr>
        <w:t xml:space="preserve"> the </w:t>
      </w:r>
      <w:r w:rsidR="005E395B">
        <w:t>First Assistant Secretary, Apprenticeships and Workforce</w:t>
      </w:r>
      <w:r w:rsidR="005E395B" w:rsidRPr="00756272">
        <w:rPr>
          <w:szCs w:val="23"/>
        </w:rPr>
        <w:t xml:space="preserve"> Skills</w:t>
      </w:r>
      <w:r w:rsidR="005E395B">
        <w:rPr>
          <w:szCs w:val="23"/>
        </w:rPr>
        <w:t>,</w:t>
      </w:r>
      <w:r w:rsidR="00756272" w:rsidRPr="00756272">
        <w:rPr>
          <w:szCs w:val="23"/>
        </w:rPr>
        <w:t xml:space="preserve"> Department of Employment, Skills, Small and Family Business</w:t>
      </w:r>
      <w:r w:rsidR="005E395B">
        <w:rPr>
          <w:szCs w:val="23"/>
        </w:rPr>
        <w:t xml:space="preserve"> </w:t>
      </w:r>
      <w:r w:rsidR="003A1564" w:rsidRPr="00041625">
        <w:rPr>
          <w:szCs w:val="23"/>
        </w:rPr>
        <w:t xml:space="preserve">and the </w:t>
      </w:r>
      <w:r w:rsidR="005E395B">
        <w:rPr>
          <w:szCs w:val="23"/>
        </w:rPr>
        <w:t>s</w:t>
      </w:r>
      <w:r w:rsidR="003A1564" w:rsidRPr="00041625">
        <w:rPr>
          <w:szCs w:val="23"/>
        </w:rPr>
        <w:t xml:space="preserve">tate of </w:t>
      </w:r>
      <w:r w:rsidR="005E395B">
        <w:rPr>
          <w:szCs w:val="23"/>
        </w:rPr>
        <w:t>Tasmania</w:t>
      </w:r>
      <w:r w:rsidR="003A1564" w:rsidRPr="00041625">
        <w:rPr>
          <w:szCs w:val="23"/>
        </w:rPr>
        <w:t xml:space="preserve">, represented by </w:t>
      </w:r>
      <w:r w:rsidR="005E395B">
        <w:rPr>
          <w:szCs w:val="23"/>
        </w:rPr>
        <w:t>the General Manager, Skills Tasmania, or equivalent</w:t>
      </w:r>
      <w:r w:rsidR="007F43FD">
        <w:rPr>
          <w:szCs w:val="23"/>
        </w:rPr>
        <w:t xml:space="preserve"> authorised officer</w:t>
      </w:r>
      <w:r w:rsidR="005E395B">
        <w:rPr>
          <w:szCs w:val="23"/>
        </w:rPr>
        <w:t>.</w:t>
      </w:r>
      <w:r w:rsidR="00D21974">
        <w:rPr>
          <w:szCs w:val="23"/>
        </w:rPr>
        <w:t xml:space="preserve"> </w:t>
      </w:r>
    </w:p>
    <w:p w14:paraId="313FFCD4" w14:textId="77777777" w:rsidR="0036688B" w:rsidRPr="00041625" w:rsidRDefault="009548A0" w:rsidP="0036688B">
      <w:pPr>
        <w:pStyle w:val="Normalnumbered"/>
        <w:spacing w:after="240" w:line="260" w:lineRule="exact"/>
        <w:rPr>
          <w:szCs w:val="23"/>
        </w:rPr>
      </w:pPr>
      <w:r>
        <w:rPr>
          <w:szCs w:val="23"/>
        </w:rPr>
        <w:t>T</w:t>
      </w:r>
      <w:r w:rsidR="0036688B" w:rsidRPr="00041625">
        <w:rPr>
          <w:szCs w:val="23"/>
        </w:rPr>
        <w:t xml:space="preserve">he purpose of this </w:t>
      </w:r>
      <w:r w:rsidR="00E47C62" w:rsidRPr="00041625">
        <w:rPr>
          <w:szCs w:val="23"/>
        </w:rPr>
        <w:t>Implementation Plan</w:t>
      </w:r>
      <w:r w:rsidR="0036688B" w:rsidRPr="00041625">
        <w:rPr>
          <w:szCs w:val="23"/>
        </w:rPr>
        <w:t xml:space="preserve"> is to</w:t>
      </w:r>
      <w:r w:rsidR="003A1564">
        <w:rPr>
          <w:szCs w:val="23"/>
        </w:rPr>
        <w:t xml:space="preserve"> provide the public with an indication of how </w:t>
      </w:r>
      <w:r w:rsidR="005652F8">
        <w:rPr>
          <w:szCs w:val="23"/>
        </w:rPr>
        <w:t xml:space="preserve">Tasmania intends to deliver </w:t>
      </w:r>
      <w:r w:rsidR="003A1564">
        <w:rPr>
          <w:szCs w:val="23"/>
        </w:rPr>
        <w:t xml:space="preserve">specific </w:t>
      </w:r>
      <w:r w:rsidR="005652F8">
        <w:rPr>
          <w:szCs w:val="23"/>
        </w:rPr>
        <w:t xml:space="preserve">outputs under the Project Agreement for </w:t>
      </w:r>
      <w:r w:rsidR="00DB2669">
        <w:rPr>
          <w:szCs w:val="23"/>
        </w:rPr>
        <w:t>Energising</w:t>
      </w:r>
      <w:r w:rsidR="003A1564">
        <w:rPr>
          <w:szCs w:val="23"/>
        </w:rPr>
        <w:t xml:space="preserve"> Tasmania</w:t>
      </w:r>
      <w:r w:rsidR="005652F8">
        <w:rPr>
          <w:szCs w:val="23"/>
        </w:rPr>
        <w:t>.</w:t>
      </w:r>
    </w:p>
    <w:p w14:paraId="7ED329E1" w14:textId="77777777" w:rsidR="0036688B" w:rsidRPr="00041625" w:rsidRDefault="0036688B" w:rsidP="0036688B">
      <w:pPr>
        <w:pStyle w:val="Normalnumbered"/>
        <w:spacing w:after="240" w:line="260" w:lineRule="exact"/>
        <w:rPr>
          <w:szCs w:val="23"/>
        </w:rPr>
      </w:pPr>
      <w:r w:rsidRPr="00041625">
        <w:rPr>
          <w:szCs w:val="23"/>
        </w:rPr>
        <w:lastRenderedPageBreak/>
        <w:t xml:space="preserve">This </w:t>
      </w:r>
      <w:r w:rsidR="00E47C62" w:rsidRPr="00041625">
        <w:rPr>
          <w:szCs w:val="23"/>
        </w:rPr>
        <w:t>Implementation Plan</w:t>
      </w:r>
      <w:r w:rsidRPr="00041625">
        <w:rPr>
          <w:szCs w:val="23"/>
        </w:rPr>
        <w:t xml:space="preserve"> will cease on </w:t>
      </w:r>
      <w:r w:rsidR="00BF06F4">
        <w:rPr>
          <w:szCs w:val="23"/>
        </w:rPr>
        <w:t>agreement to an updated 2020-21 Implementation Plan</w:t>
      </w:r>
      <w:r w:rsidR="0091615B" w:rsidRPr="00041625">
        <w:rPr>
          <w:szCs w:val="23"/>
        </w:rPr>
        <w:t>.</w:t>
      </w:r>
      <w:r w:rsidR="0091615B">
        <w:rPr>
          <w:szCs w:val="23"/>
        </w:rPr>
        <w:t xml:space="preserve"> </w:t>
      </w:r>
      <w:r w:rsidR="00367D4A">
        <w:rPr>
          <w:szCs w:val="23"/>
        </w:rPr>
        <w:t xml:space="preserve">This Implementation Plan may cease </w:t>
      </w:r>
      <w:r w:rsidR="0091615B">
        <w:rPr>
          <w:szCs w:val="23"/>
        </w:rPr>
        <w:t xml:space="preserve">earlier if, under clause 7 of the Project Agreement, the </w:t>
      </w:r>
      <w:r w:rsidR="008E28C4">
        <w:rPr>
          <w:szCs w:val="23"/>
        </w:rPr>
        <w:t>parties terminate the Agreement in writing</w:t>
      </w:r>
      <w:r w:rsidR="0091615B">
        <w:rPr>
          <w:szCs w:val="23"/>
        </w:rPr>
        <w:t xml:space="preserve">. </w:t>
      </w:r>
    </w:p>
    <w:p w14:paraId="05FA86EA"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w:t>
      </w:r>
      <w:r w:rsidR="00196C96">
        <w:rPr>
          <w:szCs w:val="23"/>
        </w:rPr>
        <w:t>Tasmania</w:t>
      </w:r>
      <w:r w:rsidRPr="00041625">
        <w:rPr>
          <w:szCs w:val="23"/>
        </w:rPr>
        <w:t xml:space="preserve">. </w:t>
      </w:r>
    </w:p>
    <w:p w14:paraId="77168151" w14:textId="77777777"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14:paraId="356BF71D" w14:textId="77777777" w:rsidR="0036688B" w:rsidRPr="00B704A8" w:rsidRDefault="0036688B" w:rsidP="001130A7">
      <w:pPr>
        <w:pStyle w:val="Heading1"/>
      </w:pPr>
      <w:r w:rsidRPr="00B704A8">
        <w:t xml:space="preserve">Part </w:t>
      </w:r>
      <w:r w:rsidR="00C26A29" w:rsidRPr="00B704A8">
        <w:t>3</w:t>
      </w:r>
      <w:r w:rsidRPr="00B704A8">
        <w:t xml:space="preserve">: Strategy for </w:t>
      </w:r>
      <w:r w:rsidR="00710C52">
        <w:t>Tasmanian</w:t>
      </w:r>
      <w:r w:rsidRPr="00B704A8">
        <w:t xml:space="preserve"> implementation</w:t>
      </w:r>
    </w:p>
    <w:p w14:paraId="09F3E297" w14:textId="77777777" w:rsidR="0036688B" w:rsidRPr="001130A7" w:rsidRDefault="0036688B" w:rsidP="001130A7">
      <w:pPr>
        <w:pStyle w:val="Heading2"/>
      </w:pPr>
      <w:r w:rsidRPr="001130A7">
        <w:t xml:space="preserve">Project information </w:t>
      </w:r>
    </w:p>
    <w:p w14:paraId="2F9E3CFF" w14:textId="5ED21B8D" w:rsidR="00F10146" w:rsidRDefault="00F10146" w:rsidP="00132D08">
      <w:pPr>
        <w:pStyle w:val="Normalnumbered"/>
        <w:spacing w:after="240" w:line="260" w:lineRule="exact"/>
        <w:sectPr w:rsidR="00F10146" w:rsidSect="00520331">
          <w:headerReference w:type="default" r:id="rId14"/>
          <w:footerReference w:type="default" r:id="rId15"/>
          <w:pgSz w:w="11906" w:h="16838" w:code="9"/>
          <w:pgMar w:top="851" w:right="1440" w:bottom="1021" w:left="1440" w:header="624" w:footer="624" w:gutter="0"/>
          <w:pgNumType w:start="1"/>
          <w:cols w:space="708"/>
          <w:docGrid w:linePitch="360"/>
        </w:sectPr>
      </w:pPr>
      <w:r w:rsidRPr="00756272">
        <w:t>The Project Agreement will support a Tasmanian workforce that is better equipped with the priority skills necessary to build Tasmania’s capability in the renewable energy and related sectors and to support the Battery of the Nation initiative.</w:t>
      </w:r>
      <w:r w:rsidR="00D77FFC">
        <w:t xml:space="preserve"> </w:t>
      </w:r>
      <w:r w:rsidR="00972CEA">
        <w:t>The planned 2019–20</w:t>
      </w:r>
      <w:r w:rsidR="00781112">
        <w:t xml:space="preserve"> activities for each of the project</w:t>
      </w:r>
      <w:r w:rsidR="00972CEA">
        <w:t xml:space="preserve"> </w:t>
      </w:r>
      <w:r w:rsidR="00781112">
        <w:t xml:space="preserve">outputs is provided in </w:t>
      </w:r>
      <w:r w:rsidR="00642C50">
        <w:t>T</w:t>
      </w:r>
      <w:r w:rsidR="00781112">
        <w:t>able</w:t>
      </w:r>
      <w:r w:rsidR="00642C50">
        <w:t xml:space="preserve"> 1</w:t>
      </w:r>
      <w:r w:rsidR="00781112">
        <w:t xml:space="preserve"> </w:t>
      </w:r>
      <w:r w:rsidRPr="00F10146">
        <w:t>b</w:t>
      </w:r>
      <w:r w:rsidRPr="00D77FFC">
        <w:t>elow.</w:t>
      </w:r>
    </w:p>
    <w:p w14:paraId="6496C15A" w14:textId="77777777" w:rsidR="00F10146" w:rsidRPr="00EE38CA" w:rsidRDefault="00642C50" w:rsidP="001130A7">
      <w:pPr>
        <w:pStyle w:val="Heading1"/>
      </w:pPr>
      <w:r>
        <w:lastRenderedPageBreak/>
        <w:t xml:space="preserve">TABLE 1: </w:t>
      </w:r>
      <w:r w:rsidR="00F10146">
        <w:t xml:space="preserve">Indicative project </w:t>
      </w:r>
      <w:r w:rsidR="00F10146" w:rsidRPr="00EE38CA">
        <w:t xml:space="preserve">ACTIVities and Milestones </w:t>
      </w:r>
    </w:p>
    <w:p w14:paraId="068474D0" w14:textId="77777777" w:rsidR="00F10146" w:rsidRPr="00EE38CA" w:rsidRDefault="00F10146" w:rsidP="00F10146"/>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675"/>
        <w:gridCol w:w="3828"/>
        <w:gridCol w:w="3967"/>
      </w:tblGrid>
      <w:tr w:rsidR="00F10146" w:rsidRPr="00EE38CA" w14:paraId="774BBA89" w14:textId="77777777" w:rsidTr="00BB0FDD">
        <w:trPr>
          <w:cantSplit/>
        </w:trPr>
        <w:tc>
          <w:tcPr>
            <w:tcW w:w="952" w:type="pct"/>
            <w:tcBorders>
              <w:top w:val="single" w:sz="4" w:space="0" w:color="auto"/>
              <w:left w:val="single" w:sz="4" w:space="0" w:color="auto"/>
              <w:bottom w:val="single" w:sz="4" w:space="0" w:color="auto"/>
              <w:right w:val="single" w:sz="4" w:space="0" w:color="auto"/>
            </w:tcBorders>
            <w:shd w:val="clear" w:color="auto" w:fill="E6E6E6"/>
          </w:tcPr>
          <w:p w14:paraId="2281FE3F" w14:textId="77777777" w:rsidR="00F10146" w:rsidRPr="00EE38CA" w:rsidRDefault="00F10146" w:rsidP="00BB0FDD">
            <w:pPr>
              <w:rPr>
                <w:b/>
                <w:lang w:val="en-US" w:eastAsia="en-US"/>
              </w:rPr>
            </w:pPr>
            <w:r w:rsidRPr="00EE38CA">
              <w:rPr>
                <w:b/>
                <w:lang w:val="en-US" w:eastAsia="en-US"/>
              </w:rPr>
              <w:t>Outputs</w:t>
            </w:r>
          </w:p>
          <w:p w14:paraId="70037094" w14:textId="77777777" w:rsidR="00F10146" w:rsidRPr="00EE38CA" w:rsidRDefault="00F10146" w:rsidP="00BB0FDD">
            <w:pPr>
              <w:rPr>
                <w:b/>
                <w:lang w:val="en-US" w:eastAsia="en-US"/>
              </w:rPr>
            </w:pPr>
          </w:p>
          <w:p w14:paraId="4F02D8B9" w14:textId="77777777" w:rsidR="00F10146" w:rsidRPr="00EE38CA" w:rsidRDefault="00F10146" w:rsidP="00BB0FDD">
            <w:pPr>
              <w:rPr>
                <w:rFonts w:ascii="Times New Roman" w:hAnsi="Times New Roman"/>
                <w:b/>
              </w:rPr>
            </w:pPr>
          </w:p>
        </w:tc>
        <w:tc>
          <w:tcPr>
            <w:tcW w:w="1297" w:type="pct"/>
            <w:tcBorders>
              <w:top w:val="single" w:sz="4" w:space="0" w:color="auto"/>
              <w:left w:val="single" w:sz="4" w:space="0" w:color="auto"/>
              <w:bottom w:val="single" w:sz="4" w:space="0" w:color="auto"/>
              <w:right w:val="single" w:sz="4" w:space="0" w:color="auto"/>
            </w:tcBorders>
            <w:shd w:val="clear" w:color="auto" w:fill="E6E6E6"/>
            <w:hideMark/>
          </w:tcPr>
          <w:p w14:paraId="3B410DE5" w14:textId="77777777" w:rsidR="00F10146" w:rsidRPr="00EE38CA" w:rsidRDefault="00F10146" w:rsidP="00BB0FDD">
            <w:pPr>
              <w:rPr>
                <w:b/>
              </w:rPr>
            </w:pPr>
            <w:r w:rsidRPr="00EE38CA">
              <w:rPr>
                <w:b/>
              </w:rPr>
              <w:t>Activity 1</w:t>
            </w:r>
          </w:p>
        </w:tc>
        <w:tc>
          <w:tcPr>
            <w:tcW w:w="1351" w:type="pct"/>
            <w:tcBorders>
              <w:top w:val="single" w:sz="4" w:space="0" w:color="auto"/>
              <w:left w:val="single" w:sz="4" w:space="0" w:color="auto"/>
              <w:bottom w:val="single" w:sz="4" w:space="0" w:color="auto"/>
              <w:right w:val="single" w:sz="4" w:space="0" w:color="auto"/>
            </w:tcBorders>
            <w:shd w:val="clear" w:color="auto" w:fill="E6E6E6"/>
            <w:hideMark/>
          </w:tcPr>
          <w:p w14:paraId="49BED81E" w14:textId="77777777" w:rsidR="00F10146" w:rsidRPr="00EE38CA" w:rsidRDefault="00F10146" w:rsidP="00BB0FDD">
            <w:pPr>
              <w:rPr>
                <w:b/>
              </w:rPr>
            </w:pPr>
            <w:r w:rsidRPr="00EE38CA">
              <w:rPr>
                <w:b/>
              </w:rPr>
              <w:t>Activity 2</w:t>
            </w:r>
          </w:p>
        </w:tc>
        <w:tc>
          <w:tcPr>
            <w:tcW w:w="1400" w:type="pct"/>
            <w:tcBorders>
              <w:top w:val="single" w:sz="4" w:space="0" w:color="auto"/>
              <w:left w:val="single" w:sz="4" w:space="0" w:color="auto"/>
              <w:bottom w:val="single" w:sz="4" w:space="0" w:color="auto"/>
              <w:right w:val="single" w:sz="4" w:space="0" w:color="auto"/>
            </w:tcBorders>
            <w:shd w:val="clear" w:color="auto" w:fill="E6E6E6"/>
            <w:hideMark/>
          </w:tcPr>
          <w:p w14:paraId="3975CD24" w14:textId="77777777" w:rsidR="00F10146" w:rsidRPr="00EE38CA" w:rsidRDefault="00F10146" w:rsidP="00BB0FDD">
            <w:pPr>
              <w:rPr>
                <w:b/>
              </w:rPr>
            </w:pPr>
            <w:r w:rsidRPr="00EE38CA">
              <w:rPr>
                <w:b/>
              </w:rPr>
              <w:t>Activity 3</w:t>
            </w:r>
          </w:p>
        </w:tc>
      </w:tr>
      <w:tr w:rsidR="00F10146" w14:paraId="03350AF9" w14:textId="77777777" w:rsidTr="00BB0FDD">
        <w:trPr>
          <w:cantSplit/>
        </w:trPr>
        <w:tc>
          <w:tcPr>
            <w:tcW w:w="952" w:type="pct"/>
            <w:tcBorders>
              <w:top w:val="single" w:sz="4" w:space="0" w:color="auto"/>
              <w:left w:val="single" w:sz="4" w:space="0" w:color="auto"/>
              <w:bottom w:val="single" w:sz="4" w:space="0" w:color="auto"/>
              <w:right w:val="single" w:sz="4" w:space="0" w:color="auto"/>
            </w:tcBorders>
          </w:tcPr>
          <w:p w14:paraId="2F401F85" w14:textId="77777777" w:rsidR="00F10146" w:rsidRPr="00EE38CA" w:rsidRDefault="00F10146" w:rsidP="00BB0FDD">
            <w:pPr>
              <w:rPr>
                <w:b/>
              </w:rPr>
            </w:pPr>
            <w:r w:rsidRPr="00EE38CA">
              <w:rPr>
                <w:b/>
              </w:rPr>
              <w:t>Training grants fund</w:t>
            </w:r>
          </w:p>
        </w:tc>
        <w:tc>
          <w:tcPr>
            <w:tcW w:w="1297" w:type="pct"/>
            <w:tcBorders>
              <w:top w:val="single" w:sz="4" w:space="0" w:color="auto"/>
              <w:left w:val="single" w:sz="4" w:space="0" w:color="auto"/>
              <w:bottom w:val="single" w:sz="4" w:space="0" w:color="auto"/>
              <w:right w:val="single" w:sz="4" w:space="0" w:color="auto"/>
            </w:tcBorders>
          </w:tcPr>
          <w:p w14:paraId="4A05EDA2" w14:textId="77777777" w:rsidR="00F10146" w:rsidRPr="00EE38CA" w:rsidRDefault="00F10146" w:rsidP="00BB0FDD">
            <w:r w:rsidRPr="00EE38CA">
              <w:t>February 2020 – funding programs designed in consultation with the Australian Government.</w:t>
            </w:r>
          </w:p>
        </w:tc>
        <w:tc>
          <w:tcPr>
            <w:tcW w:w="1351" w:type="pct"/>
            <w:tcBorders>
              <w:top w:val="single" w:sz="4" w:space="0" w:color="auto"/>
              <w:left w:val="single" w:sz="4" w:space="0" w:color="auto"/>
              <w:bottom w:val="single" w:sz="4" w:space="0" w:color="auto"/>
              <w:right w:val="single" w:sz="4" w:space="0" w:color="auto"/>
            </w:tcBorders>
          </w:tcPr>
          <w:p w14:paraId="607A4228" w14:textId="77777777" w:rsidR="00F10146" w:rsidRPr="00EE38CA" w:rsidRDefault="00F10146" w:rsidP="00BB0FDD">
            <w:r w:rsidRPr="00EE38CA">
              <w:t>March 2020 –  fully subsidised training places (including support for non-tuition costs) made available in industry agreed eligible qualifications</w:t>
            </w:r>
          </w:p>
        </w:tc>
        <w:tc>
          <w:tcPr>
            <w:tcW w:w="1400" w:type="pct"/>
            <w:tcBorders>
              <w:top w:val="single" w:sz="4" w:space="0" w:color="auto"/>
              <w:left w:val="single" w:sz="4" w:space="0" w:color="auto"/>
              <w:bottom w:val="single" w:sz="4" w:space="0" w:color="auto"/>
              <w:right w:val="single" w:sz="4" w:space="0" w:color="auto"/>
            </w:tcBorders>
          </w:tcPr>
          <w:p w14:paraId="4D48DE5C" w14:textId="77777777" w:rsidR="00F10146" w:rsidRDefault="00F10146" w:rsidP="00BB0FDD">
            <w:r w:rsidRPr="00EE38CA">
              <w:t>June 2020 – funding programs (including eligible qualifications) reviewed and updated based on advice from Industry Advisory Group, to be agreed in the 2020–21 Implementation Plan.</w:t>
            </w:r>
            <w:r>
              <w:t xml:space="preserve"> </w:t>
            </w:r>
          </w:p>
          <w:p w14:paraId="7F87437D" w14:textId="77777777" w:rsidR="00F10146" w:rsidRDefault="00F10146" w:rsidP="00BB0FDD"/>
        </w:tc>
      </w:tr>
      <w:tr w:rsidR="00F10146" w14:paraId="15584AFB" w14:textId="77777777" w:rsidTr="00BB0FDD">
        <w:trPr>
          <w:cantSplit/>
        </w:trPr>
        <w:tc>
          <w:tcPr>
            <w:tcW w:w="952" w:type="pct"/>
            <w:tcBorders>
              <w:top w:val="single" w:sz="4" w:space="0" w:color="auto"/>
              <w:left w:val="single" w:sz="4" w:space="0" w:color="auto"/>
              <w:bottom w:val="single" w:sz="4" w:space="0" w:color="auto"/>
              <w:right w:val="single" w:sz="4" w:space="0" w:color="auto"/>
            </w:tcBorders>
          </w:tcPr>
          <w:p w14:paraId="24F2AFFA" w14:textId="77777777" w:rsidR="00F10146" w:rsidRDefault="00F10146" w:rsidP="00BB0FDD">
            <w:pPr>
              <w:rPr>
                <w:b/>
              </w:rPr>
            </w:pPr>
            <w:r w:rsidRPr="00CE01E1">
              <w:rPr>
                <w:b/>
              </w:rPr>
              <w:t xml:space="preserve">Training </w:t>
            </w:r>
            <w:r>
              <w:rPr>
                <w:b/>
              </w:rPr>
              <w:t>m</w:t>
            </w:r>
            <w:r w:rsidRPr="00CE01E1">
              <w:rPr>
                <w:b/>
              </w:rPr>
              <w:t xml:space="preserve">arket </w:t>
            </w:r>
            <w:r>
              <w:rPr>
                <w:b/>
              </w:rPr>
              <w:t>d</w:t>
            </w:r>
            <w:r w:rsidRPr="00CE01E1">
              <w:rPr>
                <w:b/>
              </w:rPr>
              <w:t xml:space="preserve">evelopment </w:t>
            </w:r>
            <w:r>
              <w:rPr>
                <w:b/>
              </w:rPr>
              <w:t>f</w:t>
            </w:r>
            <w:r w:rsidRPr="00CE01E1">
              <w:rPr>
                <w:b/>
              </w:rPr>
              <w:t>und</w:t>
            </w:r>
          </w:p>
          <w:p w14:paraId="0D55C22C" w14:textId="77777777" w:rsidR="00F10146" w:rsidRPr="00CE01E1" w:rsidRDefault="00F10146" w:rsidP="00BB0FDD">
            <w:pPr>
              <w:rPr>
                <w:b/>
              </w:rPr>
            </w:pPr>
          </w:p>
        </w:tc>
        <w:tc>
          <w:tcPr>
            <w:tcW w:w="1297" w:type="pct"/>
            <w:tcBorders>
              <w:top w:val="single" w:sz="4" w:space="0" w:color="auto"/>
              <w:left w:val="single" w:sz="4" w:space="0" w:color="auto"/>
              <w:bottom w:val="single" w:sz="4" w:space="0" w:color="auto"/>
              <w:right w:val="single" w:sz="4" w:space="0" w:color="auto"/>
            </w:tcBorders>
          </w:tcPr>
          <w:p w14:paraId="2E06CCE1" w14:textId="77777777" w:rsidR="00F10146" w:rsidRDefault="00F10146" w:rsidP="00BB0FDD">
            <w:r>
              <w:t>March 2020 - priorities identified and draft program design developed</w:t>
            </w:r>
          </w:p>
        </w:tc>
        <w:tc>
          <w:tcPr>
            <w:tcW w:w="1351" w:type="pct"/>
            <w:tcBorders>
              <w:top w:val="single" w:sz="4" w:space="0" w:color="auto"/>
              <w:left w:val="single" w:sz="4" w:space="0" w:color="auto"/>
              <w:bottom w:val="single" w:sz="4" w:space="0" w:color="auto"/>
              <w:right w:val="single" w:sz="4" w:space="0" w:color="auto"/>
            </w:tcBorders>
          </w:tcPr>
          <w:p w14:paraId="55EEA4BC" w14:textId="77777777" w:rsidR="00F10146" w:rsidRDefault="00F10146" w:rsidP="00BB0FDD">
            <w:r>
              <w:t xml:space="preserve">April 2020 – industry consulted on program design </w:t>
            </w:r>
          </w:p>
        </w:tc>
        <w:tc>
          <w:tcPr>
            <w:tcW w:w="1400" w:type="pct"/>
            <w:tcBorders>
              <w:top w:val="single" w:sz="4" w:space="0" w:color="auto"/>
              <w:left w:val="single" w:sz="4" w:space="0" w:color="auto"/>
              <w:bottom w:val="single" w:sz="4" w:space="0" w:color="auto"/>
              <w:right w:val="single" w:sz="4" w:space="0" w:color="auto"/>
            </w:tcBorders>
          </w:tcPr>
          <w:p w14:paraId="3F32A7B3" w14:textId="77777777" w:rsidR="00F10146" w:rsidRDefault="00F10146" w:rsidP="00BB0FDD">
            <w:r>
              <w:t>June 2020 – program, delivery commenced</w:t>
            </w:r>
          </w:p>
        </w:tc>
      </w:tr>
      <w:tr w:rsidR="00F10146" w14:paraId="6889328F" w14:textId="77777777" w:rsidTr="00BB0FDD">
        <w:trPr>
          <w:cantSplit/>
        </w:trPr>
        <w:tc>
          <w:tcPr>
            <w:tcW w:w="952" w:type="pct"/>
            <w:tcBorders>
              <w:top w:val="single" w:sz="4" w:space="0" w:color="auto"/>
              <w:left w:val="single" w:sz="4" w:space="0" w:color="auto"/>
              <w:bottom w:val="single" w:sz="4" w:space="0" w:color="auto"/>
              <w:right w:val="single" w:sz="4" w:space="0" w:color="auto"/>
            </w:tcBorders>
          </w:tcPr>
          <w:p w14:paraId="77414790" w14:textId="77777777" w:rsidR="00F10146" w:rsidRPr="00CE01E1" w:rsidRDefault="00F10146" w:rsidP="00BB0FDD">
            <w:pPr>
              <w:rPr>
                <w:b/>
              </w:rPr>
            </w:pPr>
            <w:r w:rsidRPr="00CE01E1">
              <w:rPr>
                <w:b/>
              </w:rPr>
              <w:t xml:space="preserve">Workforce </w:t>
            </w:r>
            <w:r>
              <w:rPr>
                <w:b/>
              </w:rPr>
              <w:t>d</w:t>
            </w:r>
            <w:r w:rsidRPr="00CE01E1">
              <w:rPr>
                <w:b/>
              </w:rPr>
              <w:t xml:space="preserve">evelopment </w:t>
            </w:r>
            <w:r>
              <w:rPr>
                <w:b/>
              </w:rPr>
              <w:t>fund and associated activities</w:t>
            </w:r>
          </w:p>
        </w:tc>
        <w:tc>
          <w:tcPr>
            <w:tcW w:w="1297" w:type="pct"/>
            <w:tcBorders>
              <w:top w:val="single" w:sz="4" w:space="0" w:color="auto"/>
              <w:left w:val="single" w:sz="4" w:space="0" w:color="auto"/>
              <w:bottom w:val="single" w:sz="4" w:space="0" w:color="auto"/>
              <w:right w:val="single" w:sz="4" w:space="0" w:color="auto"/>
            </w:tcBorders>
          </w:tcPr>
          <w:p w14:paraId="1E634AFD" w14:textId="77777777" w:rsidR="00F10146" w:rsidRDefault="00F10146" w:rsidP="00BB0FDD">
            <w:r>
              <w:t>March 2020 – Request for Quote released to market to develop workforce development plan</w:t>
            </w:r>
          </w:p>
          <w:p w14:paraId="62408022" w14:textId="77777777" w:rsidR="00F10146" w:rsidRDefault="00F10146" w:rsidP="00BB0FDD"/>
        </w:tc>
        <w:tc>
          <w:tcPr>
            <w:tcW w:w="1351" w:type="pct"/>
            <w:tcBorders>
              <w:top w:val="single" w:sz="4" w:space="0" w:color="auto"/>
              <w:left w:val="single" w:sz="4" w:space="0" w:color="auto"/>
              <w:bottom w:val="single" w:sz="4" w:space="0" w:color="auto"/>
              <w:right w:val="single" w:sz="4" w:space="0" w:color="auto"/>
            </w:tcBorders>
          </w:tcPr>
          <w:p w14:paraId="5F808958" w14:textId="77777777" w:rsidR="00F10146" w:rsidRDefault="00F10146" w:rsidP="00BB0FDD">
            <w:r>
              <w:t>April 2020 – industry consulted on plan and activities</w:t>
            </w:r>
          </w:p>
        </w:tc>
        <w:tc>
          <w:tcPr>
            <w:tcW w:w="1400" w:type="pct"/>
            <w:tcBorders>
              <w:top w:val="single" w:sz="4" w:space="0" w:color="auto"/>
              <w:left w:val="single" w:sz="4" w:space="0" w:color="auto"/>
              <w:bottom w:val="single" w:sz="4" w:space="0" w:color="auto"/>
              <w:right w:val="single" w:sz="4" w:space="0" w:color="auto"/>
            </w:tcBorders>
          </w:tcPr>
          <w:p w14:paraId="6121CB82" w14:textId="77777777" w:rsidR="00F10146" w:rsidRDefault="00F10146" w:rsidP="00BB0FDD">
            <w:r>
              <w:t xml:space="preserve">June 2020 –plan produced, program of activities identified and published (as relevant) </w:t>
            </w:r>
          </w:p>
        </w:tc>
      </w:tr>
      <w:tr w:rsidR="00F10146" w14:paraId="68564CC5" w14:textId="77777777" w:rsidTr="00BB0FDD">
        <w:trPr>
          <w:cantSplit/>
        </w:trPr>
        <w:tc>
          <w:tcPr>
            <w:tcW w:w="952" w:type="pct"/>
            <w:tcBorders>
              <w:top w:val="single" w:sz="4" w:space="0" w:color="auto"/>
              <w:left w:val="single" w:sz="4" w:space="0" w:color="auto"/>
              <w:bottom w:val="single" w:sz="4" w:space="0" w:color="auto"/>
              <w:right w:val="single" w:sz="4" w:space="0" w:color="auto"/>
            </w:tcBorders>
          </w:tcPr>
          <w:p w14:paraId="72658D36" w14:textId="77777777" w:rsidR="00F10146" w:rsidRPr="00CE01E1" w:rsidRDefault="00F10146" w:rsidP="00BB0FDD">
            <w:pPr>
              <w:rPr>
                <w:b/>
              </w:rPr>
            </w:pPr>
            <w:r w:rsidRPr="00CE01E1">
              <w:rPr>
                <w:b/>
              </w:rPr>
              <w:t xml:space="preserve">Industry </w:t>
            </w:r>
            <w:r>
              <w:rPr>
                <w:b/>
              </w:rPr>
              <w:t>a</w:t>
            </w:r>
            <w:r w:rsidRPr="00CE01E1">
              <w:rPr>
                <w:b/>
              </w:rPr>
              <w:t xml:space="preserve">dvisory </w:t>
            </w:r>
            <w:r>
              <w:rPr>
                <w:b/>
              </w:rPr>
              <w:t>g</w:t>
            </w:r>
            <w:r w:rsidRPr="00CE01E1">
              <w:rPr>
                <w:b/>
              </w:rPr>
              <w:t>roup</w:t>
            </w:r>
          </w:p>
        </w:tc>
        <w:tc>
          <w:tcPr>
            <w:tcW w:w="1297" w:type="pct"/>
            <w:tcBorders>
              <w:top w:val="single" w:sz="4" w:space="0" w:color="auto"/>
              <w:left w:val="single" w:sz="4" w:space="0" w:color="auto"/>
              <w:bottom w:val="single" w:sz="4" w:space="0" w:color="auto"/>
              <w:right w:val="single" w:sz="4" w:space="0" w:color="auto"/>
            </w:tcBorders>
          </w:tcPr>
          <w:p w14:paraId="3CE734B9" w14:textId="77777777" w:rsidR="00F10146" w:rsidRDefault="00F10146" w:rsidP="00BB0FDD">
            <w:r>
              <w:t>March 2o2o – group established and forward work plan drafted</w:t>
            </w:r>
          </w:p>
        </w:tc>
        <w:tc>
          <w:tcPr>
            <w:tcW w:w="1351" w:type="pct"/>
            <w:tcBorders>
              <w:top w:val="single" w:sz="4" w:space="0" w:color="auto"/>
              <w:left w:val="single" w:sz="4" w:space="0" w:color="auto"/>
              <w:bottom w:val="single" w:sz="4" w:space="0" w:color="auto"/>
              <w:right w:val="single" w:sz="4" w:space="0" w:color="auto"/>
            </w:tcBorders>
          </w:tcPr>
          <w:p w14:paraId="0CDE6A76" w14:textId="77777777" w:rsidR="00F10146" w:rsidRDefault="00F10146" w:rsidP="00BB0FDD">
            <w:r>
              <w:t xml:space="preserve">April 2020 – contributed to workforce development plan and training market development fund  </w:t>
            </w:r>
          </w:p>
          <w:p w14:paraId="4BA6EEC2" w14:textId="77777777" w:rsidR="00F10146" w:rsidRDefault="00F10146" w:rsidP="00BB0FDD"/>
        </w:tc>
        <w:tc>
          <w:tcPr>
            <w:tcW w:w="1400" w:type="pct"/>
            <w:tcBorders>
              <w:top w:val="single" w:sz="4" w:space="0" w:color="auto"/>
              <w:left w:val="single" w:sz="4" w:space="0" w:color="auto"/>
              <w:bottom w:val="single" w:sz="4" w:space="0" w:color="auto"/>
              <w:right w:val="single" w:sz="4" w:space="0" w:color="auto"/>
            </w:tcBorders>
          </w:tcPr>
          <w:p w14:paraId="5E2263AA" w14:textId="77777777" w:rsidR="00F10146" w:rsidRDefault="00F10146" w:rsidP="00BB0FDD">
            <w:r>
              <w:t xml:space="preserve">June 2020 – contributed to preliminary review of the funding programs and forward work plan </w:t>
            </w:r>
          </w:p>
        </w:tc>
      </w:tr>
    </w:tbl>
    <w:p w14:paraId="51CBFD81" w14:textId="77777777" w:rsidR="000F4640" w:rsidRDefault="000F4640" w:rsidP="00F41E35">
      <w:pPr>
        <w:pStyle w:val="Normalnumbered"/>
        <w:numPr>
          <w:ilvl w:val="0"/>
          <w:numId w:val="0"/>
        </w:numPr>
        <w:spacing w:after="240" w:line="260" w:lineRule="exact"/>
      </w:pPr>
    </w:p>
    <w:p w14:paraId="19C912D6" w14:textId="77777777" w:rsidR="00F10146" w:rsidRDefault="00F10146">
      <w:pPr>
        <w:rPr>
          <w:rFonts w:cs="Arial"/>
          <w:b/>
          <w:bCs/>
          <w:iCs/>
          <w:color w:val="3D4B67"/>
          <w:sz w:val="29"/>
          <w:szCs w:val="28"/>
        </w:rPr>
      </w:pPr>
      <w:r>
        <w:br w:type="page"/>
      </w:r>
    </w:p>
    <w:p w14:paraId="51E44E78" w14:textId="77777777" w:rsidR="00F10146" w:rsidRDefault="00F10146" w:rsidP="001130A7">
      <w:pPr>
        <w:pStyle w:val="Heading2"/>
        <w:sectPr w:rsidR="00F10146" w:rsidSect="00132D08">
          <w:pgSz w:w="16838" w:h="11906" w:orient="landscape" w:code="9"/>
          <w:pgMar w:top="1440" w:right="851" w:bottom="1440" w:left="1021" w:header="624" w:footer="624" w:gutter="0"/>
          <w:cols w:space="708"/>
          <w:docGrid w:linePitch="360"/>
        </w:sectPr>
      </w:pPr>
    </w:p>
    <w:p w14:paraId="17B365AB" w14:textId="77777777" w:rsidR="008A1747" w:rsidRPr="00A36A37" w:rsidRDefault="008A1747" w:rsidP="001130A7">
      <w:pPr>
        <w:pStyle w:val="Heading2"/>
      </w:pPr>
      <w:r>
        <w:lastRenderedPageBreak/>
        <w:t>Estimated costs</w:t>
      </w:r>
    </w:p>
    <w:p w14:paraId="585019BA" w14:textId="77777777" w:rsidR="008A1747" w:rsidRPr="00432B5D" w:rsidRDefault="008A1747" w:rsidP="008A1747">
      <w:pPr>
        <w:pStyle w:val="Normalnumbered"/>
        <w:spacing w:after="240" w:line="260" w:lineRule="exact"/>
      </w:pPr>
      <w:r w:rsidRPr="00432B5D">
        <w:t xml:space="preserve">The maximum financial contribution to be provided by the Commonwealth for the project to the jurisdiction is </w:t>
      </w:r>
      <w:r w:rsidR="001A5D90">
        <w:t>$16.</w:t>
      </w:r>
      <w:r w:rsidR="0013448A">
        <w:t xml:space="preserve">143 </w:t>
      </w:r>
      <w:r w:rsidR="001A5D90">
        <w:t xml:space="preserve">million </w:t>
      </w:r>
      <w:r w:rsidR="00641202">
        <w:t>($2.25</w:t>
      </w:r>
      <w:r w:rsidR="00BF06F4">
        <w:t>1</w:t>
      </w:r>
      <w:r w:rsidR="00641202">
        <w:t xml:space="preserve"> million in 2019–20) </w:t>
      </w:r>
      <w:r w:rsidR="001A5D90">
        <w:t xml:space="preserve">payable in accordance with </w:t>
      </w:r>
      <w:r w:rsidRPr="00432B5D">
        <w:t>milestones</w:t>
      </w:r>
      <w:r>
        <w:t xml:space="preserve"> </w:t>
      </w:r>
      <w:r w:rsidRPr="00432B5D">
        <w:t xml:space="preserve">set out in </w:t>
      </w:r>
      <w:r>
        <w:t xml:space="preserve">Part </w:t>
      </w:r>
      <w:r w:rsidR="001A5D90">
        <w:t>4 of the Project Agreement</w:t>
      </w:r>
      <w:r w:rsidRPr="00432B5D">
        <w:t>.  All payments are exclusive of GST.</w:t>
      </w:r>
    </w:p>
    <w:p w14:paraId="13F7CEC9" w14:textId="77777777" w:rsidR="00D77FFC" w:rsidRDefault="00AC1A8D" w:rsidP="00AC1A8D">
      <w:pPr>
        <w:pStyle w:val="Normalnumbered"/>
      </w:pPr>
      <w:r w:rsidRPr="00AC1A8D">
        <w:t>The estimated overall budget (exclusive of GST) is set out in Table 2.  The budget is indicative only and Tasmania retains the flexibility to move funds between components and/or years, as long as outcomes are not affected.  The Commonwealth contribution can only be moved between years with the agreement of the Commonwealth.</w:t>
      </w:r>
      <w:r>
        <w:t xml:space="preserve"> </w:t>
      </w:r>
    </w:p>
    <w:p w14:paraId="24C4C32C" w14:textId="1401F834" w:rsidR="00642C50" w:rsidRDefault="00642C50" w:rsidP="00D77FFC">
      <w:pPr>
        <w:pStyle w:val="Normalnumbered"/>
        <w:numPr>
          <w:ilvl w:val="0"/>
          <w:numId w:val="0"/>
        </w:numPr>
        <w:ind w:left="567"/>
      </w:pPr>
    </w:p>
    <w:p w14:paraId="2B8033C5" w14:textId="77777777" w:rsidR="00D77FFC" w:rsidRPr="00D9172D" w:rsidRDefault="00D77FFC" w:rsidP="00D77FFC">
      <w:pPr>
        <w:pStyle w:val="Normalnumbered"/>
        <w:numPr>
          <w:ilvl w:val="0"/>
          <w:numId w:val="0"/>
        </w:numPr>
        <w:rPr>
          <w:b/>
          <w:i/>
        </w:rPr>
      </w:pPr>
      <w:r w:rsidRPr="00D9172D">
        <w:rPr>
          <w:b/>
        </w:rPr>
        <w:t xml:space="preserve">Table 2: Estimated financial contributions </w:t>
      </w:r>
    </w:p>
    <w:tbl>
      <w:tblPr>
        <w:tblW w:w="0" w:type="auto"/>
        <w:tblLook w:val="01E0" w:firstRow="1" w:lastRow="1" w:firstColumn="1" w:lastColumn="1" w:noHBand="0" w:noVBand="0"/>
      </w:tblPr>
      <w:tblGrid>
        <w:gridCol w:w="4359"/>
        <w:gridCol w:w="926"/>
        <w:gridCol w:w="928"/>
        <w:gridCol w:w="930"/>
        <w:gridCol w:w="933"/>
        <w:gridCol w:w="950"/>
      </w:tblGrid>
      <w:tr w:rsidR="00D77FFC" w:rsidRPr="00D9172D" w14:paraId="523A7452" w14:textId="77777777" w:rsidTr="00BB0FDD">
        <w:trPr>
          <w:cantSplit/>
        </w:trPr>
        <w:tc>
          <w:tcPr>
            <w:tcW w:w="5008" w:type="dxa"/>
            <w:tcBorders>
              <w:top w:val="single" w:sz="4" w:space="0" w:color="000080"/>
            </w:tcBorders>
          </w:tcPr>
          <w:p w14:paraId="704EDCAA" w14:textId="77777777" w:rsidR="00D77FFC" w:rsidRPr="00D9172D" w:rsidRDefault="00D77FFC" w:rsidP="00BB0FDD">
            <w:pPr>
              <w:keepNext/>
              <w:keepLines/>
              <w:spacing w:before="40" w:after="40"/>
              <w:rPr>
                <w:b/>
              </w:rPr>
            </w:pPr>
            <w:r w:rsidRPr="00D9172D">
              <w:rPr>
                <w:b/>
              </w:rPr>
              <w:t>($ million)</w:t>
            </w:r>
          </w:p>
        </w:tc>
        <w:tc>
          <w:tcPr>
            <w:tcW w:w="969" w:type="dxa"/>
            <w:tcBorders>
              <w:top w:val="single" w:sz="4" w:space="0" w:color="000080"/>
              <w:bottom w:val="single" w:sz="4" w:space="0" w:color="000080"/>
            </w:tcBorders>
          </w:tcPr>
          <w:p w14:paraId="1C744645" w14:textId="77777777" w:rsidR="00D77FFC" w:rsidRPr="00D9172D" w:rsidRDefault="00D77FFC" w:rsidP="00BB0FDD">
            <w:pPr>
              <w:keepNext/>
              <w:keepLines/>
              <w:spacing w:before="40" w:after="40"/>
              <w:jc w:val="right"/>
            </w:pPr>
            <w:r w:rsidRPr="00D9172D">
              <w:t>2019-20</w:t>
            </w:r>
          </w:p>
        </w:tc>
        <w:tc>
          <w:tcPr>
            <w:tcW w:w="969" w:type="dxa"/>
            <w:tcBorders>
              <w:top w:val="single" w:sz="4" w:space="0" w:color="000080"/>
              <w:bottom w:val="single" w:sz="4" w:space="0" w:color="000080"/>
            </w:tcBorders>
          </w:tcPr>
          <w:p w14:paraId="33B876BF" w14:textId="77777777" w:rsidR="00D77FFC" w:rsidRPr="00D9172D" w:rsidRDefault="00D77FFC" w:rsidP="00BB0FDD">
            <w:pPr>
              <w:keepNext/>
              <w:keepLines/>
              <w:spacing w:before="40" w:after="40"/>
              <w:jc w:val="right"/>
            </w:pPr>
            <w:r w:rsidRPr="00D9172D">
              <w:t>2020-21</w:t>
            </w:r>
          </w:p>
        </w:tc>
        <w:tc>
          <w:tcPr>
            <w:tcW w:w="969" w:type="dxa"/>
            <w:tcBorders>
              <w:top w:val="single" w:sz="4" w:space="0" w:color="000080"/>
              <w:bottom w:val="single" w:sz="4" w:space="0" w:color="000080"/>
            </w:tcBorders>
          </w:tcPr>
          <w:p w14:paraId="46B04146" w14:textId="77777777" w:rsidR="00D77FFC" w:rsidRPr="00D9172D" w:rsidRDefault="00D77FFC" w:rsidP="00BB0FDD">
            <w:pPr>
              <w:keepNext/>
              <w:keepLines/>
              <w:spacing w:before="40" w:after="40"/>
              <w:jc w:val="right"/>
            </w:pPr>
            <w:r>
              <w:t>2021-22</w:t>
            </w:r>
          </w:p>
        </w:tc>
        <w:tc>
          <w:tcPr>
            <w:tcW w:w="969" w:type="dxa"/>
            <w:tcBorders>
              <w:top w:val="single" w:sz="4" w:space="0" w:color="000080"/>
              <w:bottom w:val="single" w:sz="4" w:space="0" w:color="000080"/>
            </w:tcBorders>
          </w:tcPr>
          <w:p w14:paraId="72C4E3A2" w14:textId="77777777" w:rsidR="00D77FFC" w:rsidRPr="00D9172D" w:rsidRDefault="00D77FFC" w:rsidP="00BB0FDD">
            <w:pPr>
              <w:keepNext/>
              <w:keepLines/>
              <w:spacing w:before="40" w:after="40"/>
              <w:jc w:val="right"/>
            </w:pPr>
            <w:r>
              <w:t>2022-23</w:t>
            </w:r>
          </w:p>
        </w:tc>
        <w:tc>
          <w:tcPr>
            <w:tcW w:w="970" w:type="dxa"/>
            <w:tcBorders>
              <w:top w:val="single" w:sz="4" w:space="0" w:color="000080"/>
              <w:bottom w:val="single" w:sz="4" w:space="0" w:color="000080"/>
            </w:tcBorders>
          </w:tcPr>
          <w:p w14:paraId="065DA974" w14:textId="77777777" w:rsidR="00D77FFC" w:rsidRPr="00D9172D" w:rsidRDefault="00D77FFC" w:rsidP="00BB0FDD">
            <w:pPr>
              <w:keepNext/>
              <w:keepLines/>
              <w:spacing w:before="40" w:after="40"/>
              <w:jc w:val="right"/>
            </w:pPr>
            <w:r w:rsidRPr="00D9172D">
              <w:t>Total</w:t>
            </w:r>
          </w:p>
        </w:tc>
      </w:tr>
      <w:tr w:rsidR="00D77FFC" w:rsidRPr="00D9172D" w14:paraId="206E40D4" w14:textId="77777777" w:rsidTr="00BB0FDD">
        <w:trPr>
          <w:cantSplit/>
        </w:trPr>
        <w:tc>
          <w:tcPr>
            <w:tcW w:w="5008" w:type="dxa"/>
          </w:tcPr>
          <w:p w14:paraId="278D5BEF" w14:textId="77777777" w:rsidR="00D77FFC" w:rsidRPr="00D9172D" w:rsidRDefault="00D77FFC" w:rsidP="00BB0FDD">
            <w:pPr>
              <w:keepNext/>
              <w:keepLines/>
              <w:spacing w:before="60" w:after="60"/>
              <w:rPr>
                <w:b/>
              </w:rPr>
            </w:pPr>
            <w:r w:rsidRPr="00D9172D">
              <w:rPr>
                <w:b/>
              </w:rPr>
              <w:t>Estimated total budget</w:t>
            </w:r>
          </w:p>
        </w:tc>
        <w:tc>
          <w:tcPr>
            <w:tcW w:w="969" w:type="dxa"/>
            <w:tcBorders>
              <w:top w:val="single" w:sz="4" w:space="0" w:color="000080"/>
            </w:tcBorders>
          </w:tcPr>
          <w:p w14:paraId="750CBA1C" w14:textId="77777777" w:rsidR="00D77FFC" w:rsidRPr="000B3F58" w:rsidRDefault="00D77FFC" w:rsidP="00BB0FDD">
            <w:pPr>
              <w:keepNext/>
              <w:keepLines/>
              <w:spacing w:before="40" w:after="40"/>
              <w:jc w:val="right"/>
              <w:rPr>
                <w:b/>
              </w:rPr>
            </w:pPr>
            <w:r w:rsidRPr="000B3F58">
              <w:rPr>
                <w:b/>
              </w:rPr>
              <w:t>2.251</w:t>
            </w:r>
          </w:p>
        </w:tc>
        <w:tc>
          <w:tcPr>
            <w:tcW w:w="969" w:type="dxa"/>
            <w:tcBorders>
              <w:top w:val="single" w:sz="4" w:space="0" w:color="000080"/>
            </w:tcBorders>
          </w:tcPr>
          <w:p w14:paraId="044CBFA8" w14:textId="77777777" w:rsidR="00D77FFC" w:rsidRPr="000B3F58" w:rsidRDefault="00D77FFC" w:rsidP="00BB0FDD">
            <w:pPr>
              <w:keepNext/>
              <w:keepLines/>
              <w:spacing w:before="40" w:after="40"/>
              <w:jc w:val="right"/>
              <w:rPr>
                <w:b/>
              </w:rPr>
            </w:pPr>
            <w:r w:rsidRPr="000B3F58">
              <w:rPr>
                <w:b/>
              </w:rPr>
              <w:t>4.565</w:t>
            </w:r>
          </w:p>
        </w:tc>
        <w:tc>
          <w:tcPr>
            <w:tcW w:w="969" w:type="dxa"/>
            <w:tcBorders>
              <w:top w:val="single" w:sz="4" w:space="0" w:color="000080"/>
            </w:tcBorders>
          </w:tcPr>
          <w:p w14:paraId="0F6150B3" w14:textId="77777777" w:rsidR="00D77FFC" w:rsidRPr="000B3F58" w:rsidRDefault="00D77FFC" w:rsidP="00BB0FDD">
            <w:pPr>
              <w:keepNext/>
              <w:keepLines/>
              <w:spacing w:before="40" w:after="40"/>
              <w:jc w:val="right"/>
              <w:rPr>
                <w:b/>
              </w:rPr>
            </w:pPr>
            <w:r w:rsidRPr="000B3F58">
              <w:rPr>
                <w:b/>
              </w:rPr>
              <w:t>4.629</w:t>
            </w:r>
          </w:p>
        </w:tc>
        <w:tc>
          <w:tcPr>
            <w:tcW w:w="969" w:type="dxa"/>
            <w:tcBorders>
              <w:top w:val="single" w:sz="4" w:space="0" w:color="000080"/>
            </w:tcBorders>
          </w:tcPr>
          <w:p w14:paraId="23618D24" w14:textId="77777777" w:rsidR="00D77FFC" w:rsidRPr="000B3F58" w:rsidRDefault="00D77FFC" w:rsidP="00BB0FDD">
            <w:pPr>
              <w:keepNext/>
              <w:keepLines/>
              <w:spacing w:before="40" w:after="40"/>
              <w:jc w:val="right"/>
              <w:rPr>
                <w:b/>
              </w:rPr>
            </w:pPr>
            <w:r w:rsidRPr="000B3F58">
              <w:rPr>
                <w:b/>
              </w:rPr>
              <w:t>4.698</w:t>
            </w:r>
          </w:p>
        </w:tc>
        <w:tc>
          <w:tcPr>
            <w:tcW w:w="970" w:type="dxa"/>
            <w:tcBorders>
              <w:top w:val="single" w:sz="4" w:space="0" w:color="000080"/>
            </w:tcBorders>
          </w:tcPr>
          <w:p w14:paraId="707054B3" w14:textId="77777777" w:rsidR="00D77FFC" w:rsidRPr="000B3F58" w:rsidRDefault="00D77FFC" w:rsidP="00BB0FDD">
            <w:pPr>
              <w:keepNext/>
              <w:keepLines/>
              <w:spacing w:before="40" w:after="40"/>
              <w:jc w:val="right"/>
              <w:rPr>
                <w:b/>
              </w:rPr>
            </w:pPr>
            <w:r w:rsidRPr="000B3F58">
              <w:rPr>
                <w:b/>
              </w:rPr>
              <w:t>16.143</w:t>
            </w:r>
          </w:p>
        </w:tc>
      </w:tr>
      <w:tr w:rsidR="00D77FFC" w:rsidRPr="00D9172D" w14:paraId="7519923C" w14:textId="77777777" w:rsidTr="00BB0FDD">
        <w:trPr>
          <w:cantSplit/>
        </w:trPr>
        <w:tc>
          <w:tcPr>
            <w:tcW w:w="5008" w:type="dxa"/>
          </w:tcPr>
          <w:p w14:paraId="40B9CAC6" w14:textId="77777777" w:rsidR="00D77FFC" w:rsidRPr="00D9172D" w:rsidRDefault="00D77FFC" w:rsidP="00BB0FDD">
            <w:pPr>
              <w:keepNext/>
              <w:keepLines/>
              <w:spacing w:before="60" w:after="60"/>
            </w:pPr>
            <w:r w:rsidRPr="00D9172D">
              <w:t>Less estimated National Partnership Payments</w:t>
            </w:r>
          </w:p>
        </w:tc>
        <w:tc>
          <w:tcPr>
            <w:tcW w:w="969" w:type="dxa"/>
            <w:tcBorders>
              <w:bottom w:val="single" w:sz="4" w:space="0" w:color="000080"/>
            </w:tcBorders>
          </w:tcPr>
          <w:p w14:paraId="32A4EBE4" w14:textId="77777777" w:rsidR="00D77FFC" w:rsidRPr="000B3F58" w:rsidRDefault="00D77FFC" w:rsidP="00BB0FDD">
            <w:pPr>
              <w:keepNext/>
              <w:keepLines/>
              <w:spacing w:before="40" w:after="40"/>
              <w:jc w:val="right"/>
            </w:pPr>
            <w:r w:rsidRPr="000B3F58">
              <w:t>2.251</w:t>
            </w:r>
          </w:p>
        </w:tc>
        <w:tc>
          <w:tcPr>
            <w:tcW w:w="969" w:type="dxa"/>
            <w:tcBorders>
              <w:bottom w:val="single" w:sz="4" w:space="0" w:color="000080"/>
            </w:tcBorders>
          </w:tcPr>
          <w:p w14:paraId="7BFA5B1F" w14:textId="77777777" w:rsidR="00D77FFC" w:rsidRPr="000B3F58" w:rsidRDefault="00D77FFC" w:rsidP="00BB0FDD">
            <w:pPr>
              <w:keepNext/>
              <w:keepLines/>
              <w:spacing w:before="40" w:after="40"/>
              <w:jc w:val="right"/>
            </w:pPr>
            <w:r w:rsidRPr="000B3F58">
              <w:t>4.565</w:t>
            </w:r>
          </w:p>
        </w:tc>
        <w:tc>
          <w:tcPr>
            <w:tcW w:w="969" w:type="dxa"/>
            <w:tcBorders>
              <w:bottom w:val="single" w:sz="4" w:space="0" w:color="000080"/>
            </w:tcBorders>
          </w:tcPr>
          <w:p w14:paraId="4E86B789" w14:textId="77777777" w:rsidR="00D77FFC" w:rsidRPr="000B3F58" w:rsidRDefault="00D77FFC" w:rsidP="00BB0FDD">
            <w:pPr>
              <w:keepNext/>
              <w:keepLines/>
              <w:spacing w:before="40" w:after="40"/>
              <w:jc w:val="right"/>
            </w:pPr>
            <w:r w:rsidRPr="000B3F58">
              <w:t>4.629</w:t>
            </w:r>
          </w:p>
        </w:tc>
        <w:tc>
          <w:tcPr>
            <w:tcW w:w="969" w:type="dxa"/>
            <w:tcBorders>
              <w:bottom w:val="single" w:sz="4" w:space="0" w:color="000080"/>
            </w:tcBorders>
          </w:tcPr>
          <w:p w14:paraId="213BE59A" w14:textId="77777777" w:rsidR="00D77FFC" w:rsidRPr="000B3F58" w:rsidRDefault="00D77FFC" w:rsidP="00BB0FDD">
            <w:pPr>
              <w:keepNext/>
              <w:keepLines/>
              <w:spacing w:before="40" w:after="40"/>
              <w:jc w:val="right"/>
            </w:pPr>
            <w:r w:rsidRPr="000B3F58">
              <w:t>4.698</w:t>
            </w:r>
          </w:p>
        </w:tc>
        <w:tc>
          <w:tcPr>
            <w:tcW w:w="970" w:type="dxa"/>
            <w:tcBorders>
              <w:bottom w:val="single" w:sz="4" w:space="0" w:color="000080"/>
            </w:tcBorders>
          </w:tcPr>
          <w:p w14:paraId="11E40ED4" w14:textId="77777777" w:rsidR="00D77FFC" w:rsidRPr="000B3F58" w:rsidRDefault="00D77FFC" w:rsidP="00BB0FDD">
            <w:pPr>
              <w:keepNext/>
              <w:keepLines/>
              <w:spacing w:before="40" w:after="40"/>
              <w:jc w:val="right"/>
            </w:pPr>
            <w:r w:rsidRPr="000B3F58">
              <w:t>16.143</w:t>
            </w:r>
          </w:p>
        </w:tc>
      </w:tr>
      <w:tr w:rsidR="00D77FFC" w:rsidRPr="00957FA3" w14:paraId="77FEAD8A" w14:textId="77777777" w:rsidTr="00BB0FDD">
        <w:trPr>
          <w:cantSplit/>
        </w:trPr>
        <w:tc>
          <w:tcPr>
            <w:tcW w:w="5008" w:type="dxa"/>
            <w:tcBorders>
              <w:bottom w:val="single" w:sz="4" w:space="0" w:color="000080"/>
            </w:tcBorders>
          </w:tcPr>
          <w:p w14:paraId="710C02FA" w14:textId="77777777" w:rsidR="00D77FFC" w:rsidRPr="00D9172D" w:rsidRDefault="00D77FFC" w:rsidP="00BB0FDD">
            <w:pPr>
              <w:keepNext/>
              <w:keepLines/>
              <w:spacing w:before="40" w:after="40"/>
            </w:pPr>
            <w:r w:rsidRPr="00D9172D">
              <w:t>Balance of non-Commonwealth contributions</w:t>
            </w:r>
          </w:p>
        </w:tc>
        <w:tc>
          <w:tcPr>
            <w:tcW w:w="969" w:type="dxa"/>
            <w:tcBorders>
              <w:bottom w:val="single" w:sz="4" w:space="0" w:color="000080"/>
            </w:tcBorders>
          </w:tcPr>
          <w:p w14:paraId="74DB2255" w14:textId="77777777" w:rsidR="00D77FFC" w:rsidRPr="00D9172D" w:rsidRDefault="00D77FFC" w:rsidP="00BB0FDD">
            <w:pPr>
              <w:keepNext/>
              <w:keepLines/>
              <w:spacing w:before="40" w:after="40"/>
              <w:jc w:val="right"/>
            </w:pPr>
            <w:r w:rsidRPr="00D9172D">
              <w:t>0.0</w:t>
            </w:r>
          </w:p>
        </w:tc>
        <w:tc>
          <w:tcPr>
            <w:tcW w:w="969" w:type="dxa"/>
            <w:tcBorders>
              <w:bottom w:val="single" w:sz="4" w:space="0" w:color="000080"/>
            </w:tcBorders>
          </w:tcPr>
          <w:p w14:paraId="15C11E47" w14:textId="77777777" w:rsidR="00D77FFC" w:rsidRPr="00D9172D" w:rsidRDefault="00D77FFC" w:rsidP="00BB0FDD">
            <w:pPr>
              <w:keepNext/>
              <w:keepLines/>
              <w:spacing w:before="40" w:after="40"/>
              <w:jc w:val="right"/>
            </w:pPr>
            <w:r w:rsidRPr="00D9172D">
              <w:t>0.0</w:t>
            </w:r>
          </w:p>
        </w:tc>
        <w:tc>
          <w:tcPr>
            <w:tcW w:w="969" w:type="dxa"/>
            <w:tcBorders>
              <w:bottom w:val="single" w:sz="4" w:space="0" w:color="000080"/>
            </w:tcBorders>
          </w:tcPr>
          <w:p w14:paraId="2CB345F6" w14:textId="77777777" w:rsidR="00D77FFC" w:rsidRPr="00D9172D" w:rsidRDefault="00D77FFC" w:rsidP="00BB0FDD">
            <w:pPr>
              <w:keepNext/>
              <w:keepLines/>
              <w:spacing w:before="40" w:after="40"/>
              <w:jc w:val="right"/>
            </w:pPr>
            <w:r w:rsidRPr="00D9172D">
              <w:t>0.0</w:t>
            </w:r>
          </w:p>
        </w:tc>
        <w:tc>
          <w:tcPr>
            <w:tcW w:w="969" w:type="dxa"/>
            <w:tcBorders>
              <w:bottom w:val="single" w:sz="4" w:space="0" w:color="000080"/>
            </w:tcBorders>
          </w:tcPr>
          <w:p w14:paraId="748FC2BC" w14:textId="77777777" w:rsidR="00D77FFC" w:rsidRPr="00D9172D" w:rsidRDefault="00D77FFC" w:rsidP="00BB0FDD">
            <w:pPr>
              <w:keepNext/>
              <w:keepLines/>
              <w:spacing w:before="40" w:after="40"/>
              <w:jc w:val="right"/>
            </w:pPr>
            <w:r w:rsidRPr="00D9172D">
              <w:t>0.0</w:t>
            </w:r>
          </w:p>
        </w:tc>
        <w:tc>
          <w:tcPr>
            <w:tcW w:w="970" w:type="dxa"/>
            <w:tcBorders>
              <w:bottom w:val="single" w:sz="4" w:space="0" w:color="000080"/>
            </w:tcBorders>
          </w:tcPr>
          <w:p w14:paraId="4A2E945E" w14:textId="77777777" w:rsidR="00D77FFC" w:rsidRPr="00D9172D" w:rsidRDefault="00D77FFC" w:rsidP="00BB0FDD">
            <w:pPr>
              <w:keepNext/>
              <w:keepLines/>
              <w:spacing w:before="40" w:after="40"/>
              <w:jc w:val="right"/>
            </w:pPr>
            <w:r w:rsidRPr="00D9172D">
              <w:t>0.0</w:t>
            </w:r>
          </w:p>
        </w:tc>
      </w:tr>
    </w:tbl>
    <w:p w14:paraId="46CD14EC" w14:textId="77777777" w:rsidR="00D77FFC" w:rsidRPr="00D77FFC" w:rsidRDefault="00D77FFC" w:rsidP="00362272"/>
    <w:p w14:paraId="44A8761B" w14:textId="77777777" w:rsidR="00AC1A8D" w:rsidRDefault="00AC1A8D" w:rsidP="001130A7">
      <w:pPr>
        <w:pStyle w:val="Heading2"/>
        <w:rPr>
          <w:szCs w:val="29"/>
        </w:rPr>
      </w:pPr>
      <w:r>
        <w:t>Risk management</w:t>
      </w:r>
    </w:p>
    <w:p w14:paraId="0DC7BFE8" w14:textId="77777777" w:rsidR="00AC1A8D" w:rsidRPr="00CB6CA2" w:rsidRDefault="00AC1A8D" w:rsidP="00AC1A8D">
      <w:pPr>
        <w:pStyle w:val="Normalnumbered"/>
        <w:spacing w:after="240" w:line="260" w:lineRule="exact"/>
      </w:pPr>
      <w:r>
        <w:t xml:space="preserve">A risk management plan is in place.  Risks have been actively identified, entered into a risk log and categorised in terms of impact and likelihood. </w:t>
      </w:r>
    </w:p>
    <w:p w14:paraId="4319CF71" w14:textId="77777777" w:rsidR="0036688B" w:rsidRPr="00A36A37" w:rsidRDefault="00F11E19" w:rsidP="001130A7">
      <w:pPr>
        <w:pStyle w:val="Heading2"/>
      </w:pPr>
      <w:r>
        <w:t>Tasmanian</w:t>
      </w:r>
      <w:r w:rsidR="00347F6D">
        <w:t xml:space="preserve"> Context</w:t>
      </w:r>
    </w:p>
    <w:p w14:paraId="503809AD" w14:textId="77777777" w:rsidR="00170639" w:rsidRDefault="00314D9E" w:rsidP="00F64A0C">
      <w:pPr>
        <w:pStyle w:val="Normalnumbered"/>
        <w:spacing w:after="240" w:line="260" w:lineRule="exact"/>
      </w:pPr>
      <w:r>
        <w:t xml:space="preserve">In developing this </w:t>
      </w:r>
      <w:r w:rsidR="00E47C62">
        <w:t xml:space="preserve">Implementation </w:t>
      </w:r>
      <w:r w:rsidR="00593340">
        <w:t>Plan,</w:t>
      </w:r>
      <w:r>
        <w:t xml:space="preserve"> consideration has been given </w:t>
      </w:r>
      <w:r w:rsidR="005D0DE6">
        <w:t xml:space="preserve">to </w:t>
      </w:r>
      <w:r w:rsidR="00F11E19">
        <w:t>the Tasmanian</w:t>
      </w:r>
      <w:r w:rsidR="00347F6D">
        <w:t xml:space="preserve"> context.  Key factors that have influenced the proposed direction are</w:t>
      </w:r>
      <w:r w:rsidR="00F11E19">
        <w:t>:</w:t>
      </w:r>
    </w:p>
    <w:p w14:paraId="10D813B5" w14:textId="77777777" w:rsidR="00005360" w:rsidRDefault="005D0DE6" w:rsidP="009820AA">
      <w:pPr>
        <w:pStyle w:val="Normalnumbered"/>
        <w:numPr>
          <w:ilvl w:val="1"/>
          <w:numId w:val="16"/>
        </w:numPr>
        <w:tabs>
          <w:tab w:val="clear" w:pos="1440"/>
          <w:tab w:val="num" w:pos="1134"/>
        </w:tabs>
        <w:spacing w:after="120"/>
        <w:ind w:left="1134" w:hanging="567"/>
      </w:pPr>
      <w:r>
        <w:t xml:space="preserve">A </w:t>
      </w:r>
      <w:r w:rsidR="00005360">
        <w:t>number of sectors of the Tasmanian economy</w:t>
      </w:r>
      <w:r w:rsidR="00146950">
        <w:t>, including</w:t>
      </w:r>
      <w:r w:rsidR="00005360">
        <w:t xml:space="preserve"> </w:t>
      </w:r>
      <w:r w:rsidR="00146950">
        <w:t xml:space="preserve">the energy and related sectors </w:t>
      </w:r>
      <w:r w:rsidR="00005360">
        <w:t>are</w:t>
      </w:r>
      <w:r w:rsidR="00146950">
        <w:t xml:space="preserve"> experiencing labour shortages in </w:t>
      </w:r>
      <w:r w:rsidR="00005360">
        <w:t xml:space="preserve">entry, semi-skilled and professional roles. </w:t>
      </w:r>
      <w:r w:rsidR="00146950">
        <w:t xml:space="preserve">High priorities are for </w:t>
      </w:r>
      <w:r w:rsidR="00F64A0C">
        <w:t>para-professionals,</w:t>
      </w:r>
      <w:r w:rsidR="00146950">
        <w:t xml:space="preserve"> high skilled trades, site and project managers, and team leaders.</w:t>
      </w:r>
      <w:r w:rsidR="006D303A" w:rsidRPr="006D303A">
        <w:t xml:space="preserve"> </w:t>
      </w:r>
      <w:r w:rsidR="006D303A">
        <w:t xml:space="preserve">Recently completed workforce development plans with Engineers Australia and the </w:t>
      </w:r>
      <w:r w:rsidR="00E52A79">
        <w:t xml:space="preserve">Civil Contractors Federation (CCF) </w:t>
      </w:r>
      <w:r w:rsidR="006D303A">
        <w:t xml:space="preserve">have identified there are skills needs gaps applicable to the engineering profession. </w:t>
      </w:r>
    </w:p>
    <w:p w14:paraId="4C78C2C5" w14:textId="6C2B7FCE" w:rsidR="00C646A3" w:rsidRDefault="005D0DE6" w:rsidP="009820AA">
      <w:pPr>
        <w:pStyle w:val="Normalnumbered"/>
        <w:numPr>
          <w:ilvl w:val="1"/>
          <w:numId w:val="16"/>
        </w:numPr>
        <w:tabs>
          <w:tab w:val="clear" w:pos="1440"/>
          <w:tab w:val="num" w:pos="1134"/>
        </w:tabs>
        <w:spacing w:after="120"/>
        <w:ind w:left="1134" w:hanging="567"/>
      </w:pPr>
      <w:r>
        <w:t>Battery of the Nation</w:t>
      </w:r>
      <w:r w:rsidR="00AB0108">
        <w:t xml:space="preserve"> </w:t>
      </w:r>
      <w:r>
        <w:t xml:space="preserve">and other large </w:t>
      </w:r>
      <w:r w:rsidR="00AB0108">
        <w:t xml:space="preserve">renewable </w:t>
      </w:r>
      <w:r>
        <w:t xml:space="preserve">energy </w:t>
      </w:r>
      <w:r w:rsidR="00AB0108">
        <w:t xml:space="preserve">and related </w:t>
      </w:r>
      <w:r>
        <w:t>infrastructure projects</w:t>
      </w:r>
      <w:r w:rsidR="00AB0108">
        <w:t xml:space="preserve"> </w:t>
      </w:r>
      <w:r w:rsidR="00AB0108" w:rsidRPr="00FB09E5">
        <w:t xml:space="preserve">will </w:t>
      </w:r>
      <w:r w:rsidR="003B4DA4">
        <w:t xml:space="preserve">need </w:t>
      </w:r>
      <w:r w:rsidR="00AB0108" w:rsidRPr="00FB09E5">
        <w:t xml:space="preserve">a reliable pipeline of highly qualified </w:t>
      </w:r>
      <w:r w:rsidR="00AB0108" w:rsidRPr="001130A7">
        <w:t>workers</w:t>
      </w:r>
      <w:r w:rsidR="003B4DA4" w:rsidRPr="001130A7">
        <w:t xml:space="preserve"> in order to attract investment</w:t>
      </w:r>
      <w:r w:rsidR="00AB0108" w:rsidRPr="001130A7">
        <w:t xml:space="preserve">. </w:t>
      </w:r>
      <w:r w:rsidRPr="001130A7">
        <w:t>Thorough workforce development planning is n</w:t>
      </w:r>
      <w:r>
        <w:t>eeded in the sector to ensure industry and learners are incentivised</w:t>
      </w:r>
      <w:r w:rsidR="00C646A3">
        <w:t xml:space="preserve"> into qualifications </w:t>
      </w:r>
      <w:r>
        <w:t xml:space="preserve">that will have immediate </w:t>
      </w:r>
      <w:r w:rsidR="00C646A3">
        <w:t>employment opportunities</w:t>
      </w:r>
      <w:r w:rsidR="00AB0108">
        <w:t>, as well as supporting the longer-term needs of industry</w:t>
      </w:r>
      <w:r w:rsidR="00C646A3">
        <w:t>.</w:t>
      </w:r>
    </w:p>
    <w:p w14:paraId="4FD4EC5D" w14:textId="77777777" w:rsidR="00146950" w:rsidRDefault="00146950" w:rsidP="009820AA">
      <w:pPr>
        <w:pStyle w:val="Normalnumbered"/>
        <w:numPr>
          <w:ilvl w:val="1"/>
          <w:numId w:val="16"/>
        </w:numPr>
        <w:tabs>
          <w:tab w:val="clear" w:pos="1440"/>
          <w:tab w:val="num" w:pos="1134"/>
        </w:tabs>
        <w:spacing w:after="120"/>
        <w:ind w:left="1134" w:hanging="567"/>
      </w:pPr>
      <w:r>
        <w:t xml:space="preserve">The training market in Tasmania is experiencing capacity issues in delivering the training needed for the energy and related sectors. Responding to industry demand has been constrained by a gap in credible training offerings and industry-integrated models of delivery and shortfalls in providers with the necessary teaching capability. </w:t>
      </w:r>
      <w:r w:rsidR="00F64A0C">
        <w:t xml:space="preserve">Stimulating demand for training without addressing these issues is likely to be counterproductive. </w:t>
      </w:r>
    </w:p>
    <w:p w14:paraId="367C7BBC" w14:textId="77777777" w:rsidR="00005360" w:rsidRDefault="00F64A0C" w:rsidP="009820AA">
      <w:pPr>
        <w:pStyle w:val="Normalnumbered"/>
        <w:numPr>
          <w:ilvl w:val="1"/>
          <w:numId w:val="16"/>
        </w:numPr>
        <w:tabs>
          <w:tab w:val="clear" w:pos="1440"/>
          <w:tab w:val="num" w:pos="1134"/>
        </w:tabs>
        <w:spacing w:after="120"/>
        <w:ind w:left="1134" w:hanging="567"/>
      </w:pPr>
      <w:r>
        <w:lastRenderedPageBreak/>
        <w:t>The Tasmanian Government</w:t>
      </w:r>
      <w:r w:rsidR="006D303A">
        <w:t>, through Skills Tasmania,</w:t>
      </w:r>
      <w:r>
        <w:t xml:space="preserve"> have worked closely with CCF, </w:t>
      </w:r>
      <w:r w:rsidR="00E52A79">
        <w:t xml:space="preserve">Engineers Australia, </w:t>
      </w:r>
      <w:r>
        <w:t xml:space="preserve">TasNetworks and Hydro Tasmania on the </w:t>
      </w:r>
      <w:r w:rsidR="006D303A">
        <w:t>2019–</w:t>
      </w:r>
      <w:r>
        <w:t xml:space="preserve">20 program of activity. </w:t>
      </w:r>
    </w:p>
    <w:p w14:paraId="0251FDEF" w14:textId="77777777" w:rsidR="00BD10DF" w:rsidRPr="00005360" w:rsidRDefault="009820AA" w:rsidP="00F64A0C">
      <w:pPr>
        <w:pStyle w:val="Normalnumbered"/>
        <w:numPr>
          <w:ilvl w:val="1"/>
          <w:numId w:val="16"/>
        </w:numPr>
        <w:tabs>
          <w:tab w:val="clear" w:pos="1440"/>
          <w:tab w:val="num" w:pos="1134"/>
        </w:tabs>
        <w:spacing w:after="120"/>
        <w:ind w:left="1134" w:hanging="567"/>
      </w:pPr>
      <w:r>
        <w:t>S</w:t>
      </w:r>
      <w:r w:rsidR="00BC2C65">
        <w:t>ince</w:t>
      </w:r>
      <w:r w:rsidR="00C32664" w:rsidRPr="00734F4B">
        <w:t xml:space="preserve"> 2017-18, the Tasmanian Government has focused training effort and funding on apprenticeships and traineeships (largely in response to the </w:t>
      </w:r>
      <w:r w:rsidR="00B441B6">
        <w:t>National Partnership</w:t>
      </w:r>
      <w:r w:rsidR="003B4DA4">
        <w:t xml:space="preserve"> </w:t>
      </w:r>
      <w:r w:rsidR="003B4DA4" w:rsidRPr="001130A7">
        <w:t>on the Skilling Australia Fund</w:t>
      </w:r>
      <w:r w:rsidR="006902D5">
        <w:t>)</w:t>
      </w:r>
      <w:r w:rsidR="00C32664" w:rsidRPr="00734F4B">
        <w:t xml:space="preserve"> reducing capacity to support non-</w:t>
      </w:r>
      <w:r w:rsidR="00C32664" w:rsidRPr="00005360">
        <w:t>apprenticeships and traineeship qualifications.</w:t>
      </w:r>
    </w:p>
    <w:p w14:paraId="1E877CF6" w14:textId="77777777" w:rsidR="00BD10DF" w:rsidRPr="00005360" w:rsidRDefault="001D6AD2" w:rsidP="00F64A0C">
      <w:pPr>
        <w:pStyle w:val="Normalnumbered"/>
        <w:numPr>
          <w:ilvl w:val="1"/>
          <w:numId w:val="16"/>
        </w:numPr>
        <w:tabs>
          <w:tab w:val="clear" w:pos="1440"/>
          <w:tab w:val="num" w:pos="1134"/>
        </w:tabs>
        <w:spacing w:after="120"/>
        <w:ind w:left="1134" w:hanging="567"/>
        <w:rPr>
          <w:i/>
        </w:rPr>
      </w:pPr>
      <w:r w:rsidRPr="00005360">
        <w:t>C</w:t>
      </w:r>
      <w:r w:rsidR="004D102B" w:rsidRPr="00005360">
        <w:t>ertificate I and II level qualifications</w:t>
      </w:r>
      <w:r w:rsidRPr="00005360">
        <w:t xml:space="preserve"> </w:t>
      </w:r>
      <w:r w:rsidR="009820AA">
        <w:t xml:space="preserve">play a particularly important role </w:t>
      </w:r>
      <w:r w:rsidRPr="00005360">
        <w:t>in the Tasmanian training market</w:t>
      </w:r>
      <w:r w:rsidR="009820AA">
        <w:t>. F</w:t>
      </w:r>
      <w:r w:rsidR="009820AA" w:rsidRPr="00005360">
        <w:t>or those with lower education attainment and literacy and numeracy levels</w:t>
      </w:r>
      <w:r w:rsidR="009820AA">
        <w:t>, these qualifications provide a legitimate pathway i</w:t>
      </w:r>
      <w:r w:rsidRPr="00005360">
        <w:t>n</w:t>
      </w:r>
      <w:r w:rsidR="004D102B" w:rsidRPr="00005360">
        <w:t>to full qualifications in energy related areas</w:t>
      </w:r>
      <w:r w:rsidR="004D102B" w:rsidRPr="00005360">
        <w:rPr>
          <w:i/>
        </w:rPr>
        <w:t xml:space="preserve">. </w:t>
      </w:r>
    </w:p>
    <w:p w14:paraId="4ED1B99E" w14:textId="77777777" w:rsidR="00CF0A72" w:rsidRDefault="004075BB" w:rsidP="004D2DD2">
      <w:pPr>
        <w:pStyle w:val="Normalnumbered"/>
        <w:spacing w:after="240" w:line="260" w:lineRule="exact"/>
      </w:pPr>
      <w:r>
        <w:t>S</w:t>
      </w:r>
      <w:r w:rsidR="00CF0A72">
        <w:t>pecific policies and initiatives that provide context for this Implementation Plan include:</w:t>
      </w:r>
    </w:p>
    <w:p w14:paraId="5ECAC17B" w14:textId="77777777" w:rsidR="004C3EE7" w:rsidRDefault="0066163B" w:rsidP="004D2DD2">
      <w:pPr>
        <w:pStyle w:val="Normalnumbered"/>
        <w:numPr>
          <w:ilvl w:val="0"/>
          <w:numId w:val="22"/>
        </w:numPr>
        <w:spacing w:after="240" w:line="260" w:lineRule="exact"/>
        <w:ind w:left="927"/>
      </w:pPr>
      <w:r>
        <w:t xml:space="preserve">The Tasmanian Government delivery of </w:t>
      </w:r>
      <w:r w:rsidR="00B441B6">
        <w:t xml:space="preserve">Skilling Australians Fund </w:t>
      </w:r>
      <w:r>
        <w:t>project</w:t>
      </w:r>
      <w:r w:rsidR="00B441B6">
        <w:t xml:space="preserve"> and associated elements</w:t>
      </w:r>
      <w:r>
        <w:t>, Building Tasmania’s Skills (1 July 2018 to 30 June 2022)</w:t>
      </w:r>
      <w:r w:rsidRPr="0066163B">
        <w:t>, focusing on increasing the number of apprentices and trainees and employment-related training opportunities in Tasmania in areas of industry need</w:t>
      </w:r>
      <w:r w:rsidR="00150330">
        <w:t>.</w:t>
      </w:r>
      <w:r w:rsidR="00AC1A8D">
        <w:t xml:space="preserve"> Energising Tasmania is intended to complement training effort under the Skilling Australians Fund. </w:t>
      </w:r>
    </w:p>
    <w:p w14:paraId="236D78C8" w14:textId="77777777" w:rsidR="004C3EE7" w:rsidRDefault="00150330" w:rsidP="004D2DD2">
      <w:pPr>
        <w:pStyle w:val="Normalnumbered"/>
        <w:numPr>
          <w:ilvl w:val="0"/>
          <w:numId w:val="22"/>
        </w:numPr>
        <w:spacing w:after="240" w:line="260" w:lineRule="exact"/>
        <w:ind w:left="927"/>
      </w:pPr>
      <w:r>
        <w:t>The Australian and Tasmanian Governments Project Agreement for Marinus Link to progress towards the delivery of the definition and approvals phase of the Marinus Link project.</w:t>
      </w:r>
    </w:p>
    <w:p w14:paraId="39BF561E" w14:textId="77777777" w:rsidR="000B2851" w:rsidRDefault="004075BB" w:rsidP="000B2851">
      <w:pPr>
        <w:pStyle w:val="Normalnumbered"/>
        <w:numPr>
          <w:ilvl w:val="0"/>
          <w:numId w:val="22"/>
        </w:numPr>
        <w:spacing w:after="240" w:line="260" w:lineRule="exact"/>
        <w:ind w:left="927"/>
      </w:pPr>
      <w:r>
        <w:t>The Battery of the Nation initiative, investigating and developing pathways of future development opportunities for Tasmania to make a greater contribution to the National Electricity Market (NEM).</w:t>
      </w:r>
    </w:p>
    <w:p w14:paraId="7C577EFB" w14:textId="77777777" w:rsidR="004075BB" w:rsidRDefault="00515848" w:rsidP="000B2851">
      <w:pPr>
        <w:pStyle w:val="Normalnumbered"/>
        <w:numPr>
          <w:ilvl w:val="0"/>
          <w:numId w:val="22"/>
        </w:numPr>
        <w:spacing w:after="240" w:line="260" w:lineRule="exact"/>
        <w:ind w:left="927"/>
      </w:pPr>
      <w:r>
        <w:t xml:space="preserve">The Tasmanian 30-Year Infrastructure Strategy which has been prepared to assist in informing the Tasmanian Government’s infrastructure investment decisions and to ensure appropriate long term planning for Tasmania’s future. The draft Strategy builds on the existing Tasmanian Infrastructure </w:t>
      </w:r>
      <w:r w:rsidR="00642C50">
        <w:t>Pipeline, which</w:t>
      </w:r>
      <w:r>
        <w:t xml:space="preserve"> </w:t>
      </w:r>
      <w:r w:rsidRPr="00515848">
        <w:t>identifies strategic infrastructure investments planned in the State over the next ten years.</w:t>
      </w:r>
    </w:p>
    <w:p w14:paraId="43AF6B54" w14:textId="77777777" w:rsidR="00593340" w:rsidRDefault="00593340" w:rsidP="0001144A">
      <w:pPr>
        <w:sectPr w:rsidR="00593340" w:rsidSect="00132D08">
          <w:pgSz w:w="11906" w:h="16838" w:code="9"/>
          <w:pgMar w:top="851" w:right="1440" w:bottom="1021" w:left="1440" w:header="624" w:footer="624" w:gutter="0"/>
          <w:cols w:space="708"/>
          <w:docGrid w:linePitch="360"/>
        </w:sectPr>
      </w:pPr>
    </w:p>
    <w:p w14:paraId="3BB55101" w14:textId="77777777" w:rsidR="00593340" w:rsidRDefault="00593340">
      <w:pPr>
        <w:rPr>
          <w:rFonts w:cs="Arial"/>
          <w:b/>
          <w:bCs/>
          <w:iCs/>
          <w:color w:val="3D4B67"/>
          <w:sz w:val="29"/>
          <w:szCs w:val="28"/>
        </w:rPr>
      </w:pPr>
    </w:p>
    <w:p w14:paraId="35F164E3" w14:textId="77777777" w:rsidR="0036688B" w:rsidRPr="00A36A37" w:rsidRDefault="0036688B" w:rsidP="001130A7">
      <w:pPr>
        <w:pStyle w:val="Heading2"/>
      </w:pPr>
      <w:r w:rsidRPr="00A36A37">
        <w:t>Sign off</w:t>
      </w:r>
    </w:p>
    <w:p w14:paraId="08B823EC" w14:textId="77777777" w:rsidR="0036688B"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p w14:paraId="1B46C4D7" w14:textId="77777777" w:rsidR="00132D08" w:rsidRDefault="00132D08" w:rsidP="0036688B">
      <w:pPr>
        <w:spacing w:after="240" w:line="260" w:lineRule="exact"/>
        <w:jc w:val="both"/>
        <w:rPr>
          <w:color w:val="000000"/>
          <w:szCs w:val="20"/>
          <w:lang w:val="en-GB"/>
        </w:rPr>
      </w:pPr>
    </w:p>
    <w:p w14:paraId="04FA371D" w14:textId="77777777" w:rsidR="00132D08" w:rsidRDefault="00132D08" w:rsidP="0036688B">
      <w:pPr>
        <w:spacing w:after="240" w:line="260" w:lineRule="exact"/>
        <w:jc w:val="both"/>
        <w:rPr>
          <w:color w:val="000000"/>
          <w:szCs w:val="20"/>
          <w:lang w:val="en-GB"/>
        </w:rPr>
      </w:pPr>
    </w:p>
    <w:p w14:paraId="0E210032" w14:textId="77777777" w:rsidR="00132D08" w:rsidRDefault="00132D08" w:rsidP="0036688B">
      <w:pPr>
        <w:spacing w:after="240" w:line="260" w:lineRule="exact"/>
        <w:jc w:val="both"/>
        <w:rPr>
          <w:color w:val="000000"/>
          <w:szCs w:val="20"/>
          <w:lang w:val="en-GB"/>
        </w:rPr>
      </w:pPr>
    </w:p>
    <w:p w14:paraId="23113B88" w14:textId="77777777" w:rsidR="00132D08" w:rsidRPr="00B06563" w:rsidRDefault="00132D08" w:rsidP="0036688B">
      <w:pPr>
        <w:spacing w:after="240" w:line="260" w:lineRule="exact"/>
        <w:jc w:val="both"/>
        <w:rPr>
          <w:color w:val="000000"/>
          <w:szCs w:val="20"/>
          <w:lang w:val="en-GB"/>
        </w:rPr>
      </w:pP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14:paraId="7DC5DE4B" w14:textId="77777777" w:rsidTr="007A36B5">
        <w:tc>
          <w:tcPr>
            <w:tcW w:w="5070" w:type="dxa"/>
            <w:tcBorders>
              <w:top w:val="nil"/>
              <w:bottom w:val="single" w:sz="4" w:space="0" w:color="A6A6A6"/>
              <w:right w:val="nil"/>
            </w:tcBorders>
            <w:vAlign w:val="center"/>
          </w:tcPr>
          <w:p w14:paraId="6725A12D"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29A53435"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41D0AE92" w14:textId="77777777" w:rsidR="0036688B" w:rsidRPr="008A2566" w:rsidRDefault="0036688B" w:rsidP="007A36B5">
            <w:pPr>
              <w:spacing w:before="120" w:after="120" w:line="280" w:lineRule="exact"/>
            </w:pPr>
            <w:r w:rsidRPr="000A1323">
              <w:rPr>
                <w:b/>
                <w:bCs/>
                <w:color w:val="C00000"/>
              </w:rPr>
              <w:t>Date</w:t>
            </w:r>
          </w:p>
        </w:tc>
      </w:tr>
      <w:tr w:rsidR="0036688B" w:rsidRPr="008A2566" w14:paraId="01BD35CE" w14:textId="77777777" w:rsidTr="007A36B5">
        <w:tc>
          <w:tcPr>
            <w:tcW w:w="9242" w:type="dxa"/>
            <w:gridSpan w:val="3"/>
            <w:tcBorders>
              <w:top w:val="single" w:sz="4" w:space="0" w:color="A6A6A6"/>
            </w:tcBorders>
          </w:tcPr>
          <w:p w14:paraId="2AEDD97C" w14:textId="77777777" w:rsidR="0036688B" w:rsidRPr="008A2566" w:rsidRDefault="00362272" w:rsidP="00895C19">
            <w:pPr>
              <w:spacing w:after="960" w:line="280" w:lineRule="exact"/>
            </w:pPr>
            <w:r>
              <w:rPr>
                <w:b/>
                <w:bCs/>
                <w:color w:val="365F91"/>
              </w:rPr>
              <w:t xml:space="preserve">Acting </w:t>
            </w:r>
            <w:r w:rsidR="001A5D90">
              <w:rPr>
                <w:b/>
                <w:bCs/>
                <w:color w:val="365F91"/>
              </w:rPr>
              <w:t>General Manager, Skills Tasmania</w:t>
            </w:r>
          </w:p>
        </w:tc>
      </w:tr>
      <w:tr w:rsidR="0036688B" w:rsidRPr="008A2566" w14:paraId="79A4802B" w14:textId="77777777" w:rsidTr="007A36B5">
        <w:tc>
          <w:tcPr>
            <w:tcW w:w="5070" w:type="dxa"/>
            <w:tcBorders>
              <w:top w:val="nil"/>
              <w:bottom w:val="single" w:sz="4" w:space="0" w:color="A6A6A6"/>
              <w:right w:val="nil"/>
            </w:tcBorders>
            <w:vAlign w:val="center"/>
          </w:tcPr>
          <w:p w14:paraId="52C5C573" w14:textId="77777777" w:rsidR="00132D08" w:rsidRDefault="00132D08" w:rsidP="007A36B5">
            <w:pPr>
              <w:spacing w:before="120" w:after="120" w:line="280" w:lineRule="exact"/>
              <w:rPr>
                <w:b/>
                <w:bCs/>
                <w:color w:val="C00000"/>
              </w:rPr>
            </w:pPr>
          </w:p>
          <w:p w14:paraId="0834ADAA" w14:textId="77777777" w:rsidR="00132D08" w:rsidRDefault="00132D08" w:rsidP="007A36B5">
            <w:pPr>
              <w:spacing w:before="120" w:after="120" w:line="280" w:lineRule="exact"/>
              <w:rPr>
                <w:b/>
                <w:bCs/>
                <w:color w:val="C00000"/>
              </w:rPr>
            </w:pPr>
          </w:p>
          <w:p w14:paraId="67F717EA" w14:textId="77777777" w:rsidR="00132D08" w:rsidRDefault="00132D08" w:rsidP="007A36B5">
            <w:pPr>
              <w:spacing w:before="120" w:after="120" w:line="280" w:lineRule="exact"/>
              <w:rPr>
                <w:b/>
                <w:bCs/>
                <w:color w:val="C00000"/>
              </w:rPr>
            </w:pPr>
          </w:p>
          <w:p w14:paraId="0D5D5EF4" w14:textId="77777777" w:rsidR="00132D08" w:rsidRDefault="00132D08" w:rsidP="007A36B5">
            <w:pPr>
              <w:spacing w:before="120" w:after="120" w:line="280" w:lineRule="exact"/>
              <w:rPr>
                <w:b/>
                <w:bCs/>
                <w:color w:val="C00000"/>
              </w:rPr>
            </w:pPr>
          </w:p>
          <w:p w14:paraId="52105C2E" w14:textId="77777777" w:rsidR="00132D08" w:rsidRDefault="00132D08" w:rsidP="007A36B5">
            <w:pPr>
              <w:spacing w:before="120" w:after="120" w:line="280" w:lineRule="exact"/>
              <w:rPr>
                <w:b/>
                <w:bCs/>
                <w:color w:val="C00000"/>
              </w:rPr>
            </w:pPr>
          </w:p>
          <w:p w14:paraId="58AD2AA0"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064914C5"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3CAE7879" w14:textId="77777777" w:rsidR="00132D08" w:rsidRDefault="00132D08" w:rsidP="007A36B5">
            <w:pPr>
              <w:spacing w:before="120" w:after="120" w:line="280" w:lineRule="exact"/>
              <w:rPr>
                <w:b/>
                <w:bCs/>
                <w:color w:val="C00000"/>
              </w:rPr>
            </w:pPr>
          </w:p>
          <w:p w14:paraId="0C50888F" w14:textId="77777777" w:rsidR="00132D08" w:rsidRDefault="00132D08" w:rsidP="007A36B5">
            <w:pPr>
              <w:spacing w:before="120" w:after="120" w:line="280" w:lineRule="exact"/>
              <w:rPr>
                <w:b/>
                <w:bCs/>
                <w:color w:val="C00000"/>
              </w:rPr>
            </w:pPr>
          </w:p>
          <w:p w14:paraId="08939E2F" w14:textId="77777777" w:rsidR="00132D08" w:rsidRDefault="00132D08" w:rsidP="007A36B5">
            <w:pPr>
              <w:spacing w:before="120" w:after="120" w:line="280" w:lineRule="exact"/>
              <w:rPr>
                <w:b/>
                <w:bCs/>
                <w:color w:val="C00000"/>
              </w:rPr>
            </w:pPr>
          </w:p>
          <w:p w14:paraId="22282873" w14:textId="77777777" w:rsidR="0036688B" w:rsidRPr="008A2566" w:rsidRDefault="0036688B" w:rsidP="007A36B5">
            <w:pPr>
              <w:spacing w:before="120" w:after="120" w:line="280" w:lineRule="exact"/>
            </w:pPr>
            <w:r w:rsidRPr="000A1323">
              <w:rPr>
                <w:b/>
                <w:bCs/>
                <w:color w:val="C00000"/>
              </w:rPr>
              <w:t>Date</w:t>
            </w:r>
          </w:p>
        </w:tc>
      </w:tr>
      <w:tr w:rsidR="0036688B" w:rsidRPr="008A2566" w14:paraId="129D7FDF" w14:textId="77777777" w:rsidTr="007A36B5">
        <w:trPr>
          <w:trHeight w:val="822"/>
        </w:trPr>
        <w:tc>
          <w:tcPr>
            <w:tcW w:w="9242" w:type="dxa"/>
            <w:gridSpan w:val="3"/>
          </w:tcPr>
          <w:p w14:paraId="36D5DAE5" w14:textId="77777777" w:rsidR="001A5D90" w:rsidRDefault="00362272" w:rsidP="001A5D90">
            <w:pPr>
              <w:spacing w:after="120" w:line="280" w:lineRule="exact"/>
              <w:rPr>
                <w:b/>
                <w:bCs/>
                <w:color w:val="365F91"/>
              </w:rPr>
            </w:pPr>
            <w:r>
              <w:rPr>
                <w:b/>
                <w:bCs/>
                <w:color w:val="365F91"/>
              </w:rPr>
              <w:t xml:space="preserve">Acting </w:t>
            </w:r>
            <w:r w:rsidR="001A5D90">
              <w:rPr>
                <w:b/>
                <w:bCs/>
                <w:color w:val="365F91"/>
              </w:rPr>
              <w:t>First Assistant Secretary, Apprenticeships and Workforce Skills Division</w:t>
            </w:r>
          </w:p>
          <w:p w14:paraId="453B64F9" w14:textId="77777777" w:rsidR="001A5D90" w:rsidRPr="00B06563" w:rsidRDefault="001A5D90" w:rsidP="001A5D90">
            <w:pPr>
              <w:spacing w:after="960" w:line="280" w:lineRule="exact"/>
              <w:rPr>
                <w:b/>
                <w:bCs/>
                <w:color w:val="365F91"/>
              </w:rPr>
            </w:pPr>
            <w:r>
              <w:rPr>
                <w:b/>
                <w:bCs/>
                <w:color w:val="365F91"/>
              </w:rPr>
              <w:t>Department of Employment, Skills, Small and Family Business</w:t>
            </w:r>
          </w:p>
        </w:tc>
      </w:tr>
    </w:tbl>
    <w:p w14:paraId="3F3F5891" w14:textId="77777777" w:rsidR="00695DE1" w:rsidRDefault="00695DE1" w:rsidP="001130A7">
      <w:pPr>
        <w:pStyle w:val="Heading2"/>
      </w:pPr>
    </w:p>
    <w:p w14:paraId="7C35823F" w14:textId="77777777" w:rsidR="0036688B" w:rsidRDefault="0036688B" w:rsidP="00695DE1"/>
    <w:sectPr w:rsidR="0036688B" w:rsidSect="00132D08">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C7FC" w14:textId="77777777" w:rsidR="00C81286" w:rsidRDefault="00C81286" w:rsidP="00520331">
      <w:r>
        <w:separator/>
      </w:r>
    </w:p>
  </w:endnote>
  <w:endnote w:type="continuationSeparator" w:id="0">
    <w:p w14:paraId="12667343" w14:textId="77777777" w:rsidR="00C81286" w:rsidRDefault="00C81286"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9876" w14:textId="6B3143AB"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48082B">
      <w:rPr>
        <w:noProof/>
        <w:sz w:val="20"/>
        <w:szCs w:val="20"/>
      </w:rPr>
      <w:t>2</w:t>
    </w:r>
    <w:r>
      <w:rPr>
        <w:sz w:val="20"/>
        <w:szCs w:val="20"/>
      </w:rPr>
      <w:fldChar w:fldCharType="end"/>
    </w:r>
  </w:p>
  <w:p w14:paraId="5A31C400" w14:textId="77777777" w:rsidR="00E37B4C" w:rsidRDefault="00E3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D45E" w14:textId="77777777" w:rsidR="00C81286" w:rsidRDefault="00C81286" w:rsidP="00520331">
      <w:r>
        <w:separator/>
      </w:r>
    </w:p>
  </w:footnote>
  <w:footnote w:type="continuationSeparator" w:id="0">
    <w:p w14:paraId="1F93EDE4" w14:textId="77777777" w:rsidR="00C81286" w:rsidRDefault="00C81286"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B8CF" w14:textId="77777777" w:rsidR="007C2B5D" w:rsidRDefault="007C2B5D">
    <w:pPr>
      <w:pStyle w:val="Header"/>
    </w:pPr>
    <w:r>
      <w:rPr>
        <w:noProof/>
      </w:rPr>
      <mc:AlternateContent>
        <mc:Choice Requires="wps">
          <w:drawing>
            <wp:anchor distT="0" distB="0" distL="114300" distR="114300" simplePos="0" relativeHeight="251660288" behindDoc="0" locked="1" layoutInCell="0" allowOverlap="1" wp14:anchorId="5A00300E" wp14:editId="544079B4">
              <wp:simplePos x="0" y="0"/>
              <wp:positionH relativeFrom="margin">
                <wp:align>center</wp:align>
              </wp:positionH>
              <wp:positionV relativeFrom="bottomMargin">
                <wp:align>center</wp:align>
              </wp:positionV>
              <wp:extent cx="892175" cy="27305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AE8FDE" w14:textId="2B916FC9" w:rsidR="007C2B5D" w:rsidRPr="00FA05C5" w:rsidRDefault="007C2B5D" w:rsidP="00FA05C5">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00300E" id="_x0000_t202" coordsize="21600,21600" o:spt="202" path="m,l,21600r21600,l21600,xe">
              <v:stroke joinstyle="miter"/>
              <v:path gradientshapeok="t" o:connecttype="rect"/>
            </v:shapetype>
            <v:shape id="janusSEAL SC Footer" o:spid="_x0000_s1026" type="#_x0000_t202" style="position:absolute;margin-left:0;margin-top:0;width:70.25pt;height:21.5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" o:allowincell="f" filled="f" stroked="f" strokeweight=".5pt">
              <v:textbox style="mso-fit-shape-to-text:t">
                <w:txbxContent>
                  <w:p w14:paraId="58AE8FDE" w14:textId="2B916FC9" w:rsidR="007C2B5D" w:rsidRPr="00FA05C5" w:rsidRDefault="007C2B5D" w:rsidP="00FA05C5">
                    <w:pPr>
                      <w:jc w:val="center"/>
                      <w:rPr>
                        <w:rFonts w:ascii="Arial" w:hAnsi="Arial" w:cs="Arial"/>
                        <w:b/>
                        <w:color w:val="FF0000"/>
                        <w:sz w:val="2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0" allowOverlap="1" wp14:anchorId="4889C874" wp14:editId="68DBF0B7">
              <wp:simplePos x="0" y="0"/>
              <wp:positionH relativeFrom="margin">
                <wp:align>center</wp:align>
              </wp:positionH>
              <wp:positionV relativeFrom="topMargin">
                <wp:align>center</wp:align>
              </wp:positionV>
              <wp:extent cx="892175" cy="27305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309FA" w14:textId="4BB0F26C" w:rsidR="007C2B5D" w:rsidRPr="00FA05C5" w:rsidRDefault="007C2B5D" w:rsidP="00FA05C5">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89C874" id="janusSEAL SC Header" o:spid="_x0000_s1027" type="#_x0000_t202" style="position:absolute;margin-left:0;margin-top:0;width:70.25pt;height:21.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" o:allowincell="f" filled="f" stroked="f" strokeweight=".5pt">
              <v:textbox style="mso-fit-shape-to-text:t">
                <w:txbxContent>
                  <w:p w14:paraId="092309FA" w14:textId="4BB0F26C" w:rsidR="007C2B5D" w:rsidRPr="00FA05C5" w:rsidRDefault="007C2B5D" w:rsidP="00FA05C5">
                    <w:pPr>
                      <w:jc w:val="center"/>
                      <w:rPr>
                        <w:rFonts w:ascii="Arial" w:hAnsi="Arial"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0DDA20FF"/>
    <w:multiLevelType w:val="hybridMultilevel"/>
    <w:tmpl w:val="14A2F33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2F063F01"/>
    <w:multiLevelType w:val="hybridMultilevel"/>
    <w:tmpl w:val="73E46AB4"/>
    <w:lvl w:ilvl="0" w:tplc="AB509BEA">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7" w15:restartNumberingAfterBreak="0">
    <w:nsid w:val="37E16F9F"/>
    <w:multiLevelType w:val="hybridMultilevel"/>
    <w:tmpl w:val="F40C02C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3"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4"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5" w15:restartNumberingAfterBreak="0">
    <w:nsid w:val="66B0398A"/>
    <w:multiLevelType w:val="hybridMultilevel"/>
    <w:tmpl w:val="596C1018"/>
    <w:lvl w:ilvl="0" w:tplc="A76EBCC0">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7"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8" w15:restartNumberingAfterBreak="0">
    <w:nsid w:val="78854AAC"/>
    <w:multiLevelType w:val="hybridMultilevel"/>
    <w:tmpl w:val="AC7815F4"/>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3"/>
  </w:num>
  <w:num w:numId="5">
    <w:abstractNumId w:val="12"/>
  </w:num>
  <w:num w:numId="6">
    <w:abstractNumId w:val="1"/>
  </w:num>
  <w:num w:numId="7">
    <w:abstractNumId w:val="13"/>
  </w:num>
  <w:num w:numId="8">
    <w:abstractNumId w:val="8"/>
  </w:num>
  <w:num w:numId="9">
    <w:abstractNumId w:val="18"/>
  </w:num>
  <w:num w:numId="10">
    <w:abstractNumId w:val="16"/>
  </w:num>
  <w:num w:numId="11">
    <w:abstractNumId w:val="17"/>
  </w:num>
  <w:num w:numId="12">
    <w:abstractNumId w:val="19"/>
  </w:num>
  <w:num w:numId="13">
    <w:abstractNumId w:val="14"/>
  </w:num>
  <w:num w:numId="14">
    <w:abstractNumId w:val="6"/>
  </w:num>
  <w:num w:numId="15">
    <w:abstractNumId w:val="10"/>
  </w:num>
  <w:num w:numId="16">
    <w:abstractNumId w:val="15"/>
  </w:num>
  <w:num w:numId="17">
    <w:abstractNumId w:val="18"/>
  </w:num>
  <w:num w:numId="18">
    <w:abstractNumId w:val="18"/>
  </w:num>
  <w:num w:numId="19">
    <w:abstractNumId w:val="18"/>
  </w:num>
  <w:num w:numId="20">
    <w:abstractNumId w:val="4"/>
  </w:num>
  <w:num w:numId="21">
    <w:abstractNumId w:val="18"/>
  </w:num>
  <w:num w:numId="22">
    <w:abstractNumId w:val="7"/>
  </w:num>
  <w:num w:numId="23">
    <w:abstractNumId w:val="2"/>
  </w:num>
  <w:num w:numId="24">
    <w:abstractNumId w:val="18"/>
  </w:num>
  <w:num w:numId="25">
    <w:abstractNumId w:val="18"/>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0C5"/>
    <w:rsid w:val="00003A92"/>
    <w:rsid w:val="00003EAE"/>
    <w:rsid w:val="00005360"/>
    <w:rsid w:val="0001144A"/>
    <w:rsid w:val="00011DA2"/>
    <w:rsid w:val="00012AAE"/>
    <w:rsid w:val="00013A91"/>
    <w:rsid w:val="00017685"/>
    <w:rsid w:val="00020F09"/>
    <w:rsid w:val="00023C24"/>
    <w:rsid w:val="000240B5"/>
    <w:rsid w:val="00024B99"/>
    <w:rsid w:val="0002586A"/>
    <w:rsid w:val="00025F50"/>
    <w:rsid w:val="00030D2D"/>
    <w:rsid w:val="00030F67"/>
    <w:rsid w:val="00034877"/>
    <w:rsid w:val="000375F8"/>
    <w:rsid w:val="00041625"/>
    <w:rsid w:val="0004432A"/>
    <w:rsid w:val="00044E74"/>
    <w:rsid w:val="00045778"/>
    <w:rsid w:val="00045AD7"/>
    <w:rsid w:val="00047AA6"/>
    <w:rsid w:val="00047FE7"/>
    <w:rsid w:val="00054A8D"/>
    <w:rsid w:val="0005527C"/>
    <w:rsid w:val="00056C4B"/>
    <w:rsid w:val="0005716E"/>
    <w:rsid w:val="00062172"/>
    <w:rsid w:val="000758BF"/>
    <w:rsid w:val="00086B8C"/>
    <w:rsid w:val="000873E5"/>
    <w:rsid w:val="00091BA8"/>
    <w:rsid w:val="000925CD"/>
    <w:rsid w:val="00093235"/>
    <w:rsid w:val="000A1323"/>
    <w:rsid w:val="000A72D2"/>
    <w:rsid w:val="000B09BC"/>
    <w:rsid w:val="000B2851"/>
    <w:rsid w:val="000C017B"/>
    <w:rsid w:val="000C1698"/>
    <w:rsid w:val="000C29C1"/>
    <w:rsid w:val="000C36DF"/>
    <w:rsid w:val="000C6A3F"/>
    <w:rsid w:val="000D4B5B"/>
    <w:rsid w:val="000D5B7F"/>
    <w:rsid w:val="000D5C4C"/>
    <w:rsid w:val="000D7C4C"/>
    <w:rsid w:val="000E3092"/>
    <w:rsid w:val="000E6B61"/>
    <w:rsid w:val="000E78C0"/>
    <w:rsid w:val="000F0195"/>
    <w:rsid w:val="000F354C"/>
    <w:rsid w:val="000F4640"/>
    <w:rsid w:val="000F5EB9"/>
    <w:rsid w:val="000F62D6"/>
    <w:rsid w:val="00102898"/>
    <w:rsid w:val="00102DDE"/>
    <w:rsid w:val="00104FFB"/>
    <w:rsid w:val="00105402"/>
    <w:rsid w:val="00105FB1"/>
    <w:rsid w:val="0011223F"/>
    <w:rsid w:val="001130A7"/>
    <w:rsid w:val="00113524"/>
    <w:rsid w:val="0011673E"/>
    <w:rsid w:val="001168E4"/>
    <w:rsid w:val="00120218"/>
    <w:rsid w:val="0012049E"/>
    <w:rsid w:val="00120624"/>
    <w:rsid w:val="001273B5"/>
    <w:rsid w:val="00132D08"/>
    <w:rsid w:val="001331EC"/>
    <w:rsid w:val="0013448A"/>
    <w:rsid w:val="00146950"/>
    <w:rsid w:val="00146B46"/>
    <w:rsid w:val="00150330"/>
    <w:rsid w:val="00150526"/>
    <w:rsid w:val="001637AC"/>
    <w:rsid w:val="00164CEE"/>
    <w:rsid w:val="00166312"/>
    <w:rsid w:val="00170639"/>
    <w:rsid w:val="00170688"/>
    <w:rsid w:val="00170B1A"/>
    <w:rsid w:val="00171B14"/>
    <w:rsid w:val="00172229"/>
    <w:rsid w:val="001727ED"/>
    <w:rsid w:val="00172B12"/>
    <w:rsid w:val="00174BD4"/>
    <w:rsid w:val="001755D1"/>
    <w:rsid w:val="00187A15"/>
    <w:rsid w:val="00191251"/>
    <w:rsid w:val="001918B1"/>
    <w:rsid w:val="00192CDE"/>
    <w:rsid w:val="00193859"/>
    <w:rsid w:val="00195B84"/>
    <w:rsid w:val="00196C96"/>
    <w:rsid w:val="001A5D90"/>
    <w:rsid w:val="001A652E"/>
    <w:rsid w:val="001B5415"/>
    <w:rsid w:val="001B7D64"/>
    <w:rsid w:val="001C1144"/>
    <w:rsid w:val="001C56EC"/>
    <w:rsid w:val="001C6B67"/>
    <w:rsid w:val="001D0305"/>
    <w:rsid w:val="001D14B8"/>
    <w:rsid w:val="001D30A3"/>
    <w:rsid w:val="001D47EA"/>
    <w:rsid w:val="001D5134"/>
    <w:rsid w:val="001D6AD2"/>
    <w:rsid w:val="001E4E1F"/>
    <w:rsid w:val="001E67A2"/>
    <w:rsid w:val="001E74D0"/>
    <w:rsid w:val="001F45C6"/>
    <w:rsid w:val="001F5305"/>
    <w:rsid w:val="001F68F6"/>
    <w:rsid w:val="001F7A0E"/>
    <w:rsid w:val="001F7CB8"/>
    <w:rsid w:val="002010E0"/>
    <w:rsid w:val="00206671"/>
    <w:rsid w:val="00221363"/>
    <w:rsid w:val="0022431C"/>
    <w:rsid w:val="002268B0"/>
    <w:rsid w:val="00227BC0"/>
    <w:rsid w:val="002311B1"/>
    <w:rsid w:val="002330D9"/>
    <w:rsid w:val="00241B51"/>
    <w:rsid w:val="00243E8B"/>
    <w:rsid w:val="002514DE"/>
    <w:rsid w:val="00254BF5"/>
    <w:rsid w:val="0025586C"/>
    <w:rsid w:val="00256AB0"/>
    <w:rsid w:val="00257088"/>
    <w:rsid w:val="00261564"/>
    <w:rsid w:val="002616A0"/>
    <w:rsid w:val="002648E8"/>
    <w:rsid w:val="0026503A"/>
    <w:rsid w:val="002678DE"/>
    <w:rsid w:val="00267B81"/>
    <w:rsid w:val="00270D9D"/>
    <w:rsid w:val="00281AE3"/>
    <w:rsid w:val="00282641"/>
    <w:rsid w:val="00285609"/>
    <w:rsid w:val="00286FA2"/>
    <w:rsid w:val="00292CB8"/>
    <w:rsid w:val="00292F4F"/>
    <w:rsid w:val="002A0B94"/>
    <w:rsid w:val="002A53DD"/>
    <w:rsid w:val="002A7553"/>
    <w:rsid w:val="002B5BE3"/>
    <w:rsid w:val="002C39DE"/>
    <w:rsid w:val="002C5FEA"/>
    <w:rsid w:val="002D0CB9"/>
    <w:rsid w:val="002D3ACC"/>
    <w:rsid w:val="002D46C5"/>
    <w:rsid w:val="002D76C5"/>
    <w:rsid w:val="002E061E"/>
    <w:rsid w:val="002E328E"/>
    <w:rsid w:val="002E7EE8"/>
    <w:rsid w:val="002F5890"/>
    <w:rsid w:val="003020F6"/>
    <w:rsid w:val="00303751"/>
    <w:rsid w:val="00306502"/>
    <w:rsid w:val="00306791"/>
    <w:rsid w:val="00307C5E"/>
    <w:rsid w:val="00310E27"/>
    <w:rsid w:val="0031129A"/>
    <w:rsid w:val="00312179"/>
    <w:rsid w:val="00314D9E"/>
    <w:rsid w:val="003258BF"/>
    <w:rsid w:val="003259CC"/>
    <w:rsid w:val="00326AD1"/>
    <w:rsid w:val="00326B13"/>
    <w:rsid w:val="00326F37"/>
    <w:rsid w:val="00334C02"/>
    <w:rsid w:val="00334FB9"/>
    <w:rsid w:val="00336199"/>
    <w:rsid w:val="003422D5"/>
    <w:rsid w:val="00342798"/>
    <w:rsid w:val="003478BB"/>
    <w:rsid w:val="00347F6D"/>
    <w:rsid w:val="00351D14"/>
    <w:rsid w:val="003524C7"/>
    <w:rsid w:val="00357F8E"/>
    <w:rsid w:val="00362272"/>
    <w:rsid w:val="0036301F"/>
    <w:rsid w:val="0036688B"/>
    <w:rsid w:val="00367D4A"/>
    <w:rsid w:val="00376922"/>
    <w:rsid w:val="00377F3C"/>
    <w:rsid w:val="003815E5"/>
    <w:rsid w:val="003820C9"/>
    <w:rsid w:val="00384D6E"/>
    <w:rsid w:val="00391D0E"/>
    <w:rsid w:val="003944F0"/>
    <w:rsid w:val="00394698"/>
    <w:rsid w:val="003976F6"/>
    <w:rsid w:val="003A1564"/>
    <w:rsid w:val="003A1A3E"/>
    <w:rsid w:val="003A2E07"/>
    <w:rsid w:val="003A59C5"/>
    <w:rsid w:val="003B1409"/>
    <w:rsid w:val="003B149C"/>
    <w:rsid w:val="003B21D1"/>
    <w:rsid w:val="003B4DA4"/>
    <w:rsid w:val="003B6C45"/>
    <w:rsid w:val="003B7DE3"/>
    <w:rsid w:val="003C01FF"/>
    <w:rsid w:val="003C590D"/>
    <w:rsid w:val="003C6FEC"/>
    <w:rsid w:val="003C7037"/>
    <w:rsid w:val="003D0FF5"/>
    <w:rsid w:val="003E14C4"/>
    <w:rsid w:val="003E230C"/>
    <w:rsid w:val="003E2CD7"/>
    <w:rsid w:val="003E3308"/>
    <w:rsid w:val="003E59CF"/>
    <w:rsid w:val="003E6779"/>
    <w:rsid w:val="003F5357"/>
    <w:rsid w:val="00403BD6"/>
    <w:rsid w:val="004058AB"/>
    <w:rsid w:val="00406094"/>
    <w:rsid w:val="004075BB"/>
    <w:rsid w:val="00411AEC"/>
    <w:rsid w:val="00411F49"/>
    <w:rsid w:val="0041257A"/>
    <w:rsid w:val="00413980"/>
    <w:rsid w:val="00413EC6"/>
    <w:rsid w:val="00423987"/>
    <w:rsid w:val="00424699"/>
    <w:rsid w:val="00426754"/>
    <w:rsid w:val="00432B5D"/>
    <w:rsid w:val="00435169"/>
    <w:rsid w:val="00435436"/>
    <w:rsid w:val="00450CC7"/>
    <w:rsid w:val="0045119E"/>
    <w:rsid w:val="00454D37"/>
    <w:rsid w:val="004554D1"/>
    <w:rsid w:val="00455FF8"/>
    <w:rsid w:val="0045685E"/>
    <w:rsid w:val="00456FE1"/>
    <w:rsid w:val="0045732B"/>
    <w:rsid w:val="00464B1D"/>
    <w:rsid w:val="00466411"/>
    <w:rsid w:val="00466976"/>
    <w:rsid w:val="0046735E"/>
    <w:rsid w:val="00470E82"/>
    <w:rsid w:val="00473439"/>
    <w:rsid w:val="0048082B"/>
    <w:rsid w:val="00481B0B"/>
    <w:rsid w:val="004923D7"/>
    <w:rsid w:val="00497DC1"/>
    <w:rsid w:val="004A23CE"/>
    <w:rsid w:val="004A3502"/>
    <w:rsid w:val="004B1483"/>
    <w:rsid w:val="004B2FF6"/>
    <w:rsid w:val="004B4105"/>
    <w:rsid w:val="004B764C"/>
    <w:rsid w:val="004C3EE7"/>
    <w:rsid w:val="004C6399"/>
    <w:rsid w:val="004C6D69"/>
    <w:rsid w:val="004D102B"/>
    <w:rsid w:val="004D2DD2"/>
    <w:rsid w:val="004D4FD7"/>
    <w:rsid w:val="004D78CB"/>
    <w:rsid w:val="004E1366"/>
    <w:rsid w:val="004E4069"/>
    <w:rsid w:val="004E5C62"/>
    <w:rsid w:val="004F6F15"/>
    <w:rsid w:val="004F75EB"/>
    <w:rsid w:val="00500237"/>
    <w:rsid w:val="005052EB"/>
    <w:rsid w:val="00507658"/>
    <w:rsid w:val="0051547D"/>
    <w:rsid w:val="00515848"/>
    <w:rsid w:val="00515B3F"/>
    <w:rsid w:val="005160EA"/>
    <w:rsid w:val="00516681"/>
    <w:rsid w:val="00520331"/>
    <w:rsid w:val="005215AD"/>
    <w:rsid w:val="0052492E"/>
    <w:rsid w:val="00524DF0"/>
    <w:rsid w:val="005252BB"/>
    <w:rsid w:val="0052720F"/>
    <w:rsid w:val="005304E0"/>
    <w:rsid w:val="005320D9"/>
    <w:rsid w:val="00532D46"/>
    <w:rsid w:val="00534699"/>
    <w:rsid w:val="0053594B"/>
    <w:rsid w:val="00536679"/>
    <w:rsid w:val="005371C5"/>
    <w:rsid w:val="0053794F"/>
    <w:rsid w:val="00543CF2"/>
    <w:rsid w:val="005562B5"/>
    <w:rsid w:val="00557E9F"/>
    <w:rsid w:val="00564642"/>
    <w:rsid w:val="005652F8"/>
    <w:rsid w:val="005731C6"/>
    <w:rsid w:val="00576D34"/>
    <w:rsid w:val="005773CA"/>
    <w:rsid w:val="0058036E"/>
    <w:rsid w:val="00582B9D"/>
    <w:rsid w:val="00590BFA"/>
    <w:rsid w:val="00593340"/>
    <w:rsid w:val="005944CD"/>
    <w:rsid w:val="005971F4"/>
    <w:rsid w:val="005A0BC4"/>
    <w:rsid w:val="005A409C"/>
    <w:rsid w:val="005A5C86"/>
    <w:rsid w:val="005A6213"/>
    <w:rsid w:val="005A785C"/>
    <w:rsid w:val="005B43AC"/>
    <w:rsid w:val="005B6897"/>
    <w:rsid w:val="005B7422"/>
    <w:rsid w:val="005C21C8"/>
    <w:rsid w:val="005C5BE0"/>
    <w:rsid w:val="005C5F3F"/>
    <w:rsid w:val="005C7563"/>
    <w:rsid w:val="005D0DE6"/>
    <w:rsid w:val="005D34CF"/>
    <w:rsid w:val="005D354B"/>
    <w:rsid w:val="005D768B"/>
    <w:rsid w:val="005E0B1E"/>
    <w:rsid w:val="005E36CD"/>
    <w:rsid w:val="005E395B"/>
    <w:rsid w:val="006016C6"/>
    <w:rsid w:val="006051B7"/>
    <w:rsid w:val="006131E0"/>
    <w:rsid w:val="00614C99"/>
    <w:rsid w:val="00615F14"/>
    <w:rsid w:val="00623A09"/>
    <w:rsid w:val="006260DA"/>
    <w:rsid w:val="0062623F"/>
    <w:rsid w:val="00626E51"/>
    <w:rsid w:val="00633F15"/>
    <w:rsid w:val="00634EA2"/>
    <w:rsid w:val="006353DA"/>
    <w:rsid w:val="00641202"/>
    <w:rsid w:val="00642796"/>
    <w:rsid w:val="00642C50"/>
    <w:rsid w:val="00645A63"/>
    <w:rsid w:val="00645CF3"/>
    <w:rsid w:val="00646513"/>
    <w:rsid w:val="00650BE5"/>
    <w:rsid w:val="00651117"/>
    <w:rsid w:val="006519FF"/>
    <w:rsid w:val="006557F7"/>
    <w:rsid w:val="00657AC0"/>
    <w:rsid w:val="0066045D"/>
    <w:rsid w:val="0066163B"/>
    <w:rsid w:val="00664B5C"/>
    <w:rsid w:val="006663CA"/>
    <w:rsid w:val="00670C93"/>
    <w:rsid w:val="0067205D"/>
    <w:rsid w:val="00672EF8"/>
    <w:rsid w:val="006744F3"/>
    <w:rsid w:val="00674BD1"/>
    <w:rsid w:val="006835A1"/>
    <w:rsid w:val="006902D5"/>
    <w:rsid w:val="0069039D"/>
    <w:rsid w:val="006930F3"/>
    <w:rsid w:val="006932B9"/>
    <w:rsid w:val="00693514"/>
    <w:rsid w:val="00695736"/>
    <w:rsid w:val="00695DE1"/>
    <w:rsid w:val="00697B63"/>
    <w:rsid w:val="00697EFC"/>
    <w:rsid w:val="006A2577"/>
    <w:rsid w:val="006A700D"/>
    <w:rsid w:val="006B1E0D"/>
    <w:rsid w:val="006B1FEC"/>
    <w:rsid w:val="006B2276"/>
    <w:rsid w:val="006B377A"/>
    <w:rsid w:val="006B38A5"/>
    <w:rsid w:val="006B73B2"/>
    <w:rsid w:val="006C5FD6"/>
    <w:rsid w:val="006C674D"/>
    <w:rsid w:val="006D2308"/>
    <w:rsid w:val="006D2E7E"/>
    <w:rsid w:val="006D303A"/>
    <w:rsid w:val="006E26BF"/>
    <w:rsid w:val="006E2F07"/>
    <w:rsid w:val="006E3E61"/>
    <w:rsid w:val="006F39E8"/>
    <w:rsid w:val="00701076"/>
    <w:rsid w:val="00702027"/>
    <w:rsid w:val="007045EF"/>
    <w:rsid w:val="0070504A"/>
    <w:rsid w:val="007102AF"/>
    <w:rsid w:val="00710578"/>
    <w:rsid w:val="00710A58"/>
    <w:rsid w:val="00710C52"/>
    <w:rsid w:val="00711D54"/>
    <w:rsid w:val="00712CD4"/>
    <w:rsid w:val="0071515C"/>
    <w:rsid w:val="00724B5D"/>
    <w:rsid w:val="00725D61"/>
    <w:rsid w:val="00726ECC"/>
    <w:rsid w:val="00727EC4"/>
    <w:rsid w:val="00730ACE"/>
    <w:rsid w:val="007322F4"/>
    <w:rsid w:val="00734F4B"/>
    <w:rsid w:val="007374A0"/>
    <w:rsid w:val="00737A4C"/>
    <w:rsid w:val="00737BBB"/>
    <w:rsid w:val="00740B95"/>
    <w:rsid w:val="00740C7B"/>
    <w:rsid w:val="00741883"/>
    <w:rsid w:val="00741BC1"/>
    <w:rsid w:val="00742F33"/>
    <w:rsid w:val="00743A3B"/>
    <w:rsid w:val="007445C9"/>
    <w:rsid w:val="007538EC"/>
    <w:rsid w:val="00753B56"/>
    <w:rsid w:val="00756272"/>
    <w:rsid w:val="00756F0C"/>
    <w:rsid w:val="0076189D"/>
    <w:rsid w:val="00761ECE"/>
    <w:rsid w:val="00762C15"/>
    <w:rsid w:val="0076354F"/>
    <w:rsid w:val="007732AB"/>
    <w:rsid w:val="0077559C"/>
    <w:rsid w:val="00775FCE"/>
    <w:rsid w:val="0078054D"/>
    <w:rsid w:val="00781112"/>
    <w:rsid w:val="0078156F"/>
    <w:rsid w:val="00785C43"/>
    <w:rsid w:val="00790F23"/>
    <w:rsid w:val="00792303"/>
    <w:rsid w:val="00793ABA"/>
    <w:rsid w:val="00794D17"/>
    <w:rsid w:val="00794FAA"/>
    <w:rsid w:val="00795BE6"/>
    <w:rsid w:val="00795BF2"/>
    <w:rsid w:val="007A0B18"/>
    <w:rsid w:val="007A36B5"/>
    <w:rsid w:val="007A5452"/>
    <w:rsid w:val="007B0CDF"/>
    <w:rsid w:val="007B1E44"/>
    <w:rsid w:val="007B69EC"/>
    <w:rsid w:val="007B7FDC"/>
    <w:rsid w:val="007C0559"/>
    <w:rsid w:val="007C2B5D"/>
    <w:rsid w:val="007C4B0A"/>
    <w:rsid w:val="007C664E"/>
    <w:rsid w:val="007C695C"/>
    <w:rsid w:val="007D2FE0"/>
    <w:rsid w:val="007D43A7"/>
    <w:rsid w:val="007D51DA"/>
    <w:rsid w:val="007D55E2"/>
    <w:rsid w:val="007D600E"/>
    <w:rsid w:val="007E37B4"/>
    <w:rsid w:val="007E7F84"/>
    <w:rsid w:val="007F0686"/>
    <w:rsid w:val="007F231E"/>
    <w:rsid w:val="007F2D9A"/>
    <w:rsid w:val="007F43FD"/>
    <w:rsid w:val="008031E3"/>
    <w:rsid w:val="00805249"/>
    <w:rsid w:val="00811C8E"/>
    <w:rsid w:val="0081390E"/>
    <w:rsid w:val="008201C5"/>
    <w:rsid w:val="00821A01"/>
    <w:rsid w:val="00823FEC"/>
    <w:rsid w:val="00846C3D"/>
    <w:rsid w:val="008479DE"/>
    <w:rsid w:val="00851070"/>
    <w:rsid w:val="00853DC4"/>
    <w:rsid w:val="008561B9"/>
    <w:rsid w:val="00856320"/>
    <w:rsid w:val="00862E8C"/>
    <w:rsid w:val="008630BC"/>
    <w:rsid w:val="00866C07"/>
    <w:rsid w:val="00873C3D"/>
    <w:rsid w:val="00874371"/>
    <w:rsid w:val="0088070F"/>
    <w:rsid w:val="00880A5C"/>
    <w:rsid w:val="0088309A"/>
    <w:rsid w:val="00883B42"/>
    <w:rsid w:val="00884E25"/>
    <w:rsid w:val="008858EC"/>
    <w:rsid w:val="00892AB4"/>
    <w:rsid w:val="008949AC"/>
    <w:rsid w:val="00895C19"/>
    <w:rsid w:val="008A02DF"/>
    <w:rsid w:val="008A1747"/>
    <w:rsid w:val="008A1ADB"/>
    <w:rsid w:val="008A2566"/>
    <w:rsid w:val="008A3E92"/>
    <w:rsid w:val="008A7503"/>
    <w:rsid w:val="008C11FF"/>
    <w:rsid w:val="008C23FF"/>
    <w:rsid w:val="008C5240"/>
    <w:rsid w:val="008C7CDD"/>
    <w:rsid w:val="008D12CD"/>
    <w:rsid w:val="008D2EFE"/>
    <w:rsid w:val="008D36C0"/>
    <w:rsid w:val="008D51B9"/>
    <w:rsid w:val="008E28C4"/>
    <w:rsid w:val="008E5657"/>
    <w:rsid w:val="008F1F0E"/>
    <w:rsid w:val="008F5323"/>
    <w:rsid w:val="00902C70"/>
    <w:rsid w:val="00903748"/>
    <w:rsid w:val="00903874"/>
    <w:rsid w:val="00904DE4"/>
    <w:rsid w:val="00906F69"/>
    <w:rsid w:val="00912B42"/>
    <w:rsid w:val="00913044"/>
    <w:rsid w:val="0091451C"/>
    <w:rsid w:val="0091615B"/>
    <w:rsid w:val="00916F5D"/>
    <w:rsid w:val="00920FC6"/>
    <w:rsid w:val="00926E8D"/>
    <w:rsid w:val="00934F9B"/>
    <w:rsid w:val="0093628D"/>
    <w:rsid w:val="00936FD4"/>
    <w:rsid w:val="009405D2"/>
    <w:rsid w:val="00943512"/>
    <w:rsid w:val="00950AF2"/>
    <w:rsid w:val="00950DCC"/>
    <w:rsid w:val="0095265D"/>
    <w:rsid w:val="009548A0"/>
    <w:rsid w:val="009564F8"/>
    <w:rsid w:val="00956E74"/>
    <w:rsid w:val="00961C19"/>
    <w:rsid w:val="009629ED"/>
    <w:rsid w:val="009629F2"/>
    <w:rsid w:val="00967793"/>
    <w:rsid w:val="00971E73"/>
    <w:rsid w:val="00972CEA"/>
    <w:rsid w:val="00977256"/>
    <w:rsid w:val="009820AA"/>
    <w:rsid w:val="00990792"/>
    <w:rsid w:val="00991B97"/>
    <w:rsid w:val="009956D5"/>
    <w:rsid w:val="00997CA0"/>
    <w:rsid w:val="009A489E"/>
    <w:rsid w:val="009A5FF9"/>
    <w:rsid w:val="009A67F3"/>
    <w:rsid w:val="009A6926"/>
    <w:rsid w:val="009A6ADF"/>
    <w:rsid w:val="009B0F83"/>
    <w:rsid w:val="009B24BC"/>
    <w:rsid w:val="009B2905"/>
    <w:rsid w:val="009B2DE1"/>
    <w:rsid w:val="009B538E"/>
    <w:rsid w:val="009B7028"/>
    <w:rsid w:val="009C48DE"/>
    <w:rsid w:val="009C68EB"/>
    <w:rsid w:val="009E17B0"/>
    <w:rsid w:val="009E2880"/>
    <w:rsid w:val="009E2929"/>
    <w:rsid w:val="009E3220"/>
    <w:rsid w:val="009E4D9F"/>
    <w:rsid w:val="009E7480"/>
    <w:rsid w:val="009F2050"/>
    <w:rsid w:val="009F4008"/>
    <w:rsid w:val="009F4238"/>
    <w:rsid w:val="00A00980"/>
    <w:rsid w:val="00A10877"/>
    <w:rsid w:val="00A113A9"/>
    <w:rsid w:val="00A11622"/>
    <w:rsid w:val="00A134DE"/>
    <w:rsid w:val="00A17D70"/>
    <w:rsid w:val="00A2027D"/>
    <w:rsid w:val="00A21407"/>
    <w:rsid w:val="00A21A05"/>
    <w:rsid w:val="00A22683"/>
    <w:rsid w:val="00A304B9"/>
    <w:rsid w:val="00A30520"/>
    <w:rsid w:val="00A342D3"/>
    <w:rsid w:val="00A36A37"/>
    <w:rsid w:val="00A40C62"/>
    <w:rsid w:val="00A4144A"/>
    <w:rsid w:val="00A43902"/>
    <w:rsid w:val="00A459E0"/>
    <w:rsid w:val="00A46C22"/>
    <w:rsid w:val="00A512C0"/>
    <w:rsid w:val="00A54DD4"/>
    <w:rsid w:val="00A567F0"/>
    <w:rsid w:val="00A6254F"/>
    <w:rsid w:val="00A6718F"/>
    <w:rsid w:val="00A74588"/>
    <w:rsid w:val="00A75DF2"/>
    <w:rsid w:val="00A7767B"/>
    <w:rsid w:val="00A86184"/>
    <w:rsid w:val="00A94024"/>
    <w:rsid w:val="00A940C2"/>
    <w:rsid w:val="00AA0E00"/>
    <w:rsid w:val="00AA45EF"/>
    <w:rsid w:val="00AA56FE"/>
    <w:rsid w:val="00AA64AF"/>
    <w:rsid w:val="00AB0108"/>
    <w:rsid w:val="00AB1B9F"/>
    <w:rsid w:val="00AC0B68"/>
    <w:rsid w:val="00AC1A8D"/>
    <w:rsid w:val="00AC420B"/>
    <w:rsid w:val="00AC5296"/>
    <w:rsid w:val="00AC530A"/>
    <w:rsid w:val="00AC6A39"/>
    <w:rsid w:val="00AD0639"/>
    <w:rsid w:val="00AD1264"/>
    <w:rsid w:val="00AD2E8B"/>
    <w:rsid w:val="00AD3518"/>
    <w:rsid w:val="00AD43FB"/>
    <w:rsid w:val="00AD483C"/>
    <w:rsid w:val="00AE185F"/>
    <w:rsid w:val="00AE34E6"/>
    <w:rsid w:val="00AE7D23"/>
    <w:rsid w:val="00AF2007"/>
    <w:rsid w:val="00AF2429"/>
    <w:rsid w:val="00AF6158"/>
    <w:rsid w:val="00AF6AFA"/>
    <w:rsid w:val="00AF734E"/>
    <w:rsid w:val="00B00B88"/>
    <w:rsid w:val="00B06563"/>
    <w:rsid w:val="00B07788"/>
    <w:rsid w:val="00B10C8B"/>
    <w:rsid w:val="00B147BC"/>
    <w:rsid w:val="00B16941"/>
    <w:rsid w:val="00B172DA"/>
    <w:rsid w:val="00B21E7E"/>
    <w:rsid w:val="00B24B34"/>
    <w:rsid w:val="00B261E1"/>
    <w:rsid w:val="00B2724A"/>
    <w:rsid w:val="00B276EB"/>
    <w:rsid w:val="00B314DA"/>
    <w:rsid w:val="00B31FBB"/>
    <w:rsid w:val="00B33F8E"/>
    <w:rsid w:val="00B35E65"/>
    <w:rsid w:val="00B36CBE"/>
    <w:rsid w:val="00B37AF0"/>
    <w:rsid w:val="00B37EA8"/>
    <w:rsid w:val="00B42587"/>
    <w:rsid w:val="00B441B6"/>
    <w:rsid w:val="00B46E07"/>
    <w:rsid w:val="00B5581B"/>
    <w:rsid w:val="00B55C78"/>
    <w:rsid w:val="00B64B72"/>
    <w:rsid w:val="00B65FDC"/>
    <w:rsid w:val="00B6768A"/>
    <w:rsid w:val="00B704A8"/>
    <w:rsid w:val="00B71936"/>
    <w:rsid w:val="00B81CB4"/>
    <w:rsid w:val="00B83A11"/>
    <w:rsid w:val="00B92477"/>
    <w:rsid w:val="00B934F5"/>
    <w:rsid w:val="00B960B9"/>
    <w:rsid w:val="00BA2E35"/>
    <w:rsid w:val="00BA56A2"/>
    <w:rsid w:val="00BA6105"/>
    <w:rsid w:val="00BA673D"/>
    <w:rsid w:val="00BA67A7"/>
    <w:rsid w:val="00BB0F3B"/>
    <w:rsid w:val="00BB5A3F"/>
    <w:rsid w:val="00BB5AE1"/>
    <w:rsid w:val="00BC0F74"/>
    <w:rsid w:val="00BC2754"/>
    <w:rsid w:val="00BC2C65"/>
    <w:rsid w:val="00BC3EE5"/>
    <w:rsid w:val="00BC5FA5"/>
    <w:rsid w:val="00BD1061"/>
    <w:rsid w:val="00BD10DF"/>
    <w:rsid w:val="00BD44D2"/>
    <w:rsid w:val="00BD6CB7"/>
    <w:rsid w:val="00BE1840"/>
    <w:rsid w:val="00BE19EA"/>
    <w:rsid w:val="00BE2802"/>
    <w:rsid w:val="00BE4B5C"/>
    <w:rsid w:val="00BE6FD1"/>
    <w:rsid w:val="00BE73AE"/>
    <w:rsid w:val="00BF0182"/>
    <w:rsid w:val="00BF06F4"/>
    <w:rsid w:val="00BF2253"/>
    <w:rsid w:val="00BF391F"/>
    <w:rsid w:val="00BF5863"/>
    <w:rsid w:val="00BF7C9F"/>
    <w:rsid w:val="00BF7CA1"/>
    <w:rsid w:val="00C0629B"/>
    <w:rsid w:val="00C22701"/>
    <w:rsid w:val="00C232AF"/>
    <w:rsid w:val="00C26A29"/>
    <w:rsid w:val="00C27447"/>
    <w:rsid w:val="00C274DA"/>
    <w:rsid w:val="00C31746"/>
    <w:rsid w:val="00C32664"/>
    <w:rsid w:val="00C415CE"/>
    <w:rsid w:val="00C44D75"/>
    <w:rsid w:val="00C450B4"/>
    <w:rsid w:val="00C50000"/>
    <w:rsid w:val="00C51281"/>
    <w:rsid w:val="00C523F7"/>
    <w:rsid w:val="00C5363A"/>
    <w:rsid w:val="00C60217"/>
    <w:rsid w:val="00C60963"/>
    <w:rsid w:val="00C61EB5"/>
    <w:rsid w:val="00C646A3"/>
    <w:rsid w:val="00C65B2D"/>
    <w:rsid w:val="00C7451C"/>
    <w:rsid w:val="00C75F10"/>
    <w:rsid w:val="00C81286"/>
    <w:rsid w:val="00C82C4C"/>
    <w:rsid w:val="00C84398"/>
    <w:rsid w:val="00C85701"/>
    <w:rsid w:val="00C85D70"/>
    <w:rsid w:val="00C8719D"/>
    <w:rsid w:val="00C9144D"/>
    <w:rsid w:val="00C92A30"/>
    <w:rsid w:val="00CA34B2"/>
    <w:rsid w:val="00CA466E"/>
    <w:rsid w:val="00CA4CDF"/>
    <w:rsid w:val="00CA4D0B"/>
    <w:rsid w:val="00CA4F7A"/>
    <w:rsid w:val="00CB5B74"/>
    <w:rsid w:val="00CB6CA2"/>
    <w:rsid w:val="00CC2C29"/>
    <w:rsid w:val="00CC7566"/>
    <w:rsid w:val="00CD0A20"/>
    <w:rsid w:val="00CD3DC7"/>
    <w:rsid w:val="00CD5739"/>
    <w:rsid w:val="00CE01E1"/>
    <w:rsid w:val="00CE11F9"/>
    <w:rsid w:val="00CE34D7"/>
    <w:rsid w:val="00CE5578"/>
    <w:rsid w:val="00CF0A72"/>
    <w:rsid w:val="00CF6596"/>
    <w:rsid w:val="00D027F7"/>
    <w:rsid w:val="00D03632"/>
    <w:rsid w:val="00D03F9B"/>
    <w:rsid w:val="00D136B3"/>
    <w:rsid w:val="00D179BE"/>
    <w:rsid w:val="00D21974"/>
    <w:rsid w:val="00D23AF6"/>
    <w:rsid w:val="00D24267"/>
    <w:rsid w:val="00D25B98"/>
    <w:rsid w:val="00D2629A"/>
    <w:rsid w:val="00D3241C"/>
    <w:rsid w:val="00D34C83"/>
    <w:rsid w:val="00D42064"/>
    <w:rsid w:val="00D42934"/>
    <w:rsid w:val="00D430F7"/>
    <w:rsid w:val="00D43E61"/>
    <w:rsid w:val="00D45B7E"/>
    <w:rsid w:val="00D45D49"/>
    <w:rsid w:val="00D517E6"/>
    <w:rsid w:val="00D52EC8"/>
    <w:rsid w:val="00D5437C"/>
    <w:rsid w:val="00D579C1"/>
    <w:rsid w:val="00D57B16"/>
    <w:rsid w:val="00D60677"/>
    <w:rsid w:val="00D633A7"/>
    <w:rsid w:val="00D67F9A"/>
    <w:rsid w:val="00D70214"/>
    <w:rsid w:val="00D703F6"/>
    <w:rsid w:val="00D70F2B"/>
    <w:rsid w:val="00D77C3A"/>
    <w:rsid w:val="00D77FFC"/>
    <w:rsid w:val="00D81D66"/>
    <w:rsid w:val="00D836F2"/>
    <w:rsid w:val="00D83DE1"/>
    <w:rsid w:val="00D92955"/>
    <w:rsid w:val="00D92C97"/>
    <w:rsid w:val="00DA058B"/>
    <w:rsid w:val="00DA10DC"/>
    <w:rsid w:val="00DA3B2B"/>
    <w:rsid w:val="00DA5878"/>
    <w:rsid w:val="00DA68EA"/>
    <w:rsid w:val="00DA69C4"/>
    <w:rsid w:val="00DB2669"/>
    <w:rsid w:val="00DB3377"/>
    <w:rsid w:val="00DB59F5"/>
    <w:rsid w:val="00DB5DD6"/>
    <w:rsid w:val="00DB6AE7"/>
    <w:rsid w:val="00DB7FCA"/>
    <w:rsid w:val="00DC0703"/>
    <w:rsid w:val="00DC188E"/>
    <w:rsid w:val="00DD2E0A"/>
    <w:rsid w:val="00DD68A3"/>
    <w:rsid w:val="00DE0B15"/>
    <w:rsid w:val="00DE28F3"/>
    <w:rsid w:val="00DE34B4"/>
    <w:rsid w:val="00DE39E4"/>
    <w:rsid w:val="00DE4056"/>
    <w:rsid w:val="00DE692E"/>
    <w:rsid w:val="00DE6BDB"/>
    <w:rsid w:val="00DF0CC5"/>
    <w:rsid w:val="00DF2B7E"/>
    <w:rsid w:val="00DF33A8"/>
    <w:rsid w:val="00DF351A"/>
    <w:rsid w:val="00DF41AC"/>
    <w:rsid w:val="00E00D48"/>
    <w:rsid w:val="00E10974"/>
    <w:rsid w:val="00E12F01"/>
    <w:rsid w:val="00E13456"/>
    <w:rsid w:val="00E141A1"/>
    <w:rsid w:val="00E151E6"/>
    <w:rsid w:val="00E153AF"/>
    <w:rsid w:val="00E21CB9"/>
    <w:rsid w:val="00E22229"/>
    <w:rsid w:val="00E256C9"/>
    <w:rsid w:val="00E27404"/>
    <w:rsid w:val="00E35247"/>
    <w:rsid w:val="00E37B4C"/>
    <w:rsid w:val="00E4007F"/>
    <w:rsid w:val="00E41DFF"/>
    <w:rsid w:val="00E43636"/>
    <w:rsid w:val="00E43CEF"/>
    <w:rsid w:val="00E447D2"/>
    <w:rsid w:val="00E47C62"/>
    <w:rsid w:val="00E503CB"/>
    <w:rsid w:val="00E51046"/>
    <w:rsid w:val="00E520B3"/>
    <w:rsid w:val="00E52A79"/>
    <w:rsid w:val="00E60585"/>
    <w:rsid w:val="00E61E47"/>
    <w:rsid w:val="00E61FE1"/>
    <w:rsid w:val="00E65248"/>
    <w:rsid w:val="00E66A12"/>
    <w:rsid w:val="00E73924"/>
    <w:rsid w:val="00E75BBD"/>
    <w:rsid w:val="00E766C0"/>
    <w:rsid w:val="00E76E07"/>
    <w:rsid w:val="00E77CDD"/>
    <w:rsid w:val="00E8431B"/>
    <w:rsid w:val="00E84CEE"/>
    <w:rsid w:val="00E94104"/>
    <w:rsid w:val="00EA201E"/>
    <w:rsid w:val="00EA76D3"/>
    <w:rsid w:val="00EB0830"/>
    <w:rsid w:val="00EC468B"/>
    <w:rsid w:val="00EC7B84"/>
    <w:rsid w:val="00ED76DB"/>
    <w:rsid w:val="00EE38CA"/>
    <w:rsid w:val="00EE6316"/>
    <w:rsid w:val="00EF12E8"/>
    <w:rsid w:val="00EF51A5"/>
    <w:rsid w:val="00F00003"/>
    <w:rsid w:val="00F00938"/>
    <w:rsid w:val="00F0314A"/>
    <w:rsid w:val="00F0490F"/>
    <w:rsid w:val="00F05A8B"/>
    <w:rsid w:val="00F063E4"/>
    <w:rsid w:val="00F06F33"/>
    <w:rsid w:val="00F073B0"/>
    <w:rsid w:val="00F10146"/>
    <w:rsid w:val="00F10C35"/>
    <w:rsid w:val="00F11E19"/>
    <w:rsid w:val="00F12AA8"/>
    <w:rsid w:val="00F14AB9"/>
    <w:rsid w:val="00F16280"/>
    <w:rsid w:val="00F176B6"/>
    <w:rsid w:val="00F20501"/>
    <w:rsid w:val="00F2328A"/>
    <w:rsid w:val="00F2493A"/>
    <w:rsid w:val="00F2796D"/>
    <w:rsid w:val="00F30A59"/>
    <w:rsid w:val="00F368C9"/>
    <w:rsid w:val="00F41E35"/>
    <w:rsid w:val="00F437C4"/>
    <w:rsid w:val="00F437C8"/>
    <w:rsid w:val="00F43C6E"/>
    <w:rsid w:val="00F43E64"/>
    <w:rsid w:val="00F461D5"/>
    <w:rsid w:val="00F52240"/>
    <w:rsid w:val="00F53028"/>
    <w:rsid w:val="00F627AB"/>
    <w:rsid w:val="00F6354B"/>
    <w:rsid w:val="00F64102"/>
    <w:rsid w:val="00F64A0C"/>
    <w:rsid w:val="00F654E0"/>
    <w:rsid w:val="00F73358"/>
    <w:rsid w:val="00F7570E"/>
    <w:rsid w:val="00F9039F"/>
    <w:rsid w:val="00F91C6A"/>
    <w:rsid w:val="00F939E2"/>
    <w:rsid w:val="00F95561"/>
    <w:rsid w:val="00F959D7"/>
    <w:rsid w:val="00F961DF"/>
    <w:rsid w:val="00FA05C5"/>
    <w:rsid w:val="00FA2DAE"/>
    <w:rsid w:val="00FA486F"/>
    <w:rsid w:val="00FB0F1F"/>
    <w:rsid w:val="00FB61D3"/>
    <w:rsid w:val="00FC0A11"/>
    <w:rsid w:val="00FC0C06"/>
    <w:rsid w:val="00FC248E"/>
    <w:rsid w:val="00FC3672"/>
    <w:rsid w:val="00FC4594"/>
    <w:rsid w:val="00FC55E9"/>
    <w:rsid w:val="00FD4D69"/>
    <w:rsid w:val="00FD569D"/>
    <w:rsid w:val="00FD6105"/>
    <w:rsid w:val="00FD652B"/>
    <w:rsid w:val="00FD78BF"/>
    <w:rsid w:val="00FE0271"/>
    <w:rsid w:val="00FE089D"/>
    <w:rsid w:val="00FE421E"/>
    <w:rsid w:val="00FE7F17"/>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D8770D"/>
  <w14:defaultImageDpi w14:val="0"/>
  <w15:docId w15:val="{03FAC456-1229-43EC-B907-395843F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locked="1"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1130A7"/>
    <w:pPr>
      <w:keepNext/>
      <w:keepLines/>
      <w:spacing w:before="480" w:after="12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1130A7"/>
    <w:pPr>
      <w:keepNext/>
      <w:keepLines/>
      <w:spacing w:before="200" w:after="12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30A7"/>
    <w:rPr>
      <w:rFonts w:ascii="Consolas" w:hAnsi="Consolas" w:cs="Arial"/>
      <w:bCs/>
      <w:caps/>
      <w:color w:val="3D4B67"/>
      <w:kern w:val="32"/>
      <w:sz w:val="32"/>
      <w:szCs w:val="36"/>
    </w:rPr>
  </w:style>
  <w:style w:type="character" w:customStyle="1" w:styleId="Heading2Char">
    <w:name w:val="Heading 2 Char"/>
    <w:basedOn w:val="DefaultParagraphFont"/>
    <w:link w:val="Heading2"/>
    <w:uiPriority w:val="99"/>
    <w:locked/>
    <w:rsid w:val="001130A7"/>
    <w:rPr>
      <w:rFonts w:ascii="Corbel" w:hAnsi="Corbel" w:cs="Arial"/>
      <w:b/>
      <w:bCs/>
      <w:iCs/>
      <w:color w:val="3D4B67"/>
      <w:sz w:val="29"/>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342">
      <w:bodyDiv w:val="1"/>
      <w:marLeft w:val="0"/>
      <w:marRight w:val="0"/>
      <w:marTop w:val="0"/>
      <w:marBottom w:val="0"/>
      <w:divBdr>
        <w:top w:val="none" w:sz="0" w:space="0" w:color="auto"/>
        <w:left w:val="none" w:sz="0" w:space="0" w:color="auto"/>
        <w:bottom w:val="none" w:sz="0" w:space="0" w:color="auto"/>
        <w:right w:val="none" w:sz="0" w:space="0" w:color="auto"/>
      </w:divBdr>
    </w:div>
    <w:div w:id="946887908">
      <w:bodyDiv w:val="1"/>
      <w:marLeft w:val="0"/>
      <w:marRight w:val="0"/>
      <w:marTop w:val="0"/>
      <w:marBottom w:val="0"/>
      <w:divBdr>
        <w:top w:val="none" w:sz="0" w:space="0" w:color="auto"/>
        <w:left w:val="none" w:sz="0" w:space="0" w:color="auto"/>
        <w:bottom w:val="none" w:sz="0" w:space="0" w:color="auto"/>
        <w:right w:val="none" w:sz="0" w:space="0" w:color="auto"/>
      </w:divBdr>
    </w:div>
    <w:div w:id="1494682542">
      <w:bodyDiv w:val="1"/>
      <w:marLeft w:val="0"/>
      <w:marRight w:val="0"/>
      <w:marTop w:val="0"/>
      <w:marBottom w:val="0"/>
      <w:divBdr>
        <w:top w:val="none" w:sz="0" w:space="0" w:color="auto"/>
        <w:left w:val="none" w:sz="0" w:space="0" w:color="auto"/>
        <w:bottom w:val="none" w:sz="0" w:space="0" w:color="auto"/>
        <w:right w:val="none" w:sz="0" w:space="0" w:color="auto"/>
      </w:divBdr>
    </w:div>
    <w:div w:id="1730037878">
      <w:bodyDiv w:val="1"/>
      <w:marLeft w:val="0"/>
      <w:marRight w:val="0"/>
      <w:marTop w:val="0"/>
      <w:marBottom w:val="0"/>
      <w:divBdr>
        <w:top w:val="none" w:sz="0" w:space="0" w:color="auto"/>
        <w:left w:val="none" w:sz="0" w:space="0" w:color="auto"/>
        <w:bottom w:val="none" w:sz="0" w:space="0" w:color="auto"/>
        <w:right w:val="none" w:sz="0" w:space="0" w:color="auto"/>
      </w:divBdr>
    </w:div>
    <w:div w:id="2078047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2020FG-64-70583</_dlc_DocId>
    <TaxCatchAll xmlns="0f563589-9cf9-4143-b1eb-fb0534803d38">
      <Value>2</Value>
    </TaxCatchAll>
    <_dlc_DocIdUrl xmlns="0f563589-9cf9-4143-b1eb-fb0534803d38">
      <Url>http://tweb/sites/fg/csrd/_layouts/15/DocIdRedir.aspx?ID=2020FG-64-70583</Url>
      <Description>2020FG-64-70583</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2.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3.xml><?xml version="1.0" encoding="utf-8"?>
<ds:datastoreItem xmlns:ds="http://schemas.openxmlformats.org/officeDocument/2006/customXml" ds:itemID="{EE8709D0-D2FE-4DBD-9BC8-81C8647DEDB5}">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5.xml><?xml version="1.0" encoding="utf-8"?>
<ds:datastoreItem xmlns:ds="http://schemas.openxmlformats.org/officeDocument/2006/customXml" ds:itemID="{EB518636-694E-4B2F-96AD-2AE649B3E4F7}">
  <ds:schemaRefs>
    <ds:schemaRef ds:uri="office.server.policy"/>
  </ds:schemaRefs>
</ds:datastoreItem>
</file>

<file path=customXml/itemProps6.xml><?xml version="1.0" encoding="utf-8"?>
<ds:datastoreItem xmlns:ds="http://schemas.openxmlformats.org/officeDocument/2006/customXml" ds:itemID="{7BE889AD-C62E-4EDC-8769-64C2DE2A6B8B}"/>
</file>

<file path=customXml/itemProps7.xml><?xml version="1.0" encoding="utf-8"?>
<ds:datastoreItem xmlns:ds="http://schemas.openxmlformats.org/officeDocument/2006/customXml" ds:itemID="{D1436BDB-EEF1-4F8B-B9AB-4C116543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1353</Words>
  <Characters>7986</Characters>
  <Application>Microsoft Office Word</Application>
  <DocSecurity>0</DocSecurity>
  <Lines>228</Lines>
  <Paragraphs>107</Paragraphs>
  <ScaleCrop>false</ScaleCrop>
  <HeadingPairs>
    <vt:vector size="2" baseType="variant">
      <vt:variant>
        <vt:lpstr>Title</vt:lpstr>
      </vt:variant>
      <vt:variant>
        <vt:i4>1</vt:i4>
      </vt:variant>
    </vt:vector>
  </HeadingPairs>
  <TitlesOfParts>
    <vt:vector size="1" baseType="lpstr">
      <vt:lpstr>Tasmanian Implementation Plan 2019-20</vt:lpstr>
    </vt:vector>
  </TitlesOfParts>
  <Company>Australian Government - The Treasury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Implementation Plan 2019-20</dc:title>
  <dc:creator>Council on Federal Financial Relations</dc:creator>
  <cp:keywords>[SEC=OFFICIAL]</cp:keywords>
  <cp:lastModifiedBy>Hill, Christine</cp:lastModifiedBy>
  <cp:revision>4</cp:revision>
  <cp:lastPrinted>2011-09-28T02:38:00Z</cp:lastPrinted>
  <dcterms:created xsi:type="dcterms:W3CDTF">2020-01-22T21:29:00Z</dcterms:created>
  <dcterms:modified xsi:type="dcterms:W3CDTF">2020-01-28T00:37:00Z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c2480974-1b49-419f-8422-17ee4f40baad</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{c2480974-1b49-419f-8422-17ee4f40baad}</vt:lpwstr>
  </property>
  <property fmtid="{D5CDD505-2E9C-101B-9397-08002B2CF9AE}" pid="9" name="RecordPoint_ActiveItemWebId">
    <vt:lpwstr>{a4589788-615f-4b8b-8296-7f9f6dfbab44}</vt:lpwstr>
  </property>
  <property fmtid="{D5CDD505-2E9C-101B-9397-08002B2CF9AE}" pid="10" name="RecordPoint_RecordNumberSubmitted">
    <vt:lpwstr>R0002257743</vt:lpwstr>
  </property>
  <property fmtid="{D5CDD505-2E9C-101B-9397-08002B2CF9AE}" pid="11" name="RecordPoint_SubmissionCompleted">
    <vt:lpwstr>2020-04-28T20:52:45.1300349+10:00</vt:lpwstr>
  </property>
</Properties>
</file>