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060FB48C" w14:textId="77777777">
        <w:tc>
          <w:tcPr>
            <w:tcW w:w="5000" w:type="pct"/>
            <w:gridSpan w:val="2"/>
          </w:tcPr>
          <w:p w14:paraId="5448C08D" w14:textId="77777777" w:rsidR="00814667" w:rsidRDefault="00BA4284" w:rsidP="003A2AD9">
            <w:pPr>
              <w:pStyle w:val="CoverTitleMain"/>
            </w:pPr>
            <w:bookmarkStart w:id="0" w:name="_GoBack"/>
            <w:bookmarkEnd w:id="0"/>
            <w:r>
              <w:t>Project AGreement</w:t>
            </w:r>
            <w:r w:rsidR="00292587">
              <w:t xml:space="preserve"> FOR </w:t>
            </w:r>
            <w:r w:rsidR="00400189" w:rsidRPr="00400189">
              <w:t>COMPREHENSIVE PALLIATIVE CARE IN AGED CARE</w:t>
            </w:r>
          </w:p>
        </w:tc>
      </w:tr>
      <w:tr w:rsidR="00814667" w14:paraId="0DE12146" w14:textId="77777777">
        <w:tc>
          <w:tcPr>
            <w:tcW w:w="767" w:type="pct"/>
          </w:tcPr>
          <w:p w14:paraId="238E11BD" w14:textId="77777777" w:rsidR="00814667" w:rsidRDefault="00814667">
            <w:pPr>
              <w:pStyle w:val="SingleParagraph"/>
              <w:tabs>
                <w:tab w:val="num" w:pos="1134"/>
              </w:tabs>
              <w:spacing w:after="240"/>
              <w:ind w:left="1134" w:hanging="567"/>
            </w:pPr>
          </w:p>
        </w:tc>
        <w:tc>
          <w:tcPr>
            <w:tcW w:w="4233" w:type="pct"/>
          </w:tcPr>
          <w:p w14:paraId="1C4B3FF3" w14:textId="77777777" w:rsidR="00814667" w:rsidRDefault="00814667">
            <w:pPr>
              <w:pStyle w:val="SingleParagraph"/>
              <w:tabs>
                <w:tab w:val="num" w:pos="1134"/>
              </w:tabs>
              <w:spacing w:after="240"/>
              <w:ind w:left="1134" w:hanging="567"/>
            </w:pPr>
          </w:p>
        </w:tc>
      </w:tr>
      <w:tr w:rsidR="00814667" w14:paraId="269BFF5F" w14:textId="77777777">
        <w:tc>
          <w:tcPr>
            <w:tcW w:w="767" w:type="pct"/>
          </w:tcPr>
          <w:p w14:paraId="10C645A9" w14:textId="77777777" w:rsidR="00814667" w:rsidRDefault="00814667">
            <w:pPr>
              <w:pStyle w:val="SingleParagraph"/>
              <w:tabs>
                <w:tab w:val="num" w:pos="1134"/>
              </w:tabs>
              <w:spacing w:after="240"/>
              <w:ind w:left="1134" w:hanging="567"/>
            </w:pPr>
          </w:p>
        </w:tc>
        <w:tc>
          <w:tcPr>
            <w:tcW w:w="4233" w:type="pct"/>
          </w:tcPr>
          <w:p w14:paraId="216B25F5" w14:textId="77777777" w:rsidR="00814667" w:rsidRPr="001E74D0" w:rsidRDefault="00814667">
            <w:pPr>
              <w:pStyle w:val="SingleParagraph"/>
              <w:tabs>
                <w:tab w:val="num" w:pos="1134"/>
              </w:tabs>
              <w:spacing w:after="240"/>
              <w:ind w:left="1134" w:hanging="567"/>
            </w:pPr>
          </w:p>
        </w:tc>
      </w:tr>
      <w:tr w:rsidR="00814667" w14:paraId="34C2D114" w14:textId="77777777">
        <w:tc>
          <w:tcPr>
            <w:tcW w:w="5000" w:type="pct"/>
            <w:gridSpan w:val="2"/>
          </w:tcPr>
          <w:p w14:paraId="49A0B168" w14:textId="77777777" w:rsidR="00814667" w:rsidRDefault="00814667">
            <w:pPr>
              <w:pStyle w:val="AgreementHeading"/>
              <w:tabs>
                <w:tab w:val="clear" w:pos="1134"/>
              </w:tabs>
            </w:pPr>
            <w:r>
              <w:t>An agreement between</w:t>
            </w:r>
            <w:r w:rsidR="00697494">
              <w:t>:</w:t>
            </w:r>
          </w:p>
        </w:tc>
      </w:tr>
      <w:tr w:rsidR="00814667" w14:paraId="6A19F151" w14:textId="77777777">
        <w:tc>
          <w:tcPr>
            <w:tcW w:w="767" w:type="pct"/>
          </w:tcPr>
          <w:p w14:paraId="30DBAE21" w14:textId="77777777" w:rsidR="00814667" w:rsidRPr="001E74D0" w:rsidRDefault="00814667">
            <w:pPr>
              <w:pStyle w:val="AgreementHeading"/>
              <w:tabs>
                <w:tab w:val="clear" w:pos="1134"/>
              </w:tabs>
              <w:ind w:left="522"/>
            </w:pPr>
          </w:p>
        </w:tc>
        <w:tc>
          <w:tcPr>
            <w:tcW w:w="4233" w:type="pct"/>
          </w:tcPr>
          <w:p w14:paraId="76B3F4DD"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70C5AA0F" w14:textId="77777777" w:rsidR="00814667" w:rsidRPr="001E74D0" w:rsidRDefault="00814667" w:rsidP="00697494">
            <w:pPr>
              <w:pStyle w:val="AgreementParties"/>
            </w:pPr>
            <w:r>
              <w:t xml:space="preserve">the </w:t>
            </w:r>
            <w:r>
              <w:rPr>
                <w:rStyle w:val="Bold"/>
              </w:rPr>
              <w:t>States and Territorie</w:t>
            </w:r>
            <w:r w:rsidR="00697494">
              <w:rPr>
                <w:rStyle w:val="Bold"/>
              </w:rPr>
              <w:t xml:space="preserve">s </w:t>
            </w:r>
            <w:r w:rsidR="00697494" w:rsidRPr="00DE36EB">
              <w:rPr>
                <w:rStyle w:val="Bold"/>
              </w:rPr>
              <w:t>of</w:t>
            </w:r>
          </w:p>
        </w:tc>
      </w:tr>
      <w:tr w:rsidR="00814667" w14:paraId="6697A3B7" w14:textId="77777777">
        <w:tc>
          <w:tcPr>
            <w:tcW w:w="767" w:type="pct"/>
          </w:tcPr>
          <w:p w14:paraId="004B919D" w14:textId="77777777" w:rsidR="00814667" w:rsidRDefault="00814667">
            <w:pPr>
              <w:pStyle w:val="SingleParagraph"/>
              <w:tabs>
                <w:tab w:val="num" w:pos="1134"/>
              </w:tabs>
              <w:spacing w:after="240"/>
              <w:ind w:left="1134" w:hanging="567"/>
            </w:pPr>
          </w:p>
        </w:tc>
        <w:tc>
          <w:tcPr>
            <w:tcW w:w="4233" w:type="pct"/>
            <w:tcBorders>
              <w:left w:val="nil"/>
            </w:tcBorders>
          </w:tcPr>
          <w:p w14:paraId="6E1DD7B3" w14:textId="77777777" w:rsidR="00814667" w:rsidRDefault="00814667" w:rsidP="009E093C">
            <w:pPr>
              <w:pStyle w:val="StatesList"/>
              <w:numPr>
                <w:ilvl w:val="0"/>
                <w:numId w:val="20"/>
              </w:numPr>
            </w:pPr>
            <w:r>
              <w:t>New South Wales</w:t>
            </w:r>
            <w:r w:rsidR="00697494">
              <w:t>,</w:t>
            </w:r>
          </w:p>
          <w:p w14:paraId="09E8D98E" w14:textId="77777777" w:rsidR="00814667" w:rsidRDefault="00814667" w:rsidP="009E093C">
            <w:pPr>
              <w:pStyle w:val="StatesList"/>
              <w:numPr>
                <w:ilvl w:val="0"/>
                <w:numId w:val="20"/>
              </w:numPr>
            </w:pPr>
            <w:r>
              <w:t>Victoria</w:t>
            </w:r>
            <w:r w:rsidR="00697494">
              <w:t>,</w:t>
            </w:r>
          </w:p>
          <w:p w14:paraId="44EED11C" w14:textId="77777777" w:rsidR="00814667" w:rsidRDefault="00814667" w:rsidP="009E093C">
            <w:pPr>
              <w:pStyle w:val="StatesList"/>
              <w:numPr>
                <w:ilvl w:val="0"/>
                <w:numId w:val="20"/>
              </w:numPr>
            </w:pPr>
            <w:r>
              <w:t>Queensland</w:t>
            </w:r>
            <w:r w:rsidR="00697494">
              <w:t>,</w:t>
            </w:r>
          </w:p>
          <w:p w14:paraId="18D905AD" w14:textId="77777777" w:rsidR="00814667" w:rsidRDefault="00814667" w:rsidP="009E093C">
            <w:pPr>
              <w:pStyle w:val="StatesList"/>
              <w:numPr>
                <w:ilvl w:val="0"/>
                <w:numId w:val="20"/>
              </w:numPr>
            </w:pPr>
            <w:r>
              <w:t>Western Australia</w:t>
            </w:r>
            <w:r w:rsidR="00697494">
              <w:t>,</w:t>
            </w:r>
          </w:p>
          <w:p w14:paraId="58BB83E8" w14:textId="77777777" w:rsidR="00814667" w:rsidRDefault="00814667" w:rsidP="009E093C">
            <w:pPr>
              <w:pStyle w:val="StatesList"/>
              <w:numPr>
                <w:ilvl w:val="0"/>
                <w:numId w:val="20"/>
              </w:numPr>
            </w:pPr>
            <w:r>
              <w:t>South Australia</w:t>
            </w:r>
            <w:r w:rsidR="00697494">
              <w:t>,</w:t>
            </w:r>
          </w:p>
          <w:p w14:paraId="2CC02EC1" w14:textId="77777777" w:rsidR="00814667" w:rsidRDefault="00814667" w:rsidP="009E093C">
            <w:pPr>
              <w:pStyle w:val="StatesList"/>
              <w:numPr>
                <w:ilvl w:val="0"/>
                <w:numId w:val="20"/>
              </w:numPr>
            </w:pPr>
            <w:r>
              <w:t>Tasmania</w:t>
            </w:r>
            <w:r w:rsidR="00697494">
              <w:t>,</w:t>
            </w:r>
          </w:p>
          <w:p w14:paraId="63CE62ED" w14:textId="77777777" w:rsidR="00814667" w:rsidRDefault="004B6083" w:rsidP="009E093C">
            <w:pPr>
              <w:pStyle w:val="StatesList"/>
              <w:numPr>
                <w:ilvl w:val="0"/>
                <w:numId w:val="20"/>
              </w:numPr>
            </w:pPr>
            <w:r>
              <w:t xml:space="preserve">the </w:t>
            </w:r>
            <w:r w:rsidR="00814667">
              <w:t>Australian Capital Territory</w:t>
            </w:r>
            <w:r w:rsidR="00697494">
              <w:t xml:space="preserve">, </w:t>
            </w:r>
            <w:r w:rsidR="00726DB5">
              <w:t>and</w:t>
            </w:r>
          </w:p>
          <w:p w14:paraId="7FB5FC81" w14:textId="77777777" w:rsidR="00814667" w:rsidRDefault="004B6083" w:rsidP="009E093C">
            <w:pPr>
              <w:pStyle w:val="StatesList"/>
              <w:numPr>
                <w:ilvl w:val="0"/>
                <w:numId w:val="20"/>
              </w:numPr>
            </w:pPr>
            <w:r>
              <w:t>t</w:t>
            </w:r>
            <w:r w:rsidR="00814667">
              <w:t>he Northern Territory</w:t>
            </w:r>
            <w:r w:rsidR="00726DB5">
              <w:t>.</w:t>
            </w:r>
            <w:r w:rsidR="00814667">
              <w:t xml:space="preserve"> </w:t>
            </w:r>
          </w:p>
          <w:p w14:paraId="03A4DBF9" w14:textId="77777777" w:rsidR="00EB7EDA" w:rsidRPr="00EB7EDA" w:rsidRDefault="00EB7EDA" w:rsidP="00F630EF">
            <w:pPr>
              <w:rPr>
                <w:i/>
              </w:rPr>
            </w:pPr>
          </w:p>
        </w:tc>
      </w:tr>
      <w:tr w:rsidR="00814667" w14:paraId="133F050A" w14:textId="77777777">
        <w:tc>
          <w:tcPr>
            <w:tcW w:w="5000" w:type="pct"/>
            <w:gridSpan w:val="2"/>
          </w:tcPr>
          <w:p w14:paraId="62708F86" w14:textId="77777777" w:rsidR="00814667" w:rsidRDefault="00814667">
            <w:pPr>
              <w:pStyle w:val="SingleParagraph"/>
              <w:tabs>
                <w:tab w:val="num" w:pos="1134"/>
              </w:tabs>
              <w:spacing w:after="240"/>
              <w:ind w:left="1134" w:hanging="567"/>
            </w:pPr>
          </w:p>
        </w:tc>
      </w:tr>
      <w:tr w:rsidR="00814667" w14:paraId="684DDF79" w14:textId="77777777">
        <w:tc>
          <w:tcPr>
            <w:tcW w:w="5000" w:type="pct"/>
            <w:gridSpan w:val="2"/>
          </w:tcPr>
          <w:p w14:paraId="73B0FFAF" w14:textId="6B207AC3" w:rsidR="00814667" w:rsidRDefault="00771FFF" w:rsidP="004B0735">
            <w:pPr>
              <w:pStyle w:val="Abstract"/>
            </w:pPr>
            <w:r>
              <w:t>The output of this project will be</w:t>
            </w:r>
            <w:r w:rsidR="004B0735" w:rsidRPr="004B0735">
              <w:t xml:space="preserve"> to provide new and innovative approaches </w:t>
            </w:r>
            <w:r w:rsidR="008935DD">
              <w:t xml:space="preserve">and expansions of existing models </w:t>
            </w:r>
            <w:r w:rsidR="004B0735" w:rsidRPr="004B0735">
              <w:t>to improve palliative and end-of-life care coordination</w:t>
            </w:r>
            <w:r w:rsidR="004B0735">
              <w:t xml:space="preserve"> </w:t>
            </w:r>
            <w:r w:rsidR="004B0735" w:rsidRPr="004B0735">
              <w:t>for older Australians living in residential aged care</w:t>
            </w:r>
            <w:r w:rsidR="006209A2">
              <w:t xml:space="preserve"> facilities</w:t>
            </w:r>
            <w:r w:rsidR="00C7093C">
              <w:t xml:space="preserve">.  </w:t>
            </w:r>
          </w:p>
        </w:tc>
      </w:tr>
    </w:tbl>
    <w:p w14:paraId="0E830B63"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7A6E20">
        <w:br/>
      </w:r>
      <w:r w:rsidR="00400189" w:rsidRPr="00400189">
        <w:t xml:space="preserve">Comprehensive Palliative Care </w:t>
      </w:r>
      <w:r w:rsidR="00400189">
        <w:t>i</w:t>
      </w:r>
      <w:r w:rsidR="00400189" w:rsidRPr="00400189">
        <w:t>n Aged</w:t>
      </w:r>
      <w:r w:rsidR="004F331A">
        <w:t xml:space="preserve"> Care</w:t>
      </w:r>
    </w:p>
    <w:p w14:paraId="5458940E" w14:textId="77777777" w:rsidR="004B2EF6" w:rsidRPr="004B2EF6" w:rsidRDefault="000F6270"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6F79D3" w:rsidDel="000F6270">
        <w:rPr>
          <w:i/>
        </w:rPr>
        <w:t xml:space="preserve"> </w:t>
      </w:r>
      <w:r w:rsidR="00804105">
        <w:t>overview</w:t>
      </w:r>
    </w:p>
    <w:p w14:paraId="6534B4AD" w14:textId="77777777" w:rsidR="00C960AA" w:rsidRPr="0096732C" w:rsidRDefault="00C960AA" w:rsidP="00804105">
      <w:pPr>
        <w:pStyle w:val="Normalnumbered"/>
        <w:numPr>
          <w:ilvl w:val="0"/>
          <w:numId w:val="23"/>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320437A7"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66D7BD3C" w14:textId="6791B0B1" w:rsidR="0096732C" w:rsidRDefault="00852ED8" w:rsidP="004B538E">
      <w:pPr>
        <w:pStyle w:val="Normalnumbered"/>
        <w:numPr>
          <w:ilvl w:val="0"/>
          <w:numId w:val="23"/>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t xml:space="preserve">This Agreement will </w:t>
      </w:r>
      <w:r w:rsidR="006146F2">
        <w:t>support the delivery</w:t>
      </w:r>
      <w:r w:rsidR="008C0130">
        <w:t xml:space="preserve"> of projects that </w:t>
      </w:r>
      <w:r w:rsidR="000509EF">
        <w:t>expan</w:t>
      </w:r>
      <w:r w:rsidR="008C0130">
        <w:t>d</w:t>
      </w:r>
      <w:r w:rsidR="006146F2">
        <w:t xml:space="preserve"> </w:t>
      </w:r>
      <w:r w:rsidR="004B538E" w:rsidRPr="004B538E">
        <w:t xml:space="preserve">existing models of care or new approaches to the way care is delivered or commissioned, to improve palliative and end-of-life care coordination for older Australians living in residential aged </w:t>
      </w:r>
      <w:r w:rsidR="003A2AD9">
        <w:t xml:space="preserve">care </w:t>
      </w:r>
      <w:r w:rsidR="004B538E">
        <w:t>facilities (RACF</w:t>
      </w:r>
      <w:r w:rsidR="00DC76BC">
        <w:t>s</w:t>
      </w:r>
      <w:r w:rsidR="004B538E">
        <w:t>)</w:t>
      </w:r>
      <w:r w:rsidR="00E7693B">
        <w:t>.</w:t>
      </w:r>
      <w:r w:rsidR="004B538E" w:rsidRPr="004B538E">
        <w:t xml:space="preserve"> </w:t>
      </w:r>
    </w:p>
    <w:p w14:paraId="4B99834C" w14:textId="77777777" w:rsidR="00227195" w:rsidRDefault="001D6B7F" w:rsidP="004B538E">
      <w:pPr>
        <w:pStyle w:val="Normalnumbered"/>
        <w:numPr>
          <w:ilvl w:val="0"/>
          <w:numId w:val="23"/>
        </w:numPr>
        <w:pBdr>
          <w:top w:val="single" w:sz="4" w:space="1" w:color="auto"/>
          <w:left w:val="single" w:sz="4" w:space="4" w:color="auto"/>
          <w:bottom w:val="single" w:sz="4" w:space="1" w:color="auto"/>
          <w:right w:val="single" w:sz="4" w:space="4" w:color="auto"/>
        </w:pBdr>
        <w:shd w:val="clear" w:color="auto" w:fill="DAEEF3" w:themeFill="accent5" w:themeFillTint="33"/>
      </w:pPr>
      <w:r>
        <w:t>Projects</w:t>
      </w:r>
      <w:r w:rsidR="00227195" w:rsidRPr="004B538E">
        <w:t xml:space="preserve"> </w:t>
      </w:r>
      <w:r w:rsidR="00227195">
        <w:t xml:space="preserve">will </w:t>
      </w:r>
      <w:r w:rsidR="00227195" w:rsidRPr="004B538E">
        <w:t>strengthen national efforts to improve access to quality palliative care as a key component of an integrated health-aged care</w:t>
      </w:r>
      <w:r w:rsidR="00227195">
        <w:t xml:space="preserve"> system.</w:t>
      </w:r>
    </w:p>
    <w:p w14:paraId="5B4ED0A0"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79A6780B" w14:textId="77777777" w:rsidR="0096732C" w:rsidRDefault="0096732C" w:rsidP="00804105">
      <w:pPr>
        <w:pStyle w:val="Normalnumbered"/>
        <w:numPr>
          <w:ilvl w:val="0"/>
          <w:numId w:val="2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The </w:t>
      </w:r>
      <w:r w:rsidR="00DC76BC">
        <w:t xml:space="preserve">States and Territories (the </w:t>
      </w:r>
      <w:r w:rsidR="00DC76BC" w:rsidRPr="003012DA">
        <w:t>States)</w:t>
      </w:r>
      <w:r w:rsidR="00DC76BC">
        <w:t xml:space="preserve"> </w:t>
      </w:r>
      <w:r>
        <w:t xml:space="preserve">will report annually against the agreed milestones during the operation of this Agreement, as set out in Part 4 – Project Milestones, Reporting and Payments. </w:t>
      </w:r>
    </w:p>
    <w:p w14:paraId="025829BF"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0B463F82" w14:textId="77777777" w:rsidR="0096732C" w:rsidRPr="0096732C" w:rsidRDefault="0096732C" w:rsidP="000F25D5">
      <w:pPr>
        <w:pStyle w:val="Normalnumbered"/>
        <w:numPr>
          <w:ilvl w:val="0"/>
          <w:numId w:val="2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the States </w:t>
      </w:r>
      <w:r>
        <w:t>of $</w:t>
      </w:r>
      <w:r w:rsidR="00166379">
        <w:t xml:space="preserve">54.928 </w:t>
      </w:r>
      <w:r w:rsidR="00ED7005">
        <w:t>million</w:t>
      </w:r>
      <w:r w:rsidR="00F234AB">
        <w:t>, 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20FF1DC5"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7625DA3B" w14:textId="77777777" w:rsidR="00814667" w:rsidRDefault="00814667">
      <w:pPr>
        <w:pStyle w:val="Heading1"/>
      </w:pPr>
      <w:r>
        <w:t>Part 1 — Formalities</w:t>
      </w:r>
    </w:p>
    <w:p w14:paraId="25320BEC" w14:textId="77777777" w:rsidR="00804105" w:rsidRDefault="00804105" w:rsidP="000F25D5">
      <w:pPr>
        <w:pStyle w:val="Normalnumbered"/>
        <w:numPr>
          <w:ilvl w:val="0"/>
          <w:numId w:val="23"/>
        </w:numPr>
      </w:pPr>
      <w:r>
        <w:t xml:space="preserve">This Agreement </w:t>
      </w:r>
      <w:r w:rsidR="0072458A">
        <w:t xml:space="preserve">and its bilateral schedules </w:t>
      </w:r>
      <w:r>
        <w:t>constitute the entire agreement for this project.</w:t>
      </w:r>
    </w:p>
    <w:p w14:paraId="0C002FFC" w14:textId="77777777" w:rsidR="00814667" w:rsidRDefault="00814667">
      <w:pPr>
        <w:pStyle w:val="Heading2"/>
      </w:pPr>
      <w:r>
        <w:t>Parties to this Agreement</w:t>
      </w:r>
    </w:p>
    <w:p w14:paraId="7E3D8274" w14:textId="77777777" w:rsidR="007B4B03" w:rsidRPr="007B4B03" w:rsidRDefault="00E7195E" w:rsidP="00B619AA">
      <w:pPr>
        <w:pStyle w:val="Normalnumbered"/>
        <w:numPr>
          <w:ilvl w:val="0"/>
          <w:numId w:val="23"/>
        </w:numPr>
      </w:pPr>
      <w:r w:rsidRPr="003012DA">
        <w:t xml:space="preserve">This </w:t>
      </w:r>
      <w:r w:rsidR="00E31096">
        <w:t xml:space="preserve">Agreement </w:t>
      </w:r>
      <w:r w:rsidRPr="003012DA">
        <w:t>is between the Commonwealth of Australia (the</w:t>
      </w:r>
      <w:r w:rsidR="00593821">
        <w:t xml:space="preserve"> Commonwealth</w:t>
      </w:r>
      <w:r w:rsidRPr="003012DA">
        <w:t>) and t</w:t>
      </w:r>
      <w:r w:rsidR="00593821">
        <w:t xml:space="preserve">he States and Territories (the </w:t>
      </w:r>
      <w:r w:rsidRPr="003012DA">
        <w:t xml:space="preserve">States). </w:t>
      </w:r>
    </w:p>
    <w:p w14:paraId="18C286EB" w14:textId="77777777" w:rsidR="00814667" w:rsidRDefault="00814667">
      <w:pPr>
        <w:pStyle w:val="Heading2"/>
      </w:pPr>
      <w:r>
        <w:t>Term of the Agreement</w:t>
      </w:r>
    </w:p>
    <w:p w14:paraId="79BE92B3" w14:textId="77777777" w:rsidR="002E4B66" w:rsidRDefault="00814667" w:rsidP="00884AEB">
      <w:pPr>
        <w:pStyle w:val="Normalnumbered"/>
        <w:numPr>
          <w:ilvl w:val="0"/>
          <w:numId w:val="23"/>
        </w:numPr>
      </w:pPr>
      <w:r w:rsidRPr="00DE36EB">
        <w:t>This Agreement will commence as soon as the Commonwealth and on</w:t>
      </w:r>
      <w:r w:rsidR="00C7093C" w:rsidRPr="00DE36EB">
        <w:t>e</w:t>
      </w:r>
      <w:r w:rsidRPr="00DE36EB">
        <w:t xml:space="preserve"> other Party</w:t>
      </w:r>
      <w:r w:rsidR="00726DB5" w:rsidRPr="00DE36EB">
        <w:t xml:space="preserve"> sign </w:t>
      </w:r>
      <w:r w:rsidR="0096732C">
        <w:t xml:space="preserve">it </w:t>
      </w:r>
      <w:r w:rsidRPr="00DE36EB">
        <w:t>and will expire on</w:t>
      </w:r>
      <w:r w:rsidR="00C7093C" w:rsidRPr="00DE36EB">
        <w:t xml:space="preserve"> </w:t>
      </w:r>
      <w:r w:rsidR="000F6270">
        <w:t>30 June 2024</w:t>
      </w:r>
      <w:r w:rsidR="00284884" w:rsidRPr="00DE36EB">
        <w:t xml:space="preserve"> 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1F0ED91C"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r w:rsidRPr="00784439">
        <w:rPr>
          <w:i/>
        </w:rPr>
        <w:t xml:space="preserve"> </w:t>
      </w:r>
    </w:p>
    <w:p w14:paraId="17ABD939" w14:textId="77777777" w:rsidR="00814667" w:rsidRDefault="00814667">
      <w:pPr>
        <w:pStyle w:val="Heading2"/>
      </w:pPr>
      <w:r>
        <w:t>Output</w:t>
      </w:r>
    </w:p>
    <w:p w14:paraId="36B90F36" w14:textId="77777777" w:rsidR="005E2D1C" w:rsidRDefault="00814667" w:rsidP="005E2D1C">
      <w:pPr>
        <w:pStyle w:val="Normalnumbered"/>
        <w:numPr>
          <w:ilvl w:val="0"/>
          <w:numId w:val="23"/>
        </w:numPr>
        <w:jc w:val="left"/>
      </w:pPr>
      <w:r w:rsidRPr="0085738D">
        <w:t>The o</w:t>
      </w:r>
      <w:r w:rsidR="006F79D3">
        <w:t>utput</w:t>
      </w:r>
      <w:r w:rsidR="000B0652">
        <w:t xml:space="preserve"> </w:t>
      </w:r>
      <w:r w:rsidR="006F79D3">
        <w:t>of this Agreement will be</w:t>
      </w:r>
      <w:r w:rsidR="002F4FB3">
        <w:t xml:space="preserve"> </w:t>
      </w:r>
      <w:r w:rsidR="000B0652">
        <w:t>the delivery of</w:t>
      </w:r>
      <w:r w:rsidR="005E2D1C">
        <w:t xml:space="preserve"> projects that expand </w:t>
      </w:r>
      <w:r w:rsidR="005E2D1C" w:rsidRPr="004B538E">
        <w:t xml:space="preserve">existing models of care or </w:t>
      </w:r>
      <w:r w:rsidR="00261937">
        <w:t>support new</w:t>
      </w:r>
      <w:r w:rsidR="005E2D1C" w:rsidRPr="004B538E">
        <w:t xml:space="preserve"> approaches to the way care is delivered or commissioned </w:t>
      </w:r>
      <w:r w:rsidR="005E2D1C">
        <w:t xml:space="preserve">by each </w:t>
      </w:r>
      <w:r w:rsidR="000B0652">
        <w:t>S</w:t>
      </w:r>
      <w:r w:rsidR="005E2D1C">
        <w:t xml:space="preserve">tate and </w:t>
      </w:r>
      <w:r w:rsidR="000B0652">
        <w:t>T</w:t>
      </w:r>
      <w:r w:rsidR="005E2D1C">
        <w:t>erritory</w:t>
      </w:r>
      <w:r w:rsidR="000509EF">
        <w:t xml:space="preserve"> for older Australians living in RACFs</w:t>
      </w:r>
      <w:r w:rsidR="000B0652">
        <w:t>.</w:t>
      </w:r>
    </w:p>
    <w:p w14:paraId="74896A99" w14:textId="77777777" w:rsidR="0085738D" w:rsidRDefault="005E2D1C" w:rsidP="009E093C">
      <w:pPr>
        <w:pStyle w:val="Normalnumbered"/>
        <w:numPr>
          <w:ilvl w:val="0"/>
          <w:numId w:val="23"/>
        </w:numPr>
        <w:jc w:val="left"/>
      </w:pPr>
      <w:r>
        <w:t>Projects</w:t>
      </w:r>
      <w:r w:rsidR="00E7693B">
        <w:t xml:space="preserve"> may</w:t>
      </w:r>
      <w:r>
        <w:t xml:space="preserve"> include but are not limited to: </w:t>
      </w:r>
    </w:p>
    <w:p w14:paraId="56CB6392" w14:textId="77777777" w:rsidR="00B06097" w:rsidRPr="00884AEB" w:rsidRDefault="002768C3" w:rsidP="002768C3">
      <w:pPr>
        <w:pStyle w:val="AlphaParagraph"/>
        <w:numPr>
          <w:ilvl w:val="0"/>
          <w:numId w:val="34"/>
        </w:numPr>
        <w:tabs>
          <w:tab w:val="clear" w:pos="283"/>
          <w:tab w:val="clear" w:pos="567"/>
          <w:tab w:val="clear" w:pos="1418"/>
          <w:tab w:val="clear" w:pos="1701"/>
        </w:tabs>
        <w:ind w:hanging="567"/>
      </w:pPr>
      <w:r w:rsidRPr="002768C3">
        <w:t>‘in-reach’ model</w:t>
      </w:r>
      <w:r>
        <w:t>s</w:t>
      </w:r>
      <w:r w:rsidRPr="002768C3">
        <w:t xml:space="preserve"> </w:t>
      </w:r>
      <w:r w:rsidR="00404F99">
        <w:t xml:space="preserve">that include </w:t>
      </w:r>
      <w:r w:rsidRPr="002768C3">
        <w:t>assessments to establish residents’ current and emerging palliative care needs</w:t>
      </w:r>
      <w:r w:rsidR="003A2AD9">
        <w:t>;</w:t>
      </w:r>
    </w:p>
    <w:p w14:paraId="53B7B8C5" w14:textId="558F964B" w:rsidR="002768C3" w:rsidRDefault="002768C3" w:rsidP="008D649A">
      <w:pPr>
        <w:pStyle w:val="AlphaParagraph"/>
        <w:numPr>
          <w:ilvl w:val="0"/>
          <w:numId w:val="34"/>
        </w:numPr>
        <w:tabs>
          <w:tab w:val="clear" w:pos="283"/>
          <w:tab w:val="clear" w:pos="567"/>
          <w:tab w:val="clear" w:pos="1418"/>
          <w:tab w:val="clear" w:pos="1701"/>
        </w:tabs>
        <w:ind w:hanging="567"/>
      </w:pPr>
      <w:r w:rsidRPr="002768C3">
        <w:t>m</w:t>
      </w:r>
      <w:r w:rsidR="000F7194">
        <w:t xml:space="preserve">odels </w:t>
      </w:r>
      <w:r w:rsidRPr="002768C3">
        <w:t xml:space="preserve">which support </w:t>
      </w:r>
      <w:r w:rsidR="00B067EE">
        <w:t xml:space="preserve">end-of-life care </w:t>
      </w:r>
      <w:r w:rsidRPr="002768C3">
        <w:t xml:space="preserve">decision making </w:t>
      </w:r>
      <w:r w:rsidR="00B067EE">
        <w:t xml:space="preserve">and the development of agreed goals of care </w:t>
      </w:r>
      <w:r w:rsidRPr="002768C3">
        <w:t xml:space="preserve">in </w:t>
      </w:r>
      <w:r w:rsidR="00B067EE">
        <w:t xml:space="preserve">order to </w:t>
      </w:r>
      <w:r w:rsidRPr="002768C3">
        <w:t xml:space="preserve">meet the needs of individual </w:t>
      </w:r>
      <w:r w:rsidR="00A534C3">
        <w:t>residents</w:t>
      </w:r>
      <w:r w:rsidR="00E7693B">
        <w:t>; and</w:t>
      </w:r>
    </w:p>
    <w:p w14:paraId="4A384A83" w14:textId="235894C4" w:rsidR="00814667" w:rsidRPr="00884AEB" w:rsidRDefault="003A2AD9" w:rsidP="008D649A">
      <w:pPr>
        <w:pStyle w:val="AlphaParagraph"/>
        <w:numPr>
          <w:ilvl w:val="0"/>
          <w:numId w:val="34"/>
        </w:numPr>
        <w:tabs>
          <w:tab w:val="clear" w:pos="283"/>
          <w:tab w:val="clear" w:pos="567"/>
          <w:tab w:val="clear" w:pos="1418"/>
          <w:tab w:val="clear" w:pos="1701"/>
        </w:tabs>
        <w:ind w:hanging="567"/>
      </w:pPr>
      <w:r>
        <w:t>training, education, assistance and mentoring to</w:t>
      </w:r>
      <w:r w:rsidR="002768C3">
        <w:t xml:space="preserve"> focus</w:t>
      </w:r>
      <w:r w:rsidR="002768C3" w:rsidRPr="002768C3">
        <w:t xml:space="preserve"> on building</w:t>
      </w:r>
      <w:r w:rsidR="0029235F">
        <w:t xml:space="preserve"> the</w:t>
      </w:r>
      <w:r w:rsidR="002768C3" w:rsidRPr="002768C3">
        <w:t xml:space="preserve"> </w:t>
      </w:r>
      <w:r w:rsidR="00B66422">
        <w:t xml:space="preserve">palliative care </w:t>
      </w:r>
      <w:r w:rsidR="00B66422" w:rsidRPr="002768C3">
        <w:t>capacity</w:t>
      </w:r>
      <w:r w:rsidR="0029235F">
        <w:t xml:space="preserve"> </w:t>
      </w:r>
      <w:r w:rsidR="002768C3" w:rsidRPr="002768C3">
        <w:t xml:space="preserve">of the </w:t>
      </w:r>
      <w:r w:rsidR="00EB7FE6">
        <w:t xml:space="preserve">aged care </w:t>
      </w:r>
      <w:r w:rsidR="002768C3" w:rsidRPr="002768C3">
        <w:t xml:space="preserve"> workforce</w:t>
      </w:r>
      <w:r w:rsidR="00404F99">
        <w:t>.</w:t>
      </w:r>
      <w:r w:rsidR="002768C3" w:rsidRPr="002768C3">
        <w:t xml:space="preserve"> </w:t>
      </w:r>
    </w:p>
    <w:p w14:paraId="6C8F6179" w14:textId="77777777" w:rsidR="008F44F1" w:rsidRDefault="008F44F1">
      <w:pPr>
        <w:pStyle w:val="Heading1"/>
      </w:pPr>
      <w:r>
        <w:t>Part 3 — roles and responsibilities of each party</w:t>
      </w:r>
    </w:p>
    <w:p w14:paraId="539B4FA6" w14:textId="77777777" w:rsidR="008F44F1" w:rsidRDefault="008F44F1" w:rsidP="008F44F1">
      <w:pPr>
        <w:pStyle w:val="Heading2"/>
      </w:pPr>
      <w:r w:rsidRPr="00814590">
        <w:t>Role of the Commonwealth</w:t>
      </w:r>
    </w:p>
    <w:p w14:paraId="084B7457" w14:textId="77777777" w:rsidR="008F44F1" w:rsidRDefault="008F44F1" w:rsidP="009E093C">
      <w:pPr>
        <w:pStyle w:val="Normalnumbered"/>
        <w:numPr>
          <w:ilvl w:val="0"/>
          <w:numId w:val="23"/>
        </w:numPr>
        <w:jc w:val="left"/>
      </w:pPr>
      <w:r>
        <w:t>The Commonwealth will be responsible for:</w:t>
      </w:r>
    </w:p>
    <w:p w14:paraId="6A431054" w14:textId="53363D84" w:rsidR="008F44F1" w:rsidRPr="000614F9" w:rsidRDefault="008F44F1" w:rsidP="009E093C">
      <w:pPr>
        <w:pStyle w:val="AlphaParagraph"/>
        <w:numPr>
          <w:ilvl w:val="0"/>
          <w:numId w:val="36"/>
        </w:numPr>
        <w:tabs>
          <w:tab w:val="clear" w:pos="567"/>
          <w:tab w:val="clear" w:pos="1418"/>
          <w:tab w:val="clear" w:pos="1701"/>
        </w:tabs>
        <w:ind w:hanging="567"/>
      </w:pPr>
      <w:r w:rsidRPr="000614F9">
        <w:rPr>
          <w:color w:val="auto"/>
        </w:rPr>
        <w:t>monitoring</w:t>
      </w:r>
      <w:r w:rsidRPr="004B6083">
        <w:t xml:space="preserve"> and assessing achievement against milestones in the delivery of </w:t>
      </w:r>
      <w:r w:rsidR="00E7693B">
        <w:t>projects</w:t>
      </w:r>
      <w:r w:rsidR="00E7693B" w:rsidRPr="004B6083">
        <w:t xml:space="preserve"> </w:t>
      </w:r>
      <w:r w:rsidRPr="000614F9">
        <w:rPr>
          <w:color w:val="auto"/>
        </w:rPr>
        <w:t>under</w:t>
      </w:r>
      <w:r w:rsidRPr="004B6083">
        <w:t xml:space="preserve"> this Agreement to ensure that outputs are delivered within the agreed timeframe;</w:t>
      </w:r>
      <w:r w:rsidR="00404F99">
        <w:t xml:space="preserve"> </w:t>
      </w:r>
    </w:p>
    <w:p w14:paraId="29D64347" w14:textId="30D2693C" w:rsidR="008F44F1" w:rsidRDefault="008F44F1" w:rsidP="009E093C">
      <w:pPr>
        <w:pStyle w:val="AlphaParagraph"/>
        <w:numPr>
          <w:ilvl w:val="0"/>
          <w:numId w:val="28"/>
        </w:numPr>
        <w:tabs>
          <w:tab w:val="clear" w:pos="567"/>
          <w:tab w:val="clear" w:pos="1418"/>
          <w:tab w:val="clear" w:pos="1701"/>
        </w:tabs>
        <w:ind w:hanging="567"/>
        <w:rPr>
          <w:color w:val="auto"/>
        </w:rPr>
      </w:pPr>
      <w:r w:rsidRPr="004B6083">
        <w:rPr>
          <w:color w:val="auto"/>
        </w:rPr>
        <w:t xml:space="preserve">providing a consequent financial contribution to the States to support the </w:t>
      </w:r>
      <w:r w:rsidRPr="000614F9">
        <w:t>implementation</w:t>
      </w:r>
      <w:r w:rsidRPr="004B6083">
        <w:rPr>
          <w:color w:val="auto"/>
        </w:rPr>
        <w:t xml:space="preserve"> of this Agreement</w:t>
      </w:r>
      <w:r w:rsidR="003C5902">
        <w:rPr>
          <w:color w:val="auto"/>
        </w:rPr>
        <w:t>; and</w:t>
      </w:r>
    </w:p>
    <w:p w14:paraId="57E99A67" w14:textId="23591C5E" w:rsidR="009B7525" w:rsidRPr="000614F9" w:rsidRDefault="00B17B40" w:rsidP="009E093C">
      <w:pPr>
        <w:pStyle w:val="AlphaParagraph"/>
        <w:numPr>
          <w:ilvl w:val="0"/>
          <w:numId w:val="28"/>
        </w:numPr>
        <w:tabs>
          <w:tab w:val="clear" w:pos="567"/>
          <w:tab w:val="clear" w:pos="1418"/>
          <w:tab w:val="clear" w:pos="1701"/>
        </w:tabs>
        <w:ind w:hanging="567"/>
        <w:rPr>
          <w:color w:val="auto"/>
        </w:rPr>
      </w:pPr>
      <w:r>
        <w:rPr>
          <w:color w:val="auto"/>
        </w:rPr>
        <w:t xml:space="preserve">initiating, consulting and finalising </w:t>
      </w:r>
      <w:r w:rsidR="009B7525">
        <w:rPr>
          <w:color w:val="auto"/>
        </w:rPr>
        <w:t xml:space="preserve">a national evaluation of the measure </w:t>
      </w:r>
      <w:r>
        <w:rPr>
          <w:color w:val="auto"/>
        </w:rPr>
        <w:t>by 2023-24</w:t>
      </w:r>
      <w:r w:rsidR="009B7525">
        <w:rPr>
          <w:color w:val="auto"/>
        </w:rPr>
        <w:t xml:space="preserve"> which will determine whether the aims and objectives of the measure have been achieved.</w:t>
      </w:r>
    </w:p>
    <w:p w14:paraId="1BDFCFB0" w14:textId="77777777" w:rsidR="008F44F1" w:rsidRPr="00751725" w:rsidRDefault="008F44F1" w:rsidP="008F44F1">
      <w:pPr>
        <w:pStyle w:val="Heading2"/>
      </w:pPr>
      <w:r w:rsidRPr="00751725">
        <w:t>Role of the States</w:t>
      </w:r>
    </w:p>
    <w:p w14:paraId="742F650E" w14:textId="77777777" w:rsidR="008F44F1" w:rsidRPr="00751725" w:rsidRDefault="008F44F1" w:rsidP="009E093C">
      <w:pPr>
        <w:pStyle w:val="Normalnumbered"/>
        <w:numPr>
          <w:ilvl w:val="0"/>
          <w:numId w:val="23"/>
        </w:numPr>
        <w:jc w:val="left"/>
      </w:pPr>
      <w:r w:rsidRPr="00751725">
        <w:t>The States</w:t>
      </w:r>
      <w:r w:rsidR="00545DF7">
        <w:t xml:space="preserve"> </w:t>
      </w:r>
      <w:r>
        <w:t>will be responsible for</w:t>
      </w:r>
      <w:r w:rsidR="00545DF7">
        <w:t>:</w:t>
      </w:r>
    </w:p>
    <w:p w14:paraId="5944CD49" w14:textId="77777777" w:rsidR="008F44F1" w:rsidRDefault="005E2D1C" w:rsidP="005E2D1C">
      <w:pPr>
        <w:pStyle w:val="AlphaParagraph"/>
        <w:numPr>
          <w:ilvl w:val="0"/>
          <w:numId w:val="32"/>
        </w:numPr>
        <w:tabs>
          <w:tab w:val="clear" w:pos="567"/>
          <w:tab w:val="clear" w:pos="1418"/>
          <w:tab w:val="clear" w:pos="1701"/>
        </w:tabs>
        <w:ind w:hanging="567"/>
      </w:pPr>
      <w:r w:rsidDel="00086EBD">
        <w:t xml:space="preserve"> </w:t>
      </w:r>
      <w:r w:rsidR="008F44F1" w:rsidRPr="00751725">
        <w:t>providing a</w:t>
      </w:r>
      <w:r w:rsidR="008F44F1">
        <w:t xml:space="preserve"> </w:t>
      </w:r>
      <w:r w:rsidR="000F7194">
        <w:t xml:space="preserve">matched </w:t>
      </w:r>
      <w:r w:rsidR="008F44F1" w:rsidRPr="000614F9">
        <w:t>financial</w:t>
      </w:r>
      <w:r w:rsidR="008F44F1">
        <w:t xml:space="preserve"> </w:t>
      </w:r>
      <w:r w:rsidR="008F44F1" w:rsidRPr="00751725">
        <w:t>contribution to support the implementation of this Agreement;</w:t>
      </w:r>
    </w:p>
    <w:p w14:paraId="3F844575" w14:textId="77777777" w:rsidR="00EE7238" w:rsidRDefault="00EE7238" w:rsidP="005E2D1C">
      <w:pPr>
        <w:pStyle w:val="AlphaParagraph"/>
        <w:numPr>
          <w:ilvl w:val="0"/>
          <w:numId w:val="32"/>
        </w:numPr>
        <w:tabs>
          <w:tab w:val="clear" w:pos="567"/>
          <w:tab w:val="clear" w:pos="1418"/>
          <w:tab w:val="clear" w:pos="1701"/>
        </w:tabs>
        <w:ind w:hanging="567"/>
      </w:pPr>
      <w:r>
        <w:t>submitting project proposals and supporting evidence;</w:t>
      </w:r>
    </w:p>
    <w:p w14:paraId="50696E79" w14:textId="77777777" w:rsidR="008F44F1" w:rsidRDefault="008F44F1" w:rsidP="009E093C">
      <w:pPr>
        <w:pStyle w:val="AlphaParagraph"/>
        <w:numPr>
          <w:ilvl w:val="0"/>
          <w:numId w:val="28"/>
        </w:numPr>
        <w:tabs>
          <w:tab w:val="clear" w:pos="567"/>
          <w:tab w:val="clear" w:pos="1418"/>
          <w:tab w:val="clear" w:pos="1701"/>
        </w:tabs>
        <w:ind w:hanging="567"/>
      </w:pPr>
      <w:r>
        <w:t>all aspects of delivering on the project outputs set out in this Agreement;</w:t>
      </w:r>
    </w:p>
    <w:p w14:paraId="77BFF10B" w14:textId="77777777" w:rsidR="002C3EFE" w:rsidRPr="00387F14" w:rsidRDefault="00A6719E" w:rsidP="002C3EFE">
      <w:pPr>
        <w:pStyle w:val="AlphaParagraph"/>
        <w:numPr>
          <w:ilvl w:val="0"/>
          <w:numId w:val="28"/>
        </w:numPr>
        <w:tabs>
          <w:tab w:val="clear" w:pos="567"/>
          <w:tab w:val="clear" w:pos="1418"/>
          <w:tab w:val="clear" w:pos="1701"/>
        </w:tabs>
        <w:ind w:hanging="567"/>
        <w:rPr>
          <w:szCs w:val="23"/>
        </w:rPr>
      </w:pPr>
      <w:r w:rsidRPr="006B4DF0">
        <w:t xml:space="preserve">reporting on the delivery of </w:t>
      </w:r>
      <w:r>
        <w:t>outputs</w:t>
      </w:r>
      <w:r w:rsidRPr="006B4DF0">
        <w:t xml:space="preserve"> </w:t>
      </w:r>
      <w:r>
        <w:t xml:space="preserve">as set out in </w:t>
      </w:r>
      <w:r w:rsidR="0072458A">
        <w:t xml:space="preserve">Part 4 – Project Milestones, Reporting and Payments and the Schedules to </w:t>
      </w:r>
      <w:r w:rsidR="002C3EFE">
        <w:t>this Agreement; and</w:t>
      </w:r>
    </w:p>
    <w:p w14:paraId="198F3214" w14:textId="77777777" w:rsidR="00A6719E" w:rsidRDefault="002C3EFE" w:rsidP="009E093C">
      <w:pPr>
        <w:pStyle w:val="AlphaParagraph"/>
        <w:numPr>
          <w:ilvl w:val="0"/>
          <w:numId w:val="28"/>
        </w:numPr>
        <w:tabs>
          <w:tab w:val="clear" w:pos="567"/>
          <w:tab w:val="clear" w:pos="1418"/>
          <w:tab w:val="clear" w:pos="1701"/>
        </w:tabs>
        <w:ind w:hanging="567"/>
      </w:pPr>
      <w:r>
        <w:t xml:space="preserve">evaluating </w:t>
      </w:r>
      <w:r w:rsidR="00227195">
        <w:t xml:space="preserve">their agreed </w:t>
      </w:r>
      <w:r>
        <w:t xml:space="preserve">projects, </w:t>
      </w:r>
      <w:r w:rsidR="00227195">
        <w:t>to contribute to the overarching evaluation of the Comprehensive Palliative Care in Aged</w:t>
      </w:r>
      <w:r w:rsidR="00227195" w:rsidRPr="000614F9">
        <w:t xml:space="preserve"> </w:t>
      </w:r>
      <w:r w:rsidR="00227195">
        <w:t>Care measure</w:t>
      </w:r>
      <w:r w:rsidR="002A35EC">
        <w:t>.</w:t>
      </w:r>
      <w:r w:rsidR="00227195">
        <w:t xml:space="preserve"> </w:t>
      </w:r>
    </w:p>
    <w:p w14:paraId="2580DF24" w14:textId="77777777" w:rsidR="008F44F1" w:rsidRDefault="008F44F1" w:rsidP="004F5DCD">
      <w:pPr>
        <w:pStyle w:val="Heading2"/>
      </w:pPr>
      <w:r>
        <w:t>Shared roles</w:t>
      </w:r>
    </w:p>
    <w:p w14:paraId="5BFD328E" w14:textId="77777777" w:rsidR="00261937" w:rsidRPr="00884AEB" w:rsidRDefault="00261937" w:rsidP="00884AEB">
      <w:pPr>
        <w:pStyle w:val="Normalnumbered"/>
        <w:numPr>
          <w:ilvl w:val="0"/>
          <w:numId w:val="23"/>
        </w:numPr>
        <w:rPr>
          <w:color w:val="auto"/>
        </w:rPr>
      </w:pPr>
      <w:r w:rsidRPr="00884AEB">
        <w:rPr>
          <w:color w:val="auto"/>
        </w:rPr>
        <w:t xml:space="preserve">The Commonwealth and the States will be jointly responsible for agreeing </w:t>
      </w:r>
      <w:r w:rsidR="004E495A">
        <w:rPr>
          <w:color w:val="auto"/>
        </w:rPr>
        <w:t xml:space="preserve">State-specific projects and </w:t>
      </w:r>
      <w:r w:rsidRPr="00884AEB">
        <w:rPr>
          <w:color w:val="auto"/>
        </w:rPr>
        <w:t>bilateral schedules to this Agreement</w:t>
      </w:r>
      <w:r w:rsidR="005C3BBE">
        <w:rPr>
          <w:color w:val="auto"/>
        </w:rPr>
        <w:t xml:space="preserve"> which set out milestones, reporting and payment arrangements in accordance with Part 4 – Project Milestones, Reporting and Payments.</w:t>
      </w:r>
    </w:p>
    <w:p w14:paraId="1B89608F" w14:textId="77777777" w:rsidR="002C3EFE" w:rsidRDefault="008F44F1" w:rsidP="002C3EFE">
      <w:pPr>
        <w:pStyle w:val="Normalnumbered"/>
        <w:numPr>
          <w:ilvl w:val="0"/>
          <w:numId w:val="23"/>
        </w:numPr>
        <w:jc w:val="left"/>
      </w:pPr>
      <w:r>
        <w:rPr>
          <w:color w:val="auto"/>
        </w:rPr>
        <w:lastRenderedPageBreak/>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004A01CE"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3233E3A0" w14:textId="77777777" w:rsidR="004B6083" w:rsidRPr="00411D99" w:rsidRDefault="00166379" w:rsidP="00411D99">
      <w:pPr>
        <w:pStyle w:val="Normalnumbered"/>
        <w:numPr>
          <w:ilvl w:val="0"/>
          <w:numId w:val="23"/>
        </w:numPr>
        <w:rPr>
          <w:color w:val="auto"/>
        </w:rPr>
      </w:pPr>
      <w:r>
        <w:rPr>
          <w:color w:val="auto"/>
        </w:rPr>
        <w:t>The</w:t>
      </w:r>
      <w:r w:rsidR="00411D99">
        <w:rPr>
          <w:color w:val="auto"/>
        </w:rPr>
        <w:t xml:space="preserve"> m</w:t>
      </w:r>
      <w:r w:rsidR="00411D99" w:rsidRPr="004C509C">
        <w:rPr>
          <w:color w:val="auto"/>
        </w:rPr>
        <w:t>ilestones for the project</w:t>
      </w:r>
      <w:r w:rsidR="00411D99">
        <w:rPr>
          <w:color w:val="auto"/>
        </w:rPr>
        <w:t>s</w:t>
      </w:r>
      <w:r w:rsidR="00411D99" w:rsidRPr="004C509C">
        <w:rPr>
          <w:color w:val="auto"/>
        </w:rPr>
        <w:t xml:space="preserve">, their relationship to the outputs, expected completion dates, relevant reporting dates and expected payments </w:t>
      </w:r>
      <w:r>
        <w:rPr>
          <w:color w:val="auto"/>
        </w:rPr>
        <w:t>to be made are set out in</w:t>
      </w:r>
      <w:r w:rsidR="00411D99" w:rsidRPr="004C509C">
        <w:rPr>
          <w:color w:val="auto"/>
        </w:rPr>
        <w:t xml:space="preserve"> bilateral </w:t>
      </w:r>
      <w:r>
        <w:rPr>
          <w:color w:val="auto"/>
        </w:rPr>
        <w:t>s</w:t>
      </w:r>
      <w:r w:rsidR="00411D99" w:rsidRPr="004C509C">
        <w:rPr>
          <w:color w:val="auto"/>
        </w:rPr>
        <w:t xml:space="preserve">chedules to this </w:t>
      </w:r>
      <w:r>
        <w:rPr>
          <w:color w:val="auto"/>
        </w:rPr>
        <w:t>A</w:t>
      </w:r>
      <w:r w:rsidR="00411D99" w:rsidRPr="004C509C">
        <w:rPr>
          <w:color w:val="auto"/>
        </w:rPr>
        <w:t>greement. The Commonwealth will make payments</w:t>
      </w:r>
      <w:r w:rsidR="00411D99">
        <w:rPr>
          <w:color w:val="auto"/>
        </w:rPr>
        <w:t xml:space="preserve"> </w:t>
      </w:r>
      <w:r w:rsidR="00411D99" w:rsidRPr="004C509C">
        <w:rPr>
          <w:color w:val="auto"/>
        </w:rPr>
        <w:t>subject to the performance report</w:t>
      </w:r>
      <w:r>
        <w:rPr>
          <w:color w:val="auto"/>
        </w:rPr>
        <w:t>s</w:t>
      </w:r>
      <w:r w:rsidR="00411D99" w:rsidRPr="004C509C">
        <w:rPr>
          <w:color w:val="auto"/>
        </w:rPr>
        <w:t xml:space="preserve"> demonstrating the relevant milestone </w:t>
      </w:r>
      <w:r w:rsidR="00ED7005">
        <w:rPr>
          <w:color w:val="auto"/>
        </w:rPr>
        <w:t xml:space="preserve">has </w:t>
      </w:r>
      <w:r w:rsidR="00411D99" w:rsidRPr="004C509C">
        <w:rPr>
          <w:color w:val="auto"/>
        </w:rPr>
        <w:t>been met</w:t>
      </w:r>
      <w:r w:rsidR="00411D99">
        <w:rPr>
          <w:color w:val="auto"/>
        </w:rPr>
        <w:t>.</w:t>
      </w:r>
    </w:p>
    <w:p w14:paraId="0BB035EA" w14:textId="77777777" w:rsidR="00172360" w:rsidRDefault="002E144A" w:rsidP="00172360">
      <w:pPr>
        <w:pStyle w:val="Normalnumbered"/>
        <w:numPr>
          <w:ilvl w:val="0"/>
          <w:numId w:val="23"/>
        </w:numPr>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02110A22" w14:textId="77777777" w:rsidR="00F3245D" w:rsidRDefault="00F3245D" w:rsidP="00F3245D">
      <w:pPr>
        <w:pStyle w:val="Heading2"/>
      </w:pPr>
      <w:r>
        <w:t>Reporting arrangements</w:t>
      </w:r>
    </w:p>
    <w:p w14:paraId="62BE6FB3" w14:textId="77777777" w:rsidR="00ED2AC4" w:rsidRPr="00884AEB" w:rsidRDefault="009E151E" w:rsidP="00884AEB">
      <w:pPr>
        <w:pStyle w:val="Normalnumbered"/>
        <w:numPr>
          <w:ilvl w:val="0"/>
          <w:numId w:val="23"/>
        </w:numPr>
      </w:pPr>
      <w:r>
        <w:t>The</w:t>
      </w:r>
      <w:r w:rsidR="00167BB8">
        <w:t xml:space="preserve"> </w:t>
      </w:r>
      <w:r w:rsidR="00884AEB" w:rsidRPr="00DE36EB">
        <w:t xml:space="preserve">States </w:t>
      </w:r>
      <w:r w:rsidR="00884AEB">
        <w:t>will</w:t>
      </w:r>
      <w:r>
        <w:t xml:space="preserve"> </w:t>
      </w:r>
      <w:r w:rsidR="0095223D">
        <w:t xml:space="preserve">provide performance reports in accordance with </w:t>
      </w:r>
      <w:r w:rsidR="00411D99">
        <w:t xml:space="preserve">the </w:t>
      </w:r>
      <w:r w:rsidR="00411D99" w:rsidRPr="00884AEB">
        <w:t>bilateral schedules</w:t>
      </w:r>
      <w:r w:rsidR="00C2605C">
        <w:t xml:space="preserve"> </w:t>
      </w:r>
      <w:r>
        <w:t>during</w:t>
      </w:r>
      <w:r w:rsidR="00C42ACA">
        <w:t xml:space="preserve"> </w:t>
      </w:r>
      <w:r>
        <w:t>t</w:t>
      </w:r>
      <w:r w:rsidR="00515AF2">
        <w:t xml:space="preserve">he operation of the Agreement.  </w:t>
      </w:r>
      <w:r w:rsidR="0095223D">
        <w:t>Each performance report is to contai</w:t>
      </w:r>
      <w:r w:rsidR="00ED2AC4">
        <w:t>n a description of actual performance in the period to date against the project milestones.</w:t>
      </w:r>
      <w:r w:rsidR="00ED2AC4" w:rsidRPr="00884AEB">
        <w:t xml:space="preserve"> </w:t>
      </w:r>
    </w:p>
    <w:p w14:paraId="3ED00C75" w14:textId="77777777" w:rsidR="008E7527" w:rsidRDefault="008E7527" w:rsidP="009E093C">
      <w:pPr>
        <w:pStyle w:val="Heading1"/>
      </w:pPr>
      <w:r>
        <w:t>Part 5</w:t>
      </w:r>
      <w:r w:rsidRPr="00751725">
        <w:t xml:space="preserve"> — financial arrangements</w:t>
      </w:r>
    </w:p>
    <w:p w14:paraId="4E7ABA99" w14:textId="77777777" w:rsidR="008E7527" w:rsidRDefault="008E7527" w:rsidP="00884AEB">
      <w:pPr>
        <w:numPr>
          <w:ilvl w:val="0"/>
          <w:numId w:val="23"/>
        </w:numPr>
      </w:pPr>
      <w:r>
        <w:t xml:space="preserve"> </w:t>
      </w: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t xml:space="preserve">the States of </w:t>
      </w:r>
      <w:r w:rsidRPr="00CD526B">
        <w:t>$</w:t>
      </w:r>
      <w:r w:rsidR="00DA00E7">
        <w:t>54</w:t>
      </w:r>
      <w:r>
        <w:t>.</w:t>
      </w:r>
      <w:r w:rsidR="00DA00E7">
        <w:t>928</w:t>
      </w:r>
      <w:r w:rsidR="00166379">
        <w:t xml:space="preserve"> million</w:t>
      </w:r>
      <w:r>
        <w:t xml:space="preserve"> in respect of this Agreement. </w:t>
      </w:r>
      <w:r w:rsidRPr="000E48C3">
        <w:t xml:space="preserve"> </w:t>
      </w:r>
      <w:r>
        <w:t>All payments are GST exclusive.</w:t>
      </w:r>
    </w:p>
    <w:p w14:paraId="55554E1B" w14:textId="77777777" w:rsidR="008E7527" w:rsidRDefault="005A5E7A" w:rsidP="00B619AA">
      <w:pPr>
        <w:pStyle w:val="Normalnumbered"/>
        <w:numPr>
          <w:ilvl w:val="0"/>
          <w:numId w:val="23"/>
        </w:numPr>
      </w:pPr>
      <w:r>
        <w:t>T</w:t>
      </w:r>
      <w:r w:rsidR="008E7527" w:rsidRPr="002B7E1B">
        <w:t>he Commonwealth’s funding contribution will not be reduced where the States secure funding from other activity partners</w:t>
      </w:r>
      <w:r w:rsidR="002E144A">
        <w:t>.</w:t>
      </w:r>
    </w:p>
    <w:p w14:paraId="44A2496F" w14:textId="77777777" w:rsidR="008E7527" w:rsidRPr="00751725" w:rsidRDefault="008E7527" w:rsidP="00B619AA">
      <w:pPr>
        <w:pStyle w:val="Normalnumbered"/>
        <w:keepNext/>
        <w:keepLines/>
        <w:numPr>
          <w:ilvl w:val="0"/>
          <w:numId w:val="23"/>
        </w:numPr>
      </w:pPr>
      <w:r w:rsidRPr="00751725">
        <w:t>The Commonwealth</w:t>
      </w:r>
      <w:r>
        <w:t>’s</w:t>
      </w:r>
      <w:r w:rsidRPr="00751725">
        <w:t xml:space="preserve"> and the </w:t>
      </w:r>
      <w:r>
        <w:t>S</w:t>
      </w:r>
      <w:r w:rsidRPr="00751725">
        <w:t>tates</w:t>
      </w:r>
      <w:r>
        <w:t>’</w:t>
      </w:r>
      <w:r w:rsidR="00884AEB">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xml:space="preserve">, are shown in Table </w:t>
      </w:r>
      <w:r w:rsidR="00725F6E">
        <w:t>1</w:t>
      </w:r>
      <w:r w:rsidRPr="00751725">
        <w:t>.</w:t>
      </w:r>
    </w:p>
    <w:p w14:paraId="20E8092F" w14:textId="77777777" w:rsidR="008E7527" w:rsidRDefault="00261937" w:rsidP="00E204BB">
      <w:pPr>
        <w:pStyle w:val="Normalnumbered"/>
        <w:numPr>
          <w:ilvl w:val="0"/>
          <w:numId w:val="0"/>
        </w:numPr>
        <w:rPr>
          <w:b/>
        </w:rPr>
      </w:pPr>
      <w:r>
        <w:rPr>
          <w:b/>
        </w:rPr>
        <w:br w:type="column"/>
      </w:r>
      <w:r w:rsidR="00E204BB">
        <w:rPr>
          <w:b/>
        </w:rPr>
        <w:lastRenderedPageBreak/>
        <w:t xml:space="preserve">Table </w:t>
      </w:r>
      <w:r w:rsidR="00725F6E">
        <w:rPr>
          <w:b/>
        </w:rPr>
        <w:t>1</w:t>
      </w:r>
      <w:r w:rsidR="008E7527" w:rsidRPr="00E204BB">
        <w:rPr>
          <w:b/>
        </w:rPr>
        <w:t xml:space="preserve">: Estimated financial contributions </w:t>
      </w:r>
    </w:p>
    <w:tbl>
      <w:tblPr>
        <w:tblW w:w="0" w:type="auto"/>
        <w:tblLook w:val="01E0" w:firstRow="1" w:lastRow="1" w:firstColumn="1" w:lastColumn="1" w:noHBand="0" w:noVBand="0"/>
      </w:tblPr>
      <w:tblGrid>
        <w:gridCol w:w="3193"/>
        <w:gridCol w:w="1043"/>
        <w:gridCol w:w="1042"/>
        <w:gridCol w:w="1043"/>
        <w:gridCol w:w="1044"/>
        <w:gridCol w:w="1042"/>
        <w:gridCol w:w="1231"/>
      </w:tblGrid>
      <w:tr w:rsidR="007371FA" w14:paraId="40FFFE8E" w14:textId="77777777" w:rsidTr="008F3EA8">
        <w:trPr>
          <w:cantSplit/>
        </w:trPr>
        <w:tc>
          <w:tcPr>
            <w:tcW w:w="3438" w:type="dxa"/>
            <w:tcBorders>
              <w:top w:val="single" w:sz="4" w:space="0" w:color="000080"/>
            </w:tcBorders>
          </w:tcPr>
          <w:p w14:paraId="0A21971F" w14:textId="77777777" w:rsidR="007371FA" w:rsidRPr="00C2711B" w:rsidRDefault="007371FA" w:rsidP="002A35EC">
            <w:pPr>
              <w:keepNext/>
              <w:keepLines/>
              <w:spacing w:before="40" w:after="40"/>
              <w:jc w:val="left"/>
              <w:rPr>
                <w:b/>
              </w:rPr>
            </w:pPr>
            <w:r w:rsidRPr="00C2711B">
              <w:rPr>
                <w:b/>
              </w:rPr>
              <w:t>($ million)</w:t>
            </w:r>
          </w:p>
        </w:tc>
        <w:tc>
          <w:tcPr>
            <w:tcW w:w="1069" w:type="dxa"/>
            <w:tcBorders>
              <w:top w:val="single" w:sz="4" w:space="0" w:color="000080"/>
              <w:bottom w:val="single" w:sz="4" w:space="0" w:color="auto"/>
            </w:tcBorders>
          </w:tcPr>
          <w:p w14:paraId="45AF37EF" w14:textId="77777777" w:rsidR="007371FA" w:rsidRDefault="007371FA" w:rsidP="002A35EC">
            <w:pPr>
              <w:keepNext/>
              <w:keepLines/>
              <w:spacing w:before="40" w:after="40"/>
              <w:jc w:val="right"/>
            </w:pPr>
            <w:r>
              <w:t>2019-20</w:t>
            </w:r>
          </w:p>
        </w:tc>
        <w:tc>
          <w:tcPr>
            <w:tcW w:w="1069" w:type="dxa"/>
            <w:tcBorders>
              <w:top w:val="single" w:sz="4" w:space="0" w:color="000080"/>
              <w:bottom w:val="single" w:sz="4" w:space="0" w:color="auto"/>
            </w:tcBorders>
          </w:tcPr>
          <w:p w14:paraId="6E01A416" w14:textId="77777777" w:rsidR="007371FA" w:rsidRDefault="007371FA" w:rsidP="002A35EC">
            <w:pPr>
              <w:keepNext/>
              <w:keepLines/>
              <w:spacing w:before="40" w:after="40"/>
              <w:jc w:val="right"/>
            </w:pPr>
            <w:r>
              <w:t>2020-21</w:t>
            </w:r>
          </w:p>
        </w:tc>
        <w:tc>
          <w:tcPr>
            <w:tcW w:w="1070" w:type="dxa"/>
            <w:tcBorders>
              <w:top w:val="single" w:sz="4" w:space="0" w:color="000080"/>
              <w:bottom w:val="single" w:sz="4" w:space="0" w:color="auto"/>
            </w:tcBorders>
          </w:tcPr>
          <w:p w14:paraId="5000DF25" w14:textId="77777777" w:rsidR="007371FA" w:rsidRDefault="007371FA" w:rsidP="002A35EC">
            <w:pPr>
              <w:keepNext/>
              <w:keepLines/>
              <w:spacing w:before="40" w:after="40"/>
              <w:jc w:val="right"/>
            </w:pPr>
            <w:r>
              <w:t>2021-22</w:t>
            </w:r>
          </w:p>
        </w:tc>
        <w:tc>
          <w:tcPr>
            <w:tcW w:w="1069" w:type="dxa"/>
            <w:tcBorders>
              <w:top w:val="single" w:sz="4" w:space="0" w:color="000080"/>
              <w:bottom w:val="single" w:sz="4" w:space="0" w:color="auto"/>
            </w:tcBorders>
          </w:tcPr>
          <w:p w14:paraId="4C7D71B9" w14:textId="77777777" w:rsidR="007371FA" w:rsidRDefault="007371FA" w:rsidP="002A35EC">
            <w:pPr>
              <w:keepNext/>
              <w:keepLines/>
              <w:spacing w:before="40" w:after="40"/>
              <w:jc w:val="right"/>
            </w:pPr>
            <w:r>
              <w:t>2022-23</w:t>
            </w:r>
          </w:p>
        </w:tc>
        <w:tc>
          <w:tcPr>
            <w:tcW w:w="1069" w:type="dxa"/>
            <w:tcBorders>
              <w:top w:val="single" w:sz="4" w:space="0" w:color="000080"/>
              <w:bottom w:val="single" w:sz="4" w:space="0" w:color="auto"/>
            </w:tcBorders>
          </w:tcPr>
          <w:p w14:paraId="03809389" w14:textId="77777777" w:rsidR="007371FA" w:rsidRDefault="007371FA" w:rsidP="002A35EC">
            <w:pPr>
              <w:keepNext/>
              <w:keepLines/>
              <w:spacing w:before="40" w:after="40"/>
              <w:jc w:val="right"/>
            </w:pPr>
            <w:r>
              <w:t>2023-24</w:t>
            </w:r>
          </w:p>
        </w:tc>
        <w:tc>
          <w:tcPr>
            <w:tcW w:w="1070" w:type="dxa"/>
            <w:tcBorders>
              <w:top w:val="single" w:sz="4" w:space="0" w:color="000080"/>
              <w:bottom w:val="single" w:sz="4" w:space="0" w:color="auto"/>
            </w:tcBorders>
          </w:tcPr>
          <w:p w14:paraId="76A8B3A0" w14:textId="77777777" w:rsidR="007371FA" w:rsidRDefault="007371FA" w:rsidP="002A35EC">
            <w:pPr>
              <w:keepNext/>
              <w:keepLines/>
              <w:spacing w:before="40" w:after="40"/>
              <w:jc w:val="right"/>
            </w:pPr>
            <w:r>
              <w:t>Total</w:t>
            </w:r>
          </w:p>
        </w:tc>
      </w:tr>
      <w:tr w:rsidR="007371FA" w14:paraId="5B37AD9F" w14:textId="77777777" w:rsidTr="008F3EA8">
        <w:trPr>
          <w:cantSplit/>
        </w:trPr>
        <w:tc>
          <w:tcPr>
            <w:tcW w:w="3438" w:type="dxa"/>
          </w:tcPr>
          <w:p w14:paraId="37D569F9" w14:textId="77777777" w:rsidR="007371FA" w:rsidRPr="005B4C1B" w:rsidRDefault="007371FA" w:rsidP="002A35EC">
            <w:pPr>
              <w:keepNext/>
              <w:keepLines/>
              <w:spacing w:before="60" w:after="60"/>
              <w:rPr>
                <w:b/>
              </w:rPr>
            </w:pPr>
            <w:r w:rsidRPr="005B4C1B">
              <w:rPr>
                <w:b/>
              </w:rPr>
              <w:t>Estimated total budget</w:t>
            </w:r>
          </w:p>
        </w:tc>
        <w:tc>
          <w:tcPr>
            <w:tcW w:w="1069" w:type="dxa"/>
            <w:tcBorders>
              <w:top w:val="single" w:sz="4" w:space="0" w:color="auto"/>
            </w:tcBorders>
          </w:tcPr>
          <w:p w14:paraId="114F4DE0" w14:textId="77777777" w:rsidR="007371FA" w:rsidRPr="005B4C1B" w:rsidRDefault="007371FA" w:rsidP="002A35EC">
            <w:pPr>
              <w:keepNext/>
              <w:keepLines/>
              <w:spacing w:before="40" w:after="40"/>
              <w:jc w:val="right"/>
              <w:rPr>
                <w:b/>
              </w:rPr>
            </w:pPr>
            <w:r>
              <w:rPr>
                <w:b/>
              </w:rPr>
              <w:t>19.858</w:t>
            </w:r>
          </w:p>
        </w:tc>
        <w:tc>
          <w:tcPr>
            <w:tcW w:w="1069" w:type="dxa"/>
            <w:tcBorders>
              <w:top w:val="single" w:sz="4" w:space="0" w:color="auto"/>
            </w:tcBorders>
          </w:tcPr>
          <w:p w14:paraId="2A6B4ABD" w14:textId="77777777" w:rsidR="007371FA" w:rsidRPr="005B4C1B" w:rsidRDefault="007371FA" w:rsidP="002A35EC">
            <w:pPr>
              <w:keepNext/>
              <w:keepLines/>
              <w:spacing w:before="40" w:after="40"/>
              <w:jc w:val="right"/>
              <w:rPr>
                <w:b/>
              </w:rPr>
            </w:pPr>
            <w:r>
              <w:rPr>
                <w:b/>
              </w:rPr>
              <w:t>20.900</w:t>
            </w:r>
          </w:p>
        </w:tc>
        <w:tc>
          <w:tcPr>
            <w:tcW w:w="1070" w:type="dxa"/>
            <w:tcBorders>
              <w:top w:val="single" w:sz="4" w:space="0" w:color="auto"/>
            </w:tcBorders>
          </w:tcPr>
          <w:p w14:paraId="711F0F9F" w14:textId="77777777" w:rsidR="007371FA" w:rsidRPr="005B4C1B" w:rsidRDefault="007371FA" w:rsidP="002A35EC">
            <w:pPr>
              <w:keepNext/>
              <w:keepLines/>
              <w:spacing w:before="40" w:after="40"/>
              <w:jc w:val="right"/>
              <w:rPr>
                <w:b/>
              </w:rPr>
            </w:pPr>
            <w:r>
              <w:rPr>
                <w:b/>
              </w:rPr>
              <w:t>21.974</w:t>
            </w:r>
          </w:p>
        </w:tc>
        <w:tc>
          <w:tcPr>
            <w:tcW w:w="1069" w:type="dxa"/>
            <w:tcBorders>
              <w:top w:val="single" w:sz="4" w:space="0" w:color="auto"/>
            </w:tcBorders>
          </w:tcPr>
          <w:p w14:paraId="4FA7343B" w14:textId="77777777" w:rsidR="007371FA" w:rsidRPr="005B4C1B" w:rsidRDefault="007371FA" w:rsidP="002A35EC">
            <w:pPr>
              <w:keepNext/>
              <w:keepLines/>
              <w:spacing w:before="40" w:after="40"/>
              <w:jc w:val="right"/>
              <w:rPr>
                <w:b/>
              </w:rPr>
            </w:pPr>
            <w:r>
              <w:rPr>
                <w:b/>
              </w:rPr>
              <w:t>22.988</w:t>
            </w:r>
          </w:p>
        </w:tc>
        <w:tc>
          <w:tcPr>
            <w:tcW w:w="1069" w:type="dxa"/>
            <w:tcBorders>
              <w:top w:val="single" w:sz="4" w:space="0" w:color="auto"/>
            </w:tcBorders>
          </w:tcPr>
          <w:p w14:paraId="5C8BA3CF" w14:textId="77777777" w:rsidR="007371FA" w:rsidRPr="005B4C1B" w:rsidRDefault="007371FA" w:rsidP="002A35EC">
            <w:pPr>
              <w:keepNext/>
              <w:keepLines/>
              <w:spacing w:before="40" w:after="40"/>
              <w:jc w:val="right"/>
              <w:rPr>
                <w:b/>
              </w:rPr>
            </w:pPr>
            <w:r>
              <w:rPr>
                <w:b/>
              </w:rPr>
              <w:t>24.136</w:t>
            </w:r>
          </w:p>
        </w:tc>
        <w:tc>
          <w:tcPr>
            <w:tcW w:w="1070" w:type="dxa"/>
            <w:tcBorders>
              <w:top w:val="single" w:sz="4" w:space="0" w:color="auto"/>
            </w:tcBorders>
          </w:tcPr>
          <w:p w14:paraId="74181702" w14:textId="77777777" w:rsidR="007371FA" w:rsidRPr="005B4C1B" w:rsidRDefault="007371FA" w:rsidP="002A35EC">
            <w:pPr>
              <w:keepNext/>
              <w:keepLines/>
              <w:spacing w:before="40" w:after="40"/>
              <w:jc w:val="right"/>
              <w:rPr>
                <w:b/>
              </w:rPr>
            </w:pPr>
            <w:r>
              <w:rPr>
                <w:b/>
              </w:rPr>
              <w:t>109.856</w:t>
            </w:r>
          </w:p>
        </w:tc>
      </w:tr>
      <w:tr w:rsidR="007371FA" w14:paraId="6F005CF1" w14:textId="77777777" w:rsidTr="008F3EA8">
        <w:trPr>
          <w:cantSplit/>
        </w:trPr>
        <w:tc>
          <w:tcPr>
            <w:tcW w:w="3438" w:type="dxa"/>
          </w:tcPr>
          <w:p w14:paraId="020C9D62" w14:textId="77777777" w:rsidR="007371FA" w:rsidRPr="004B5D5F" w:rsidRDefault="007371FA" w:rsidP="002A35EC">
            <w:pPr>
              <w:keepNext/>
              <w:keepLines/>
              <w:spacing w:before="60" w:after="60"/>
              <w:ind w:left="426" w:hanging="141"/>
            </w:pPr>
            <w:r w:rsidRPr="004B5D5F">
              <w:t>New South Wales</w:t>
            </w:r>
          </w:p>
        </w:tc>
        <w:tc>
          <w:tcPr>
            <w:tcW w:w="1069" w:type="dxa"/>
          </w:tcPr>
          <w:p w14:paraId="38FE6C4E" w14:textId="62E2CF49" w:rsidR="007371FA" w:rsidRPr="006B607B" w:rsidRDefault="007371FA" w:rsidP="002A35EC">
            <w:pPr>
              <w:keepNext/>
              <w:keepLines/>
              <w:spacing w:before="40" w:after="40"/>
              <w:jc w:val="right"/>
            </w:pPr>
            <w:r>
              <w:t>3.17</w:t>
            </w:r>
            <w:r w:rsidR="003F37A8">
              <w:t>3</w:t>
            </w:r>
          </w:p>
        </w:tc>
        <w:tc>
          <w:tcPr>
            <w:tcW w:w="1069" w:type="dxa"/>
          </w:tcPr>
          <w:p w14:paraId="138DAC8E" w14:textId="323717A9" w:rsidR="007371FA" w:rsidRDefault="007371FA" w:rsidP="002A35EC">
            <w:pPr>
              <w:keepNext/>
              <w:keepLines/>
              <w:spacing w:before="40" w:after="40"/>
              <w:jc w:val="right"/>
            </w:pPr>
            <w:r>
              <w:t>3.34</w:t>
            </w:r>
            <w:r w:rsidR="003F37A8">
              <w:t>0</w:t>
            </w:r>
          </w:p>
        </w:tc>
        <w:tc>
          <w:tcPr>
            <w:tcW w:w="1070" w:type="dxa"/>
          </w:tcPr>
          <w:p w14:paraId="3D218141" w14:textId="069376B4" w:rsidR="007371FA" w:rsidRDefault="007371FA" w:rsidP="002A35EC">
            <w:pPr>
              <w:keepNext/>
              <w:keepLines/>
              <w:spacing w:before="40" w:after="40"/>
              <w:jc w:val="right"/>
            </w:pPr>
            <w:r>
              <w:t>3.51</w:t>
            </w:r>
            <w:r w:rsidR="003F37A8">
              <w:t>1</w:t>
            </w:r>
          </w:p>
        </w:tc>
        <w:tc>
          <w:tcPr>
            <w:tcW w:w="1069" w:type="dxa"/>
          </w:tcPr>
          <w:p w14:paraId="496860E5" w14:textId="623D95BB" w:rsidR="007371FA" w:rsidRDefault="007371FA" w:rsidP="003B7892">
            <w:pPr>
              <w:keepNext/>
              <w:keepLines/>
              <w:spacing w:before="40" w:after="40"/>
              <w:jc w:val="right"/>
            </w:pPr>
            <w:r>
              <w:t>3.67</w:t>
            </w:r>
            <w:r w:rsidR="003F37A8">
              <w:t>3</w:t>
            </w:r>
          </w:p>
        </w:tc>
        <w:tc>
          <w:tcPr>
            <w:tcW w:w="1069" w:type="dxa"/>
          </w:tcPr>
          <w:p w14:paraId="445A1991" w14:textId="6FA60591" w:rsidR="007371FA" w:rsidRDefault="007371FA" w:rsidP="002A35EC">
            <w:pPr>
              <w:keepNext/>
              <w:keepLines/>
              <w:spacing w:before="40" w:after="40"/>
              <w:jc w:val="right"/>
            </w:pPr>
            <w:r>
              <w:t>3.85</w:t>
            </w:r>
            <w:r w:rsidR="003F37A8">
              <w:t>7</w:t>
            </w:r>
          </w:p>
        </w:tc>
        <w:tc>
          <w:tcPr>
            <w:tcW w:w="1070" w:type="dxa"/>
          </w:tcPr>
          <w:p w14:paraId="4F93AA7D" w14:textId="4F307553" w:rsidR="007371FA" w:rsidRDefault="007371FA" w:rsidP="002A35EC">
            <w:pPr>
              <w:keepNext/>
              <w:keepLines/>
              <w:spacing w:before="40" w:after="40"/>
              <w:jc w:val="right"/>
            </w:pPr>
            <w:r>
              <w:t>17.5</w:t>
            </w:r>
            <w:r w:rsidR="003F37A8">
              <w:t>54</w:t>
            </w:r>
          </w:p>
        </w:tc>
      </w:tr>
      <w:tr w:rsidR="007371FA" w14:paraId="201A1F38" w14:textId="77777777" w:rsidTr="008F3EA8">
        <w:trPr>
          <w:cantSplit/>
        </w:trPr>
        <w:tc>
          <w:tcPr>
            <w:tcW w:w="3438" w:type="dxa"/>
          </w:tcPr>
          <w:p w14:paraId="7BFA7A17" w14:textId="77777777" w:rsidR="007371FA" w:rsidRPr="004B5D5F" w:rsidRDefault="007371FA" w:rsidP="002A35EC">
            <w:pPr>
              <w:keepNext/>
              <w:keepLines/>
              <w:spacing w:before="60" w:after="60"/>
              <w:ind w:left="284"/>
            </w:pPr>
            <w:r w:rsidRPr="004B5D5F">
              <w:t>Victoria</w:t>
            </w:r>
          </w:p>
        </w:tc>
        <w:tc>
          <w:tcPr>
            <w:tcW w:w="1069" w:type="dxa"/>
          </w:tcPr>
          <w:p w14:paraId="532ABDD0" w14:textId="1111CF7E" w:rsidR="007371FA" w:rsidRPr="006B607B" w:rsidRDefault="007371FA" w:rsidP="002A35EC">
            <w:pPr>
              <w:keepNext/>
              <w:keepLines/>
              <w:spacing w:before="40" w:after="40"/>
              <w:jc w:val="right"/>
            </w:pPr>
            <w:r>
              <w:t>2.5</w:t>
            </w:r>
            <w:r w:rsidR="003F37A8">
              <w:t>64</w:t>
            </w:r>
          </w:p>
        </w:tc>
        <w:tc>
          <w:tcPr>
            <w:tcW w:w="1069" w:type="dxa"/>
          </w:tcPr>
          <w:p w14:paraId="29C0BF56" w14:textId="7351BC2F" w:rsidR="007371FA" w:rsidRDefault="007371FA" w:rsidP="00436D89">
            <w:pPr>
              <w:keepNext/>
              <w:keepLines/>
              <w:spacing w:before="40" w:after="40"/>
              <w:jc w:val="right"/>
            </w:pPr>
            <w:r>
              <w:t>2.69</w:t>
            </w:r>
            <w:r w:rsidR="003F37A8">
              <w:t>9</w:t>
            </w:r>
          </w:p>
        </w:tc>
        <w:tc>
          <w:tcPr>
            <w:tcW w:w="1070" w:type="dxa"/>
          </w:tcPr>
          <w:p w14:paraId="627919DC" w14:textId="21AD45BF" w:rsidR="007371FA" w:rsidRDefault="007371FA" w:rsidP="00B66422">
            <w:pPr>
              <w:keepNext/>
              <w:keepLines/>
              <w:spacing w:before="40" w:after="40"/>
              <w:jc w:val="right"/>
            </w:pPr>
            <w:r>
              <w:t>2.8</w:t>
            </w:r>
            <w:r w:rsidR="00B66422">
              <w:t>3</w:t>
            </w:r>
            <w:r w:rsidR="003F37A8">
              <w:t>8</w:t>
            </w:r>
          </w:p>
        </w:tc>
        <w:tc>
          <w:tcPr>
            <w:tcW w:w="1069" w:type="dxa"/>
          </w:tcPr>
          <w:p w14:paraId="5AE20209" w14:textId="0F596ECE" w:rsidR="007371FA" w:rsidRDefault="007371FA" w:rsidP="002A35EC">
            <w:pPr>
              <w:keepNext/>
              <w:keepLines/>
              <w:spacing w:before="40" w:after="40"/>
              <w:jc w:val="right"/>
            </w:pPr>
            <w:r>
              <w:t>2.9</w:t>
            </w:r>
            <w:r w:rsidR="003F37A8">
              <w:t>69</w:t>
            </w:r>
          </w:p>
        </w:tc>
        <w:tc>
          <w:tcPr>
            <w:tcW w:w="1069" w:type="dxa"/>
          </w:tcPr>
          <w:p w14:paraId="2B74E970" w14:textId="74FC9413" w:rsidR="007371FA" w:rsidRDefault="007371FA" w:rsidP="002A35EC">
            <w:pPr>
              <w:keepNext/>
              <w:keepLines/>
              <w:spacing w:before="40" w:after="40"/>
              <w:jc w:val="right"/>
            </w:pPr>
            <w:r>
              <w:t>3.1</w:t>
            </w:r>
            <w:r w:rsidR="003F37A8">
              <w:t>17</w:t>
            </w:r>
          </w:p>
        </w:tc>
        <w:tc>
          <w:tcPr>
            <w:tcW w:w="1070" w:type="dxa"/>
          </w:tcPr>
          <w:p w14:paraId="3F2C432E" w14:textId="18C9826F" w:rsidR="007371FA" w:rsidRDefault="007371FA" w:rsidP="002A35EC">
            <w:pPr>
              <w:keepNext/>
              <w:keepLines/>
              <w:spacing w:before="40" w:after="40"/>
              <w:jc w:val="right"/>
            </w:pPr>
            <w:r>
              <w:t>14.1</w:t>
            </w:r>
            <w:r w:rsidR="003F37A8">
              <w:t>87</w:t>
            </w:r>
          </w:p>
        </w:tc>
      </w:tr>
      <w:tr w:rsidR="007371FA" w14:paraId="78761604" w14:textId="77777777" w:rsidTr="008F3EA8">
        <w:trPr>
          <w:cantSplit/>
        </w:trPr>
        <w:tc>
          <w:tcPr>
            <w:tcW w:w="3438" w:type="dxa"/>
          </w:tcPr>
          <w:p w14:paraId="252C6337" w14:textId="77777777" w:rsidR="007371FA" w:rsidRPr="004B5D5F" w:rsidRDefault="007371FA" w:rsidP="002A35EC">
            <w:pPr>
              <w:keepNext/>
              <w:keepLines/>
              <w:spacing w:before="60" w:after="60"/>
              <w:ind w:left="284"/>
            </w:pPr>
            <w:r w:rsidRPr="004B5D5F">
              <w:t>Queensland</w:t>
            </w:r>
          </w:p>
        </w:tc>
        <w:tc>
          <w:tcPr>
            <w:tcW w:w="1069" w:type="dxa"/>
          </w:tcPr>
          <w:p w14:paraId="32E6ED7A" w14:textId="1E1C4E51" w:rsidR="007371FA" w:rsidRPr="006B607B" w:rsidRDefault="007371FA" w:rsidP="00B66422">
            <w:pPr>
              <w:keepNext/>
              <w:keepLines/>
              <w:spacing w:before="40" w:after="40"/>
              <w:jc w:val="right"/>
            </w:pPr>
            <w:r>
              <w:t>1.99</w:t>
            </w:r>
            <w:r w:rsidR="00B66422">
              <w:t>0</w:t>
            </w:r>
          </w:p>
        </w:tc>
        <w:tc>
          <w:tcPr>
            <w:tcW w:w="1069" w:type="dxa"/>
          </w:tcPr>
          <w:p w14:paraId="60313982" w14:textId="059D9499" w:rsidR="007371FA" w:rsidRDefault="007371FA" w:rsidP="00436D89">
            <w:pPr>
              <w:keepNext/>
              <w:keepLines/>
              <w:spacing w:before="40" w:after="40"/>
              <w:jc w:val="right"/>
            </w:pPr>
            <w:r>
              <w:t>2.09</w:t>
            </w:r>
            <w:r w:rsidR="003F37A8">
              <w:t>5</w:t>
            </w:r>
          </w:p>
        </w:tc>
        <w:tc>
          <w:tcPr>
            <w:tcW w:w="1070" w:type="dxa"/>
          </w:tcPr>
          <w:p w14:paraId="5B782869" w14:textId="095A74DF" w:rsidR="007371FA" w:rsidRDefault="007371FA" w:rsidP="002A35EC">
            <w:pPr>
              <w:keepNext/>
              <w:keepLines/>
              <w:spacing w:before="40" w:after="40"/>
              <w:jc w:val="right"/>
            </w:pPr>
            <w:r>
              <w:t>2.20</w:t>
            </w:r>
            <w:r w:rsidR="003F37A8">
              <w:t>3</w:t>
            </w:r>
          </w:p>
        </w:tc>
        <w:tc>
          <w:tcPr>
            <w:tcW w:w="1069" w:type="dxa"/>
          </w:tcPr>
          <w:p w14:paraId="2BB32B79" w14:textId="6E4246D5" w:rsidR="007371FA" w:rsidRDefault="007371FA" w:rsidP="002A35EC">
            <w:pPr>
              <w:keepNext/>
              <w:keepLines/>
              <w:spacing w:before="40" w:after="40"/>
              <w:jc w:val="right"/>
            </w:pPr>
            <w:r>
              <w:t>2.30</w:t>
            </w:r>
            <w:r w:rsidR="003F37A8">
              <w:t>4</w:t>
            </w:r>
          </w:p>
        </w:tc>
        <w:tc>
          <w:tcPr>
            <w:tcW w:w="1069" w:type="dxa"/>
          </w:tcPr>
          <w:p w14:paraId="139786F1" w14:textId="7FA43F94" w:rsidR="007371FA" w:rsidRDefault="007371FA" w:rsidP="002A35EC">
            <w:pPr>
              <w:keepNext/>
              <w:keepLines/>
              <w:spacing w:before="40" w:after="40"/>
              <w:jc w:val="right"/>
            </w:pPr>
            <w:r>
              <w:t>2.4</w:t>
            </w:r>
            <w:r w:rsidR="003F37A8">
              <w:t>20</w:t>
            </w:r>
          </w:p>
        </w:tc>
        <w:tc>
          <w:tcPr>
            <w:tcW w:w="1070" w:type="dxa"/>
          </w:tcPr>
          <w:p w14:paraId="3720980E" w14:textId="29BB5BE1" w:rsidR="007371FA" w:rsidRDefault="007371FA" w:rsidP="00B66422">
            <w:pPr>
              <w:keepNext/>
              <w:keepLines/>
              <w:spacing w:before="40" w:after="40"/>
              <w:jc w:val="right"/>
            </w:pPr>
            <w:r w:rsidRPr="008F3EA8">
              <w:t>11.0</w:t>
            </w:r>
            <w:r w:rsidR="003F37A8">
              <w:t>12</w:t>
            </w:r>
          </w:p>
        </w:tc>
      </w:tr>
      <w:tr w:rsidR="007371FA" w14:paraId="71CF0A08" w14:textId="77777777" w:rsidTr="008F3EA8">
        <w:trPr>
          <w:cantSplit/>
        </w:trPr>
        <w:tc>
          <w:tcPr>
            <w:tcW w:w="3438" w:type="dxa"/>
          </w:tcPr>
          <w:p w14:paraId="65379BD9" w14:textId="77777777" w:rsidR="007371FA" w:rsidRPr="004B5D5F" w:rsidRDefault="007371FA" w:rsidP="002A35EC">
            <w:pPr>
              <w:keepNext/>
              <w:keepLines/>
              <w:spacing w:before="60" w:after="60"/>
              <w:ind w:left="426" w:hanging="141"/>
            </w:pPr>
            <w:r>
              <w:t>Western Australia</w:t>
            </w:r>
          </w:p>
        </w:tc>
        <w:tc>
          <w:tcPr>
            <w:tcW w:w="1069" w:type="dxa"/>
          </w:tcPr>
          <w:p w14:paraId="2162D28A" w14:textId="13C08D06" w:rsidR="007371FA" w:rsidRPr="006B607B" w:rsidRDefault="007371FA" w:rsidP="002A35EC">
            <w:pPr>
              <w:keepNext/>
              <w:keepLines/>
              <w:spacing w:before="40" w:after="40"/>
              <w:jc w:val="right"/>
            </w:pPr>
            <w:r>
              <w:t>1.0</w:t>
            </w:r>
            <w:r w:rsidR="007638D8">
              <w:t>34</w:t>
            </w:r>
          </w:p>
        </w:tc>
        <w:tc>
          <w:tcPr>
            <w:tcW w:w="1069" w:type="dxa"/>
          </w:tcPr>
          <w:p w14:paraId="6733B187" w14:textId="5341EF9D" w:rsidR="007371FA" w:rsidRDefault="007371FA" w:rsidP="00436D89">
            <w:pPr>
              <w:keepNext/>
              <w:keepLines/>
              <w:spacing w:before="40" w:after="40"/>
              <w:jc w:val="right"/>
            </w:pPr>
            <w:r>
              <w:t>1.0</w:t>
            </w:r>
            <w:r w:rsidR="007638D8">
              <w:t>88</w:t>
            </w:r>
          </w:p>
        </w:tc>
        <w:tc>
          <w:tcPr>
            <w:tcW w:w="1070" w:type="dxa"/>
          </w:tcPr>
          <w:p w14:paraId="452E6721" w14:textId="3BB76038" w:rsidR="007371FA" w:rsidRDefault="007371FA" w:rsidP="00436D89">
            <w:pPr>
              <w:keepNext/>
              <w:keepLines/>
              <w:spacing w:before="40" w:after="40"/>
              <w:jc w:val="right"/>
            </w:pPr>
            <w:r>
              <w:t>1.1</w:t>
            </w:r>
            <w:r w:rsidR="007638D8">
              <w:t>44</w:t>
            </w:r>
          </w:p>
        </w:tc>
        <w:tc>
          <w:tcPr>
            <w:tcW w:w="1069" w:type="dxa"/>
          </w:tcPr>
          <w:p w14:paraId="203723B9" w14:textId="7CD70E62" w:rsidR="007371FA" w:rsidRDefault="007371FA" w:rsidP="002A35EC">
            <w:pPr>
              <w:keepNext/>
              <w:keepLines/>
              <w:spacing w:before="40" w:after="40"/>
              <w:jc w:val="right"/>
            </w:pPr>
            <w:r>
              <w:t>1.</w:t>
            </w:r>
            <w:r w:rsidR="007638D8">
              <w:t>197</w:t>
            </w:r>
          </w:p>
        </w:tc>
        <w:tc>
          <w:tcPr>
            <w:tcW w:w="1069" w:type="dxa"/>
          </w:tcPr>
          <w:p w14:paraId="7E6235A9" w14:textId="614FB89D" w:rsidR="007371FA" w:rsidRDefault="007371FA" w:rsidP="002A35EC">
            <w:pPr>
              <w:keepNext/>
              <w:keepLines/>
              <w:spacing w:before="40" w:after="40"/>
              <w:jc w:val="right"/>
            </w:pPr>
            <w:r>
              <w:t>1.2</w:t>
            </w:r>
            <w:r w:rsidR="007638D8">
              <w:t>56</w:t>
            </w:r>
          </w:p>
        </w:tc>
        <w:tc>
          <w:tcPr>
            <w:tcW w:w="1070" w:type="dxa"/>
          </w:tcPr>
          <w:p w14:paraId="18B1A336" w14:textId="6CCC04BA" w:rsidR="007371FA" w:rsidRDefault="007371FA" w:rsidP="00B66422">
            <w:pPr>
              <w:keepNext/>
              <w:keepLines/>
              <w:spacing w:before="40" w:after="40"/>
              <w:jc w:val="right"/>
            </w:pPr>
            <w:r>
              <w:t>5.7</w:t>
            </w:r>
            <w:r w:rsidR="007638D8">
              <w:t>19</w:t>
            </w:r>
          </w:p>
        </w:tc>
      </w:tr>
      <w:tr w:rsidR="007371FA" w14:paraId="189DE719" w14:textId="77777777" w:rsidTr="008F3EA8">
        <w:trPr>
          <w:cantSplit/>
        </w:trPr>
        <w:tc>
          <w:tcPr>
            <w:tcW w:w="3438" w:type="dxa"/>
          </w:tcPr>
          <w:p w14:paraId="2EC0D6AF" w14:textId="77777777" w:rsidR="007371FA" w:rsidRPr="004B5D5F" w:rsidRDefault="007371FA" w:rsidP="002A35EC">
            <w:pPr>
              <w:keepNext/>
              <w:keepLines/>
              <w:spacing w:before="60" w:after="60"/>
              <w:ind w:left="284"/>
            </w:pPr>
            <w:r>
              <w:t>South Australia</w:t>
            </w:r>
          </w:p>
        </w:tc>
        <w:tc>
          <w:tcPr>
            <w:tcW w:w="1069" w:type="dxa"/>
          </w:tcPr>
          <w:p w14:paraId="36F8C221" w14:textId="69DE4ED3" w:rsidR="007371FA" w:rsidRPr="005B4C1B" w:rsidRDefault="007371FA" w:rsidP="002A35EC">
            <w:pPr>
              <w:keepNext/>
              <w:keepLines/>
              <w:spacing w:before="40" w:after="40"/>
              <w:jc w:val="right"/>
            </w:pPr>
            <w:r>
              <w:t>0.69</w:t>
            </w:r>
            <w:r w:rsidR="007638D8">
              <w:t>2</w:t>
            </w:r>
          </w:p>
        </w:tc>
        <w:tc>
          <w:tcPr>
            <w:tcW w:w="1069" w:type="dxa"/>
          </w:tcPr>
          <w:p w14:paraId="003C3B91" w14:textId="09D3146D" w:rsidR="007371FA" w:rsidRPr="005B4C1B" w:rsidRDefault="007371FA" w:rsidP="00436D89">
            <w:pPr>
              <w:keepNext/>
              <w:keepLines/>
              <w:spacing w:before="40" w:after="40"/>
              <w:jc w:val="right"/>
            </w:pPr>
            <w:r>
              <w:t>0.7</w:t>
            </w:r>
            <w:r w:rsidR="007638D8">
              <w:t>28</w:t>
            </w:r>
          </w:p>
        </w:tc>
        <w:tc>
          <w:tcPr>
            <w:tcW w:w="1070" w:type="dxa"/>
          </w:tcPr>
          <w:p w14:paraId="21C5D968" w14:textId="01C34AFB" w:rsidR="007371FA" w:rsidRPr="005B4C1B" w:rsidRDefault="007371FA" w:rsidP="002A35EC">
            <w:pPr>
              <w:keepNext/>
              <w:keepLines/>
              <w:spacing w:before="40" w:after="40"/>
              <w:jc w:val="right"/>
            </w:pPr>
            <w:r>
              <w:t>0.76</w:t>
            </w:r>
            <w:r w:rsidR="007638D8">
              <w:t>5</w:t>
            </w:r>
          </w:p>
        </w:tc>
        <w:tc>
          <w:tcPr>
            <w:tcW w:w="1069" w:type="dxa"/>
          </w:tcPr>
          <w:p w14:paraId="3E32394F" w14:textId="3C202732" w:rsidR="007371FA" w:rsidRPr="005B4C1B" w:rsidRDefault="007371FA" w:rsidP="002A35EC">
            <w:pPr>
              <w:keepNext/>
              <w:keepLines/>
              <w:spacing w:before="40" w:after="40"/>
              <w:jc w:val="right"/>
            </w:pPr>
            <w:r>
              <w:t>0.80</w:t>
            </w:r>
            <w:r w:rsidR="007638D8">
              <w:t>0</w:t>
            </w:r>
          </w:p>
        </w:tc>
        <w:tc>
          <w:tcPr>
            <w:tcW w:w="1069" w:type="dxa"/>
          </w:tcPr>
          <w:p w14:paraId="27CD5B5A" w14:textId="388C82DB" w:rsidR="007371FA" w:rsidRPr="005B4C1B" w:rsidRDefault="007371FA" w:rsidP="00192BD4">
            <w:pPr>
              <w:keepNext/>
              <w:keepLines/>
              <w:spacing w:before="40" w:after="40"/>
              <w:jc w:val="right"/>
            </w:pPr>
            <w:r>
              <w:t>0.84</w:t>
            </w:r>
            <w:r w:rsidR="007638D8">
              <w:t>0</w:t>
            </w:r>
          </w:p>
        </w:tc>
        <w:tc>
          <w:tcPr>
            <w:tcW w:w="1070" w:type="dxa"/>
          </w:tcPr>
          <w:p w14:paraId="0C364265" w14:textId="6283CA2C" w:rsidR="007371FA" w:rsidRPr="005B4C1B" w:rsidRDefault="007371FA" w:rsidP="00192BD4">
            <w:pPr>
              <w:keepNext/>
              <w:keepLines/>
              <w:spacing w:before="40" w:after="40"/>
              <w:jc w:val="right"/>
            </w:pPr>
            <w:r>
              <w:t>3.8</w:t>
            </w:r>
            <w:r w:rsidR="007638D8">
              <w:t>25</w:t>
            </w:r>
          </w:p>
        </w:tc>
      </w:tr>
      <w:tr w:rsidR="007371FA" w14:paraId="0C52E883" w14:textId="77777777" w:rsidTr="008F3EA8">
        <w:trPr>
          <w:cantSplit/>
        </w:trPr>
        <w:tc>
          <w:tcPr>
            <w:tcW w:w="3438" w:type="dxa"/>
          </w:tcPr>
          <w:p w14:paraId="7CB76BB7" w14:textId="77777777" w:rsidR="007371FA" w:rsidRPr="004B5D5F" w:rsidRDefault="007371FA" w:rsidP="002A35EC">
            <w:pPr>
              <w:keepNext/>
              <w:keepLines/>
              <w:spacing w:before="60" w:after="60"/>
              <w:ind w:left="284"/>
            </w:pPr>
            <w:r>
              <w:t>Tasmania</w:t>
            </w:r>
          </w:p>
        </w:tc>
        <w:tc>
          <w:tcPr>
            <w:tcW w:w="1069" w:type="dxa"/>
          </w:tcPr>
          <w:p w14:paraId="23AC502E" w14:textId="74EFEEA5" w:rsidR="007371FA" w:rsidRPr="006B607B" w:rsidRDefault="007371FA" w:rsidP="00436D89">
            <w:pPr>
              <w:keepNext/>
              <w:keepLines/>
              <w:spacing w:before="40" w:after="40"/>
              <w:jc w:val="right"/>
            </w:pPr>
            <w:r>
              <w:t>0.2</w:t>
            </w:r>
            <w:r w:rsidR="00436D89">
              <w:t>1</w:t>
            </w:r>
            <w:r w:rsidR="006124D9">
              <w:t>1</w:t>
            </w:r>
          </w:p>
        </w:tc>
        <w:tc>
          <w:tcPr>
            <w:tcW w:w="1069" w:type="dxa"/>
          </w:tcPr>
          <w:p w14:paraId="248CC290" w14:textId="77777777" w:rsidR="007371FA" w:rsidRDefault="007371FA" w:rsidP="00436D89">
            <w:pPr>
              <w:keepNext/>
              <w:keepLines/>
              <w:spacing w:before="40" w:after="40"/>
              <w:jc w:val="right"/>
            </w:pPr>
            <w:r>
              <w:t>0.22</w:t>
            </w:r>
            <w:r w:rsidR="00436D89">
              <w:t>1</w:t>
            </w:r>
          </w:p>
        </w:tc>
        <w:tc>
          <w:tcPr>
            <w:tcW w:w="1070" w:type="dxa"/>
          </w:tcPr>
          <w:p w14:paraId="4710DD96" w14:textId="77777777" w:rsidR="007371FA" w:rsidRDefault="007371FA" w:rsidP="002A35EC">
            <w:pPr>
              <w:keepNext/>
              <w:keepLines/>
              <w:spacing w:before="40" w:after="40"/>
              <w:jc w:val="right"/>
            </w:pPr>
            <w:r>
              <w:t>0.232</w:t>
            </w:r>
          </w:p>
        </w:tc>
        <w:tc>
          <w:tcPr>
            <w:tcW w:w="1069" w:type="dxa"/>
          </w:tcPr>
          <w:p w14:paraId="6D11A413" w14:textId="77777777" w:rsidR="007371FA" w:rsidRDefault="007371FA" w:rsidP="003B7892">
            <w:pPr>
              <w:keepNext/>
              <w:keepLines/>
              <w:spacing w:before="40" w:after="40"/>
              <w:jc w:val="right"/>
            </w:pPr>
            <w:r>
              <w:t>0.24</w:t>
            </w:r>
            <w:r w:rsidR="003B7892">
              <w:t>3</w:t>
            </w:r>
          </w:p>
        </w:tc>
        <w:tc>
          <w:tcPr>
            <w:tcW w:w="1069" w:type="dxa"/>
          </w:tcPr>
          <w:p w14:paraId="58D04BE9" w14:textId="77777777" w:rsidR="007371FA" w:rsidRDefault="007371FA" w:rsidP="002A35EC">
            <w:pPr>
              <w:keepNext/>
              <w:keepLines/>
              <w:spacing w:before="40" w:after="40"/>
              <w:jc w:val="right"/>
            </w:pPr>
            <w:r>
              <w:t>0.255</w:t>
            </w:r>
          </w:p>
        </w:tc>
        <w:tc>
          <w:tcPr>
            <w:tcW w:w="1070" w:type="dxa"/>
          </w:tcPr>
          <w:p w14:paraId="49FD0FC6" w14:textId="33A3347E" w:rsidR="007371FA" w:rsidRDefault="007371FA" w:rsidP="00192BD4">
            <w:pPr>
              <w:keepNext/>
              <w:keepLines/>
              <w:spacing w:before="40" w:after="40"/>
              <w:jc w:val="right"/>
            </w:pPr>
            <w:r>
              <w:t>1.16</w:t>
            </w:r>
            <w:r w:rsidR="006124D9">
              <w:t>2</w:t>
            </w:r>
          </w:p>
        </w:tc>
      </w:tr>
      <w:tr w:rsidR="007371FA" w14:paraId="60DDA630" w14:textId="77777777" w:rsidTr="008F3EA8">
        <w:trPr>
          <w:cantSplit/>
        </w:trPr>
        <w:tc>
          <w:tcPr>
            <w:tcW w:w="3438" w:type="dxa"/>
          </w:tcPr>
          <w:p w14:paraId="63AEAB4D" w14:textId="77777777" w:rsidR="007371FA" w:rsidRPr="004B5D5F" w:rsidRDefault="007371FA" w:rsidP="002A35EC">
            <w:pPr>
              <w:keepNext/>
              <w:keepLines/>
              <w:spacing w:before="60" w:after="60"/>
              <w:ind w:left="426" w:hanging="141"/>
            </w:pPr>
            <w:r>
              <w:t>Australian Capital Territory</w:t>
            </w:r>
          </w:p>
        </w:tc>
        <w:tc>
          <w:tcPr>
            <w:tcW w:w="1069" w:type="dxa"/>
          </w:tcPr>
          <w:p w14:paraId="3EEE8E47" w14:textId="172185B1" w:rsidR="007371FA" w:rsidRPr="006B607B" w:rsidRDefault="007371FA" w:rsidP="00436D89">
            <w:pPr>
              <w:keepNext/>
              <w:keepLines/>
              <w:spacing w:before="40" w:after="40"/>
              <w:jc w:val="right"/>
            </w:pPr>
            <w:r>
              <w:t>0.16</w:t>
            </w:r>
            <w:r w:rsidR="006124D9">
              <w:t>7</w:t>
            </w:r>
          </w:p>
        </w:tc>
        <w:tc>
          <w:tcPr>
            <w:tcW w:w="1069" w:type="dxa"/>
          </w:tcPr>
          <w:p w14:paraId="60D50372" w14:textId="7C128873" w:rsidR="007371FA" w:rsidRDefault="007371FA" w:rsidP="00B66422">
            <w:pPr>
              <w:keepNext/>
              <w:keepLines/>
              <w:spacing w:before="40" w:after="40"/>
              <w:jc w:val="right"/>
            </w:pPr>
            <w:r>
              <w:t>0.17</w:t>
            </w:r>
            <w:r w:rsidR="006124D9">
              <w:t>6</w:t>
            </w:r>
          </w:p>
        </w:tc>
        <w:tc>
          <w:tcPr>
            <w:tcW w:w="1070" w:type="dxa"/>
          </w:tcPr>
          <w:p w14:paraId="66F21B75" w14:textId="6E09A9F9" w:rsidR="007371FA" w:rsidRDefault="007371FA" w:rsidP="002A35EC">
            <w:pPr>
              <w:keepNext/>
              <w:keepLines/>
              <w:spacing w:before="40" w:after="40"/>
              <w:jc w:val="right"/>
            </w:pPr>
            <w:r>
              <w:t>0.18</w:t>
            </w:r>
            <w:r w:rsidR="006124D9">
              <w:t>5</w:t>
            </w:r>
          </w:p>
        </w:tc>
        <w:tc>
          <w:tcPr>
            <w:tcW w:w="1069" w:type="dxa"/>
          </w:tcPr>
          <w:p w14:paraId="711438AF" w14:textId="03CA9B97" w:rsidR="007371FA" w:rsidRDefault="007371FA" w:rsidP="002A35EC">
            <w:pPr>
              <w:keepNext/>
              <w:keepLines/>
              <w:spacing w:before="40" w:after="40"/>
              <w:jc w:val="right"/>
            </w:pPr>
            <w:r>
              <w:t>0.19</w:t>
            </w:r>
            <w:r w:rsidR="006124D9">
              <w:t>4</w:t>
            </w:r>
          </w:p>
        </w:tc>
        <w:tc>
          <w:tcPr>
            <w:tcW w:w="1069" w:type="dxa"/>
          </w:tcPr>
          <w:p w14:paraId="2FCF81F8" w14:textId="0EBF9326" w:rsidR="007371FA" w:rsidRDefault="007371FA" w:rsidP="002A35EC">
            <w:pPr>
              <w:keepNext/>
              <w:keepLines/>
              <w:spacing w:before="40" w:after="40"/>
              <w:jc w:val="right"/>
            </w:pPr>
            <w:r>
              <w:t>0.20</w:t>
            </w:r>
            <w:r w:rsidR="006124D9">
              <w:t>3</w:t>
            </w:r>
          </w:p>
        </w:tc>
        <w:tc>
          <w:tcPr>
            <w:tcW w:w="1070" w:type="dxa"/>
          </w:tcPr>
          <w:p w14:paraId="46B9CC41" w14:textId="5FE3333A" w:rsidR="007371FA" w:rsidRDefault="007371FA" w:rsidP="00192BD4">
            <w:pPr>
              <w:keepNext/>
              <w:keepLines/>
              <w:spacing w:before="40" w:after="40"/>
              <w:jc w:val="right"/>
            </w:pPr>
            <w:r>
              <w:t>0.9</w:t>
            </w:r>
            <w:r w:rsidR="006124D9">
              <w:t>25</w:t>
            </w:r>
          </w:p>
        </w:tc>
      </w:tr>
      <w:tr w:rsidR="007371FA" w14:paraId="09E8C5BD" w14:textId="77777777" w:rsidTr="008F3EA8">
        <w:trPr>
          <w:cantSplit/>
        </w:trPr>
        <w:tc>
          <w:tcPr>
            <w:tcW w:w="3438" w:type="dxa"/>
          </w:tcPr>
          <w:p w14:paraId="323D71B4" w14:textId="77777777" w:rsidR="007371FA" w:rsidRPr="004B5D5F" w:rsidRDefault="007371FA" w:rsidP="002A35EC">
            <w:pPr>
              <w:keepNext/>
              <w:keepLines/>
              <w:spacing w:before="60" w:after="60"/>
              <w:ind w:left="284"/>
            </w:pPr>
            <w:r>
              <w:t>Northern Territory</w:t>
            </w:r>
          </w:p>
        </w:tc>
        <w:tc>
          <w:tcPr>
            <w:tcW w:w="1069" w:type="dxa"/>
          </w:tcPr>
          <w:p w14:paraId="7A3FE04D" w14:textId="2A312877" w:rsidR="007371FA" w:rsidRDefault="007371FA" w:rsidP="00436D89">
            <w:pPr>
              <w:keepNext/>
              <w:keepLines/>
              <w:spacing w:before="40" w:after="40"/>
              <w:jc w:val="right"/>
            </w:pPr>
            <w:r>
              <w:t>0.09</w:t>
            </w:r>
            <w:r w:rsidR="006124D9">
              <w:t>8</w:t>
            </w:r>
          </w:p>
        </w:tc>
        <w:tc>
          <w:tcPr>
            <w:tcW w:w="1069" w:type="dxa"/>
          </w:tcPr>
          <w:p w14:paraId="7F8CE8F9" w14:textId="3AEA2264" w:rsidR="007371FA" w:rsidRDefault="007371FA" w:rsidP="002A35EC">
            <w:pPr>
              <w:keepNext/>
              <w:keepLines/>
              <w:spacing w:before="40" w:after="40"/>
              <w:jc w:val="right"/>
            </w:pPr>
            <w:r>
              <w:t>0.10</w:t>
            </w:r>
            <w:r w:rsidR="006124D9">
              <w:t>3</w:t>
            </w:r>
          </w:p>
        </w:tc>
        <w:tc>
          <w:tcPr>
            <w:tcW w:w="1070" w:type="dxa"/>
          </w:tcPr>
          <w:p w14:paraId="5BD2942A" w14:textId="77777777" w:rsidR="007371FA" w:rsidRDefault="007371FA" w:rsidP="002A35EC">
            <w:pPr>
              <w:keepNext/>
              <w:keepLines/>
              <w:spacing w:before="40" w:after="40"/>
              <w:jc w:val="right"/>
            </w:pPr>
            <w:r>
              <w:t>0.109</w:t>
            </w:r>
          </w:p>
        </w:tc>
        <w:tc>
          <w:tcPr>
            <w:tcW w:w="1069" w:type="dxa"/>
          </w:tcPr>
          <w:p w14:paraId="388AE4E7" w14:textId="433622E8" w:rsidR="007371FA" w:rsidRDefault="007371FA" w:rsidP="003B7892">
            <w:pPr>
              <w:keepNext/>
              <w:keepLines/>
              <w:spacing w:before="40" w:after="40"/>
              <w:jc w:val="right"/>
            </w:pPr>
            <w:r>
              <w:t>0.11</w:t>
            </w:r>
            <w:r w:rsidR="006124D9">
              <w:t>4</w:t>
            </w:r>
          </w:p>
        </w:tc>
        <w:tc>
          <w:tcPr>
            <w:tcW w:w="1069" w:type="dxa"/>
          </w:tcPr>
          <w:p w14:paraId="437C3CFF" w14:textId="77777777" w:rsidR="007371FA" w:rsidRDefault="007371FA" w:rsidP="002A35EC">
            <w:pPr>
              <w:keepNext/>
              <w:keepLines/>
              <w:spacing w:before="40" w:after="40"/>
              <w:jc w:val="right"/>
            </w:pPr>
            <w:r>
              <w:t>0.120</w:t>
            </w:r>
          </w:p>
        </w:tc>
        <w:tc>
          <w:tcPr>
            <w:tcW w:w="1070" w:type="dxa"/>
          </w:tcPr>
          <w:p w14:paraId="103CDCA1" w14:textId="0EE5EA30" w:rsidR="007371FA" w:rsidRDefault="007371FA" w:rsidP="002A35EC">
            <w:pPr>
              <w:keepNext/>
              <w:keepLines/>
              <w:spacing w:before="40" w:after="40"/>
              <w:jc w:val="right"/>
            </w:pPr>
            <w:r>
              <w:t>0.54</w:t>
            </w:r>
            <w:r w:rsidR="006124D9">
              <w:t>4</w:t>
            </w:r>
          </w:p>
        </w:tc>
      </w:tr>
      <w:tr w:rsidR="007371FA" w14:paraId="737D4EF5" w14:textId="77777777" w:rsidTr="008F3EA8">
        <w:trPr>
          <w:cantSplit/>
        </w:trPr>
        <w:tc>
          <w:tcPr>
            <w:tcW w:w="3438" w:type="dxa"/>
          </w:tcPr>
          <w:p w14:paraId="41F68E72" w14:textId="77777777" w:rsidR="007371FA" w:rsidRPr="004B5D5F" w:rsidRDefault="007371FA" w:rsidP="002A35EC">
            <w:pPr>
              <w:keepNext/>
              <w:keepLines/>
              <w:spacing w:before="60" w:after="60"/>
              <w:ind w:left="284"/>
            </w:pPr>
            <w:r>
              <w:t>Subtotal</w:t>
            </w:r>
          </w:p>
        </w:tc>
        <w:tc>
          <w:tcPr>
            <w:tcW w:w="1069" w:type="dxa"/>
            <w:tcBorders>
              <w:bottom w:val="single" w:sz="4" w:space="0" w:color="auto"/>
            </w:tcBorders>
          </w:tcPr>
          <w:p w14:paraId="2AC37A64" w14:textId="77777777" w:rsidR="007371FA" w:rsidRPr="005B4C1B" w:rsidRDefault="007371FA" w:rsidP="002A35EC">
            <w:pPr>
              <w:keepNext/>
              <w:keepLines/>
              <w:spacing w:before="40" w:after="40"/>
              <w:jc w:val="right"/>
              <w:rPr>
                <w:b/>
              </w:rPr>
            </w:pPr>
            <w:r>
              <w:rPr>
                <w:b/>
              </w:rPr>
              <w:t>9.929</w:t>
            </w:r>
          </w:p>
        </w:tc>
        <w:tc>
          <w:tcPr>
            <w:tcW w:w="1069" w:type="dxa"/>
            <w:tcBorders>
              <w:bottom w:val="single" w:sz="4" w:space="0" w:color="auto"/>
            </w:tcBorders>
          </w:tcPr>
          <w:p w14:paraId="283B130A" w14:textId="77777777" w:rsidR="007371FA" w:rsidRPr="005B4C1B" w:rsidRDefault="007371FA" w:rsidP="002A35EC">
            <w:pPr>
              <w:keepNext/>
              <w:keepLines/>
              <w:spacing w:before="40" w:after="40"/>
              <w:jc w:val="right"/>
              <w:rPr>
                <w:b/>
              </w:rPr>
            </w:pPr>
            <w:r>
              <w:rPr>
                <w:b/>
              </w:rPr>
              <w:t>10.450</w:t>
            </w:r>
          </w:p>
        </w:tc>
        <w:tc>
          <w:tcPr>
            <w:tcW w:w="1070" w:type="dxa"/>
            <w:tcBorders>
              <w:bottom w:val="single" w:sz="4" w:space="0" w:color="auto"/>
            </w:tcBorders>
          </w:tcPr>
          <w:p w14:paraId="7D562FC2" w14:textId="77777777" w:rsidR="007371FA" w:rsidRPr="005B4C1B" w:rsidRDefault="007371FA" w:rsidP="002A35EC">
            <w:pPr>
              <w:keepNext/>
              <w:keepLines/>
              <w:spacing w:before="40" w:after="40"/>
              <w:jc w:val="right"/>
              <w:rPr>
                <w:b/>
              </w:rPr>
            </w:pPr>
            <w:r>
              <w:rPr>
                <w:b/>
              </w:rPr>
              <w:t>10.987</w:t>
            </w:r>
          </w:p>
        </w:tc>
        <w:tc>
          <w:tcPr>
            <w:tcW w:w="1069" w:type="dxa"/>
            <w:tcBorders>
              <w:bottom w:val="single" w:sz="4" w:space="0" w:color="auto"/>
            </w:tcBorders>
          </w:tcPr>
          <w:p w14:paraId="6E733077" w14:textId="77777777" w:rsidR="007371FA" w:rsidRPr="005B4C1B" w:rsidRDefault="007371FA" w:rsidP="002A35EC">
            <w:pPr>
              <w:keepNext/>
              <w:keepLines/>
              <w:spacing w:before="40" w:after="40"/>
              <w:jc w:val="right"/>
              <w:rPr>
                <w:b/>
              </w:rPr>
            </w:pPr>
            <w:r>
              <w:rPr>
                <w:b/>
              </w:rPr>
              <w:t>11.494</w:t>
            </w:r>
          </w:p>
        </w:tc>
        <w:tc>
          <w:tcPr>
            <w:tcW w:w="1069" w:type="dxa"/>
            <w:tcBorders>
              <w:bottom w:val="single" w:sz="4" w:space="0" w:color="auto"/>
            </w:tcBorders>
          </w:tcPr>
          <w:p w14:paraId="54174355" w14:textId="77777777" w:rsidR="007371FA" w:rsidRPr="005B4C1B" w:rsidRDefault="007371FA" w:rsidP="002A35EC">
            <w:pPr>
              <w:keepNext/>
              <w:keepLines/>
              <w:spacing w:before="40" w:after="40"/>
              <w:jc w:val="right"/>
              <w:rPr>
                <w:b/>
              </w:rPr>
            </w:pPr>
            <w:r>
              <w:rPr>
                <w:b/>
              </w:rPr>
              <w:t>12.068</w:t>
            </w:r>
          </w:p>
        </w:tc>
        <w:tc>
          <w:tcPr>
            <w:tcW w:w="1070" w:type="dxa"/>
            <w:tcBorders>
              <w:bottom w:val="single" w:sz="4" w:space="0" w:color="auto"/>
            </w:tcBorders>
          </w:tcPr>
          <w:p w14:paraId="1B7F08B2" w14:textId="77777777" w:rsidR="007371FA" w:rsidRPr="00410789" w:rsidRDefault="007371FA" w:rsidP="002A35EC">
            <w:pPr>
              <w:keepNext/>
              <w:keepLines/>
              <w:spacing w:before="40" w:after="40"/>
              <w:jc w:val="right"/>
              <w:rPr>
                <w:b/>
                <w:vertAlign w:val="superscript"/>
              </w:rPr>
            </w:pPr>
            <w:r>
              <w:rPr>
                <w:b/>
              </w:rPr>
              <w:t>54.928</w:t>
            </w:r>
            <w:r>
              <w:rPr>
                <w:b/>
                <w:vertAlign w:val="superscript"/>
              </w:rPr>
              <w:t>(a)</w:t>
            </w:r>
            <w:r w:rsidR="00ED7005">
              <w:rPr>
                <w:b/>
                <w:vertAlign w:val="superscript"/>
              </w:rPr>
              <w:t>(b)</w:t>
            </w:r>
          </w:p>
        </w:tc>
      </w:tr>
      <w:tr w:rsidR="007371FA" w14:paraId="5951F2D2" w14:textId="77777777" w:rsidTr="008F3EA8">
        <w:trPr>
          <w:cantSplit/>
        </w:trPr>
        <w:tc>
          <w:tcPr>
            <w:tcW w:w="3438" w:type="dxa"/>
          </w:tcPr>
          <w:p w14:paraId="294AF2FC" w14:textId="77777777" w:rsidR="007371FA" w:rsidRPr="004A673A" w:rsidRDefault="007371FA" w:rsidP="002A35EC">
            <w:pPr>
              <w:keepNext/>
              <w:keepLines/>
              <w:spacing w:before="60" w:after="60"/>
              <w:jc w:val="left"/>
            </w:pPr>
            <w:r>
              <w:t>Less estimated National Partnership Payments</w:t>
            </w:r>
          </w:p>
        </w:tc>
        <w:tc>
          <w:tcPr>
            <w:tcW w:w="1069" w:type="dxa"/>
            <w:tcBorders>
              <w:top w:val="single" w:sz="4" w:space="0" w:color="auto"/>
              <w:bottom w:val="single" w:sz="4" w:space="0" w:color="000080"/>
            </w:tcBorders>
          </w:tcPr>
          <w:p w14:paraId="3B586944" w14:textId="77777777" w:rsidR="007371FA" w:rsidRPr="005B4C1B" w:rsidRDefault="007371FA" w:rsidP="002A35EC">
            <w:pPr>
              <w:keepNext/>
              <w:keepLines/>
              <w:spacing w:before="40" w:after="40"/>
              <w:jc w:val="right"/>
              <w:rPr>
                <w:b/>
              </w:rPr>
            </w:pPr>
            <w:r>
              <w:rPr>
                <w:b/>
              </w:rPr>
              <w:t>9.929</w:t>
            </w:r>
          </w:p>
        </w:tc>
        <w:tc>
          <w:tcPr>
            <w:tcW w:w="1069" w:type="dxa"/>
            <w:tcBorders>
              <w:top w:val="single" w:sz="4" w:space="0" w:color="auto"/>
              <w:bottom w:val="single" w:sz="4" w:space="0" w:color="000080"/>
            </w:tcBorders>
          </w:tcPr>
          <w:p w14:paraId="49CB26A0" w14:textId="77777777" w:rsidR="007371FA" w:rsidRPr="005B4C1B" w:rsidRDefault="007371FA" w:rsidP="002A35EC">
            <w:pPr>
              <w:keepNext/>
              <w:keepLines/>
              <w:spacing w:before="40" w:after="40"/>
              <w:jc w:val="right"/>
              <w:rPr>
                <w:b/>
              </w:rPr>
            </w:pPr>
            <w:r>
              <w:rPr>
                <w:b/>
              </w:rPr>
              <w:t>10.450</w:t>
            </w:r>
          </w:p>
        </w:tc>
        <w:tc>
          <w:tcPr>
            <w:tcW w:w="1070" w:type="dxa"/>
            <w:tcBorders>
              <w:top w:val="single" w:sz="4" w:space="0" w:color="auto"/>
              <w:bottom w:val="single" w:sz="4" w:space="0" w:color="000080"/>
            </w:tcBorders>
          </w:tcPr>
          <w:p w14:paraId="1195A890" w14:textId="77777777" w:rsidR="007371FA" w:rsidRPr="005B4C1B" w:rsidRDefault="007371FA" w:rsidP="002A35EC">
            <w:pPr>
              <w:keepNext/>
              <w:keepLines/>
              <w:spacing w:before="40" w:after="40"/>
              <w:jc w:val="right"/>
              <w:rPr>
                <w:b/>
              </w:rPr>
            </w:pPr>
            <w:r>
              <w:rPr>
                <w:b/>
              </w:rPr>
              <w:t>10.987</w:t>
            </w:r>
          </w:p>
        </w:tc>
        <w:tc>
          <w:tcPr>
            <w:tcW w:w="1069" w:type="dxa"/>
            <w:tcBorders>
              <w:top w:val="single" w:sz="4" w:space="0" w:color="auto"/>
              <w:bottom w:val="single" w:sz="4" w:space="0" w:color="000080"/>
            </w:tcBorders>
          </w:tcPr>
          <w:p w14:paraId="35704706" w14:textId="77777777" w:rsidR="007371FA" w:rsidRPr="005B4C1B" w:rsidRDefault="007371FA" w:rsidP="002A35EC">
            <w:pPr>
              <w:keepNext/>
              <w:keepLines/>
              <w:spacing w:before="40" w:after="40"/>
              <w:jc w:val="right"/>
              <w:rPr>
                <w:b/>
              </w:rPr>
            </w:pPr>
            <w:r>
              <w:rPr>
                <w:b/>
              </w:rPr>
              <w:t>11.494</w:t>
            </w:r>
          </w:p>
        </w:tc>
        <w:tc>
          <w:tcPr>
            <w:tcW w:w="1069" w:type="dxa"/>
            <w:tcBorders>
              <w:top w:val="single" w:sz="4" w:space="0" w:color="auto"/>
              <w:bottom w:val="single" w:sz="4" w:space="0" w:color="000080"/>
            </w:tcBorders>
          </w:tcPr>
          <w:p w14:paraId="2F617930" w14:textId="77777777" w:rsidR="007371FA" w:rsidRPr="005B4C1B" w:rsidRDefault="007371FA" w:rsidP="002A35EC">
            <w:pPr>
              <w:keepNext/>
              <w:keepLines/>
              <w:spacing w:before="40" w:after="40"/>
              <w:jc w:val="right"/>
              <w:rPr>
                <w:b/>
              </w:rPr>
            </w:pPr>
            <w:r>
              <w:rPr>
                <w:b/>
              </w:rPr>
              <w:t>12.068</w:t>
            </w:r>
          </w:p>
        </w:tc>
        <w:tc>
          <w:tcPr>
            <w:tcW w:w="1070" w:type="dxa"/>
            <w:tcBorders>
              <w:top w:val="single" w:sz="4" w:space="0" w:color="auto"/>
              <w:bottom w:val="single" w:sz="4" w:space="0" w:color="000080"/>
            </w:tcBorders>
          </w:tcPr>
          <w:p w14:paraId="4972EF44" w14:textId="77777777" w:rsidR="007371FA" w:rsidRPr="005B4C1B" w:rsidRDefault="007371FA" w:rsidP="002A35EC">
            <w:pPr>
              <w:keepNext/>
              <w:keepLines/>
              <w:spacing w:before="40" w:after="40"/>
              <w:jc w:val="right"/>
              <w:rPr>
                <w:b/>
              </w:rPr>
            </w:pPr>
            <w:r>
              <w:rPr>
                <w:b/>
              </w:rPr>
              <w:t>54.928</w:t>
            </w:r>
          </w:p>
        </w:tc>
      </w:tr>
      <w:tr w:rsidR="00124303" w14:paraId="0ED64F6E" w14:textId="77777777" w:rsidTr="008F3EA8">
        <w:trPr>
          <w:cantSplit/>
        </w:trPr>
        <w:tc>
          <w:tcPr>
            <w:tcW w:w="3438" w:type="dxa"/>
            <w:tcBorders>
              <w:bottom w:val="single" w:sz="4" w:space="0" w:color="000080"/>
            </w:tcBorders>
          </w:tcPr>
          <w:p w14:paraId="37DD4A71" w14:textId="77777777" w:rsidR="00124303" w:rsidRPr="006146F2" w:rsidRDefault="00124303" w:rsidP="002A35EC">
            <w:pPr>
              <w:keepNext/>
              <w:keepLines/>
              <w:spacing w:before="40" w:after="40"/>
              <w:jc w:val="left"/>
            </w:pPr>
            <w:r w:rsidRPr="006146F2">
              <w:t>Balance of non-Commonwealth contribution</w:t>
            </w:r>
            <w:r>
              <w:t>s</w:t>
            </w:r>
          </w:p>
        </w:tc>
        <w:tc>
          <w:tcPr>
            <w:tcW w:w="1069" w:type="dxa"/>
            <w:tcBorders>
              <w:bottom w:val="single" w:sz="4" w:space="0" w:color="000080"/>
            </w:tcBorders>
          </w:tcPr>
          <w:p w14:paraId="3F7D96F6" w14:textId="77777777" w:rsidR="00124303" w:rsidRDefault="00124303" w:rsidP="002A35EC">
            <w:pPr>
              <w:keepNext/>
              <w:keepLines/>
              <w:spacing w:before="40" w:after="40"/>
              <w:jc w:val="right"/>
            </w:pPr>
            <w:r>
              <w:rPr>
                <w:b/>
              </w:rPr>
              <w:t>9.929</w:t>
            </w:r>
          </w:p>
        </w:tc>
        <w:tc>
          <w:tcPr>
            <w:tcW w:w="1069" w:type="dxa"/>
            <w:tcBorders>
              <w:bottom w:val="single" w:sz="4" w:space="0" w:color="000080"/>
            </w:tcBorders>
          </w:tcPr>
          <w:p w14:paraId="501520E6" w14:textId="77777777" w:rsidR="00124303" w:rsidRDefault="00124303" w:rsidP="002A35EC">
            <w:pPr>
              <w:keepNext/>
              <w:keepLines/>
              <w:spacing w:before="40" w:after="40"/>
              <w:jc w:val="right"/>
            </w:pPr>
            <w:r>
              <w:rPr>
                <w:b/>
              </w:rPr>
              <w:t>10.450</w:t>
            </w:r>
          </w:p>
        </w:tc>
        <w:tc>
          <w:tcPr>
            <w:tcW w:w="1070" w:type="dxa"/>
            <w:tcBorders>
              <w:bottom w:val="single" w:sz="4" w:space="0" w:color="000080"/>
            </w:tcBorders>
          </w:tcPr>
          <w:p w14:paraId="559C06F9" w14:textId="77777777" w:rsidR="00124303" w:rsidRDefault="00124303" w:rsidP="00124303">
            <w:pPr>
              <w:keepNext/>
              <w:keepLines/>
              <w:spacing w:before="40" w:after="40"/>
              <w:jc w:val="right"/>
            </w:pPr>
            <w:r>
              <w:rPr>
                <w:b/>
              </w:rPr>
              <w:t>10.987</w:t>
            </w:r>
          </w:p>
        </w:tc>
        <w:tc>
          <w:tcPr>
            <w:tcW w:w="1069" w:type="dxa"/>
            <w:tcBorders>
              <w:bottom w:val="single" w:sz="4" w:space="0" w:color="000080"/>
            </w:tcBorders>
          </w:tcPr>
          <w:p w14:paraId="5DC45C1E" w14:textId="77777777" w:rsidR="00124303" w:rsidRDefault="00124303" w:rsidP="002A35EC">
            <w:pPr>
              <w:keepNext/>
              <w:keepLines/>
              <w:spacing w:before="40" w:after="40"/>
              <w:jc w:val="right"/>
            </w:pPr>
            <w:r>
              <w:rPr>
                <w:b/>
              </w:rPr>
              <w:t>11.494</w:t>
            </w:r>
          </w:p>
        </w:tc>
        <w:tc>
          <w:tcPr>
            <w:tcW w:w="1069" w:type="dxa"/>
            <w:tcBorders>
              <w:bottom w:val="single" w:sz="4" w:space="0" w:color="000080"/>
            </w:tcBorders>
          </w:tcPr>
          <w:p w14:paraId="510EC6AF" w14:textId="77777777" w:rsidR="00124303" w:rsidRDefault="00124303" w:rsidP="002A35EC">
            <w:pPr>
              <w:keepNext/>
              <w:keepLines/>
              <w:spacing w:before="40" w:after="40"/>
              <w:jc w:val="right"/>
            </w:pPr>
            <w:r>
              <w:rPr>
                <w:b/>
              </w:rPr>
              <w:t>12.068</w:t>
            </w:r>
          </w:p>
        </w:tc>
        <w:tc>
          <w:tcPr>
            <w:tcW w:w="1070" w:type="dxa"/>
            <w:tcBorders>
              <w:bottom w:val="single" w:sz="4" w:space="0" w:color="000080"/>
            </w:tcBorders>
          </w:tcPr>
          <w:p w14:paraId="3EE914F8" w14:textId="77777777" w:rsidR="00124303" w:rsidRDefault="00124303" w:rsidP="002A35EC">
            <w:pPr>
              <w:keepNext/>
              <w:keepLines/>
              <w:spacing w:before="40" w:after="40"/>
              <w:jc w:val="right"/>
            </w:pPr>
            <w:r>
              <w:rPr>
                <w:b/>
              </w:rPr>
              <w:t>54.928</w:t>
            </w:r>
          </w:p>
        </w:tc>
      </w:tr>
    </w:tbl>
    <w:p w14:paraId="4EB1E090" w14:textId="77777777" w:rsidR="00225704" w:rsidRDefault="007371FA" w:rsidP="00225704">
      <w:pPr>
        <w:pStyle w:val="ChartandTableFootnoteAlpha"/>
      </w:pPr>
      <w:r w:rsidRPr="00225704">
        <w:rPr>
          <w:rFonts w:ascii="Corbel" w:hAnsi="Corbel"/>
        </w:rPr>
        <w:t>Estimates may not add due to rounding.</w:t>
      </w:r>
    </w:p>
    <w:p w14:paraId="1900D798" w14:textId="32364149" w:rsidR="00ED7005" w:rsidRPr="003942A0" w:rsidRDefault="00ED7005" w:rsidP="00225704">
      <w:pPr>
        <w:pStyle w:val="ChartandTableFootnoteAlpha"/>
      </w:pPr>
      <w:r w:rsidRPr="00225704">
        <w:rPr>
          <w:rFonts w:ascii="Corbel" w:hAnsi="Corbel"/>
        </w:rPr>
        <w:t>State allocations shown in Table 1 are based on population distribution as per Australian Demographic Statistics as at</w:t>
      </w:r>
      <w:r w:rsidR="00002B84">
        <w:rPr>
          <w:rFonts w:ascii="Corbel" w:hAnsi="Corbel"/>
        </w:rPr>
        <w:t xml:space="preserve"> </w:t>
      </w:r>
      <w:r w:rsidR="00C553D0">
        <w:rPr>
          <w:rFonts w:ascii="Corbel" w:hAnsi="Corbel"/>
        </w:rPr>
        <w:t xml:space="preserve"> </w:t>
      </w:r>
      <w:r w:rsidR="00730AB3">
        <w:rPr>
          <w:rFonts w:ascii="Corbel" w:hAnsi="Corbel"/>
        </w:rPr>
        <w:t>March 2018</w:t>
      </w:r>
      <w:r w:rsidRPr="00225704">
        <w:rPr>
          <w:rFonts w:ascii="Corbel" w:hAnsi="Corbel"/>
        </w:rPr>
        <w:t>.</w:t>
      </w:r>
    </w:p>
    <w:p w14:paraId="505BAF8B" w14:textId="77777777" w:rsidR="00CE7403" w:rsidRDefault="00CE7403" w:rsidP="00884AEB">
      <w:pPr>
        <w:pStyle w:val="ChartandTableFootnoteAlpha"/>
        <w:numPr>
          <w:ilvl w:val="0"/>
          <w:numId w:val="0"/>
        </w:numPr>
        <w:ind w:left="283"/>
      </w:pPr>
    </w:p>
    <w:p w14:paraId="686A52B7" w14:textId="77777777" w:rsidR="008E7527" w:rsidRDefault="008E7527" w:rsidP="009E093C">
      <w:pPr>
        <w:pStyle w:val="Normalnumbered"/>
        <w:numPr>
          <w:ilvl w:val="0"/>
          <w:numId w:val="23"/>
        </w:numPr>
      </w:pPr>
      <w:r w:rsidRPr="00C738BD">
        <w:t xml:space="preserve">Having regard to the agreed estimated costs of projects specified in </w:t>
      </w:r>
      <w:r w:rsidR="006B43AF">
        <w:t>this</w:t>
      </w:r>
      <w:r>
        <w:t xml:space="preserve"> Agreement</w:t>
      </w:r>
      <w:r w:rsidRPr="00C738BD">
        <w:t>, a State or Territory will not be required to pay a refund to the Commonwealth if the actual cost of the project is less than the agreed</w:t>
      </w:r>
      <w:r w:rsidR="00515AF2">
        <w:t xml:space="preserve"> estimated cost of the project.  </w:t>
      </w:r>
      <w:r w:rsidRPr="00C738BD">
        <w:t>Similarly, the States</w:t>
      </w:r>
      <w:r>
        <w:t xml:space="preserve"> </w:t>
      </w:r>
      <w:r w:rsidRPr="00C738BD">
        <w:t>bear all risk should the costs of a project exceed the agreed estimated cost</w:t>
      </w:r>
      <w:r>
        <w:t>s.</w:t>
      </w:r>
      <w:r w:rsidRPr="00C738BD">
        <w:t xml:space="preserve"> The Parties acknowledge that this arrangement provides the maximum incentive for the States to deliver projects cost effectively and efficiently.</w:t>
      </w:r>
    </w:p>
    <w:p w14:paraId="51F433E9" w14:textId="77777777" w:rsidR="00814667" w:rsidRDefault="003A2157">
      <w:pPr>
        <w:pStyle w:val="Heading1"/>
      </w:pPr>
      <w:bookmarkStart w:id="1" w:name="top"/>
      <w:bookmarkEnd w:id="1"/>
      <w:r>
        <w:t xml:space="preserve">Part </w:t>
      </w:r>
      <w:r w:rsidR="000B4080">
        <w:t>6</w:t>
      </w:r>
      <w:r w:rsidR="00814667">
        <w:t xml:space="preserve"> — governance arrangements</w:t>
      </w:r>
    </w:p>
    <w:p w14:paraId="20784E09" w14:textId="77777777" w:rsidR="00BC4728" w:rsidRDefault="00BC4728" w:rsidP="00BC4728">
      <w:pPr>
        <w:pStyle w:val="Heading2"/>
      </w:pPr>
      <w:r w:rsidRPr="006F096A">
        <w:t>Enforceability of the Agreement</w:t>
      </w:r>
    </w:p>
    <w:p w14:paraId="42566152" w14:textId="77777777" w:rsidR="00BC4728" w:rsidRPr="00C40EBC" w:rsidRDefault="00BC4728" w:rsidP="00B619AA">
      <w:pPr>
        <w:pStyle w:val="Normalnumbered"/>
        <w:numPr>
          <w:ilvl w:val="0"/>
          <w:numId w:val="23"/>
        </w:numPr>
        <w:spacing w:line="240" w:lineRule="auto"/>
      </w:pPr>
      <w:r>
        <w:rPr>
          <w:szCs w:val="23"/>
        </w:rPr>
        <w:t>The Parties do not intend any of the provisions of this Agreement to be legally enforceable. However, that does not lessen the Parties’ commitment to this Agreement.</w:t>
      </w:r>
    </w:p>
    <w:p w14:paraId="06E06D85" w14:textId="77777777" w:rsidR="00814667" w:rsidRDefault="00814667">
      <w:pPr>
        <w:pStyle w:val="Heading2"/>
      </w:pPr>
      <w:r>
        <w:t>Variation of the Agreement</w:t>
      </w:r>
    </w:p>
    <w:p w14:paraId="6AD63BEA" w14:textId="77777777" w:rsidR="00C2605C" w:rsidRPr="00DE36EB" w:rsidRDefault="00607B03" w:rsidP="00884AEB">
      <w:pPr>
        <w:pStyle w:val="Normalnumbered"/>
        <w:numPr>
          <w:ilvl w:val="0"/>
          <w:numId w:val="23"/>
        </w:numPr>
      </w:pPr>
      <w:r>
        <w:t>The A</w:t>
      </w:r>
      <w:r w:rsidR="00814667">
        <w:t xml:space="preserve">greement may be amended at any time by agreement in writing by </w:t>
      </w:r>
      <w:r w:rsidR="00814667" w:rsidRPr="00DE36EB">
        <w:t>all</w:t>
      </w:r>
      <w:r w:rsidR="002B1C50" w:rsidRPr="00DE36EB">
        <w:t xml:space="preserve"> </w:t>
      </w:r>
      <w:r w:rsidR="00814667" w:rsidRPr="00DE36EB">
        <w:t>the Parties.</w:t>
      </w:r>
    </w:p>
    <w:p w14:paraId="37C56D7B" w14:textId="77777777" w:rsidR="00292587" w:rsidRPr="00DE36EB" w:rsidRDefault="00292587" w:rsidP="00B619AA">
      <w:pPr>
        <w:pStyle w:val="Normalnumbered"/>
        <w:numPr>
          <w:ilvl w:val="0"/>
          <w:numId w:val="23"/>
        </w:numPr>
      </w:pPr>
      <w:r w:rsidRPr="00DE36EB">
        <w:t>Bilateral schedules to this Agreement that have no impact on other Parties may be amended at any time by agreement in writing by the relevant Commonwealth and State portfolio ministers.</w:t>
      </w:r>
    </w:p>
    <w:p w14:paraId="2C05C9B2" w14:textId="77777777" w:rsidR="00292587" w:rsidRDefault="00C2605C" w:rsidP="00B619AA">
      <w:pPr>
        <w:pStyle w:val="Normalnumbered"/>
        <w:numPr>
          <w:ilvl w:val="0"/>
          <w:numId w:val="23"/>
        </w:numPr>
      </w:pPr>
      <w:r w:rsidRPr="00DE36EB">
        <w:t>A</w:t>
      </w:r>
      <w:r w:rsidR="00261937">
        <w:t xml:space="preserve"> </w:t>
      </w:r>
      <w:r w:rsidR="00814667" w:rsidRPr="00DE36EB">
        <w:t>Party to the Agreement may terminate their part</w:t>
      </w:r>
      <w:r w:rsidR="00814667">
        <w:t xml:space="preserve">icipation in the Agreement at any time by notifying all </w:t>
      </w:r>
      <w:r>
        <w:t>Parties</w:t>
      </w:r>
      <w:r>
        <w:rPr>
          <w:i/>
        </w:rPr>
        <w:t xml:space="preserve"> </w:t>
      </w:r>
      <w:r w:rsidR="00814667">
        <w:t>in writing.</w:t>
      </w:r>
    </w:p>
    <w:p w14:paraId="75178C79" w14:textId="77777777" w:rsidR="009526E4" w:rsidRDefault="009526E4" w:rsidP="0036119D">
      <w:pPr>
        <w:pStyle w:val="Heading2"/>
      </w:pPr>
      <w:r>
        <w:t>Delegations</w:t>
      </w:r>
    </w:p>
    <w:p w14:paraId="237503DB" w14:textId="77777777" w:rsidR="009526E4" w:rsidRDefault="009526E4" w:rsidP="00244500">
      <w:pPr>
        <w:pStyle w:val="Normalnumbered"/>
        <w:numPr>
          <w:ilvl w:val="0"/>
          <w:numId w:val="23"/>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5B21B2D0" w14:textId="77777777" w:rsidR="0036119D" w:rsidRDefault="0036119D" w:rsidP="0036119D">
      <w:pPr>
        <w:pStyle w:val="Heading2"/>
      </w:pPr>
      <w:r>
        <w:lastRenderedPageBreak/>
        <w:t>Dispute resolution</w:t>
      </w:r>
    </w:p>
    <w:p w14:paraId="36D5AFA1" w14:textId="77777777" w:rsidR="0036119D" w:rsidRPr="00DE36EB" w:rsidRDefault="0036119D" w:rsidP="00244500">
      <w:pPr>
        <w:pStyle w:val="Normalnumbered"/>
        <w:numPr>
          <w:ilvl w:val="0"/>
          <w:numId w:val="23"/>
        </w:numPr>
      </w:pPr>
      <w:r w:rsidRPr="00DE36EB">
        <w:t>Any</w:t>
      </w:r>
      <w:r w:rsidR="002B1C50" w:rsidRPr="00DE36EB">
        <w:t xml:space="preserve"> </w:t>
      </w:r>
      <w:r w:rsidRPr="00DE36EB">
        <w:t>Party may give notice to other Parties</w:t>
      </w:r>
      <w:r w:rsidR="00684EC1" w:rsidRPr="00DE36EB">
        <w:t xml:space="preserve"> </w:t>
      </w:r>
      <w:r w:rsidRPr="00DE36EB">
        <w:t>of a dispute under this Agreement.</w:t>
      </w:r>
    </w:p>
    <w:p w14:paraId="3EBF73B4" w14:textId="77777777" w:rsidR="0036119D" w:rsidRPr="00DE36EB" w:rsidRDefault="0036119D" w:rsidP="00244500">
      <w:pPr>
        <w:pStyle w:val="Normalnumbered"/>
        <w:numPr>
          <w:ilvl w:val="0"/>
          <w:numId w:val="23"/>
        </w:numPr>
      </w:pPr>
      <w:r w:rsidRPr="00DE36EB">
        <w:t>Officials of relevant</w:t>
      </w:r>
      <w:r w:rsidR="002B1C50" w:rsidRPr="00DE36EB">
        <w:rPr>
          <w:i/>
        </w:rPr>
        <w:t xml:space="preserve"> </w:t>
      </w:r>
      <w:r w:rsidRPr="00DE36EB">
        <w:t>Parties will attempt to resolve any dispute in the first instance.</w:t>
      </w:r>
    </w:p>
    <w:p w14:paraId="51C68D6B" w14:textId="77777777" w:rsidR="0036119D" w:rsidRPr="00DE36EB" w:rsidRDefault="0036119D" w:rsidP="00244500">
      <w:pPr>
        <w:pStyle w:val="Normalnumbered"/>
        <w:numPr>
          <w:ilvl w:val="0"/>
          <w:numId w:val="23"/>
        </w:numPr>
      </w:pPr>
      <w:r w:rsidRPr="00DE36EB">
        <w:t>If a dispute cannot be resolved by officials, it may be escalated to the relevant Ministers.</w:t>
      </w:r>
    </w:p>
    <w:p w14:paraId="492C1138" w14:textId="77777777" w:rsidR="0036119D" w:rsidRPr="00884AEB" w:rsidRDefault="0036119D" w:rsidP="0036119D">
      <w:pPr>
        <w:pStyle w:val="Heading2"/>
        <w:rPr>
          <w:b w:val="0"/>
          <w:i/>
          <w:sz w:val="23"/>
          <w:szCs w:val="23"/>
        </w:rPr>
      </w:pPr>
      <w:r w:rsidRPr="00884AEB">
        <w:t xml:space="preserve">Interpretation </w:t>
      </w:r>
    </w:p>
    <w:p w14:paraId="3A9D78E5" w14:textId="77777777" w:rsidR="0036119D" w:rsidRDefault="0036119D" w:rsidP="00244500">
      <w:pPr>
        <w:pStyle w:val="Normalnumbered"/>
        <w:numPr>
          <w:ilvl w:val="0"/>
          <w:numId w:val="23"/>
        </w:numPr>
        <w:jc w:val="left"/>
      </w:pPr>
      <w:r>
        <w:t>For the purposes of this Agreement:</w:t>
      </w:r>
    </w:p>
    <w:p w14:paraId="392D0800" w14:textId="77777777" w:rsidR="0036119D" w:rsidRDefault="001D6B7F" w:rsidP="00820916">
      <w:pPr>
        <w:pStyle w:val="Normalnumbered"/>
        <w:numPr>
          <w:ilvl w:val="0"/>
          <w:numId w:val="0"/>
        </w:numPr>
        <w:ind w:left="567"/>
        <w:sectPr w:rsidR="0036119D" w:rsidSect="00ED7005">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pgNumType w:start="0"/>
          <w:cols w:space="708"/>
          <w:titlePg/>
          <w:docGrid w:linePitch="360"/>
        </w:sectPr>
      </w:pPr>
      <w:r>
        <w:t>R</w:t>
      </w:r>
      <w:r w:rsidRPr="004B538E">
        <w:t xml:space="preserve">esidential </w:t>
      </w:r>
      <w:r>
        <w:t>A</w:t>
      </w:r>
      <w:r w:rsidRPr="004B538E">
        <w:t xml:space="preserve">ged </w:t>
      </w:r>
      <w:r>
        <w:t xml:space="preserve">Care Facilities (RACFs) - </w:t>
      </w:r>
      <w:r w:rsidR="009A1458" w:rsidRPr="00820916">
        <w:rPr>
          <w:iCs/>
        </w:rPr>
        <w:t>A special-purpose facility which provides accommodation and other types of support, including assistance with day-to-day living, intensive forms of care, and assistance towards independent living, to frail and aged residents. Facilities are accredited by the Aged Care Standards and Accreditation Agency Ltd to receive funding from the Australian Government through residential aged care subsidies</w:t>
      </w:r>
      <w:r w:rsidR="009A1458" w:rsidRPr="00820916">
        <w:rPr>
          <w:i/>
          <w:iCs/>
        </w:rPr>
        <w:t>.</w:t>
      </w:r>
    </w:p>
    <w:p w14:paraId="0F98B3C1"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38F7194E" w14:textId="77777777">
        <w:trPr>
          <w:cantSplit/>
          <w:jc w:val="center"/>
        </w:trPr>
        <w:tc>
          <w:tcPr>
            <w:tcW w:w="4536" w:type="dxa"/>
          </w:tcPr>
          <w:p w14:paraId="3293B63D" w14:textId="77777777" w:rsidR="00814667" w:rsidRPr="004A0AE7" w:rsidRDefault="00814667">
            <w:pPr>
              <w:pStyle w:val="Signed"/>
            </w:pPr>
            <w:r>
              <w:rPr>
                <w:rStyle w:val="SignedBold"/>
              </w:rPr>
              <w:t>Signed</w:t>
            </w:r>
            <w:r w:rsidRPr="004A0AE7">
              <w:t xml:space="preserve"> for and on behalf of the</w:t>
            </w:r>
            <w:r>
              <w:t xml:space="preserve"> </w:t>
            </w:r>
            <w:r w:rsidRPr="004A0AE7">
              <w:t>Commonwealth of Australia by</w:t>
            </w:r>
          </w:p>
          <w:p w14:paraId="67C316C1" w14:textId="77777777" w:rsidR="00814667" w:rsidRPr="00A50751" w:rsidRDefault="00814667">
            <w:pPr>
              <w:pStyle w:val="LineForSignature"/>
            </w:pPr>
            <w:r>
              <w:tab/>
            </w:r>
          </w:p>
          <w:p w14:paraId="424CC6BA" w14:textId="727EB65E" w:rsidR="00814667" w:rsidRDefault="00814667">
            <w:pPr>
              <w:pStyle w:val="SingleParagraph"/>
              <w:rPr>
                <w:rStyle w:val="Bold"/>
              </w:rPr>
            </w:pPr>
            <w:r>
              <w:rPr>
                <w:rStyle w:val="Bold"/>
              </w:rPr>
              <w:t xml:space="preserve">The Honourable </w:t>
            </w:r>
            <w:r w:rsidR="00A534C3">
              <w:rPr>
                <w:rStyle w:val="Bold"/>
              </w:rPr>
              <w:t>Greg Hunt</w:t>
            </w:r>
            <w:r w:rsidR="0099742A">
              <w:rPr>
                <w:rStyle w:val="Bold"/>
              </w:rPr>
              <w:t xml:space="preserve"> </w:t>
            </w:r>
            <w:r>
              <w:rPr>
                <w:rStyle w:val="Bold"/>
              </w:rPr>
              <w:t>MP</w:t>
            </w:r>
          </w:p>
          <w:p w14:paraId="16709488" w14:textId="02272239" w:rsidR="00814667" w:rsidRDefault="0099742A">
            <w:pPr>
              <w:pStyle w:val="Position"/>
              <w:rPr>
                <w:lang w:val="en-GB"/>
              </w:rPr>
            </w:pPr>
            <w:r>
              <w:rPr>
                <w:lang w:val="en-GB"/>
              </w:rPr>
              <w:t xml:space="preserve">Minister for </w:t>
            </w:r>
            <w:r w:rsidR="0057174A">
              <w:rPr>
                <w:lang w:val="en-GB"/>
              </w:rPr>
              <w:t>H</w:t>
            </w:r>
            <w:r w:rsidR="00A534C3">
              <w:rPr>
                <w:lang w:val="en-GB"/>
              </w:rPr>
              <w:t>ealth</w:t>
            </w:r>
            <w:r>
              <w:rPr>
                <w:lang w:val="en-GB"/>
              </w:rPr>
              <w:t xml:space="preserve"> </w:t>
            </w:r>
          </w:p>
          <w:p w14:paraId="77FED967" w14:textId="77777777" w:rsidR="00814667" w:rsidRDefault="006679C0">
            <w:pPr>
              <w:pStyle w:val="SingleParagraph"/>
              <w:tabs>
                <w:tab w:val="num" w:pos="1134"/>
              </w:tabs>
              <w:spacing w:after="240"/>
              <w:ind w:left="1134" w:hanging="567"/>
              <w:rPr>
                <w:b/>
                <w:lang w:val="en-GB"/>
              </w:rPr>
            </w:pPr>
            <w:r>
              <w:rPr>
                <w:lang w:val="en-GB"/>
              </w:rPr>
              <w:t>[Day]  [</w:t>
            </w:r>
            <w:r w:rsidR="001B1CA3">
              <w:rPr>
                <w:lang w:val="en-GB"/>
              </w:rPr>
              <w:t>Month</w:t>
            </w:r>
            <w:r>
              <w:rPr>
                <w:lang w:val="en-GB"/>
              </w:rPr>
              <w:t>]</w:t>
            </w:r>
            <w:r w:rsidR="001B1CA3">
              <w:rPr>
                <w:lang w:val="en-GB"/>
              </w:rPr>
              <w:t xml:space="preserve"> </w:t>
            </w:r>
            <w:r>
              <w:rPr>
                <w:lang w:val="en-GB"/>
              </w:rPr>
              <w:t xml:space="preserve"> [Year]</w:t>
            </w:r>
          </w:p>
        </w:tc>
        <w:tc>
          <w:tcPr>
            <w:tcW w:w="284" w:type="dxa"/>
            <w:tcMar>
              <w:left w:w="0" w:type="dxa"/>
              <w:right w:w="0" w:type="dxa"/>
            </w:tcMar>
          </w:tcPr>
          <w:p w14:paraId="06E746DF" w14:textId="77777777" w:rsidR="00814667" w:rsidRPr="00A50751" w:rsidRDefault="00814667">
            <w:pPr>
              <w:rPr>
                <w:rFonts w:ascii="Book Antiqua" w:hAnsi="Book Antiqua"/>
                <w:lang w:val="en-GB"/>
              </w:rPr>
            </w:pPr>
          </w:p>
        </w:tc>
        <w:tc>
          <w:tcPr>
            <w:tcW w:w="4536" w:type="dxa"/>
          </w:tcPr>
          <w:p w14:paraId="719695A0" w14:textId="77777777" w:rsidR="00814667" w:rsidRPr="00A50751" w:rsidRDefault="00814667">
            <w:pPr>
              <w:rPr>
                <w:rFonts w:ascii="Book Antiqua" w:hAnsi="Book Antiqua"/>
                <w:lang w:val="en-GB"/>
              </w:rPr>
            </w:pPr>
          </w:p>
        </w:tc>
      </w:tr>
      <w:tr w:rsidR="00814667" w:rsidRPr="00A50751" w14:paraId="4F99B350" w14:textId="77777777">
        <w:trPr>
          <w:cantSplit/>
          <w:jc w:val="center"/>
        </w:trPr>
        <w:tc>
          <w:tcPr>
            <w:tcW w:w="4536" w:type="dxa"/>
          </w:tcPr>
          <w:p w14:paraId="7A929AAD"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6544DAC7" w14:textId="77777777" w:rsidR="00814667" w:rsidRPr="00A50751" w:rsidRDefault="00814667">
            <w:pPr>
              <w:pStyle w:val="SingleParagraph"/>
              <w:rPr>
                <w:rFonts w:ascii="Book Antiqua" w:hAnsi="Book Antiqua"/>
                <w:lang w:val="en-GB"/>
              </w:rPr>
            </w:pPr>
          </w:p>
        </w:tc>
        <w:tc>
          <w:tcPr>
            <w:tcW w:w="4536" w:type="dxa"/>
          </w:tcPr>
          <w:p w14:paraId="1D89EEC5" w14:textId="77777777" w:rsidR="00814667" w:rsidRPr="00A50751" w:rsidRDefault="00814667">
            <w:pPr>
              <w:pStyle w:val="SingleParagraph"/>
              <w:rPr>
                <w:rFonts w:ascii="Book Antiqua" w:hAnsi="Book Antiqua"/>
                <w:lang w:val="en-GB"/>
              </w:rPr>
            </w:pPr>
          </w:p>
        </w:tc>
      </w:tr>
      <w:tr w:rsidR="00814667" w:rsidRPr="00A50751" w14:paraId="63E258FC" w14:textId="77777777">
        <w:trPr>
          <w:cantSplit/>
          <w:jc w:val="center"/>
        </w:trPr>
        <w:tc>
          <w:tcPr>
            <w:tcW w:w="4536" w:type="dxa"/>
          </w:tcPr>
          <w:p w14:paraId="5680E34C" w14:textId="77777777" w:rsidR="00814667" w:rsidRPr="004A0AE7" w:rsidRDefault="00814667">
            <w:pPr>
              <w:pStyle w:val="Signed"/>
            </w:pPr>
            <w:r>
              <w:rPr>
                <w:rStyle w:val="SignedBold"/>
              </w:rPr>
              <w:t>Signed</w:t>
            </w:r>
            <w:r w:rsidRPr="004A0AE7">
              <w:t xml:space="preserve"> for and on behalf of the</w:t>
            </w:r>
            <w:r>
              <w:t xml:space="preserve"> </w:t>
            </w:r>
            <w:r w:rsidRPr="004A0AE7">
              <w:br/>
              <w:t>State of New South Wales by</w:t>
            </w:r>
          </w:p>
          <w:p w14:paraId="299CAF48" w14:textId="77777777" w:rsidR="00814667" w:rsidRPr="00A50751" w:rsidRDefault="00814667">
            <w:pPr>
              <w:pStyle w:val="LineForSignature"/>
            </w:pPr>
            <w:r w:rsidRPr="00A50751">
              <w:tab/>
            </w:r>
          </w:p>
          <w:p w14:paraId="7AFD1A5F" w14:textId="325891BD" w:rsidR="00814667" w:rsidRDefault="00814667">
            <w:pPr>
              <w:pStyle w:val="SingleParagraph"/>
              <w:rPr>
                <w:rStyle w:val="Bold"/>
              </w:rPr>
            </w:pPr>
            <w:r>
              <w:rPr>
                <w:rStyle w:val="Bold"/>
              </w:rPr>
              <w:t xml:space="preserve">The Honourable </w:t>
            </w:r>
            <w:r w:rsidR="00C5762F">
              <w:rPr>
                <w:rStyle w:val="Bold"/>
              </w:rPr>
              <w:t>Brad Hazzard</w:t>
            </w:r>
            <w:r w:rsidR="0099742A">
              <w:rPr>
                <w:rStyle w:val="Bold"/>
              </w:rPr>
              <w:t xml:space="preserve"> </w:t>
            </w:r>
            <w:r>
              <w:rPr>
                <w:rStyle w:val="Bold"/>
              </w:rPr>
              <w:t>MP</w:t>
            </w:r>
          </w:p>
          <w:p w14:paraId="5AE997B6" w14:textId="0ADBDFE0" w:rsidR="00C5762F" w:rsidRDefault="00542A8C" w:rsidP="00C5762F">
            <w:pPr>
              <w:pStyle w:val="Position"/>
              <w:spacing w:after="0"/>
              <w:rPr>
                <w:lang w:val="en-GB"/>
              </w:rPr>
            </w:pPr>
            <w:r>
              <w:rPr>
                <w:lang w:val="en-GB"/>
              </w:rPr>
              <w:t xml:space="preserve">Minister for </w:t>
            </w:r>
            <w:r w:rsidR="00C5762F">
              <w:rPr>
                <w:lang w:val="en-GB"/>
              </w:rPr>
              <w:t>Health</w:t>
            </w:r>
          </w:p>
          <w:p w14:paraId="4E6DFBDB" w14:textId="0A3F10D1" w:rsidR="00542A8C" w:rsidRDefault="00542A8C" w:rsidP="00542A8C">
            <w:pPr>
              <w:pStyle w:val="Position"/>
              <w:rPr>
                <w:lang w:val="en-GB"/>
              </w:rPr>
            </w:pPr>
          </w:p>
          <w:p w14:paraId="6C63D91F" w14:textId="77777777" w:rsidR="00814667" w:rsidRPr="00A50751" w:rsidRDefault="00542A8C">
            <w:pPr>
              <w:pStyle w:val="SingleParagraph"/>
              <w:tabs>
                <w:tab w:val="num" w:pos="1134"/>
              </w:tabs>
              <w:spacing w:after="240"/>
              <w:ind w:left="1134" w:hanging="567"/>
              <w:rPr>
                <w:szCs w:val="22"/>
                <w:lang w:val="en-GB"/>
              </w:rPr>
            </w:pPr>
            <w:r w:rsidRPr="001F6FE8" w:rsidDel="00542A8C">
              <w:rPr>
                <w:bCs/>
                <w:lang w:val="en-GB"/>
              </w:rPr>
              <w:t xml:space="preserve"> </w:t>
            </w:r>
            <w:r w:rsidR="006679C0">
              <w:rPr>
                <w:lang w:val="en-GB"/>
              </w:rPr>
              <w:t>[Day]  [Month]  [Year]</w:t>
            </w:r>
          </w:p>
        </w:tc>
        <w:tc>
          <w:tcPr>
            <w:tcW w:w="284" w:type="dxa"/>
            <w:tcMar>
              <w:left w:w="0" w:type="dxa"/>
              <w:right w:w="0" w:type="dxa"/>
            </w:tcMar>
          </w:tcPr>
          <w:p w14:paraId="4D8D6EED" w14:textId="77777777" w:rsidR="00814667" w:rsidRPr="00A50751" w:rsidRDefault="00814667">
            <w:pPr>
              <w:rPr>
                <w:rFonts w:ascii="Book Antiqua" w:hAnsi="Book Antiqua"/>
                <w:lang w:val="en-GB"/>
              </w:rPr>
            </w:pPr>
          </w:p>
        </w:tc>
        <w:tc>
          <w:tcPr>
            <w:tcW w:w="4536" w:type="dxa"/>
          </w:tcPr>
          <w:p w14:paraId="45E54CE5" w14:textId="77777777" w:rsidR="00814667" w:rsidRPr="004A0AE7" w:rsidRDefault="00814667">
            <w:pPr>
              <w:pStyle w:val="Signed"/>
            </w:pPr>
            <w:r>
              <w:rPr>
                <w:rStyle w:val="SignedBold"/>
              </w:rPr>
              <w:t>Signed</w:t>
            </w:r>
            <w:r w:rsidRPr="004A0AE7">
              <w:t xml:space="preserve"> for and on behalf of the</w:t>
            </w:r>
            <w:r w:rsidRPr="004A0AE7">
              <w:br/>
              <w:t>State of Victoria by</w:t>
            </w:r>
          </w:p>
          <w:p w14:paraId="08C3BC05" w14:textId="77777777" w:rsidR="00814667" w:rsidRPr="00A50751" w:rsidRDefault="00814667">
            <w:pPr>
              <w:pStyle w:val="LineForSignature"/>
            </w:pPr>
            <w:r w:rsidRPr="00A50751">
              <w:tab/>
            </w:r>
          </w:p>
          <w:p w14:paraId="5810C296" w14:textId="13DAB071" w:rsidR="00814667" w:rsidRDefault="00814667">
            <w:pPr>
              <w:pStyle w:val="SingleParagraph"/>
              <w:rPr>
                <w:rStyle w:val="Bold"/>
              </w:rPr>
            </w:pPr>
            <w:r>
              <w:rPr>
                <w:rStyle w:val="Bold"/>
              </w:rPr>
              <w:t xml:space="preserve">The Honourable </w:t>
            </w:r>
            <w:r w:rsidR="0036198B">
              <w:rPr>
                <w:rStyle w:val="Bold"/>
              </w:rPr>
              <w:t>Jenny Mikakos MLC</w:t>
            </w:r>
          </w:p>
          <w:p w14:paraId="1605EC3B" w14:textId="0C094F28" w:rsidR="00542A8C" w:rsidRDefault="00542A8C" w:rsidP="00542A8C">
            <w:pPr>
              <w:pStyle w:val="Position"/>
              <w:rPr>
                <w:lang w:val="en-GB"/>
              </w:rPr>
            </w:pPr>
            <w:r>
              <w:rPr>
                <w:lang w:val="en-GB"/>
              </w:rPr>
              <w:t xml:space="preserve">Minister for </w:t>
            </w:r>
            <w:r w:rsidR="00C5762F">
              <w:rPr>
                <w:lang w:val="en-GB"/>
              </w:rPr>
              <w:t>Health</w:t>
            </w:r>
            <w:r>
              <w:rPr>
                <w:lang w:val="en-GB"/>
              </w:rPr>
              <w:t xml:space="preserve"> </w:t>
            </w:r>
          </w:p>
          <w:p w14:paraId="7C4450F2" w14:textId="77777777" w:rsidR="00814667" w:rsidRPr="00A50751" w:rsidRDefault="00542A8C">
            <w:pPr>
              <w:pStyle w:val="SingleParagraph"/>
              <w:tabs>
                <w:tab w:val="num" w:pos="1134"/>
              </w:tabs>
              <w:spacing w:after="240"/>
              <w:ind w:left="1134" w:hanging="567"/>
              <w:rPr>
                <w:lang w:val="en-GB"/>
              </w:rPr>
            </w:pPr>
            <w:r w:rsidRPr="00B00778" w:rsidDel="00542A8C">
              <w:rPr>
                <w:bCs/>
                <w:lang w:val="en-GB"/>
              </w:rPr>
              <w:t xml:space="preserve"> </w:t>
            </w:r>
            <w:r w:rsidR="006679C0">
              <w:rPr>
                <w:lang w:val="en-GB"/>
              </w:rPr>
              <w:t>[Day]  [Month]  [Year]</w:t>
            </w:r>
          </w:p>
        </w:tc>
      </w:tr>
      <w:tr w:rsidR="00814667" w:rsidRPr="00A50751" w14:paraId="4D89BC2D" w14:textId="77777777">
        <w:trPr>
          <w:cantSplit/>
          <w:jc w:val="center"/>
        </w:trPr>
        <w:tc>
          <w:tcPr>
            <w:tcW w:w="4536" w:type="dxa"/>
          </w:tcPr>
          <w:p w14:paraId="7D7CAC29"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32E5A153" w14:textId="77777777" w:rsidR="00814667" w:rsidRPr="00A50751" w:rsidRDefault="00814667">
            <w:pPr>
              <w:pStyle w:val="SingleParagraph"/>
              <w:rPr>
                <w:rFonts w:ascii="Book Antiqua" w:hAnsi="Book Antiqua"/>
                <w:lang w:val="en-GB"/>
              </w:rPr>
            </w:pPr>
          </w:p>
        </w:tc>
        <w:tc>
          <w:tcPr>
            <w:tcW w:w="4536" w:type="dxa"/>
          </w:tcPr>
          <w:p w14:paraId="2E6AAD5E" w14:textId="77777777" w:rsidR="00814667" w:rsidRPr="00A50751" w:rsidRDefault="00814667">
            <w:pPr>
              <w:pStyle w:val="SingleParagraph"/>
              <w:rPr>
                <w:rFonts w:ascii="Book Antiqua" w:hAnsi="Book Antiqua"/>
                <w:lang w:val="en-GB"/>
              </w:rPr>
            </w:pPr>
          </w:p>
        </w:tc>
      </w:tr>
      <w:tr w:rsidR="00814667" w:rsidRPr="00A50751" w14:paraId="2B53426C" w14:textId="77777777">
        <w:trPr>
          <w:cantSplit/>
          <w:jc w:val="center"/>
        </w:trPr>
        <w:tc>
          <w:tcPr>
            <w:tcW w:w="4536" w:type="dxa"/>
          </w:tcPr>
          <w:p w14:paraId="3804D9B3" w14:textId="77777777" w:rsidR="00814667" w:rsidRPr="004A0AE7" w:rsidRDefault="00814667">
            <w:pPr>
              <w:pStyle w:val="Signed"/>
            </w:pPr>
            <w:r>
              <w:rPr>
                <w:rStyle w:val="SignedBold"/>
              </w:rPr>
              <w:t>Signed</w:t>
            </w:r>
            <w:r w:rsidRPr="004A0AE7">
              <w:t xml:space="preserve"> for and on behalf of the</w:t>
            </w:r>
            <w:r w:rsidRPr="004A0AE7">
              <w:br/>
              <w:t>State of Queensland by</w:t>
            </w:r>
          </w:p>
          <w:p w14:paraId="2D206937" w14:textId="77777777" w:rsidR="00814667" w:rsidRPr="00A50751" w:rsidRDefault="00814667">
            <w:pPr>
              <w:pStyle w:val="LineForSignature"/>
            </w:pPr>
            <w:r w:rsidRPr="00A50751">
              <w:tab/>
            </w:r>
          </w:p>
          <w:p w14:paraId="4F713DDE" w14:textId="5C2E5EC9" w:rsidR="00814667" w:rsidRDefault="00814667">
            <w:pPr>
              <w:pStyle w:val="SingleParagraph"/>
              <w:rPr>
                <w:b/>
              </w:rPr>
            </w:pPr>
            <w:r>
              <w:rPr>
                <w:b/>
              </w:rPr>
              <w:t xml:space="preserve">The Honourable </w:t>
            </w:r>
            <w:r w:rsidR="00C1554C" w:rsidRPr="00C1554C">
              <w:rPr>
                <w:b/>
              </w:rPr>
              <w:t>Dr Steven Miles</w:t>
            </w:r>
            <w:r w:rsidR="0099742A">
              <w:rPr>
                <w:rStyle w:val="Bold"/>
              </w:rPr>
              <w:t xml:space="preserve"> </w:t>
            </w:r>
            <w:r>
              <w:rPr>
                <w:b/>
              </w:rPr>
              <w:t>MP</w:t>
            </w:r>
          </w:p>
          <w:p w14:paraId="465F5426" w14:textId="79F73A21" w:rsidR="00C1554C" w:rsidRDefault="00542A8C" w:rsidP="00C1554C">
            <w:pPr>
              <w:pStyle w:val="Position"/>
              <w:spacing w:after="0"/>
              <w:rPr>
                <w:lang w:val="en-GB"/>
              </w:rPr>
            </w:pPr>
            <w:r>
              <w:rPr>
                <w:lang w:val="en-GB"/>
              </w:rPr>
              <w:t xml:space="preserve">Minister for </w:t>
            </w:r>
            <w:r w:rsidR="00C1554C">
              <w:rPr>
                <w:lang w:val="en-GB"/>
              </w:rPr>
              <w:t>Hea</w:t>
            </w:r>
            <w:r w:rsidR="003B3577">
              <w:rPr>
                <w:lang w:val="en-GB"/>
              </w:rPr>
              <w:t>l</w:t>
            </w:r>
            <w:r w:rsidR="00C1554C">
              <w:rPr>
                <w:lang w:val="en-GB"/>
              </w:rPr>
              <w:t>th</w:t>
            </w:r>
          </w:p>
          <w:p w14:paraId="0229DE8B" w14:textId="37F2BFB4" w:rsidR="00814667" w:rsidRPr="00A50751" w:rsidRDefault="006679C0">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1B4B3B50" w14:textId="77777777" w:rsidR="00814667" w:rsidRPr="00A50751" w:rsidRDefault="00814667">
            <w:pPr>
              <w:rPr>
                <w:rFonts w:ascii="Book Antiqua" w:hAnsi="Book Antiqua"/>
                <w:lang w:val="en-GB"/>
              </w:rPr>
            </w:pPr>
          </w:p>
        </w:tc>
        <w:tc>
          <w:tcPr>
            <w:tcW w:w="4536" w:type="dxa"/>
          </w:tcPr>
          <w:p w14:paraId="302F241D" w14:textId="77777777" w:rsidR="00814667" w:rsidRPr="004A0AE7" w:rsidRDefault="00814667">
            <w:pPr>
              <w:pStyle w:val="Signed"/>
            </w:pPr>
            <w:r>
              <w:rPr>
                <w:rStyle w:val="SignedBold"/>
              </w:rPr>
              <w:t>Signed</w:t>
            </w:r>
            <w:r w:rsidRPr="004A0AE7">
              <w:t xml:space="preserve"> for and on behalf of the</w:t>
            </w:r>
            <w:r w:rsidRPr="004A0AE7">
              <w:br/>
              <w:t>State of Western Australia by</w:t>
            </w:r>
          </w:p>
          <w:p w14:paraId="1B8931EC" w14:textId="77777777" w:rsidR="00814667" w:rsidRPr="00A50751" w:rsidRDefault="00814667">
            <w:pPr>
              <w:pStyle w:val="LineForSignature"/>
            </w:pPr>
            <w:r w:rsidRPr="00A50751">
              <w:tab/>
            </w:r>
          </w:p>
          <w:p w14:paraId="794CE5DA" w14:textId="08BC38A0" w:rsidR="00814667" w:rsidRDefault="00814667">
            <w:pPr>
              <w:pStyle w:val="SingleParagraph"/>
              <w:rPr>
                <w:rStyle w:val="Bold"/>
              </w:rPr>
            </w:pPr>
            <w:r>
              <w:rPr>
                <w:rStyle w:val="Bold"/>
              </w:rPr>
              <w:t xml:space="preserve">The Honourable </w:t>
            </w:r>
            <w:r w:rsidR="003B3577" w:rsidRPr="003B3577">
              <w:rPr>
                <w:rStyle w:val="Bold"/>
              </w:rPr>
              <w:t>Roger Cook</w:t>
            </w:r>
            <w:r w:rsidR="0099742A">
              <w:rPr>
                <w:rStyle w:val="Bold"/>
              </w:rPr>
              <w:t xml:space="preserve"> </w:t>
            </w:r>
            <w:r>
              <w:rPr>
                <w:rStyle w:val="Bold"/>
              </w:rPr>
              <w:t>M</w:t>
            </w:r>
            <w:r w:rsidR="003B3577">
              <w:rPr>
                <w:rStyle w:val="Bold"/>
              </w:rPr>
              <w:t>LA</w:t>
            </w:r>
          </w:p>
          <w:p w14:paraId="1B95141F" w14:textId="27118B32" w:rsidR="00542A8C" w:rsidRDefault="003B3577" w:rsidP="003B3577">
            <w:pPr>
              <w:pStyle w:val="Position"/>
              <w:jc w:val="left"/>
              <w:rPr>
                <w:lang w:val="en-GB"/>
              </w:rPr>
            </w:pPr>
            <w:r w:rsidRPr="003B3577">
              <w:rPr>
                <w:lang w:val="en-GB"/>
              </w:rPr>
              <w:t>Minister for Health</w:t>
            </w:r>
            <w:r w:rsidR="00542A8C">
              <w:rPr>
                <w:lang w:val="en-GB"/>
              </w:rPr>
              <w:t xml:space="preserve"> </w:t>
            </w:r>
          </w:p>
          <w:p w14:paraId="4131B756" w14:textId="77777777" w:rsidR="00814667" w:rsidRPr="00A50751" w:rsidRDefault="00542A8C">
            <w:pPr>
              <w:pStyle w:val="SingleParagraph"/>
              <w:tabs>
                <w:tab w:val="num" w:pos="1134"/>
              </w:tabs>
              <w:spacing w:after="240"/>
              <w:ind w:left="1134" w:hanging="567"/>
              <w:rPr>
                <w:lang w:val="en-GB"/>
              </w:rPr>
            </w:pPr>
            <w:r w:rsidDel="00542A8C">
              <w:rPr>
                <w:lang w:val="en-GB"/>
              </w:rPr>
              <w:t xml:space="preserve"> </w:t>
            </w:r>
            <w:r w:rsidR="006679C0">
              <w:rPr>
                <w:lang w:val="en-GB"/>
              </w:rPr>
              <w:t>[Day]  [Month]  [Year]</w:t>
            </w:r>
          </w:p>
        </w:tc>
      </w:tr>
      <w:tr w:rsidR="00814667" w:rsidRPr="00A50751" w14:paraId="12A9A3C4" w14:textId="77777777">
        <w:trPr>
          <w:cantSplit/>
          <w:jc w:val="center"/>
        </w:trPr>
        <w:tc>
          <w:tcPr>
            <w:tcW w:w="4536" w:type="dxa"/>
          </w:tcPr>
          <w:p w14:paraId="3427FD74"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7D332B45" w14:textId="77777777" w:rsidR="00814667" w:rsidRPr="00A50751" w:rsidRDefault="00814667">
            <w:pPr>
              <w:pStyle w:val="SingleParagraph"/>
              <w:rPr>
                <w:rFonts w:ascii="Book Antiqua" w:hAnsi="Book Antiqua"/>
                <w:lang w:val="en-GB"/>
              </w:rPr>
            </w:pPr>
          </w:p>
        </w:tc>
        <w:tc>
          <w:tcPr>
            <w:tcW w:w="4536" w:type="dxa"/>
          </w:tcPr>
          <w:p w14:paraId="2F0FF7FE" w14:textId="77777777" w:rsidR="00814667" w:rsidRPr="00A50751" w:rsidRDefault="00814667">
            <w:pPr>
              <w:pStyle w:val="SingleParagraph"/>
              <w:rPr>
                <w:rFonts w:ascii="Book Antiqua" w:hAnsi="Book Antiqua"/>
                <w:lang w:val="en-GB"/>
              </w:rPr>
            </w:pPr>
          </w:p>
        </w:tc>
      </w:tr>
      <w:tr w:rsidR="00814667" w:rsidRPr="00A50751" w14:paraId="1A7B6479" w14:textId="77777777">
        <w:trPr>
          <w:cantSplit/>
          <w:trHeight w:val="143"/>
          <w:jc w:val="center"/>
        </w:trPr>
        <w:tc>
          <w:tcPr>
            <w:tcW w:w="4536" w:type="dxa"/>
          </w:tcPr>
          <w:p w14:paraId="10FC5D8A" w14:textId="77777777" w:rsidR="00814667" w:rsidRPr="004A0AE7" w:rsidRDefault="00814667">
            <w:pPr>
              <w:pStyle w:val="Signed"/>
            </w:pPr>
            <w:r>
              <w:rPr>
                <w:rStyle w:val="SignedBold"/>
              </w:rPr>
              <w:t>Signed</w:t>
            </w:r>
            <w:r w:rsidRPr="004A0AE7">
              <w:t xml:space="preserve"> for and on behalf of the</w:t>
            </w:r>
            <w:r w:rsidRPr="004A0AE7">
              <w:br/>
              <w:t>State of South Australia by</w:t>
            </w:r>
          </w:p>
          <w:p w14:paraId="3C9D279D" w14:textId="77777777" w:rsidR="00814667" w:rsidRPr="00A50751" w:rsidRDefault="00814667">
            <w:pPr>
              <w:pStyle w:val="LineForSignature"/>
            </w:pPr>
            <w:r w:rsidRPr="00A50751">
              <w:tab/>
            </w:r>
          </w:p>
          <w:p w14:paraId="74057984" w14:textId="48EC6C4F" w:rsidR="00814667" w:rsidRDefault="00814667">
            <w:pPr>
              <w:pStyle w:val="SingleParagraph"/>
              <w:rPr>
                <w:rStyle w:val="Bold"/>
              </w:rPr>
            </w:pPr>
            <w:r>
              <w:rPr>
                <w:rStyle w:val="Bold"/>
              </w:rPr>
              <w:t xml:space="preserve">The Honourable </w:t>
            </w:r>
            <w:r w:rsidR="003B3577" w:rsidRPr="003B3577">
              <w:rPr>
                <w:rStyle w:val="Bold"/>
              </w:rPr>
              <w:t>Stephen Wade</w:t>
            </w:r>
            <w:r w:rsidR="003B3577" w:rsidRPr="003B3577" w:rsidDel="003B3577">
              <w:rPr>
                <w:rStyle w:val="Bold"/>
              </w:rPr>
              <w:t xml:space="preserve"> </w:t>
            </w:r>
            <w:r w:rsidR="0099742A">
              <w:rPr>
                <w:rStyle w:val="Bold"/>
              </w:rPr>
              <w:t xml:space="preserve"> </w:t>
            </w:r>
            <w:r>
              <w:rPr>
                <w:rStyle w:val="Bold"/>
              </w:rPr>
              <w:t xml:space="preserve"> M</w:t>
            </w:r>
            <w:r w:rsidR="001972E0">
              <w:rPr>
                <w:rStyle w:val="Bold"/>
              </w:rPr>
              <w:t>LC</w:t>
            </w:r>
          </w:p>
          <w:p w14:paraId="1113A1BC" w14:textId="3103F4EE" w:rsidR="00542A8C" w:rsidRDefault="00542A8C" w:rsidP="00542A8C">
            <w:pPr>
              <w:pStyle w:val="Position"/>
              <w:rPr>
                <w:lang w:val="en-GB"/>
              </w:rPr>
            </w:pPr>
            <w:r>
              <w:rPr>
                <w:lang w:val="en-GB"/>
              </w:rPr>
              <w:t xml:space="preserve">Minister for </w:t>
            </w:r>
            <w:r w:rsidR="001972E0" w:rsidRPr="001972E0">
              <w:rPr>
                <w:lang w:val="en-GB"/>
              </w:rPr>
              <w:t>Health and Wellbeing</w:t>
            </w:r>
            <w:r>
              <w:rPr>
                <w:lang w:val="en-GB"/>
              </w:rPr>
              <w:t xml:space="preserve"> </w:t>
            </w:r>
          </w:p>
          <w:p w14:paraId="3930689D" w14:textId="77777777" w:rsidR="00814667" w:rsidRPr="00A50751" w:rsidRDefault="00542A8C">
            <w:pPr>
              <w:pStyle w:val="SingleParagraph"/>
              <w:tabs>
                <w:tab w:val="num" w:pos="1134"/>
              </w:tabs>
              <w:spacing w:after="240"/>
              <w:ind w:left="1134" w:hanging="567"/>
              <w:rPr>
                <w:lang w:val="en-GB"/>
              </w:rPr>
            </w:pPr>
            <w:r w:rsidRPr="00B00778" w:rsidDel="00542A8C">
              <w:rPr>
                <w:bCs/>
                <w:lang w:val="en-GB"/>
              </w:rPr>
              <w:t xml:space="preserve"> </w:t>
            </w:r>
            <w:r w:rsidR="006679C0">
              <w:rPr>
                <w:lang w:val="en-GB"/>
              </w:rPr>
              <w:t>[Day]  [Month]  [Year]</w:t>
            </w:r>
          </w:p>
        </w:tc>
        <w:tc>
          <w:tcPr>
            <w:tcW w:w="284" w:type="dxa"/>
            <w:tcMar>
              <w:left w:w="0" w:type="dxa"/>
              <w:right w:w="0" w:type="dxa"/>
            </w:tcMar>
          </w:tcPr>
          <w:p w14:paraId="112A152C" w14:textId="77777777" w:rsidR="00814667" w:rsidRPr="00A50751" w:rsidRDefault="00814667">
            <w:pPr>
              <w:rPr>
                <w:rFonts w:ascii="Book Antiqua" w:hAnsi="Book Antiqua"/>
                <w:lang w:val="en-GB"/>
              </w:rPr>
            </w:pPr>
          </w:p>
        </w:tc>
        <w:tc>
          <w:tcPr>
            <w:tcW w:w="4536" w:type="dxa"/>
          </w:tcPr>
          <w:p w14:paraId="167AED10" w14:textId="77777777" w:rsidR="00814667" w:rsidRPr="004A0AE7" w:rsidRDefault="00814667">
            <w:pPr>
              <w:pStyle w:val="Signed"/>
            </w:pPr>
            <w:r>
              <w:rPr>
                <w:rStyle w:val="SignedBold"/>
              </w:rPr>
              <w:t>Signed</w:t>
            </w:r>
            <w:r w:rsidRPr="004A0AE7">
              <w:t xml:space="preserve"> for and on behalf of the</w:t>
            </w:r>
            <w:r w:rsidRPr="004A0AE7">
              <w:br/>
              <w:t>State of Tasmania by</w:t>
            </w:r>
          </w:p>
          <w:p w14:paraId="04E53B82" w14:textId="77777777" w:rsidR="00814667" w:rsidRPr="00A50751" w:rsidRDefault="00814667">
            <w:pPr>
              <w:pStyle w:val="LineForSignature"/>
            </w:pPr>
            <w:r w:rsidRPr="00A50751">
              <w:tab/>
            </w:r>
          </w:p>
          <w:p w14:paraId="6928A2A5" w14:textId="7FD82D51" w:rsidR="00814667" w:rsidRDefault="00814667">
            <w:pPr>
              <w:pStyle w:val="SingleParagraph"/>
              <w:rPr>
                <w:rStyle w:val="Bold"/>
              </w:rPr>
            </w:pPr>
            <w:r>
              <w:rPr>
                <w:rStyle w:val="Bold"/>
              </w:rPr>
              <w:t xml:space="preserve">The Honourable </w:t>
            </w:r>
            <w:r w:rsidR="001972E0">
              <w:rPr>
                <w:rStyle w:val="Bold"/>
              </w:rPr>
              <w:t>Michael Ferguson</w:t>
            </w:r>
            <w:r w:rsidR="0099742A">
              <w:rPr>
                <w:rStyle w:val="Bold"/>
              </w:rPr>
              <w:t xml:space="preserve"> </w:t>
            </w:r>
            <w:r>
              <w:rPr>
                <w:rStyle w:val="Bold"/>
              </w:rPr>
              <w:t>MP</w:t>
            </w:r>
          </w:p>
          <w:p w14:paraId="56F48B87" w14:textId="77777777" w:rsidR="001972E0" w:rsidRPr="001972E0" w:rsidRDefault="001972E0" w:rsidP="001972E0">
            <w:pPr>
              <w:pStyle w:val="Position"/>
              <w:spacing w:after="0"/>
              <w:jc w:val="left"/>
              <w:rPr>
                <w:lang w:val="en-GB"/>
              </w:rPr>
            </w:pPr>
            <w:r w:rsidRPr="001972E0">
              <w:rPr>
                <w:lang w:val="en-GB"/>
              </w:rPr>
              <w:t>Minister for Health</w:t>
            </w:r>
          </w:p>
          <w:p w14:paraId="64359D7F" w14:textId="65550A8F" w:rsidR="00542A8C" w:rsidRDefault="00542A8C" w:rsidP="001972E0">
            <w:pPr>
              <w:pStyle w:val="Position"/>
              <w:spacing w:after="0"/>
              <w:jc w:val="left"/>
              <w:rPr>
                <w:lang w:val="en-GB"/>
              </w:rPr>
            </w:pPr>
            <w:r>
              <w:rPr>
                <w:lang w:val="en-GB"/>
              </w:rPr>
              <w:t xml:space="preserve"> </w:t>
            </w:r>
          </w:p>
          <w:p w14:paraId="77E80100" w14:textId="77777777" w:rsidR="00814667" w:rsidRPr="00A50751" w:rsidRDefault="00542A8C">
            <w:pPr>
              <w:pStyle w:val="SingleParagraph"/>
              <w:tabs>
                <w:tab w:val="num" w:pos="1134"/>
              </w:tabs>
              <w:spacing w:after="240"/>
              <w:ind w:left="1134" w:hanging="567"/>
              <w:rPr>
                <w:lang w:val="en-GB"/>
              </w:rPr>
            </w:pPr>
            <w:r w:rsidRPr="00B12190" w:rsidDel="00542A8C">
              <w:rPr>
                <w:bCs/>
                <w:lang w:val="en-GB"/>
              </w:rPr>
              <w:t xml:space="preserve"> </w:t>
            </w:r>
            <w:r w:rsidR="006679C0">
              <w:rPr>
                <w:lang w:val="en-GB"/>
              </w:rPr>
              <w:t>[Day]  [Month]  [Year]</w:t>
            </w:r>
          </w:p>
        </w:tc>
      </w:tr>
      <w:tr w:rsidR="00814667" w:rsidRPr="00A50751" w14:paraId="04FCECF3" w14:textId="77777777">
        <w:trPr>
          <w:cantSplit/>
          <w:jc w:val="center"/>
        </w:trPr>
        <w:tc>
          <w:tcPr>
            <w:tcW w:w="4536" w:type="dxa"/>
          </w:tcPr>
          <w:p w14:paraId="0ACA3905"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0AFA3E1A" w14:textId="77777777" w:rsidR="00814667" w:rsidRPr="00A50751" w:rsidRDefault="00814667">
            <w:pPr>
              <w:pStyle w:val="SingleParagraph"/>
              <w:rPr>
                <w:rFonts w:ascii="Book Antiqua" w:hAnsi="Book Antiqua"/>
                <w:lang w:val="en-GB"/>
              </w:rPr>
            </w:pPr>
          </w:p>
        </w:tc>
        <w:tc>
          <w:tcPr>
            <w:tcW w:w="4536" w:type="dxa"/>
          </w:tcPr>
          <w:p w14:paraId="3D2D1149" w14:textId="77777777" w:rsidR="00814667" w:rsidRPr="00A50751" w:rsidRDefault="00814667">
            <w:pPr>
              <w:pStyle w:val="SingleParagraph"/>
              <w:rPr>
                <w:rFonts w:ascii="Book Antiqua" w:hAnsi="Book Antiqua"/>
                <w:lang w:val="en-GB"/>
              </w:rPr>
            </w:pPr>
          </w:p>
        </w:tc>
      </w:tr>
      <w:tr w:rsidR="00814667" w:rsidRPr="00A50751" w14:paraId="524E1DEF" w14:textId="77777777">
        <w:trPr>
          <w:cantSplit/>
          <w:jc w:val="center"/>
        </w:trPr>
        <w:tc>
          <w:tcPr>
            <w:tcW w:w="4536" w:type="dxa"/>
          </w:tcPr>
          <w:p w14:paraId="761AC811" w14:textId="77777777" w:rsidR="00814667" w:rsidRPr="00A50751" w:rsidRDefault="00814667">
            <w:pPr>
              <w:pStyle w:val="Signed"/>
            </w:pPr>
            <w:r>
              <w:rPr>
                <w:rStyle w:val="SignedBold"/>
              </w:rPr>
              <w:t>Signed</w:t>
            </w:r>
            <w:r w:rsidRPr="004A0AE7">
              <w:rPr>
                <w:i w:val="0"/>
              </w:rPr>
              <w:t xml:space="preserve"> </w:t>
            </w:r>
            <w:r w:rsidR="008148E2" w:rsidRPr="004A0AE7">
              <w:t xml:space="preserve">for and on behalf of </w:t>
            </w:r>
            <w:r w:rsidR="008148E2">
              <w:t xml:space="preserve">the </w:t>
            </w:r>
            <w:r w:rsidRPr="004A0AE7">
              <w:t>Australian Capital Territory by</w:t>
            </w:r>
          </w:p>
          <w:p w14:paraId="7C7A314D" w14:textId="77777777" w:rsidR="00814667" w:rsidRPr="00A50751" w:rsidRDefault="00814667">
            <w:pPr>
              <w:pStyle w:val="LineForSignature"/>
            </w:pPr>
            <w:r w:rsidRPr="00A50751">
              <w:tab/>
            </w:r>
          </w:p>
          <w:p w14:paraId="76C26436" w14:textId="5D77A339" w:rsidR="00814667" w:rsidRDefault="00F71F0E">
            <w:pPr>
              <w:pStyle w:val="SingleParagraph"/>
              <w:rPr>
                <w:rStyle w:val="Bold"/>
              </w:rPr>
            </w:pPr>
            <w:r>
              <w:rPr>
                <w:rStyle w:val="Bold"/>
              </w:rPr>
              <w:t>Meegan Fitzharris</w:t>
            </w:r>
            <w:r w:rsidR="0099742A">
              <w:rPr>
                <w:rStyle w:val="Bold"/>
              </w:rPr>
              <w:t xml:space="preserve"> </w:t>
            </w:r>
            <w:r w:rsidR="00814667">
              <w:rPr>
                <w:rStyle w:val="Bold"/>
              </w:rPr>
              <w:t>MLA</w:t>
            </w:r>
          </w:p>
          <w:p w14:paraId="6E391120" w14:textId="77777777" w:rsidR="00D943B0" w:rsidRPr="00D943B0" w:rsidRDefault="00D943B0" w:rsidP="00D943B0">
            <w:pPr>
              <w:pStyle w:val="Position"/>
              <w:spacing w:after="0"/>
              <w:jc w:val="left"/>
              <w:rPr>
                <w:lang w:val="en-GB"/>
              </w:rPr>
            </w:pPr>
            <w:r w:rsidRPr="00D943B0">
              <w:rPr>
                <w:lang w:val="en-GB"/>
              </w:rPr>
              <w:t>Minister for Health and Wellbeing</w:t>
            </w:r>
          </w:p>
          <w:p w14:paraId="6D15B1BB" w14:textId="6826F975" w:rsidR="00542A8C" w:rsidRDefault="00542A8C" w:rsidP="00D943B0">
            <w:pPr>
              <w:pStyle w:val="Position"/>
              <w:spacing w:after="0"/>
              <w:jc w:val="left"/>
              <w:rPr>
                <w:lang w:val="en-GB"/>
              </w:rPr>
            </w:pPr>
          </w:p>
          <w:p w14:paraId="745056F4" w14:textId="77777777" w:rsidR="00814667" w:rsidRPr="00A50751" w:rsidRDefault="00542A8C">
            <w:pPr>
              <w:pStyle w:val="SingleParagraph"/>
              <w:tabs>
                <w:tab w:val="num" w:pos="1134"/>
              </w:tabs>
              <w:spacing w:after="240"/>
              <w:ind w:left="1134" w:hanging="567"/>
              <w:rPr>
                <w:szCs w:val="22"/>
                <w:lang w:val="en-GB"/>
              </w:rPr>
            </w:pPr>
            <w:r w:rsidRPr="00B12190" w:rsidDel="00542A8C">
              <w:rPr>
                <w:lang w:val="en-GB"/>
              </w:rPr>
              <w:t xml:space="preserve"> </w:t>
            </w:r>
            <w:r w:rsidR="006679C0">
              <w:rPr>
                <w:lang w:val="en-GB"/>
              </w:rPr>
              <w:t>[Day]  [Month]  [Year]</w:t>
            </w:r>
          </w:p>
        </w:tc>
        <w:tc>
          <w:tcPr>
            <w:tcW w:w="284" w:type="dxa"/>
            <w:tcMar>
              <w:left w:w="0" w:type="dxa"/>
              <w:right w:w="0" w:type="dxa"/>
            </w:tcMar>
          </w:tcPr>
          <w:p w14:paraId="4924D0CA" w14:textId="77777777" w:rsidR="00814667" w:rsidRPr="00A50751" w:rsidRDefault="00814667">
            <w:pPr>
              <w:rPr>
                <w:rFonts w:ascii="Book Antiqua" w:hAnsi="Book Antiqua"/>
                <w:lang w:val="en-GB"/>
              </w:rPr>
            </w:pPr>
          </w:p>
        </w:tc>
        <w:tc>
          <w:tcPr>
            <w:tcW w:w="4536" w:type="dxa"/>
          </w:tcPr>
          <w:p w14:paraId="246AC2DB" w14:textId="77777777" w:rsidR="00814667" w:rsidRPr="00A50751" w:rsidRDefault="00814667">
            <w:pPr>
              <w:pStyle w:val="Signed"/>
            </w:pPr>
            <w:r>
              <w:rPr>
                <w:rStyle w:val="SignedBold"/>
              </w:rPr>
              <w:t>Signed</w:t>
            </w:r>
            <w:r w:rsidRPr="004A0AE7">
              <w:rPr>
                <w:i w:val="0"/>
              </w:rPr>
              <w:t xml:space="preserve"> </w:t>
            </w:r>
            <w:r w:rsidR="008148E2" w:rsidRPr="004A0AE7">
              <w:t xml:space="preserve">for and on behalf of </w:t>
            </w:r>
            <w:r w:rsidR="008148E2">
              <w:t xml:space="preserve">the </w:t>
            </w:r>
            <w:r w:rsidRPr="004A0AE7">
              <w:t>Northern Territory by</w:t>
            </w:r>
          </w:p>
          <w:p w14:paraId="2EC20D7F" w14:textId="77777777" w:rsidR="00814667" w:rsidRPr="00A50751" w:rsidRDefault="00814667">
            <w:pPr>
              <w:pStyle w:val="LineForSignature"/>
            </w:pPr>
            <w:r w:rsidRPr="00A50751">
              <w:tab/>
            </w:r>
          </w:p>
          <w:p w14:paraId="658C94FB" w14:textId="3A3CEB20" w:rsidR="00814667" w:rsidRDefault="00814667" w:rsidP="00601224">
            <w:pPr>
              <w:pStyle w:val="SingleParagraph"/>
              <w:jc w:val="left"/>
              <w:rPr>
                <w:rStyle w:val="Bold"/>
              </w:rPr>
            </w:pPr>
            <w:r>
              <w:rPr>
                <w:rStyle w:val="Bold"/>
              </w:rPr>
              <w:t xml:space="preserve">The Honourable </w:t>
            </w:r>
            <w:r w:rsidR="00601224">
              <w:rPr>
                <w:rStyle w:val="Bold"/>
              </w:rPr>
              <w:t>Natasha Fyles</w:t>
            </w:r>
            <w:r w:rsidR="0099742A">
              <w:rPr>
                <w:rStyle w:val="Bold"/>
              </w:rPr>
              <w:t xml:space="preserve"> </w:t>
            </w:r>
            <w:r>
              <w:rPr>
                <w:rStyle w:val="Bold"/>
              </w:rPr>
              <w:t>MLA</w:t>
            </w:r>
          </w:p>
          <w:p w14:paraId="17348244" w14:textId="53829EF5" w:rsidR="00601224" w:rsidRDefault="00601224" w:rsidP="00601224">
            <w:pPr>
              <w:pStyle w:val="Position"/>
              <w:spacing w:after="0"/>
              <w:jc w:val="left"/>
              <w:rPr>
                <w:lang w:val="en-GB"/>
              </w:rPr>
            </w:pPr>
            <w:r>
              <w:rPr>
                <w:lang w:val="en-GB"/>
              </w:rPr>
              <w:t>Minister for Health</w:t>
            </w:r>
          </w:p>
          <w:p w14:paraId="54761D47" w14:textId="77777777" w:rsidR="00814667" w:rsidRPr="00A50751" w:rsidRDefault="00542A8C">
            <w:pPr>
              <w:pStyle w:val="SingleParagraph"/>
              <w:tabs>
                <w:tab w:val="num" w:pos="1134"/>
              </w:tabs>
              <w:spacing w:after="240"/>
              <w:ind w:left="1134" w:hanging="567"/>
              <w:rPr>
                <w:lang w:val="en-GB"/>
              </w:rPr>
            </w:pPr>
            <w:r w:rsidRPr="00B12190" w:rsidDel="00542A8C">
              <w:rPr>
                <w:bCs/>
                <w:lang w:val="en-GB"/>
              </w:rPr>
              <w:t xml:space="preserve"> </w:t>
            </w:r>
            <w:r w:rsidR="006679C0">
              <w:rPr>
                <w:lang w:val="en-GB"/>
              </w:rPr>
              <w:t>[Day]  [Month]  [Year]</w:t>
            </w:r>
          </w:p>
        </w:tc>
      </w:tr>
    </w:tbl>
    <w:p w14:paraId="19DF3E4E" w14:textId="77777777" w:rsidR="008843EE" w:rsidRDefault="008843EE" w:rsidP="0020144E"/>
    <w:sectPr w:rsidR="008843EE" w:rsidSect="00C606F6">
      <w:headerReference w:type="even" r:id="rId20"/>
      <w:headerReference w:type="default" r:id="rId21"/>
      <w:headerReference w:type="first" r:id="rId22"/>
      <w:footerReference w:type="first" r:id="rId23"/>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FD07" w14:textId="77777777" w:rsidR="003E0820" w:rsidRDefault="003E0820">
      <w:r>
        <w:separator/>
      </w:r>
    </w:p>
  </w:endnote>
  <w:endnote w:type="continuationSeparator" w:id="0">
    <w:p w14:paraId="63D6D7EC" w14:textId="77777777" w:rsidR="003E0820" w:rsidRDefault="003E0820">
      <w:r>
        <w:continuationSeparator/>
      </w:r>
    </w:p>
  </w:endnote>
  <w:endnote w:type="continuationNotice" w:id="1">
    <w:p w14:paraId="19258FA2" w14:textId="77777777" w:rsidR="003E0820" w:rsidRDefault="003E08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F610" w14:textId="77777777" w:rsidR="00676774" w:rsidRDefault="00676774">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A8083E0" w14:textId="77777777" w:rsidR="00676774" w:rsidRDefault="00676774">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559C" w14:textId="7E70F847" w:rsidR="00676774" w:rsidRDefault="00676774">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E721CE">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478E" w14:textId="6C94023E" w:rsidR="00676774" w:rsidRDefault="00676774">
    <w:pPr>
      <w:pStyle w:val="FooterOdd"/>
      <w:keepNext/>
      <w:tabs>
        <w:tab w:val="num" w:pos="567"/>
      </w:tabs>
    </w:pPr>
    <w:r>
      <w:t xml:space="preserve">Version of template: </w:t>
    </w:r>
    <w:r>
      <w:fldChar w:fldCharType="begin"/>
    </w:r>
    <w:r>
      <w:instrText xml:space="preserve"> DATE \@ "d/MM/yyyy" </w:instrText>
    </w:r>
    <w:r>
      <w:fldChar w:fldCharType="separate"/>
    </w:r>
    <w:r w:rsidR="00E721CE">
      <w:rPr>
        <w:noProof/>
      </w:rPr>
      <w:t>10/03/2020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A5A5" w14:textId="46B78CA5" w:rsidR="00676774" w:rsidRDefault="00676774" w:rsidP="00751725">
    <w:pPr>
      <w:pStyle w:val="FooterEven"/>
      <w:jc w:val="right"/>
    </w:pPr>
    <w:r>
      <w:t xml:space="preserve">Page </w:t>
    </w:r>
    <w:r>
      <w:rPr>
        <w:rStyle w:val="PageNumber"/>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0F3BE" w14:textId="77777777" w:rsidR="003E0820" w:rsidRDefault="003E0820">
      <w:r>
        <w:separator/>
      </w:r>
    </w:p>
  </w:footnote>
  <w:footnote w:type="continuationSeparator" w:id="0">
    <w:p w14:paraId="39B3632A" w14:textId="77777777" w:rsidR="003E0820" w:rsidRDefault="003E0820">
      <w:r>
        <w:continuationSeparator/>
      </w:r>
    </w:p>
  </w:footnote>
  <w:footnote w:type="continuationNotice" w:id="1">
    <w:p w14:paraId="0E25FD1D" w14:textId="77777777" w:rsidR="003E0820" w:rsidRDefault="003E08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19C4" w14:textId="0F8EF62F" w:rsidR="00676774" w:rsidRPr="00814590" w:rsidRDefault="00676774">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AD98" w14:textId="063927FC" w:rsidR="00676774" w:rsidRPr="00814590" w:rsidRDefault="00676774">
    <w:pPr>
      <w:pStyle w:val="HeaderOdd"/>
      <w:tabs>
        <w:tab w:val="num" w:pos="1134"/>
      </w:tabs>
      <w:rPr>
        <w:color w:val="800000"/>
      </w:rPr>
    </w:pPr>
    <w:r>
      <w:rPr>
        <w:color w:val="800000"/>
      </w:rPr>
      <w:t xml:space="preserve">Project Agreement for </w:t>
    </w:r>
    <w:r w:rsidRPr="00E7456B">
      <w:rPr>
        <w:color w:val="800000"/>
      </w:rPr>
      <w:t>Comprehensive Palliative Care in Aged</w:t>
    </w:r>
    <w:r>
      <w:rPr>
        <w:color w:val="800000"/>
      </w:rPr>
      <w:t xml:space="preserve"> Care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CE1B" w14:textId="4624DF15" w:rsidR="00676774" w:rsidRDefault="006767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D5BD2" w14:textId="69EAA6C3" w:rsidR="00676774" w:rsidRDefault="006767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4BE1B" w14:textId="6A0C8205" w:rsidR="00676774" w:rsidRDefault="006767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29A2" w14:textId="2C5C3F06" w:rsidR="00676774" w:rsidRPr="00814590" w:rsidRDefault="00676774" w:rsidP="0036474E">
    <w:pPr>
      <w:pStyle w:val="HeaderOdd"/>
      <w:tabs>
        <w:tab w:val="num" w:pos="1134"/>
      </w:tabs>
      <w:rPr>
        <w:color w:val="800000"/>
      </w:rPr>
    </w:pPr>
    <w:r>
      <w:rPr>
        <w:color w:val="800000"/>
      </w:rPr>
      <w:t>Project Agreement for Comprehensive Palliative Care in Aged Care</w:t>
    </w:r>
  </w:p>
  <w:p w14:paraId="48A5386F" w14:textId="77777777" w:rsidR="00676774" w:rsidRPr="00751725" w:rsidRDefault="00676774"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06F5162"/>
    <w:multiLevelType w:val="hybridMultilevel"/>
    <w:tmpl w:val="DC901E84"/>
    <w:lvl w:ilvl="0" w:tplc="B438712C">
      <w:start w:val="2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13A97762"/>
    <w:multiLevelType w:val="multilevel"/>
    <w:tmpl w:val="CFD4AE80"/>
    <w:lvl w:ilvl="0">
      <w:start w:val="1"/>
      <w:numFmt w:val="lowerLetter"/>
      <w:lvlRestart w:val="0"/>
      <w:lvlText w:val="(%1)"/>
      <w:lvlJc w:val="left"/>
      <w:pPr>
        <w:tabs>
          <w:tab w:val="num" w:pos="1135"/>
        </w:tabs>
        <w:ind w:left="568"/>
      </w:pPr>
      <w:rPr>
        <w:rFonts w:cs="Times New Roman" w:hint="default"/>
        <w:b w:val="0"/>
        <w:i w:val="0"/>
        <w:color w:val="000000"/>
      </w:rPr>
    </w:lvl>
    <w:lvl w:ilvl="1">
      <w:start w:val="1"/>
      <w:numFmt w:val="lowerRoman"/>
      <w:lvlText w:val="%2."/>
      <w:lvlJc w:val="right"/>
      <w:pPr>
        <w:tabs>
          <w:tab w:val="num" w:pos="1135"/>
        </w:tabs>
        <w:ind w:left="1135" w:hanging="567"/>
      </w:pPr>
      <w:rPr>
        <w:rFonts w:cs="Times New Roman" w:hint="default"/>
        <w:b w:val="0"/>
        <w:i w:val="0"/>
        <w:color w:val="000000"/>
      </w:rPr>
    </w:lvl>
    <w:lvl w:ilvl="2">
      <w:start w:val="1"/>
      <w:numFmt w:val="decimal"/>
      <w:lvlText w:val="%3"/>
      <w:lvlJc w:val="left"/>
      <w:pPr>
        <w:tabs>
          <w:tab w:val="num" w:pos="1702"/>
        </w:tabs>
        <w:ind w:left="1702" w:hanging="567"/>
      </w:pPr>
      <w:rPr>
        <w:rFonts w:cs="Times New Roman" w:hint="default"/>
        <w:b w:val="0"/>
        <w:i w:val="0"/>
        <w:color w:val="000000"/>
      </w:rPr>
    </w:lvl>
    <w:lvl w:ilvl="3">
      <w:start w:val="1"/>
      <w:numFmt w:val="decimal"/>
      <w:lvlText w:val="%4"/>
      <w:lvlJc w:val="left"/>
      <w:pPr>
        <w:tabs>
          <w:tab w:val="num" w:pos="2269"/>
        </w:tabs>
        <w:ind w:left="2269" w:hanging="567"/>
      </w:pPr>
      <w:rPr>
        <w:rFonts w:cs="Times New Roman" w:hint="default"/>
        <w:b w:val="0"/>
        <w:i w:val="0"/>
        <w:color w:val="000000"/>
      </w:rPr>
    </w:lvl>
    <w:lvl w:ilvl="4">
      <w:start w:val="1"/>
      <w:numFmt w:val="decimal"/>
      <w:lvlText w:val="%5"/>
      <w:lvlJc w:val="left"/>
      <w:pPr>
        <w:tabs>
          <w:tab w:val="num" w:pos="2836"/>
        </w:tabs>
        <w:ind w:left="2836" w:hanging="567"/>
      </w:pPr>
      <w:rPr>
        <w:rFonts w:cs="Times New Roman" w:hint="default"/>
        <w:b w:val="0"/>
        <w:i w:val="0"/>
        <w:color w:val="000000"/>
      </w:rPr>
    </w:lvl>
    <w:lvl w:ilvl="5">
      <w:start w:val="1"/>
      <w:numFmt w:val="decimal"/>
      <w:lvlText w:val="%6"/>
      <w:lvlJc w:val="left"/>
      <w:pPr>
        <w:tabs>
          <w:tab w:val="num" w:pos="3403"/>
        </w:tabs>
        <w:ind w:left="3403" w:hanging="567"/>
      </w:pPr>
      <w:rPr>
        <w:rFonts w:cs="Times New Roman" w:hint="default"/>
        <w:b w:val="0"/>
        <w:i w:val="0"/>
        <w:color w:val="000000"/>
      </w:rPr>
    </w:lvl>
    <w:lvl w:ilvl="6">
      <w:start w:val="1"/>
      <w:numFmt w:val="decimal"/>
      <w:lvlText w:val="%7"/>
      <w:lvlJc w:val="left"/>
      <w:pPr>
        <w:tabs>
          <w:tab w:val="num" w:pos="3970"/>
        </w:tabs>
        <w:ind w:left="3970" w:hanging="567"/>
      </w:pPr>
      <w:rPr>
        <w:rFonts w:cs="Times New Roman" w:hint="default"/>
        <w:b w:val="0"/>
        <w:i w:val="0"/>
        <w:color w:val="000000"/>
      </w:rPr>
    </w:lvl>
    <w:lvl w:ilvl="7">
      <w:start w:val="1"/>
      <w:numFmt w:val="decimal"/>
      <w:lvlText w:val="%8"/>
      <w:lvlJc w:val="left"/>
      <w:pPr>
        <w:tabs>
          <w:tab w:val="num" w:pos="4537"/>
        </w:tabs>
        <w:ind w:left="4537" w:hanging="567"/>
      </w:pPr>
      <w:rPr>
        <w:rFonts w:cs="Times New Roman" w:hint="default"/>
        <w:b w:val="0"/>
        <w:i w:val="0"/>
        <w:color w:val="000000"/>
      </w:rPr>
    </w:lvl>
    <w:lvl w:ilvl="8">
      <w:start w:val="1"/>
      <w:numFmt w:val="decimal"/>
      <w:lvlText w:val="%9"/>
      <w:lvlJc w:val="left"/>
      <w:pPr>
        <w:tabs>
          <w:tab w:val="num" w:pos="5104"/>
        </w:tabs>
        <w:ind w:left="5104" w:hanging="567"/>
      </w:pPr>
      <w:rPr>
        <w:rFonts w:cs="Times New Roman" w:hint="default"/>
        <w:b w:val="0"/>
        <w:i w:val="0"/>
        <w:color w:val="000000"/>
      </w:rPr>
    </w:lvl>
  </w:abstractNum>
  <w:abstractNum w:abstractNumId="4"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15:restartNumberingAfterBreak="0">
    <w:nsid w:val="23425C06"/>
    <w:multiLevelType w:val="multilevel"/>
    <w:tmpl w:val="39B2E1B8"/>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15:restartNumberingAfterBreak="0">
    <w:nsid w:val="27440C8B"/>
    <w:multiLevelType w:val="multilevel"/>
    <w:tmpl w:val="F2A403A2"/>
    <w:lvl w:ilvl="0">
      <w:start w:val="1"/>
      <w:numFmt w:val="bullet"/>
      <w:lvlRestart w:val="0"/>
      <w:lvlText w:val="•"/>
      <w:lvlJc w:val="left"/>
      <w:pPr>
        <w:tabs>
          <w:tab w:val="num" w:pos="566"/>
        </w:tabs>
        <w:ind w:left="566" w:hanging="283"/>
      </w:pPr>
      <w:rPr>
        <w:rFonts w:ascii="Times New Roman" w:hAnsi="Times New Roman"/>
        <w:b w:val="0"/>
        <w:i w:val="0"/>
      </w:rPr>
    </w:lvl>
    <w:lvl w:ilvl="1">
      <w:start w:val="1"/>
      <w:numFmt w:val="bullet"/>
      <w:lvlText w:val="–"/>
      <w:lvlJc w:val="left"/>
      <w:pPr>
        <w:tabs>
          <w:tab w:val="num" w:pos="850"/>
        </w:tabs>
        <w:ind w:left="850" w:hanging="284"/>
      </w:pPr>
      <w:rPr>
        <w:rFonts w:ascii="Times New Roman" w:hAnsi="Times New Roman"/>
        <w:b w:val="0"/>
        <w:i w:val="0"/>
      </w:rPr>
    </w:lvl>
    <w:lvl w:ilvl="2">
      <w:start w:val="1"/>
      <w:numFmt w:val="bullet"/>
      <w:lvlText w:val=":"/>
      <w:lvlJc w:val="left"/>
      <w:pPr>
        <w:tabs>
          <w:tab w:val="num" w:pos="1133"/>
        </w:tabs>
        <w:ind w:left="1133" w:hanging="283"/>
      </w:pPr>
      <w:rPr>
        <w:rFonts w:ascii="Times New Roman" w:hAnsi="Times New Roman"/>
        <w:b w:val="0"/>
        <w:i w:val="0"/>
      </w:rPr>
    </w:lvl>
    <w:lvl w:ilvl="3">
      <w:start w:val="1"/>
      <w:numFmt w:val="decimal"/>
      <w:lvlText w:val="(%4)"/>
      <w:lvlJc w:val="left"/>
      <w:pPr>
        <w:tabs>
          <w:tab w:val="num" w:pos="1723"/>
        </w:tabs>
        <w:ind w:left="1723" w:hanging="360"/>
      </w:pPr>
      <w:rPr>
        <w:rFonts w:cs="Times New Roman"/>
        <w:b w:val="0"/>
        <w:i w:val="0"/>
      </w:rPr>
    </w:lvl>
    <w:lvl w:ilvl="4">
      <w:start w:val="1"/>
      <w:numFmt w:val="lowerLetter"/>
      <w:lvlText w:val="(%5)"/>
      <w:lvlJc w:val="left"/>
      <w:pPr>
        <w:tabs>
          <w:tab w:val="num" w:pos="2083"/>
        </w:tabs>
        <w:ind w:left="2083" w:hanging="360"/>
      </w:pPr>
      <w:rPr>
        <w:rFonts w:cs="Times New Roman"/>
        <w:b w:val="0"/>
        <w:i w:val="0"/>
      </w:rPr>
    </w:lvl>
    <w:lvl w:ilvl="5">
      <w:start w:val="1"/>
      <w:numFmt w:val="lowerRoman"/>
      <w:lvlText w:val="(%6)"/>
      <w:lvlJc w:val="left"/>
      <w:pPr>
        <w:tabs>
          <w:tab w:val="num" w:pos="2443"/>
        </w:tabs>
        <w:ind w:left="2443" w:hanging="360"/>
      </w:pPr>
      <w:rPr>
        <w:rFonts w:cs="Times New Roman"/>
        <w:b w:val="0"/>
        <w:i w:val="0"/>
      </w:rPr>
    </w:lvl>
    <w:lvl w:ilvl="6">
      <w:start w:val="1"/>
      <w:numFmt w:val="decimal"/>
      <w:lvlText w:val="%7."/>
      <w:lvlJc w:val="left"/>
      <w:pPr>
        <w:tabs>
          <w:tab w:val="num" w:pos="2803"/>
        </w:tabs>
        <w:ind w:left="2803" w:hanging="360"/>
      </w:pPr>
      <w:rPr>
        <w:rFonts w:cs="Times New Roman"/>
        <w:b w:val="0"/>
        <w:i w:val="0"/>
      </w:rPr>
    </w:lvl>
    <w:lvl w:ilvl="7">
      <w:start w:val="1"/>
      <w:numFmt w:val="lowerLetter"/>
      <w:lvlText w:val="%8."/>
      <w:lvlJc w:val="left"/>
      <w:pPr>
        <w:tabs>
          <w:tab w:val="num" w:pos="3163"/>
        </w:tabs>
        <w:ind w:left="3163" w:hanging="360"/>
      </w:pPr>
      <w:rPr>
        <w:rFonts w:cs="Times New Roman"/>
        <w:b w:val="0"/>
        <w:i w:val="0"/>
      </w:rPr>
    </w:lvl>
    <w:lvl w:ilvl="8">
      <w:start w:val="1"/>
      <w:numFmt w:val="lowerRoman"/>
      <w:lvlText w:val="%9."/>
      <w:lvlJc w:val="left"/>
      <w:pPr>
        <w:tabs>
          <w:tab w:val="num" w:pos="3523"/>
        </w:tabs>
        <w:ind w:left="3523" w:hanging="360"/>
      </w:pPr>
      <w:rPr>
        <w:rFonts w:cs="Times New Roman"/>
        <w:b w:val="0"/>
        <w:i w:val="0"/>
      </w:rPr>
    </w:lvl>
  </w:abstractNum>
  <w:abstractNum w:abstractNumId="10"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1"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2"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3FF7E26"/>
    <w:multiLevelType w:val="hybridMultilevel"/>
    <w:tmpl w:val="93CC6628"/>
    <w:lvl w:ilvl="0" w:tplc="A674538A">
      <w:start w:val="20"/>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5951914"/>
    <w:multiLevelType w:val="hybridMultilevel"/>
    <w:tmpl w:val="88603EB4"/>
    <w:lvl w:ilvl="0" w:tplc="660EB73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7"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15:restartNumberingAfterBreak="0">
    <w:nsid w:val="59B70749"/>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0"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1" w15:restartNumberingAfterBreak="0">
    <w:nsid w:val="68F539CD"/>
    <w:multiLevelType w:val="hybridMultilevel"/>
    <w:tmpl w:val="68420772"/>
    <w:lvl w:ilvl="0" w:tplc="E4760E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3" w15:restartNumberingAfterBreak="0">
    <w:nsid w:val="72D81726"/>
    <w:multiLevelType w:val="hybridMultilevel"/>
    <w:tmpl w:val="A320A2B0"/>
    <w:lvl w:ilvl="0" w:tplc="E4760E08">
      <w:start w:val="1"/>
      <w:numFmt w:val="lowerLetter"/>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5"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8"/>
  </w:num>
  <w:num w:numId="15">
    <w:abstractNumId w:val="16"/>
  </w:num>
  <w:num w:numId="16">
    <w:abstractNumId w:val="18"/>
  </w:num>
  <w:num w:numId="17">
    <w:abstractNumId w:val="4"/>
  </w:num>
  <w:num w:numId="18">
    <w:abstractNumId w:val="20"/>
  </w:num>
  <w:num w:numId="19">
    <w:abstractNumId w:val="9"/>
  </w:num>
  <w:num w:numId="20">
    <w:abstractNumId w:val="12"/>
  </w:num>
  <w:num w:numId="21">
    <w:abstractNumId w:val="5"/>
  </w:num>
  <w:num w:numId="22">
    <w:abstractNumId w:val="10"/>
  </w:num>
  <w:num w:numId="23">
    <w:abstractNumId w:val="25"/>
  </w:num>
  <w:num w:numId="24">
    <w:abstractNumId w:val="2"/>
  </w:num>
  <w:num w:numId="25">
    <w:abstractNumId w:val="17"/>
  </w:num>
  <w:num w:numId="26">
    <w:abstractNumId w:val="22"/>
  </w:num>
  <w:num w:numId="27">
    <w:abstractNumId w:val="15"/>
  </w:num>
  <w:num w:numId="28">
    <w:abstractNumId w:val="19"/>
  </w:num>
  <w:num w:numId="29">
    <w:abstractNumId w:val="24"/>
  </w:num>
  <w:num w:numId="30">
    <w:abstractNumId w:val="6"/>
  </w:num>
  <w:num w:numId="31">
    <w:abstractNumId w:val="1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7"/>
  </w:num>
  <w:num w:numId="39">
    <w:abstractNumId w:val="21"/>
  </w:num>
  <w:num w:numId="40">
    <w:abstractNumId w:val="23"/>
  </w:num>
  <w:num w:numId="41">
    <w:abstractNumId w:val="0"/>
  </w:num>
  <w:num w:numId="42">
    <w:abstractNumId w:val="0"/>
  </w:num>
  <w:num w:numId="43">
    <w:abstractNumId w:val="9"/>
  </w:num>
  <w:num w:numId="44">
    <w:abstractNumId w:val="0"/>
  </w:num>
  <w:num w:numId="45">
    <w:abstractNumId w:val="1"/>
  </w:num>
  <w:num w:numId="46">
    <w:abstractNumId w:val="14"/>
  </w:num>
  <w:num w:numId="47">
    <w:abstractNumId w:val="0"/>
  </w:num>
  <w:num w:numId="48">
    <w:abstractNumId w:val="3"/>
  </w:num>
  <w:num w:numId="49">
    <w:abstractNumId w:val="0"/>
  </w:num>
  <w:num w:numId="50">
    <w:abstractNumId w:val="0"/>
  </w:num>
  <w:num w:numId="51">
    <w:abstractNumId w:val="0"/>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2B84"/>
    <w:rsid w:val="00005A5D"/>
    <w:rsid w:val="000076D9"/>
    <w:rsid w:val="00021708"/>
    <w:rsid w:val="00030CB2"/>
    <w:rsid w:val="000343F1"/>
    <w:rsid w:val="00044700"/>
    <w:rsid w:val="000509EF"/>
    <w:rsid w:val="0006051B"/>
    <w:rsid w:val="000614F9"/>
    <w:rsid w:val="0006451A"/>
    <w:rsid w:val="0006551D"/>
    <w:rsid w:val="00065679"/>
    <w:rsid w:val="0007004C"/>
    <w:rsid w:val="000724F6"/>
    <w:rsid w:val="00074611"/>
    <w:rsid w:val="00074756"/>
    <w:rsid w:val="00074A62"/>
    <w:rsid w:val="00086712"/>
    <w:rsid w:val="00086EBD"/>
    <w:rsid w:val="00091DF8"/>
    <w:rsid w:val="00093CB6"/>
    <w:rsid w:val="00093DD8"/>
    <w:rsid w:val="00097794"/>
    <w:rsid w:val="000A0C9E"/>
    <w:rsid w:val="000A5191"/>
    <w:rsid w:val="000B0652"/>
    <w:rsid w:val="000B3F8A"/>
    <w:rsid w:val="000B4080"/>
    <w:rsid w:val="000B7685"/>
    <w:rsid w:val="000C570A"/>
    <w:rsid w:val="000C714F"/>
    <w:rsid w:val="000D19D8"/>
    <w:rsid w:val="000D1C37"/>
    <w:rsid w:val="000D4377"/>
    <w:rsid w:val="000E075D"/>
    <w:rsid w:val="000E2AF6"/>
    <w:rsid w:val="000E36B7"/>
    <w:rsid w:val="000E3C70"/>
    <w:rsid w:val="000E48C3"/>
    <w:rsid w:val="000F0880"/>
    <w:rsid w:val="000F25D5"/>
    <w:rsid w:val="000F6270"/>
    <w:rsid w:val="000F6CF6"/>
    <w:rsid w:val="000F6DF0"/>
    <w:rsid w:val="000F7194"/>
    <w:rsid w:val="00103FD6"/>
    <w:rsid w:val="001065EE"/>
    <w:rsid w:val="00110F5D"/>
    <w:rsid w:val="001134AC"/>
    <w:rsid w:val="00115166"/>
    <w:rsid w:val="00115A97"/>
    <w:rsid w:val="00122DBA"/>
    <w:rsid w:val="00124303"/>
    <w:rsid w:val="001262B5"/>
    <w:rsid w:val="00132587"/>
    <w:rsid w:val="001404A9"/>
    <w:rsid w:val="00140F43"/>
    <w:rsid w:val="00145D5C"/>
    <w:rsid w:val="00151133"/>
    <w:rsid w:val="00153CED"/>
    <w:rsid w:val="00160506"/>
    <w:rsid w:val="0016131F"/>
    <w:rsid w:val="001629FA"/>
    <w:rsid w:val="00165CAB"/>
    <w:rsid w:val="00166312"/>
    <w:rsid w:val="00166379"/>
    <w:rsid w:val="00167BB8"/>
    <w:rsid w:val="00172360"/>
    <w:rsid w:val="00172E3A"/>
    <w:rsid w:val="00173F81"/>
    <w:rsid w:val="00174C2A"/>
    <w:rsid w:val="00175FB9"/>
    <w:rsid w:val="00177A0A"/>
    <w:rsid w:val="00180F76"/>
    <w:rsid w:val="00183EAB"/>
    <w:rsid w:val="00185CC1"/>
    <w:rsid w:val="00187BEB"/>
    <w:rsid w:val="00192BD4"/>
    <w:rsid w:val="001931E8"/>
    <w:rsid w:val="00194232"/>
    <w:rsid w:val="00194587"/>
    <w:rsid w:val="001972E0"/>
    <w:rsid w:val="001A1422"/>
    <w:rsid w:val="001A14C1"/>
    <w:rsid w:val="001A3A9A"/>
    <w:rsid w:val="001A3F52"/>
    <w:rsid w:val="001A4093"/>
    <w:rsid w:val="001A79C1"/>
    <w:rsid w:val="001A7A15"/>
    <w:rsid w:val="001B19A0"/>
    <w:rsid w:val="001B1CA3"/>
    <w:rsid w:val="001B3EBF"/>
    <w:rsid w:val="001B447F"/>
    <w:rsid w:val="001B580E"/>
    <w:rsid w:val="001B7933"/>
    <w:rsid w:val="001C346E"/>
    <w:rsid w:val="001C3717"/>
    <w:rsid w:val="001C5CC5"/>
    <w:rsid w:val="001D2C27"/>
    <w:rsid w:val="001D3CAD"/>
    <w:rsid w:val="001D6B7F"/>
    <w:rsid w:val="001D6E9A"/>
    <w:rsid w:val="001E20EC"/>
    <w:rsid w:val="001E4479"/>
    <w:rsid w:val="001E7173"/>
    <w:rsid w:val="001E74D0"/>
    <w:rsid w:val="001E7803"/>
    <w:rsid w:val="001F1D48"/>
    <w:rsid w:val="001F6F39"/>
    <w:rsid w:val="001F6FE8"/>
    <w:rsid w:val="0020144E"/>
    <w:rsid w:val="00205E18"/>
    <w:rsid w:val="00206773"/>
    <w:rsid w:val="002069F9"/>
    <w:rsid w:val="00212869"/>
    <w:rsid w:val="00221308"/>
    <w:rsid w:val="00222C97"/>
    <w:rsid w:val="00225704"/>
    <w:rsid w:val="00225761"/>
    <w:rsid w:val="00227195"/>
    <w:rsid w:val="00233835"/>
    <w:rsid w:val="00241EE9"/>
    <w:rsid w:val="00244500"/>
    <w:rsid w:val="00247D45"/>
    <w:rsid w:val="00252551"/>
    <w:rsid w:val="00261937"/>
    <w:rsid w:val="00261ABA"/>
    <w:rsid w:val="00262E18"/>
    <w:rsid w:val="0026507F"/>
    <w:rsid w:val="0026571E"/>
    <w:rsid w:val="00271C94"/>
    <w:rsid w:val="002768C3"/>
    <w:rsid w:val="00281874"/>
    <w:rsid w:val="00282C25"/>
    <w:rsid w:val="00284884"/>
    <w:rsid w:val="00285003"/>
    <w:rsid w:val="002869F5"/>
    <w:rsid w:val="00287DCC"/>
    <w:rsid w:val="00291CF1"/>
    <w:rsid w:val="0029235F"/>
    <w:rsid w:val="00292587"/>
    <w:rsid w:val="002A143D"/>
    <w:rsid w:val="002A35EC"/>
    <w:rsid w:val="002A3DE9"/>
    <w:rsid w:val="002A493A"/>
    <w:rsid w:val="002A530A"/>
    <w:rsid w:val="002A5884"/>
    <w:rsid w:val="002A6981"/>
    <w:rsid w:val="002B1C50"/>
    <w:rsid w:val="002B207C"/>
    <w:rsid w:val="002B7922"/>
    <w:rsid w:val="002B7E1B"/>
    <w:rsid w:val="002C2529"/>
    <w:rsid w:val="002C2A03"/>
    <w:rsid w:val="002C3EFE"/>
    <w:rsid w:val="002C62B3"/>
    <w:rsid w:val="002C7620"/>
    <w:rsid w:val="002D122C"/>
    <w:rsid w:val="002D7CF9"/>
    <w:rsid w:val="002E092E"/>
    <w:rsid w:val="002E144A"/>
    <w:rsid w:val="002E2DE2"/>
    <w:rsid w:val="002E4B66"/>
    <w:rsid w:val="002F4FB3"/>
    <w:rsid w:val="002F576E"/>
    <w:rsid w:val="002F5B29"/>
    <w:rsid w:val="002F5B54"/>
    <w:rsid w:val="002F5C6C"/>
    <w:rsid w:val="002F7E40"/>
    <w:rsid w:val="003012DA"/>
    <w:rsid w:val="00307C5C"/>
    <w:rsid w:val="00312CFE"/>
    <w:rsid w:val="00313480"/>
    <w:rsid w:val="00313C98"/>
    <w:rsid w:val="00313FD9"/>
    <w:rsid w:val="003155BD"/>
    <w:rsid w:val="003177B9"/>
    <w:rsid w:val="00321E0A"/>
    <w:rsid w:val="003258E9"/>
    <w:rsid w:val="00333506"/>
    <w:rsid w:val="00340987"/>
    <w:rsid w:val="003410AA"/>
    <w:rsid w:val="0034465F"/>
    <w:rsid w:val="00352A6B"/>
    <w:rsid w:val="00352EC1"/>
    <w:rsid w:val="00355CCE"/>
    <w:rsid w:val="00361054"/>
    <w:rsid w:val="0036119D"/>
    <w:rsid w:val="0036198B"/>
    <w:rsid w:val="003637A0"/>
    <w:rsid w:val="0036474E"/>
    <w:rsid w:val="00364CF3"/>
    <w:rsid w:val="00365CAA"/>
    <w:rsid w:val="00367EAB"/>
    <w:rsid w:val="00372573"/>
    <w:rsid w:val="00377AB2"/>
    <w:rsid w:val="003877C3"/>
    <w:rsid w:val="0039283B"/>
    <w:rsid w:val="003942A0"/>
    <w:rsid w:val="00396EA4"/>
    <w:rsid w:val="003A2157"/>
    <w:rsid w:val="003A2AD9"/>
    <w:rsid w:val="003A3363"/>
    <w:rsid w:val="003A3905"/>
    <w:rsid w:val="003A3CC1"/>
    <w:rsid w:val="003A6635"/>
    <w:rsid w:val="003A6B0E"/>
    <w:rsid w:val="003A78C6"/>
    <w:rsid w:val="003B3577"/>
    <w:rsid w:val="003B5562"/>
    <w:rsid w:val="003B6363"/>
    <w:rsid w:val="003B737F"/>
    <w:rsid w:val="003B7892"/>
    <w:rsid w:val="003C0CF7"/>
    <w:rsid w:val="003C2E5D"/>
    <w:rsid w:val="003C5902"/>
    <w:rsid w:val="003C59E0"/>
    <w:rsid w:val="003C6F2A"/>
    <w:rsid w:val="003D743C"/>
    <w:rsid w:val="003E0820"/>
    <w:rsid w:val="003E33BA"/>
    <w:rsid w:val="003E6090"/>
    <w:rsid w:val="003E6BA0"/>
    <w:rsid w:val="003E73DB"/>
    <w:rsid w:val="003F0ADC"/>
    <w:rsid w:val="003F37A8"/>
    <w:rsid w:val="003F59E6"/>
    <w:rsid w:val="003F5BE6"/>
    <w:rsid w:val="003F6C00"/>
    <w:rsid w:val="00400189"/>
    <w:rsid w:val="00404F99"/>
    <w:rsid w:val="00411D99"/>
    <w:rsid w:val="004120B1"/>
    <w:rsid w:val="00413E74"/>
    <w:rsid w:val="0041421D"/>
    <w:rsid w:val="0041490D"/>
    <w:rsid w:val="00414A5C"/>
    <w:rsid w:val="004156B4"/>
    <w:rsid w:val="0041697F"/>
    <w:rsid w:val="00420235"/>
    <w:rsid w:val="004223AA"/>
    <w:rsid w:val="00423104"/>
    <w:rsid w:val="004267D3"/>
    <w:rsid w:val="00427E2A"/>
    <w:rsid w:val="00433E65"/>
    <w:rsid w:val="00436D89"/>
    <w:rsid w:val="004374B2"/>
    <w:rsid w:val="00442AB8"/>
    <w:rsid w:val="004436EA"/>
    <w:rsid w:val="0044456C"/>
    <w:rsid w:val="00450B39"/>
    <w:rsid w:val="00453BC6"/>
    <w:rsid w:val="00454498"/>
    <w:rsid w:val="00456C59"/>
    <w:rsid w:val="0047217B"/>
    <w:rsid w:val="0047696D"/>
    <w:rsid w:val="00477931"/>
    <w:rsid w:val="00486CF9"/>
    <w:rsid w:val="00490198"/>
    <w:rsid w:val="00490E28"/>
    <w:rsid w:val="00492276"/>
    <w:rsid w:val="00497362"/>
    <w:rsid w:val="00497C77"/>
    <w:rsid w:val="004A0AE7"/>
    <w:rsid w:val="004A523F"/>
    <w:rsid w:val="004A6062"/>
    <w:rsid w:val="004A673A"/>
    <w:rsid w:val="004A770F"/>
    <w:rsid w:val="004A7A17"/>
    <w:rsid w:val="004B0735"/>
    <w:rsid w:val="004B0813"/>
    <w:rsid w:val="004B136A"/>
    <w:rsid w:val="004B1F38"/>
    <w:rsid w:val="004B21C5"/>
    <w:rsid w:val="004B2EF6"/>
    <w:rsid w:val="004B34A6"/>
    <w:rsid w:val="004B538E"/>
    <w:rsid w:val="004B5612"/>
    <w:rsid w:val="004B5AA7"/>
    <w:rsid w:val="004B6083"/>
    <w:rsid w:val="004B6375"/>
    <w:rsid w:val="004B6927"/>
    <w:rsid w:val="004B7E5C"/>
    <w:rsid w:val="004C3CC4"/>
    <w:rsid w:val="004C4D5E"/>
    <w:rsid w:val="004C5D58"/>
    <w:rsid w:val="004D11ED"/>
    <w:rsid w:val="004D1DC7"/>
    <w:rsid w:val="004D310E"/>
    <w:rsid w:val="004D37D8"/>
    <w:rsid w:val="004D4B81"/>
    <w:rsid w:val="004E495A"/>
    <w:rsid w:val="004F31C9"/>
    <w:rsid w:val="004F331A"/>
    <w:rsid w:val="004F5DCD"/>
    <w:rsid w:val="004F6B2B"/>
    <w:rsid w:val="005005DF"/>
    <w:rsid w:val="00505045"/>
    <w:rsid w:val="00510B96"/>
    <w:rsid w:val="00511501"/>
    <w:rsid w:val="00511B5B"/>
    <w:rsid w:val="00515AF2"/>
    <w:rsid w:val="0051640E"/>
    <w:rsid w:val="00516741"/>
    <w:rsid w:val="0051684E"/>
    <w:rsid w:val="00527ABC"/>
    <w:rsid w:val="005376F9"/>
    <w:rsid w:val="0054193D"/>
    <w:rsid w:val="00542A8C"/>
    <w:rsid w:val="00542D59"/>
    <w:rsid w:val="00543637"/>
    <w:rsid w:val="00545DF7"/>
    <w:rsid w:val="00546CA2"/>
    <w:rsid w:val="005539F5"/>
    <w:rsid w:val="0055415C"/>
    <w:rsid w:val="00554AAC"/>
    <w:rsid w:val="0055503F"/>
    <w:rsid w:val="005572D7"/>
    <w:rsid w:val="00563797"/>
    <w:rsid w:val="00564054"/>
    <w:rsid w:val="005651B5"/>
    <w:rsid w:val="00566234"/>
    <w:rsid w:val="0057174A"/>
    <w:rsid w:val="0057262B"/>
    <w:rsid w:val="005815B3"/>
    <w:rsid w:val="00582A03"/>
    <w:rsid w:val="005874CC"/>
    <w:rsid w:val="00587E37"/>
    <w:rsid w:val="00593821"/>
    <w:rsid w:val="00596E88"/>
    <w:rsid w:val="00597CBD"/>
    <w:rsid w:val="005A0969"/>
    <w:rsid w:val="005A5E7A"/>
    <w:rsid w:val="005B0DEF"/>
    <w:rsid w:val="005B2A03"/>
    <w:rsid w:val="005B4C1B"/>
    <w:rsid w:val="005B7A39"/>
    <w:rsid w:val="005C0264"/>
    <w:rsid w:val="005C2684"/>
    <w:rsid w:val="005C2DDC"/>
    <w:rsid w:val="005C3BBE"/>
    <w:rsid w:val="005C5620"/>
    <w:rsid w:val="005C578C"/>
    <w:rsid w:val="005C7D33"/>
    <w:rsid w:val="005D1F0F"/>
    <w:rsid w:val="005D29DB"/>
    <w:rsid w:val="005D41F9"/>
    <w:rsid w:val="005E2D1C"/>
    <w:rsid w:val="005E4143"/>
    <w:rsid w:val="005E724B"/>
    <w:rsid w:val="00601224"/>
    <w:rsid w:val="00601F7C"/>
    <w:rsid w:val="00602A48"/>
    <w:rsid w:val="00602EF7"/>
    <w:rsid w:val="00606F11"/>
    <w:rsid w:val="00607B03"/>
    <w:rsid w:val="0061059D"/>
    <w:rsid w:val="006124D9"/>
    <w:rsid w:val="0061326F"/>
    <w:rsid w:val="00614393"/>
    <w:rsid w:val="006146F2"/>
    <w:rsid w:val="00614C00"/>
    <w:rsid w:val="006209A2"/>
    <w:rsid w:val="00623567"/>
    <w:rsid w:val="006412B5"/>
    <w:rsid w:val="00641932"/>
    <w:rsid w:val="00644083"/>
    <w:rsid w:val="0064429B"/>
    <w:rsid w:val="0064477C"/>
    <w:rsid w:val="00650903"/>
    <w:rsid w:val="0065535E"/>
    <w:rsid w:val="006650A8"/>
    <w:rsid w:val="006679C0"/>
    <w:rsid w:val="00676774"/>
    <w:rsid w:val="00680ED5"/>
    <w:rsid w:val="00681956"/>
    <w:rsid w:val="00682FBA"/>
    <w:rsid w:val="00683370"/>
    <w:rsid w:val="00684EC1"/>
    <w:rsid w:val="006903F9"/>
    <w:rsid w:val="006923C8"/>
    <w:rsid w:val="00696AB4"/>
    <w:rsid w:val="00697494"/>
    <w:rsid w:val="006976BF"/>
    <w:rsid w:val="006A05D7"/>
    <w:rsid w:val="006A08C6"/>
    <w:rsid w:val="006A4628"/>
    <w:rsid w:val="006B3F39"/>
    <w:rsid w:val="006B4213"/>
    <w:rsid w:val="006B43AF"/>
    <w:rsid w:val="006B4DF0"/>
    <w:rsid w:val="006B607B"/>
    <w:rsid w:val="006C1013"/>
    <w:rsid w:val="006C163A"/>
    <w:rsid w:val="006C228B"/>
    <w:rsid w:val="006C2931"/>
    <w:rsid w:val="006D466E"/>
    <w:rsid w:val="006D4B70"/>
    <w:rsid w:val="006D4C35"/>
    <w:rsid w:val="006D7A92"/>
    <w:rsid w:val="006E3B48"/>
    <w:rsid w:val="006E46DC"/>
    <w:rsid w:val="006E6184"/>
    <w:rsid w:val="006E631B"/>
    <w:rsid w:val="006F096A"/>
    <w:rsid w:val="006F22E3"/>
    <w:rsid w:val="006F3095"/>
    <w:rsid w:val="006F49C2"/>
    <w:rsid w:val="006F5455"/>
    <w:rsid w:val="006F5CB6"/>
    <w:rsid w:val="006F79D3"/>
    <w:rsid w:val="00703194"/>
    <w:rsid w:val="00706E50"/>
    <w:rsid w:val="0070737C"/>
    <w:rsid w:val="00711229"/>
    <w:rsid w:val="00715018"/>
    <w:rsid w:val="0071561A"/>
    <w:rsid w:val="007179FE"/>
    <w:rsid w:val="00717F25"/>
    <w:rsid w:val="007201B1"/>
    <w:rsid w:val="007201D7"/>
    <w:rsid w:val="0072458A"/>
    <w:rsid w:val="00724E14"/>
    <w:rsid w:val="00725AD5"/>
    <w:rsid w:val="00725F6E"/>
    <w:rsid w:val="00726DB5"/>
    <w:rsid w:val="00726EB4"/>
    <w:rsid w:val="00730AB3"/>
    <w:rsid w:val="00731945"/>
    <w:rsid w:val="007363DE"/>
    <w:rsid w:val="0073698D"/>
    <w:rsid w:val="00736C0B"/>
    <w:rsid w:val="007371FA"/>
    <w:rsid w:val="00742489"/>
    <w:rsid w:val="00744D93"/>
    <w:rsid w:val="00746531"/>
    <w:rsid w:val="00750F59"/>
    <w:rsid w:val="00751725"/>
    <w:rsid w:val="00752028"/>
    <w:rsid w:val="0075450A"/>
    <w:rsid w:val="0075717D"/>
    <w:rsid w:val="0076017E"/>
    <w:rsid w:val="00760DB6"/>
    <w:rsid w:val="0076361C"/>
    <w:rsid w:val="007638D8"/>
    <w:rsid w:val="007661AE"/>
    <w:rsid w:val="00766A51"/>
    <w:rsid w:val="00771FFF"/>
    <w:rsid w:val="00772818"/>
    <w:rsid w:val="0077685D"/>
    <w:rsid w:val="0077788E"/>
    <w:rsid w:val="00784439"/>
    <w:rsid w:val="0078589D"/>
    <w:rsid w:val="00785E12"/>
    <w:rsid w:val="00787E75"/>
    <w:rsid w:val="00797257"/>
    <w:rsid w:val="007A3157"/>
    <w:rsid w:val="007A6E20"/>
    <w:rsid w:val="007B10ED"/>
    <w:rsid w:val="007B2B2E"/>
    <w:rsid w:val="007B3BFC"/>
    <w:rsid w:val="007B4B03"/>
    <w:rsid w:val="007C4F31"/>
    <w:rsid w:val="007E5257"/>
    <w:rsid w:val="007E5391"/>
    <w:rsid w:val="007E5CD5"/>
    <w:rsid w:val="007F4EF5"/>
    <w:rsid w:val="00804105"/>
    <w:rsid w:val="00806D94"/>
    <w:rsid w:val="00807AD8"/>
    <w:rsid w:val="00811800"/>
    <w:rsid w:val="00812E1C"/>
    <w:rsid w:val="00813CFF"/>
    <w:rsid w:val="008140C5"/>
    <w:rsid w:val="00814590"/>
    <w:rsid w:val="00814667"/>
    <w:rsid w:val="008148E2"/>
    <w:rsid w:val="008149E4"/>
    <w:rsid w:val="008156B7"/>
    <w:rsid w:val="00817D90"/>
    <w:rsid w:val="00820916"/>
    <w:rsid w:val="00822355"/>
    <w:rsid w:val="0082332D"/>
    <w:rsid w:val="0082402C"/>
    <w:rsid w:val="00825FF5"/>
    <w:rsid w:val="008262F1"/>
    <w:rsid w:val="008311FA"/>
    <w:rsid w:val="008317EF"/>
    <w:rsid w:val="00845BCC"/>
    <w:rsid w:val="00851465"/>
    <w:rsid w:val="008514B8"/>
    <w:rsid w:val="00852ED8"/>
    <w:rsid w:val="0085330A"/>
    <w:rsid w:val="008550CA"/>
    <w:rsid w:val="0085533A"/>
    <w:rsid w:val="00855543"/>
    <w:rsid w:val="0085738D"/>
    <w:rsid w:val="008610E4"/>
    <w:rsid w:val="00862395"/>
    <w:rsid w:val="00864DD3"/>
    <w:rsid w:val="008708D6"/>
    <w:rsid w:val="00874608"/>
    <w:rsid w:val="008760D0"/>
    <w:rsid w:val="00881317"/>
    <w:rsid w:val="008843EE"/>
    <w:rsid w:val="00884AEB"/>
    <w:rsid w:val="00892CA4"/>
    <w:rsid w:val="008935DD"/>
    <w:rsid w:val="00896477"/>
    <w:rsid w:val="00896BD6"/>
    <w:rsid w:val="00896F5A"/>
    <w:rsid w:val="008A2BF5"/>
    <w:rsid w:val="008A3C37"/>
    <w:rsid w:val="008B1840"/>
    <w:rsid w:val="008B70D3"/>
    <w:rsid w:val="008B73A2"/>
    <w:rsid w:val="008B7FE2"/>
    <w:rsid w:val="008C0130"/>
    <w:rsid w:val="008C0BBA"/>
    <w:rsid w:val="008C2450"/>
    <w:rsid w:val="008C7817"/>
    <w:rsid w:val="008C7F5B"/>
    <w:rsid w:val="008D079A"/>
    <w:rsid w:val="008D2F40"/>
    <w:rsid w:val="008D5B52"/>
    <w:rsid w:val="008D649A"/>
    <w:rsid w:val="008E0AD6"/>
    <w:rsid w:val="008E4209"/>
    <w:rsid w:val="008E48FC"/>
    <w:rsid w:val="008E55BD"/>
    <w:rsid w:val="008E7527"/>
    <w:rsid w:val="008F2AD6"/>
    <w:rsid w:val="008F3EA8"/>
    <w:rsid w:val="008F44F1"/>
    <w:rsid w:val="008F4BA8"/>
    <w:rsid w:val="008F5C07"/>
    <w:rsid w:val="008F696D"/>
    <w:rsid w:val="008F7777"/>
    <w:rsid w:val="00901CF5"/>
    <w:rsid w:val="00901F53"/>
    <w:rsid w:val="00903150"/>
    <w:rsid w:val="00906431"/>
    <w:rsid w:val="009115AF"/>
    <w:rsid w:val="00912B7E"/>
    <w:rsid w:val="00913276"/>
    <w:rsid w:val="0091413D"/>
    <w:rsid w:val="009221DF"/>
    <w:rsid w:val="009224FD"/>
    <w:rsid w:val="0093296C"/>
    <w:rsid w:val="00935CC7"/>
    <w:rsid w:val="0094002F"/>
    <w:rsid w:val="0094129D"/>
    <w:rsid w:val="00941BB7"/>
    <w:rsid w:val="00944760"/>
    <w:rsid w:val="00946A91"/>
    <w:rsid w:val="00946AE5"/>
    <w:rsid w:val="00950865"/>
    <w:rsid w:val="00951BAD"/>
    <w:rsid w:val="0095223D"/>
    <w:rsid w:val="009526E4"/>
    <w:rsid w:val="009532CA"/>
    <w:rsid w:val="00953AA1"/>
    <w:rsid w:val="00954149"/>
    <w:rsid w:val="00954B44"/>
    <w:rsid w:val="009644B8"/>
    <w:rsid w:val="0096732C"/>
    <w:rsid w:val="009703B6"/>
    <w:rsid w:val="00971A4C"/>
    <w:rsid w:val="00975EB5"/>
    <w:rsid w:val="00983979"/>
    <w:rsid w:val="00983DC2"/>
    <w:rsid w:val="00983DF0"/>
    <w:rsid w:val="0099742A"/>
    <w:rsid w:val="009A0446"/>
    <w:rsid w:val="009A062C"/>
    <w:rsid w:val="009A1458"/>
    <w:rsid w:val="009A48AF"/>
    <w:rsid w:val="009A522D"/>
    <w:rsid w:val="009B0C68"/>
    <w:rsid w:val="009B3F77"/>
    <w:rsid w:val="009B5132"/>
    <w:rsid w:val="009B7525"/>
    <w:rsid w:val="009C166A"/>
    <w:rsid w:val="009C2059"/>
    <w:rsid w:val="009C6FFB"/>
    <w:rsid w:val="009C7EF5"/>
    <w:rsid w:val="009D0C93"/>
    <w:rsid w:val="009D2FAC"/>
    <w:rsid w:val="009E093C"/>
    <w:rsid w:val="009E1311"/>
    <w:rsid w:val="009E151E"/>
    <w:rsid w:val="009E3ACF"/>
    <w:rsid w:val="009E5DB6"/>
    <w:rsid w:val="009F2E6A"/>
    <w:rsid w:val="009F777E"/>
    <w:rsid w:val="009F7F52"/>
    <w:rsid w:val="00A0202C"/>
    <w:rsid w:val="00A0227E"/>
    <w:rsid w:val="00A05C1E"/>
    <w:rsid w:val="00A0603F"/>
    <w:rsid w:val="00A06D5A"/>
    <w:rsid w:val="00A112E6"/>
    <w:rsid w:val="00A14966"/>
    <w:rsid w:val="00A15CAB"/>
    <w:rsid w:val="00A16E8F"/>
    <w:rsid w:val="00A17CCB"/>
    <w:rsid w:val="00A201DE"/>
    <w:rsid w:val="00A211A9"/>
    <w:rsid w:val="00A2422A"/>
    <w:rsid w:val="00A25265"/>
    <w:rsid w:val="00A26FC8"/>
    <w:rsid w:val="00A303A1"/>
    <w:rsid w:val="00A357B1"/>
    <w:rsid w:val="00A357F9"/>
    <w:rsid w:val="00A42386"/>
    <w:rsid w:val="00A50751"/>
    <w:rsid w:val="00A50E72"/>
    <w:rsid w:val="00A534C3"/>
    <w:rsid w:val="00A54B81"/>
    <w:rsid w:val="00A54BE7"/>
    <w:rsid w:val="00A564EB"/>
    <w:rsid w:val="00A6500A"/>
    <w:rsid w:val="00A65333"/>
    <w:rsid w:val="00A6719E"/>
    <w:rsid w:val="00A739F1"/>
    <w:rsid w:val="00A758DE"/>
    <w:rsid w:val="00A76FD1"/>
    <w:rsid w:val="00A8189A"/>
    <w:rsid w:val="00A81C2E"/>
    <w:rsid w:val="00A81EC4"/>
    <w:rsid w:val="00A83B8E"/>
    <w:rsid w:val="00A8478F"/>
    <w:rsid w:val="00A858C4"/>
    <w:rsid w:val="00A9141E"/>
    <w:rsid w:val="00A9341B"/>
    <w:rsid w:val="00A974CA"/>
    <w:rsid w:val="00A97E12"/>
    <w:rsid w:val="00AA2CD5"/>
    <w:rsid w:val="00AA4F6C"/>
    <w:rsid w:val="00AB16AE"/>
    <w:rsid w:val="00AB392A"/>
    <w:rsid w:val="00AB5801"/>
    <w:rsid w:val="00AB5A64"/>
    <w:rsid w:val="00AB71A5"/>
    <w:rsid w:val="00AB76C6"/>
    <w:rsid w:val="00AB79E9"/>
    <w:rsid w:val="00AC5567"/>
    <w:rsid w:val="00AD04F4"/>
    <w:rsid w:val="00AD576C"/>
    <w:rsid w:val="00AD670F"/>
    <w:rsid w:val="00AD6C71"/>
    <w:rsid w:val="00AE1E4B"/>
    <w:rsid w:val="00AE1E54"/>
    <w:rsid w:val="00AE2AFD"/>
    <w:rsid w:val="00AE4372"/>
    <w:rsid w:val="00AE478A"/>
    <w:rsid w:val="00AE6687"/>
    <w:rsid w:val="00AF0C8D"/>
    <w:rsid w:val="00B00778"/>
    <w:rsid w:val="00B04E8C"/>
    <w:rsid w:val="00B050C0"/>
    <w:rsid w:val="00B05642"/>
    <w:rsid w:val="00B06097"/>
    <w:rsid w:val="00B067EE"/>
    <w:rsid w:val="00B10045"/>
    <w:rsid w:val="00B100DF"/>
    <w:rsid w:val="00B10CAE"/>
    <w:rsid w:val="00B12190"/>
    <w:rsid w:val="00B1294B"/>
    <w:rsid w:val="00B137C3"/>
    <w:rsid w:val="00B171BB"/>
    <w:rsid w:val="00B17B40"/>
    <w:rsid w:val="00B21EA9"/>
    <w:rsid w:val="00B2247A"/>
    <w:rsid w:val="00B34564"/>
    <w:rsid w:val="00B35C46"/>
    <w:rsid w:val="00B36551"/>
    <w:rsid w:val="00B36E9E"/>
    <w:rsid w:val="00B40E38"/>
    <w:rsid w:val="00B45C9E"/>
    <w:rsid w:val="00B51ACE"/>
    <w:rsid w:val="00B619AA"/>
    <w:rsid w:val="00B623D7"/>
    <w:rsid w:val="00B66422"/>
    <w:rsid w:val="00B66E7A"/>
    <w:rsid w:val="00B8096A"/>
    <w:rsid w:val="00B91564"/>
    <w:rsid w:val="00B9206A"/>
    <w:rsid w:val="00B9279E"/>
    <w:rsid w:val="00B94036"/>
    <w:rsid w:val="00BA1CFA"/>
    <w:rsid w:val="00BA4284"/>
    <w:rsid w:val="00BC1029"/>
    <w:rsid w:val="00BC2720"/>
    <w:rsid w:val="00BC4728"/>
    <w:rsid w:val="00BC4BF4"/>
    <w:rsid w:val="00BC60B3"/>
    <w:rsid w:val="00BD2253"/>
    <w:rsid w:val="00BD7496"/>
    <w:rsid w:val="00BE042D"/>
    <w:rsid w:val="00BE4802"/>
    <w:rsid w:val="00BE7212"/>
    <w:rsid w:val="00BF0D7C"/>
    <w:rsid w:val="00BF331F"/>
    <w:rsid w:val="00C053A4"/>
    <w:rsid w:val="00C05CC6"/>
    <w:rsid w:val="00C068C7"/>
    <w:rsid w:val="00C073C2"/>
    <w:rsid w:val="00C13C12"/>
    <w:rsid w:val="00C1554C"/>
    <w:rsid w:val="00C160F4"/>
    <w:rsid w:val="00C20F99"/>
    <w:rsid w:val="00C2120D"/>
    <w:rsid w:val="00C215E7"/>
    <w:rsid w:val="00C233E9"/>
    <w:rsid w:val="00C2605C"/>
    <w:rsid w:val="00C26C5B"/>
    <w:rsid w:val="00C2711B"/>
    <w:rsid w:val="00C303B4"/>
    <w:rsid w:val="00C31FCC"/>
    <w:rsid w:val="00C40EBC"/>
    <w:rsid w:val="00C41265"/>
    <w:rsid w:val="00C4202E"/>
    <w:rsid w:val="00C42ACA"/>
    <w:rsid w:val="00C51308"/>
    <w:rsid w:val="00C51F78"/>
    <w:rsid w:val="00C539F8"/>
    <w:rsid w:val="00C53A47"/>
    <w:rsid w:val="00C53B38"/>
    <w:rsid w:val="00C553D0"/>
    <w:rsid w:val="00C5762F"/>
    <w:rsid w:val="00C57BB9"/>
    <w:rsid w:val="00C606F6"/>
    <w:rsid w:val="00C6082E"/>
    <w:rsid w:val="00C61699"/>
    <w:rsid w:val="00C62B02"/>
    <w:rsid w:val="00C64908"/>
    <w:rsid w:val="00C705B5"/>
    <w:rsid w:val="00C7093C"/>
    <w:rsid w:val="00C738BD"/>
    <w:rsid w:val="00C75D40"/>
    <w:rsid w:val="00C83627"/>
    <w:rsid w:val="00C85E44"/>
    <w:rsid w:val="00C92F94"/>
    <w:rsid w:val="00C95D81"/>
    <w:rsid w:val="00C960AA"/>
    <w:rsid w:val="00CA121E"/>
    <w:rsid w:val="00CA501D"/>
    <w:rsid w:val="00CA55C4"/>
    <w:rsid w:val="00CB1789"/>
    <w:rsid w:val="00CB1CB2"/>
    <w:rsid w:val="00CB2557"/>
    <w:rsid w:val="00CB334D"/>
    <w:rsid w:val="00CB44C4"/>
    <w:rsid w:val="00CB47FE"/>
    <w:rsid w:val="00CB4D35"/>
    <w:rsid w:val="00CB6703"/>
    <w:rsid w:val="00CC39B1"/>
    <w:rsid w:val="00CC3D90"/>
    <w:rsid w:val="00CD526B"/>
    <w:rsid w:val="00CD5B93"/>
    <w:rsid w:val="00CD7039"/>
    <w:rsid w:val="00CE3B32"/>
    <w:rsid w:val="00CE4A24"/>
    <w:rsid w:val="00CE613B"/>
    <w:rsid w:val="00CE7403"/>
    <w:rsid w:val="00CF00A6"/>
    <w:rsid w:val="00CF0826"/>
    <w:rsid w:val="00CF0D8A"/>
    <w:rsid w:val="00CF267F"/>
    <w:rsid w:val="00CF7DA0"/>
    <w:rsid w:val="00D0312C"/>
    <w:rsid w:val="00D04614"/>
    <w:rsid w:val="00D16406"/>
    <w:rsid w:val="00D1723F"/>
    <w:rsid w:val="00D26B64"/>
    <w:rsid w:val="00D30AA4"/>
    <w:rsid w:val="00D30CE5"/>
    <w:rsid w:val="00D3674A"/>
    <w:rsid w:val="00D40383"/>
    <w:rsid w:val="00D4085D"/>
    <w:rsid w:val="00D428F4"/>
    <w:rsid w:val="00D434F3"/>
    <w:rsid w:val="00D44493"/>
    <w:rsid w:val="00D46E83"/>
    <w:rsid w:val="00D51386"/>
    <w:rsid w:val="00D52914"/>
    <w:rsid w:val="00D5485B"/>
    <w:rsid w:val="00D57346"/>
    <w:rsid w:val="00D61911"/>
    <w:rsid w:val="00D62258"/>
    <w:rsid w:val="00D625A7"/>
    <w:rsid w:val="00D677F9"/>
    <w:rsid w:val="00D702F1"/>
    <w:rsid w:val="00D729FA"/>
    <w:rsid w:val="00D7336A"/>
    <w:rsid w:val="00D73591"/>
    <w:rsid w:val="00D74471"/>
    <w:rsid w:val="00D802FC"/>
    <w:rsid w:val="00D8532B"/>
    <w:rsid w:val="00D85463"/>
    <w:rsid w:val="00D943B0"/>
    <w:rsid w:val="00D973A5"/>
    <w:rsid w:val="00DA00E7"/>
    <w:rsid w:val="00DA205D"/>
    <w:rsid w:val="00DA7233"/>
    <w:rsid w:val="00DB6301"/>
    <w:rsid w:val="00DB6EFA"/>
    <w:rsid w:val="00DC4D62"/>
    <w:rsid w:val="00DC50E5"/>
    <w:rsid w:val="00DC5BE7"/>
    <w:rsid w:val="00DC758D"/>
    <w:rsid w:val="00DC76BC"/>
    <w:rsid w:val="00DC76C7"/>
    <w:rsid w:val="00DD33D1"/>
    <w:rsid w:val="00DE311A"/>
    <w:rsid w:val="00DE36EB"/>
    <w:rsid w:val="00DE4A6C"/>
    <w:rsid w:val="00DE64C1"/>
    <w:rsid w:val="00DF5BAB"/>
    <w:rsid w:val="00E06763"/>
    <w:rsid w:val="00E1009C"/>
    <w:rsid w:val="00E10555"/>
    <w:rsid w:val="00E11087"/>
    <w:rsid w:val="00E16E0A"/>
    <w:rsid w:val="00E204BB"/>
    <w:rsid w:val="00E220BC"/>
    <w:rsid w:val="00E31096"/>
    <w:rsid w:val="00E33938"/>
    <w:rsid w:val="00E33F03"/>
    <w:rsid w:val="00E354D8"/>
    <w:rsid w:val="00E3658A"/>
    <w:rsid w:val="00E3706A"/>
    <w:rsid w:val="00E3738B"/>
    <w:rsid w:val="00E37446"/>
    <w:rsid w:val="00E37730"/>
    <w:rsid w:val="00E4099E"/>
    <w:rsid w:val="00E4539D"/>
    <w:rsid w:val="00E456AA"/>
    <w:rsid w:val="00E511B2"/>
    <w:rsid w:val="00E5201F"/>
    <w:rsid w:val="00E579FF"/>
    <w:rsid w:val="00E6698B"/>
    <w:rsid w:val="00E7195E"/>
    <w:rsid w:val="00E721CE"/>
    <w:rsid w:val="00E72F4A"/>
    <w:rsid w:val="00E7456B"/>
    <w:rsid w:val="00E7467D"/>
    <w:rsid w:val="00E7693B"/>
    <w:rsid w:val="00E77032"/>
    <w:rsid w:val="00E82115"/>
    <w:rsid w:val="00E832FF"/>
    <w:rsid w:val="00E83448"/>
    <w:rsid w:val="00E838D3"/>
    <w:rsid w:val="00E856EA"/>
    <w:rsid w:val="00E90BF8"/>
    <w:rsid w:val="00E92C8A"/>
    <w:rsid w:val="00E9346D"/>
    <w:rsid w:val="00EA21BF"/>
    <w:rsid w:val="00EA594C"/>
    <w:rsid w:val="00EA7329"/>
    <w:rsid w:val="00EA7A1C"/>
    <w:rsid w:val="00EB5170"/>
    <w:rsid w:val="00EB7EDA"/>
    <w:rsid w:val="00EB7FE6"/>
    <w:rsid w:val="00EC1A25"/>
    <w:rsid w:val="00EC3E78"/>
    <w:rsid w:val="00EC5149"/>
    <w:rsid w:val="00EC5206"/>
    <w:rsid w:val="00EC5D22"/>
    <w:rsid w:val="00ED0175"/>
    <w:rsid w:val="00ED0AC8"/>
    <w:rsid w:val="00ED2AC4"/>
    <w:rsid w:val="00ED4036"/>
    <w:rsid w:val="00ED7005"/>
    <w:rsid w:val="00EE041B"/>
    <w:rsid w:val="00EE57AC"/>
    <w:rsid w:val="00EE7238"/>
    <w:rsid w:val="00EE74C4"/>
    <w:rsid w:val="00EE7D29"/>
    <w:rsid w:val="00EF33DE"/>
    <w:rsid w:val="00EF563A"/>
    <w:rsid w:val="00EF6486"/>
    <w:rsid w:val="00EF72D4"/>
    <w:rsid w:val="00F0009B"/>
    <w:rsid w:val="00F11A23"/>
    <w:rsid w:val="00F11DDE"/>
    <w:rsid w:val="00F120E6"/>
    <w:rsid w:val="00F12ACD"/>
    <w:rsid w:val="00F16589"/>
    <w:rsid w:val="00F2068C"/>
    <w:rsid w:val="00F22DD9"/>
    <w:rsid w:val="00F234AB"/>
    <w:rsid w:val="00F24478"/>
    <w:rsid w:val="00F25040"/>
    <w:rsid w:val="00F308A9"/>
    <w:rsid w:val="00F31DE0"/>
    <w:rsid w:val="00F3245D"/>
    <w:rsid w:val="00F34E70"/>
    <w:rsid w:val="00F4377A"/>
    <w:rsid w:val="00F43CA8"/>
    <w:rsid w:val="00F46237"/>
    <w:rsid w:val="00F47765"/>
    <w:rsid w:val="00F501C6"/>
    <w:rsid w:val="00F552D7"/>
    <w:rsid w:val="00F630DB"/>
    <w:rsid w:val="00F630EF"/>
    <w:rsid w:val="00F6403E"/>
    <w:rsid w:val="00F71346"/>
    <w:rsid w:val="00F715F2"/>
    <w:rsid w:val="00F71F0E"/>
    <w:rsid w:val="00F730C7"/>
    <w:rsid w:val="00F76C87"/>
    <w:rsid w:val="00F818A1"/>
    <w:rsid w:val="00F867A6"/>
    <w:rsid w:val="00F8684A"/>
    <w:rsid w:val="00F94C3D"/>
    <w:rsid w:val="00F95D26"/>
    <w:rsid w:val="00F97928"/>
    <w:rsid w:val="00F979C5"/>
    <w:rsid w:val="00FA0CBF"/>
    <w:rsid w:val="00FA0E45"/>
    <w:rsid w:val="00FA2EC0"/>
    <w:rsid w:val="00FA4E87"/>
    <w:rsid w:val="00FA64FD"/>
    <w:rsid w:val="00FB4200"/>
    <w:rsid w:val="00FB5750"/>
    <w:rsid w:val="00FB6A2E"/>
    <w:rsid w:val="00FC055C"/>
    <w:rsid w:val="00FD0508"/>
    <w:rsid w:val="00FD4437"/>
    <w:rsid w:val="00FE26A5"/>
    <w:rsid w:val="00FE347C"/>
    <w:rsid w:val="00FE4A16"/>
    <w:rsid w:val="00FE4E1B"/>
    <w:rsid w:val="00FF5029"/>
    <w:rsid w:val="00FF678A"/>
    <w:rsid w:val="00FF7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72D16A8"/>
  <w14:defaultImageDpi w14:val="0"/>
  <w15:docId w15:val="{1FB5206D-9331-4149-AE56-60D8DCB5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26"/>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17"/>
      </w:numPr>
      <w:tabs>
        <w:tab w:val="num" w:pos="567"/>
        <w:tab w:val="num" w:pos="850"/>
      </w:tabs>
      <w:ind w:left="850" w:hanging="284"/>
    </w:pPr>
  </w:style>
  <w:style w:type="paragraph" w:customStyle="1" w:styleId="DoubleDot">
    <w:name w:val="Double Dot"/>
    <w:basedOn w:val="Normal"/>
    <w:rsid w:val="00D51386"/>
    <w:pPr>
      <w:numPr>
        <w:ilvl w:val="2"/>
        <w:numId w:val="17"/>
      </w:numPr>
      <w:tabs>
        <w:tab w:val="num" w:pos="850"/>
        <w:tab w:val="num" w:pos="1133"/>
      </w:tabs>
      <w:ind w:left="1133" w:hanging="283"/>
    </w:pPr>
  </w:style>
  <w:style w:type="paragraph" w:customStyle="1" w:styleId="OutlineNumbered1">
    <w:name w:val="Outline Numbered 1"/>
    <w:basedOn w:val="Normal"/>
    <w:rsid w:val="00D51386"/>
    <w:pPr>
      <w:numPr>
        <w:numId w:val="14"/>
      </w:numPr>
    </w:pPr>
  </w:style>
  <w:style w:type="paragraph" w:customStyle="1" w:styleId="OutlineNumbered2">
    <w:name w:val="Outline Numbered 2"/>
    <w:basedOn w:val="Normal"/>
    <w:rsid w:val="00D51386"/>
    <w:pPr>
      <w:numPr>
        <w:ilvl w:val="1"/>
        <w:numId w:val="14"/>
      </w:numPr>
    </w:pPr>
  </w:style>
  <w:style w:type="paragraph" w:customStyle="1" w:styleId="OutlineNumbered3">
    <w:name w:val="Outline Numbered 3"/>
    <w:basedOn w:val="Normal"/>
    <w:rsid w:val="00D51386"/>
    <w:pPr>
      <w:numPr>
        <w:ilvl w:val="2"/>
        <w:numId w:val="14"/>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5"/>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7"/>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6"/>
      </w:numPr>
    </w:pPr>
  </w:style>
  <w:style w:type="paragraph" w:customStyle="1" w:styleId="BoxDash">
    <w:name w:val="Box Dash"/>
    <w:basedOn w:val="Normal"/>
    <w:uiPriority w:val="99"/>
    <w:rsid w:val="00D51386"/>
    <w:pPr>
      <w:numPr>
        <w:ilvl w:val="1"/>
        <w:numId w:val="16"/>
      </w:numPr>
    </w:pPr>
  </w:style>
  <w:style w:type="paragraph" w:customStyle="1" w:styleId="BoxDoubleDot">
    <w:name w:val="Box Double Dot"/>
    <w:basedOn w:val="BoxTextBase"/>
    <w:uiPriority w:val="99"/>
    <w:rsid w:val="00D51386"/>
    <w:pPr>
      <w:numPr>
        <w:ilvl w:val="2"/>
        <w:numId w:val="16"/>
      </w:numPr>
    </w:pPr>
  </w:style>
  <w:style w:type="paragraph" w:customStyle="1" w:styleId="RecommendationBullet">
    <w:name w:val="Recommendation Bullet"/>
    <w:basedOn w:val="RecommendationTextBase"/>
    <w:rsid w:val="00D51386"/>
    <w:pPr>
      <w:numPr>
        <w:numId w:val="18"/>
      </w:numPr>
    </w:pPr>
  </w:style>
  <w:style w:type="paragraph" w:customStyle="1" w:styleId="RecommendationDash">
    <w:name w:val="Recommendation Dash"/>
    <w:basedOn w:val="RecommendationTextBase"/>
    <w:rsid w:val="00D51386"/>
    <w:pPr>
      <w:numPr>
        <w:ilvl w:val="1"/>
        <w:numId w:val="18"/>
      </w:numPr>
    </w:pPr>
  </w:style>
  <w:style w:type="paragraph" w:customStyle="1" w:styleId="RecommendationDoubleDot">
    <w:name w:val="Recommendation Double Dot"/>
    <w:basedOn w:val="RecommendationTextBase"/>
    <w:rsid w:val="00D51386"/>
    <w:pPr>
      <w:numPr>
        <w:ilvl w:val="2"/>
        <w:numId w:val="18"/>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5"/>
      </w:numPr>
    </w:pPr>
  </w:style>
  <w:style w:type="paragraph" w:customStyle="1" w:styleId="Romannumeral">
    <w:name w:val="Roman numeral"/>
    <w:basedOn w:val="Normal"/>
    <w:rsid w:val="00D51386"/>
    <w:pPr>
      <w:numPr>
        <w:numId w:val="24"/>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27"/>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21"/>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27"/>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22"/>
      </w:numPr>
    </w:pPr>
  </w:style>
  <w:style w:type="paragraph" w:customStyle="1" w:styleId="AgreementParties">
    <w:name w:val="AgreementParties"/>
    <w:rsid w:val="00D51386"/>
    <w:pPr>
      <w:numPr>
        <w:numId w:val="25"/>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9"/>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30"/>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31"/>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31"/>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31"/>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31"/>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31"/>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31"/>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31"/>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31"/>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31"/>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1B3EBF"/>
    <w:rPr>
      <w:rFonts w:ascii="Corbel" w:hAnsi="Corbel"/>
      <w:color w:val="000000"/>
      <w:sz w:val="23"/>
    </w:rPr>
  </w:style>
  <w:style w:type="character" w:styleId="Emphasis">
    <w:name w:val="Emphasis"/>
    <w:basedOn w:val="DefaultParagraphFont"/>
    <w:uiPriority w:val="20"/>
    <w:qFormat/>
    <w:rsid w:val="009A1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0583">
      <w:bodyDiv w:val="1"/>
      <w:marLeft w:val="0"/>
      <w:marRight w:val="0"/>
      <w:marTop w:val="0"/>
      <w:marBottom w:val="0"/>
      <w:divBdr>
        <w:top w:val="none" w:sz="0" w:space="0" w:color="auto"/>
        <w:left w:val="none" w:sz="0" w:space="0" w:color="auto"/>
        <w:bottom w:val="none" w:sz="0" w:space="0" w:color="auto"/>
        <w:right w:val="none" w:sz="0" w:space="0" w:color="auto"/>
      </w:divBdr>
    </w:div>
    <w:div w:id="1637370810">
      <w:marLeft w:val="0"/>
      <w:marRight w:val="0"/>
      <w:marTop w:val="0"/>
      <w:marBottom w:val="0"/>
      <w:divBdr>
        <w:top w:val="none" w:sz="0" w:space="0" w:color="auto"/>
        <w:left w:val="none" w:sz="0" w:space="0" w:color="auto"/>
        <w:bottom w:val="none" w:sz="0" w:space="0" w:color="auto"/>
        <w:right w:val="none" w:sz="0" w:space="0" w:color="auto"/>
      </w:divBdr>
    </w:div>
    <w:div w:id="1637370811">
      <w:marLeft w:val="0"/>
      <w:marRight w:val="0"/>
      <w:marTop w:val="0"/>
      <w:marBottom w:val="0"/>
      <w:divBdr>
        <w:top w:val="none" w:sz="0" w:space="0" w:color="auto"/>
        <w:left w:val="none" w:sz="0" w:space="0" w:color="auto"/>
        <w:bottom w:val="none" w:sz="0" w:space="0" w:color="auto"/>
        <w:right w:val="none" w:sz="0" w:space="0" w:color="auto"/>
      </w:divBdr>
    </w:div>
    <w:div w:id="1637370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7092" ma:contentTypeDescription=" " ma:contentTypeScope="" ma:versionID="8f06bdd437efca72074d930bc6aa006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2019FG-64-67972</_dlc_DocId>
    <_dlc_DocIdUrl xmlns="0f563589-9cf9-4143-b1eb-fb0534803d38">
      <Url>http://tweb/sites/fg/csrd/_layouts/15/DocIdRedir.aspx?ID=2019FG-64-67972</Url>
      <Description>2019FG-64-67972</Description>
    </_dlc_DocIdUrl>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0E10-B504-4770-B7AE-6096E0F84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3.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4.xml><?xml version="1.0" encoding="utf-8"?>
<ds:datastoreItem xmlns:ds="http://schemas.openxmlformats.org/officeDocument/2006/customXml" ds:itemID="{2FDCFB33-B2B6-4829-9A4A-455BCD7ED90C}">
  <ds:schemaRefs>
    <ds:schemaRef ds:uri="http://schemas.microsoft.com/sharepoint/v3"/>
    <ds:schemaRef ds:uri="http://purl.org/dc/terms/"/>
    <ds:schemaRef ds:uri="http://schemas.openxmlformats.org/package/2006/metadata/core-properties"/>
    <ds:schemaRef ds:uri="http://schemas.microsoft.com/office/2006/documentManagement/types"/>
    <ds:schemaRef ds:uri="e544e5cc-ab70-42e1-849e-1a0f8bb1f4ef"/>
    <ds:schemaRef ds:uri="http://schemas.microsoft.com/office/infopath/2007/PartnerControls"/>
    <ds:schemaRef ds:uri="http://purl.org/dc/elements/1.1/"/>
    <ds:schemaRef ds:uri="http://schemas.microsoft.com/office/2006/metadata/properties"/>
    <ds:schemaRef ds:uri="http://schemas.microsoft.com/sharepoint/v4"/>
    <ds:schemaRef ds:uri="0f563589-9cf9-4143-b1eb-fb0534803d38"/>
    <ds:schemaRef ds:uri="http://www.w3.org/XML/1998/namespace"/>
    <ds:schemaRef ds:uri="http://purl.org/dc/dcmitype/"/>
  </ds:schemaRefs>
</ds:datastoreItem>
</file>

<file path=customXml/itemProps5.xml><?xml version="1.0" encoding="utf-8"?>
<ds:datastoreItem xmlns:ds="http://schemas.openxmlformats.org/officeDocument/2006/customXml" ds:itemID="{E660F234-388F-4DD8-B241-2B5A2287429D}">
  <ds:schemaRefs>
    <ds:schemaRef ds:uri="office.server.policy"/>
  </ds:schemaRefs>
</ds:datastoreItem>
</file>

<file path=customXml/itemProps6.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7.xml><?xml version="1.0" encoding="utf-8"?>
<ds:datastoreItem xmlns:ds="http://schemas.openxmlformats.org/officeDocument/2006/customXml" ds:itemID="{A55C02BB-3BA8-4203-BB88-9F53F05E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0</TotalTime>
  <Pages>7</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Karakutuk, Aylin</cp:lastModifiedBy>
  <cp:revision>2</cp:revision>
  <cp:lastPrinted>2018-06-28T00:24:00Z</cp:lastPrinted>
  <dcterms:created xsi:type="dcterms:W3CDTF">2020-03-10T00:31:00Z</dcterms:created>
  <dcterms:modified xsi:type="dcterms:W3CDTF">2020-03-10T00:31:00Z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ActiveItemUniqueId">
    <vt:lpwstr>{2fbe3402-5882-47e8-9ddc-84c2c8824627}</vt:lpwstr>
  </property>
  <property fmtid="{D5CDD505-2E9C-101B-9397-08002B2CF9AE}" pid="4" name="RecordPoint_SubmissionCompleted">
    <vt:lpwstr>2019-09-25T13:18:37.5105351+10:00</vt:lpwstr>
  </property>
  <property fmtid="{D5CDD505-2E9C-101B-9397-08002B2CF9AE}" pid="5" name="TSYRecordClass">
    <vt:lpwstr>2;#TSY RA-8748 - Retain as national archives|243f2231-dbfc-4282-b24a-c9b768286bd0</vt:lpwstr>
  </property>
  <property fmtid="{D5CDD505-2E9C-101B-9397-08002B2CF9AE}" pid="6" name="RecordPoint_WorkflowType">
    <vt:lpwstr>ActiveSubmitStub</vt:lpwstr>
  </property>
  <property fmtid="{D5CDD505-2E9C-101B-9397-08002B2CF9AE}" pid="7" name="_dlc_DocIdItemGuid">
    <vt:lpwstr>2fbe3402-5882-47e8-9ddc-84c2c8824627</vt:lpwstr>
  </property>
  <property fmtid="{D5CDD505-2E9C-101B-9397-08002B2CF9AE}" pid="8" name="RecordPoint_ActiveItemSiteId">
    <vt:lpwstr>{a3a280d1-e8f1-4ce7-94f0-aaa2322da0dd}</vt:lpwstr>
  </property>
  <property fmtid="{D5CDD505-2E9C-101B-9397-08002B2CF9AE}" pid="9" name="RecordPoint_ActiveItemListId">
    <vt:lpwstr>{4435c73b-6585-4bc2-a76a-5d21b1a02e06}</vt:lpwstr>
  </property>
  <property fmtid="{D5CDD505-2E9C-101B-9397-08002B2CF9AE}" pid="10" name="RecordPoint_ActiveItemWebId">
    <vt:lpwstr>{a4589788-615f-4b8b-8296-7f9f6dfbab44}</vt:lpwstr>
  </property>
  <property fmtid="{D5CDD505-2E9C-101B-9397-08002B2CF9AE}" pid="11" name="RecordPoint_RecordNumberSubmitted">
    <vt:lpwstr>R0002130933</vt:lpwstr>
  </property>
  <property fmtid="{D5CDD505-2E9C-101B-9397-08002B2CF9AE}" pid="12" name="_NewReviewCycle">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