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950BE4" w14:textId="77777777" w:rsidR="00FF1BF6" w:rsidRDefault="00FF1BF6" w:rsidP="00FF1BF6">
      <w:pPr>
        <w:pStyle w:val="Heading9"/>
      </w:pPr>
      <w:bookmarkStart w:id="0" w:name="_GoBack"/>
      <w:bookmarkEnd w:id="0"/>
      <w:r w:rsidRPr="008467C6">
        <w:t xml:space="preserve">Schedule </w:t>
      </w:r>
      <w:r>
        <w:t>Environment – A</w:t>
      </w:r>
    </w:p>
    <w:p w14:paraId="44F605B1" w14:textId="77777777" w:rsidR="00FF1BF6" w:rsidRPr="001D792C" w:rsidRDefault="00FF1BF6" w:rsidP="00FF1BF6">
      <w:pPr>
        <w:rPr>
          <w:lang w:val="en-AU" w:eastAsia="en-AU"/>
        </w:rPr>
      </w:pPr>
    </w:p>
    <w:p w14:paraId="2D45254D" w14:textId="77777777" w:rsidR="00FF1BF6" w:rsidRPr="001E20F4" w:rsidRDefault="00FF1BF6" w:rsidP="00FF1BF6">
      <w:pPr>
        <w:pStyle w:val="Title"/>
      </w:pPr>
      <w:r w:rsidRPr="00C10D74">
        <w:t>On-farm Emergency Water Infrastructure Rebate Scheme</w:t>
      </w:r>
    </w:p>
    <w:p w14:paraId="50B4D82F" w14:textId="77777777" w:rsidR="00FF1BF6" w:rsidRDefault="00FF1BF6" w:rsidP="00FF1BF6">
      <w:pPr>
        <w:pStyle w:val="Subtitle"/>
      </w:pPr>
      <w:r>
        <w:t>National Partnership FOR STREAMLINED AGREEMENTS</w:t>
      </w:r>
    </w:p>
    <w:p w14:paraId="44D65B6A" w14:textId="77777777" w:rsidR="00FF1BF6" w:rsidRPr="00CD48CD" w:rsidRDefault="00FF1BF6" w:rsidP="00FF1BF6">
      <w:pPr>
        <w:spacing w:after="120"/>
        <w:rPr>
          <w:sz w:val="20"/>
        </w:rPr>
      </w:pPr>
      <w:r w:rsidRPr="00CD48CD">
        <w:rPr>
          <w:sz w:val="20"/>
        </w:rPr>
        <w:t>[Drafting note 6/09/19: This document is based on the varied agreement and schedules offered to the states by</w:t>
      </w:r>
      <w:r>
        <w:rPr>
          <w:sz w:val="20"/>
        </w:rPr>
        <w:t xml:space="preserve"> the </w:t>
      </w:r>
      <w:r w:rsidRPr="00CD48CD">
        <w:rPr>
          <w:sz w:val="20"/>
        </w:rPr>
        <w:t>Minister for Water Resources</w:t>
      </w:r>
      <w:r>
        <w:rPr>
          <w:sz w:val="20"/>
        </w:rPr>
        <w:t xml:space="preserve"> </w:t>
      </w:r>
      <w:r w:rsidRPr="00CD48CD">
        <w:rPr>
          <w:sz w:val="20"/>
        </w:rPr>
        <w:t>on 20 August 2019, not the agreement as currently in effect.]</w:t>
      </w:r>
    </w:p>
    <w:tbl>
      <w:tblPr>
        <w:tblW w:w="962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550"/>
        <w:gridCol w:w="8079"/>
      </w:tblGrid>
      <w:tr w:rsidR="00FF1BF6" w:rsidRPr="00D90725" w14:paraId="6BD1FCC9" w14:textId="77777777" w:rsidTr="000761FD">
        <w:tc>
          <w:tcPr>
            <w:tcW w:w="9629" w:type="dxa"/>
            <w:gridSpan w:val="2"/>
            <w:shd w:val="clear" w:color="auto" w:fill="DEEAF6" w:themeFill="accent1" w:themeFillTint="33"/>
          </w:tcPr>
          <w:p w14:paraId="6E7DD143" w14:textId="77777777" w:rsidR="00FF1BF6" w:rsidRPr="00D90725" w:rsidRDefault="00FF1BF6" w:rsidP="000761FD">
            <w:pPr>
              <w:pStyle w:val="Tableformat"/>
              <w:rPr>
                <w:b/>
                <w:color w:val="auto"/>
              </w:rPr>
            </w:pPr>
            <w:r w:rsidRPr="00D90725">
              <w:rPr>
                <w:b/>
                <w:color w:val="auto"/>
              </w:rPr>
              <w:t>Formalities and operation of schedule</w:t>
            </w:r>
          </w:p>
        </w:tc>
      </w:tr>
      <w:tr w:rsidR="00FF1BF6" w:rsidRPr="00D90725" w14:paraId="536219EE" w14:textId="77777777" w:rsidTr="000761FD">
        <w:tc>
          <w:tcPr>
            <w:tcW w:w="1550" w:type="dxa"/>
            <w:shd w:val="clear" w:color="auto" w:fill="auto"/>
          </w:tcPr>
          <w:p w14:paraId="71DB9830" w14:textId="77777777" w:rsidR="00FF1BF6" w:rsidRPr="00D90725" w:rsidRDefault="00FF1BF6" w:rsidP="000761FD">
            <w:pPr>
              <w:pStyle w:val="Tableformat"/>
              <w:rPr>
                <w:color w:val="auto"/>
              </w:rPr>
            </w:pPr>
            <w:r w:rsidRPr="00D90725">
              <w:rPr>
                <w:color w:val="auto"/>
              </w:rPr>
              <w:t>Parties</w:t>
            </w:r>
          </w:p>
        </w:tc>
        <w:tc>
          <w:tcPr>
            <w:tcW w:w="8079" w:type="dxa"/>
            <w:shd w:val="clear" w:color="auto" w:fill="auto"/>
          </w:tcPr>
          <w:p w14:paraId="106A5C4E" w14:textId="77777777" w:rsidR="00FF1BF6" w:rsidRPr="00D90725" w:rsidRDefault="00FF1BF6" w:rsidP="000761FD">
            <w:pPr>
              <w:pStyle w:val="Tableformat"/>
              <w:rPr>
                <w:color w:val="auto"/>
              </w:rPr>
            </w:pPr>
            <w:r w:rsidRPr="00D90725">
              <w:rPr>
                <w:color w:val="auto"/>
              </w:rPr>
              <w:t xml:space="preserve">Commonwealth of Australia </w:t>
            </w:r>
          </w:p>
          <w:p w14:paraId="5B63E158" w14:textId="77777777" w:rsidR="00FF1BF6" w:rsidRPr="00D90725" w:rsidRDefault="00FF1BF6" w:rsidP="000761FD">
            <w:pPr>
              <w:pStyle w:val="Tableformat"/>
              <w:rPr>
                <w:color w:val="auto"/>
              </w:rPr>
            </w:pPr>
            <w:r w:rsidRPr="00D90725">
              <w:rPr>
                <w:color w:val="auto"/>
              </w:rPr>
              <w:t>New South Wales</w:t>
            </w:r>
          </w:p>
          <w:p w14:paraId="21C8D1F9" w14:textId="77777777" w:rsidR="00FF1BF6" w:rsidRPr="00D90725" w:rsidRDefault="00FF1BF6" w:rsidP="000761FD">
            <w:pPr>
              <w:pStyle w:val="Tableformat"/>
              <w:rPr>
                <w:color w:val="auto"/>
              </w:rPr>
            </w:pPr>
            <w:r w:rsidRPr="00D90725">
              <w:rPr>
                <w:color w:val="auto"/>
              </w:rPr>
              <w:t>Victoria</w:t>
            </w:r>
          </w:p>
          <w:p w14:paraId="302C119A" w14:textId="77777777" w:rsidR="00FF1BF6" w:rsidRPr="00D90725" w:rsidRDefault="00FF1BF6" w:rsidP="000761FD">
            <w:pPr>
              <w:pStyle w:val="Tableformat"/>
              <w:rPr>
                <w:color w:val="auto"/>
              </w:rPr>
            </w:pPr>
            <w:r w:rsidRPr="00D90725">
              <w:rPr>
                <w:color w:val="auto"/>
              </w:rPr>
              <w:t>Queensland</w:t>
            </w:r>
          </w:p>
          <w:p w14:paraId="25AC1A1D" w14:textId="77777777" w:rsidR="00FF1BF6" w:rsidRPr="00D90725" w:rsidRDefault="00FF1BF6" w:rsidP="000761FD">
            <w:pPr>
              <w:pStyle w:val="Tableformat"/>
              <w:rPr>
                <w:color w:val="auto"/>
              </w:rPr>
            </w:pPr>
            <w:r w:rsidRPr="00D90725">
              <w:rPr>
                <w:color w:val="auto"/>
              </w:rPr>
              <w:t>Western Australia</w:t>
            </w:r>
          </w:p>
          <w:p w14:paraId="567283DB" w14:textId="77777777" w:rsidR="00FF1BF6" w:rsidRPr="00D90725" w:rsidRDefault="00FF1BF6" w:rsidP="000761FD">
            <w:pPr>
              <w:pStyle w:val="Tableformat"/>
              <w:rPr>
                <w:color w:val="auto"/>
              </w:rPr>
            </w:pPr>
            <w:r w:rsidRPr="00D90725">
              <w:rPr>
                <w:color w:val="auto"/>
              </w:rPr>
              <w:t>South Australia</w:t>
            </w:r>
          </w:p>
          <w:p w14:paraId="023940AE" w14:textId="77777777" w:rsidR="00FF1BF6" w:rsidRPr="00D90725" w:rsidRDefault="00FF1BF6" w:rsidP="000761FD">
            <w:pPr>
              <w:pStyle w:val="Tableformat"/>
              <w:rPr>
                <w:color w:val="auto"/>
              </w:rPr>
            </w:pPr>
            <w:r w:rsidRPr="00D90725">
              <w:rPr>
                <w:color w:val="auto"/>
              </w:rPr>
              <w:t>Tasmania</w:t>
            </w:r>
          </w:p>
          <w:p w14:paraId="6972F7B3" w14:textId="77777777" w:rsidR="00FF1BF6" w:rsidRPr="00D90725" w:rsidRDefault="00FF1BF6" w:rsidP="000761FD">
            <w:pPr>
              <w:pStyle w:val="Tableformat"/>
              <w:rPr>
                <w:color w:val="auto"/>
              </w:rPr>
            </w:pPr>
            <w:r w:rsidRPr="00D90725">
              <w:rPr>
                <w:color w:val="auto"/>
              </w:rPr>
              <w:t>Australian Capital Territory</w:t>
            </w:r>
          </w:p>
          <w:p w14:paraId="7A957979" w14:textId="77777777" w:rsidR="00FF1BF6" w:rsidRPr="00D90725" w:rsidRDefault="00FF1BF6" w:rsidP="000761FD">
            <w:pPr>
              <w:pStyle w:val="Tableformat"/>
              <w:rPr>
                <w:color w:val="auto"/>
              </w:rPr>
            </w:pPr>
            <w:r w:rsidRPr="00D90725">
              <w:rPr>
                <w:color w:val="auto"/>
              </w:rPr>
              <w:t>Northern Territory</w:t>
            </w:r>
          </w:p>
        </w:tc>
      </w:tr>
      <w:tr w:rsidR="00FF1BF6" w:rsidRPr="00D90725" w14:paraId="16024F0E" w14:textId="77777777" w:rsidTr="000761FD">
        <w:tc>
          <w:tcPr>
            <w:tcW w:w="1550" w:type="dxa"/>
            <w:shd w:val="clear" w:color="auto" w:fill="auto"/>
          </w:tcPr>
          <w:p w14:paraId="7589ACC7" w14:textId="77777777" w:rsidR="00FF1BF6" w:rsidRPr="00D90725" w:rsidRDefault="00FF1BF6" w:rsidP="000761FD">
            <w:pPr>
              <w:pStyle w:val="Tableformat"/>
              <w:rPr>
                <w:color w:val="auto"/>
              </w:rPr>
            </w:pPr>
            <w:r w:rsidRPr="00D90725">
              <w:rPr>
                <w:color w:val="auto"/>
              </w:rPr>
              <w:t>Effect on other agreements</w:t>
            </w:r>
          </w:p>
        </w:tc>
        <w:tc>
          <w:tcPr>
            <w:tcW w:w="8079" w:type="dxa"/>
            <w:shd w:val="clear" w:color="auto" w:fill="auto"/>
          </w:tcPr>
          <w:p w14:paraId="3DB64F05" w14:textId="77777777" w:rsidR="00FF1BF6" w:rsidRPr="00D90725" w:rsidRDefault="00FF1BF6" w:rsidP="000761FD">
            <w:pPr>
              <w:pStyle w:val="Tableformat"/>
              <w:rPr>
                <w:color w:val="auto"/>
              </w:rPr>
            </w:pPr>
            <w:r w:rsidRPr="00D90725">
              <w:rPr>
                <w:color w:val="auto"/>
              </w:rPr>
              <w:t>The Project Agreement for an On-farm Emergency Water Infrastructure Rebate Scheme that commenced on 14 December 2018 is replaced by this Agreement and Schedule. This Schedule is expected to expire on 30 June 2021.</w:t>
            </w:r>
          </w:p>
        </w:tc>
      </w:tr>
      <w:tr w:rsidR="00FF1BF6" w:rsidRPr="00D90725" w14:paraId="081E0173" w14:textId="77777777" w:rsidTr="000761FD">
        <w:tc>
          <w:tcPr>
            <w:tcW w:w="1550" w:type="dxa"/>
            <w:shd w:val="clear" w:color="auto" w:fill="auto"/>
          </w:tcPr>
          <w:p w14:paraId="719F9690" w14:textId="77777777" w:rsidR="00FF1BF6" w:rsidRPr="00D90725" w:rsidRDefault="00FF1BF6" w:rsidP="000761FD">
            <w:pPr>
              <w:pStyle w:val="Tableformat"/>
              <w:rPr>
                <w:color w:val="auto"/>
              </w:rPr>
            </w:pPr>
            <w:r w:rsidRPr="00D90725">
              <w:rPr>
                <w:color w:val="auto"/>
              </w:rPr>
              <w:t>Output and Purpose</w:t>
            </w:r>
          </w:p>
        </w:tc>
        <w:tc>
          <w:tcPr>
            <w:tcW w:w="8079" w:type="dxa"/>
            <w:shd w:val="clear" w:color="auto" w:fill="auto"/>
          </w:tcPr>
          <w:p w14:paraId="12600149" w14:textId="77777777" w:rsidR="00FF1BF6" w:rsidRPr="00D90725" w:rsidRDefault="00FF1BF6" w:rsidP="000761FD">
            <w:pPr>
              <w:pStyle w:val="Tableformat"/>
              <w:rPr>
                <w:color w:val="auto"/>
              </w:rPr>
            </w:pPr>
            <w:r w:rsidRPr="00D90725">
              <w:rPr>
                <w:color w:val="auto"/>
              </w:rPr>
              <w:t xml:space="preserve">This Schedule will provide funding for one-off rebates to eligible primary producers and horticulture farmers for the costs associated with the purchase and installation of on-farm water infrastructure that addresses animal welfare needs, permanent planting needs and improves resilience to drought. </w:t>
            </w:r>
          </w:p>
        </w:tc>
      </w:tr>
      <w:tr w:rsidR="00FF1BF6" w:rsidRPr="00D90725" w14:paraId="498159CD" w14:textId="77777777" w:rsidTr="000761FD">
        <w:tc>
          <w:tcPr>
            <w:tcW w:w="1550" w:type="dxa"/>
            <w:shd w:val="clear" w:color="auto" w:fill="auto"/>
          </w:tcPr>
          <w:p w14:paraId="022A4789" w14:textId="77777777" w:rsidR="00FF1BF6" w:rsidRPr="00D90725" w:rsidRDefault="00FF1BF6" w:rsidP="000761FD">
            <w:pPr>
              <w:pStyle w:val="Tableformat"/>
              <w:rPr>
                <w:color w:val="auto"/>
              </w:rPr>
            </w:pPr>
            <w:r w:rsidRPr="00D90725">
              <w:rPr>
                <w:color w:val="auto"/>
              </w:rPr>
              <w:lastRenderedPageBreak/>
              <w:t>Estimated financial contributions</w:t>
            </w:r>
          </w:p>
        </w:tc>
        <w:tc>
          <w:tcPr>
            <w:tcW w:w="8079" w:type="dxa"/>
            <w:shd w:val="clear" w:color="auto" w:fill="auto"/>
          </w:tcPr>
          <w:p w14:paraId="2B07136F" w14:textId="77777777" w:rsidR="00FF1BF6" w:rsidRPr="00D90725" w:rsidRDefault="00FF1BF6" w:rsidP="000761FD">
            <w:pPr>
              <w:pStyle w:val="Tableformat"/>
              <w:rPr>
                <w:color w:val="auto"/>
              </w:rPr>
            </w:pPr>
            <w:r w:rsidRPr="00D90725">
              <w:rPr>
                <w:noProof/>
                <w:color w:val="auto"/>
                <w:lang w:val="en-AU"/>
              </w:rPr>
              <mc:AlternateContent>
                <mc:Choice Requires="wps">
                  <w:drawing>
                    <wp:anchor distT="45720" distB="45720" distL="114300" distR="114300" simplePos="0" relativeHeight="251659264" behindDoc="0" locked="0" layoutInCell="1" allowOverlap="1" wp14:anchorId="28554891" wp14:editId="6ACDAFED">
                      <wp:simplePos x="0" y="0"/>
                      <wp:positionH relativeFrom="column">
                        <wp:posOffset>-62230</wp:posOffset>
                      </wp:positionH>
                      <wp:positionV relativeFrom="paragraph">
                        <wp:posOffset>795655</wp:posOffset>
                      </wp:positionV>
                      <wp:extent cx="5140960" cy="2951480"/>
                      <wp:effectExtent l="0" t="0" r="254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0960" cy="2951480"/>
                              </a:xfrm>
                              <a:prstGeom prst="rect">
                                <a:avLst/>
                              </a:prstGeom>
                              <a:solidFill>
                                <a:srgbClr val="FFFFFF"/>
                              </a:solidFill>
                              <a:ln w="9525">
                                <a:noFill/>
                                <a:miter lim="800000"/>
                                <a:headEnd/>
                                <a:tailEnd/>
                              </a:ln>
                            </wps:spPr>
                            <wps:txbx>
                              <w:txbxContent>
                                <w:tbl>
                                  <w:tblPr>
                                    <w:tblW w:w="0" w:type="auto"/>
                                    <w:tblLook w:val="01E0" w:firstRow="1" w:lastRow="1" w:firstColumn="1" w:lastColumn="1" w:noHBand="0" w:noVBand="0"/>
                                  </w:tblPr>
                                  <w:tblGrid>
                                    <w:gridCol w:w="4678"/>
                                    <w:gridCol w:w="1134"/>
                                  </w:tblGrid>
                                  <w:tr w:rsidR="00FF1BF6" w:rsidRPr="00101AB3" w14:paraId="1CE00005" w14:textId="77777777" w:rsidTr="00304C81">
                                    <w:trPr>
                                      <w:cantSplit/>
                                    </w:trPr>
                                    <w:tc>
                                      <w:tcPr>
                                        <w:tcW w:w="4678" w:type="dxa"/>
                                        <w:tcBorders>
                                          <w:top w:val="single" w:sz="4" w:space="0" w:color="000080"/>
                                          <w:bottom w:val="single" w:sz="4" w:space="0" w:color="000080"/>
                                        </w:tcBorders>
                                      </w:tcPr>
                                      <w:p w14:paraId="4EA6B033" w14:textId="77777777" w:rsidR="00FF1BF6" w:rsidRPr="00B57EDE" w:rsidRDefault="00FF1BF6" w:rsidP="00304C81">
                                        <w:pPr>
                                          <w:keepNext/>
                                          <w:keepLines/>
                                          <w:spacing w:before="40" w:after="40"/>
                                          <w:ind w:left="-111"/>
                                          <w:rPr>
                                            <w:b/>
                                            <w:sz w:val="21"/>
                                            <w:szCs w:val="21"/>
                                          </w:rPr>
                                        </w:pPr>
                                        <w:r>
                                          <w:rPr>
                                            <w:b/>
                                            <w:sz w:val="21"/>
                                            <w:szCs w:val="21"/>
                                          </w:rPr>
                                          <w:t xml:space="preserve">Table 1 </w:t>
                                        </w:r>
                                        <w:r w:rsidRPr="00B57EDE">
                                          <w:rPr>
                                            <w:b/>
                                            <w:sz w:val="21"/>
                                            <w:szCs w:val="21"/>
                                          </w:rPr>
                                          <w:t>($ million)</w:t>
                                        </w:r>
                                      </w:p>
                                    </w:tc>
                                    <w:tc>
                                      <w:tcPr>
                                        <w:tcW w:w="1134" w:type="dxa"/>
                                        <w:tcBorders>
                                          <w:top w:val="single" w:sz="4" w:space="0" w:color="000080"/>
                                          <w:bottom w:val="single" w:sz="4" w:space="0" w:color="000080"/>
                                        </w:tcBorders>
                                      </w:tcPr>
                                      <w:p w14:paraId="6BC26D17" w14:textId="77777777" w:rsidR="00FF1BF6" w:rsidRPr="00B57EDE" w:rsidRDefault="00FF1BF6" w:rsidP="00304C81">
                                        <w:pPr>
                                          <w:keepNext/>
                                          <w:keepLines/>
                                          <w:spacing w:before="40" w:after="40"/>
                                          <w:jc w:val="right"/>
                                          <w:rPr>
                                            <w:sz w:val="21"/>
                                            <w:szCs w:val="21"/>
                                          </w:rPr>
                                        </w:pPr>
                                        <w:r w:rsidRPr="00B57EDE">
                                          <w:rPr>
                                            <w:sz w:val="21"/>
                                            <w:szCs w:val="21"/>
                                          </w:rPr>
                                          <w:t>2020-21</w:t>
                                        </w:r>
                                      </w:p>
                                    </w:tc>
                                  </w:tr>
                                  <w:tr w:rsidR="00FF1BF6" w:rsidRPr="00101AB3" w14:paraId="1CD0580F" w14:textId="77777777" w:rsidTr="00304C81">
                                    <w:trPr>
                                      <w:cantSplit/>
                                    </w:trPr>
                                    <w:tc>
                                      <w:tcPr>
                                        <w:tcW w:w="4678" w:type="dxa"/>
                                        <w:tcBorders>
                                          <w:top w:val="single" w:sz="4" w:space="0" w:color="000080"/>
                                        </w:tcBorders>
                                      </w:tcPr>
                                      <w:p w14:paraId="586D929C" w14:textId="77777777" w:rsidR="00FF1BF6" w:rsidRPr="00B57EDE" w:rsidRDefault="00FF1BF6" w:rsidP="00304C81">
                                        <w:pPr>
                                          <w:keepNext/>
                                          <w:keepLines/>
                                          <w:spacing w:before="60" w:after="60"/>
                                          <w:ind w:left="-111"/>
                                          <w:rPr>
                                            <w:b/>
                                            <w:sz w:val="21"/>
                                            <w:szCs w:val="21"/>
                                          </w:rPr>
                                        </w:pPr>
                                        <w:r w:rsidRPr="00B57EDE">
                                          <w:rPr>
                                            <w:b/>
                                            <w:sz w:val="21"/>
                                            <w:szCs w:val="21"/>
                                          </w:rPr>
                                          <w:t>Estimated total budget</w:t>
                                        </w:r>
                                      </w:p>
                                    </w:tc>
                                    <w:tc>
                                      <w:tcPr>
                                        <w:tcW w:w="1134" w:type="dxa"/>
                                        <w:tcBorders>
                                          <w:top w:val="single" w:sz="4" w:space="0" w:color="000080"/>
                                        </w:tcBorders>
                                      </w:tcPr>
                                      <w:p w14:paraId="7E9E5FDB" w14:textId="77777777" w:rsidR="00FF1BF6" w:rsidRPr="00B57EDE" w:rsidRDefault="00FF1BF6" w:rsidP="00304C81">
                                        <w:pPr>
                                          <w:keepNext/>
                                          <w:keepLines/>
                                          <w:spacing w:before="40" w:after="40"/>
                                          <w:jc w:val="right"/>
                                          <w:rPr>
                                            <w:b/>
                                            <w:sz w:val="21"/>
                                            <w:szCs w:val="21"/>
                                          </w:rPr>
                                        </w:pPr>
                                        <w:r w:rsidRPr="00B57EDE">
                                          <w:rPr>
                                            <w:b/>
                                            <w:sz w:val="21"/>
                                            <w:szCs w:val="21"/>
                                          </w:rPr>
                                          <w:t>9.7</w:t>
                                        </w:r>
                                      </w:p>
                                    </w:tc>
                                  </w:tr>
                                  <w:tr w:rsidR="00FF1BF6" w:rsidRPr="00101AB3" w14:paraId="28946E5F" w14:textId="77777777" w:rsidTr="00304C81">
                                    <w:trPr>
                                      <w:cantSplit/>
                                    </w:trPr>
                                    <w:tc>
                                      <w:tcPr>
                                        <w:tcW w:w="4678" w:type="dxa"/>
                                      </w:tcPr>
                                      <w:p w14:paraId="7FCF08E5" w14:textId="77777777" w:rsidR="00FF1BF6" w:rsidRPr="00156EA2" w:rsidRDefault="00FF1BF6" w:rsidP="00304C81">
                                        <w:pPr>
                                          <w:keepNext/>
                                          <w:keepLines/>
                                          <w:spacing w:before="60" w:after="60"/>
                                          <w:ind w:left="-111"/>
                                          <w:rPr>
                                            <w:b/>
                                            <w:sz w:val="21"/>
                                            <w:szCs w:val="21"/>
                                          </w:rPr>
                                        </w:pPr>
                                        <w:r w:rsidRPr="00156EA2">
                                          <w:rPr>
                                            <w:b/>
                                            <w:sz w:val="21"/>
                                            <w:szCs w:val="21"/>
                                          </w:rPr>
                                          <w:t>Less estimated National Partnership Payments</w:t>
                                        </w:r>
                                      </w:p>
                                    </w:tc>
                                    <w:tc>
                                      <w:tcPr>
                                        <w:tcW w:w="1134" w:type="dxa"/>
                                      </w:tcPr>
                                      <w:p w14:paraId="4495240A" w14:textId="77777777" w:rsidR="00FF1BF6" w:rsidRPr="00156EA2" w:rsidRDefault="00FF1BF6" w:rsidP="00304C81">
                                        <w:pPr>
                                          <w:keepNext/>
                                          <w:keepLines/>
                                          <w:spacing w:before="40" w:after="40"/>
                                          <w:jc w:val="right"/>
                                          <w:rPr>
                                            <w:b/>
                                            <w:sz w:val="21"/>
                                            <w:szCs w:val="21"/>
                                          </w:rPr>
                                        </w:pPr>
                                        <w:r w:rsidRPr="00156EA2">
                                          <w:rPr>
                                            <w:b/>
                                            <w:sz w:val="21"/>
                                            <w:szCs w:val="21"/>
                                          </w:rPr>
                                          <w:t>9.7</w:t>
                                        </w:r>
                                      </w:p>
                                    </w:tc>
                                  </w:tr>
                                  <w:tr w:rsidR="00FF1BF6" w:rsidRPr="00101AB3" w14:paraId="24E8A966" w14:textId="77777777" w:rsidTr="00304C81">
                                    <w:trPr>
                                      <w:cantSplit/>
                                    </w:trPr>
                                    <w:tc>
                                      <w:tcPr>
                                        <w:tcW w:w="4678" w:type="dxa"/>
                                      </w:tcPr>
                                      <w:p w14:paraId="615B0B13" w14:textId="77777777" w:rsidR="00FF1BF6" w:rsidRPr="00B57EDE" w:rsidRDefault="00FF1BF6" w:rsidP="00304C81">
                                        <w:pPr>
                                          <w:keepNext/>
                                          <w:keepLines/>
                                          <w:spacing w:before="60" w:after="60"/>
                                          <w:ind w:left="113"/>
                                          <w:rPr>
                                            <w:sz w:val="21"/>
                                            <w:szCs w:val="21"/>
                                          </w:rPr>
                                        </w:pPr>
                                        <w:r w:rsidRPr="00B57EDE">
                                          <w:rPr>
                                            <w:sz w:val="21"/>
                                            <w:szCs w:val="21"/>
                                          </w:rPr>
                                          <w:t>New South Wales</w:t>
                                        </w:r>
                                      </w:p>
                                    </w:tc>
                                    <w:tc>
                                      <w:tcPr>
                                        <w:tcW w:w="1134" w:type="dxa"/>
                                      </w:tcPr>
                                      <w:p w14:paraId="7CC4CC90" w14:textId="77777777" w:rsidR="00FF1BF6" w:rsidRPr="00B57EDE" w:rsidRDefault="00FF1BF6" w:rsidP="00304C81">
                                        <w:pPr>
                                          <w:keepNext/>
                                          <w:keepLines/>
                                          <w:spacing w:before="40" w:after="40"/>
                                          <w:jc w:val="right"/>
                                          <w:rPr>
                                            <w:sz w:val="21"/>
                                            <w:szCs w:val="21"/>
                                          </w:rPr>
                                        </w:pPr>
                                        <w:r>
                                          <w:rPr>
                                            <w:sz w:val="21"/>
                                            <w:szCs w:val="21"/>
                                          </w:rPr>
                                          <w:t>2.0</w:t>
                                        </w:r>
                                      </w:p>
                                    </w:tc>
                                  </w:tr>
                                  <w:tr w:rsidR="00FF1BF6" w:rsidRPr="00101AB3" w14:paraId="4C1A0AEA" w14:textId="77777777" w:rsidTr="00304C81">
                                    <w:trPr>
                                      <w:cantSplit/>
                                    </w:trPr>
                                    <w:tc>
                                      <w:tcPr>
                                        <w:tcW w:w="4678" w:type="dxa"/>
                                      </w:tcPr>
                                      <w:p w14:paraId="0CB775EA" w14:textId="77777777" w:rsidR="00FF1BF6" w:rsidRPr="00B57EDE" w:rsidRDefault="00FF1BF6" w:rsidP="00304C81">
                                        <w:pPr>
                                          <w:keepNext/>
                                          <w:keepLines/>
                                          <w:spacing w:before="60" w:after="60"/>
                                          <w:ind w:left="113"/>
                                          <w:rPr>
                                            <w:sz w:val="21"/>
                                            <w:szCs w:val="21"/>
                                          </w:rPr>
                                        </w:pPr>
                                        <w:r w:rsidRPr="00B57EDE">
                                          <w:rPr>
                                            <w:sz w:val="21"/>
                                            <w:szCs w:val="21"/>
                                          </w:rPr>
                                          <w:t>Victoria</w:t>
                                        </w:r>
                                      </w:p>
                                    </w:tc>
                                    <w:tc>
                                      <w:tcPr>
                                        <w:tcW w:w="1134" w:type="dxa"/>
                                      </w:tcPr>
                                      <w:p w14:paraId="75334CE6" w14:textId="77777777" w:rsidR="00FF1BF6" w:rsidRPr="00B57EDE" w:rsidRDefault="00FF1BF6" w:rsidP="00304C81">
                                        <w:pPr>
                                          <w:keepNext/>
                                          <w:keepLines/>
                                          <w:spacing w:before="40" w:after="40"/>
                                          <w:jc w:val="right"/>
                                          <w:rPr>
                                            <w:sz w:val="21"/>
                                            <w:szCs w:val="21"/>
                                          </w:rPr>
                                        </w:pPr>
                                        <w:r>
                                          <w:rPr>
                                            <w:sz w:val="21"/>
                                            <w:szCs w:val="21"/>
                                          </w:rPr>
                                          <w:t>0.0</w:t>
                                        </w:r>
                                      </w:p>
                                    </w:tc>
                                  </w:tr>
                                  <w:tr w:rsidR="00FF1BF6" w:rsidRPr="00101AB3" w14:paraId="7C1EA05A" w14:textId="77777777" w:rsidTr="00304C81">
                                    <w:trPr>
                                      <w:cantSplit/>
                                    </w:trPr>
                                    <w:tc>
                                      <w:tcPr>
                                        <w:tcW w:w="4678" w:type="dxa"/>
                                      </w:tcPr>
                                      <w:p w14:paraId="1E219A7C" w14:textId="77777777" w:rsidR="00FF1BF6" w:rsidRPr="00B57EDE" w:rsidRDefault="00FF1BF6" w:rsidP="00304C81">
                                        <w:pPr>
                                          <w:keepNext/>
                                          <w:keepLines/>
                                          <w:spacing w:before="60" w:after="60"/>
                                          <w:ind w:left="113"/>
                                          <w:rPr>
                                            <w:sz w:val="21"/>
                                            <w:szCs w:val="21"/>
                                          </w:rPr>
                                        </w:pPr>
                                        <w:r w:rsidRPr="00B57EDE">
                                          <w:rPr>
                                            <w:sz w:val="21"/>
                                            <w:szCs w:val="21"/>
                                          </w:rPr>
                                          <w:t>Queensland</w:t>
                                        </w:r>
                                      </w:p>
                                    </w:tc>
                                    <w:tc>
                                      <w:tcPr>
                                        <w:tcW w:w="1134" w:type="dxa"/>
                                      </w:tcPr>
                                      <w:p w14:paraId="0A305AF8" w14:textId="77777777" w:rsidR="00FF1BF6" w:rsidRPr="00B57EDE" w:rsidRDefault="00FF1BF6" w:rsidP="00304C81">
                                        <w:pPr>
                                          <w:keepNext/>
                                          <w:keepLines/>
                                          <w:spacing w:before="40" w:after="40"/>
                                          <w:jc w:val="right"/>
                                          <w:rPr>
                                            <w:sz w:val="21"/>
                                            <w:szCs w:val="21"/>
                                          </w:rPr>
                                        </w:pPr>
                                        <w:r w:rsidRPr="0062570C">
                                          <w:rPr>
                                            <w:sz w:val="21"/>
                                            <w:szCs w:val="21"/>
                                          </w:rPr>
                                          <w:t>3.0</w:t>
                                        </w:r>
                                      </w:p>
                                    </w:tc>
                                  </w:tr>
                                  <w:tr w:rsidR="00FF1BF6" w:rsidRPr="00101AB3" w14:paraId="3312069D" w14:textId="77777777" w:rsidTr="00304C81">
                                    <w:trPr>
                                      <w:cantSplit/>
                                    </w:trPr>
                                    <w:tc>
                                      <w:tcPr>
                                        <w:tcW w:w="4678" w:type="dxa"/>
                                      </w:tcPr>
                                      <w:p w14:paraId="3DFA88BE" w14:textId="77777777" w:rsidR="00FF1BF6" w:rsidRPr="00B57EDE" w:rsidRDefault="00FF1BF6" w:rsidP="00304C81">
                                        <w:pPr>
                                          <w:keepNext/>
                                          <w:keepLines/>
                                          <w:spacing w:before="60" w:after="60"/>
                                          <w:ind w:left="113"/>
                                          <w:rPr>
                                            <w:sz w:val="21"/>
                                            <w:szCs w:val="21"/>
                                          </w:rPr>
                                        </w:pPr>
                                        <w:r w:rsidRPr="00B57EDE">
                                          <w:rPr>
                                            <w:sz w:val="21"/>
                                            <w:szCs w:val="21"/>
                                          </w:rPr>
                                          <w:t>Western Australia</w:t>
                                        </w:r>
                                      </w:p>
                                    </w:tc>
                                    <w:tc>
                                      <w:tcPr>
                                        <w:tcW w:w="1134" w:type="dxa"/>
                                      </w:tcPr>
                                      <w:p w14:paraId="4F5CB82A" w14:textId="77777777" w:rsidR="00FF1BF6" w:rsidRPr="00B57EDE" w:rsidRDefault="00FF1BF6" w:rsidP="00304C81">
                                        <w:pPr>
                                          <w:keepNext/>
                                          <w:keepLines/>
                                          <w:spacing w:before="40" w:after="40"/>
                                          <w:jc w:val="right"/>
                                          <w:rPr>
                                            <w:sz w:val="21"/>
                                            <w:szCs w:val="21"/>
                                          </w:rPr>
                                        </w:pPr>
                                        <w:r>
                                          <w:rPr>
                                            <w:sz w:val="21"/>
                                            <w:szCs w:val="21"/>
                                          </w:rPr>
                                          <w:t>1.6</w:t>
                                        </w:r>
                                      </w:p>
                                    </w:tc>
                                  </w:tr>
                                  <w:tr w:rsidR="00FF1BF6" w:rsidRPr="00101AB3" w14:paraId="4DB97ED7" w14:textId="77777777" w:rsidTr="00304C81">
                                    <w:trPr>
                                      <w:cantSplit/>
                                    </w:trPr>
                                    <w:tc>
                                      <w:tcPr>
                                        <w:tcW w:w="4678" w:type="dxa"/>
                                      </w:tcPr>
                                      <w:p w14:paraId="55948954" w14:textId="77777777" w:rsidR="00FF1BF6" w:rsidRPr="00B57EDE" w:rsidRDefault="00FF1BF6" w:rsidP="00304C81">
                                        <w:pPr>
                                          <w:keepNext/>
                                          <w:keepLines/>
                                          <w:spacing w:before="60" w:after="60"/>
                                          <w:ind w:left="113"/>
                                          <w:rPr>
                                            <w:sz w:val="21"/>
                                            <w:szCs w:val="21"/>
                                          </w:rPr>
                                        </w:pPr>
                                        <w:r w:rsidRPr="00B57EDE">
                                          <w:rPr>
                                            <w:sz w:val="21"/>
                                            <w:szCs w:val="21"/>
                                          </w:rPr>
                                          <w:t>South Australia</w:t>
                                        </w:r>
                                      </w:p>
                                    </w:tc>
                                    <w:tc>
                                      <w:tcPr>
                                        <w:tcW w:w="1134" w:type="dxa"/>
                                      </w:tcPr>
                                      <w:p w14:paraId="3E65429E" w14:textId="77777777" w:rsidR="00FF1BF6" w:rsidRPr="00B57EDE" w:rsidRDefault="00FF1BF6" w:rsidP="00304C81">
                                        <w:pPr>
                                          <w:keepNext/>
                                          <w:keepLines/>
                                          <w:spacing w:before="40" w:after="40"/>
                                          <w:jc w:val="right"/>
                                          <w:rPr>
                                            <w:sz w:val="21"/>
                                            <w:szCs w:val="21"/>
                                          </w:rPr>
                                        </w:pPr>
                                        <w:r>
                                          <w:rPr>
                                            <w:sz w:val="21"/>
                                            <w:szCs w:val="21"/>
                                          </w:rPr>
                                          <w:t>1.0</w:t>
                                        </w:r>
                                      </w:p>
                                    </w:tc>
                                  </w:tr>
                                  <w:tr w:rsidR="00FF1BF6" w:rsidRPr="00101AB3" w14:paraId="3F81634E" w14:textId="77777777" w:rsidTr="00304C81">
                                    <w:trPr>
                                      <w:cantSplit/>
                                    </w:trPr>
                                    <w:tc>
                                      <w:tcPr>
                                        <w:tcW w:w="4678" w:type="dxa"/>
                                      </w:tcPr>
                                      <w:p w14:paraId="6043D6F8" w14:textId="77777777" w:rsidR="00FF1BF6" w:rsidRPr="00B57EDE" w:rsidRDefault="00FF1BF6" w:rsidP="00304C81">
                                        <w:pPr>
                                          <w:keepNext/>
                                          <w:keepLines/>
                                          <w:spacing w:before="60" w:after="60"/>
                                          <w:ind w:left="113"/>
                                          <w:rPr>
                                            <w:sz w:val="21"/>
                                            <w:szCs w:val="21"/>
                                          </w:rPr>
                                        </w:pPr>
                                        <w:r w:rsidRPr="00B57EDE">
                                          <w:rPr>
                                            <w:sz w:val="21"/>
                                            <w:szCs w:val="21"/>
                                          </w:rPr>
                                          <w:t>Tasmania</w:t>
                                        </w:r>
                                      </w:p>
                                    </w:tc>
                                    <w:tc>
                                      <w:tcPr>
                                        <w:tcW w:w="1134" w:type="dxa"/>
                                      </w:tcPr>
                                      <w:p w14:paraId="259AD245" w14:textId="77777777" w:rsidR="00FF1BF6" w:rsidRPr="00B57EDE" w:rsidRDefault="00FF1BF6" w:rsidP="00304C81">
                                        <w:pPr>
                                          <w:keepNext/>
                                          <w:keepLines/>
                                          <w:spacing w:before="40" w:after="40"/>
                                          <w:jc w:val="right"/>
                                          <w:rPr>
                                            <w:sz w:val="21"/>
                                            <w:szCs w:val="21"/>
                                          </w:rPr>
                                        </w:pPr>
                                        <w:r>
                                          <w:rPr>
                                            <w:sz w:val="21"/>
                                            <w:szCs w:val="21"/>
                                          </w:rPr>
                                          <w:t>0.37</w:t>
                                        </w:r>
                                      </w:p>
                                    </w:tc>
                                  </w:tr>
                                  <w:tr w:rsidR="00FF1BF6" w:rsidRPr="00101AB3" w14:paraId="5A0B3242" w14:textId="77777777" w:rsidTr="00304C81">
                                    <w:trPr>
                                      <w:cantSplit/>
                                    </w:trPr>
                                    <w:tc>
                                      <w:tcPr>
                                        <w:tcW w:w="4678" w:type="dxa"/>
                                      </w:tcPr>
                                      <w:p w14:paraId="61CB70B0" w14:textId="77777777" w:rsidR="00FF1BF6" w:rsidRPr="00B57EDE" w:rsidRDefault="00FF1BF6" w:rsidP="00304C81">
                                        <w:pPr>
                                          <w:keepNext/>
                                          <w:keepLines/>
                                          <w:spacing w:before="60" w:after="60"/>
                                          <w:ind w:left="113"/>
                                          <w:rPr>
                                            <w:sz w:val="21"/>
                                            <w:szCs w:val="21"/>
                                          </w:rPr>
                                        </w:pPr>
                                        <w:r w:rsidRPr="00B57EDE">
                                          <w:rPr>
                                            <w:sz w:val="21"/>
                                            <w:szCs w:val="21"/>
                                          </w:rPr>
                                          <w:t>Australian Capital Territory</w:t>
                                        </w:r>
                                      </w:p>
                                    </w:tc>
                                    <w:tc>
                                      <w:tcPr>
                                        <w:tcW w:w="1134" w:type="dxa"/>
                                      </w:tcPr>
                                      <w:p w14:paraId="54AF0978" w14:textId="77777777" w:rsidR="00FF1BF6" w:rsidRPr="00B57EDE" w:rsidRDefault="00FF1BF6" w:rsidP="00304C81">
                                        <w:pPr>
                                          <w:keepNext/>
                                          <w:keepLines/>
                                          <w:spacing w:before="40" w:after="40"/>
                                          <w:jc w:val="right"/>
                                          <w:rPr>
                                            <w:sz w:val="21"/>
                                            <w:szCs w:val="21"/>
                                          </w:rPr>
                                        </w:pPr>
                                        <w:r>
                                          <w:rPr>
                                            <w:sz w:val="21"/>
                                            <w:szCs w:val="21"/>
                                          </w:rPr>
                                          <w:t>0.76</w:t>
                                        </w:r>
                                      </w:p>
                                    </w:tc>
                                  </w:tr>
                                  <w:tr w:rsidR="00FF1BF6" w:rsidRPr="00101AB3" w14:paraId="5B541852" w14:textId="77777777" w:rsidTr="00304C81">
                                    <w:trPr>
                                      <w:cantSplit/>
                                    </w:trPr>
                                    <w:tc>
                                      <w:tcPr>
                                        <w:tcW w:w="4678" w:type="dxa"/>
                                      </w:tcPr>
                                      <w:p w14:paraId="7A93FCDE" w14:textId="77777777" w:rsidR="00FF1BF6" w:rsidRPr="00B57EDE" w:rsidRDefault="00FF1BF6" w:rsidP="00304C81">
                                        <w:pPr>
                                          <w:keepNext/>
                                          <w:keepLines/>
                                          <w:spacing w:before="60" w:after="60"/>
                                          <w:ind w:left="113"/>
                                          <w:rPr>
                                            <w:sz w:val="21"/>
                                            <w:szCs w:val="21"/>
                                          </w:rPr>
                                        </w:pPr>
                                        <w:r w:rsidRPr="00B57EDE">
                                          <w:rPr>
                                            <w:sz w:val="21"/>
                                            <w:szCs w:val="21"/>
                                          </w:rPr>
                                          <w:t>Northern Territory</w:t>
                                        </w:r>
                                      </w:p>
                                    </w:tc>
                                    <w:tc>
                                      <w:tcPr>
                                        <w:tcW w:w="1134" w:type="dxa"/>
                                      </w:tcPr>
                                      <w:p w14:paraId="1A58CA42" w14:textId="77777777" w:rsidR="00FF1BF6" w:rsidRPr="00B57EDE" w:rsidRDefault="00FF1BF6" w:rsidP="00304C81">
                                        <w:pPr>
                                          <w:keepNext/>
                                          <w:keepLines/>
                                          <w:spacing w:before="40" w:after="40"/>
                                          <w:jc w:val="right"/>
                                          <w:rPr>
                                            <w:sz w:val="21"/>
                                            <w:szCs w:val="21"/>
                                          </w:rPr>
                                        </w:pPr>
                                        <w:r>
                                          <w:rPr>
                                            <w:sz w:val="21"/>
                                            <w:szCs w:val="21"/>
                                          </w:rPr>
                                          <w:t>1.0</w:t>
                                        </w:r>
                                      </w:p>
                                    </w:tc>
                                  </w:tr>
                                  <w:tr w:rsidR="00FF1BF6" w:rsidRPr="00101AB3" w14:paraId="1320CE69" w14:textId="77777777" w:rsidTr="00304C81">
                                    <w:trPr>
                                      <w:cantSplit/>
                                    </w:trPr>
                                    <w:tc>
                                      <w:tcPr>
                                        <w:tcW w:w="4678" w:type="dxa"/>
                                        <w:tcBorders>
                                          <w:bottom w:val="single" w:sz="4" w:space="0" w:color="000080"/>
                                        </w:tcBorders>
                                      </w:tcPr>
                                      <w:p w14:paraId="4435F388" w14:textId="77777777" w:rsidR="00FF1BF6" w:rsidRPr="00B57EDE" w:rsidRDefault="00FF1BF6" w:rsidP="00304C81">
                                        <w:pPr>
                                          <w:keepNext/>
                                          <w:keepLines/>
                                          <w:spacing w:before="40" w:after="40"/>
                                          <w:ind w:left="-111"/>
                                          <w:rPr>
                                            <w:b/>
                                            <w:sz w:val="21"/>
                                            <w:szCs w:val="21"/>
                                          </w:rPr>
                                        </w:pPr>
                                        <w:r w:rsidRPr="00B57EDE">
                                          <w:rPr>
                                            <w:b/>
                                            <w:sz w:val="21"/>
                                            <w:szCs w:val="21"/>
                                          </w:rPr>
                                          <w:t>Balance of non-Commonwealth contributions</w:t>
                                        </w:r>
                                      </w:p>
                                    </w:tc>
                                    <w:tc>
                                      <w:tcPr>
                                        <w:tcW w:w="1134" w:type="dxa"/>
                                        <w:tcBorders>
                                          <w:bottom w:val="single" w:sz="4" w:space="0" w:color="000080"/>
                                        </w:tcBorders>
                                      </w:tcPr>
                                      <w:p w14:paraId="64CC77E7" w14:textId="77777777" w:rsidR="00FF1BF6" w:rsidRPr="00B57EDE" w:rsidRDefault="00FF1BF6" w:rsidP="00304C81">
                                        <w:pPr>
                                          <w:keepNext/>
                                          <w:keepLines/>
                                          <w:spacing w:before="40" w:after="40"/>
                                          <w:jc w:val="right"/>
                                          <w:rPr>
                                            <w:b/>
                                            <w:sz w:val="21"/>
                                            <w:szCs w:val="21"/>
                                          </w:rPr>
                                        </w:pPr>
                                        <w:r w:rsidRPr="00B57EDE">
                                          <w:rPr>
                                            <w:b/>
                                            <w:sz w:val="21"/>
                                            <w:szCs w:val="21"/>
                                          </w:rPr>
                                          <w:t>0.0</w:t>
                                        </w:r>
                                      </w:p>
                                    </w:tc>
                                  </w:tr>
                                </w:tbl>
                                <w:p w14:paraId="6C9B3E6D" w14:textId="77777777" w:rsidR="00FF1BF6" w:rsidRPr="00101AB3" w:rsidRDefault="00FF1BF6" w:rsidP="00FF1BF6">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554891" id="_x0000_t202" coordsize="21600,21600" o:spt="202" path="m,l,21600r21600,l21600,xe">
                      <v:stroke joinstyle="miter"/>
                      <v:path gradientshapeok="t" o:connecttype="rect"/>
                    </v:shapetype>
                    <v:shape id="Text Box 2" o:spid="_x0000_s1026" type="#_x0000_t202" style="position:absolute;margin-left:-4.9pt;margin-top:62.65pt;width:404.8pt;height:23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" stroked="f">
                      <v:textbox>
                        <w:txbxContent>
                          <w:tbl>
                            <w:tblPr>
                              <w:tblW w:w="0" w:type="auto"/>
                              <w:tblLook w:val="01E0" w:firstRow="1" w:lastRow="1" w:firstColumn="1" w:lastColumn="1" w:noHBand="0" w:noVBand="0"/>
                            </w:tblPr>
                            <w:tblGrid>
                              <w:gridCol w:w="4678"/>
                              <w:gridCol w:w="1134"/>
                            </w:tblGrid>
                            <w:tr w:rsidR="00FF1BF6" w:rsidRPr="00101AB3" w14:paraId="1CE00005" w14:textId="77777777" w:rsidTr="00304C81">
                              <w:trPr>
                                <w:cantSplit/>
                              </w:trPr>
                              <w:tc>
                                <w:tcPr>
                                  <w:tcW w:w="4678" w:type="dxa"/>
                                  <w:tcBorders>
                                    <w:top w:val="single" w:sz="4" w:space="0" w:color="000080"/>
                                    <w:bottom w:val="single" w:sz="4" w:space="0" w:color="000080"/>
                                  </w:tcBorders>
                                </w:tcPr>
                                <w:p w14:paraId="4EA6B033" w14:textId="77777777" w:rsidR="00FF1BF6" w:rsidRPr="00B57EDE" w:rsidRDefault="00FF1BF6" w:rsidP="00304C81">
                                  <w:pPr>
                                    <w:keepNext/>
                                    <w:keepLines/>
                                    <w:spacing w:before="40" w:after="40"/>
                                    <w:ind w:left="-111"/>
                                    <w:rPr>
                                      <w:b/>
                                      <w:sz w:val="21"/>
                                      <w:szCs w:val="21"/>
                                    </w:rPr>
                                  </w:pPr>
                                  <w:r>
                                    <w:rPr>
                                      <w:b/>
                                      <w:sz w:val="21"/>
                                      <w:szCs w:val="21"/>
                                    </w:rPr>
                                    <w:t xml:space="preserve">Table 1 </w:t>
                                  </w:r>
                                  <w:r w:rsidRPr="00B57EDE">
                                    <w:rPr>
                                      <w:b/>
                                      <w:sz w:val="21"/>
                                      <w:szCs w:val="21"/>
                                    </w:rPr>
                                    <w:t>($ million)</w:t>
                                  </w:r>
                                </w:p>
                              </w:tc>
                              <w:tc>
                                <w:tcPr>
                                  <w:tcW w:w="1134" w:type="dxa"/>
                                  <w:tcBorders>
                                    <w:top w:val="single" w:sz="4" w:space="0" w:color="000080"/>
                                    <w:bottom w:val="single" w:sz="4" w:space="0" w:color="000080"/>
                                  </w:tcBorders>
                                </w:tcPr>
                                <w:p w14:paraId="6BC26D17" w14:textId="77777777" w:rsidR="00FF1BF6" w:rsidRPr="00B57EDE" w:rsidRDefault="00FF1BF6" w:rsidP="00304C81">
                                  <w:pPr>
                                    <w:keepNext/>
                                    <w:keepLines/>
                                    <w:spacing w:before="40" w:after="40"/>
                                    <w:jc w:val="right"/>
                                    <w:rPr>
                                      <w:sz w:val="21"/>
                                      <w:szCs w:val="21"/>
                                    </w:rPr>
                                  </w:pPr>
                                  <w:r w:rsidRPr="00B57EDE">
                                    <w:rPr>
                                      <w:sz w:val="21"/>
                                      <w:szCs w:val="21"/>
                                    </w:rPr>
                                    <w:t>2020-21</w:t>
                                  </w:r>
                                </w:p>
                              </w:tc>
                            </w:tr>
                            <w:tr w:rsidR="00FF1BF6" w:rsidRPr="00101AB3" w14:paraId="1CD0580F" w14:textId="77777777" w:rsidTr="00304C81">
                              <w:trPr>
                                <w:cantSplit/>
                              </w:trPr>
                              <w:tc>
                                <w:tcPr>
                                  <w:tcW w:w="4678" w:type="dxa"/>
                                  <w:tcBorders>
                                    <w:top w:val="single" w:sz="4" w:space="0" w:color="000080"/>
                                  </w:tcBorders>
                                </w:tcPr>
                                <w:p w14:paraId="586D929C" w14:textId="77777777" w:rsidR="00FF1BF6" w:rsidRPr="00B57EDE" w:rsidRDefault="00FF1BF6" w:rsidP="00304C81">
                                  <w:pPr>
                                    <w:keepNext/>
                                    <w:keepLines/>
                                    <w:spacing w:before="60" w:after="60"/>
                                    <w:ind w:left="-111"/>
                                    <w:rPr>
                                      <w:b/>
                                      <w:sz w:val="21"/>
                                      <w:szCs w:val="21"/>
                                    </w:rPr>
                                  </w:pPr>
                                  <w:r w:rsidRPr="00B57EDE">
                                    <w:rPr>
                                      <w:b/>
                                      <w:sz w:val="21"/>
                                      <w:szCs w:val="21"/>
                                    </w:rPr>
                                    <w:t>Estimated total budget</w:t>
                                  </w:r>
                                </w:p>
                              </w:tc>
                              <w:tc>
                                <w:tcPr>
                                  <w:tcW w:w="1134" w:type="dxa"/>
                                  <w:tcBorders>
                                    <w:top w:val="single" w:sz="4" w:space="0" w:color="000080"/>
                                  </w:tcBorders>
                                </w:tcPr>
                                <w:p w14:paraId="7E9E5FDB" w14:textId="77777777" w:rsidR="00FF1BF6" w:rsidRPr="00B57EDE" w:rsidRDefault="00FF1BF6" w:rsidP="00304C81">
                                  <w:pPr>
                                    <w:keepNext/>
                                    <w:keepLines/>
                                    <w:spacing w:before="40" w:after="40"/>
                                    <w:jc w:val="right"/>
                                    <w:rPr>
                                      <w:b/>
                                      <w:sz w:val="21"/>
                                      <w:szCs w:val="21"/>
                                    </w:rPr>
                                  </w:pPr>
                                  <w:r w:rsidRPr="00B57EDE">
                                    <w:rPr>
                                      <w:b/>
                                      <w:sz w:val="21"/>
                                      <w:szCs w:val="21"/>
                                    </w:rPr>
                                    <w:t>9.7</w:t>
                                  </w:r>
                                </w:p>
                              </w:tc>
                            </w:tr>
                            <w:tr w:rsidR="00FF1BF6" w:rsidRPr="00101AB3" w14:paraId="28946E5F" w14:textId="77777777" w:rsidTr="00304C81">
                              <w:trPr>
                                <w:cantSplit/>
                              </w:trPr>
                              <w:tc>
                                <w:tcPr>
                                  <w:tcW w:w="4678" w:type="dxa"/>
                                </w:tcPr>
                                <w:p w14:paraId="7FCF08E5" w14:textId="77777777" w:rsidR="00FF1BF6" w:rsidRPr="00156EA2" w:rsidRDefault="00FF1BF6" w:rsidP="00304C81">
                                  <w:pPr>
                                    <w:keepNext/>
                                    <w:keepLines/>
                                    <w:spacing w:before="60" w:after="60"/>
                                    <w:ind w:left="-111"/>
                                    <w:rPr>
                                      <w:b/>
                                      <w:sz w:val="21"/>
                                      <w:szCs w:val="21"/>
                                    </w:rPr>
                                  </w:pPr>
                                  <w:r w:rsidRPr="00156EA2">
                                    <w:rPr>
                                      <w:b/>
                                      <w:sz w:val="21"/>
                                      <w:szCs w:val="21"/>
                                    </w:rPr>
                                    <w:t>Less estimated National Partnership Payments</w:t>
                                  </w:r>
                                </w:p>
                              </w:tc>
                              <w:tc>
                                <w:tcPr>
                                  <w:tcW w:w="1134" w:type="dxa"/>
                                </w:tcPr>
                                <w:p w14:paraId="4495240A" w14:textId="77777777" w:rsidR="00FF1BF6" w:rsidRPr="00156EA2" w:rsidRDefault="00FF1BF6" w:rsidP="00304C81">
                                  <w:pPr>
                                    <w:keepNext/>
                                    <w:keepLines/>
                                    <w:spacing w:before="40" w:after="40"/>
                                    <w:jc w:val="right"/>
                                    <w:rPr>
                                      <w:b/>
                                      <w:sz w:val="21"/>
                                      <w:szCs w:val="21"/>
                                    </w:rPr>
                                  </w:pPr>
                                  <w:r w:rsidRPr="00156EA2">
                                    <w:rPr>
                                      <w:b/>
                                      <w:sz w:val="21"/>
                                      <w:szCs w:val="21"/>
                                    </w:rPr>
                                    <w:t>9.7</w:t>
                                  </w:r>
                                </w:p>
                              </w:tc>
                            </w:tr>
                            <w:tr w:rsidR="00FF1BF6" w:rsidRPr="00101AB3" w14:paraId="24E8A966" w14:textId="77777777" w:rsidTr="00304C81">
                              <w:trPr>
                                <w:cantSplit/>
                              </w:trPr>
                              <w:tc>
                                <w:tcPr>
                                  <w:tcW w:w="4678" w:type="dxa"/>
                                </w:tcPr>
                                <w:p w14:paraId="615B0B13" w14:textId="77777777" w:rsidR="00FF1BF6" w:rsidRPr="00B57EDE" w:rsidRDefault="00FF1BF6" w:rsidP="00304C81">
                                  <w:pPr>
                                    <w:keepNext/>
                                    <w:keepLines/>
                                    <w:spacing w:before="60" w:after="60"/>
                                    <w:ind w:left="113"/>
                                    <w:rPr>
                                      <w:sz w:val="21"/>
                                      <w:szCs w:val="21"/>
                                    </w:rPr>
                                  </w:pPr>
                                  <w:r w:rsidRPr="00B57EDE">
                                    <w:rPr>
                                      <w:sz w:val="21"/>
                                      <w:szCs w:val="21"/>
                                    </w:rPr>
                                    <w:t>New South Wales</w:t>
                                  </w:r>
                                </w:p>
                              </w:tc>
                              <w:tc>
                                <w:tcPr>
                                  <w:tcW w:w="1134" w:type="dxa"/>
                                </w:tcPr>
                                <w:p w14:paraId="7CC4CC90" w14:textId="77777777" w:rsidR="00FF1BF6" w:rsidRPr="00B57EDE" w:rsidRDefault="00FF1BF6" w:rsidP="00304C81">
                                  <w:pPr>
                                    <w:keepNext/>
                                    <w:keepLines/>
                                    <w:spacing w:before="40" w:after="40"/>
                                    <w:jc w:val="right"/>
                                    <w:rPr>
                                      <w:sz w:val="21"/>
                                      <w:szCs w:val="21"/>
                                    </w:rPr>
                                  </w:pPr>
                                  <w:r>
                                    <w:rPr>
                                      <w:sz w:val="21"/>
                                      <w:szCs w:val="21"/>
                                    </w:rPr>
                                    <w:t>2.0</w:t>
                                  </w:r>
                                </w:p>
                              </w:tc>
                            </w:tr>
                            <w:tr w:rsidR="00FF1BF6" w:rsidRPr="00101AB3" w14:paraId="4C1A0AEA" w14:textId="77777777" w:rsidTr="00304C81">
                              <w:trPr>
                                <w:cantSplit/>
                              </w:trPr>
                              <w:tc>
                                <w:tcPr>
                                  <w:tcW w:w="4678" w:type="dxa"/>
                                </w:tcPr>
                                <w:p w14:paraId="0CB775EA" w14:textId="77777777" w:rsidR="00FF1BF6" w:rsidRPr="00B57EDE" w:rsidRDefault="00FF1BF6" w:rsidP="00304C81">
                                  <w:pPr>
                                    <w:keepNext/>
                                    <w:keepLines/>
                                    <w:spacing w:before="60" w:after="60"/>
                                    <w:ind w:left="113"/>
                                    <w:rPr>
                                      <w:sz w:val="21"/>
                                      <w:szCs w:val="21"/>
                                    </w:rPr>
                                  </w:pPr>
                                  <w:r w:rsidRPr="00B57EDE">
                                    <w:rPr>
                                      <w:sz w:val="21"/>
                                      <w:szCs w:val="21"/>
                                    </w:rPr>
                                    <w:t>Victoria</w:t>
                                  </w:r>
                                </w:p>
                              </w:tc>
                              <w:tc>
                                <w:tcPr>
                                  <w:tcW w:w="1134" w:type="dxa"/>
                                </w:tcPr>
                                <w:p w14:paraId="75334CE6" w14:textId="77777777" w:rsidR="00FF1BF6" w:rsidRPr="00B57EDE" w:rsidRDefault="00FF1BF6" w:rsidP="00304C81">
                                  <w:pPr>
                                    <w:keepNext/>
                                    <w:keepLines/>
                                    <w:spacing w:before="40" w:after="40"/>
                                    <w:jc w:val="right"/>
                                    <w:rPr>
                                      <w:sz w:val="21"/>
                                      <w:szCs w:val="21"/>
                                    </w:rPr>
                                  </w:pPr>
                                  <w:r>
                                    <w:rPr>
                                      <w:sz w:val="21"/>
                                      <w:szCs w:val="21"/>
                                    </w:rPr>
                                    <w:t>0.0</w:t>
                                  </w:r>
                                </w:p>
                              </w:tc>
                            </w:tr>
                            <w:tr w:rsidR="00FF1BF6" w:rsidRPr="00101AB3" w14:paraId="7C1EA05A" w14:textId="77777777" w:rsidTr="00304C81">
                              <w:trPr>
                                <w:cantSplit/>
                              </w:trPr>
                              <w:tc>
                                <w:tcPr>
                                  <w:tcW w:w="4678" w:type="dxa"/>
                                </w:tcPr>
                                <w:p w14:paraId="1E219A7C" w14:textId="77777777" w:rsidR="00FF1BF6" w:rsidRPr="00B57EDE" w:rsidRDefault="00FF1BF6" w:rsidP="00304C81">
                                  <w:pPr>
                                    <w:keepNext/>
                                    <w:keepLines/>
                                    <w:spacing w:before="60" w:after="60"/>
                                    <w:ind w:left="113"/>
                                    <w:rPr>
                                      <w:sz w:val="21"/>
                                      <w:szCs w:val="21"/>
                                    </w:rPr>
                                  </w:pPr>
                                  <w:r w:rsidRPr="00B57EDE">
                                    <w:rPr>
                                      <w:sz w:val="21"/>
                                      <w:szCs w:val="21"/>
                                    </w:rPr>
                                    <w:t>Queensland</w:t>
                                  </w:r>
                                </w:p>
                              </w:tc>
                              <w:tc>
                                <w:tcPr>
                                  <w:tcW w:w="1134" w:type="dxa"/>
                                </w:tcPr>
                                <w:p w14:paraId="0A305AF8" w14:textId="77777777" w:rsidR="00FF1BF6" w:rsidRPr="00B57EDE" w:rsidRDefault="00FF1BF6" w:rsidP="00304C81">
                                  <w:pPr>
                                    <w:keepNext/>
                                    <w:keepLines/>
                                    <w:spacing w:before="40" w:after="40"/>
                                    <w:jc w:val="right"/>
                                    <w:rPr>
                                      <w:sz w:val="21"/>
                                      <w:szCs w:val="21"/>
                                    </w:rPr>
                                  </w:pPr>
                                  <w:r w:rsidRPr="0062570C">
                                    <w:rPr>
                                      <w:sz w:val="21"/>
                                      <w:szCs w:val="21"/>
                                    </w:rPr>
                                    <w:t>3.0</w:t>
                                  </w:r>
                                </w:p>
                              </w:tc>
                            </w:tr>
                            <w:tr w:rsidR="00FF1BF6" w:rsidRPr="00101AB3" w14:paraId="3312069D" w14:textId="77777777" w:rsidTr="00304C81">
                              <w:trPr>
                                <w:cantSplit/>
                              </w:trPr>
                              <w:tc>
                                <w:tcPr>
                                  <w:tcW w:w="4678" w:type="dxa"/>
                                </w:tcPr>
                                <w:p w14:paraId="3DFA88BE" w14:textId="77777777" w:rsidR="00FF1BF6" w:rsidRPr="00B57EDE" w:rsidRDefault="00FF1BF6" w:rsidP="00304C81">
                                  <w:pPr>
                                    <w:keepNext/>
                                    <w:keepLines/>
                                    <w:spacing w:before="60" w:after="60"/>
                                    <w:ind w:left="113"/>
                                    <w:rPr>
                                      <w:sz w:val="21"/>
                                      <w:szCs w:val="21"/>
                                    </w:rPr>
                                  </w:pPr>
                                  <w:r w:rsidRPr="00B57EDE">
                                    <w:rPr>
                                      <w:sz w:val="21"/>
                                      <w:szCs w:val="21"/>
                                    </w:rPr>
                                    <w:t>Western Australia</w:t>
                                  </w:r>
                                </w:p>
                              </w:tc>
                              <w:tc>
                                <w:tcPr>
                                  <w:tcW w:w="1134" w:type="dxa"/>
                                </w:tcPr>
                                <w:p w14:paraId="4F5CB82A" w14:textId="77777777" w:rsidR="00FF1BF6" w:rsidRPr="00B57EDE" w:rsidRDefault="00FF1BF6" w:rsidP="00304C81">
                                  <w:pPr>
                                    <w:keepNext/>
                                    <w:keepLines/>
                                    <w:spacing w:before="40" w:after="40"/>
                                    <w:jc w:val="right"/>
                                    <w:rPr>
                                      <w:sz w:val="21"/>
                                      <w:szCs w:val="21"/>
                                    </w:rPr>
                                  </w:pPr>
                                  <w:r>
                                    <w:rPr>
                                      <w:sz w:val="21"/>
                                      <w:szCs w:val="21"/>
                                    </w:rPr>
                                    <w:t>1.6</w:t>
                                  </w:r>
                                </w:p>
                              </w:tc>
                            </w:tr>
                            <w:tr w:rsidR="00FF1BF6" w:rsidRPr="00101AB3" w14:paraId="4DB97ED7" w14:textId="77777777" w:rsidTr="00304C81">
                              <w:trPr>
                                <w:cantSplit/>
                              </w:trPr>
                              <w:tc>
                                <w:tcPr>
                                  <w:tcW w:w="4678" w:type="dxa"/>
                                </w:tcPr>
                                <w:p w14:paraId="55948954" w14:textId="77777777" w:rsidR="00FF1BF6" w:rsidRPr="00B57EDE" w:rsidRDefault="00FF1BF6" w:rsidP="00304C81">
                                  <w:pPr>
                                    <w:keepNext/>
                                    <w:keepLines/>
                                    <w:spacing w:before="60" w:after="60"/>
                                    <w:ind w:left="113"/>
                                    <w:rPr>
                                      <w:sz w:val="21"/>
                                      <w:szCs w:val="21"/>
                                    </w:rPr>
                                  </w:pPr>
                                  <w:r w:rsidRPr="00B57EDE">
                                    <w:rPr>
                                      <w:sz w:val="21"/>
                                      <w:szCs w:val="21"/>
                                    </w:rPr>
                                    <w:t>South Australia</w:t>
                                  </w:r>
                                </w:p>
                              </w:tc>
                              <w:tc>
                                <w:tcPr>
                                  <w:tcW w:w="1134" w:type="dxa"/>
                                </w:tcPr>
                                <w:p w14:paraId="3E65429E" w14:textId="77777777" w:rsidR="00FF1BF6" w:rsidRPr="00B57EDE" w:rsidRDefault="00FF1BF6" w:rsidP="00304C81">
                                  <w:pPr>
                                    <w:keepNext/>
                                    <w:keepLines/>
                                    <w:spacing w:before="40" w:after="40"/>
                                    <w:jc w:val="right"/>
                                    <w:rPr>
                                      <w:sz w:val="21"/>
                                      <w:szCs w:val="21"/>
                                    </w:rPr>
                                  </w:pPr>
                                  <w:r>
                                    <w:rPr>
                                      <w:sz w:val="21"/>
                                      <w:szCs w:val="21"/>
                                    </w:rPr>
                                    <w:t>1.0</w:t>
                                  </w:r>
                                </w:p>
                              </w:tc>
                            </w:tr>
                            <w:tr w:rsidR="00FF1BF6" w:rsidRPr="00101AB3" w14:paraId="3F81634E" w14:textId="77777777" w:rsidTr="00304C81">
                              <w:trPr>
                                <w:cantSplit/>
                              </w:trPr>
                              <w:tc>
                                <w:tcPr>
                                  <w:tcW w:w="4678" w:type="dxa"/>
                                </w:tcPr>
                                <w:p w14:paraId="6043D6F8" w14:textId="77777777" w:rsidR="00FF1BF6" w:rsidRPr="00B57EDE" w:rsidRDefault="00FF1BF6" w:rsidP="00304C81">
                                  <w:pPr>
                                    <w:keepNext/>
                                    <w:keepLines/>
                                    <w:spacing w:before="60" w:after="60"/>
                                    <w:ind w:left="113"/>
                                    <w:rPr>
                                      <w:sz w:val="21"/>
                                      <w:szCs w:val="21"/>
                                    </w:rPr>
                                  </w:pPr>
                                  <w:r w:rsidRPr="00B57EDE">
                                    <w:rPr>
                                      <w:sz w:val="21"/>
                                      <w:szCs w:val="21"/>
                                    </w:rPr>
                                    <w:t>Tasmania</w:t>
                                  </w:r>
                                </w:p>
                              </w:tc>
                              <w:tc>
                                <w:tcPr>
                                  <w:tcW w:w="1134" w:type="dxa"/>
                                </w:tcPr>
                                <w:p w14:paraId="259AD245" w14:textId="77777777" w:rsidR="00FF1BF6" w:rsidRPr="00B57EDE" w:rsidRDefault="00FF1BF6" w:rsidP="00304C81">
                                  <w:pPr>
                                    <w:keepNext/>
                                    <w:keepLines/>
                                    <w:spacing w:before="40" w:after="40"/>
                                    <w:jc w:val="right"/>
                                    <w:rPr>
                                      <w:sz w:val="21"/>
                                      <w:szCs w:val="21"/>
                                    </w:rPr>
                                  </w:pPr>
                                  <w:r>
                                    <w:rPr>
                                      <w:sz w:val="21"/>
                                      <w:szCs w:val="21"/>
                                    </w:rPr>
                                    <w:t>0.37</w:t>
                                  </w:r>
                                </w:p>
                              </w:tc>
                            </w:tr>
                            <w:tr w:rsidR="00FF1BF6" w:rsidRPr="00101AB3" w14:paraId="5A0B3242" w14:textId="77777777" w:rsidTr="00304C81">
                              <w:trPr>
                                <w:cantSplit/>
                              </w:trPr>
                              <w:tc>
                                <w:tcPr>
                                  <w:tcW w:w="4678" w:type="dxa"/>
                                </w:tcPr>
                                <w:p w14:paraId="61CB70B0" w14:textId="77777777" w:rsidR="00FF1BF6" w:rsidRPr="00B57EDE" w:rsidRDefault="00FF1BF6" w:rsidP="00304C81">
                                  <w:pPr>
                                    <w:keepNext/>
                                    <w:keepLines/>
                                    <w:spacing w:before="60" w:after="60"/>
                                    <w:ind w:left="113"/>
                                    <w:rPr>
                                      <w:sz w:val="21"/>
                                      <w:szCs w:val="21"/>
                                    </w:rPr>
                                  </w:pPr>
                                  <w:r w:rsidRPr="00B57EDE">
                                    <w:rPr>
                                      <w:sz w:val="21"/>
                                      <w:szCs w:val="21"/>
                                    </w:rPr>
                                    <w:t>Australian Capital Territory</w:t>
                                  </w:r>
                                </w:p>
                              </w:tc>
                              <w:tc>
                                <w:tcPr>
                                  <w:tcW w:w="1134" w:type="dxa"/>
                                </w:tcPr>
                                <w:p w14:paraId="54AF0978" w14:textId="77777777" w:rsidR="00FF1BF6" w:rsidRPr="00B57EDE" w:rsidRDefault="00FF1BF6" w:rsidP="00304C81">
                                  <w:pPr>
                                    <w:keepNext/>
                                    <w:keepLines/>
                                    <w:spacing w:before="40" w:after="40"/>
                                    <w:jc w:val="right"/>
                                    <w:rPr>
                                      <w:sz w:val="21"/>
                                      <w:szCs w:val="21"/>
                                    </w:rPr>
                                  </w:pPr>
                                  <w:r>
                                    <w:rPr>
                                      <w:sz w:val="21"/>
                                      <w:szCs w:val="21"/>
                                    </w:rPr>
                                    <w:t>0.76</w:t>
                                  </w:r>
                                </w:p>
                              </w:tc>
                            </w:tr>
                            <w:tr w:rsidR="00FF1BF6" w:rsidRPr="00101AB3" w14:paraId="5B541852" w14:textId="77777777" w:rsidTr="00304C81">
                              <w:trPr>
                                <w:cantSplit/>
                              </w:trPr>
                              <w:tc>
                                <w:tcPr>
                                  <w:tcW w:w="4678" w:type="dxa"/>
                                </w:tcPr>
                                <w:p w14:paraId="7A93FCDE" w14:textId="77777777" w:rsidR="00FF1BF6" w:rsidRPr="00B57EDE" w:rsidRDefault="00FF1BF6" w:rsidP="00304C81">
                                  <w:pPr>
                                    <w:keepNext/>
                                    <w:keepLines/>
                                    <w:spacing w:before="60" w:after="60"/>
                                    <w:ind w:left="113"/>
                                    <w:rPr>
                                      <w:sz w:val="21"/>
                                      <w:szCs w:val="21"/>
                                    </w:rPr>
                                  </w:pPr>
                                  <w:r w:rsidRPr="00B57EDE">
                                    <w:rPr>
                                      <w:sz w:val="21"/>
                                      <w:szCs w:val="21"/>
                                    </w:rPr>
                                    <w:t>Northern Territory</w:t>
                                  </w:r>
                                </w:p>
                              </w:tc>
                              <w:tc>
                                <w:tcPr>
                                  <w:tcW w:w="1134" w:type="dxa"/>
                                </w:tcPr>
                                <w:p w14:paraId="1A58CA42" w14:textId="77777777" w:rsidR="00FF1BF6" w:rsidRPr="00B57EDE" w:rsidRDefault="00FF1BF6" w:rsidP="00304C81">
                                  <w:pPr>
                                    <w:keepNext/>
                                    <w:keepLines/>
                                    <w:spacing w:before="40" w:after="40"/>
                                    <w:jc w:val="right"/>
                                    <w:rPr>
                                      <w:sz w:val="21"/>
                                      <w:szCs w:val="21"/>
                                    </w:rPr>
                                  </w:pPr>
                                  <w:r>
                                    <w:rPr>
                                      <w:sz w:val="21"/>
                                      <w:szCs w:val="21"/>
                                    </w:rPr>
                                    <w:t>1.0</w:t>
                                  </w:r>
                                </w:p>
                              </w:tc>
                            </w:tr>
                            <w:tr w:rsidR="00FF1BF6" w:rsidRPr="00101AB3" w14:paraId="1320CE69" w14:textId="77777777" w:rsidTr="00304C81">
                              <w:trPr>
                                <w:cantSplit/>
                              </w:trPr>
                              <w:tc>
                                <w:tcPr>
                                  <w:tcW w:w="4678" w:type="dxa"/>
                                  <w:tcBorders>
                                    <w:bottom w:val="single" w:sz="4" w:space="0" w:color="000080"/>
                                  </w:tcBorders>
                                </w:tcPr>
                                <w:p w14:paraId="4435F388" w14:textId="77777777" w:rsidR="00FF1BF6" w:rsidRPr="00B57EDE" w:rsidRDefault="00FF1BF6" w:rsidP="00304C81">
                                  <w:pPr>
                                    <w:keepNext/>
                                    <w:keepLines/>
                                    <w:spacing w:before="40" w:after="40"/>
                                    <w:ind w:left="-111"/>
                                    <w:rPr>
                                      <w:b/>
                                      <w:sz w:val="21"/>
                                      <w:szCs w:val="21"/>
                                    </w:rPr>
                                  </w:pPr>
                                  <w:r w:rsidRPr="00B57EDE">
                                    <w:rPr>
                                      <w:b/>
                                      <w:sz w:val="21"/>
                                      <w:szCs w:val="21"/>
                                    </w:rPr>
                                    <w:t>Balance of non-Commonwealth contributions</w:t>
                                  </w:r>
                                </w:p>
                              </w:tc>
                              <w:tc>
                                <w:tcPr>
                                  <w:tcW w:w="1134" w:type="dxa"/>
                                  <w:tcBorders>
                                    <w:bottom w:val="single" w:sz="4" w:space="0" w:color="000080"/>
                                  </w:tcBorders>
                                </w:tcPr>
                                <w:p w14:paraId="64CC77E7" w14:textId="77777777" w:rsidR="00FF1BF6" w:rsidRPr="00B57EDE" w:rsidRDefault="00FF1BF6" w:rsidP="00304C81">
                                  <w:pPr>
                                    <w:keepNext/>
                                    <w:keepLines/>
                                    <w:spacing w:before="40" w:after="40"/>
                                    <w:jc w:val="right"/>
                                    <w:rPr>
                                      <w:b/>
                                      <w:sz w:val="21"/>
                                      <w:szCs w:val="21"/>
                                    </w:rPr>
                                  </w:pPr>
                                  <w:r w:rsidRPr="00B57EDE">
                                    <w:rPr>
                                      <w:b/>
                                      <w:sz w:val="21"/>
                                      <w:szCs w:val="21"/>
                                    </w:rPr>
                                    <w:t>0.0</w:t>
                                  </w:r>
                                </w:p>
                              </w:tc>
                            </w:tr>
                          </w:tbl>
                          <w:p w14:paraId="6C9B3E6D" w14:textId="77777777" w:rsidR="00FF1BF6" w:rsidRPr="00101AB3" w:rsidRDefault="00FF1BF6" w:rsidP="00FF1BF6">
                            <w:pPr>
                              <w:rPr>
                                <w:sz w:val="18"/>
                                <w:szCs w:val="18"/>
                              </w:rPr>
                            </w:pPr>
                          </w:p>
                        </w:txbxContent>
                      </v:textbox>
                      <w10:wrap type="square"/>
                    </v:shape>
                  </w:pict>
                </mc:Fallback>
              </mc:AlternateContent>
            </w:r>
            <w:r w:rsidRPr="00D90725">
              <w:rPr>
                <w:color w:val="auto"/>
              </w:rPr>
              <w:t>The Commonwealth will provide an estimated total financial contribution to the States of up to $9.7 million in respect of this Schedule, noting this does not include payments made prior to 1 July 2020 under the previous agreement. All payments are GST exclusive.</w:t>
            </w:r>
          </w:p>
        </w:tc>
      </w:tr>
      <w:tr w:rsidR="00FF1BF6" w:rsidRPr="00D90725" w14:paraId="6102CB76" w14:textId="77777777" w:rsidTr="000761FD">
        <w:tc>
          <w:tcPr>
            <w:tcW w:w="1550" w:type="dxa"/>
            <w:shd w:val="clear" w:color="auto" w:fill="auto"/>
          </w:tcPr>
          <w:p w14:paraId="025EDB1A" w14:textId="77777777" w:rsidR="00FF1BF6" w:rsidRPr="00D90725" w:rsidRDefault="00FF1BF6" w:rsidP="000761FD">
            <w:pPr>
              <w:pStyle w:val="Tableformat"/>
              <w:rPr>
                <w:color w:val="auto"/>
              </w:rPr>
            </w:pPr>
            <w:r w:rsidRPr="00D90725">
              <w:rPr>
                <w:color w:val="auto"/>
              </w:rPr>
              <w:t>Additional terms</w:t>
            </w:r>
          </w:p>
        </w:tc>
        <w:tc>
          <w:tcPr>
            <w:tcW w:w="8079" w:type="dxa"/>
            <w:shd w:val="clear" w:color="auto" w:fill="auto"/>
          </w:tcPr>
          <w:p w14:paraId="0C082ED1" w14:textId="77777777" w:rsidR="00FF1BF6" w:rsidRPr="00D90725" w:rsidRDefault="00FF1BF6" w:rsidP="000761FD">
            <w:pPr>
              <w:pStyle w:val="Tableformat"/>
              <w:rPr>
                <w:color w:val="auto"/>
              </w:rPr>
            </w:pPr>
            <w:r w:rsidRPr="00D90725">
              <w:rPr>
                <w:color w:val="auto"/>
              </w:rPr>
              <w:t>Guidance on eligible project activities is at Appendix A.</w:t>
            </w:r>
          </w:p>
          <w:p w14:paraId="30F8CE83" w14:textId="77777777" w:rsidR="00FF1BF6" w:rsidRPr="00D90725" w:rsidRDefault="00FF1BF6" w:rsidP="000761FD">
            <w:pPr>
              <w:pStyle w:val="Tableformat"/>
              <w:rPr>
                <w:color w:val="auto"/>
              </w:rPr>
            </w:pPr>
            <w:r w:rsidRPr="00D90725">
              <w:rPr>
                <w:color w:val="auto"/>
              </w:rPr>
              <w:t xml:space="preserve">In providing rebates to primary producers and horticulture farmers, the States must be satisfied that the rebate recipient has demonstrated that they are from the grazing or horticulture industries and drought affected. </w:t>
            </w:r>
          </w:p>
          <w:p w14:paraId="5417461B" w14:textId="77777777" w:rsidR="00FF1BF6" w:rsidRPr="00D90725" w:rsidRDefault="00FF1BF6" w:rsidP="000761FD">
            <w:pPr>
              <w:pStyle w:val="Tableformat"/>
              <w:rPr>
                <w:color w:val="auto"/>
              </w:rPr>
            </w:pPr>
            <w:r w:rsidRPr="00D90725">
              <w:rPr>
                <w:color w:val="auto"/>
              </w:rPr>
              <w:t>‘Drought-affected’ will be defined in State program guidelines for the rebate scheme. The definition of drought-affected may be amended over the life of the scheme in consultation with the Commonwealth as conditions change and will be published as required.</w:t>
            </w:r>
          </w:p>
          <w:p w14:paraId="1BE95230" w14:textId="77777777" w:rsidR="00FF1BF6" w:rsidRPr="00D90725" w:rsidRDefault="00FF1BF6" w:rsidP="000761FD">
            <w:pPr>
              <w:pStyle w:val="Tableformat"/>
              <w:rPr>
                <w:i/>
                <w:color w:val="auto"/>
              </w:rPr>
            </w:pPr>
            <w:r w:rsidRPr="00D90725">
              <w:rPr>
                <w:color w:val="auto"/>
              </w:rPr>
              <w:t>Rebates will be 25 per cent of the costs incurred by primary producers, up to a maximum total rebate of $25,000, for eligible activities undertaken.</w:t>
            </w:r>
          </w:p>
        </w:tc>
      </w:tr>
    </w:tbl>
    <w:p w14:paraId="43444768" w14:textId="77777777" w:rsidR="00FF1BF6" w:rsidRDefault="00FF1BF6" w:rsidP="00FF1BF6"/>
    <w:p w14:paraId="2D743CF2" w14:textId="77777777" w:rsidR="00FF1BF6" w:rsidRDefault="00FF1BF6" w:rsidP="00FF1BF6">
      <w:pPr>
        <w:sectPr w:rsidR="00FF1BF6" w:rsidSect="006C606C">
          <w:headerReference w:type="first" r:id="rId13"/>
          <w:pgSz w:w="11906" w:h="16838" w:code="9"/>
          <w:pgMar w:top="1134" w:right="1134" w:bottom="1134" w:left="1134" w:header="709" w:footer="709" w:gutter="0"/>
          <w:pgNumType w:chapStyle="9"/>
          <w:cols w:space="708"/>
          <w:titlePg/>
          <w:docGrid w:linePitch="360"/>
        </w:sectPr>
      </w:pP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117"/>
        <w:gridCol w:w="7654"/>
        <w:gridCol w:w="1418"/>
        <w:gridCol w:w="3361"/>
      </w:tblGrid>
      <w:tr w:rsidR="00FF1BF6" w:rsidRPr="00D90725" w14:paraId="0785C954" w14:textId="77777777" w:rsidTr="000761FD">
        <w:tc>
          <w:tcPr>
            <w:tcW w:w="14550" w:type="dxa"/>
            <w:gridSpan w:val="4"/>
            <w:shd w:val="clear" w:color="auto" w:fill="DEEAF6" w:themeFill="accent1" w:themeFillTint="33"/>
          </w:tcPr>
          <w:p w14:paraId="5F52D36C" w14:textId="77777777" w:rsidR="00FF1BF6" w:rsidRPr="00D90725" w:rsidRDefault="00FF1BF6" w:rsidP="000761FD">
            <w:pPr>
              <w:pStyle w:val="Tableformat"/>
              <w:tabs>
                <w:tab w:val="left" w:pos="6043"/>
              </w:tabs>
              <w:rPr>
                <w:b/>
                <w:color w:val="auto"/>
              </w:rPr>
            </w:pPr>
            <w:r w:rsidRPr="00D90725">
              <w:rPr>
                <w:b/>
                <w:color w:val="auto"/>
              </w:rPr>
              <w:lastRenderedPageBreak/>
              <w:t>Table 2A: New South Wales – Performance requirements, reporting and payment summary</w:t>
            </w:r>
          </w:p>
        </w:tc>
      </w:tr>
      <w:tr w:rsidR="00FF1BF6" w:rsidRPr="00D90725" w14:paraId="4FF5FE10" w14:textId="77777777" w:rsidTr="000761FD">
        <w:tc>
          <w:tcPr>
            <w:tcW w:w="2117" w:type="dxa"/>
            <w:shd w:val="clear" w:color="auto" w:fill="F2F2F2" w:themeFill="background1" w:themeFillShade="F2"/>
          </w:tcPr>
          <w:p w14:paraId="32894EFE" w14:textId="77777777" w:rsidR="00FF1BF6" w:rsidRPr="00D90725" w:rsidRDefault="00FF1BF6" w:rsidP="000761FD">
            <w:pPr>
              <w:pStyle w:val="Tableformat"/>
              <w:rPr>
                <w:b/>
                <w:color w:val="auto"/>
              </w:rPr>
            </w:pPr>
            <w:r w:rsidRPr="00D90725">
              <w:rPr>
                <w:b/>
                <w:color w:val="auto"/>
              </w:rPr>
              <w:t>Output</w:t>
            </w:r>
          </w:p>
        </w:tc>
        <w:tc>
          <w:tcPr>
            <w:tcW w:w="7654" w:type="dxa"/>
            <w:shd w:val="clear" w:color="auto" w:fill="F2F2F2" w:themeFill="background1" w:themeFillShade="F2"/>
          </w:tcPr>
          <w:p w14:paraId="58A837F2" w14:textId="77777777" w:rsidR="00FF1BF6" w:rsidRPr="00D90725" w:rsidRDefault="00FF1BF6" w:rsidP="000761FD">
            <w:pPr>
              <w:pStyle w:val="Tableformat"/>
              <w:rPr>
                <w:b/>
                <w:color w:val="auto"/>
              </w:rPr>
            </w:pPr>
            <w:r w:rsidRPr="00D90725">
              <w:rPr>
                <w:b/>
                <w:color w:val="auto"/>
              </w:rPr>
              <w:t>Performance milestones</w:t>
            </w:r>
          </w:p>
        </w:tc>
        <w:tc>
          <w:tcPr>
            <w:tcW w:w="1418" w:type="dxa"/>
            <w:shd w:val="clear" w:color="auto" w:fill="F2F2F2" w:themeFill="background1" w:themeFillShade="F2"/>
          </w:tcPr>
          <w:p w14:paraId="4877184E" w14:textId="77777777" w:rsidR="00FF1BF6" w:rsidRPr="00D90725" w:rsidRDefault="00FF1BF6" w:rsidP="000761FD">
            <w:pPr>
              <w:pStyle w:val="Tableformat"/>
              <w:rPr>
                <w:b/>
                <w:color w:val="auto"/>
              </w:rPr>
            </w:pPr>
            <w:r w:rsidRPr="00D90725">
              <w:rPr>
                <w:b/>
                <w:color w:val="auto"/>
              </w:rPr>
              <w:t>Report due</w:t>
            </w:r>
          </w:p>
        </w:tc>
        <w:tc>
          <w:tcPr>
            <w:tcW w:w="3361" w:type="dxa"/>
            <w:shd w:val="clear" w:color="auto" w:fill="F2F2F2" w:themeFill="background1" w:themeFillShade="F2"/>
          </w:tcPr>
          <w:p w14:paraId="1BEC3690" w14:textId="77777777" w:rsidR="00FF1BF6" w:rsidRPr="00D90725" w:rsidRDefault="00FF1BF6" w:rsidP="000761FD">
            <w:pPr>
              <w:pStyle w:val="Tableformat"/>
              <w:rPr>
                <w:b/>
                <w:color w:val="auto"/>
              </w:rPr>
            </w:pPr>
            <w:r w:rsidRPr="00D90725">
              <w:rPr>
                <w:b/>
                <w:color w:val="auto"/>
              </w:rPr>
              <w:t>Payment</w:t>
            </w:r>
          </w:p>
        </w:tc>
      </w:tr>
      <w:tr w:rsidR="00FF1BF6" w:rsidRPr="00D90725" w14:paraId="605F8EF5" w14:textId="77777777" w:rsidTr="000761FD">
        <w:tc>
          <w:tcPr>
            <w:tcW w:w="2117" w:type="dxa"/>
            <w:vMerge w:val="restart"/>
            <w:tcBorders>
              <w:top w:val="single" w:sz="8" w:space="0" w:color="4F81BD"/>
              <w:left w:val="single" w:sz="8" w:space="0" w:color="4F81BD"/>
              <w:right w:val="single" w:sz="8" w:space="0" w:color="4F81BD"/>
            </w:tcBorders>
          </w:tcPr>
          <w:p w14:paraId="2B209E28" w14:textId="77777777" w:rsidR="00FF1BF6" w:rsidRPr="00D90725" w:rsidRDefault="00FF1BF6" w:rsidP="000761FD">
            <w:pPr>
              <w:pStyle w:val="Milestonetable"/>
              <w:rPr>
                <w:color w:val="auto"/>
              </w:rPr>
            </w:pPr>
            <w:r w:rsidRPr="00D90725">
              <w:rPr>
                <w:color w:val="auto"/>
              </w:rPr>
              <w:t>New infrastructure to water livestock and permanent plantings for drought affected farm businesses</w:t>
            </w:r>
          </w:p>
          <w:p w14:paraId="1D601F0D" w14:textId="77777777" w:rsidR="00FF1BF6" w:rsidRPr="00D90725" w:rsidRDefault="00FF1BF6" w:rsidP="000761FD">
            <w:pPr>
              <w:pStyle w:val="Milestonetable"/>
              <w:rPr>
                <w:color w:val="auto"/>
              </w:rPr>
            </w:pPr>
          </w:p>
          <w:p w14:paraId="0B940A3F" w14:textId="77777777" w:rsidR="00FF1BF6" w:rsidRPr="00D90725" w:rsidRDefault="00FF1BF6" w:rsidP="000761FD">
            <w:pPr>
              <w:pStyle w:val="Milestonetable"/>
              <w:rPr>
                <w:color w:val="auto"/>
              </w:rPr>
            </w:pPr>
          </w:p>
        </w:tc>
        <w:tc>
          <w:tcPr>
            <w:tcW w:w="7654" w:type="dxa"/>
            <w:tcBorders>
              <w:top w:val="single" w:sz="8" w:space="0" w:color="4F81BD"/>
              <w:left w:val="single" w:sz="8" w:space="0" w:color="4F81BD"/>
              <w:bottom w:val="single" w:sz="8" w:space="0" w:color="4F81BD"/>
              <w:right w:val="single" w:sz="8" w:space="0" w:color="4F81BD"/>
            </w:tcBorders>
            <w:shd w:val="clear" w:color="auto" w:fill="auto"/>
          </w:tcPr>
          <w:p w14:paraId="4959C22B" w14:textId="77777777" w:rsidR="00FF1BF6" w:rsidRPr="00D90725" w:rsidRDefault="00FF1BF6" w:rsidP="000761FD">
            <w:pPr>
              <w:pStyle w:val="Tableformat"/>
              <w:spacing w:before="60" w:after="60"/>
              <w:rPr>
                <w:color w:val="auto"/>
                <w:sz w:val="20"/>
                <w:szCs w:val="20"/>
              </w:rPr>
            </w:pPr>
            <w:r w:rsidRPr="00D90725">
              <w:rPr>
                <w:color w:val="auto"/>
                <w:sz w:val="20"/>
                <w:szCs w:val="20"/>
              </w:rPr>
              <w:t>Continuation of administration arrangements for the delivery of an On-farm Emergency Water Infrastructure Rebate Scheme.</w:t>
            </w:r>
          </w:p>
          <w:p w14:paraId="137AB6B4" w14:textId="77777777" w:rsidR="00FF1BF6" w:rsidRPr="00D90725" w:rsidRDefault="00FF1BF6" w:rsidP="000761FD">
            <w:pPr>
              <w:pStyle w:val="Milestonetable"/>
              <w:rPr>
                <w:color w:val="auto"/>
              </w:rPr>
            </w:pPr>
            <w:r w:rsidRPr="00D90725">
              <w:rPr>
                <w:color w:val="auto"/>
              </w:rPr>
              <w:t>Payments made to eligible primary producers and horticulture farmers consistent with this agreement for the period 1 May 2020 and 30 July 2020.</w:t>
            </w:r>
          </w:p>
        </w:tc>
        <w:tc>
          <w:tcPr>
            <w:tcW w:w="1418" w:type="dxa"/>
            <w:tcBorders>
              <w:top w:val="single" w:sz="8" w:space="0" w:color="4F81BD"/>
              <w:left w:val="single" w:sz="8" w:space="0" w:color="4F81BD"/>
              <w:bottom w:val="single" w:sz="8" w:space="0" w:color="4F81BD"/>
              <w:right w:val="single" w:sz="8" w:space="0" w:color="4F81BD"/>
            </w:tcBorders>
            <w:shd w:val="clear" w:color="auto" w:fill="auto"/>
          </w:tcPr>
          <w:p w14:paraId="65BFCB04" w14:textId="77777777" w:rsidR="00FF1BF6" w:rsidRPr="00D90725" w:rsidRDefault="00FF1BF6" w:rsidP="000761FD">
            <w:pPr>
              <w:pStyle w:val="Milestonetable"/>
              <w:rPr>
                <w:color w:val="auto"/>
              </w:rPr>
            </w:pPr>
            <w:r w:rsidRPr="00D90725">
              <w:rPr>
                <w:color w:val="auto"/>
              </w:rPr>
              <w:t>31 July 2020</w:t>
            </w:r>
          </w:p>
        </w:tc>
        <w:tc>
          <w:tcPr>
            <w:tcW w:w="3361" w:type="dxa"/>
            <w:tcBorders>
              <w:top w:val="single" w:sz="8" w:space="0" w:color="4F81BD"/>
              <w:left w:val="single" w:sz="8" w:space="0" w:color="4F81BD"/>
              <w:bottom w:val="single" w:sz="8" w:space="0" w:color="4F81BD"/>
              <w:right w:val="single" w:sz="8" w:space="0" w:color="4F81BD"/>
            </w:tcBorders>
            <w:shd w:val="clear" w:color="auto" w:fill="auto"/>
          </w:tcPr>
          <w:p w14:paraId="09DC3811" w14:textId="77777777" w:rsidR="00FF1BF6" w:rsidRPr="00D90725" w:rsidRDefault="00FF1BF6" w:rsidP="000761FD">
            <w:pPr>
              <w:pStyle w:val="Milestonetable"/>
              <w:rPr>
                <w:color w:val="auto"/>
              </w:rPr>
            </w:pPr>
            <w:r w:rsidRPr="00D90725">
              <w:rPr>
                <w:color w:val="auto"/>
              </w:rPr>
              <w:t>$261,000 plus the value of rebates paid from 1 May 2020 to 30 July 2020 up to $1,739,000</w:t>
            </w:r>
          </w:p>
        </w:tc>
      </w:tr>
      <w:tr w:rsidR="00FF1BF6" w:rsidRPr="00D90725" w14:paraId="7565AD76" w14:textId="77777777" w:rsidTr="000761FD">
        <w:tc>
          <w:tcPr>
            <w:tcW w:w="2117" w:type="dxa"/>
            <w:vMerge/>
            <w:tcBorders>
              <w:left w:val="single" w:sz="8" w:space="0" w:color="4F81BD"/>
              <w:right w:val="single" w:sz="8" w:space="0" w:color="4F81BD"/>
            </w:tcBorders>
          </w:tcPr>
          <w:p w14:paraId="4CFC4257" w14:textId="77777777" w:rsidR="00FF1BF6" w:rsidRPr="00D90725" w:rsidRDefault="00FF1BF6" w:rsidP="000761FD">
            <w:pPr>
              <w:pStyle w:val="Milestonetable"/>
              <w:rPr>
                <w:color w:val="auto"/>
              </w:rPr>
            </w:pPr>
          </w:p>
        </w:tc>
        <w:tc>
          <w:tcPr>
            <w:tcW w:w="7654" w:type="dxa"/>
            <w:tcBorders>
              <w:top w:val="single" w:sz="8" w:space="0" w:color="4F81BD"/>
              <w:left w:val="single" w:sz="8" w:space="0" w:color="4F81BD"/>
              <w:bottom w:val="single" w:sz="8" w:space="0" w:color="4F81BD"/>
              <w:right w:val="single" w:sz="8" w:space="0" w:color="4F81BD"/>
            </w:tcBorders>
            <w:shd w:val="clear" w:color="auto" w:fill="auto"/>
          </w:tcPr>
          <w:p w14:paraId="0489EEAF" w14:textId="77777777" w:rsidR="00FF1BF6" w:rsidRPr="00D90725" w:rsidRDefault="00FF1BF6" w:rsidP="000761FD">
            <w:pPr>
              <w:pStyle w:val="Milestonetable"/>
              <w:rPr>
                <w:color w:val="auto"/>
              </w:rPr>
            </w:pPr>
            <w:r w:rsidRPr="00D90725">
              <w:rPr>
                <w:color w:val="auto"/>
              </w:rPr>
              <w:t>Payments made to eligible primary producers and horticulture farmers consistent with this agreement for the period 31 July 2020 and 30 October 2020.</w:t>
            </w:r>
          </w:p>
        </w:tc>
        <w:tc>
          <w:tcPr>
            <w:tcW w:w="1418" w:type="dxa"/>
            <w:tcBorders>
              <w:top w:val="single" w:sz="8" w:space="0" w:color="4F81BD"/>
              <w:left w:val="single" w:sz="8" w:space="0" w:color="4F81BD"/>
              <w:bottom w:val="single" w:sz="8" w:space="0" w:color="4F81BD"/>
              <w:right w:val="single" w:sz="8" w:space="0" w:color="4F81BD"/>
            </w:tcBorders>
            <w:shd w:val="clear" w:color="auto" w:fill="auto"/>
          </w:tcPr>
          <w:p w14:paraId="3A965257" w14:textId="77777777" w:rsidR="00FF1BF6" w:rsidRPr="00D90725" w:rsidRDefault="00FF1BF6" w:rsidP="000761FD">
            <w:pPr>
              <w:pStyle w:val="Milestonetable"/>
              <w:rPr>
                <w:color w:val="auto"/>
              </w:rPr>
            </w:pPr>
            <w:r w:rsidRPr="00D90725">
              <w:rPr>
                <w:color w:val="auto"/>
              </w:rPr>
              <w:t>31 October 2020</w:t>
            </w:r>
          </w:p>
        </w:tc>
        <w:tc>
          <w:tcPr>
            <w:tcW w:w="3361" w:type="dxa"/>
            <w:tcBorders>
              <w:top w:val="single" w:sz="8" w:space="0" w:color="4F81BD"/>
              <w:left w:val="single" w:sz="8" w:space="0" w:color="4F81BD"/>
              <w:bottom w:val="single" w:sz="8" w:space="0" w:color="4F81BD"/>
              <w:right w:val="single" w:sz="8" w:space="0" w:color="4F81BD"/>
            </w:tcBorders>
            <w:shd w:val="clear" w:color="auto" w:fill="auto"/>
          </w:tcPr>
          <w:p w14:paraId="33E1B83C" w14:textId="77777777" w:rsidR="00FF1BF6" w:rsidRPr="00D90725" w:rsidRDefault="00FF1BF6" w:rsidP="000761FD">
            <w:pPr>
              <w:pStyle w:val="Milestonetable"/>
              <w:rPr>
                <w:color w:val="auto"/>
              </w:rPr>
            </w:pPr>
            <w:r w:rsidRPr="00D90725">
              <w:rPr>
                <w:color w:val="auto"/>
              </w:rPr>
              <w:t>Value of rebates paid from 31 July 2020 to 30 October 2020 up to $1,739,000 less payments for rebates under this agreement already provided to NSW in 2020-21.</w:t>
            </w:r>
          </w:p>
        </w:tc>
      </w:tr>
      <w:tr w:rsidR="00FF1BF6" w:rsidRPr="00D90725" w14:paraId="4CFBFED3" w14:textId="77777777" w:rsidTr="000761FD">
        <w:tc>
          <w:tcPr>
            <w:tcW w:w="2117" w:type="dxa"/>
            <w:vMerge/>
            <w:tcBorders>
              <w:left w:val="single" w:sz="8" w:space="0" w:color="4F81BD"/>
              <w:bottom w:val="single" w:sz="8" w:space="0" w:color="4F81BD"/>
              <w:right w:val="single" w:sz="8" w:space="0" w:color="4F81BD"/>
            </w:tcBorders>
          </w:tcPr>
          <w:p w14:paraId="58BC75A3" w14:textId="77777777" w:rsidR="00FF1BF6" w:rsidRPr="00D90725" w:rsidRDefault="00FF1BF6" w:rsidP="000761FD">
            <w:pPr>
              <w:pStyle w:val="Milestonetable"/>
              <w:rPr>
                <w:color w:val="auto"/>
              </w:rPr>
            </w:pPr>
          </w:p>
        </w:tc>
        <w:tc>
          <w:tcPr>
            <w:tcW w:w="7654" w:type="dxa"/>
            <w:tcBorders>
              <w:top w:val="single" w:sz="8" w:space="0" w:color="4F81BD"/>
              <w:left w:val="single" w:sz="8" w:space="0" w:color="4F81BD"/>
              <w:bottom w:val="single" w:sz="8" w:space="0" w:color="4F81BD"/>
              <w:right w:val="single" w:sz="8" w:space="0" w:color="4F81BD"/>
            </w:tcBorders>
            <w:shd w:val="clear" w:color="auto" w:fill="auto"/>
          </w:tcPr>
          <w:p w14:paraId="50F9CC19" w14:textId="77777777" w:rsidR="00FF1BF6" w:rsidRPr="00D90725" w:rsidRDefault="00FF1BF6" w:rsidP="000761FD">
            <w:pPr>
              <w:pStyle w:val="Milestonetable"/>
              <w:rPr>
                <w:color w:val="auto"/>
              </w:rPr>
            </w:pPr>
            <w:r w:rsidRPr="00D90725">
              <w:rPr>
                <w:color w:val="auto"/>
              </w:rPr>
              <w:t>Payments made to eligible primary producers and horticulture farmers consistent with this agreement for the period 31 October 2020 and 30 January 2021</w:t>
            </w:r>
          </w:p>
        </w:tc>
        <w:tc>
          <w:tcPr>
            <w:tcW w:w="1418" w:type="dxa"/>
            <w:tcBorders>
              <w:top w:val="single" w:sz="8" w:space="0" w:color="4F81BD"/>
              <w:left w:val="single" w:sz="8" w:space="0" w:color="4F81BD"/>
              <w:bottom w:val="single" w:sz="8" w:space="0" w:color="4F81BD"/>
              <w:right w:val="single" w:sz="8" w:space="0" w:color="4F81BD"/>
            </w:tcBorders>
            <w:shd w:val="clear" w:color="auto" w:fill="auto"/>
          </w:tcPr>
          <w:p w14:paraId="1A17CBC7" w14:textId="77777777" w:rsidR="00FF1BF6" w:rsidRPr="00D90725" w:rsidRDefault="00FF1BF6" w:rsidP="000761FD">
            <w:pPr>
              <w:pStyle w:val="Milestonetable"/>
              <w:rPr>
                <w:color w:val="auto"/>
              </w:rPr>
            </w:pPr>
            <w:r w:rsidRPr="00D90725">
              <w:rPr>
                <w:color w:val="auto"/>
              </w:rPr>
              <w:t>31 January 2021</w:t>
            </w:r>
          </w:p>
        </w:tc>
        <w:tc>
          <w:tcPr>
            <w:tcW w:w="3361" w:type="dxa"/>
            <w:tcBorders>
              <w:top w:val="single" w:sz="8" w:space="0" w:color="4F81BD"/>
              <w:left w:val="single" w:sz="8" w:space="0" w:color="4F81BD"/>
              <w:bottom w:val="single" w:sz="8" w:space="0" w:color="4F81BD"/>
              <w:right w:val="single" w:sz="8" w:space="0" w:color="4F81BD"/>
            </w:tcBorders>
            <w:shd w:val="clear" w:color="auto" w:fill="auto"/>
          </w:tcPr>
          <w:p w14:paraId="1DF14BF7" w14:textId="77777777" w:rsidR="00FF1BF6" w:rsidRPr="00D90725" w:rsidRDefault="00FF1BF6" w:rsidP="000761FD">
            <w:pPr>
              <w:pStyle w:val="Milestonetable"/>
              <w:rPr>
                <w:color w:val="auto"/>
              </w:rPr>
            </w:pPr>
            <w:r w:rsidRPr="00D90725">
              <w:rPr>
                <w:color w:val="auto"/>
              </w:rPr>
              <w:t>Value of rebates paid from 31 October 2020 to 30 January 2021 up to $1,739,000 less payments for rebates under this agreement already provided to NSW in 2020-21.</w:t>
            </w:r>
          </w:p>
        </w:tc>
      </w:tr>
    </w:tbl>
    <w:p w14:paraId="7A6BB20D" w14:textId="77777777" w:rsidR="00FF1BF6" w:rsidRPr="00D90725" w:rsidRDefault="00FF1BF6" w:rsidP="00FF1BF6"/>
    <w:p w14:paraId="109A8EEB" w14:textId="77777777" w:rsidR="00FF1BF6" w:rsidRPr="00D90725" w:rsidRDefault="00FF1BF6" w:rsidP="00FF1BF6">
      <w:pPr>
        <w:rPr>
          <w:b/>
        </w:rPr>
      </w:pPr>
      <w:r w:rsidRPr="00D90725">
        <w:t>This schedule was agreed by the Commonwealth and the State of New South Wales when the overarching National Partnership was signed.</w:t>
      </w:r>
    </w:p>
    <w:p w14:paraId="146979F5" w14:textId="77777777" w:rsidR="00FF1BF6" w:rsidRPr="00D90725" w:rsidRDefault="00FF1BF6" w:rsidP="00FF1BF6">
      <w:pPr>
        <w:rPr>
          <w:lang w:val="en-GB"/>
        </w:rPr>
      </w:pPr>
    </w:p>
    <w:p w14:paraId="2D786267" w14:textId="77777777" w:rsidR="00FF1BF6" w:rsidRPr="00D90725" w:rsidRDefault="00FF1BF6" w:rsidP="00FF1BF6">
      <w:pPr>
        <w:rPr>
          <w:lang w:val="en-GB"/>
        </w:rPr>
      </w:pPr>
      <w:r w:rsidRPr="00D90725">
        <w:rPr>
          <w:lang w:val="en-GB"/>
        </w:rPr>
        <w:br w:type="page"/>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202"/>
        <w:gridCol w:w="6569"/>
        <w:gridCol w:w="1418"/>
        <w:gridCol w:w="3361"/>
      </w:tblGrid>
      <w:tr w:rsidR="00FF1BF6" w:rsidRPr="00D90725" w14:paraId="5854752F" w14:textId="77777777" w:rsidTr="000761FD">
        <w:tc>
          <w:tcPr>
            <w:tcW w:w="14550" w:type="dxa"/>
            <w:gridSpan w:val="4"/>
            <w:shd w:val="clear" w:color="auto" w:fill="DEEAF6" w:themeFill="accent1" w:themeFillTint="33"/>
          </w:tcPr>
          <w:p w14:paraId="7E63DE4F" w14:textId="77777777" w:rsidR="00FF1BF6" w:rsidRPr="00D90725" w:rsidRDefault="00FF1BF6" w:rsidP="000761FD">
            <w:pPr>
              <w:pStyle w:val="Tableformat"/>
              <w:tabs>
                <w:tab w:val="left" w:pos="6043"/>
              </w:tabs>
              <w:rPr>
                <w:b/>
                <w:color w:val="auto"/>
              </w:rPr>
            </w:pPr>
            <w:r w:rsidRPr="00D90725">
              <w:rPr>
                <w:b/>
                <w:color w:val="auto"/>
              </w:rPr>
              <w:t>Table 2C: Queensland – Performance requirements, reporting and payment summary</w:t>
            </w:r>
          </w:p>
        </w:tc>
      </w:tr>
      <w:tr w:rsidR="00FF1BF6" w:rsidRPr="00D90725" w14:paraId="1A2A4F80" w14:textId="77777777" w:rsidTr="000761FD">
        <w:tc>
          <w:tcPr>
            <w:tcW w:w="3202" w:type="dxa"/>
            <w:shd w:val="clear" w:color="auto" w:fill="F2F2F2" w:themeFill="background1" w:themeFillShade="F2"/>
          </w:tcPr>
          <w:p w14:paraId="3B2068E9" w14:textId="77777777" w:rsidR="00FF1BF6" w:rsidRPr="00D90725" w:rsidRDefault="00FF1BF6" w:rsidP="000761FD">
            <w:pPr>
              <w:pStyle w:val="Tableformat"/>
              <w:rPr>
                <w:b/>
                <w:color w:val="auto"/>
              </w:rPr>
            </w:pPr>
            <w:r w:rsidRPr="00D90725">
              <w:rPr>
                <w:b/>
                <w:color w:val="auto"/>
              </w:rPr>
              <w:t>Output</w:t>
            </w:r>
          </w:p>
        </w:tc>
        <w:tc>
          <w:tcPr>
            <w:tcW w:w="6569" w:type="dxa"/>
            <w:shd w:val="clear" w:color="auto" w:fill="F2F2F2" w:themeFill="background1" w:themeFillShade="F2"/>
          </w:tcPr>
          <w:p w14:paraId="65658E81" w14:textId="77777777" w:rsidR="00FF1BF6" w:rsidRPr="00D90725" w:rsidRDefault="00FF1BF6" w:rsidP="000761FD">
            <w:pPr>
              <w:pStyle w:val="Tableformat"/>
              <w:rPr>
                <w:b/>
                <w:color w:val="auto"/>
              </w:rPr>
            </w:pPr>
            <w:r w:rsidRPr="00D90725">
              <w:rPr>
                <w:b/>
                <w:color w:val="auto"/>
              </w:rPr>
              <w:t>Performance milestones</w:t>
            </w:r>
          </w:p>
        </w:tc>
        <w:tc>
          <w:tcPr>
            <w:tcW w:w="1418" w:type="dxa"/>
            <w:shd w:val="clear" w:color="auto" w:fill="F2F2F2" w:themeFill="background1" w:themeFillShade="F2"/>
          </w:tcPr>
          <w:p w14:paraId="0418DF3B" w14:textId="77777777" w:rsidR="00FF1BF6" w:rsidRPr="00D90725" w:rsidRDefault="00FF1BF6" w:rsidP="000761FD">
            <w:pPr>
              <w:pStyle w:val="Tableformat"/>
              <w:rPr>
                <w:b/>
                <w:color w:val="auto"/>
              </w:rPr>
            </w:pPr>
            <w:r w:rsidRPr="00D90725">
              <w:rPr>
                <w:b/>
                <w:color w:val="auto"/>
              </w:rPr>
              <w:t>Report due</w:t>
            </w:r>
          </w:p>
        </w:tc>
        <w:tc>
          <w:tcPr>
            <w:tcW w:w="3361" w:type="dxa"/>
            <w:shd w:val="clear" w:color="auto" w:fill="F2F2F2" w:themeFill="background1" w:themeFillShade="F2"/>
          </w:tcPr>
          <w:p w14:paraId="49389148" w14:textId="77777777" w:rsidR="00FF1BF6" w:rsidRPr="00D90725" w:rsidRDefault="00FF1BF6" w:rsidP="000761FD">
            <w:pPr>
              <w:pStyle w:val="Tableformat"/>
              <w:rPr>
                <w:b/>
                <w:color w:val="auto"/>
              </w:rPr>
            </w:pPr>
            <w:r w:rsidRPr="00D90725">
              <w:rPr>
                <w:b/>
                <w:color w:val="auto"/>
              </w:rPr>
              <w:t>Payment</w:t>
            </w:r>
          </w:p>
        </w:tc>
      </w:tr>
      <w:tr w:rsidR="00FF1BF6" w:rsidRPr="00D90725" w14:paraId="4E58FAF3" w14:textId="77777777" w:rsidTr="000761FD">
        <w:tc>
          <w:tcPr>
            <w:tcW w:w="3202" w:type="dxa"/>
            <w:tcBorders>
              <w:top w:val="single" w:sz="8" w:space="0" w:color="4F81BD"/>
              <w:left w:val="single" w:sz="8" w:space="0" w:color="4F81BD"/>
              <w:bottom w:val="single" w:sz="8" w:space="0" w:color="4F81BD"/>
              <w:right w:val="single" w:sz="8" w:space="0" w:color="4F81BD"/>
            </w:tcBorders>
          </w:tcPr>
          <w:p w14:paraId="64389AE5" w14:textId="77777777" w:rsidR="00FF1BF6" w:rsidRPr="00D90725" w:rsidRDefault="00FF1BF6" w:rsidP="000761FD">
            <w:pPr>
              <w:pStyle w:val="Milestonetable"/>
              <w:rPr>
                <w:color w:val="auto"/>
              </w:rPr>
            </w:pPr>
            <w:r w:rsidRPr="00D90725">
              <w:rPr>
                <w:color w:val="auto"/>
              </w:rPr>
              <w:t>New infrastructure to water livestock and permanent plantings for drought affected farm businesses</w:t>
            </w:r>
          </w:p>
        </w:tc>
        <w:tc>
          <w:tcPr>
            <w:tcW w:w="6569" w:type="dxa"/>
            <w:tcBorders>
              <w:top w:val="single" w:sz="8" w:space="0" w:color="4F81BD"/>
              <w:left w:val="single" w:sz="8" w:space="0" w:color="4F81BD"/>
              <w:bottom w:val="single" w:sz="8" w:space="0" w:color="4F81BD"/>
              <w:right w:val="single" w:sz="8" w:space="0" w:color="4F81BD"/>
            </w:tcBorders>
            <w:shd w:val="clear" w:color="auto" w:fill="auto"/>
          </w:tcPr>
          <w:p w14:paraId="6A9B2246" w14:textId="77777777" w:rsidR="00FF1BF6" w:rsidRPr="00D90725" w:rsidRDefault="00FF1BF6" w:rsidP="000761FD">
            <w:pPr>
              <w:pStyle w:val="Milestonetable"/>
              <w:rPr>
                <w:color w:val="auto"/>
              </w:rPr>
            </w:pPr>
            <w:r w:rsidRPr="00D90725">
              <w:rPr>
                <w:color w:val="auto"/>
              </w:rPr>
              <w:t>Payments made to eligible primary producers and horticulture farmers consistent with this agreement for the period 1 May 2020 to 30 April 2021.</w:t>
            </w:r>
          </w:p>
        </w:tc>
        <w:tc>
          <w:tcPr>
            <w:tcW w:w="1418" w:type="dxa"/>
            <w:tcBorders>
              <w:top w:val="single" w:sz="8" w:space="0" w:color="4F81BD"/>
              <w:left w:val="single" w:sz="8" w:space="0" w:color="4F81BD"/>
              <w:bottom w:val="single" w:sz="8" w:space="0" w:color="4F81BD"/>
              <w:right w:val="single" w:sz="8" w:space="0" w:color="4F81BD"/>
            </w:tcBorders>
            <w:shd w:val="clear" w:color="auto" w:fill="auto"/>
          </w:tcPr>
          <w:p w14:paraId="5C7EC486" w14:textId="77777777" w:rsidR="00FF1BF6" w:rsidRPr="00D90725" w:rsidRDefault="00FF1BF6" w:rsidP="000761FD">
            <w:pPr>
              <w:pStyle w:val="Milestonetable"/>
              <w:rPr>
                <w:color w:val="auto"/>
              </w:rPr>
            </w:pPr>
            <w:r w:rsidRPr="00D90725">
              <w:rPr>
                <w:color w:val="auto"/>
              </w:rPr>
              <w:t>1 May 2021</w:t>
            </w:r>
          </w:p>
        </w:tc>
        <w:tc>
          <w:tcPr>
            <w:tcW w:w="3361" w:type="dxa"/>
            <w:tcBorders>
              <w:top w:val="single" w:sz="8" w:space="0" w:color="4F81BD"/>
              <w:left w:val="single" w:sz="8" w:space="0" w:color="4F81BD"/>
              <w:bottom w:val="single" w:sz="8" w:space="0" w:color="4F81BD"/>
              <w:right w:val="single" w:sz="8" w:space="0" w:color="4F81BD"/>
            </w:tcBorders>
            <w:shd w:val="clear" w:color="auto" w:fill="auto"/>
          </w:tcPr>
          <w:p w14:paraId="06463481" w14:textId="77777777" w:rsidR="00FF1BF6" w:rsidRPr="00D90725" w:rsidRDefault="00FF1BF6" w:rsidP="000761FD">
            <w:pPr>
              <w:pStyle w:val="Milestonetable"/>
              <w:rPr>
                <w:color w:val="auto"/>
              </w:rPr>
            </w:pPr>
            <w:r w:rsidRPr="00D90725">
              <w:rPr>
                <w:color w:val="auto"/>
              </w:rPr>
              <w:t>Value of rebates paid from 1 May 2020 to 30 April 2021, up to $3 million</w:t>
            </w:r>
          </w:p>
        </w:tc>
      </w:tr>
    </w:tbl>
    <w:p w14:paraId="46A01E0F" w14:textId="77777777" w:rsidR="00FF1BF6" w:rsidRPr="00D90725" w:rsidRDefault="00FF1BF6" w:rsidP="00FF1BF6"/>
    <w:p w14:paraId="07AE00DE" w14:textId="77777777" w:rsidR="00FF1BF6" w:rsidRPr="00D90725" w:rsidRDefault="00FF1BF6" w:rsidP="00FF1BF6">
      <w:pPr>
        <w:rPr>
          <w:b/>
        </w:rPr>
      </w:pPr>
      <w:r w:rsidRPr="00D90725">
        <w:t>This schedule was agreed by the Commonwealth and the State of Queensland when the overarching National Partnership was signed.</w:t>
      </w:r>
    </w:p>
    <w:p w14:paraId="3963E8D7" w14:textId="77777777" w:rsidR="00FF1BF6" w:rsidRPr="00D90725" w:rsidRDefault="00FF1BF6" w:rsidP="00FF1BF6">
      <w:pPr>
        <w:rPr>
          <w:lang w:val="en-GB"/>
        </w:rPr>
      </w:pPr>
      <w:r w:rsidRPr="00D90725">
        <w:rPr>
          <w:lang w:val="en-GB"/>
        </w:rPr>
        <w:br w:type="page"/>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202"/>
        <w:gridCol w:w="7136"/>
        <w:gridCol w:w="1418"/>
        <w:gridCol w:w="2794"/>
      </w:tblGrid>
      <w:tr w:rsidR="00FF1BF6" w:rsidRPr="00D90725" w14:paraId="13459C4E" w14:textId="77777777" w:rsidTr="000761FD">
        <w:tc>
          <w:tcPr>
            <w:tcW w:w="14550" w:type="dxa"/>
            <w:gridSpan w:val="4"/>
            <w:shd w:val="clear" w:color="auto" w:fill="DEEAF6" w:themeFill="accent1" w:themeFillTint="33"/>
          </w:tcPr>
          <w:p w14:paraId="48E84FAE" w14:textId="77777777" w:rsidR="00FF1BF6" w:rsidRPr="00D90725" w:rsidRDefault="00FF1BF6" w:rsidP="000761FD">
            <w:pPr>
              <w:pStyle w:val="Tableformat"/>
              <w:tabs>
                <w:tab w:val="left" w:pos="6043"/>
              </w:tabs>
              <w:rPr>
                <w:b/>
                <w:color w:val="auto"/>
              </w:rPr>
            </w:pPr>
            <w:r w:rsidRPr="00D90725">
              <w:rPr>
                <w:b/>
                <w:color w:val="auto"/>
              </w:rPr>
              <w:t>Table 2D: Western Australia – Performance requirements, reporting and payment summary</w:t>
            </w:r>
          </w:p>
        </w:tc>
      </w:tr>
      <w:tr w:rsidR="00FF1BF6" w:rsidRPr="00D90725" w14:paraId="3680E58E" w14:textId="77777777" w:rsidTr="000761FD">
        <w:tc>
          <w:tcPr>
            <w:tcW w:w="3202" w:type="dxa"/>
            <w:shd w:val="clear" w:color="auto" w:fill="F2F2F2" w:themeFill="background1" w:themeFillShade="F2"/>
          </w:tcPr>
          <w:p w14:paraId="708A2ADC" w14:textId="77777777" w:rsidR="00FF1BF6" w:rsidRPr="00D90725" w:rsidRDefault="00FF1BF6" w:rsidP="000761FD">
            <w:pPr>
              <w:pStyle w:val="Tableformat"/>
              <w:rPr>
                <w:b/>
                <w:color w:val="auto"/>
              </w:rPr>
            </w:pPr>
            <w:r w:rsidRPr="00D90725">
              <w:rPr>
                <w:b/>
                <w:color w:val="auto"/>
              </w:rPr>
              <w:t>Output</w:t>
            </w:r>
          </w:p>
        </w:tc>
        <w:tc>
          <w:tcPr>
            <w:tcW w:w="7136" w:type="dxa"/>
            <w:shd w:val="clear" w:color="auto" w:fill="F2F2F2" w:themeFill="background1" w:themeFillShade="F2"/>
          </w:tcPr>
          <w:p w14:paraId="7F9B218B" w14:textId="77777777" w:rsidR="00FF1BF6" w:rsidRPr="00D90725" w:rsidRDefault="00FF1BF6" w:rsidP="000761FD">
            <w:pPr>
              <w:pStyle w:val="Tableformat"/>
              <w:rPr>
                <w:b/>
                <w:color w:val="auto"/>
              </w:rPr>
            </w:pPr>
            <w:r w:rsidRPr="00D90725">
              <w:rPr>
                <w:b/>
                <w:color w:val="auto"/>
              </w:rPr>
              <w:t>Performance milestones</w:t>
            </w:r>
          </w:p>
        </w:tc>
        <w:tc>
          <w:tcPr>
            <w:tcW w:w="1418" w:type="dxa"/>
            <w:shd w:val="clear" w:color="auto" w:fill="F2F2F2" w:themeFill="background1" w:themeFillShade="F2"/>
          </w:tcPr>
          <w:p w14:paraId="7D62D9CA" w14:textId="77777777" w:rsidR="00FF1BF6" w:rsidRPr="00D90725" w:rsidRDefault="00FF1BF6" w:rsidP="000761FD">
            <w:pPr>
              <w:pStyle w:val="Tableformat"/>
              <w:rPr>
                <w:b/>
                <w:color w:val="auto"/>
              </w:rPr>
            </w:pPr>
            <w:r w:rsidRPr="00D90725">
              <w:rPr>
                <w:b/>
                <w:color w:val="auto"/>
              </w:rPr>
              <w:t>Report due</w:t>
            </w:r>
          </w:p>
        </w:tc>
        <w:tc>
          <w:tcPr>
            <w:tcW w:w="2794" w:type="dxa"/>
            <w:shd w:val="clear" w:color="auto" w:fill="F2F2F2" w:themeFill="background1" w:themeFillShade="F2"/>
          </w:tcPr>
          <w:p w14:paraId="544A03CE" w14:textId="77777777" w:rsidR="00FF1BF6" w:rsidRPr="00D90725" w:rsidRDefault="00FF1BF6" w:rsidP="000761FD">
            <w:pPr>
              <w:pStyle w:val="Tableformat"/>
              <w:rPr>
                <w:b/>
                <w:color w:val="auto"/>
              </w:rPr>
            </w:pPr>
            <w:r w:rsidRPr="00D90725">
              <w:rPr>
                <w:b/>
                <w:color w:val="auto"/>
              </w:rPr>
              <w:t>Payment</w:t>
            </w:r>
          </w:p>
        </w:tc>
      </w:tr>
      <w:tr w:rsidR="00FF1BF6" w:rsidRPr="00D90725" w14:paraId="4BB00D3E" w14:textId="77777777" w:rsidTr="000761FD">
        <w:tc>
          <w:tcPr>
            <w:tcW w:w="3202" w:type="dxa"/>
            <w:vMerge w:val="restart"/>
            <w:tcBorders>
              <w:top w:val="single" w:sz="8" w:space="0" w:color="4F81BD"/>
              <w:left w:val="single" w:sz="8" w:space="0" w:color="4F81BD"/>
              <w:right w:val="single" w:sz="8" w:space="0" w:color="4F81BD"/>
            </w:tcBorders>
          </w:tcPr>
          <w:p w14:paraId="09F34BC3" w14:textId="77777777" w:rsidR="00FF1BF6" w:rsidRPr="00D90725" w:rsidRDefault="00FF1BF6" w:rsidP="000761FD">
            <w:pPr>
              <w:pStyle w:val="Milestonetable"/>
              <w:rPr>
                <w:color w:val="auto"/>
              </w:rPr>
            </w:pPr>
            <w:r w:rsidRPr="00D90725">
              <w:rPr>
                <w:color w:val="auto"/>
              </w:rPr>
              <w:t>New infrastructure to water livestock and permanent plantings for drought affected farm businesses</w:t>
            </w:r>
          </w:p>
          <w:p w14:paraId="55AE1CC7" w14:textId="77777777" w:rsidR="00FF1BF6" w:rsidRPr="00D90725" w:rsidRDefault="00FF1BF6" w:rsidP="000761FD">
            <w:pPr>
              <w:pStyle w:val="Milestonetable"/>
              <w:rPr>
                <w:color w:val="auto"/>
              </w:rPr>
            </w:pPr>
          </w:p>
        </w:tc>
        <w:tc>
          <w:tcPr>
            <w:tcW w:w="7136" w:type="dxa"/>
            <w:tcBorders>
              <w:top w:val="single" w:sz="8" w:space="0" w:color="4F81BD"/>
              <w:left w:val="single" w:sz="8" w:space="0" w:color="4F81BD"/>
              <w:bottom w:val="single" w:sz="8" w:space="0" w:color="4F81BD"/>
              <w:right w:val="single" w:sz="8" w:space="0" w:color="4F81BD"/>
            </w:tcBorders>
            <w:shd w:val="clear" w:color="auto" w:fill="auto"/>
          </w:tcPr>
          <w:p w14:paraId="1392ED31" w14:textId="77777777" w:rsidR="00FF1BF6" w:rsidRPr="00D90725" w:rsidRDefault="00FF1BF6" w:rsidP="000761FD">
            <w:pPr>
              <w:pStyle w:val="Milestonetable"/>
              <w:rPr>
                <w:color w:val="auto"/>
              </w:rPr>
            </w:pPr>
            <w:r w:rsidRPr="00D90725">
              <w:rPr>
                <w:color w:val="auto"/>
              </w:rPr>
              <w:t xml:space="preserve">Establishment of second 50% administration arrangements for the delivery of a Western Australian On-farm Emergency Water Infrastructure Rebate Scheme </w:t>
            </w:r>
          </w:p>
        </w:tc>
        <w:tc>
          <w:tcPr>
            <w:tcW w:w="1418" w:type="dxa"/>
            <w:tcBorders>
              <w:top w:val="single" w:sz="8" w:space="0" w:color="4F81BD"/>
              <w:left w:val="single" w:sz="8" w:space="0" w:color="4F81BD"/>
              <w:bottom w:val="single" w:sz="8" w:space="0" w:color="4F81BD"/>
              <w:right w:val="single" w:sz="8" w:space="0" w:color="4F81BD"/>
            </w:tcBorders>
            <w:shd w:val="clear" w:color="auto" w:fill="auto"/>
          </w:tcPr>
          <w:p w14:paraId="06A21DB0" w14:textId="77777777" w:rsidR="00FF1BF6" w:rsidRPr="00D90725" w:rsidRDefault="00FF1BF6" w:rsidP="000761FD">
            <w:pPr>
              <w:pStyle w:val="Milestonetable"/>
              <w:rPr>
                <w:color w:val="auto"/>
              </w:rPr>
            </w:pPr>
            <w:r w:rsidRPr="00D90725">
              <w:rPr>
                <w:color w:val="auto"/>
              </w:rPr>
              <w:t>1 May 2021</w:t>
            </w:r>
          </w:p>
        </w:tc>
        <w:tc>
          <w:tcPr>
            <w:tcW w:w="2794" w:type="dxa"/>
            <w:tcBorders>
              <w:top w:val="single" w:sz="8" w:space="0" w:color="4F81BD"/>
              <w:left w:val="single" w:sz="8" w:space="0" w:color="4F81BD"/>
              <w:bottom w:val="single" w:sz="8" w:space="0" w:color="4F81BD"/>
              <w:right w:val="single" w:sz="8" w:space="0" w:color="4F81BD"/>
            </w:tcBorders>
            <w:shd w:val="clear" w:color="auto" w:fill="auto"/>
          </w:tcPr>
          <w:p w14:paraId="145994D9" w14:textId="77777777" w:rsidR="00FF1BF6" w:rsidRPr="00D90725" w:rsidRDefault="00FF1BF6" w:rsidP="000761FD">
            <w:pPr>
              <w:pStyle w:val="Milestonetable"/>
              <w:rPr>
                <w:color w:val="auto"/>
              </w:rPr>
            </w:pPr>
            <w:r w:rsidRPr="00D90725">
              <w:rPr>
                <w:color w:val="auto"/>
              </w:rPr>
              <w:t>$250,000</w:t>
            </w:r>
          </w:p>
        </w:tc>
      </w:tr>
      <w:tr w:rsidR="00FF1BF6" w:rsidRPr="00D90725" w14:paraId="238B9F00" w14:textId="77777777" w:rsidTr="000761FD">
        <w:tc>
          <w:tcPr>
            <w:tcW w:w="3202" w:type="dxa"/>
            <w:vMerge/>
            <w:tcBorders>
              <w:left w:val="single" w:sz="8" w:space="0" w:color="4F81BD"/>
              <w:bottom w:val="single" w:sz="8" w:space="0" w:color="4F81BD"/>
              <w:right w:val="single" w:sz="8" w:space="0" w:color="4F81BD"/>
            </w:tcBorders>
          </w:tcPr>
          <w:p w14:paraId="3BF8D725" w14:textId="77777777" w:rsidR="00FF1BF6" w:rsidRPr="00D90725" w:rsidRDefault="00FF1BF6" w:rsidP="000761FD">
            <w:pPr>
              <w:pStyle w:val="Milestonetable"/>
              <w:rPr>
                <w:color w:val="auto"/>
              </w:rPr>
            </w:pPr>
          </w:p>
        </w:tc>
        <w:tc>
          <w:tcPr>
            <w:tcW w:w="7136" w:type="dxa"/>
            <w:tcBorders>
              <w:top w:val="single" w:sz="8" w:space="0" w:color="4F81BD"/>
              <w:left w:val="single" w:sz="8" w:space="0" w:color="4F81BD"/>
              <w:bottom w:val="single" w:sz="8" w:space="0" w:color="4F81BD"/>
              <w:right w:val="single" w:sz="8" w:space="0" w:color="4F81BD"/>
            </w:tcBorders>
            <w:shd w:val="clear" w:color="auto" w:fill="auto"/>
          </w:tcPr>
          <w:p w14:paraId="54627531" w14:textId="77777777" w:rsidR="00FF1BF6" w:rsidRPr="00D90725" w:rsidRDefault="00FF1BF6" w:rsidP="000761FD">
            <w:pPr>
              <w:pStyle w:val="Milestonetable"/>
              <w:rPr>
                <w:color w:val="auto"/>
              </w:rPr>
            </w:pPr>
            <w:r w:rsidRPr="00D90725">
              <w:rPr>
                <w:color w:val="auto"/>
              </w:rPr>
              <w:t>Payments made to eligible primary producers and horticulture farmers consistent with this agreement for the period 1 May 2020 and 30 April 2021.</w:t>
            </w:r>
          </w:p>
        </w:tc>
        <w:tc>
          <w:tcPr>
            <w:tcW w:w="1418" w:type="dxa"/>
            <w:tcBorders>
              <w:top w:val="single" w:sz="8" w:space="0" w:color="4F81BD"/>
              <w:left w:val="single" w:sz="8" w:space="0" w:color="4F81BD"/>
              <w:bottom w:val="single" w:sz="8" w:space="0" w:color="4F81BD"/>
              <w:right w:val="single" w:sz="8" w:space="0" w:color="4F81BD"/>
            </w:tcBorders>
            <w:shd w:val="clear" w:color="auto" w:fill="auto"/>
          </w:tcPr>
          <w:p w14:paraId="6036AEF7" w14:textId="77777777" w:rsidR="00FF1BF6" w:rsidRPr="00D90725" w:rsidRDefault="00FF1BF6" w:rsidP="000761FD">
            <w:pPr>
              <w:pStyle w:val="Milestonetable"/>
              <w:rPr>
                <w:color w:val="auto"/>
              </w:rPr>
            </w:pPr>
            <w:r w:rsidRPr="00D90725">
              <w:rPr>
                <w:color w:val="auto"/>
              </w:rPr>
              <w:t>1 May 2021</w:t>
            </w:r>
          </w:p>
        </w:tc>
        <w:tc>
          <w:tcPr>
            <w:tcW w:w="2794" w:type="dxa"/>
            <w:tcBorders>
              <w:top w:val="single" w:sz="8" w:space="0" w:color="4F81BD"/>
              <w:left w:val="single" w:sz="8" w:space="0" w:color="4F81BD"/>
              <w:bottom w:val="single" w:sz="8" w:space="0" w:color="4F81BD"/>
              <w:right w:val="single" w:sz="8" w:space="0" w:color="4F81BD"/>
            </w:tcBorders>
            <w:shd w:val="clear" w:color="auto" w:fill="auto"/>
          </w:tcPr>
          <w:p w14:paraId="2CE33597" w14:textId="77777777" w:rsidR="00FF1BF6" w:rsidRPr="00D90725" w:rsidRDefault="00FF1BF6" w:rsidP="000761FD">
            <w:pPr>
              <w:pStyle w:val="Milestonetable"/>
              <w:rPr>
                <w:color w:val="auto"/>
              </w:rPr>
            </w:pPr>
            <w:r w:rsidRPr="00D90725">
              <w:rPr>
                <w:color w:val="auto"/>
              </w:rPr>
              <w:t>Value of rebates paid from 1 May 2020 to 30 April 2021 up to $1,350,000</w:t>
            </w:r>
          </w:p>
        </w:tc>
      </w:tr>
    </w:tbl>
    <w:p w14:paraId="3E5F7EDE" w14:textId="77777777" w:rsidR="00FF1BF6" w:rsidRPr="00D90725" w:rsidRDefault="00FF1BF6" w:rsidP="00FF1BF6"/>
    <w:p w14:paraId="7092E981" w14:textId="77777777" w:rsidR="00FF1BF6" w:rsidRPr="00D90725" w:rsidRDefault="00FF1BF6" w:rsidP="00FF1BF6">
      <w:pPr>
        <w:rPr>
          <w:b/>
        </w:rPr>
      </w:pPr>
      <w:r w:rsidRPr="00D90725">
        <w:t>This schedule was agreed by the Commonwealth and the State of Western Australia when the overarching National Partnership was signed.</w:t>
      </w:r>
    </w:p>
    <w:p w14:paraId="4F14F86B" w14:textId="77777777" w:rsidR="00FF1BF6" w:rsidRPr="00D90725" w:rsidRDefault="00FF1BF6" w:rsidP="00FF1BF6">
      <w:pPr>
        <w:rPr>
          <w:lang w:val="en-GB"/>
        </w:rPr>
      </w:pPr>
    </w:p>
    <w:p w14:paraId="728AF2C4" w14:textId="77777777" w:rsidR="00FF1BF6" w:rsidRPr="00D90725" w:rsidRDefault="00FF1BF6" w:rsidP="00FF1BF6">
      <w:pPr>
        <w:rPr>
          <w:lang w:val="en-GB"/>
        </w:rPr>
      </w:pPr>
      <w:r w:rsidRPr="00D90725">
        <w:rPr>
          <w:lang w:val="en-GB"/>
        </w:rPr>
        <w:br w:type="page"/>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202"/>
        <w:gridCol w:w="7278"/>
        <w:gridCol w:w="1559"/>
        <w:gridCol w:w="2511"/>
      </w:tblGrid>
      <w:tr w:rsidR="00FF1BF6" w:rsidRPr="00D90725" w14:paraId="52ADEB5C" w14:textId="77777777" w:rsidTr="000761FD">
        <w:tc>
          <w:tcPr>
            <w:tcW w:w="14550" w:type="dxa"/>
            <w:gridSpan w:val="4"/>
            <w:shd w:val="clear" w:color="auto" w:fill="DEEAF6" w:themeFill="accent1" w:themeFillTint="33"/>
          </w:tcPr>
          <w:p w14:paraId="5790377F" w14:textId="77777777" w:rsidR="00FF1BF6" w:rsidRPr="00D90725" w:rsidRDefault="00FF1BF6" w:rsidP="000761FD">
            <w:pPr>
              <w:pStyle w:val="Tableformat"/>
              <w:tabs>
                <w:tab w:val="left" w:pos="6043"/>
              </w:tabs>
              <w:rPr>
                <w:b/>
                <w:color w:val="auto"/>
              </w:rPr>
            </w:pPr>
            <w:r w:rsidRPr="00D90725">
              <w:rPr>
                <w:b/>
                <w:color w:val="auto"/>
              </w:rPr>
              <w:t>Table 2E: South Australia – Performance requirements, reporting and payment summary</w:t>
            </w:r>
          </w:p>
        </w:tc>
      </w:tr>
      <w:tr w:rsidR="00FF1BF6" w:rsidRPr="00D90725" w14:paraId="7D7DB860" w14:textId="77777777" w:rsidTr="000761FD">
        <w:tc>
          <w:tcPr>
            <w:tcW w:w="3202" w:type="dxa"/>
            <w:shd w:val="clear" w:color="auto" w:fill="F2F2F2" w:themeFill="background1" w:themeFillShade="F2"/>
          </w:tcPr>
          <w:p w14:paraId="752B1BA9" w14:textId="77777777" w:rsidR="00FF1BF6" w:rsidRPr="00D90725" w:rsidRDefault="00FF1BF6" w:rsidP="000761FD">
            <w:pPr>
              <w:pStyle w:val="Tableformat"/>
              <w:rPr>
                <w:b/>
                <w:color w:val="auto"/>
              </w:rPr>
            </w:pPr>
            <w:r w:rsidRPr="00D90725">
              <w:rPr>
                <w:b/>
                <w:color w:val="auto"/>
              </w:rPr>
              <w:t>Output</w:t>
            </w:r>
          </w:p>
        </w:tc>
        <w:tc>
          <w:tcPr>
            <w:tcW w:w="7278" w:type="dxa"/>
            <w:shd w:val="clear" w:color="auto" w:fill="F2F2F2" w:themeFill="background1" w:themeFillShade="F2"/>
          </w:tcPr>
          <w:p w14:paraId="11D10A2C" w14:textId="77777777" w:rsidR="00FF1BF6" w:rsidRPr="00D90725" w:rsidRDefault="00FF1BF6" w:rsidP="000761FD">
            <w:pPr>
              <w:pStyle w:val="Tableformat"/>
              <w:rPr>
                <w:b/>
                <w:color w:val="auto"/>
              </w:rPr>
            </w:pPr>
            <w:r w:rsidRPr="00D90725">
              <w:rPr>
                <w:b/>
                <w:color w:val="auto"/>
              </w:rPr>
              <w:t>Performance milestones</w:t>
            </w:r>
          </w:p>
        </w:tc>
        <w:tc>
          <w:tcPr>
            <w:tcW w:w="1559" w:type="dxa"/>
            <w:shd w:val="clear" w:color="auto" w:fill="F2F2F2" w:themeFill="background1" w:themeFillShade="F2"/>
          </w:tcPr>
          <w:p w14:paraId="1B80037E" w14:textId="77777777" w:rsidR="00FF1BF6" w:rsidRPr="00D90725" w:rsidRDefault="00FF1BF6" w:rsidP="000761FD">
            <w:pPr>
              <w:pStyle w:val="Tableformat"/>
              <w:rPr>
                <w:b/>
                <w:color w:val="auto"/>
              </w:rPr>
            </w:pPr>
            <w:r w:rsidRPr="00D90725">
              <w:rPr>
                <w:b/>
                <w:color w:val="auto"/>
              </w:rPr>
              <w:t>Report due</w:t>
            </w:r>
          </w:p>
        </w:tc>
        <w:tc>
          <w:tcPr>
            <w:tcW w:w="2511" w:type="dxa"/>
            <w:shd w:val="clear" w:color="auto" w:fill="F2F2F2" w:themeFill="background1" w:themeFillShade="F2"/>
          </w:tcPr>
          <w:p w14:paraId="1912B385" w14:textId="77777777" w:rsidR="00FF1BF6" w:rsidRPr="00D90725" w:rsidRDefault="00FF1BF6" w:rsidP="000761FD">
            <w:pPr>
              <w:pStyle w:val="Tableformat"/>
              <w:rPr>
                <w:b/>
                <w:color w:val="auto"/>
              </w:rPr>
            </w:pPr>
            <w:r w:rsidRPr="00D90725">
              <w:rPr>
                <w:b/>
                <w:color w:val="auto"/>
              </w:rPr>
              <w:t>Payment</w:t>
            </w:r>
          </w:p>
        </w:tc>
      </w:tr>
      <w:tr w:rsidR="00FF1BF6" w:rsidRPr="00D90725" w14:paraId="714F49E1" w14:textId="77777777" w:rsidTr="000761FD">
        <w:tc>
          <w:tcPr>
            <w:tcW w:w="3202" w:type="dxa"/>
            <w:tcBorders>
              <w:top w:val="single" w:sz="8" w:space="0" w:color="4F81BD"/>
              <w:left w:val="single" w:sz="8" w:space="0" w:color="4F81BD"/>
              <w:bottom w:val="single" w:sz="8" w:space="0" w:color="4F81BD"/>
              <w:right w:val="single" w:sz="8" w:space="0" w:color="4F81BD"/>
            </w:tcBorders>
          </w:tcPr>
          <w:p w14:paraId="5B172A84" w14:textId="77777777" w:rsidR="00FF1BF6" w:rsidRPr="00D90725" w:rsidRDefault="00FF1BF6" w:rsidP="000761FD">
            <w:pPr>
              <w:pStyle w:val="Milestonetable"/>
              <w:rPr>
                <w:color w:val="auto"/>
              </w:rPr>
            </w:pPr>
            <w:r w:rsidRPr="00D90725">
              <w:rPr>
                <w:color w:val="auto"/>
              </w:rPr>
              <w:t>New infrastructure to water livestock and permanent plantings for drought affected farm businesses</w:t>
            </w:r>
          </w:p>
        </w:tc>
        <w:tc>
          <w:tcPr>
            <w:tcW w:w="7278" w:type="dxa"/>
            <w:tcBorders>
              <w:top w:val="single" w:sz="8" w:space="0" w:color="4F81BD"/>
              <w:left w:val="single" w:sz="8" w:space="0" w:color="4F81BD"/>
              <w:bottom w:val="single" w:sz="8" w:space="0" w:color="4F81BD"/>
              <w:right w:val="single" w:sz="8" w:space="0" w:color="4F81BD"/>
            </w:tcBorders>
            <w:shd w:val="clear" w:color="auto" w:fill="auto"/>
          </w:tcPr>
          <w:p w14:paraId="22C6FCAC" w14:textId="77777777" w:rsidR="00FF1BF6" w:rsidRPr="00D90725" w:rsidRDefault="00FF1BF6" w:rsidP="000761FD">
            <w:pPr>
              <w:pStyle w:val="Milestonetable"/>
              <w:rPr>
                <w:color w:val="auto"/>
              </w:rPr>
            </w:pPr>
            <w:r w:rsidRPr="00D90725">
              <w:rPr>
                <w:color w:val="auto"/>
              </w:rPr>
              <w:t>Payments made to eligible primary producers and horticulture farmers consistent with this agreement for the period 1 May 2020 to 30 April 2021.</w:t>
            </w:r>
          </w:p>
        </w:tc>
        <w:tc>
          <w:tcPr>
            <w:tcW w:w="1559" w:type="dxa"/>
            <w:tcBorders>
              <w:top w:val="single" w:sz="8" w:space="0" w:color="4F81BD"/>
              <w:left w:val="single" w:sz="8" w:space="0" w:color="4F81BD"/>
              <w:bottom w:val="single" w:sz="8" w:space="0" w:color="4F81BD"/>
              <w:right w:val="single" w:sz="8" w:space="0" w:color="4F81BD"/>
            </w:tcBorders>
            <w:shd w:val="clear" w:color="auto" w:fill="auto"/>
          </w:tcPr>
          <w:p w14:paraId="46D8097B" w14:textId="77777777" w:rsidR="00FF1BF6" w:rsidRPr="00D90725" w:rsidRDefault="00FF1BF6" w:rsidP="000761FD">
            <w:pPr>
              <w:pStyle w:val="Milestonetable"/>
              <w:rPr>
                <w:color w:val="auto"/>
              </w:rPr>
            </w:pPr>
            <w:r w:rsidRPr="00D90725">
              <w:rPr>
                <w:color w:val="auto"/>
              </w:rPr>
              <w:t>1 May 2021</w:t>
            </w:r>
          </w:p>
        </w:tc>
        <w:tc>
          <w:tcPr>
            <w:tcW w:w="2511" w:type="dxa"/>
            <w:tcBorders>
              <w:top w:val="single" w:sz="8" w:space="0" w:color="4F81BD"/>
              <w:left w:val="single" w:sz="8" w:space="0" w:color="4F81BD"/>
              <w:bottom w:val="single" w:sz="8" w:space="0" w:color="4F81BD"/>
              <w:right w:val="single" w:sz="8" w:space="0" w:color="4F81BD"/>
            </w:tcBorders>
            <w:shd w:val="clear" w:color="auto" w:fill="auto"/>
          </w:tcPr>
          <w:p w14:paraId="68F099F5" w14:textId="77777777" w:rsidR="00FF1BF6" w:rsidRPr="00D90725" w:rsidRDefault="00FF1BF6" w:rsidP="000761FD">
            <w:pPr>
              <w:pStyle w:val="Milestonetable"/>
              <w:rPr>
                <w:color w:val="auto"/>
              </w:rPr>
            </w:pPr>
            <w:r w:rsidRPr="00D90725">
              <w:rPr>
                <w:color w:val="auto"/>
              </w:rPr>
              <w:t>Value of rebates paid from 1 May 2020 to 30 April 2021 up to $1 million</w:t>
            </w:r>
          </w:p>
        </w:tc>
      </w:tr>
    </w:tbl>
    <w:p w14:paraId="09D242F0" w14:textId="77777777" w:rsidR="00FF1BF6" w:rsidRPr="00D90725" w:rsidRDefault="00FF1BF6" w:rsidP="00FF1BF6"/>
    <w:p w14:paraId="625EB0F3" w14:textId="77777777" w:rsidR="00FF1BF6" w:rsidRPr="00D90725" w:rsidRDefault="00FF1BF6" w:rsidP="00FF1BF6">
      <w:pPr>
        <w:rPr>
          <w:b/>
        </w:rPr>
      </w:pPr>
      <w:r w:rsidRPr="00D90725">
        <w:t>This schedule was agreed by the Commonwealth and the State of South Australia when the overarching National Partnership was signed.</w:t>
      </w:r>
    </w:p>
    <w:p w14:paraId="65B74A38" w14:textId="77777777" w:rsidR="00FF1BF6" w:rsidRPr="00D90725" w:rsidRDefault="00FF1BF6" w:rsidP="00FF1BF6">
      <w:pPr>
        <w:rPr>
          <w:lang w:val="en-GB"/>
        </w:rPr>
      </w:pPr>
    </w:p>
    <w:p w14:paraId="43A72E6B" w14:textId="77777777" w:rsidR="00FF1BF6" w:rsidRPr="00D90725" w:rsidRDefault="00FF1BF6" w:rsidP="00FF1BF6">
      <w:pPr>
        <w:rPr>
          <w:lang w:val="en-GB"/>
        </w:rPr>
      </w:pPr>
      <w:r w:rsidRPr="00D90725">
        <w:rPr>
          <w:lang w:val="en-GB"/>
        </w:rPr>
        <w:br w:type="page"/>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202"/>
        <w:gridCol w:w="7278"/>
        <w:gridCol w:w="1417"/>
        <w:gridCol w:w="2653"/>
      </w:tblGrid>
      <w:tr w:rsidR="00FF1BF6" w:rsidRPr="00D90725" w14:paraId="1D231C01" w14:textId="77777777" w:rsidTr="000761FD">
        <w:tc>
          <w:tcPr>
            <w:tcW w:w="14550" w:type="dxa"/>
            <w:gridSpan w:val="4"/>
            <w:shd w:val="clear" w:color="auto" w:fill="DEEAF6" w:themeFill="accent1" w:themeFillTint="33"/>
          </w:tcPr>
          <w:p w14:paraId="7FACA42C" w14:textId="77777777" w:rsidR="00FF1BF6" w:rsidRPr="00D90725" w:rsidRDefault="00FF1BF6" w:rsidP="000761FD">
            <w:pPr>
              <w:pStyle w:val="Tableformat"/>
              <w:tabs>
                <w:tab w:val="left" w:pos="6043"/>
              </w:tabs>
              <w:rPr>
                <w:b/>
                <w:color w:val="auto"/>
              </w:rPr>
            </w:pPr>
            <w:r w:rsidRPr="00D90725">
              <w:rPr>
                <w:b/>
                <w:color w:val="auto"/>
              </w:rPr>
              <w:t>Table 2F: Tasmania – Performance requirements, reporting and payment summary</w:t>
            </w:r>
          </w:p>
        </w:tc>
      </w:tr>
      <w:tr w:rsidR="00FF1BF6" w:rsidRPr="00D90725" w14:paraId="54578105" w14:textId="77777777" w:rsidTr="000761FD">
        <w:tc>
          <w:tcPr>
            <w:tcW w:w="3202" w:type="dxa"/>
            <w:shd w:val="clear" w:color="auto" w:fill="F2F2F2" w:themeFill="background1" w:themeFillShade="F2"/>
          </w:tcPr>
          <w:p w14:paraId="66F61B1E" w14:textId="77777777" w:rsidR="00FF1BF6" w:rsidRPr="00D90725" w:rsidRDefault="00FF1BF6" w:rsidP="000761FD">
            <w:pPr>
              <w:pStyle w:val="Tableformat"/>
              <w:rPr>
                <w:b/>
                <w:color w:val="auto"/>
              </w:rPr>
            </w:pPr>
            <w:r w:rsidRPr="00D90725">
              <w:rPr>
                <w:b/>
                <w:color w:val="auto"/>
              </w:rPr>
              <w:t>Output</w:t>
            </w:r>
          </w:p>
        </w:tc>
        <w:tc>
          <w:tcPr>
            <w:tcW w:w="7278" w:type="dxa"/>
            <w:shd w:val="clear" w:color="auto" w:fill="F2F2F2" w:themeFill="background1" w:themeFillShade="F2"/>
          </w:tcPr>
          <w:p w14:paraId="0A7B360D" w14:textId="77777777" w:rsidR="00FF1BF6" w:rsidRPr="00D90725" w:rsidRDefault="00FF1BF6" w:rsidP="000761FD">
            <w:pPr>
              <w:pStyle w:val="Tableformat"/>
              <w:rPr>
                <w:b/>
                <w:color w:val="auto"/>
              </w:rPr>
            </w:pPr>
            <w:r w:rsidRPr="00D90725">
              <w:rPr>
                <w:b/>
                <w:color w:val="auto"/>
              </w:rPr>
              <w:t>Performance milestones</w:t>
            </w:r>
          </w:p>
        </w:tc>
        <w:tc>
          <w:tcPr>
            <w:tcW w:w="1417" w:type="dxa"/>
            <w:shd w:val="clear" w:color="auto" w:fill="F2F2F2" w:themeFill="background1" w:themeFillShade="F2"/>
          </w:tcPr>
          <w:p w14:paraId="33D556A2" w14:textId="77777777" w:rsidR="00FF1BF6" w:rsidRPr="00D90725" w:rsidRDefault="00FF1BF6" w:rsidP="000761FD">
            <w:pPr>
              <w:pStyle w:val="Tableformat"/>
              <w:rPr>
                <w:b/>
                <w:color w:val="auto"/>
              </w:rPr>
            </w:pPr>
            <w:r w:rsidRPr="00D90725">
              <w:rPr>
                <w:b/>
                <w:color w:val="auto"/>
              </w:rPr>
              <w:t>Report due</w:t>
            </w:r>
          </w:p>
        </w:tc>
        <w:tc>
          <w:tcPr>
            <w:tcW w:w="2653" w:type="dxa"/>
            <w:shd w:val="clear" w:color="auto" w:fill="F2F2F2" w:themeFill="background1" w:themeFillShade="F2"/>
          </w:tcPr>
          <w:p w14:paraId="1A694A63" w14:textId="77777777" w:rsidR="00FF1BF6" w:rsidRPr="00D90725" w:rsidRDefault="00FF1BF6" w:rsidP="000761FD">
            <w:pPr>
              <w:pStyle w:val="Tableformat"/>
              <w:rPr>
                <w:b/>
                <w:color w:val="auto"/>
              </w:rPr>
            </w:pPr>
            <w:r w:rsidRPr="00D90725">
              <w:rPr>
                <w:b/>
                <w:color w:val="auto"/>
              </w:rPr>
              <w:t>Payment</w:t>
            </w:r>
          </w:p>
        </w:tc>
      </w:tr>
      <w:tr w:rsidR="00FF1BF6" w:rsidRPr="00D90725" w14:paraId="500AADAC" w14:textId="77777777" w:rsidTr="000761FD">
        <w:tc>
          <w:tcPr>
            <w:tcW w:w="3202" w:type="dxa"/>
            <w:tcBorders>
              <w:top w:val="single" w:sz="8" w:space="0" w:color="4F81BD"/>
              <w:left w:val="single" w:sz="8" w:space="0" w:color="4F81BD"/>
              <w:bottom w:val="single" w:sz="8" w:space="0" w:color="4F81BD"/>
              <w:right w:val="single" w:sz="8" w:space="0" w:color="4F81BD"/>
            </w:tcBorders>
          </w:tcPr>
          <w:p w14:paraId="3BFD7A7A" w14:textId="77777777" w:rsidR="00FF1BF6" w:rsidRPr="00D90725" w:rsidRDefault="00FF1BF6" w:rsidP="000761FD">
            <w:pPr>
              <w:pStyle w:val="Milestonetable"/>
              <w:rPr>
                <w:color w:val="auto"/>
              </w:rPr>
            </w:pPr>
            <w:r w:rsidRPr="00D90725">
              <w:rPr>
                <w:color w:val="auto"/>
              </w:rPr>
              <w:t>New infrastructure to water livestock and permanent plantings for drought affected farm businesses</w:t>
            </w:r>
          </w:p>
        </w:tc>
        <w:tc>
          <w:tcPr>
            <w:tcW w:w="7278" w:type="dxa"/>
            <w:tcBorders>
              <w:top w:val="single" w:sz="8" w:space="0" w:color="4F81BD"/>
              <w:left w:val="single" w:sz="8" w:space="0" w:color="4F81BD"/>
              <w:bottom w:val="single" w:sz="8" w:space="0" w:color="4F81BD"/>
              <w:right w:val="single" w:sz="8" w:space="0" w:color="4F81BD"/>
            </w:tcBorders>
            <w:shd w:val="clear" w:color="auto" w:fill="auto"/>
          </w:tcPr>
          <w:p w14:paraId="0650761C" w14:textId="77777777" w:rsidR="00FF1BF6" w:rsidRPr="00D90725" w:rsidRDefault="00FF1BF6" w:rsidP="000761FD">
            <w:pPr>
              <w:pStyle w:val="Milestonetable"/>
              <w:rPr>
                <w:color w:val="auto"/>
              </w:rPr>
            </w:pPr>
            <w:r w:rsidRPr="00D90725">
              <w:rPr>
                <w:color w:val="auto"/>
              </w:rPr>
              <w:t>Payments made to eligible primary producers and horticulture farmers consistent with this agreement for the period 1 May 2020 to 30 April 2021.</w:t>
            </w:r>
          </w:p>
        </w:tc>
        <w:tc>
          <w:tcPr>
            <w:tcW w:w="1417" w:type="dxa"/>
            <w:tcBorders>
              <w:top w:val="single" w:sz="8" w:space="0" w:color="4F81BD"/>
              <w:left w:val="single" w:sz="8" w:space="0" w:color="4F81BD"/>
              <w:bottom w:val="single" w:sz="8" w:space="0" w:color="4F81BD"/>
              <w:right w:val="single" w:sz="8" w:space="0" w:color="4F81BD"/>
            </w:tcBorders>
            <w:shd w:val="clear" w:color="auto" w:fill="auto"/>
          </w:tcPr>
          <w:p w14:paraId="57CFD734" w14:textId="77777777" w:rsidR="00FF1BF6" w:rsidRPr="00D90725" w:rsidRDefault="00FF1BF6" w:rsidP="000761FD">
            <w:pPr>
              <w:pStyle w:val="Milestonetable"/>
              <w:rPr>
                <w:color w:val="auto"/>
              </w:rPr>
            </w:pPr>
            <w:r w:rsidRPr="00D90725">
              <w:rPr>
                <w:color w:val="auto"/>
              </w:rPr>
              <w:t>1 May 2021</w:t>
            </w:r>
          </w:p>
        </w:tc>
        <w:tc>
          <w:tcPr>
            <w:tcW w:w="2653" w:type="dxa"/>
            <w:tcBorders>
              <w:top w:val="single" w:sz="8" w:space="0" w:color="4F81BD"/>
              <w:left w:val="single" w:sz="8" w:space="0" w:color="4F81BD"/>
              <w:bottom w:val="single" w:sz="8" w:space="0" w:color="4F81BD"/>
              <w:right w:val="single" w:sz="8" w:space="0" w:color="4F81BD"/>
            </w:tcBorders>
            <w:shd w:val="clear" w:color="auto" w:fill="auto"/>
          </w:tcPr>
          <w:p w14:paraId="5B7FC739" w14:textId="77777777" w:rsidR="00FF1BF6" w:rsidRPr="00D90725" w:rsidRDefault="00FF1BF6" w:rsidP="000761FD">
            <w:pPr>
              <w:pStyle w:val="Milestonetable"/>
              <w:rPr>
                <w:color w:val="auto"/>
              </w:rPr>
            </w:pPr>
            <w:r w:rsidRPr="00D90725">
              <w:rPr>
                <w:color w:val="auto"/>
              </w:rPr>
              <w:t>Value of rebates paid from 1 May 2020 to 30 April 2021 up to $0.369 million</w:t>
            </w:r>
          </w:p>
        </w:tc>
      </w:tr>
    </w:tbl>
    <w:p w14:paraId="44B582C4" w14:textId="77777777" w:rsidR="00FF1BF6" w:rsidRPr="00D90725" w:rsidRDefault="00FF1BF6" w:rsidP="00FF1BF6"/>
    <w:p w14:paraId="02666689" w14:textId="77777777" w:rsidR="00FF1BF6" w:rsidRPr="00D90725" w:rsidRDefault="00FF1BF6" w:rsidP="00FF1BF6">
      <w:pPr>
        <w:rPr>
          <w:b/>
        </w:rPr>
      </w:pPr>
      <w:r w:rsidRPr="00D90725">
        <w:t>This schedule was agreed by the Commonwealth and the State of Tasmania when the overarching National Partnership was signed.</w:t>
      </w:r>
    </w:p>
    <w:p w14:paraId="2D783444" w14:textId="77777777" w:rsidR="00FF1BF6" w:rsidRPr="00D90725" w:rsidRDefault="00FF1BF6" w:rsidP="00FF1BF6">
      <w:pPr>
        <w:rPr>
          <w:lang w:val="en-GB"/>
        </w:rPr>
      </w:pPr>
      <w:r w:rsidRPr="00D90725">
        <w:rPr>
          <w:lang w:val="en-GB"/>
        </w:rPr>
        <w:br w:type="page"/>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202"/>
        <w:gridCol w:w="6569"/>
        <w:gridCol w:w="1701"/>
        <w:gridCol w:w="3078"/>
      </w:tblGrid>
      <w:tr w:rsidR="00FF1BF6" w:rsidRPr="00D90725" w14:paraId="1B56D7F5" w14:textId="77777777" w:rsidTr="000761FD">
        <w:tc>
          <w:tcPr>
            <w:tcW w:w="14550" w:type="dxa"/>
            <w:gridSpan w:val="4"/>
            <w:shd w:val="clear" w:color="auto" w:fill="DEEAF6" w:themeFill="accent1" w:themeFillTint="33"/>
          </w:tcPr>
          <w:p w14:paraId="7779EBC5" w14:textId="77777777" w:rsidR="00FF1BF6" w:rsidRPr="00D90725" w:rsidRDefault="00FF1BF6" w:rsidP="000761FD">
            <w:pPr>
              <w:pStyle w:val="Tableformat"/>
              <w:tabs>
                <w:tab w:val="left" w:pos="6043"/>
              </w:tabs>
              <w:rPr>
                <w:b/>
                <w:color w:val="auto"/>
              </w:rPr>
            </w:pPr>
            <w:r w:rsidRPr="00D90725">
              <w:rPr>
                <w:b/>
                <w:color w:val="auto"/>
              </w:rPr>
              <w:t>Table 2G: Australian Capital Territory – Performance requirements, reporting and payment summary</w:t>
            </w:r>
          </w:p>
        </w:tc>
      </w:tr>
      <w:tr w:rsidR="00FF1BF6" w:rsidRPr="00D90725" w14:paraId="7FF28E29" w14:textId="77777777" w:rsidTr="000761FD">
        <w:tc>
          <w:tcPr>
            <w:tcW w:w="3202" w:type="dxa"/>
            <w:shd w:val="clear" w:color="auto" w:fill="F2F2F2" w:themeFill="background1" w:themeFillShade="F2"/>
          </w:tcPr>
          <w:p w14:paraId="6DA7A15A" w14:textId="77777777" w:rsidR="00FF1BF6" w:rsidRPr="00D90725" w:rsidRDefault="00FF1BF6" w:rsidP="000761FD">
            <w:pPr>
              <w:pStyle w:val="Tableformat"/>
              <w:rPr>
                <w:b/>
                <w:color w:val="auto"/>
              </w:rPr>
            </w:pPr>
            <w:r w:rsidRPr="00D90725">
              <w:rPr>
                <w:b/>
                <w:color w:val="auto"/>
              </w:rPr>
              <w:t>Output</w:t>
            </w:r>
          </w:p>
        </w:tc>
        <w:tc>
          <w:tcPr>
            <w:tcW w:w="6569" w:type="dxa"/>
            <w:shd w:val="clear" w:color="auto" w:fill="F2F2F2" w:themeFill="background1" w:themeFillShade="F2"/>
          </w:tcPr>
          <w:p w14:paraId="52E5E13F" w14:textId="77777777" w:rsidR="00FF1BF6" w:rsidRPr="00D90725" w:rsidRDefault="00FF1BF6" w:rsidP="000761FD">
            <w:pPr>
              <w:pStyle w:val="Tableformat"/>
              <w:rPr>
                <w:b/>
                <w:color w:val="auto"/>
              </w:rPr>
            </w:pPr>
            <w:r w:rsidRPr="00D90725">
              <w:rPr>
                <w:b/>
                <w:color w:val="auto"/>
              </w:rPr>
              <w:t>Performance milestones</w:t>
            </w:r>
          </w:p>
        </w:tc>
        <w:tc>
          <w:tcPr>
            <w:tcW w:w="1701" w:type="dxa"/>
            <w:shd w:val="clear" w:color="auto" w:fill="F2F2F2" w:themeFill="background1" w:themeFillShade="F2"/>
          </w:tcPr>
          <w:p w14:paraId="57FF08EC" w14:textId="77777777" w:rsidR="00FF1BF6" w:rsidRPr="00D90725" w:rsidRDefault="00FF1BF6" w:rsidP="000761FD">
            <w:pPr>
              <w:pStyle w:val="Tableformat"/>
              <w:rPr>
                <w:b/>
                <w:color w:val="auto"/>
              </w:rPr>
            </w:pPr>
            <w:r w:rsidRPr="00D90725">
              <w:rPr>
                <w:b/>
                <w:color w:val="auto"/>
              </w:rPr>
              <w:t>Report due</w:t>
            </w:r>
          </w:p>
        </w:tc>
        <w:tc>
          <w:tcPr>
            <w:tcW w:w="3078" w:type="dxa"/>
            <w:shd w:val="clear" w:color="auto" w:fill="F2F2F2" w:themeFill="background1" w:themeFillShade="F2"/>
          </w:tcPr>
          <w:p w14:paraId="6E063A2C" w14:textId="77777777" w:rsidR="00FF1BF6" w:rsidRPr="00D90725" w:rsidRDefault="00FF1BF6" w:rsidP="000761FD">
            <w:pPr>
              <w:pStyle w:val="Tableformat"/>
              <w:rPr>
                <w:b/>
                <w:color w:val="auto"/>
              </w:rPr>
            </w:pPr>
            <w:r w:rsidRPr="00D90725">
              <w:rPr>
                <w:b/>
                <w:color w:val="auto"/>
              </w:rPr>
              <w:t>Payment</w:t>
            </w:r>
          </w:p>
        </w:tc>
      </w:tr>
      <w:tr w:rsidR="00FF1BF6" w:rsidRPr="00D90725" w14:paraId="7E730770" w14:textId="77777777" w:rsidTr="000761FD">
        <w:tc>
          <w:tcPr>
            <w:tcW w:w="3202" w:type="dxa"/>
            <w:vMerge w:val="restart"/>
            <w:tcBorders>
              <w:top w:val="single" w:sz="8" w:space="0" w:color="4F81BD"/>
              <w:left w:val="single" w:sz="8" w:space="0" w:color="4F81BD"/>
              <w:right w:val="single" w:sz="8" w:space="0" w:color="4F81BD"/>
            </w:tcBorders>
          </w:tcPr>
          <w:p w14:paraId="1744B58E" w14:textId="77777777" w:rsidR="00FF1BF6" w:rsidRPr="00D90725" w:rsidRDefault="00FF1BF6" w:rsidP="000761FD">
            <w:pPr>
              <w:pStyle w:val="Milestonetable"/>
              <w:rPr>
                <w:color w:val="auto"/>
              </w:rPr>
            </w:pPr>
            <w:r w:rsidRPr="00D90725">
              <w:rPr>
                <w:color w:val="auto"/>
              </w:rPr>
              <w:t>New infrastructure to water livestock and permanent plantings for drought affected farm businesses</w:t>
            </w:r>
          </w:p>
          <w:p w14:paraId="41F5C966" w14:textId="77777777" w:rsidR="00FF1BF6" w:rsidRPr="00D90725" w:rsidRDefault="00FF1BF6" w:rsidP="000761FD">
            <w:pPr>
              <w:pStyle w:val="Milestonetable"/>
              <w:rPr>
                <w:color w:val="auto"/>
              </w:rPr>
            </w:pPr>
          </w:p>
        </w:tc>
        <w:tc>
          <w:tcPr>
            <w:tcW w:w="6569" w:type="dxa"/>
            <w:tcBorders>
              <w:top w:val="single" w:sz="8" w:space="0" w:color="4F81BD"/>
              <w:left w:val="single" w:sz="8" w:space="0" w:color="4F81BD"/>
              <w:bottom w:val="single" w:sz="8" w:space="0" w:color="4F81BD"/>
              <w:right w:val="single" w:sz="8" w:space="0" w:color="4F81BD"/>
            </w:tcBorders>
            <w:shd w:val="clear" w:color="auto" w:fill="auto"/>
          </w:tcPr>
          <w:p w14:paraId="0D3C2C78" w14:textId="77777777" w:rsidR="00FF1BF6" w:rsidRPr="00D90725" w:rsidRDefault="00FF1BF6" w:rsidP="000761FD">
            <w:pPr>
              <w:pStyle w:val="Milestonetable"/>
              <w:rPr>
                <w:color w:val="auto"/>
              </w:rPr>
            </w:pPr>
            <w:r w:rsidRPr="00D90725">
              <w:rPr>
                <w:color w:val="auto"/>
              </w:rPr>
              <w:t>Payments made to eligible primary producers and horticulture farmers consistent with this agreement for the period 1 May 2020 to 30 October 2020.</w:t>
            </w:r>
          </w:p>
        </w:tc>
        <w:tc>
          <w:tcPr>
            <w:tcW w:w="1701" w:type="dxa"/>
            <w:tcBorders>
              <w:top w:val="single" w:sz="8" w:space="0" w:color="4F81BD"/>
              <w:left w:val="single" w:sz="8" w:space="0" w:color="4F81BD"/>
              <w:bottom w:val="single" w:sz="8" w:space="0" w:color="4F81BD"/>
              <w:right w:val="single" w:sz="8" w:space="0" w:color="4F81BD"/>
            </w:tcBorders>
            <w:shd w:val="clear" w:color="auto" w:fill="auto"/>
          </w:tcPr>
          <w:p w14:paraId="5882A5F9" w14:textId="77777777" w:rsidR="00FF1BF6" w:rsidRPr="00D90725" w:rsidRDefault="00FF1BF6" w:rsidP="000761FD">
            <w:pPr>
              <w:pStyle w:val="Milestonetable"/>
              <w:rPr>
                <w:color w:val="auto"/>
              </w:rPr>
            </w:pPr>
            <w:r w:rsidRPr="00D90725">
              <w:rPr>
                <w:color w:val="auto"/>
              </w:rPr>
              <w:t>31 October 2020</w:t>
            </w:r>
          </w:p>
        </w:tc>
        <w:tc>
          <w:tcPr>
            <w:tcW w:w="3078" w:type="dxa"/>
            <w:tcBorders>
              <w:top w:val="single" w:sz="8" w:space="0" w:color="4F81BD"/>
              <w:left w:val="single" w:sz="8" w:space="0" w:color="4F81BD"/>
              <w:bottom w:val="single" w:sz="8" w:space="0" w:color="4F81BD"/>
              <w:right w:val="single" w:sz="8" w:space="0" w:color="4F81BD"/>
            </w:tcBorders>
            <w:shd w:val="clear" w:color="auto" w:fill="auto"/>
          </w:tcPr>
          <w:p w14:paraId="27262C02" w14:textId="77777777" w:rsidR="00FF1BF6" w:rsidRPr="00D90725" w:rsidRDefault="00FF1BF6" w:rsidP="000761FD">
            <w:pPr>
              <w:pStyle w:val="Milestonetable"/>
              <w:rPr>
                <w:color w:val="auto"/>
              </w:rPr>
            </w:pPr>
            <w:r w:rsidRPr="00D90725">
              <w:rPr>
                <w:color w:val="auto"/>
              </w:rPr>
              <w:t>Value of rebates paid from 1 May 2020 to 30 October 2020 up to $760,000</w:t>
            </w:r>
          </w:p>
        </w:tc>
      </w:tr>
      <w:tr w:rsidR="00FF1BF6" w:rsidRPr="00D90725" w14:paraId="6A48D51C" w14:textId="77777777" w:rsidTr="000761FD">
        <w:tc>
          <w:tcPr>
            <w:tcW w:w="3202" w:type="dxa"/>
            <w:vMerge/>
            <w:tcBorders>
              <w:left w:val="single" w:sz="8" w:space="0" w:color="4F81BD"/>
              <w:bottom w:val="single" w:sz="8" w:space="0" w:color="4F81BD"/>
              <w:right w:val="single" w:sz="8" w:space="0" w:color="4F81BD"/>
            </w:tcBorders>
          </w:tcPr>
          <w:p w14:paraId="1DF1552A" w14:textId="77777777" w:rsidR="00FF1BF6" w:rsidRPr="00D90725" w:rsidRDefault="00FF1BF6" w:rsidP="000761FD">
            <w:pPr>
              <w:pStyle w:val="Milestonetable"/>
              <w:rPr>
                <w:color w:val="auto"/>
              </w:rPr>
            </w:pPr>
          </w:p>
        </w:tc>
        <w:tc>
          <w:tcPr>
            <w:tcW w:w="6569" w:type="dxa"/>
            <w:tcBorders>
              <w:top w:val="single" w:sz="8" w:space="0" w:color="4F81BD"/>
              <w:left w:val="single" w:sz="8" w:space="0" w:color="4F81BD"/>
              <w:bottom w:val="single" w:sz="8" w:space="0" w:color="4F81BD"/>
              <w:right w:val="single" w:sz="8" w:space="0" w:color="4F81BD"/>
            </w:tcBorders>
            <w:shd w:val="clear" w:color="auto" w:fill="auto"/>
          </w:tcPr>
          <w:p w14:paraId="4E5D014D" w14:textId="77777777" w:rsidR="00FF1BF6" w:rsidRPr="00D90725" w:rsidRDefault="00FF1BF6" w:rsidP="000761FD">
            <w:pPr>
              <w:pStyle w:val="Milestonetable"/>
              <w:rPr>
                <w:color w:val="auto"/>
              </w:rPr>
            </w:pPr>
            <w:r w:rsidRPr="00D90725">
              <w:rPr>
                <w:color w:val="auto"/>
              </w:rPr>
              <w:t>Payments made to eligible primary producers and horticulture farmers consistent with this agreement for the period 31 October 2020 to 30 January 2021</w:t>
            </w:r>
          </w:p>
        </w:tc>
        <w:tc>
          <w:tcPr>
            <w:tcW w:w="1701" w:type="dxa"/>
            <w:tcBorders>
              <w:top w:val="single" w:sz="8" w:space="0" w:color="4F81BD"/>
              <w:left w:val="single" w:sz="8" w:space="0" w:color="4F81BD"/>
              <w:bottom w:val="single" w:sz="8" w:space="0" w:color="4F81BD"/>
              <w:right w:val="single" w:sz="8" w:space="0" w:color="4F81BD"/>
            </w:tcBorders>
            <w:shd w:val="clear" w:color="auto" w:fill="auto"/>
          </w:tcPr>
          <w:p w14:paraId="6107C707" w14:textId="77777777" w:rsidR="00FF1BF6" w:rsidRPr="00D90725" w:rsidRDefault="00FF1BF6" w:rsidP="000761FD">
            <w:pPr>
              <w:pStyle w:val="Milestonetable"/>
              <w:rPr>
                <w:color w:val="auto"/>
              </w:rPr>
            </w:pPr>
            <w:r w:rsidRPr="00D90725">
              <w:rPr>
                <w:color w:val="auto"/>
              </w:rPr>
              <w:t>31 January 2021</w:t>
            </w:r>
          </w:p>
        </w:tc>
        <w:tc>
          <w:tcPr>
            <w:tcW w:w="3078" w:type="dxa"/>
            <w:tcBorders>
              <w:top w:val="single" w:sz="8" w:space="0" w:color="4F81BD"/>
              <w:left w:val="single" w:sz="8" w:space="0" w:color="4F81BD"/>
              <w:bottom w:val="single" w:sz="8" w:space="0" w:color="4F81BD"/>
              <w:right w:val="single" w:sz="8" w:space="0" w:color="4F81BD"/>
            </w:tcBorders>
            <w:shd w:val="clear" w:color="auto" w:fill="auto"/>
          </w:tcPr>
          <w:p w14:paraId="026B5281" w14:textId="77777777" w:rsidR="00FF1BF6" w:rsidRPr="00D90725" w:rsidRDefault="00FF1BF6" w:rsidP="000761FD">
            <w:pPr>
              <w:pStyle w:val="Milestonetable"/>
              <w:rPr>
                <w:color w:val="auto"/>
              </w:rPr>
            </w:pPr>
            <w:r w:rsidRPr="00D90725">
              <w:rPr>
                <w:color w:val="auto"/>
              </w:rPr>
              <w:t>Value of rebates paid from 31 October 2020 to 30 April 2021  up to $760,000, less payments already provided to the ACT for the rebate scheme in 2020-21</w:t>
            </w:r>
          </w:p>
        </w:tc>
      </w:tr>
    </w:tbl>
    <w:p w14:paraId="07248080" w14:textId="77777777" w:rsidR="00FF1BF6" w:rsidRPr="00D90725" w:rsidRDefault="00FF1BF6" w:rsidP="00FF1BF6"/>
    <w:p w14:paraId="1E625324" w14:textId="77777777" w:rsidR="00FF1BF6" w:rsidRPr="00D90725" w:rsidRDefault="00FF1BF6" w:rsidP="00FF1BF6">
      <w:pPr>
        <w:rPr>
          <w:b/>
        </w:rPr>
      </w:pPr>
      <w:r w:rsidRPr="00D90725">
        <w:t>This schedule was agreed by the Commonwealth and the Australian Capital Territory when the overarching National Partnership was signed.</w:t>
      </w:r>
    </w:p>
    <w:p w14:paraId="3D1C5F19" w14:textId="77777777" w:rsidR="00FF1BF6" w:rsidRPr="00D90725" w:rsidRDefault="00FF1BF6" w:rsidP="00FF1BF6">
      <w:pPr>
        <w:rPr>
          <w:lang w:val="en-GB"/>
        </w:rPr>
      </w:pPr>
    </w:p>
    <w:p w14:paraId="047925D1" w14:textId="77777777" w:rsidR="00FF1BF6" w:rsidRPr="00D90725" w:rsidRDefault="00FF1BF6" w:rsidP="00FF1BF6">
      <w:pPr>
        <w:rPr>
          <w:lang w:val="en-GB"/>
        </w:rPr>
      </w:pPr>
    </w:p>
    <w:p w14:paraId="36AC6D56" w14:textId="77777777" w:rsidR="00FF1BF6" w:rsidRPr="00D90725" w:rsidRDefault="00FF1BF6" w:rsidP="00FF1BF6">
      <w:pPr>
        <w:rPr>
          <w:lang w:val="en-GB"/>
        </w:rPr>
      </w:pPr>
      <w:r w:rsidRPr="00D90725">
        <w:rPr>
          <w:lang w:val="en-GB"/>
        </w:rPr>
        <w:br w:type="page"/>
      </w: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202"/>
        <w:gridCol w:w="6286"/>
        <w:gridCol w:w="1701"/>
        <w:gridCol w:w="3361"/>
      </w:tblGrid>
      <w:tr w:rsidR="00FF1BF6" w:rsidRPr="00D90725" w14:paraId="513881F9" w14:textId="77777777" w:rsidTr="000761FD">
        <w:tc>
          <w:tcPr>
            <w:tcW w:w="14550" w:type="dxa"/>
            <w:gridSpan w:val="4"/>
            <w:shd w:val="clear" w:color="auto" w:fill="DEEAF6" w:themeFill="accent1" w:themeFillTint="33"/>
          </w:tcPr>
          <w:p w14:paraId="0FEB4EBE" w14:textId="77777777" w:rsidR="00FF1BF6" w:rsidRPr="00D90725" w:rsidRDefault="00FF1BF6" w:rsidP="000761FD">
            <w:pPr>
              <w:pStyle w:val="Tableformat"/>
              <w:tabs>
                <w:tab w:val="left" w:pos="6043"/>
              </w:tabs>
              <w:rPr>
                <w:b/>
                <w:color w:val="auto"/>
              </w:rPr>
            </w:pPr>
            <w:r w:rsidRPr="00D90725">
              <w:rPr>
                <w:b/>
                <w:color w:val="auto"/>
              </w:rPr>
              <w:t>Table 2H: Northern Territory – Performance requirements, reporting and payment summary</w:t>
            </w:r>
          </w:p>
        </w:tc>
      </w:tr>
      <w:tr w:rsidR="00FF1BF6" w:rsidRPr="00D90725" w14:paraId="2343C4F1" w14:textId="77777777" w:rsidTr="000761FD">
        <w:tc>
          <w:tcPr>
            <w:tcW w:w="3202" w:type="dxa"/>
            <w:shd w:val="clear" w:color="auto" w:fill="F2F2F2" w:themeFill="background1" w:themeFillShade="F2"/>
          </w:tcPr>
          <w:p w14:paraId="7FDF1B13" w14:textId="77777777" w:rsidR="00FF1BF6" w:rsidRPr="00D90725" w:rsidRDefault="00FF1BF6" w:rsidP="000761FD">
            <w:pPr>
              <w:pStyle w:val="Tableformat"/>
              <w:rPr>
                <w:b/>
                <w:color w:val="auto"/>
              </w:rPr>
            </w:pPr>
            <w:r w:rsidRPr="00D90725">
              <w:rPr>
                <w:b/>
                <w:color w:val="auto"/>
              </w:rPr>
              <w:t>Output</w:t>
            </w:r>
          </w:p>
        </w:tc>
        <w:tc>
          <w:tcPr>
            <w:tcW w:w="6286" w:type="dxa"/>
            <w:shd w:val="clear" w:color="auto" w:fill="F2F2F2" w:themeFill="background1" w:themeFillShade="F2"/>
          </w:tcPr>
          <w:p w14:paraId="2D1E9E24" w14:textId="77777777" w:rsidR="00FF1BF6" w:rsidRPr="00D90725" w:rsidRDefault="00FF1BF6" w:rsidP="000761FD">
            <w:pPr>
              <w:pStyle w:val="Tableformat"/>
              <w:rPr>
                <w:b/>
                <w:color w:val="auto"/>
              </w:rPr>
            </w:pPr>
            <w:r w:rsidRPr="00D90725">
              <w:rPr>
                <w:b/>
                <w:color w:val="auto"/>
              </w:rPr>
              <w:t>Performance milestones</w:t>
            </w:r>
          </w:p>
        </w:tc>
        <w:tc>
          <w:tcPr>
            <w:tcW w:w="1701" w:type="dxa"/>
            <w:shd w:val="clear" w:color="auto" w:fill="F2F2F2" w:themeFill="background1" w:themeFillShade="F2"/>
          </w:tcPr>
          <w:p w14:paraId="0AA596D6" w14:textId="77777777" w:rsidR="00FF1BF6" w:rsidRPr="00D90725" w:rsidRDefault="00FF1BF6" w:rsidP="000761FD">
            <w:pPr>
              <w:pStyle w:val="Tableformat"/>
              <w:rPr>
                <w:b/>
                <w:color w:val="auto"/>
              </w:rPr>
            </w:pPr>
            <w:r w:rsidRPr="00D90725">
              <w:rPr>
                <w:b/>
                <w:color w:val="auto"/>
              </w:rPr>
              <w:t>Report due</w:t>
            </w:r>
          </w:p>
        </w:tc>
        <w:tc>
          <w:tcPr>
            <w:tcW w:w="3361" w:type="dxa"/>
            <w:shd w:val="clear" w:color="auto" w:fill="F2F2F2" w:themeFill="background1" w:themeFillShade="F2"/>
          </w:tcPr>
          <w:p w14:paraId="0D98355C" w14:textId="77777777" w:rsidR="00FF1BF6" w:rsidRPr="00D90725" w:rsidRDefault="00FF1BF6" w:rsidP="000761FD">
            <w:pPr>
              <w:pStyle w:val="Tableformat"/>
              <w:rPr>
                <w:b/>
                <w:color w:val="auto"/>
              </w:rPr>
            </w:pPr>
            <w:r w:rsidRPr="00D90725">
              <w:rPr>
                <w:b/>
                <w:color w:val="auto"/>
              </w:rPr>
              <w:t>Payment</w:t>
            </w:r>
          </w:p>
        </w:tc>
      </w:tr>
      <w:tr w:rsidR="00FF1BF6" w:rsidRPr="00D90725" w14:paraId="3EAEA62E" w14:textId="77777777" w:rsidTr="000761FD">
        <w:tc>
          <w:tcPr>
            <w:tcW w:w="3202" w:type="dxa"/>
            <w:tcBorders>
              <w:top w:val="single" w:sz="8" w:space="0" w:color="4F81BD"/>
              <w:left w:val="single" w:sz="8" w:space="0" w:color="4F81BD"/>
              <w:bottom w:val="single" w:sz="8" w:space="0" w:color="4F81BD"/>
              <w:right w:val="single" w:sz="8" w:space="0" w:color="4F81BD"/>
            </w:tcBorders>
          </w:tcPr>
          <w:p w14:paraId="79E72611" w14:textId="77777777" w:rsidR="00FF1BF6" w:rsidRPr="00D90725" w:rsidRDefault="00FF1BF6" w:rsidP="000761FD">
            <w:pPr>
              <w:pStyle w:val="Milestonetable"/>
              <w:rPr>
                <w:color w:val="auto"/>
              </w:rPr>
            </w:pPr>
            <w:r w:rsidRPr="00D90725">
              <w:rPr>
                <w:color w:val="auto"/>
              </w:rPr>
              <w:t>New infrastructure to water livestock and permanent plantings for drought affected farm businesses</w:t>
            </w:r>
          </w:p>
        </w:tc>
        <w:tc>
          <w:tcPr>
            <w:tcW w:w="6286" w:type="dxa"/>
            <w:tcBorders>
              <w:top w:val="single" w:sz="8" w:space="0" w:color="4F81BD"/>
              <w:left w:val="single" w:sz="8" w:space="0" w:color="4F81BD"/>
              <w:bottom w:val="single" w:sz="8" w:space="0" w:color="4F81BD"/>
              <w:right w:val="single" w:sz="8" w:space="0" w:color="4F81BD"/>
            </w:tcBorders>
            <w:shd w:val="clear" w:color="auto" w:fill="auto"/>
          </w:tcPr>
          <w:p w14:paraId="33AC562F" w14:textId="77777777" w:rsidR="00FF1BF6" w:rsidRPr="00D90725" w:rsidRDefault="00FF1BF6" w:rsidP="000761FD">
            <w:pPr>
              <w:pStyle w:val="Milestonetable"/>
              <w:rPr>
                <w:color w:val="auto"/>
              </w:rPr>
            </w:pPr>
            <w:r w:rsidRPr="00D90725">
              <w:rPr>
                <w:color w:val="auto"/>
              </w:rPr>
              <w:t>Payments made to eligible primary producers and horticulture farmers consistent with this agreement for the period 1 May 2020 to 30 November 2020.</w:t>
            </w:r>
          </w:p>
        </w:tc>
        <w:tc>
          <w:tcPr>
            <w:tcW w:w="1701" w:type="dxa"/>
            <w:tcBorders>
              <w:top w:val="single" w:sz="8" w:space="0" w:color="4F81BD"/>
              <w:left w:val="single" w:sz="8" w:space="0" w:color="4F81BD"/>
              <w:bottom w:val="single" w:sz="8" w:space="0" w:color="4F81BD"/>
              <w:right w:val="single" w:sz="8" w:space="0" w:color="4F81BD"/>
            </w:tcBorders>
            <w:shd w:val="clear" w:color="auto" w:fill="auto"/>
          </w:tcPr>
          <w:p w14:paraId="75731439" w14:textId="77777777" w:rsidR="00FF1BF6" w:rsidRPr="00D90725" w:rsidRDefault="00FF1BF6" w:rsidP="000761FD">
            <w:pPr>
              <w:pStyle w:val="Milestonetable"/>
              <w:rPr>
                <w:color w:val="auto"/>
              </w:rPr>
            </w:pPr>
            <w:r w:rsidRPr="00D90725">
              <w:rPr>
                <w:color w:val="auto"/>
              </w:rPr>
              <w:t>1 December 2020</w:t>
            </w:r>
          </w:p>
        </w:tc>
        <w:tc>
          <w:tcPr>
            <w:tcW w:w="3361" w:type="dxa"/>
            <w:tcBorders>
              <w:top w:val="single" w:sz="8" w:space="0" w:color="4F81BD"/>
              <w:left w:val="single" w:sz="8" w:space="0" w:color="4F81BD"/>
              <w:bottom w:val="single" w:sz="8" w:space="0" w:color="4F81BD"/>
              <w:right w:val="single" w:sz="8" w:space="0" w:color="4F81BD"/>
            </w:tcBorders>
            <w:shd w:val="clear" w:color="auto" w:fill="auto"/>
          </w:tcPr>
          <w:p w14:paraId="5ADBD607" w14:textId="77777777" w:rsidR="00FF1BF6" w:rsidRPr="00D90725" w:rsidRDefault="00FF1BF6" w:rsidP="000761FD">
            <w:pPr>
              <w:pStyle w:val="Milestonetable"/>
              <w:rPr>
                <w:color w:val="auto"/>
              </w:rPr>
            </w:pPr>
            <w:r w:rsidRPr="00D90725">
              <w:rPr>
                <w:color w:val="auto"/>
              </w:rPr>
              <w:t>Value of rebates paid from 1 May 2020 to 30 November 2020, up to $1 million</w:t>
            </w:r>
          </w:p>
        </w:tc>
      </w:tr>
      <w:tr w:rsidR="00FF1BF6" w:rsidRPr="00D90725" w14:paraId="0BF4617D" w14:textId="77777777" w:rsidTr="000761FD">
        <w:tc>
          <w:tcPr>
            <w:tcW w:w="3202" w:type="dxa"/>
            <w:tcBorders>
              <w:top w:val="single" w:sz="8" w:space="0" w:color="4F81BD"/>
              <w:left w:val="single" w:sz="8" w:space="0" w:color="4F81BD"/>
              <w:bottom w:val="single" w:sz="8" w:space="0" w:color="4F81BD"/>
              <w:right w:val="single" w:sz="8" w:space="0" w:color="4F81BD"/>
            </w:tcBorders>
          </w:tcPr>
          <w:p w14:paraId="4D2A122B" w14:textId="77777777" w:rsidR="00FF1BF6" w:rsidRPr="00D90725" w:rsidRDefault="00FF1BF6" w:rsidP="000761FD">
            <w:pPr>
              <w:pStyle w:val="Milestonetable"/>
              <w:rPr>
                <w:color w:val="auto"/>
              </w:rPr>
            </w:pPr>
            <w:r w:rsidRPr="00D90725">
              <w:rPr>
                <w:color w:val="auto"/>
              </w:rPr>
              <w:t>New infrastructure to water livestock and permanent plantings for drought affected farm businesses</w:t>
            </w:r>
          </w:p>
        </w:tc>
        <w:tc>
          <w:tcPr>
            <w:tcW w:w="6286" w:type="dxa"/>
            <w:tcBorders>
              <w:top w:val="single" w:sz="8" w:space="0" w:color="4F81BD"/>
              <w:left w:val="single" w:sz="8" w:space="0" w:color="4F81BD"/>
              <w:bottom w:val="single" w:sz="8" w:space="0" w:color="4F81BD"/>
              <w:right w:val="single" w:sz="8" w:space="0" w:color="4F81BD"/>
            </w:tcBorders>
            <w:shd w:val="clear" w:color="auto" w:fill="auto"/>
          </w:tcPr>
          <w:p w14:paraId="6207E531" w14:textId="77777777" w:rsidR="00FF1BF6" w:rsidRPr="00D90725" w:rsidRDefault="00FF1BF6" w:rsidP="000761FD">
            <w:pPr>
              <w:pStyle w:val="Milestonetable"/>
              <w:rPr>
                <w:color w:val="auto"/>
              </w:rPr>
            </w:pPr>
            <w:r w:rsidRPr="00D90725">
              <w:rPr>
                <w:color w:val="auto"/>
              </w:rPr>
              <w:t>Payments made to eligible primary producers and horticulture farmers consistent with this agreement for the period 1 December 2020 to 30 April 2021.</w:t>
            </w:r>
          </w:p>
        </w:tc>
        <w:tc>
          <w:tcPr>
            <w:tcW w:w="1701" w:type="dxa"/>
            <w:tcBorders>
              <w:top w:val="single" w:sz="8" w:space="0" w:color="4F81BD"/>
              <w:left w:val="single" w:sz="8" w:space="0" w:color="4F81BD"/>
              <w:bottom w:val="single" w:sz="8" w:space="0" w:color="4F81BD"/>
              <w:right w:val="single" w:sz="8" w:space="0" w:color="4F81BD"/>
            </w:tcBorders>
            <w:shd w:val="clear" w:color="auto" w:fill="auto"/>
          </w:tcPr>
          <w:p w14:paraId="63F08661" w14:textId="77777777" w:rsidR="00FF1BF6" w:rsidRPr="00D90725" w:rsidRDefault="00FF1BF6" w:rsidP="000761FD">
            <w:pPr>
              <w:pStyle w:val="Milestonetable"/>
              <w:rPr>
                <w:color w:val="auto"/>
              </w:rPr>
            </w:pPr>
            <w:r w:rsidRPr="00D90725">
              <w:rPr>
                <w:color w:val="auto"/>
              </w:rPr>
              <w:t>1 May 2021</w:t>
            </w:r>
          </w:p>
        </w:tc>
        <w:tc>
          <w:tcPr>
            <w:tcW w:w="3361" w:type="dxa"/>
            <w:tcBorders>
              <w:top w:val="single" w:sz="8" w:space="0" w:color="4F81BD"/>
              <w:left w:val="single" w:sz="8" w:space="0" w:color="4F81BD"/>
              <w:bottom w:val="single" w:sz="8" w:space="0" w:color="4F81BD"/>
              <w:right w:val="single" w:sz="8" w:space="0" w:color="4F81BD"/>
            </w:tcBorders>
            <w:shd w:val="clear" w:color="auto" w:fill="auto"/>
          </w:tcPr>
          <w:p w14:paraId="1D602190" w14:textId="77777777" w:rsidR="00FF1BF6" w:rsidRPr="00D90725" w:rsidRDefault="00FF1BF6" w:rsidP="000761FD">
            <w:pPr>
              <w:pStyle w:val="Milestonetable"/>
              <w:rPr>
                <w:color w:val="auto"/>
              </w:rPr>
            </w:pPr>
            <w:r w:rsidRPr="00D90725">
              <w:rPr>
                <w:color w:val="auto"/>
              </w:rPr>
              <w:t>Value of rebates paid from 1 December 2020 to 30 April 2021, up to $1 million less the payments for rebates under this agreement already provided to NT in 2020-21.</w:t>
            </w:r>
          </w:p>
        </w:tc>
      </w:tr>
    </w:tbl>
    <w:p w14:paraId="394CB986" w14:textId="77777777" w:rsidR="00FF1BF6" w:rsidRDefault="00FF1BF6" w:rsidP="00FF1BF6"/>
    <w:p w14:paraId="4F761D99" w14:textId="77777777" w:rsidR="00FF1BF6" w:rsidRDefault="00FF1BF6" w:rsidP="00FF1BF6">
      <w:pPr>
        <w:rPr>
          <w:b/>
        </w:rPr>
      </w:pPr>
      <w:r w:rsidRPr="00552D1E">
        <w:t xml:space="preserve">This schedule was agreed by the </w:t>
      </w:r>
      <w:r>
        <w:t>Commonwealth</w:t>
      </w:r>
      <w:r w:rsidRPr="00552D1E">
        <w:t xml:space="preserve"> and the </w:t>
      </w:r>
      <w:r>
        <w:t xml:space="preserve">Northern Territory </w:t>
      </w:r>
      <w:r w:rsidRPr="00552D1E">
        <w:t>when the overarching National Partnership</w:t>
      </w:r>
      <w:r>
        <w:t xml:space="preserve"> was signed</w:t>
      </w:r>
      <w:r w:rsidRPr="00552D1E">
        <w:t>.</w:t>
      </w:r>
    </w:p>
    <w:p w14:paraId="015A6136" w14:textId="77777777" w:rsidR="00FF1BF6" w:rsidRDefault="00FF1BF6" w:rsidP="00FF1BF6">
      <w:pPr>
        <w:rPr>
          <w:lang w:val="en-GB"/>
        </w:rPr>
        <w:sectPr w:rsidR="00FF1BF6" w:rsidSect="00304C81">
          <w:pgSz w:w="16838" w:h="11906" w:orient="landscape" w:code="9"/>
          <w:pgMar w:top="1134" w:right="1134" w:bottom="1134" w:left="1134" w:header="709" w:footer="709" w:gutter="0"/>
          <w:pgNumType w:chapStyle="9"/>
          <w:cols w:space="708"/>
          <w:titlePg/>
          <w:docGrid w:linePitch="360"/>
        </w:sectPr>
      </w:pPr>
    </w:p>
    <w:p w14:paraId="034FF3F1" w14:textId="77777777" w:rsidR="00FF1BF6" w:rsidRDefault="00FF1BF6" w:rsidP="00FF1BF6">
      <w:pPr>
        <w:pStyle w:val="Heading1"/>
        <w:spacing w:before="0"/>
        <w:rPr>
          <w:lang w:val="en-GB"/>
        </w:rPr>
      </w:pPr>
      <w:r>
        <w:rPr>
          <w:lang w:val="en-GB"/>
        </w:rPr>
        <w:t xml:space="preserve">Appendix A: </w:t>
      </w:r>
      <w:r w:rsidRPr="00F91AC1">
        <w:rPr>
          <w:lang w:val="en-GB"/>
        </w:rPr>
        <w:t>Guidance to States on eligibility for Commonwealth funding under the Rebate Scheme</w:t>
      </w:r>
    </w:p>
    <w:p w14:paraId="2D4E152F" w14:textId="77777777" w:rsidR="00FF1BF6" w:rsidRPr="00CA5851" w:rsidRDefault="00FF1BF6" w:rsidP="00FF1BF6">
      <w:pPr>
        <w:pStyle w:val="ScheduleNumberedPara"/>
        <w:numPr>
          <w:ilvl w:val="0"/>
          <w:numId w:val="2"/>
        </w:numPr>
        <w:tabs>
          <w:tab w:val="clear" w:pos="567"/>
        </w:tabs>
        <w:rPr>
          <w:color w:val="auto"/>
        </w:rPr>
      </w:pPr>
      <w:r>
        <w:rPr>
          <w:color w:val="auto"/>
        </w:rPr>
        <w:t>E</w:t>
      </w:r>
      <w:r w:rsidRPr="00CA5851">
        <w:rPr>
          <w:color w:val="auto"/>
        </w:rPr>
        <w:t>ligible applicants must:</w:t>
      </w:r>
    </w:p>
    <w:p w14:paraId="278F66A1" w14:textId="77777777" w:rsidR="00FF1BF6" w:rsidRPr="00CA5851" w:rsidRDefault="00FF1BF6" w:rsidP="00FF1BF6">
      <w:pPr>
        <w:pStyle w:val="ScheduleNumberedPara"/>
        <w:numPr>
          <w:ilvl w:val="1"/>
          <w:numId w:val="2"/>
        </w:numPr>
        <w:tabs>
          <w:tab w:val="clear" w:pos="2268"/>
        </w:tabs>
        <w:rPr>
          <w:color w:val="auto"/>
        </w:rPr>
      </w:pPr>
      <w:r w:rsidRPr="00CA5851">
        <w:rPr>
          <w:color w:val="auto"/>
        </w:rPr>
        <w:t>be a primary producer or horticulture farmer (as defined by the state or territory in relation to delivering the rebate scheme)</w:t>
      </w:r>
    </w:p>
    <w:p w14:paraId="436102AC" w14:textId="77777777" w:rsidR="00FF1BF6" w:rsidRPr="00CA5851" w:rsidRDefault="00FF1BF6" w:rsidP="00FF1BF6">
      <w:pPr>
        <w:pStyle w:val="ScheduleNumberedPara"/>
        <w:numPr>
          <w:ilvl w:val="1"/>
          <w:numId w:val="2"/>
        </w:numPr>
        <w:tabs>
          <w:tab w:val="clear" w:pos="2268"/>
        </w:tabs>
        <w:rPr>
          <w:color w:val="auto"/>
        </w:rPr>
      </w:pPr>
      <w:r w:rsidRPr="00CA5851">
        <w:rPr>
          <w:color w:val="auto"/>
        </w:rPr>
        <w:t>be property owners, share farmers or lease holders in the grazing industry</w:t>
      </w:r>
    </w:p>
    <w:p w14:paraId="7BB049F3" w14:textId="77777777" w:rsidR="00FF1BF6" w:rsidRPr="00CA5851" w:rsidRDefault="00FF1BF6" w:rsidP="00FF1BF6">
      <w:pPr>
        <w:pStyle w:val="ScheduleNumberedPara"/>
        <w:numPr>
          <w:ilvl w:val="1"/>
          <w:numId w:val="2"/>
        </w:numPr>
        <w:tabs>
          <w:tab w:val="clear" w:pos="2268"/>
        </w:tabs>
        <w:rPr>
          <w:color w:val="auto"/>
        </w:rPr>
      </w:pPr>
      <w:r w:rsidRPr="00CA5851">
        <w:rPr>
          <w:color w:val="auto"/>
        </w:rPr>
        <w:t xml:space="preserve">purchase and install water infrastructure for grazing livestock or permanent plantings that the landholder owns (not stock agisted on their property). </w:t>
      </w:r>
    </w:p>
    <w:p w14:paraId="3511E01F" w14:textId="77777777" w:rsidR="00FF1BF6" w:rsidRPr="00CA5851" w:rsidRDefault="00FF1BF6" w:rsidP="00FF1BF6">
      <w:pPr>
        <w:pStyle w:val="ScheduleNumberedPara"/>
        <w:numPr>
          <w:ilvl w:val="0"/>
          <w:numId w:val="2"/>
        </w:numPr>
        <w:rPr>
          <w:color w:val="auto"/>
        </w:rPr>
      </w:pPr>
      <w:r w:rsidRPr="00CA5851">
        <w:rPr>
          <w:color w:val="auto"/>
        </w:rPr>
        <w:t xml:space="preserve">The property must be within an area defined by the state or territory as being drought impacted as defined </w:t>
      </w:r>
      <w:r>
        <w:rPr>
          <w:color w:val="auto"/>
        </w:rPr>
        <w:t>in accordance with this schedule</w:t>
      </w:r>
      <w:r w:rsidRPr="00CA5851">
        <w:rPr>
          <w:color w:val="auto"/>
        </w:rPr>
        <w:t>.</w:t>
      </w:r>
    </w:p>
    <w:p w14:paraId="09CFCE05" w14:textId="77777777" w:rsidR="00FF1BF6" w:rsidRPr="00CA5851" w:rsidRDefault="00FF1BF6" w:rsidP="00FF1BF6">
      <w:pPr>
        <w:pStyle w:val="ScheduleNumberedPara"/>
        <w:numPr>
          <w:ilvl w:val="0"/>
          <w:numId w:val="2"/>
        </w:numPr>
        <w:tabs>
          <w:tab w:val="clear" w:pos="567"/>
        </w:tabs>
        <w:rPr>
          <w:color w:val="auto"/>
        </w:rPr>
      </w:pPr>
      <w:r w:rsidRPr="00CA5851">
        <w:rPr>
          <w:color w:val="auto"/>
        </w:rPr>
        <w:t>Water infrastructure must be purchased and installed for an animal welfare or permanent planting need and to improve drought resilience.</w:t>
      </w:r>
    </w:p>
    <w:p w14:paraId="041F579C" w14:textId="77777777" w:rsidR="00FF1BF6" w:rsidRPr="00CA5851" w:rsidRDefault="00FF1BF6" w:rsidP="00FF1BF6">
      <w:pPr>
        <w:pStyle w:val="ScheduleNumberedPara"/>
        <w:numPr>
          <w:ilvl w:val="0"/>
          <w:numId w:val="2"/>
        </w:numPr>
        <w:tabs>
          <w:tab w:val="clear" w:pos="567"/>
        </w:tabs>
        <w:rPr>
          <w:color w:val="auto"/>
        </w:rPr>
      </w:pPr>
      <w:r w:rsidRPr="00CA5851">
        <w:rPr>
          <w:color w:val="auto"/>
        </w:rPr>
        <w:t>Eligibility for the rebate f</w:t>
      </w:r>
      <w:r>
        <w:rPr>
          <w:color w:val="auto"/>
        </w:rPr>
        <w:t>or primary producers applies to:</w:t>
      </w:r>
      <w:r w:rsidRPr="00CA5851">
        <w:rPr>
          <w:color w:val="auto"/>
        </w:rPr>
        <w:t xml:space="preserve"> </w:t>
      </w:r>
    </w:p>
    <w:p w14:paraId="41709B38" w14:textId="77777777" w:rsidR="00FF1BF6" w:rsidRPr="00CA5851" w:rsidRDefault="00FF1BF6" w:rsidP="00FF1BF6">
      <w:pPr>
        <w:pStyle w:val="ScheduleNumberedPara"/>
        <w:numPr>
          <w:ilvl w:val="1"/>
          <w:numId w:val="2"/>
        </w:numPr>
        <w:tabs>
          <w:tab w:val="clear" w:pos="2268"/>
        </w:tabs>
        <w:rPr>
          <w:color w:val="auto"/>
        </w:rPr>
      </w:pPr>
      <w:r w:rsidRPr="00CA5851">
        <w:rPr>
          <w:color w:val="auto"/>
        </w:rPr>
        <w:t>water infrastructure purchased after 30 June 2018</w:t>
      </w:r>
    </w:p>
    <w:p w14:paraId="17FF78E1" w14:textId="77777777" w:rsidR="00FF1BF6" w:rsidRPr="00CA5851" w:rsidRDefault="00FF1BF6" w:rsidP="00FF1BF6">
      <w:pPr>
        <w:pStyle w:val="ScheduleNumberedPara"/>
        <w:numPr>
          <w:ilvl w:val="1"/>
          <w:numId w:val="2"/>
        </w:numPr>
        <w:tabs>
          <w:tab w:val="clear" w:pos="2268"/>
        </w:tabs>
        <w:rPr>
          <w:color w:val="auto"/>
        </w:rPr>
      </w:pPr>
      <w:r w:rsidRPr="00CA5851">
        <w:rPr>
          <w:color w:val="auto"/>
        </w:rPr>
        <w:t>the purchase and installation of:</w:t>
      </w:r>
    </w:p>
    <w:p w14:paraId="3ECD18CB" w14:textId="77777777" w:rsidR="00FF1BF6" w:rsidRPr="00CA5851" w:rsidRDefault="00FF1BF6" w:rsidP="00FF1BF6">
      <w:pPr>
        <w:pStyle w:val="ScheduleNumberedPara"/>
        <w:numPr>
          <w:ilvl w:val="2"/>
          <w:numId w:val="2"/>
        </w:numPr>
        <w:tabs>
          <w:tab w:val="clear" w:pos="2268"/>
        </w:tabs>
        <w:rPr>
          <w:color w:val="auto"/>
        </w:rPr>
      </w:pPr>
      <w:r w:rsidRPr="00CA5851">
        <w:rPr>
          <w:color w:val="auto"/>
        </w:rPr>
        <w:t>pipes</w:t>
      </w:r>
    </w:p>
    <w:p w14:paraId="5D3D0168" w14:textId="77777777" w:rsidR="00FF1BF6" w:rsidRPr="00CA5851" w:rsidRDefault="00FF1BF6" w:rsidP="00FF1BF6">
      <w:pPr>
        <w:pStyle w:val="ScheduleNumberedPara"/>
        <w:numPr>
          <w:ilvl w:val="2"/>
          <w:numId w:val="2"/>
        </w:numPr>
        <w:tabs>
          <w:tab w:val="clear" w:pos="2268"/>
        </w:tabs>
        <w:rPr>
          <w:color w:val="auto"/>
        </w:rPr>
      </w:pPr>
      <w:r w:rsidRPr="00CA5851">
        <w:rPr>
          <w:color w:val="auto"/>
        </w:rPr>
        <w:t>water storage devices such as tanks and troughs associated with stock watering</w:t>
      </w:r>
    </w:p>
    <w:p w14:paraId="086BCE92" w14:textId="77777777" w:rsidR="00FF1BF6" w:rsidRPr="00CA5851" w:rsidRDefault="00FF1BF6" w:rsidP="00FF1BF6">
      <w:pPr>
        <w:pStyle w:val="ScheduleNumberedPara"/>
        <w:numPr>
          <w:ilvl w:val="2"/>
          <w:numId w:val="2"/>
        </w:numPr>
        <w:tabs>
          <w:tab w:val="clear" w:pos="2268"/>
        </w:tabs>
        <w:rPr>
          <w:color w:val="auto"/>
        </w:rPr>
      </w:pPr>
      <w:r w:rsidRPr="00CA5851">
        <w:rPr>
          <w:color w:val="auto"/>
        </w:rPr>
        <w:t>water pumps and associated water distribution systems</w:t>
      </w:r>
    </w:p>
    <w:p w14:paraId="2AE07E13" w14:textId="77777777" w:rsidR="00FF1BF6" w:rsidRPr="00CA5851" w:rsidRDefault="00FF1BF6" w:rsidP="00FF1BF6">
      <w:pPr>
        <w:pStyle w:val="ScheduleNumberedPara"/>
        <w:numPr>
          <w:ilvl w:val="1"/>
          <w:numId w:val="2"/>
        </w:numPr>
        <w:tabs>
          <w:tab w:val="clear" w:pos="2268"/>
        </w:tabs>
        <w:rPr>
          <w:color w:val="auto"/>
        </w:rPr>
      </w:pPr>
      <w:r w:rsidRPr="00CA5851">
        <w:rPr>
          <w:color w:val="auto"/>
        </w:rPr>
        <w:t>the drilling of new stock water bores and associated power supply such as generators</w:t>
      </w:r>
    </w:p>
    <w:p w14:paraId="015159E0" w14:textId="77777777" w:rsidR="00FF1BF6" w:rsidRPr="00CA5851" w:rsidRDefault="00FF1BF6" w:rsidP="00FF1BF6">
      <w:pPr>
        <w:pStyle w:val="ScheduleNumberedPara"/>
        <w:numPr>
          <w:ilvl w:val="1"/>
          <w:numId w:val="2"/>
        </w:numPr>
        <w:tabs>
          <w:tab w:val="clear" w:pos="2268"/>
        </w:tabs>
        <w:rPr>
          <w:color w:val="auto"/>
        </w:rPr>
      </w:pPr>
      <w:r w:rsidRPr="00CA5851">
        <w:rPr>
          <w:color w:val="auto"/>
        </w:rPr>
        <w:t xml:space="preserve">desilting dams. </w:t>
      </w:r>
    </w:p>
    <w:p w14:paraId="28F197FB" w14:textId="77777777" w:rsidR="00FF1BF6" w:rsidRPr="00CA5851" w:rsidRDefault="00FF1BF6" w:rsidP="00FF1BF6">
      <w:pPr>
        <w:pStyle w:val="ScheduleNumberedPara"/>
        <w:numPr>
          <w:ilvl w:val="0"/>
          <w:numId w:val="2"/>
        </w:numPr>
        <w:tabs>
          <w:tab w:val="clear" w:pos="567"/>
        </w:tabs>
        <w:rPr>
          <w:color w:val="auto"/>
        </w:rPr>
      </w:pPr>
      <w:r w:rsidRPr="00CA5851">
        <w:rPr>
          <w:color w:val="auto"/>
        </w:rPr>
        <w:t xml:space="preserve">Eligibility for the rebate for </w:t>
      </w:r>
      <w:r>
        <w:rPr>
          <w:color w:val="auto"/>
        </w:rPr>
        <w:t>horticulture farmers applies to:</w:t>
      </w:r>
    </w:p>
    <w:p w14:paraId="5760351A" w14:textId="77777777" w:rsidR="00FF1BF6" w:rsidRPr="00CA5851" w:rsidRDefault="00FF1BF6" w:rsidP="00FF1BF6">
      <w:pPr>
        <w:pStyle w:val="ScheduleNumberedPara"/>
        <w:numPr>
          <w:ilvl w:val="1"/>
          <w:numId w:val="2"/>
        </w:numPr>
        <w:tabs>
          <w:tab w:val="clear" w:pos="2268"/>
        </w:tabs>
        <w:rPr>
          <w:color w:val="auto"/>
        </w:rPr>
      </w:pPr>
      <w:r>
        <w:rPr>
          <w:color w:val="auto"/>
        </w:rPr>
        <w:t>w</w:t>
      </w:r>
      <w:r w:rsidRPr="00CA5851">
        <w:rPr>
          <w:color w:val="auto"/>
        </w:rPr>
        <w:t>ater infrastructure purchased after 30 June 2019</w:t>
      </w:r>
    </w:p>
    <w:p w14:paraId="20E1FF46" w14:textId="77777777" w:rsidR="00FF1BF6" w:rsidRPr="00CA5851" w:rsidRDefault="00FF1BF6" w:rsidP="00FF1BF6">
      <w:pPr>
        <w:pStyle w:val="ScheduleNumberedPara"/>
        <w:numPr>
          <w:ilvl w:val="1"/>
          <w:numId w:val="2"/>
        </w:numPr>
        <w:tabs>
          <w:tab w:val="clear" w:pos="2268"/>
        </w:tabs>
        <w:rPr>
          <w:color w:val="auto"/>
        </w:rPr>
      </w:pPr>
      <w:r w:rsidRPr="00CA5851">
        <w:rPr>
          <w:color w:val="auto"/>
        </w:rPr>
        <w:t>the purchase and installation of:</w:t>
      </w:r>
    </w:p>
    <w:p w14:paraId="190AF3E7" w14:textId="77777777" w:rsidR="00FF1BF6" w:rsidRPr="00CA5851" w:rsidRDefault="00FF1BF6" w:rsidP="00FF1BF6">
      <w:pPr>
        <w:pStyle w:val="ScheduleNumberedPara"/>
        <w:numPr>
          <w:ilvl w:val="2"/>
          <w:numId w:val="2"/>
        </w:numPr>
        <w:tabs>
          <w:tab w:val="clear" w:pos="2268"/>
        </w:tabs>
        <w:rPr>
          <w:color w:val="auto"/>
        </w:rPr>
      </w:pPr>
      <w:r w:rsidRPr="00CA5851">
        <w:rPr>
          <w:color w:val="auto"/>
        </w:rPr>
        <w:t>the drilling of new horticulture groundwater bores</w:t>
      </w:r>
    </w:p>
    <w:p w14:paraId="543BA5BB" w14:textId="77777777" w:rsidR="00FF1BF6" w:rsidRDefault="00FF1BF6" w:rsidP="00FF1BF6">
      <w:pPr>
        <w:pStyle w:val="ScheduleNumberedPara"/>
        <w:numPr>
          <w:ilvl w:val="2"/>
          <w:numId w:val="2"/>
        </w:numPr>
        <w:tabs>
          <w:tab w:val="clear" w:pos="2268"/>
        </w:tabs>
        <w:rPr>
          <w:color w:val="auto"/>
        </w:rPr>
      </w:pPr>
      <w:r w:rsidRPr="00CA5851">
        <w:rPr>
          <w:color w:val="auto"/>
        </w:rPr>
        <w:t>desilting dams.</w:t>
      </w:r>
    </w:p>
    <w:p w14:paraId="0F51D559" w14:textId="77777777" w:rsidR="00FF1BF6" w:rsidRPr="00316053" w:rsidRDefault="00FF1BF6" w:rsidP="00FF1BF6">
      <w:pPr>
        <w:pStyle w:val="ScheduleNumberedPara"/>
        <w:numPr>
          <w:ilvl w:val="0"/>
          <w:numId w:val="0"/>
        </w:numPr>
        <w:ind w:left="567" w:hanging="567"/>
        <w:rPr>
          <w:color w:val="auto"/>
        </w:rPr>
      </w:pPr>
      <w:r w:rsidRPr="00316053">
        <w:rPr>
          <w:color w:val="auto"/>
        </w:rPr>
        <w:t xml:space="preserve"> </w:t>
      </w:r>
    </w:p>
    <w:p w14:paraId="517265B6" w14:textId="77777777" w:rsidR="00FF1BF6" w:rsidRDefault="00FF1BF6" w:rsidP="00FF1BF6">
      <w:pPr>
        <w:rPr>
          <w:lang w:val="en-GB"/>
        </w:rPr>
      </w:pPr>
    </w:p>
    <w:p w14:paraId="2CB4E1AB" w14:textId="77777777" w:rsidR="00FF1BF6" w:rsidRDefault="00FF1BF6" w:rsidP="00FF1BF6"/>
    <w:p w14:paraId="32421BD6" w14:textId="77777777" w:rsidR="00FF1BF6" w:rsidRDefault="00FF1BF6" w:rsidP="00FF1BF6"/>
    <w:p w14:paraId="2D32BBDB" w14:textId="77777777" w:rsidR="00F1051A" w:rsidRDefault="00F1051A" w:rsidP="00FF1BF6">
      <w:pPr>
        <w:widowControl/>
        <w:spacing w:after="160" w:line="259" w:lineRule="auto"/>
      </w:pPr>
    </w:p>
    <w:sectPr w:rsidR="00F1051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0E335C" w14:textId="77777777" w:rsidR="00000000" w:rsidRDefault="007A64A8">
      <w:r>
        <w:separator/>
      </w:r>
    </w:p>
  </w:endnote>
  <w:endnote w:type="continuationSeparator" w:id="0">
    <w:p w14:paraId="1608B1F7" w14:textId="77777777" w:rsidR="00000000" w:rsidRDefault="007A6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E6D7D" w14:textId="77777777" w:rsidR="00000000" w:rsidRDefault="007A64A8">
      <w:r>
        <w:separator/>
      </w:r>
    </w:p>
  </w:footnote>
  <w:footnote w:type="continuationSeparator" w:id="0">
    <w:p w14:paraId="05936AA2" w14:textId="77777777" w:rsidR="00000000" w:rsidRDefault="007A6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2FB59" w14:textId="77777777" w:rsidR="00C363D4" w:rsidRDefault="007A64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7958A1"/>
    <w:multiLevelType w:val="multilevel"/>
    <w:tmpl w:val="4796CDC2"/>
    <w:lvl w:ilvl="0">
      <w:start w:val="1"/>
      <w:numFmt w:val="upperLetter"/>
      <w:pStyle w:val="ScheduleStartNnumber"/>
      <w:suff w:val="nothing"/>
      <w:lvlText w:val="%1"/>
      <w:lvlJc w:val="left"/>
      <w:rPr>
        <w:rFonts w:cs="Times New Roman" w:hint="default"/>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1" w15:restartNumberingAfterBreak="0">
    <w:nsid w:val="4AE90419"/>
    <w:multiLevelType w:val="multilevel"/>
    <w:tmpl w:val="C9AE9C20"/>
    <w:lvl w:ilvl="0">
      <w:start w:val="1"/>
      <w:numFmt w:val="decimal"/>
      <w:lvlText w:val="A%1"/>
      <w:lvlJc w:val="left"/>
      <w:pPr>
        <w:tabs>
          <w:tab w:val="num" w:pos="567"/>
        </w:tabs>
        <w:ind w:left="567" w:hanging="567"/>
      </w:pPr>
      <w:rPr>
        <w:rFonts w:cs="Times New Roman" w:hint="default"/>
      </w:rPr>
    </w:lvl>
    <w:lvl w:ilvl="1">
      <w:start w:val="1"/>
      <w:numFmt w:val="lowerLetter"/>
      <w:lvlText w:val="%2."/>
      <w:lvlJc w:val="left"/>
      <w:pPr>
        <w:tabs>
          <w:tab w:val="num" w:pos="924"/>
        </w:tabs>
        <w:ind w:left="924" w:hanging="357"/>
      </w:pPr>
      <w:rPr>
        <w:rFonts w:cs="Times New Roman" w:hint="default"/>
      </w:rPr>
    </w:lvl>
    <w:lvl w:ilvl="2">
      <w:start w:val="1"/>
      <w:numFmt w:val="lowerRoman"/>
      <w:lvlText w:val="%3."/>
      <w:lvlJc w:val="left"/>
      <w:pPr>
        <w:tabs>
          <w:tab w:val="num" w:pos="1281"/>
        </w:tabs>
        <w:ind w:left="1281" w:hanging="35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BF6"/>
    <w:rsid w:val="007A64A8"/>
    <w:rsid w:val="00F1051A"/>
    <w:rsid w:val="00FF1B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716F8"/>
  <w15:chartTrackingRefBased/>
  <w15:docId w15:val="{81F910B9-18B4-4A34-8912-19A177492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F1BF6"/>
    <w:pPr>
      <w:widowControl w:val="0"/>
      <w:spacing w:after="0" w:line="240" w:lineRule="auto"/>
    </w:pPr>
    <w:rPr>
      <w:lang w:val="en-US"/>
    </w:rPr>
  </w:style>
  <w:style w:type="paragraph" w:styleId="Heading1">
    <w:name w:val="heading 1"/>
    <w:basedOn w:val="Normal"/>
    <w:next w:val="Normal"/>
    <w:link w:val="Heading1Char"/>
    <w:uiPriority w:val="9"/>
    <w:qFormat/>
    <w:rsid w:val="00FF1BF6"/>
    <w:pPr>
      <w:keepNext/>
      <w:widowControl/>
      <w:spacing w:before="480" w:after="180"/>
      <w:outlineLvl w:val="0"/>
    </w:pPr>
    <w:rPr>
      <w:rFonts w:ascii="Consolas" w:eastAsia="Times New Roman" w:hAnsi="Consolas" w:cs="Arial"/>
      <w:bCs/>
      <w:caps/>
      <w:color w:val="3D4B67"/>
      <w:kern w:val="32"/>
      <w:sz w:val="32"/>
      <w:szCs w:val="36"/>
      <w:lang w:val="en-AU" w:eastAsia="en-AU"/>
    </w:rPr>
  </w:style>
  <w:style w:type="paragraph" w:styleId="Heading2">
    <w:name w:val="heading 2"/>
    <w:basedOn w:val="Normal"/>
    <w:next w:val="Normal"/>
    <w:link w:val="Heading2Char"/>
    <w:uiPriority w:val="9"/>
    <w:semiHidden/>
    <w:unhideWhenUsed/>
    <w:qFormat/>
    <w:rsid w:val="00FF1BF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9">
    <w:name w:val="heading 9"/>
    <w:basedOn w:val="Normal"/>
    <w:next w:val="Normal"/>
    <w:link w:val="Heading9Char"/>
    <w:uiPriority w:val="9"/>
    <w:qFormat/>
    <w:rsid w:val="00FF1BF6"/>
    <w:pPr>
      <w:keepNext/>
      <w:widowControl/>
      <w:spacing w:after="60"/>
      <w:jc w:val="right"/>
      <w:outlineLvl w:val="8"/>
    </w:pPr>
    <w:rPr>
      <w:rFonts w:ascii="Corbel" w:eastAsia="Times New Roman" w:hAnsi="Corbel" w:cs="Arial"/>
      <w:color w:val="833C0B" w:themeColor="accent2" w:themeShade="80"/>
      <w:sz w:val="32"/>
      <w:szCs w:val="3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BF6"/>
    <w:rPr>
      <w:rFonts w:ascii="Consolas" w:eastAsia="Times New Roman" w:hAnsi="Consolas" w:cs="Arial"/>
      <w:bCs/>
      <w:caps/>
      <w:color w:val="3D4B67"/>
      <w:kern w:val="32"/>
      <w:sz w:val="32"/>
      <w:szCs w:val="36"/>
      <w:lang w:eastAsia="en-AU"/>
    </w:rPr>
  </w:style>
  <w:style w:type="character" w:customStyle="1" w:styleId="Heading9Char">
    <w:name w:val="Heading 9 Char"/>
    <w:basedOn w:val="DefaultParagraphFont"/>
    <w:link w:val="Heading9"/>
    <w:uiPriority w:val="9"/>
    <w:rsid w:val="00FF1BF6"/>
    <w:rPr>
      <w:rFonts w:ascii="Corbel" w:eastAsia="Times New Roman" w:hAnsi="Corbel" w:cs="Arial"/>
      <w:color w:val="833C0B" w:themeColor="accent2" w:themeShade="80"/>
      <w:sz w:val="32"/>
      <w:szCs w:val="32"/>
      <w:lang w:eastAsia="en-AU"/>
    </w:rPr>
  </w:style>
  <w:style w:type="paragraph" w:styleId="Header">
    <w:name w:val="header"/>
    <w:basedOn w:val="Normal"/>
    <w:link w:val="HeaderChar"/>
    <w:uiPriority w:val="99"/>
    <w:rsid w:val="00FF1BF6"/>
    <w:pPr>
      <w:keepNext/>
      <w:widowControl/>
    </w:pPr>
    <w:rPr>
      <w:rFonts w:ascii="Corbel" w:eastAsia="Times New Roman" w:hAnsi="Corbel" w:cs="Times New Roman"/>
      <w:color w:val="3D4B67"/>
      <w:sz w:val="18"/>
      <w:szCs w:val="20"/>
      <w:lang w:val="en-AU" w:eastAsia="en-AU"/>
    </w:rPr>
  </w:style>
  <w:style w:type="character" w:customStyle="1" w:styleId="HeaderChar">
    <w:name w:val="Header Char"/>
    <w:basedOn w:val="DefaultParagraphFont"/>
    <w:link w:val="Header"/>
    <w:uiPriority w:val="99"/>
    <w:rsid w:val="00FF1BF6"/>
    <w:rPr>
      <w:rFonts w:ascii="Corbel" w:eastAsia="Times New Roman" w:hAnsi="Corbel" w:cs="Times New Roman"/>
      <w:color w:val="3D4B67"/>
      <w:sz w:val="18"/>
      <w:szCs w:val="20"/>
      <w:lang w:eastAsia="en-AU"/>
    </w:rPr>
  </w:style>
  <w:style w:type="paragraph" w:customStyle="1" w:styleId="ScheduleStartNnumber">
    <w:name w:val="ScheduleStartNnumber"/>
    <w:rsid w:val="00FF1BF6"/>
    <w:pPr>
      <w:numPr>
        <w:numId w:val="1"/>
      </w:numPr>
      <w:spacing w:after="0" w:line="240" w:lineRule="auto"/>
    </w:pPr>
    <w:rPr>
      <w:rFonts w:ascii="Consolas" w:eastAsia="Times New Roman" w:hAnsi="Consolas" w:cs="Arial"/>
      <w:bCs/>
      <w:vanish/>
      <w:color w:val="000000"/>
      <w:kern w:val="32"/>
      <w:sz w:val="12"/>
      <w:szCs w:val="36"/>
      <w:lang w:eastAsia="en-AU"/>
    </w:rPr>
  </w:style>
  <w:style w:type="paragraph" w:styleId="Subtitle">
    <w:name w:val="Subtitle"/>
    <w:basedOn w:val="Normal"/>
    <w:link w:val="SubtitleChar"/>
    <w:uiPriority w:val="11"/>
    <w:qFormat/>
    <w:rsid w:val="00FF1BF6"/>
    <w:pPr>
      <w:widowControl/>
      <w:spacing w:after="300"/>
    </w:pPr>
    <w:rPr>
      <w:rFonts w:ascii="Consolas" w:eastAsia="Times New Roman" w:hAnsi="Consolas" w:cs="Times New Roman"/>
      <w:b/>
      <w:caps/>
      <w:color w:val="C7823E"/>
      <w:spacing w:val="50"/>
      <w:sz w:val="24"/>
      <w:lang w:val="en-AU" w:eastAsia="ja-JP"/>
    </w:rPr>
  </w:style>
  <w:style w:type="character" w:customStyle="1" w:styleId="SubtitleChar">
    <w:name w:val="Subtitle Char"/>
    <w:basedOn w:val="DefaultParagraphFont"/>
    <w:link w:val="Subtitle"/>
    <w:uiPriority w:val="11"/>
    <w:rsid w:val="00FF1BF6"/>
    <w:rPr>
      <w:rFonts w:ascii="Consolas" w:eastAsia="Times New Roman" w:hAnsi="Consolas" w:cs="Times New Roman"/>
      <w:b/>
      <w:caps/>
      <w:color w:val="C7823E"/>
      <w:spacing w:val="50"/>
      <w:sz w:val="24"/>
      <w:lang w:eastAsia="ja-JP"/>
    </w:rPr>
  </w:style>
  <w:style w:type="paragraph" w:styleId="Title">
    <w:name w:val="Title"/>
    <w:basedOn w:val="Normal"/>
    <w:next w:val="Subtitle"/>
    <w:link w:val="TitleChar"/>
    <w:uiPriority w:val="10"/>
    <w:qFormat/>
    <w:rsid w:val="00FF1BF6"/>
    <w:pPr>
      <w:widowControl/>
    </w:pPr>
    <w:rPr>
      <w:rFonts w:ascii="Corbel" w:eastAsia="Times New Roman" w:hAnsi="Corbel" w:cs="Times New Roman"/>
      <w:color w:val="3D4B67"/>
      <w:sz w:val="40"/>
      <w:szCs w:val="40"/>
      <w:lang w:val="en-AU" w:eastAsia="ja-JP"/>
    </w:rPr>
  </w:style>
  <w:style w:type="character" w:customStyle="1" w:styleId="TitleChar">
    <w:name w:val="Title Char"/>
    <w:basedOn w:val="DefaultParagraphFont"/>
    <w:link w:val="Title"/>
    <w:uiPriority w:val="10"/>
    <w:rsid w:val="00FF1BF6"/>
    <w:rPr>
      <w:rFonts w:ascii="Corbel" w:eastAsia="Times New Roman" w:hAnsi="Corbel" w:cs="Times New Roman"/>
      <w:color w:val="3D4B67"/>
      <w:sz w:val="40"/>
      <w:szCs w:val="40"/>
      <w:lang w:eastAsia="ja-JP"/>
    </w:rPr>
  </w:style>
  <w:style w:type="paragraph" w:customStyle="1" w:styleId="ScheduleNumberedPara">
    <w:name w:val="ScheduleNumberedPara"/>
    <w:basedOn w:val="Normal"/>
    <w:link w:val="ScheduleNumberedParaChar"/>
    <w:rsid w:val="00FF1BF6"/>
    <w:pPr>
      <w:widowControl/>
      <w:numPr>
        <w:ilvl w:val="1"/>
        <w:numId w:val="1"/>
      </w:numPr>
      <w:tabs>
        <w:tab w:val="num" w:pos="2268"/>
      </w:tabs>
      <w:spacing w:after="240" w:line="260" w:lineRule="exact"/>
      <w:jc w:val="both"/>
    </w:pPr>
    <w:rPr>
      <w:rFonts w:ascii="Corbel" w:eastAsia="Times New Roman" w:hAnsi="Corbel" w:cs="Times New Roman"/>
      <w:color w:val="000000"/>
      <w:sz w:val="23"/>
      <w:szCs w:val="20"/>
      <w:lang w:val="en-AU" w:eastAsia="en-AU"/>
    </w:rPr>
  </w:style>
  <w:style w:type="character" w:customStyle="1" w:styleId="ScheduleNumberedParaChar">
    <w:name w:val="ScheduleNumberedPara Char"/>
    <w:link w:val="ScheduleNumberedPara"/>
    <w:locked/>
    <w:rsid w:val="00FF1BF6"/>
    <w:rPr>
      <w:rFonts w:ascii="Corbel" w:eastAsia="Times New Roman" w:hAnsi="Corbel" w:cs="Times New Roman"/>
      <w:color w:val="000000"/>
      <w:sz w:val="23"/>
      <w:szCs w:val="20"/>
      <w:lang w:eastAsia="en-AU"/>
    </w:rPr>
  </w:style>
  <w:style w:type="paragraph" w:customStyle="1" w:styleId="Tableformat">
    <w:name w:val="Table format"/>
    <w:basedOn w:val="Heading2"/>
    <w:link w:val="TableformatChar"/>
    <w:qFormat/>
    <w:rsid w:val="00FF1BF6"/>
    <w:pPr>
      <w:keepNext w:val="0"/>
      <w:keepLines w:val="0"/>
      <w:widowControl/>
      <w:spacing w:before="80" w:after="80"/>
    </w:pPr>
    <w:rPr>
      <w:rFonts w:ascii="Corbel" w:eastAsia="Times New Roman" w:hAnsi="Corbel" w:cs="Arial"/>
      <w:iCs/>
      <w:lang w:eastAsia="en-AU"/>
    </w:rPr>
  </w:style>
  <w:style w:type="character" w:customStyle="1" w:styleId="TableformatChar">
    <w:name w:val="Table format Char"/>
    <w:basedOn w:val="Heading2Char"/>
    <w:link w:val="Tableformat"/>
    <w:rsid w:val="00FF1BF6"/>
    <w:rPr>
      <w:rFonts w:ascii="Corbel" w:eastAsia="Times New Roman" w:hAnsi="Corbel" w:cs="Arial"/>
      <w:iCs/>
      <w:color w:val="2E74B5" w:themeColor="accent1" w:themeShade="BF"/>
      <w:sz w:val="26"/>
      <w:szCs w:val="26"/>
      <w:lang w:val="en-US" w:eastAsia="en-AU"/>
    </w:rPr>
  </w:style>
  <w:style w:type="paragraph" w:customStyle="1" w:styleId="Milestonetable">
    <w:name w:val="Milestone table"/>
    <w:basedOn w:val="Tableformat"/>
    <w:link w:val="MilestonetableChar"/>
    <w:qFormat/>
    <w:rsid w:val="00FF1BF6"/>
    <w:pPr>
      <w:spacing w:before="60" w:after="60"/>
    </w:pPr>
    <w:rPr>
      <w:sz w:val="20"/>
      <w:szCs w:val="20"/>
    </w:rPr>
  </w:style>
  <w:style w:type="character" w:customStyle="1" w:styleId="MilestonetableChar">
    <w:name w:val="Milestone table Char"/>
    <w:basedOn w:val="TableformatChar"/>
    <w:link w:val="Milestonetable"/>
    <w:rsid w:val="00FF1BF6"/>
    <w:rPr>
      <w:rFonts w:ascii="Corbel" w:eastAsia="Times New Roman" w:hAnsi="Corbel" w:cs="Arial"/>
      <w:iCs/>
      <w:color w:val="2E74B5" w:themeColor="accent1" w:themeShade="BF"/>
      <w:sz w:val="20"/>
      <w:szCs w:val="20"/>
      <w:lang w:val="en-US" w:eastAsia="en-AU"/>
    </w:rPr>
  </w:style>
  <w:style w:type="character" w:customStyle="1" w:styleId="Heading2Char">
    <w:name w:val="Heading 2 Char"/>
    <w:basedOn w:val="DefaultParagraphFont"/>
    <w:link w:val="Heading2"/>
    <w:uiPriority w:val="9"/>
    <w:semiHidden/>
    <w:rsid w:val="00FF1BF6"/>
    <w:rPr>
      <w:rFonts w:asciiTheme="majorHAnsi" w:eastAsiaTheme="majorEastAsia" w:hAnsiTheme="majorHAnsi" w:cstheme="majorBidi"/>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TaxCatchAll xmlns="0f563589-9cf9-4143-b1eb-fb0534803d38">
      <Value>2</Value>
    </TaxCatchAll>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0f563589-9cf9-4143-b1eb-fb0534803d38">2020FG-64-88152</_dlc_DocId>
    <_dlc_DocIdUrl xmlns="0f563589-9cf9-4143-b1eb-fb0534803d38">
      <Url>http://tweb/sites/fg/csrd/_layouts/15/DocIdRedir.aspx?ID=2020FG-64-88152</Url>
      <Description>2020FG-64-88152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6.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33959" ma:contentTypeDescription=" " ma:contentTypeScope="" ma:versionID="a3116dee368bdcfdd905dbca7a89b76a">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E3BDFA-5331-451B-B41F-1DF512C059E5}">
  <ds:schemaRefs>
    <ds:schemaRef ds:uri="office.server.policy"/>
  </ds:schemaRefs>
</ds:datastoreItem>
</file>

<file path=customXml/itemProps2.xml><?xml version="1.0" encoding="utf-8"?>
<ds:datastoreItem xmlns:ds="http://schemas.openxmlformats.org/officeDocument/2006/customXml" ds:itemID="{1D30C643-175B-48C8-92DC-CA3EE57F0BD6}">
  <ds:schemaRefs>
    <ds:schemaRef ds:uri="http://purl.org/dc/terms/"/>
    <ds:schemaRef ds:uri="http://schemas.openxmlformats.org/package/2006/metadata/core-properties"/>
    <ds:schemaRef ds:uri="http://schemas.microsoft.com/office/2006/documentManagement/types"/>
    <ds:schemaRef ds:uri="e544e5cc-ab70-42e1-849e-1a0f8bb1f4ef"/>
    <ds:schemaRef ds:uri="0f563589-9cf9-4143-b1eb-fb0534803d38"/>
    <ds:schemaRef ds:uri="http://purl.org/dc/elements/1.1/"/>
    <ds:schemaRef ds:uri="http://schemas.microsoft.com/office/2006/metadata/properties"/>
    <ds:schemaRef ds:uri="http://schemas.microsoft.com/sharepoint/v3"/>
    <ds:schemaRef ds:uri="http://schemas.microsoft.com/sharepoint/v4"/>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B6D49A7-7A0A-4741-9E1C-0C10F1796EE7}">
  <ds:schemaRefs>
    <ds:schemaRef ds:uri="http://schemas.microsoft.com/sharepoint/events"/>
  </ds:schemaRefs>
</ds:datastoreItem>
</file>

<file path=customXml/itemProps4.xml><?xml version="1.0" encoding="utf-8"?>
<ds:datastoreItem xmlns:ds="http://schemas.openxmlformats.org/officeDocument/2006/customXml" ds:itemID="{E1ED1D54-BAD0-4B2B-B0BA-F7AF1AE06D63}">
  <ds:schemaRefs>
    <ds:schemaRef ds:uri="http://schemas.microsoft.com/sharepoint/v3/contenttype/forms"/>
  </ds:schemaRefs>
</ds:datastoreItem>
</file>

<file path=customXml/itemProps5.xml><?xml version="1.0" encoding="utf-8"?>
<ds:datastoreItem xmlns:ds="http://schemas.openxmlformats.org/officeDocument/2006/customXml" ds:itemID="{A168ADD4-FEAE-4DFE-9EE5-2B87820F6BE6}">
  <ds:schemaRefs>
    <ds:schemaRef ds:uri="Microsoft.SharePoint.Taxonomy.ContentTypeSync"/>
  </ds:schemaRefs>
</ds:datastoreItem>
</file>

<file path=customXml/itemProps6.xml><?xml version="1.0" encoding="utf-8"?>
<ds:datastoreItem xmlns:ds="http://schemas.openxmlformats.org/officeDocument/2006/customXml" ds:itemID="{93802D87-CD07-44C1-97A2-8B63CBCF177F}"/>
</file>

<file path=docProps/app.xml><?xml version="1.0" encoding="utf-8"?>
<Properties xmlns="http://schemas.openxmlformats.org/officeDocument/2006/extended-properties" xmlns:vt="http://schemas.openxmlformats.org/officeDocument/2006/docPropsVTypes">
  <Template>Normal.dotm</Template>
  <TotalTime>1</TotalTime>
  <Pages>10</Pages>
  <Words>1400</Words>
  <Characters>7984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the Prime Minister and Cabinet</Company>
  <LinksUpToDate>false</LinksUpToDate>
  <CharactersWithSpaces>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Kim</dc:creator>
  <cp:keywords/>
  <dc:description/>
  <cp:lastModifiedBy>Nieuwenhuize, Holly</cp:lastModifiedBy>
  <cp:revision>2</cp:revision>
  <dcterms:created xsi:type="dcterms:W3CDTF">2020-10-27T03:21:00Z</dcterms:created>
  <dcterms:modified xsi:type="dcterms:W3CDTF">2020-10-27T03:21:00Z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0x010100348D01E61E107C4DA4B97E380EA20D47005CDF45B49E80F24CAD80DFC012154DA9</vt:lpwstr>
  </property>
  <property fmtid="{D5CDD505-2E9C-101B-9397-08002B2CF9AE}" pid="3" name="HPRMSecurityCaveat">
    <vt:lpwstr/>
  </property>
  <property fmtid="{D5CDD505-2E9C-101B-9397-08002B2CF9AE}" pid="4" name="ESearchTags">
    <vt:lpwstr>12;#Drought|0abdd1d8-9166-4c57-bdef-cede644331a4</vt:lpwstr>
  </property>
  <property fmtid="{D5CDD505-2E9C-101B-9397-08002B2CF9AE}" pid="5" name="HPRMSecurityLevel">
    <vt:lpwstr>32;#OFFICIAL|11463c70-78df-4e3b-b0ff-f66cd3cb26ec</vt:lpwstr>
  </property>
  <property fmtid="{D5CDD505-2E9C-101B-9397-08002B2CF9AE}" pid="6" name="PMC.ESearch.TagGeneratedTime">
    <vt:lpwstr>2020-07-10T16:41:35</vt:lpwstr>
  </property>
  <property fmtid="{D5CDD505-2E9C-101B-9397-08002B2CF9AE}" pid="7" name="_dlc_DocIdItemGuid">
    <vt:lpwstr>cbc36f87-6417-4c58-b6e9-dc058bf48fe3</vt:lpwstr>
  </property>
  <property fmtid="{D5CDD505-2E9C-101B-9397-08002B2CF9AE}" pid="8" name="TSYRecordClass">
    <vt:lpwstr>2;#TSY RA-8748 - Retain as national archives|243f2231-dbfc-4282-b24a-c9b768286bd0</vt:lpwstr>
  </property>
  <property fmtid="{D5CDD505-2E9C-101B-9397-08002B2CF9AE}" pid="9" name="RecordPoint_WorkflowType">
    <vt:lpwstr>ActiveSubmitStub</vt:lpwstr>
  </property>
  <property fmtid="{D5CDD505-2E9C-101B-9397-08002B2CF9AE}" pid="10" name="RecordPoint_ActiveItemListId">
    <vt:lpwstr>{4435c73b-6585-4bc2-a76a-5d21b1a02e06}</vt:lpwstr>
  </property>
  <property fmtid="{D5CDD505-2E9C-101B-9397-08002B2CF9AE}" pid="11" name="RecordPoint_ActiveItemUniqueId">
    <vt:lpwstr>{cbc36f87-6417-4c58-b6e9-dc058bf48fe3}</vt:lpwstr>
  </property>
  <property fmtid="{D5CDD505-2E9C-101B-9397-08002B2CF9AE}" pid="12" name="RecordPoint_ActiveItemWebId">
    <vt:lpwstr>{a4589788-615f-4b8b-8296-7f9f6dfbab44}</vt:lpwstr>
  </property>
  <property fmtid="{D5CDD505-2E9C-101B-9397-08002B2CF9AE}" pid="13" name="RecordPoint_ActiveItemSiteId">
    <vt:lpwstr>{a3a280d1-e8f1-4ce7-94f0-aaa2322da0dd}</vt:lpwstr>
  </property>
  <property fmtid="{D5CDD505-2E9C-101B-9397-08002B2CF9AE}" pid="14" name="RecordPoint_SubmissionDate">
    <vt:lpwstr/>
  </property>
  <property fmtid="{D5CDD505-2E9C-101B-9397-08002B2CF9AE}" pid="15" name="RecordPoint_RecordNumberSubmitted">
    <vt:lpwstr/>
  </property>
  <property fmtid="{D5CDD505-2E9C-101B-9397-08002B2CF9AE}" pid="16" name="RecordPoint_ActiveItemMoved">
    <vt:lpwstr/>
  </property>
  <property fmtid="{D5CDD505-2E9C-101B-9397-08002B2CF9AE}" pid="17" name="RecordPoint_RecordFormat">
    <vt:lpwstr/>
  </property>
  <property fmtid="{D5CDD505-2E9C-101B-9397-08002B2CF9AE}" pid="18" name="RecordPoint_SubmissionCompleted">
    <vt:lpwstr/>
  </property>
</Properties>
</file>