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48" w:type="pct"/>
        <w:tblInd w:w="-284" w:type="dxa"/>
        <w:tblLook w:val="01E0" w:firstRow="1" w:lastRow="1" w:firstColumn="1" w:lastColumn="1" w:noHBand="0" w:noVBand="0"/>
      </w:tblPr>
      <w:tblGrid>
        <w:gridCol w:w="1479"/>
        <w:gridCol w:w="8444"/>
      </w:tblGrid>
      <w:tr w:rsidR="00814667" w14:paraId="50870352" w14:textId="77777777" w:rsidTr="00FE0584">
        <w:tc>
          <w:tcPr>
            <w:tcW w:w="5000" w:type="pct"/>
            <w:gridSpan w:val="2"/>
          </w:tcPr>
          <w:p w14:paraId="103EB3DE" w14:textId="07A9C280" w:rsidR="00814667" w:rsidRPr="00FE0584" w:rsidRDefault="00BA4284" w:rsidP="00FE0584">
            <w:pPr>
              <w:pStyle w:val="CoverTitleMain"/>
              <w:ind w:right="-114"/>
              <w:rPr>
                <w:sz w:val="80"/>
                <w:szCs w:val="80"/>
              </w:rPr>
            </w:pPr>
            <w:r w:rsidRPr="00FE0584">
              <w:rPr>
                <w:sz w:val="80"/>
                <w:szCs w:val="80"/>
              </w:rPr>
              <w:t>Project AGreement</w:t>
            </w:r>
            <w:r w:rsidR="00292587" w:rsidRPr="00FE0584">
              <w:rPr>
                <w:sz w:val="80"/>
                <w:szCs w:val="80"/>
              </w:rPr>
              <w:t xml:space="preserve"> FOR </w:t>
            </w:r>
            <w:r w:rsidR="00FE0584" w:rsidRPr="00FE0584">
              <w:rPr>
                <w:sz w:val="80"/>
                <w:szCs w:val="80"/>
              </w:rPr>
              <w:t>THE HORTICULTURAL NETTING INFRASTRUCTURE PROGRAM - TRIAL</w:t>
            </w:r>
          </w:p>
        </w:tc>
      </w:tr>
      <w:tr w:rsidR="00814667" w14:paraId="6032C294" w14:textId="77777777" w:rsidTr="00FE0584">
        <w:tc>
          <w:tcPr>
            <w:tcW w:w="745" w:type="pct"/>
          </w:tcPr>
          <w:p w14:paraId="6697390D" w14:textId="77777777" w:rsidR="00814667" w:rsidRDefault="00814667">
            <w:pPr>
              <w:pStyle w:val="SingleParagraph"/>
              <w:tabs>
                <w:tab w:val="num" w:pos="1134"/>
              </w:tabs>
              <w:spacing w:after="240"/>
              <w:ind w:left="1134" w:hanging="567"/>
            </w:pPr>
          </w:p>
        </w:tc>
        <w:tc>
          <w:tcPr>
            <w:tcW w:w="4255" w:type="pct"/>
          </w:tcPr>
          <w:p w14:paraId="5274A6E0" w14:textId="77777777" w:rsidR="00814667" w:rsidRDefault="00814667">
            <w:pPr>
              <w:pStyle w:val="SingleParagraph"/>
              <w:tabs>
                <w:tab w:val="num" w:pos="1134"/>
              </w:tabs>
              <w:spacing w:after="240"/>
              <w:ind w:left="1134" w:hanging="567"/>
            </w:pPr>
          </w:p>
        </w:tc>
      </w:tr>
      <w:tr w:rsidR="00814667" w14:paraId="3075FB05" w14:textId="77777777" w:rsidTr="00FE0584">
        <w:tc>
          <w:tcPr>
            <w:tcW w:w="745" w:type="pct"/>
          </w:tcPr>
          <w:p w14:paraId="165F947D" w14:textId="77777777" w:rsidR="00814667" w:rsidRDefault="00814667">
            <w:pPr>
              <w:pStyle w:val="SingleParagraph"/>
              <w:tabs>
                <w:tab w:val="num" w:pos="1134"/>
              </w:tabs>
              <w:spacing w:after="240"/>
              <w:ind w:left="1134" w:hanging="567"/>
            </w:pPr>
          </w:p>
        </w:tc>
        <w:tc>
          <w:tcPr>
            <w:tcW w:w="4255" w:type="pct"/>
          </w:tcPr>
          <w:p w14:paraId="6BD04863" w14:textId="77777777" w:rsidR="00814667" w:rsidRPr="001E74D0" w:rsidRDefault="00814667">
            <w:pPr>
              <w:pStyle w:val="SingleParagraph"/>
              <w:tabs>
                <w:tab w:val="num" w:pos="1134"/>
              </w:tabs>
              <w:spacing w:after="240"/>
              <w:ind w:left="1134" w:hanging="567"/>
            </w:pPr>
          </w:p>
        </w:tc>
      </w:tr>
      <w:tr w:rsidR="00814667" w14:paraId="60A95C19" w14:textId="77777777" w:rsidTr="00FE0584">
        <w:tc>
          <w:tcPr>
            <w:tcW w:w="5000" w:type="pct"/>
            <w:gridSpan w:val="2"/>
          </w:tcPr>
          <w:p w14:paraId="392BCECD" w14:textId="77777777" w:rsidR="00814667" w:rsidRDefault="00814667">
            <w:pPr>
              <w:pStyle w:val="AgreementHeading"/>
              <w:tabs>
                <w:tab w:val="clear" w:pos="1134"/>
              </w:tabs>
            </w:pPr>
            <w:r>
              <w:t>An agreement between</w:t>
            </w:r>
            <w:r w:rsidR="00697494">
              <w:t>:</w:t>
            </w:r>
          </w:p>
        </w:tc>
      </w:tr>
      <w:tr w:rsidR="00814667" w14:paraId="2D3186F1" w14:textId="77777777" w:rsidTr="00FE0584">
        <w:tc>
          <w:tcPr>
            <w:tcW w:w="745" w:type="pct"/>
          </w:tcPr>
          <w:p w14:paraId="5C3F0BD0" w14:textId="77777777" w:rsidR="00814667" w:rsidRPr="001E74D0" w:rsidRDefault="00814667">
            <w:pPr>
              <w:pStyle w:val="AgreementHeading"/>
              <w:tabs>
                <w:tab w:val="clear" w:pos="1134"/>
              </w:tabs>
              <w:ind w:left="522"/>
            </w:pPr>
          </w:p>
        </w:tc>
        <w:tc>
          <w:tcPr>
            <w:tcW w:w="4255" w:type="pct"/>
          </w:tcPr>
          <w:p w14:paraId="79B5178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3353B41D" w14:textId="03568A8D" w:rsidR="00814667" w:rsidRPr="001E74D0" w:rsidRDefault="00814667" w:rsidP="00697494">
            <w:pPr>
              <w:pStyle w:val="AgreementParties"/>
            </w:pPr>
            <w:r>
              <w:t xml:space="preserve">the </w:t>
            </w:r>
            <w:r>
              <w:rPr>
                <w:rStyle w:val="Bold"/>
              </w:rPr>
              <w:t>State</w:t>
            </w:r>
            <w:r w:rsidR="00FE0584">
              <w:rPr>
                <w:rStyle w:val="Bold"/>
              </w:rPr>
              <w:t xml:space="preserve"> of South Australia. </w:t>
            </w:r>
          </w:p>
        </w:tc>
      </w:tr>
      <w:tr w:rsidR="00814667" w14:paraId="3AD0A72F" w14:textId="77777777" w:rsidTr="00FE0584">
        <w:tc>
          <w:tcPr>
            <w:tcW w:w="745" w:type="pct"/>
          </w:tcPr>
          <w:p w14:paraId="60128D30" w14:textId="77777777" w:rsidR="00814667" w:rsidRDefault="00814667">
            <w:pPr>
              <w:pStyle w:val="SingleParagraph"/>
              <w:tabs>
                <w:tab w:val="num" w:pos="1134"/>
              </w:tabs>
              <w:spacing w:after="240"/>
              <w:ind w:left="1134" w:hanging="567"/>
            </w:pPr>
          </w:p>
        </w:tc>
        <w:tc>
          <w:tcPr>
            <w:tcW w:w="4255" w:type="pct"/>
            <w:tcBorders>
              <w:left w:val="nil"/>
            </w:tcBorders>
          </w:tcPr>
          <w:p w14:paraId="46F83331" w14:textId="2A0DE9BD" w:rsidR="00EB7EDA" w:rsidRPr="00EB7EDA" w:rsidRDefault="00EB7EDA" w:rsidP="00F630EF">
            <w:pPr>
              <w:rPr>
                <w:i/>
              </w:rPr>
            </w:pPr>
          </w:p>
        </w:tc>
      </w:tr>
      <w:tr w:rsidR="00814667" w14:paraId="344C391E" w14:textId="77777777" w:rsidTr="00FE0584">
        <w:tc>
          <w:tcPr>
            <w:tcW w:w="5000" w:type="pct"/>
            <w:gridSpan w:val="2"/>
          </w:tcPr>
          <w:p w14:paraId="71AA7B61" w14:textId="77777777" w:rsidR="00814667" w:rsidRDefault="00814667">
            <w:pPr>
              <w:pStyle w:val="SingleParagraph"/>
              <w:tabs>
                <w:tab w:val="num" w:pos="1134"/>
              </w:tabs>
              <w:spacing w:after="240"/>
              <w:ind w:left="1134" w:hanging="567"/>
            </w:pPr>
          </w:p>
        </w:tc>
      </w:tr>
      <w:tr w:rsidR="00814667" w14:paraId="5D21039C" w14:textId="77777777" w:rsidTr="00FE0584">
        <w:tc>
          <w:tcPr>
            <w:tcW w:w="5000" w:type="pct"/>
            <w:gridSpan w:val="2"/>
          </w:tcPr>
          <w:p w14:paraId="6B37F78E" w14:textId="0D3D761F" w:rsidR="00814667" w:rsidRDefault="00771FFF" w:rsidP="00312CFE">
            <w:pPr>
              <w:pStyle w:val="Abstract"/>
            </w:pPr>
            <w:r>
              <w:t>The output of this project will be</w:t>
            </w:r>
            <w:r w:rsidR="00FE0584">
              <w:t xml:space="preserve"> the delivery of a grants program for the purchase and installation of new or replacement of damaged protective netting for horticultural crops.</w:t>
            </w:r>
            <w:r w:rsidR="00C7093C">
              <w:t xml:space="preserve">  </w:t>
            </w:r>
          </w:p>
        </w:tc>
      </w:tr>
    </w:tbl>
    <w:p w14:paraId="17912C04" w14:textId="530F323F" w:rsidR="00596E88" w:rsidRPr="00FE0584" w:rsidRDefault="00FF5029" w:rsidP="00FE0584">
      <w:pPr>
        <w:pStyle w:val="Title"/>
        <w:pageBreakBefore/>
        <w:rPr>
          <w:i/>
          <w:sz w:val="22"/>
          <w:szCs w:val="22"/>
        </w:rPr>
      </w:pPr>
      <w:r>
        <w:lastRenderedPageBreak/>
        <w:t xml:space="preserve">Project </w:t>
      </w:r>
      <w:r w:rsidR="00D7336A">
        <w:t>Agreement</w:t>
      </w:r>
      <w:r>
        <w:t xml:space="preserve"> for</w:t>
      </w:r>
      <w:r w:rsidR="00C7093C">
        <w:t xml:space="preserve"> </w:t>
      </w:r>
      <w:r w:rsidR="00FE0584">
        <w:t>the Horticultural Netting Infrastructure Program - trial</w:t>
      </w:r>
      <w:r w:rsidR="007A6E20">
        <w:br/>
      </w:r>
    </w:p>
    <w:p w14:paraId="6E28BD13"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BEA70B9" w14:textId="77777777" w:rsidR="00C960AA" w:rsidRPr="0096732C" w:rsidRDefault="00C960AA" w:rsidP="0080410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5BF3358F"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1C5A8C50" w14:textId="078EFCB7" w:rsidR="0096732C" w:rsidRDefault="00852ED8" w:rsidP="0080410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of </w:t>
      </w:r>
      <w:r w:rsidR="00FE0584">
        <w:t>funds to primary producers of horticultural crops to purchase and install protective netting to reduce the impact of adverse weather conditions and animal predation, and to reduce the water usage on those same farms.</w:t>
      </w:r>
    </w:p>
    <w:p w14:paraId="58C598FA"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F8A8656" w14:textId="1BBEF12F" w:rsidR="0096732C" w:rsidRDefault="0096732C" w:rsidP="0080410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State</w:t>
      </w:r>
      <w:r w:rsidR="00FE0584">
        <w:t xml:space="preserve"> of South Australia </w:t>
      </w:r>
      <w:r>
        <w:t>will report</w:t>
      </w:r>
      <w:r w:rsidR="00FE0584">
        <w:t xml:space="preserve"> </w:t>
      </w:r>
      <w:r>
        <w:t xml:space="preserve">against the agreed milestones during the operation of this Agreement, as set out in Part 4 – Project Milestones, Reporting and Payments. </w:t>
      </w:r>
    </w:p>
    <w:p w14:paraId="70507113"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590ECBF4" w14:textId="75A829AF" w:rsidR="0096732C" w:rsidRPr="0096732C" w:rsidRDefault="0096732C" w:rsidP="000F25D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w:t>
      </w:r>
      <w:r w:rsidR="00FE0584">
        <w:t xml:space="preserve">of $14.6 million </w:t>
      </w:r>
      <w:r w:rsidR="00F234AB">
        <w:t xml:space="preserve">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27B338C4"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21958AFA" w14:textId="77777777" w:rsidR="00814667" w:rsidRDefault="00814667">
      <w:pPr>
        <w:pStyle w:val="Heading1"/>
      </w:pPr>
      <w:r>
        <w:t>Part 1 — Formalities</w:t>
      </w:r>
    </w:p>
    <w:p w14:paraId="2A460C5E" w14:textId="77777777" w:rsidR="00804105" w:rsidRDefault="00804105" w:rsidP="000F25D5">
      <w:pPr>
        <w:pStyle w:val="Normalnumbered"/>
        <w:numPr>
          <w:ilvl w:val="0"/>
          <w:numId w:val="22"/>
        </w:numPr>
      </w:pPr>
      <w:r>
        <w:t>This Agreement constitutes the entire agreement for this project.</w:t>
      </w:r>
    </w:p>
    <w:p w14:paraId="5C554864" w14:textId="77777777" w:rsidR="00814667" w:rsidRDefault="00814667">
      <w:pPr>
        <w:pStyle w:val="Heading2"/>
      </w:pPr>
      <w:r>
        <w:t>Parties to this Agreement</w:t>
      </w:r>
    </w:p>
    <w:p w14:paraId="4EC70C4A" w14:textId="049CD6BE" w:rsidR="007B4B03" w:rsidRPr="007B4B03" w:rsidRDefault="00E7195E" w:rsidP="00B619AA">
      <w:pPr>
        <w:pStyle w:val="Normalnumbered"/>
        <w:numPr>
          <w:ilvl w:val="0"/>
          <w:numId w:val="22"/>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FE0584">
        <w:t>the State of South Australia.</w:t>
      </w:r>
      <w:r w:rsidRPr="003012DA">
        <w:t xml:space="preserve"> </w:t>
      </w:r>
    </w:p>
    <w:p w14:paraId="452F60E1" w14:textId="77777777" w:rsidR="00814667" w:rsidRDefault="00814667">
      <w:pPr>
        <w:pStyle w:val="Heading2"/>
      </w:pPr>
      <w:r>
        <w:t>Term of the Agreement</w:t>
      </w:r>
    </w:p>
    <w:p w14:paraId="45A46417" w14:textId="08F42142" w:rsidR="00814667" w:rsidRPr="00DE36EB" w:rsidRDefault="00814667" w:rsidP="00B619AA">
      <w:pPr>
        <w:pStyle w:val="Normalnumbered"/>
        <w:numPr>
          <w:ilvl w:val="0"/>
          <w:numId w:val="22"/>
        </w:numPr>
      </w:pPr>
      <w:r w:rsidRPr="00DE36EB">
        <w:t xml:space="preserve">This Agreement will commence as soon as the Commonwealth and </w:t>
      </w:r>
      <w:r w:rsidR="00FE0584">
        <w:t>South Australia sign it and</w:t>
      </w:r>
      <w:r w:rsidRPr="00DE36EB">
        <w:t xml:space="preserve"> will expire on</w:t>
      </w:r>
      <w:r w:rsidR="00C7093C" w:rsidRPr="00DE36EB">
        <w:t xml:space="preserve"> </w:t>
      </w:r>
      <w:r w:rsidR="00FE0584">
        <w:t>30 June 2023</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4EA0A3B7" w14:textId="31C15882" w:rsidR="002E4B66" w:rsidRDefault="002E4B66" w:rsidP="002E4B66">
      <w:pPr>
        <w:pStyle w:val="Normalnumbered"/>
        <w:numPr>
          <w:ilvl w:val="0"/>
          <w:numId w:val="0"/>
        </w:numPr>
        <w:jc w:val="left"/>
      </w:pPr>
    </w:p>
    <w:p w14:paraId="03B589C3" w14:textId="6C83BBE0"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p>
    <w:p w14:paraId="6672AEFE" w14:textId="04CEC27F" w:rsidR="00814667" w:rsidRDefault="00814667">
      <w:pPr>
        <w:pStyle w:val="Heading2"/>
      </w:pPr>
      <w:r>
        <w:t>Output</w:t>
      </w:r>
    </w:p>
    <w:p w14:paraId="2C23CAB9" w14:textId="5A0E0CC1" w:rsidR="0085738D" w:rsidRDefault="00FE0584" w:rsidP="009E093C">
      <w:pPr>
        <w:pStyle w:val="Normalnumbered"/>
        <w:numPr>
          <w:ilvl w:val="0"/>
          <w:numId w:val="22"/>
        </w:numPr>
        <w:jc w:val="left"/>
      </w:pPr>
      <w:r>
        <w:t>To provide funding for payments to eligible primary producers for the costs associated with the purchase and installation of new or damaged protective netting over areas of land used to grow horticultural crops.</w:t>
      </w:r>
    </w:p>
    <w:p w14:paraId="098D1E88" w14:textId="77777777" w:rsidR="008F44F1" w:rsidRDefault="008F44F1">
      <w:pPr>
        <w:pStyle w:val="Heading1"/>
      </w:pPr>
      <w:r>
        <w:t>Part 3 — roles and responsibilities of each party</w:t>
      </w:r>
    </w:p>
    <w:p w14:paraId="05D90F91" w14:textId="77777777" w:rsidR="008F44F1" w:rsidRDefault="008F44F1" w:rsidP="008F44F1">
      <w:pPr>
        <w:pStyle w:val="Heading2"/>
      </w:pPr>
      <w:r w:rsidRPr="00814590">
        <w:t>Role of the Commonwealth</w:t>
      </w:r>
    </w:p>
    <w:p w14:paraId="7336DE14" w14:textId="77777777" w:rsidR="008F44F1" w:rsidRDefault="008F44F1" w:rsidP="009E093C">
      <w:pPr>
        <w:pStyle w:val="Normalnumbered"/>
        <w:numPr>
          <w:ilvl w:val="0"/>
          <w:numId w:val="22"/>
        </w:numPr>
        <w:jc w:val="left"/>
      </w:pPr>
      <w:r>
        <w:t>The Commonwealth will be responsible for:</w:t>
      </w:r>
    </w:p>
    <w:p w14:paraId="1AF28C25" w14:textId="30B1319F" w:rsidR="008F44F1" w:rsidRPr="000614F9" w:rsidRDefault="008F44F1" w:rsidP="009E093C">
      <w:pPr>
        <w:pStyle w:val="AlphaParagraph"/>
        <w:numPr>
          <w:ilvl w:val="0"/>
          <w:numId w:val="35"/>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w:t>
      </w:r>
      <w:r w:rsidR="00FE0584">
        <w:t xml:space="preserve"> Horticultural Netting Infrastructure Program</w:t>
      </w:r>
      <w:r w:rsidRPr="000614F9">
        <w:t xml:space="preserve"> </w:t>
      </w:r>
      <w:r w:rsidRPr="000614F9">
        <w:rPr>
          <w:color w:val="auto"/>
        </w:rPr>
        <w:t>under</w:t>
      </w:r>
      <w:r w:rsidRPr="004B6083">
        <w:t xml:space="preserve"> this Agreement to ensure that outputs are delivered within the agreed </w:t>
      </w:r>
      <w:proofErr w:type="gramStart"/>
      <w:r w:rsidRPr="004B6083">
        <w:t>timeframe;</w:t>
      </w:r>
      <w:proofErr w:type="gramEnd"/>
      <w:r w:rsidRPr="004B6083">
        <w:t xml:space="preserve"> </w:t>
      </w:r>
    </w:p>
    <w:p w14:paraId="65F72A0D" w14:textId="0446361A" w:rsidR="008F44F1" w:rsidRDefault="008F44F1" w:rsidP="009E093C">
      <w:pPr>
        <w:pStyle w:val="AlphaParagraph"/>
        <w:numPr>
          <w:ilvl w:val="0"/>
          <w:numId w:val="27"/>
        </w:numPr>
        <w:tabs>
          <w:tab w:val="clear" w:pos="567"/>
          <w:tab w:val="clear" w:pos="1418"/>
          <w:tab w:val="clear" w:pos="1701"/>
        </w:tabs>
        <w:ind w:left="1134" w:hanging="567"/>
        <w:rPr>
          <w:color w:val="auto"/>
        </w:rPr>
      </w:pPr>
      <w:r w:rsidRPr="004B6083">
        <w:rPr>
          <w:color w:val="auto"/>
        </w:rPr>
        <w:t xml:space="preserve">providing a consequent financial contribution to the States to support the </w:t>
      </w:r>
      <w:r w:rsidRPr="000614F9">
        <w:t>implementation</w:t>
      </w:r>
      <w:r w:rsidRPr="004B6083">
        <w:rPr>
          <w:color w:val="auto"/>
        </w:rPr>
        <w:t xml:space="preserve"> of this Agreement</w:t>
      </w:r>
      <w:r w:rsidR="00FE0584">
        <w:rPr>
          <w:color w:val="auto"/>
        </w:rPr>
        <w:t xml:space="preserve">. </w:t>
      </w:r>
    </w:p>
    <w:p w14:paraId="1496258A" w14:textId="746A9B5E" w:rsidR="00C82F14" w:rsidRDefault="00C82F14" w:rsidP="00C82F14">
      <w:pPr>
        <w:pStyle w:val="Normalnumbered"/>
        <w:numPr>
          <w:ilvl w:val="0"/>
          <w:numId w:val="22"/>
        </w:numPr>
        <w:jc w:val="left"/>
      </w:pPr>
      <w:r w:rsidRPr="00C82F14">
        <w:t xml:space="preserve">The State of </w:t>
      </w:r>
      <w:r>
        <w:t>South Australia will be responsible for:</w:t>
      </w:r>
    </w:p>
    <w:p w14:paraId="38D749EE" w14:textId="118C0810" w:rsidR="00C82F14" w:rsidRDefault="00C82F14" w:rsidP="00C82F14">
      <w:pPr>
        <w:pStyle w:val="Normalnumbered"/>
        <w:numPr>
          <w:ilvl w:val="0"/>
          <w:numId w:val="0"/>
        </w:numPr>
        <w:tabs>
          <w:tab w:val="left" w:pos="1134"/>
        </w:tabs>
        <w:ind w:left="567"/>
        <w:jc w:val="left"/>
      </w:pPr>
      <w:r>
        <w:t xml:space="preserve">(a) </w:t>
      </w:r>
      <w:r>
        <w:tab/>
        <w:t xml:space="preserve">all aspects of delivering on the project outputs set out in this </w:t>
      </w:r>
      <w:proofErr w:type="gramStart"/>
      <w:r>
        <w:t>Agreement;</w:t>
      </w:r>
      <w:proofErr w:type="gramEnd"/>
    </w:p>
    <w:p w14:paraId="441E094E" w14:textId="6A762200" w:rsidR="00C82F14" w:rsidRPr="00C82F14" w:rsidRDefault="00C82F14" w:rsidP="00C82F14">
      <w:pPr>
        <w:pStyle w:val="Normalnumbered"/>
        <w:numPr>
          <w:ilvl w:val="0"/>
          <w:numId w:val="0"/>
        </w:numPr>
        <w:tabs>
          <w:tab w:val="left" w:pos="1134"/>
        </w:tabs>
        <w:ind w:left="1134" w:hanging="567"/>
        <w:jc w:val="left"/>
      </w:pPr>
      <w:r>
        <w:t xml:space="preserve">(b) </w:t>
      </w:r>
      <w:r>
        <w:tab/>
        <w:t xml:space="preserve">reporting on the delivery of outputs as set out in Part 4 – Project Milestones, Reporting  and Payments. </w:t>
      </w:r>
    </w:p>
    <w:p w14:paraId="03002215" w14:textId="1313BF0F" w:rsidR="008F44F1" w:rsidRDefault="008F44F1" w:rsidP="004F5DCD">
      <w:pPr>
        <w:pStyle w:val="Heading2"/>
      </w:pPr>
      <w:r>
        <w:t>Shared roles</w:t>
      </w:r>
    </w:p>
    <w:p w14:paraId="098C92D6" w14:textId="3F96E5E9" w:rsidR="00C82F14" w:rsidRDefault="00C82F14" w:rsidP="00C82F14">
      <w:pPr>
        <w:pStyle w:val="Normalnumbered"/>
        <w:numPr>
          <w:ilvl w:val="0"/>
          <w:numId w:val="22"/>
        </w:numPr>
        <w:jc w:val="left"/>
      </w:pPr>
      <w:r>
        <w:t>The Commonwealth and the State of South Australia agree to be jointly responsible for:</w:t>
      </w:r>
    </w:p>
    <w:p w14:paraId="2F823177" w14:textId="77777777" w:rsidR="00C82F14" w:rsidRDefault="00C82F14" w:rsidP="00C82F14">
      <w:pPr>
        <w:pStyle w:val="Normalnumbered"/>
        <w:numPr>
          <w:ilvl w:val="0"/>
          <w:numId w:val="0"/>
        </w:numPr>
        <w:tabs>
          <w:tab w:val="left" w:pos="1134"/>
        </w:tabs>
        <w:ind w:left="567"/>
        <w:jc w:val="left"/>
      </w:pPr>
      <w:r>
        <w:t xml:space="preserve">(a) </w:t>
      </w:r>
      <w:r>
        <w:tab/>
        <w:t xml:space="preserve">participating in consultations as appropriate regarding implementation of this </w:t>
      </w:r>
      <w:proofErr w:type="gramStart"/>
      <w:r>
        <w:t>Agreement;</w:t>
      </w:r>
      <w:proofErr w:type="gramEnd"/>
    </w:p>
    <w:p w14:paraId="318D12AA" w14:textId="77777777" w:rsidR="00C82F14" w:rsidRDefault="00C82F14" w:rsidP="00C82F14">
      <w:pPr>
        <w:pStyle w:val="Normalnumbered"/>
        <w:numPr>
          <w:ilvl w:val="0"/>
          <w:numId w:val="0"/>
        </w:numPr>
        <w:tabs>
          <w:tab w:val="left" w:pos="1134"/>
        </w:tabs>
        <w:ind w:left="1134" w:hanging="567"/>
        <w:jc w:val="left"/>
      </w:pPr>
      <w:r>
        <w:t xml:space="preserve">(b)    </w:t>
      </w:r>
      <w:r>
        <w:tab/>
        <w:t xml:space="preserve">participating in program evaluation of outputs delivered under this Agreement at no cost to the Commonwealth and the State of South Australia. </w:t>
      </w:r>
    </w:p>
    <w:p w14:paraId="372835CE" w14:textId="3ACE5003" w:rsidR="008F44F1" w:rsidRDefault="008F44F1" w:rsidP="00C82F14">
      <w:pPr>
        <w:pStyle w:val="Normalnumbered"/>
        <w:numPr>
          <w:ilvl w:val="0"/>
          <w:numId w:val="22"/>
        </w:numPr>
        <w:spacing w:after="480"/>
      </w:pPr>
      <w:r w:rsidRPr="00C82F14">
        <w:rPr>
          <w:color w:val="auto"/>
        </w:rPr>
        <w:t xml:space="preserve">The Parties will </w:t>
      </w:r>
      <w:r>
        <w:t xml:space="preserve">meet the requirements of Schedule E, Clause 26 of </w:t>
      </w:r>
      <w:r w:rsidRPr="00C82F14">
        <w:rPr>
          <w:color w:val="auto"/>
        </w:rPr>
        <w:t xml:space="preserve">the </w:t>
      </w:r>
      <w:r w:rsidR="00C41265" w:rsidRPr="00C82F14">
        <w:rPr>
          <w:color w:val="auto"/>
        </w:rPr>
        <w:t>IGA FFR</w:t>
      </w:r>
      <w:r w:rsidRPr="00C82F14">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1CA4DFD4"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2F5212BA" w14:textId="77777777" w:rsidR="004B6083" w:rsidRDefault="00545DF7" w:rsidP="00B619AA">
      <w:pPr>
        <w:pStyle w:val="Normalnumbered"/>
        <w:numPr>
          <w:ilvl w:val="0"/>
          <w:numId w:val="22"/>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7960ABC3" w14:textId="77777777" w:rsidR="00F3245D" w:rsidRPr="000E2AF6" w:rsidRDefault="0095223D" w:rsidP="008E0AD6">
      <w:pPr>
        <w:pStyle w:val="Normalnumbered"/>
        <w:keepNext/>
        <w:numPr>
          <w:ilvl w:val="0"/>
          <w:numId w:val="0"/>
        </w:numPr>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Style w:val="LightGrid-Accent11"/>
        <w:tblW w:w="9768" w:type="dxa"/>
        <w:tblLayout w:type="fixed"/>
        <w:tblLook w:val="04A0" w:firstRow="1" w:lastRow="0" w:firstColumn="1" w:lastColumn="0" w:noHBand="0" w:noVBand="1"/>
      </w:tblPr>
      <w:tblGrid>
        <w:gridCol w:w="2518"/>
        <w:gridCol w:w="4536"/>
        <w:gridCol w:w="1441"/>
        <w:gridCol w:w="1273"/>
      </w:tblGrid>
      <w:tr w:rsidR="0055415C" w:rsidRPr="00C26C5B" w14:paraId="2DE2BF83" w14:textId="77777777" w:rsidTr="00C82F14">
        <w:trPr>
          <w:cnfStyle w:val="100000000000" w:firstRow="1" w:lastRow="0" w:firstColumn="0" w:lastColumn="0" w:oddVBand="0" w:evenVBand="0" w:oddHBand="0"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2518" w:type="dxa"/>
          </w:tcPr>
          <w:p w14:paraId="0CAA5114" w14:textId="6B787E0C" w:rsidR="0055415C" w:rsidRPr="00C26C5B" w:rsidRDefault="0055415C" w:rsidP="001D6E9A">
            <w:pPr>
              <w:pStyle w:val="Heading2"/>
              <w:outlineLvl w:val="1"/>
              <w:rPr>
                <w:bCs/>
                <w:sz w:val="24"/>
                <w:szCs w:val="24"/>
              </w:rPr>
            </w:pPr>
            <w:r w:rsidRPr="00C26C5B">
              <w:rPr>
                <w:bCs/>
                <w:sz w:val="24"/>
                <w:szCs w:val="24"/>
              </w:rPr>
              <w:t>Output</w:t>
            </w:r>
            <w:r>
              <w:rPr>
                <w:bCs/>
                <w:sz w:val="24"/>
                <w:szCs w:val="24"/>
              </w:rPr>
              <w:br/>
            </w:r>
            <w:r w:rsidRPr="00C20F99">
              <w:rPr>
                <w:b/>
                <w:color w:val="auto"/>
                <w:sz w:val="18"/>
                <w:szCs w:val="18"/>
              </w:rPr>
              <w:t>[N</w:t>
            </w:r>
            <w:r w:rsidRPr="00C20F99">
              <w:rPr>
                <w:b/>
                <w:i/>
                <w:color w:val="auto"/>
                <w:sz w:val="18"/>
                <w:szCs w:val="18"/>
              </w:rPr>
              <w:t>ote: Use the singular as appropriate.</w:t>
            </w:r>
            <w:r w:rsidRPr="00C20F99">
              <w:rPr>
                <w:b/>
                <w:color w:val="auto"/>
                <w:sz w:val="18"/>
                <w:szCs w:val="18"/>
              </w:rPr>
              <w:t>]</w:t>
            </w:r>
          </w:p>
        </w:tc>
        <w:tc>
          <w:tcPr>
            <w:tcW w:w="4536" w:type="dxa"/>
          </w:tcPr>
          <w:p w14:paraId="7CF51BD7" w14:textId="1E54FB1D" w:rsidR="0055415C" w:rsidRPr="00C26C5B" w:rsidRDefault="0055415C" w:rsidP="0026571E">
            <w:pPr>
              <w:pStyle w:val="Heading2"/>
              <w:outlineLvl w:val="1"/>
              <w:cnfStyle w:val="100000000000" w:firstRow="1" w:lastRow="0" w:firstColumn="0" w:lastColumn="0" w:oddVBand="0" w:evenVBand="0" w:oddHBand="0" w:evenHBand="0" w:firstRowFirstColumn="0" w:firstRowLastColumn="0" w:lastRowFirstColumn="0" w:lastRowLastColumn="0"/>
              <w:rPr>
                <w:bCs/>
                <w:sz w:val="24"/>
                <w:szCs w:val="24"/>
              </w:rPr>
            </w:pPr>
            <w:r>
              <w:rPr>
                <w:bCs/>
                <w:sz w:val="24"/>
                <w:szCs w:val="24"/>
              </w:rPr>
              <w:t>Performance m</w:t>
            </w:r>
            <w:r w:rsidRPr="00C26C5B">
              <w:rPr>
                <w:bCs/>
                <w:sz w:val="24"/>
                <w:szCs w:val="24"/>
              </w:rPr>
              <w:t>ilestone</w:t>
            </w:r>
            <w:r w:rsidRPr="00A9341B">
              <w:rPr>
                <w:bCs/>
                <w:sz w:val="24"/>
                <w:szCs w:val="24"/>
              </w:rPr>
              <w:t>(s)</w:t>
            </w:r>
          </w:p>
        </w:tc>
        <w:tc>
          <w:tcPr>
            <w:tcW w:w="1441" w:type="dxa"/>
          </w:tcPr>
          <w:p w14:paraId="623A146B" w14:textId="77777777" w:rsidR="0055415C" w:rsidRPr="00D0312C" w:rsidRDefault="0055415C" w:rsidP="0026571E">
            <w:pPr>
              <w:pStyle w:val="Heading2"/>
              <w:outlineLvl w:val="1"/>
              <w:cnfStyle w:val="100000000000" w:firstRow="1" w:lastRow="0" w:firstColumn="0" w:lastColumn="0" w:oddVBand="0" w:evenVBand="0" w:oddHBand="0" w:evenHBand="0" w:firstRowFirstColumn="0" w:firstRowLastColumn="0" w:lastRowFirstColumn="0" w:lastRowLastColumn="0"/>
              <w:rPr>
                <w:sz w:val="18"/>
                <w:szCs w:val="18"/>
              </w:rPr>
            </w:pPr>
            <w:r w:rsidRPr="00DE36EB">
              <w:rPr>
                <w:bCs/>
                <w:sz w:val="24"/>
                <w:szCs w:val="24"/>
              </w:rPr>
              <w:t>Report due</w:t>
            </w:r>
            <w:r>
              <w:rPr>
                <w:bCs/>
                <w:sz w:val="24"/>
                <w:szCs w:val="24"/>
              </w:rPr>
              <w:t xml:space="preserve"> </w:t>
            </w:r>
          </w:p>
        </w:tc>
        <w:tc>
          <w:tcPr>
            <w:tcW w:w="1273" w:type="dxa"/>
          </w:tcPr>
          <w:p w14:paraId="692E3CE3" w14:textId="77777777" w:rsidR="0055415C" w:rsidRPr="00C26C5B" w:rsidRDefault="0055415C" w:rsidP="00F3245D">
            <w:pPr>
              <w:pStyle w:val="Heading2"/>
              <w:outlineLvl w:val="1"/>
              <w:cnfStyle w:val="100000000000" w:firstRow="1" w:lastRow="0" w:firstColumn="0" w:lastColumn="0" w:oddVBand="0" w:evenVBand="0" w:oddHBand="0" w:evenHBand="0" w:firstRowFirstColumn="0" w:firstRowLastColumn="0" w:lastRowFirstColumn="0" w:lastRowLastColumn="0"/>
              <w:rPr>
                <w:bCs/>
                <w:sz w:val="24"/>
                <w:szCs w:val="24"/>
              </w:rPr>
            </w:pPr>
            <w:r w:rsidRPr="00C26C5B">
              <w:rPr>
                <w:bCs/>
                <w:sz w:val="24"/>
                <w:szCs w:val="24"/>
              </w:rPr>
              <w:t>Payment</w:t>
            </w:r>
          </w:p>
        </w:tc>
      </w:tr>
      <w:tr w:rsidR="00C82F14" w:rsidRPr="00C26C5B" w14:paraId="03D13552" w14:textId="77777777" w:rsidTr="00C82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14:paraId="3290E92D" w14:textId="2B901935" w:rsidR="00C82F14" w:rsidRPr="00C26C5B" w:rsidRDefault="00C82F14" w:rsidP="00F8684A">
            <w:pPr>
              <w:pStyle w:val="Heading2"/>
              <w:outlineLvl w:val="1"/>
              <w:rPr>
                <w:b/>
                <w:bCs/>
                <w:color w:val="auto"/>
                <w:sz w:val="23"/>
                <w:szCs w:val="23"/>
              </w:rPr>
            </w:pPr>
            <w:r>
              <w:rPr>
                <w:b/>
                <w:bCs/>
                <w:color w:val="auto"/>
                <w:sz w:val="23"/>
                <w:szCs w:val="23"/>
              </w:rPr>
              <w:t xml:space="preserve">Delivery of a Horticulture Netting Infrastructure Program </w:t>
            </w:r>
          </w:p>
        </w:tc>
        <w:tc>
          <w:tcPr>
            <w:tcW w:w="4536" w:type="dxa"/>
          </w:tcPr>
          <w:p w14:paraId="7C4E2881" w14:textId="66489F79" w:rsidR="00C82F14" w:rsidRPr="00C26C5B" w:rsidRDefault="00C82F14" w:rsidP="00597CBD">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South Australia submits a high-level implementation approach for the Program</w:t>
            </w:r>
          </w:p>
        </w:tc>
        <w:tc>
          <w:tcPr>
            <w:tcW w:w="1441" w:type="dxa"/>
          </w:tcPr>
          <w:p w14:paraId="5D74CFCD" w14:textId="31862B5B" w:rsidR="00C82F14" w:rsidRPr="00C26C5B" w:rsidRDefault="00C82F14" w:rsidP="00F3245D">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31/07/2020</w:t>
            </w:r>
          </w:p>
        </w:tc>
        <w:tc>
          <w:tcPr>
            <w:tcW w:w="1273" w:type="dxa"/>
          </w:tcPr>
          <w:p w14:paraId="6554DDE3" w14:textId="20EC75DE" w:rsidR="00C82F14" w:rsidRPr="00C26C5B" w:rsidRDefault="00C82F14" w:rsidP="00946AE5">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$7,</w:t>
            </w:r>
            <w:r w:rsidR="00145ABD">
              <w:rPr>
                <w:b w:val="0"/>
                <w:color w:val="auto"/>
                <w:sz w:val="23"/>
                <w:szCs w:val="23"/>
              </w:rPr>
              <w:t>3</w:t>
            </w:r>
            <w:r>
              <w:rPr>
                <w:b w:val="0"/>
                <w:color w:val="auto"/>
                <w:sz w:val="23"/>
                <w:szCs w:val="23"/>
              </w:rPr>
              <w:t>00,000</w:t>
            </w:r>
          </w:p>
        </w:tc>
      </w:tr>
      <w:tr w:rsidR="00C82F14" w:rsidRPr="00C26C5B" w14:paraId="66917FB8" w14:textId="77777777" w:rsidTr="00C82F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0BF734D4" w14:textId="77777777" w:rsidR="00C82F14" w:rsidRPr="00C26C5B" w:rsidRDefault="00C82F14" w:rsidP="00F3245D">
            <w:pPr>
              <w:pStyle w:val="Heading2"/>
              <w:outlineLvl w:val="1"/>
              <w:rPr>
                <w:b/>
                <w:bCs/>
                <w:sz w:val="23"/>
                <w:szCs w:val="23"/>
              </w:rPr>
            </w:pPr>
          </w:p>
        </w:tc>
        <w:tc>
          <w:tcPr>
            <w:tcW w:w="4536" w:type="dxa"/>
          </w:tcPr>
          <w:p w14:paraId="25B258AC" w14:textId="79A5CD40" w:rsidR="00C82F14" w:rsidRPr="00C26C5B" w:rsidRDefault="00C82F14" w:rsidP="00E6698B">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Report detailing all aspects of delivery of the Program from commencement to 31 December 2020.</w:t>
            </w:r>
          </w:p>
        </w:tc>
        <w:tc>
          <w:tcPr>
            <w:tcW w:w="1441" w:type="dxa"/>
          </w:tcPr>
          <w:p w14:paraId="4600860A" w14:textId="6C8A0B99" w:rsidR="00C82F14" w:rsidRPr="00C26C5B" w:rsidRDefault="00C82F14" w:rsidP="00E6698B">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31/01/2021</w:t>
            </w:r>
          </w:p>
        </w:tc>
        <w:tc>
          <w:tcPr>
            <w:tcW w:w="1273" w:type="dxa"/>
          </w:tcPr>
          <w:p w14:paraId="1D231962" w14:textId="070D563D" w:rsidR="00C82F14" w:rsidRPr="00C26C5B" w:rsidRDefault="00C82F14" w:rsidP="00946AE5">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$7,</w:t>
            </w:r>
            <w:r w:rsidR="00145ABD">
              <w:rPr>
                <w:b w:val="0"/>
                <w:color w:val="auto"/>
                <w:sz w:val="23"/>
                <w:szCs w:val="23"/>
              </w:rPr>
              <w:t>3</w:t>
            </w:r>
            <w:r>
              <w:rPr>
                <w:b w:val="0"/>
                <w:color w:val="auto"/>
                <w:sz w:val="23"/>
                <w:szCs w:val="23"/>
              </w:rPr>
              <w:t>00,000</w:t>
            </w:r>
          </w:p>
        </w:tc>
      </w:tr>
      <w:tr w:rsidR="00C82F14" w:rsidRPr="00C26C5B" w14:paraId="1ED3E1DF" w14:textId="77777777" w:rsidTr="00C82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76DD9BBE" w14:textId="77777777" w:rsidR="00C82F14" w:rsidRPr="00C26C5B" w:rsidRDefault="00C82F14" w:rsidP="00F3245D">
            <w:pPr>
              <w:pStyle w:val="Heading2"/>
              <w:outlineLvl w:val="1"/>
              <w:rPr>
                <w:b/>
                <w:bCs/>
                <w:sz w:val="23"/>
                <w:szCs w:val="23"/>
              </w:rPr>
            </w:pPr>
          </w:p>
        </w:tc>
        <w:tc>
          <w:tcPr>
            <w:tcW w:w="4536" w:type="dxa"/>
          </w:tcPr>
          <w:p w14:paraId="2EACC96D" w14:textId="18A30DFA" w:rsidR="00C82F14" w:rsidRDefault="00C82F14" w:rsidP="00E6698B">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Report detailing all aspects of delivery of the Program from 1 January 2021 to 30 June 2021.</w:t>
            </w:r>
          </w:p>
        </w:tc>
        <w:tc>
          <w:tcPr>
            <w:tcW w:w="1441" w:type="dxa"/>
          </w:tcPr>
          <w:p w14:paraId="35B828C0" w14:textId="7B526588" w:rsidR="00C82F14" w:rsidRPr="00C26C5B" w:rsidRDefault="00C82F14" w:rsidP="00086712">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31/07/2021</w:t>
            </w:r>
          </w:p>
        </w:tc>
        <w:tc>
          <w:tcPr>
            <w:tcW w:w="1273" w:type="dxa"/>
          </w:tcPr>
          <w:p w14:paraId="75001288" w14:textId="7973A1A6" w:rsidR="00C82F14" w:rsidRPr="00C26C5B" w:rsidRDefault="00C82F14" w:rsidP="00946AE5">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Nil</w:t>
            </w:r>
          </w:p>
        </w:tc>
      </w:tr>
      <w:tr w:rsidR="00145ABD" w:rsidRPr="00C26C5B" w14:paraId="04E2CFCB" w14:textId="77777777" w:rsidTr="00C82F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0CCA45F9" w14:textId="77777777" w:rsidR="00145ABD" w:rsidRPr="00C26C5B" w:rsidRDefault="00145ABD" w:rsidP="00145ABD">
            <w:pPr>
              <w:pStyle w:val="Heading2"/>
              <w:outlineLvl w:val="1"/>
              <w:rPr>
                <w:b/>
                <w:bCs/>
                <w:sz w:val="23"/>
                <w:szCs w:val="23"/>
              </w:rPr>
            </w:pPr>
          </w:p>
        </w:tc>
        <w:tc>
          <w:tcPr>
            <w:tcW w:w="4536" w:type="dxa"/>
          </w:tcPr>
          <w:p w14:paraId="46EB0C2B" w14:textId="32A18945" w:rsidR="00145ABD" w:rsidRDefault="00145ABD" w:rsidP="00145ABD">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Report detailing all aspects of delivery of the Program from 1 July 2021 to 31 December 2021.</w:t>
            </w:r>
          </w:p>
        </w:tc>
        <w:tc>
          <w:tcPr>
            <w:tcW w:w="1441" w:type="dxa"/>
          </w:tcPr>
          <w:p w14:paraId="423EAC9F" w14:textId="21109C15" w:rsidR="00145ABD" w:rsidRDefault="00145ABD" w:rsidP="00145ABD">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31/01/2022</w:t>
            </w:r>
          </w:p>
        </w:tc>
        <w:tc>
          <w:tcPr>
            <w:tcW w:w="1273" w:type="dxa"/>
          </w:tcPr>
          <w:p w14:paraId="7971269A" w14:textId="3557E0EC" w:rsidR="00145ABD" w:rsidRDefault="00145ABD" w:rsidP="00145ABD">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Nil</w:t>
            </w:r>
          </w:p>
        </w:tc>
      </w:tr>
      <w:tr w:rsidR="00145ABD" w:rsidRPr="00C26C5B" w14:paraId="73FABC8D" w14:textId="77777777" w:rsidTr="00C82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20B2E0D9" w14:textId="77777777" w:rsidR="00145ABD" w:rsidRPr="00C26C5B" w:rsidRDefault="00145ABD" w:rsidP="00145ABD">
            <w:pPr>
              <w:pStyle w:val="Heading2"/>
              <w:outlineLvl w:val="1"/>
              <w:rPr>
                <w:b/>
                <w:bCs/>
                <w:sz w:val="23"/>
                <w:szCs w:val="23"/>
              </w:rPr>
            </w:pPr>
          </w:p>
        </w:tc>
        <w:tc>
          <w:tcPr>
            <w:tcW w:w="4536" w:type="dxa"/>
          </w:tcPr>
          <w:p w14:paraId="09689E02" w14:textId="77C4D2A2" w:rsidR="00145ABD" w:rsidRDefault="00145ABD" w:rsidP="00145ABD">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Report detailing all aspects of delivery of the Program from 1 January 2022 to 30 June 2022.</w:t>
            </w:r>
          </w:p>
        </w:tc>
        <w:tc>
          <w:tcPr>
            <w:tcW w:w="1441" w:type="dxa"/>
          </w:tcPr>
          <w:p w14:paraId="0D82568C" w14:textId="04D0CDC5" w:rsidR="00145ABD" w:rsidRDefault="00145ABD" w:rsidP="00145ABD">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31/07/2022</w:t>
            </w:r>
          </w:p>
        </w:tc>
        <w:tc>
          <w:tcPr>
            <w:tcW w:w="1273" w:type="dxa"/>
          </w:tcPr>
          <w:p w14:paraId="5C3EE597" w14:textId="2F331E32" w:rsidR="00145ABD" w:rsidRDefault="00145ABD" w:rsidP="00145ABD">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Nil</w:t>
            </w:r>
          </w:p>
        </w:tc>
      </w:tr>
      <w:tr w:rsidR="00145ABD" w:rsidRPr="00C26C5B" w14:paraId="06EDE1F3" w14:textId="77777777" w:rsidTr="00C82F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4AF608B5" w14:textId="77777777" w:rsidR="00145ABD" w:rsidRPr="00C26C5B" w:rsidRDefault="00145ABD" w:rsidP="00145ABD">
            <w:pPr>
              <w:pStyle w:val="Heading2"/>
              <w:outlineLvl w:val="1"/>
              <w:rPr>
                <w:b/>
                <w:bCs/>
                <w:sz w:val="23"/>
                <w:szCs w:val="23"/>
              </w:rPr>
            </w:pPr>
          </w:p>
        </w:tc>
        <w:tc>
          <w:tcPr>
            <w:tcW w:w="4536" w:type="dxa"/>
          </w:tcPr>
          <w:p w14:paraId="5BB8E0FE" w14:textId="31290A84" w:rsidR="00145ABD" w:rsidRDefault="00145ABD" w:rsidP="00145ABD">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Report detailing all aspects of delivery of the Program from 1 July 2022 to 31 December 2022.</w:t>
            </w:r>
          </w:p>
        </w:tc>
        <w:tc>
          <w:tcPr>
            <w:tcW w:w="1441" w:type="dxa"/>
          </w:tcPr>
          <w:p w14:paraId="5E9C56EC" w14:textId="28B4BDDC" w:rsidR="00145ABD" w:rsidRDefault="00145ABD" w:rsidP="00145ABD">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31/01/2023</w:t>
            </w:r>
          </w:p>
        </w:tc>
        <w:tc>
          <w:tcPr>
            <w:tcW w:w="1273" w:type="dxa"/>
          </w:tcPr>
          <w:p w14:paraId="2EBF9618" w14:textId="128F2754" w:rsidR="00145ABD" w:rsidRDefault="00145ABD" w:rsidP="00145ABD">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Nil</w:t>
            </w:r>
          </w:p>
        </w:tc>
      </w:tr>
      <w:tr w:rsidR="00145ABD" w:rsidRPr="00C26C5B" w14:paraId="1543721B" w14:textId="77777777" w:rsidTr="00C82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0B268A6C" w14:textId="77777777" w:rsidR="00145ABD" w:rsidRPr="00C26C5B" w:rsidRDefault="00145ABD" w:rsidP="00145ABD">
            <w:pPr>
              <w:pStyle w:val="Heading2"/>
              <w:outlineLvl w:val="1"/>
              <w:rPr>
                <w:b/>
                <w:bCs/>
                <w:sz w:val="23"/>
                <w:szCs w:val="23"/>
              </w:rPr>
            </w:pPr>
          </w:p>
        </w:tc>
        <w:tc>
          <w:tcPr>
            <w:tcW w:w="4536" w:type="dxa"/>
          </w:tcPr>
          <w:p w14:paraId="6098F87F" w14:textId="20BCA818" w:rsidR="00145ABD" w:rsidRDefault="00145ABD" w:rsidP="00145ABD">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Report detailing all aspects of delivery of the Program from 1 January 2023 to 30 June 2023.</w:t>
            </w:r>
          </w:p>
        </w:tc>
        <w:tc>
          <w:tcPr>
            <w:tcW w:w="1441" w:type="dxa"/>
          </w:tcPr>
          <w:p w14:paraId="678200DE" w14:textId="643A836E" w:rsidR="00145ABD" w:rsidRDefault="00145ABD" w:rsidP="00145ABD">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31/07/2023</w:t>
            </w:r>
          </w:p>
        </w:tc>
        <w:tc>
          <w:tcPr>
            <w:tcW w:w="1273" w:type="dxa"/>
          </w:tcPr>
          <w:p w14:paraId="01683199" w14:textId="757A9014" w:rsidR="00145ABD" w:rsidRDefault="00145ABD" w:rsidP="00145ABD">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3"/>
                <w:szCs w:val="23"/>
              </w:rPr>
            </w:pPr>
            <w:r>
              <w:rPr>
                <w:b w:val="0"/>
                <w:color w:val="auto"/>
                <w:sz w:val="23"/>
                <w:szCs w:val="23"/>
              </w:rPr>
              <w:t>Nil</w:t>
            </w:r>
          </w:p>
        </w:tc>
      </w:tr>
      <w:tr w:rsidR="00145ABD" w:rsidRPr="00C26C5B" w14:paraId="56E33142" w14:textId="77777777" w:rsidTr="00C82F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65CB05A6" w14:textId="77777777" w:rsidR="00145ABD" w:rsidRPr="00C26C5B" w:rsidRDefault="00145ABD" w:rsidP="00145ABD">
            <w:pPr>
              <w:pStyle w:val="Heading2"/>
              <w:outlineLvl w:val="1"/>
              <w:rPr>
                <w:b/>
                <w:bCs/>
                <w:sz w:val="23"/>
                <w:szCs w:val="23"/>
              </w:rPr>
            </w:pPr>
          </w:p>
        </w:tc>
        <w:tc>
          <w:tcPr>
            <w:tcW w:w="4536" w:type="dxa"/>
          </w:tcPr>
          <w:p w14:paraId="38A49F13" w14:textId="1B654317" w:rsidR="00145ABD" w:rsidRDefault="00145ABD" w:rsidP="00145ABD">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Summary of activity for the entire project period, including Program evaluation of data and information as agreed between the parties from grantee self-reporting.</w:t>
            </w:r>
          </w:p>
        </w:tc>
        <w:tc>
          <w:tcPr>
            <w:tcW w:w="1441" w:type="dxa"/>
          </w:tcPr>
          <w:p w14:paraId="1E7779B7" w14:textId="2B2F6D86" w:rsidR="00145ABD" w:rsidRDefault="00145ABD" w:rsidP="00145ABD">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30/04/2023</w:t>
            </w:r>
          </w:p>
        </w:tc>
        <w:tc>
          <w:tcPr>
            <w:tcW w:w="1273" w:type="dxa"/>
          </w:tcPr>
          <w:p w14:paraId="688524D7" w14:textId="1A204B7A" w:rsidR="00145ABD" w:rsidRDefault="00145ABD" w:rsidP="00145ABD">
            <w:pPr>
              <w:pStyle w:val="Heading2"/>
              <w:outlineLvl w:val="1"/>
              <w:cnfStyle w:val="000000010000" w:firstRow="0" w:lastRow="0" w:firstColumn="0" w:lastColumn="0" w:oddVBand="0" w:evenVBand="0" w:oddHBand="0" w:evenHBand="1" w:firstRowFirstColumn="0" w:firstRowLastColumn="0" w:lastRowFirstColumn="0" w:lastRowLastColumn="0"/>
              <w:rPr>
                <w:b w:val="0"/>
                <w:color w:val="auto"/>
                <w:sz w:val="23"/>
                <w:szCs w:val="23"/>
              </w:rPr>
            </w:pPr>
            <w:r>
              <w:rPr>
                <w:b w:val="0"/>
                <w:color w:val="auto"/>
                <w:sz w:val="23"/>
                <w:szCs w:val="23"/>
              </w:rPr>
              <w:t>Nil</w:t>
            </w:r>
          </w:p>
        </w:tc>
      </w:tr>
    </w:tbl>
    <w:p w14:paraId="5DDC794E" w14:textId="77777777" w:rsidR="00172360" w:rsidRDefault="00172360" w:rsidP="00281874">
      <w:pPr>
        <w:pStyle w:val="Normalnumbered"/>
        <w:numPr>
          <w:ilvl w:val="0"/>
          <w:numId w:val="0"/>
        </w:numPr>
        <w:ind w:left="567"/>
      </w:pPr>
    </w:p>
    <w:p w14:paraId="6E26955A" w14:textId="77777777" w:rsidR="00172360" w:rsidRDefault="002E144A" w:rsidP="00172360">
      <w:pPr>
        <w:pStyle w:val="Normalnumbered"/>
        <w:numPr>
          <w:ilvl w:val="0"/>
          <w:numId w:val="22"/>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137500CA" w14:textId="77777777" w:rsidR="00145ABD" w:rsidRDefault="00145ABD">
      <w:pPr>
        <w:spacing w:after="0" w:line="240" w:lineRule="auto"/>
        <w:jc w:val="left"/>
        <w:rPr>
          <w:rFonts w:cs="Arial"/>
          <w:b/>
          <w:bCs/>
          <w:iCs/>
          <w:color w:val="3D4B67"/>
          <w:sz w:val="29"/>
          <w:szCs w:val="28"/>
        </w:rPr>
      </w:pPr>
      <w:r>
        <w:br w:type="page"/>
      </w:r>
    </w:p>
    <w:p w14:paraId="593C8CBD" w14:textId="55896859" w:rsidR="00F3245D" w:rsidRDefault="00F3245D" w:rsidP="00F3245D">
      <w:pPr>
        <w:pStyle w:val="Heading2"/>
      </w:pPr>
      <w:r>
        <w:lastRenderedPageBreak/>
        <w:t>Reporting arrangements</w:t>
      </w:r>
    </w:p>
    <w:p w14:paraId="7A5E8EEA" w14:textId="331861B9" w:rsidR="00145ABD" w:rsidRPr="00145ABD" w:rsidRDefault="009E151E" w:rsidP="00ED2AC4">
      <w:pPr>
        <w:pStyle w:val="Normalnumbered"/>
        <w:numPr>
          <w:ilvl w:val="0"/>
          <w:numId w:val="22"/>
        </w:numPr>
        <w:spacing w:before="120" w:line="240" w:lineRule="auto"/>
        <w:rPr>
          <w:szCs w:val="23"/>
        </w:rPr>
      </w:pPr>
      <w:r>
        <w:t>The</w:t>
      </w:r>
      <w:r w:rsidR="00145ABD">
        <w:t xml:space="preserve"> State of South Australia</w:t>
      </w:r>
      <w:r w:rsidR="0076361C">
        <w:t xml:space="preserve"> </w:t>
      </w:r>
      <w:r>
        <w:t xml:space="preserve">will </w:t>
      </w:r>
      <w:r w:rsidR="0095223D">
        <w:t xml:space="preserve">provide performance </w:t>
      </w:r>
      <w:r w:rsidR="00145ABD">
        <w:t xml:space="preserve">milestone </w:t>
      </w:r>
      <w:r w:rsidR="0095223D">
        <w:t xml:space="preserve">reports in accordance with </w:t>
      </w:r>
      <w:r w:rsidR="00C2605C">
        <w:t>T</w:t>
      </w:r>
      <w:r w:rsidR="0095223D">
        <w:t xml:space="preserve">able </w:t>
      </w:r>
      <w:r w:rsidR="00C2605C">
        <w:t xml:space="preserve">1 </w:t>
      </w:r>
      <w:r>
        <w:t>during</w:t>
      </w:r>
      <w:r w:rsidR="00C42ACA">
        <w:t xml:space="preserve"> </w:t>
      </w:r>
      <w:r>
        <w:t>t</w:t>
      </w:r>
      <w:r w:rsidR="00515AF2">
        <w:t xml:space="preserve">he operation of the Agreement.  </w:t>
      </w:r>
    </w:p>
    <w:p w14:paraId="19981D10" w14:textId="306EDE94" w:rsidR="00ED2AC4" w:rsidRDefault="0095223D" w:rsidP="00ED2AC4">
      <w:pPr>
        <w:pStyle w:val="Normalnumbered"/>
        <w:numPr>
          <w:ilvl w:val="0"/>
          <w:numId w:val="22"/>
        </w:numPr>
        <w:spacing w:before="120" w:line="240" w:lineRule="auto"/>
        <w:rPr>
          <w:szCs w:val="23"/>
        </w:rPr>
      </w:pPr>
      <w:r>
        <w:t xml:space="preserve">Each performance </w:t>
      </w:r>
      <w:r w:rsidR="00145ABD">
        <w:t xml:space="preserve">milestone </w:t>
      </w:r>
      <w:r>
        <w:t>report is to contai</w:t>
      </w:r>
      <w:r w:rsidR="00ED2AC4">
        <w:t>n a description of actual performance in th</w:t>
      </w:r>
      <w:r w:rsidR="00145ABD">
        <w:t xml:space="preserve">at reporting period in </w:t>
      </w:r>
      <w:r w:rsidR="00ED2AC4">
        <w:t xml:space="preserve">the </w:t>
      </w:r>
      <w:r w:rsidR="00145ABD">
        <w:t>performance</w:t>
      </w:r>
      <w:r w:rsidR="00ED2AC4">
        <w:t xml:space="preserve"> milestone.</w:t>
      </w:r>
      <w:r w:rsidR="00ED2AC4">
        <w:rPr>
          <w:szCs w:val="23"/>
        </w:rPr>
        <w:t xml:space="preserve"> </w:t>
      </w:r>
    </w:p>
    <w:p w14:paraId="285D9B8C" w14:textId="26F26A18" w:rsidR="00145ABD" w:rsidRDefault="00145ABD" w:rsidP="00ED2AC4">
      <w:pPr>
        <w:pStyle w:val="Normalnumbered"/>
        <w:numPr>
          <w:ilvl w:val="0"/>
          <w:numId w:val="22"/>
        </w:numPr>
        <w:spacing w:before="120" w:line="240" w:lineRule="auto"/>
        <w:rPr>
          <w:szCs w:val="23"/>
        </w:rPr>
      </w:pPr>
      <w:r>
        <w:rPr>
          <w:szCs w:val="23"/>
        </w:rPr>
        <w:t>Each performance milestone report is to contain the following information:</w:t>
      </w:r>
    </w:p>
    <w:p w14:paraId="54C8F9C2" w14:textId="084636E5" w:rsidR="00355B6C" w:rsidRDefault="00145ABD" w:rsidP="00355B6C">
      <w:pPr>
        <w:pStyle w:val="Normalnumbered"/>
        <w:numPr>
          <w:ilvl w:val="1"/>
          <w:numId w:val="22"/>
        </w:numPr>
        <w:tabs>
          <w:tab w:val="clear" w:pos="1440"/>
        </w:tabs>
        <w:spacing w:before="120" w:line="240" w:lineRule="auto"/>
        <w:ind w:left="709"/>
        <w:rPr>
          <w:szCs w:val="23"/>
        </w:rPr>
      </w:pPr>
      <w:r>
        <w:rPr>
          <w:szCs w:val="23"/>
        </w:rPr>
        <w:t xml:space="preserve">Payments made to primary producers: number of grants; average grant value; total grant </w:t>
      </w:r>
      <w:proofErr w:type="gramStart"/>
      <w:r>
        <w:rPr>
          <w:szCs w:val="23"/>
        </w:rPr>
        <w:t>value</w:t>
      </w:r>
      <w:r w:rsidR="00355B6C">
        <w:rPr>
          <w:szCs w:val="23"/>
        </w:rPr>
        <w:t>;</w:t>
      </w:r>
      <w:proofErr w:type="gramEnd"/>
    </w:p>
    <w:p w14:paraId="54115BAC" w14:textId="37FA3768" w:rsidR="00355B6C" w:rsidRDefault="00355B6C" w:rsidP="00355B6C">
      <w:pPr>
        <w:pStyle w:val="Normalnumbered"/>
        <w:numPr>
          <w:ilvl w:val="1"/>
          <w:numId w:val="22"/>
        </w:numPr>
        <w:tabs>
          <w:tab w:val="clear" w:pos="1440"/>
        </w:tabs>
        <w:spacing w:before="120" w:line="240" w:lineRule="auto"/>
        <w:ind w:left="709"/>
        <w:rPr>
          <w:szCs w:val="23"/>
        </w:rPr>
      </w:pPr>
      <w:r>
        <w:rPr>
          <w:szCs w:val="23"/>
        </w:rPr>
        <w:t>Crops: average hectares covered by total grant value; hectares covered by commodity; total hectares covered.</w:t>
      </w:r>
    </w:p>
    <w:p w14:paraId="152C5904" w14:textId="38CA1D7A" w:rsidR="00355B6C" w:rsidRDefault="00355B6C" w:rsidP="00355B6C">
      <w:pPr>
        <w:pStyle w:val="Normalnumbered"/>
        <w:numPr>
          <w:ilvl w:val="1"/>
          <w:numId w:val="22"/>
        </w:numPr>
        <w:tabs>
          <w:tab w:val="clear" w:pos="1440"/>
        </w:tabs>
        <w:spacing w:before="120" w:line="240" w:lineRule="auto"/>
        <w:ind w:left="709"/>
        <w:rPr>
          <w:szCs w:val="23"/>
        </w:rPr>
      </w:pPr>
      <w:r>
        <w:rPr>
          <w:szCs w:val="23"/>
        </w:rPr>
        <w:t>Location: region within the State in which the grantee farm is located.</w:t>
      </w:r>
    </w:p>
    <w:p w14:paraId="3CD9B08E" w14:textId="26EE8287" w:rsidR="00355B6C" w:rsidRPr="00355B6C" w:rsidRDefault="00355B6C" w:rsidP="00355B6C">
      <w:pPr>
        <w:pStyle w:val="Normalnumbered"/>
        <w:numPr>
          <w:ilvl w:val="1"/>
          <w:numId w:val="22"/>
        </w:numPr>
        <w:tabs>
          <w:tab w:val="clear" w:pos="1440"/>
        </w:tabs>
        <w:spacing w:before="120" w:line="240" w:lineRule="auto"/>
        <w:ind w:left="709"/>
        <w:rPr>
          <w:szCs w:val="23"/>
        </w:rPr>
      </w:pPr>
      <w:r>
        <w:rPr>
          <w:szCs w:val="23"/>
        </w:rPr>
        <w:t>Progress with purchase and installation of horticultural netting funded through the Program.</w:t>
      </w:r>
    </w:p>
    <w:p w14:paraId="7B9FAA01" w14:textId="77777777" w:rsidR="008E7527" w:rsidRDefault="008E7527" w:rsidP="009E093C">
      <w:pPr>
        <w:pStyle w:val="Heading1"/>
      </w:pPr>
      <w:r>
        <w:t>Part 5</w:t>
      </w:r>
      <w:r w:rsidRPr="00751725">
        <w:t xml:space="preserve"> — financial arrangements</w:t>
      </w:r>
    </w:p>
    <w:p w14:paraId="369974B3" w14:textId="0558F44E" w:rsidR="008E7527" w:rsidRDefault="008E7527" w:rsidP="00145ABD">
      <w:pPr>
        <w:pStyle w:val="Normalnumbered"/>
        <w:numPr>
          <w:ilvl w:val="0"/>
          <w:numId w:val="22"/>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t xml:space="preserve">the State of </w:t>
      </w:r>
      <w:r w:rsidR="00145ABD">
        <w:t>South</w:t>
      </w:r>
      <w:r w:rsidR="00355B6C">
        <w:t> Australia of $14.6 million in respect of this Agreement. All payments are GST exclusive.</w:t>
      </w:r>
    </w:p>
    <w:p w14:paraId="3765A2C5" w14:textId="77777777" w:rsidR="00145ABD" w:rsidRDefault="008E7527" w:rsidP="00145ABD">
      <w:pPr>
        <w:pStyle w:val="Normalnumbered"/>
        <w:keepNext/>
        <w:keepLines/>
        <w:numPr>
          <w:ilvl w:val="0"/>
          <w:numId w:val="22"/>
        </w:numPr>
      </w:pPr>
      <w:r w:rsidRPr="00751725">
        <w:t>The Commonwealth</w:t>
      </w:r>
      <w:r>
        <w:t>’s</w:t>
      </w:r>
      <w:r w:rsidRPr="00751725">
        <w:t xml:space="preserve"> </w:t>
      </w:r>
      <w:r w:rsidR="00145ABD">
        <w:t>contribution to the State of South Australia for funding through the Horticultural Netting Infrastructure Netting Program – trial is up to the maximum in Table 2.</w:t>
      </w:r>
    </w:p>
    <w:p w14:paraId="487ECA09" w14:textId="77777777" w:rsidR="00145ABD" w:rsidRDefault="00145ABD" w:rsidP="00145ABD">
      <w:pPr>
        <w:pStyle w:val="Normalnumbered"/>
        <w:keepNext/>
        <w:keepLines/>
        <w:numPr>
          <w:ilvl w:val="0"/>
          <w:numId w:val="22"/>
        </w:numPr>
      </w:pPr>
      <w:r>
        <w:t xml:space="preserve">The Commonwealth’s funding contribution will not be reduced where the State of South Australia secures funding from other activity partners. </w:t>
      </w:r>
    </w:p>
    <w:p w14:paraId="381ECE9F" w14:textId="46351EEC" w:rsidR="008E7527" w:rsidRPr="00751725" w:rsidRDefault="00145ABD" w:rsidP="00145ABD">
      <w:pPr>
        <w:pStyle w:val="Normalnumbered"/>
        <w:keepNext/>
        <w:keepLines/>
        <w:numPr>
          <w:ilvl w:val="0"/>
          <w:numId w:val="22"/>
        </w:numPr>
      </w:pPr>
      <w:r>
        <w:t>The Common</w:t>
      </w:r>
      <w:r w:rsidR="00355B6C">
        <w:t>wealth’s and the State of South Australia’s</w:t>
      </w:r>
      <w:r w:rsidR="008E7527" w:rsidRPr="00751725">
        <w:t xml:space="preserve"> </w:t>
      </w:r>
      <w:r w:rsidR="008E7527">
        <w:t xml:space="preserve">estimated </w:t>
      </w:r>
      <w:r w:rsidR="008E7527" w:rsidRPr="00751725">
        <w:t>financial contribution</w:t>
      </w:r>
      <w:r w:rsidR="002E144A">
        <w:t>s</w:t>
      </w:r>
      <w:r w:rsidR="008E7527" w:rsidRPr="00751725">
        <w:t xml:space="preserve"> to the operation of </w:t>
      </w:r>
      <w:r w:rsidR="008E7527">
        <w:t xml:space="preserve">this Agreement, including through National Partnership payments to the States paid in accordance with </w:t>
      </w:r>
      <w:r w:rsidR="008E7527" w:rsidRPr="00145ABD">
        <w:rPr>
          <w:i/>
        </w:rPr>
        <w:t>Schedule D — Payment Arrangements</w:t>
      </w:r>
      <w:r w:rsidR="008E7527">
        <w:t xml:space="preserve"> of the </w:t>
      </w:r>
      <w:r w:rsidR="00C41265">
        <w:t>IGA FFR</w:t>
      </w:r>
      <w:r w:rsidR="00C2605C">
        <w:t>, are shown in Table 2</w:t>
      </w:r>
      <w:r w:rsidR="008E7527" w:rsidRPr="00751725">
        <w:t>.</w:t>
      </w:r>
    </w:p>
    <w:p w14:paraId="10E96A34" w14:textId="428D4360" w:rsidR="008E7527" w:rsidRPr="00A05C1E" w:rsidRDefault="00E204BB" w:rsidP="00E204BB">
      <w:pPr>
        <w:pStyle w:val="Normalnumbered"/>
        <w:numPr>
          <w:ilvl w:val="0"/>
          <w:numId w:val="0"/>
        </w:numPr>
        <w:rPr>
          <w:b/>
          <w:i/>
        </w:rPr>
      </w:pPr>
      <w:r>
        <w:rPr>
          <w:b/>
        </w:rPr>
        <w:t>Table 2</w:t>
      </w:r>
      <w:r w:rsidR="008E7527" w:rsidRPr="00E204BB">
        <w:rPr>
          <w:b/>
        </w:rPr>
        <w:t>: Estimated financial contributions</w:t>
      </w:r>
      <w:r w:rsidR="00355B6C">
        <w:rPr>
          <w:b/>
        </w:rPr>
        <w:t xml:space="preserve"> from the Commonwealth to the State of South Australia</w:t>
      </w:r>
    </w:p>
    <w:tbl>
      <w:tblPr>
        <w:tblW w:w="0" w:type="auto"/>
        <w:tblLook w:val="01E0" w:firstRow="1" w:lastRow="1" w:firstColumn="1" w:lastColumn="1" w:noHBand="0" w:noVBand="0"/>
      </w:tblPr>
      <w:tblGrid>
        <w:gridCol w:w="4853"/>
        <w:gridCol w:w="1384"/>
        <w:gridCol w:w="993"/>
        <w:gridCol w:w="992"/>
        <w:gridCol w:w="882"/>
      </w:tblGrid>
      <w:tr w:rsidR="00355B6C" w14:paraId="5DF2821B" w14:textId="77777777" w:rsidTr="00355B6C">
        <w:trPr>
          <w:cantSplit/>
        </w:trPr>
        <w:tc>
          <w:tcPr>
            <w:tcW w:w="4853" w:type="dxa"/>
            <w:tcBorders>
              <w:top w:val="single" w:sz="4" w:space="0" w:color="000080"/>
            </w:tcBorders>
          </w:tcPr>
          <w:p w14:paraId="659C0875" w14:textId="77777777" w:rsidR="00355B6C" w:rsidRPr="00C2711B" w:rsidRDefault="00355B6C" w:rsidP="00AB71A5">
            <w:pPr>
              <w:keepNext/>
              <w:keepLines/>
              <w:spacing w:before="40" w:after="40"/>
              <w:jc w:val="left"/>
              <w:rPr>
                <w:b/>
              </w:rPr>
            </w:pPr>
            <w:r w:rsidRPr="00C2711B">
              <w:rPr>
                <w:b/>
              </w:rPr>
              <w:t>($ million)</w:t>
            </w:r>
          </w:p>
        </w:tc>
        <w:tc>
          <w:tcPr>
            <w:tcW w:w="1384" w:type="dxa"/>
            <w:tcBorders>
              <w:top w:val="single" w:sz="4" w:space="0" w:color="000080"/>
              <w:bottom w:val="single" w:sz="4" w:space="0" w:color="000080"/>
            </w:tcBorders>
          </w:tcPr>
          <w:p w14:paraId="2DFD59DB" w14:textId="20027264" w:rsidR="00355B6C" w:rsidRDefault="00355B6C" w:rsidP="00AB71A5">
            <w:pPr>
              <w:keepNext/>
              <w:keepLines/>
              <w:spacing w:before="40" w:after="40"/>
              <w:jc w:val="right"/>
            </w:pPr>
            <w:r>
              <w:t>20219-20</w:t>
            </w:r>
          </w:p>
        </w:tc>
        <w:tc>
          <w:tcPr>
            <w:tcW w:w="993" w:type="dxa"/>
            <w:tcBorders>
              <w:top w:val="single" w:sz="4" w:space="0" w:color="000080"/>
              <w:bottom w:val="single" w:sz="4" w:space="0" w:color="000080"/>
            </w:tcBorders>
          </w:tcPr>
          <w:p w14:paraId="6B6CE8DE" w14:textId="2EBDF188" w:rsidR="00355B6C" w:rsidRDefault="00355B6C" w:rsidP="00AB71A5">
            <w:pPr>
              <w:keepNext/>
              <w:keepLines/>
              <w:spacing w:before="40" w:after="40"/>
              <w:jc w:val="right"/>
            </w:pPr>
            <w:r>
              <w:t>2020-21</w:t>
            </w:r>
          </w:p>
        </w:tc>
        <w:tc>
          <w:tcPr>
            <w:tcW w:w="992" w:type="dxa"/>
            <w:tcBorders>
              <w:top w:val="single" w:sz="4" w:space="0" w:color="000080"/>
              <w:bottom w:val="single" w:sz="4" w:space="0" w:color="000080"/>
            </w:tcBorders>
          </w:tcPr>
          <w:p w14:paraId="4C2E8356" w14:textId="2EFC610F" w:rsidR="00355B6C" w:rsidRDefault="00355B6C" w:rsidP="00AB71A5">
            <w:pPr>
              <w:keepNext/>
              <w:keepLines/>
              <w:spacing w:before="40" w:after="40"/>
              <w:jc w:val="right"/>
            </w:pPr>
            <w:r>
              <w:t>2021-22</w:t>
            </w:r>
          </w:p>
        </w:tc>
        <w:tc>
          <w:tcPr>
            <w:tcW w:w="715" w:type="dxa"/>
            <w:tcBorders>
              <w:top w:val="single" w:sz="4" w:space="0" w:color="000080"/>
              <w:bottom w:val="single" w:sz="4" w:space="0" w:color="000080"/>
            </w:tcBorders>
          </w:tcPr>
          <w:p w14:paraId="28158DED" w14:textId="77777777" w:rsidR="00355B6C" w:rsidRDefault="00355B6C" w:rsidP="00AB71A5">
            <w:pPr>
              <w:keepNext/>
              <w:keepLines/>
              <w:spacing w:before="40" w:after="40"/>
              <w:jc w:val="right"/>
            </w:pPr>
            <w:r>
              <w:t>Total</w:t>
            </w:r>
          </w:p>
        </w:tc>
      </w:tr>
      <w:tr w:rsidR="00355B6C" w14:paraId="5064D678" w14:textId="77777777" w:rsidTr="00355B6C">
        <w:trPr>
          <w:cantSplit/>
        </w:trPr>
        <w:tc>
          <w:tcPr>
            <w:tcW w:w="4853" w:type="dxa"/>
          </w:tcPr>
          <w:p w14:paraId="3B762AD0" w14:textId="77777777" w:rsidR="00355B6C" w:rsidRPr="005B4C1B" w:rsidRDefault="00355B6C" w:rsidP="00AB71A5">
            <w:pPr>
              <w:keepNext/>
              <w:keepLines/>
              <w:spacing w:before="60" w:after="60"/>
              <w:rPr>
                <w:b/>
              </w:rPr>
            </w:pPr>
            <w:r w:rsidRPr="005B4C1B">
              <w:rPr>
                <w:b/>
              </w:rPr>
              <w:t>Estimated total budget</w:t>
            </w:r>
          </w:p>
        </w:tc>
        <w:tc>
          <w:tcPr>
            <w:tcW w:w="1384" w:type="dxa"/>
            <w:tcBorders>
              <w:top w:val="single" w:sz="4" w:space="0" w:color="000080"/>
            </w:tcBorders>
          </w:tcPr>
          <w:p w14:paraId="3F5541B5" w14:textId="7669CF86" w:rsidR="00355B6C" w:rsidRPr="005B4C1B" w:rsidRDefault="00355B6C" w:rsidP="00AB71A5">
            <w:pPr>
              <w:keepNext/>
              <w:keepLines/>
              <w:spacing w:before="40" w:after="40"/>
              <w:jc w:val="right"/>
              <w:rPr>
                <w:b/>
              </w:rPr>
            </w:pPr>
            <w:r>
              <w:rPr>
                <w:b/>
              </w:rPr>
              <w:t>0</w:t>
            </w:r>
            <w:r w:rsidRPr="005B4C1B">
              <w:rPr>
                <w:b/>
              </w:rPr>
              <w:t>.0</w:t>
            </w:r>
          </w:p>
        </w:tc>
        <w:tc>
          <w:tcPr>
            <w:tcW w:w="993" w:type="dxa"/>
            <w:tcBorders>
              <w:top w:val="single" w:sz="4" w:space="0" w:color="000080"/>
            </w:tcBorders>
          </w:tcPr>
          <w:p w14:paraId="44C695EB" w14:textId="26282E7D" w:rsidR="00355B6C" w:rsidRPr="005B4C1B" w:rsidRDefault="00355B6C" w:rsidP="00AB71A5">
            <w:pPr>
              <w:keepNext/>
              <w:keepLines/>
              <w:spacing w:before="40" w:after="40"/>
              <w:jc w:val="right"/>
              <w:rPr>
                <w:b/>
              </w:rPr>
            </w:pPr>
            <w:r>
              <w:rPr>
                <w:b/>
              </w:rPr>
              <w:t>14.600</w:t>
            </w:r>
          </w:p>
        </w:tc>
        <w:tc>
          <w:tcPr>
            <w:tcW w:w="992" w:type="dxa"/>
            <w:tcBorders>
              <w:top w:val="single" w:sz="4" w:space="0" w:color="000080"/>
            </w:tcBorders>
          </w:tcPr>
          <w:p w14:paraId="1172380F" w14:textId="327D06CE" w:rsidR="00355B6C" w:rsidRPr="005B4C1B" w:rsidRDefault="00355B6C" w:rsidP="00AB71A5">
            <w:pPr>
              <w:keepNext/>
              <w:keepLines/>
              <w:spacing w:before="40" w:after="40"/>
              <w:jc w:val="right"/>
              <w:rPr>
                <w:b/>
              </w:rPr>
            </w:pPr>
            <w:r>
              <w:rPr>
                <w:b/>
              </w:rPr>
              <w:t>0</w:t>
            </w:r>
            <w:r w:rsidRPr="005B4C1B">
              <w:rPr>
                <w:b/>
              </w:rPr>
              <w:t>.0</w:t>
            </w:r>
          </w:p>
        </w:tc>
        <w:tc>
          <w:tcPr>
            <w:tcW w:w="715" w:type="dxa"/>
            <w:tcBorders>
              <w:top w:val="single" w:sz="4" w:space="0" w:color="000080"/>
            </w:tcBorders>
          </w:tcPr>
          <w:p w14:paraId="754E1ABE" w14:textId="552F0DF3" w:rsidR="00355B6C" w:rsidRPr="005B4C1B" w:rsidRDefault="00355B6C" w:rsidP="00AB71A5">
            <w:pPr>
              <w:keepNext/>
              <w:keepLines/>
              <w:spacing w:before="40" w:after="40"/>
              <w:jc w:val="right"/>
              <w:rPr>
                <w:b/>
              </w:rPr>
            </w:pPr>
            <w:r>
              <w:rPr>
                <w:b/>
              </w:rPr>
              <w:t>14.600</w:t>
            </w:r>
          </w:p>
        </w:tc>
      </w:tr>
      <w:tr w:rsidR="00355B6C" w14:paraId="3C01C3C6" w14:textId="77777777" w:rsidTr="00355B6C">
        <w:trPr>
          <w:cantSplit/>
        </w:trPr>
        <w:tc>
          <w:tcPr>
            <w:tcW w:w="4853" w:type="dxa"/>
          </w:tcPr>
          <w:p w14:paraId="4784A5B7" w14:textId="77777777" w:rsidR="00355B6C" w:rsidRPr="004A673A" w:rsidRDefault="00355B6C" w:rsidP="00AB71A5">
            <w:pPr>
              <w:keepNext/>
              <w:keepLines/>
              <w:spacing w:before="60" w:after="60"/>
            </w:pPr>
            <w:r>
              <w:t>Less estimated National Partnership Payments</w:t>
            </w:r>
          </w:p>
        </w:tc>
        <w:tc>
          <w:tcPr>
            <w:tcW w:w="1384" w:type="dxa"/>
            <w:tcBorders>
              <w:bottom w:val="single" w:sz="4" w:space="0" w:color="000080"/>
            </w:tcBorders>
          </w:tcPr>
          <w:p w14:paraId="46D63B71" w14:textId="63CD0068" w:rsidR="00355B6C" w:rsidRPr="005B4C1B" w:rsidRDefault="00355B6C" w:rsidP="00AB71A5">
            <w:pPr>
              <w:keepNext/>
              <w:keepLines/>
              <w:spacing w:before="40" w:after="40"/>
              <w:jc w:val="right"/>
            </w:pPr>
            <w:r>
              <w:t>0</w:t>
            </w:r>
            <w:r w:rsidRPr="005B4C1B">
              <w:t>.0</w:t>
            </w:r>
          </w:p>
        </w:tc>
        <w:tc>
          <w:tcPr>
            <w:tcW w:w="993" w:type="dxa"/>
            <w:tcBorders>
              <w:bottom w:val="single" w:sz="4" w:space="0" w:color="000080"/>
            </w:tcBorders>
          </w:tcPr>
          <w:p w14:paraId="23B32F5A" w14:textId="7FBE583A" w:rsidR="00355B6C" w:rsidRPr="005B4C1B" w:rsidRDefault="00355B6C" w:rsidP="00AB71A5">
            <w:pPr>
              <w:keepNext/>
              <w:keepLines/>
              <w:spacing w:before="40" w:after="40"/>
              <w:jc w:val="right"/>
            </w:pPr>
            <w:r>
              <w:t>14.600</w:t>
            </w:r>
          </w:p>
        </w:tc>
        <w:tc>
          <w:tcPr>
            <w:tcW w:w="992" w:type="dxa"/>
            <w:tcBorders>
              <w:bottom w:val="single" w:sz="4" w:space="0" w:color="000080"/>
            </w:tcBorders>
          </w:tcPr>
          <w:p w14:paraId="2C2C463F" w14:textId="77777777" w:rsidR="00355B6C" w:rsidRPr="005B4C1B" w:rsidRDefault="00355B6C" w:rsidP="00AB71A5">
            <w:pPr>
              <w:keepNext/>
              <w:keepLines/>
              <w:spacing w:before="40" w:after="40"/>
              <w:jc w:val="right"/>
            </w:pPr>
            <w:r w:rsidRPr="005B4C1B">
              <w:t>0.0</w:t>
            </w:r>
          </w:p>
        </w:tc>
        <w:tc>
          <w:tcPr>
            <w:tcW w:w="715" w:type="dxa"/>
            <w:tcBorders>
              <w:bottom w:val="single" w:sz="4" w:space="0" w:color="000080"/>
            </w:tcBorders>
          </w:tcPr>
          <w:p w14:paraId="5547BBF0" w14:textId="70BDA37D" w:rsidR="00355B6C" w:rsidRPr="005B4C1B" w:rsidRDefault="00355B6C" w:rsidP="00AB71A5">
            <w:pPr>
              <w:keepNext/>
              <w:keepLines/>
              <w:spacing w:before="40" w:after="40"/>
              <w:jc w:val="right"/>
            </w:pPr>
            <w:r>
              <w:t>14.600</w:t>
            </w:r>
          </w:p>
        </w:tc>
      </w:tr>
      <w:tr w:rsidR="00355B6C" w14:paraId="1BE6DD23" w14:textId="77777777" w:rsidTr="00355B6C">
        <w:trPr>
          <w:cantSplit/>
        </w:trPr>
        <w:tc>
          <w:tcPr>
            <w:tcW w:w="4853" w:type="dxa"/>
            <w:tcBorders>
              <w:bottom w:val="single" w:sz="4" w:space="0" w:color="000080"/>
            </w:tcBorders>
          </w:tcPr>
          <w:p w14:paraId="2AC057C0" w14:textId="77777777" w:rsidR="00355B6C" w:rsidRPr="006146F2" w:rsidRDefault="00355B6C" w:rsidP="00AB71A5">
            <w:pPr>
              <w:keepNext/>
              <w:keepLines/>
              <w:spacing w:before="40" w:after="40"/>
            </w:pPr>
            <w:r w:rsidRPr="006146F2">
              <w:t>Balance of non-Commonwealth contribution</w:t>
            </w:r>
            <w:r>
              <w:t>s</w:t>
            </w:r>
          </w:p>
        </w:tc>
        <w:tc>
          <w:tcPr>
            <w:tcW w:w="1384" w:type="dxa"/>
            <w:tcBorders>
              <w:bottom w:val="single" w:sz="4" w:space="0" w:color="000080"/>
            </w:tcBorders>
          </w:tcPr>
          <w:p w14:paraId="2FF32BE8" w14:textId="77777777" w:rsidR="00355B6C" w:rsidRDefault="00355B6C" w:rsidP="00AB71A5">
            <w:pPr>
              <w:keepNext/>
              <w:keepLines/>
              <w:spacing w:before="40" w:after="40"/>
              <w:jc w:val="right"/>
            </w:pPr>
            <w:r>
              <w:t>0.0</w:t>
            </w:r>
          </w:p>
        </w:tc>
        <w:tc>
          <w:tcPr>
            <w:tcW w:w="993" w:type="dxa"/>
            <w:tcBorders>
              <w:bottom w:val="single" w:sz="4" w:space="0" w:color="000080"/>
            </w:tcBorders>
          </w:tcPr>
          <w:p w14:paraId="1EE81DE1" w14:textId="77777777" w:rsidR="00355B6C" w:rsidRDefault="00355B6C" w:rsidP="00AB71A5">
            <w:pPr>
              <w:keepNext/>
              <w:keepLines/>
              <w:spacing w:before="40" w:after="40"/>
              <w:jc w:val="right"/>
            </w:pPr>
            <w:r>
              <w:t>0.0</w:t>
            </w:r>
          </w:p>
        </w:tc>
        <w:tc>
          <w:tcPr>
            <w:tcW w:w="992" w:type="dxa"/>
            <w:tcBorders>
              <w:bottom w:val="single" w:sz="4" w:space="0" w:color="000080"/>
            </w:tcBorders>
          </w:tcPr>
          <w:p w14:paraId="49CEF5DD" w14:textId="60528AA7" w:rsidR="00355B6C" w:rsidRDefault="00355B6C" w:rsidP="00AB71A5">
            <w:pPr>
              <w:keepNext/>
              <w:keepLines/>
              <w:spacing w:before="40" w:after="40"/>
              <w:jc w:val="right"/>
            </w:pPr>
            <w:r>
              <w:t>0.0</w:t>
            </w:r>
          </w:p>
        </w:tc>
        <w:tc>
          <w:tcPr>
            <w:tcW w:w="715" w:type="dxa"/>
            <w:tcBorders>
              <w:bottom w:val="single" w:sz="4" w:space="0" w:color="000080"/>
            </w:tcBorders>
          </w:tcPr>
          <w:p w14:paraId="55B500A7" w14:textId="4A81B2A2" w:rsidR="00355B6C" w:rsidRDefault="00355B6C" w:rsidP="00AB71A5">
            <w:pPr>
              <w:keepNext/>
              <w:keepLines/>
              <w:spacing w:before="40" w:after="40"/>
              <w:jc w:val="right"/>
            </w:pPr>
            <w:r>
              <w:t>0.0</w:t>
            </w:r>
          </w:p>
        </w:tc>
      </w:tr>
    </w:tbl>
    <w:p w14:paraId="73FA6FCA" w14:textId="77777777" w:rsidR="00355B6C" w:rsidRDefault="00355B6C" w:rsidP="00355B6C">
      <w:pPr>
        <w:pStyle w:val="Normalnumbered"/>
        <w:numPr>
          <w:ilvl w:val="0"/>
          <w:numId w:val="0"/>
        </w:numPr>
        <w:ind w:left="567"/>
      </w:pPr>
    </w:p>
    <w:p w14:paraId="4FD11504" w14:textId="3BBD6C27" w:rsidR="008E7527" w:rsidRDefault="008E7527" w:rsidP="009E093C">
      <w:pPr>
        <w:pStyle w:val="Normalnumbered"/>
        <w:numPr>
          <w:ilvl w:val="0"/>
          <w:numId w:val="22"/>
        </w:numPr>
      </w:pPr>
      <w:r w:rsidRPr="00C738BD">
        <w:t xml:space="preserve">Having regard to the agreed estimated costs of projects specified in </w:t>
      </w:r>
      <w:r w:rsidR="006B43AF">
        <w:t>this</w:t>
      </w:r>
      <w:r>
        <w:t xml:space="preserve"> Agreement</w:t>
      </w:r>
      <w:r w:rsidRPr="00C738BD">
        <w:t xml:space="preserve">, </w:t>
      </w:r>
      <w:r w:rsidR="00355B6C">
        <w:t xml:space="preserve">the State of South Australia </w:t>
      </w:r>
      <w:r w:rsidRPr="00C738BD">
        <w:t>will not be required to pay a refund to the Commonwealth if the actual cost of the project is less than the agreed</w:t>
      </w:r>
      <w:r w:rsidR="00515AF2">
        <w:t xml:space="preserve"> estimated cost of the project.  </w:t>
      </w:r>
      <w:r w:rsidRPr="00C738BD">
        <w:t>Similarly, the State</w:t>
      </w:r>
      <w:r w:rsidR="00355B6C">
        <w:t xml:space="preserve"> of South Australia </w:t>
      </w:r>
      <w:r w:rsidRPr="00C738BD">
        <w:t>bear</w:t>
      </w:r>
      <w:r w:rsidR="00355B6C">
        <w:t>s</w:t>
      </w:r>
      <w:r w:rsidRPr="00C738BD">
        <w:t xml:space="preserve">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2320223B" w14:textId="77777777" w:rsidR="00814667" w:rsidRDefault="003A2157">
      <w:pPr>
        <w:pStyle w:val="Heading1"/>
      </w:pPr>
      <w:bookmarkStart w:id="0" w:name="top"/>
      <w:bookmarkEnd w:id="0"/>
      <w:r>
        <w:lastRenderedPageBreak/>
        <w:t xml:space="preserve">Part </w:t>
      </w:r>
      <w:r w:rsidR="000B4080">
        <w:t>6</w:t>
      </w:r>
      <w:r w:rsidR="00814667">
        <w:t xml:space="preserve"> — governance arrangements</w:t>
      </w:r>
    </w:p>
    <w:p w14:paraId="22CDFADE" w14:textId="77777777" w:rsidR="00BC4728" w:rsidRDefault="00BC4728" w:rsidP="00BC4728">
      <w:pPr>
        <w:pStyle w:val="Heading2"/>
      </w:pPr>
      <w:r w:rsidRPr="006F096A">
        <w:t>Enforceability of the Agreement</w:t>
      </w:r>
    </w:p>
    <w:p w14:paraId="38EB7EC8" w14:textId="77777777" w:rsidR="00BC4728" w:rsidRPr="00C40EBC" w:rsidRDefault="00BC4728" w:rsidP="00B619AA">
      <w:pPr>
        <w:pStyle w:val="Normalnumbered"/>
        <w:numPr>
          <w:ilvl w:val="0"/>
          <w:numId w:val="22"/>
        </w:numPr>
        <w:spacing w:line="240" w:lineRule="auto"/>
      </w:pPr>
      <w:r>
        <w:rPr>
          <w:szCs w:val="23"/>
        </w:rPr>
        <w:t>The Parties do not intend any of the provisions of this Agreement to be legally enforceable. However, that does not lessen the Parties’ commitment to this Agreement.</w:t>
      </w:r>
    </w:p>
    <w:p w14:paraId="3D6B8790" w14:textId="77777777" w:rsidR="00814667" w:rsidRDefault="00814667">
      <w:pPr>
        <w:pStyle w:val="Heading2"/>
      </w:pPr>
      <w:r>
        <w:t>Variation of the Agreement</w:t>
      </w:r>
    </w:p>
    <w:p w14:paraId="667C904C" w14:textId="20FBF357" w:rsidR="00814667" w:rsidRPr="00DE36EB" w:rsidRDefault="00607B03" w:rsidP="00B619AA">
      <w:pPr>
        <w:pStyle w:val="Normalnumbered"/>
        <w:numPr>
          <w:ilvl w:val="0"/>
          <w:numId w:val="22"/>
        </w:numPr>
      </w:pPr>
      <w:r>
        <w:t>The A</w:t>
      </w:r>
      <w:r w:rsidR="00814667">
        <w:t>greement may be amended at any time by agreement in writing by</w:t>
      </w:r>
      <w:r w:rsidR="00355B6C">
        <w:t xml:space="preserve"> </w:t>
      </w:r>
      <w:r w:rsidR="00814667" w:rsidRPr="00DE36EB">
        <w:t>all</w:t>
      </w:r>
      <w:r w:rsidR="002B1C50" w:rsidRPr="00DE36EB">
        <w:t xml:space="preserve"> </w:t>
      </w:r>
      <w:r w:rsidR="00814667" w:rsidRPr="00DE36EB">
        <w:t>the Parties.</w:t>
      </w:r>
    </w:p>
    <w:p w14:paraId="390055B9" w14:textId="01F30A3D" w:rsidR="00292587" w:rsidRDefault="00355B6C" w:rsidP="00B619AA">
      <w:pPr>
        <w:pStyle w:val="Normalnumbered"/>
        <w:numPr>
          <w:ilvl w:val="0"/>
          <w:numId w:val="22"/>
        </w:numPr>
      </w:pPr>
      <w:r>
        <w:t>A</w:t>
      </w:r>
      <w:r w:rsidR="00C2605C" w:rsidRPr="00DE36EB">
        <w:t xml:space="preserve"> </w:t>
      </w:r>
      <w:r w:rsidR="00814667" w:rsidRPr="00DE36EB">
        <w:t>Party to the Agreement may terminate their part</w:t>
      </w:r>
      <w:r w:rsidR="00814667">
        <w:t xml:space="preserve">icipation in the Agreement at any time by notifying all </w:t>
      </w:r>
      <w:r w:rsidR="00C2605C">
        <w:t>Parties</w:t>
      </w:r>
      <w:r w:rsidR="00C2605C">
        <w:rPr>
          <w:i/>
        </w:rPr>
        <w:t xml:space="preserve"> </w:t>
      </w:r>
      <w:r w:rsidR="00814667">
        <w:t>in writing.</w:t>
      </w:r>
    </w:p>
    <w:p w14:paraId="5CE579BD" w14:textId="77777777" w:rsidR="009526E4" w:rsidRDefault="009526E4" w:rsidP="0036119D">
      <w:pPr>
        <w:pStyle w:val="Heading2"/>
      </w:pPr>
      <w:r>
        <w:t>Delegations</w:t>
      </w:r>
    </w:p>
    <w:p w14:paraId="6A7C3833" w14:textId="77777777" w:rsidR="009526E4" w:rsidRDefault="009526E4" w:rsidP="00244500">
      <w:pPr>
        <w:pStyle w:val="Normalnumbered"/>
        <w:numPr>
          <w:ilvl w:val="0"/>
          <w:numId w:val="22"/>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A84F5FD" w14:textId="77777777" w:rsidR="0036119D" w:rsidRDefault="0036119D" w:rsidP="0036119D">
      <w:pPr>
        <w:pStyle w:val="Heading2"/>
      </w:pPr>
      <w:r>
        <w:t>Dispute resolution</w:t>
      </w:r>
    </w:p>
    <w:p w14:paraId="6898D089" w14:textId="30C8AC5B" w:rsidR="0036119D" w:rsidRPr="00DE36EB" w:rsidRDefault="0036119D" w:rsidP="00244500">
      <w:pPr>
        <w:pStyle w:val="Normalnumbered"/>
        <w:numPr>
          <w:ilvl w:val="0"/>
          <w:numId w:val="22"/>
        </w:numPr>
      </w:pPr>
      <w:r w:rsidRPr="00DE36EB">
        <w:t xml:space="preserve">Any Party may give notice to other </w:t>
      </w:r>
      <w:r w:rsidR="00684EC1" w:rsidRPr="00DE36EB">
        <w:t>[</w:t>
      </w:r>
      <w:r w:rsidRPr="00DE36EB">
        <w:t>Parties</w:t>
      </w:r>
      <w:r w:rsidR="00684EC1" w:rsidRPr="00DE36EB">
        <w:t xml:space="preserve"> </w:t>
      </w:r>
      <w:r w:rsidRPr="00DE36EB">
        <w:t>of a dispute under this Agreement.</w:t>
      </w:r>
    </w:p>
    <w:p w14:paraId="49851101" w14:textId="49B8A868" w:rsidR="0036119D" w:rsidRPr="00DE36EB" w:rsidRDefault="0036119D" w:rsidP="00244500">
      <w:pPr>
        <w:pStyle w:val="Normalnumbered"/>
        <w:numPr>
          <w:ilvl w:val="0"/>
          <w:numId w:val="22"/>
        </w:numPr>
      </w:pPr>
      <w:r w:rsidRPr="00DE36EB">
        <w:t>Officials of relevant</w:t>
      </w:r>
      <w:r w:rsidR="002B1C50" w:rsidRPr="00DE36EB">
        <w:rPr>
          <w:i/>
        </w:rPr>
        <w:t xml:space="preserve"> </w:t>
      </w:r>
      <w:r w:rsidRPr="00DE36EB">
        <w:t>Parties will attempt to resolve any dispute in the first instance.</w:t>
      </w:r>
    </w:p>
    <w:p w14:paraId="10EA2929" w14:textId="77777777" w:rsidR="0036119D" w:rsidRPr="00DE36EB" w:rsidRDefault="0036119D" w:rsidP="00244500">
      <w:pPr>
        <w:pStyle w:val="Normalnumbered"/>
        <w:numPr>
          <w:ilvl w:val="0"/>
          <w:numId w:val="22"/>
        </w:numPr>
      </w:pPr>
      <w:r w:rsidRPr="00DE36EB">
        <w:t>If a dispute cannot be resolved by officials, it may be escalated to the relevant Ministers.</w:t>
      </w:r>
    </w:p>
    <w:p w14:paraId="0239BC8D" w14:textId="0645B930" w:rsidR="0036119D" w:rsidRPr="00DE36EB" w:rsidRDefault="0036119D" w:rsidP="0036119D">
      <w:pPr>
        <w:pStyle w:val="Heading2"/>
        <w:rPr>
          <w:b w:val="0"/>
          <w:i/>
          <w:sz w:val="23"/>
          <w:szCs w:val="23"/>
        </w:rPr>
      </w:pPr>
      <w:r>
        <w:t>Interpretation</w:t>
      </w:r>
    </w:p>
    <w:p w14:paraId="6245CB4D" w14:textId="2CB842C6" w:rsidR="0036119D" w:rsidRDefault="0036119D" w:rsidP="00355B6C">
      <w:pPr>
        <w:pStyle w:val="Normalnumbered"/>
        <w:numPr>
          <w:ilvl w:val="0"/>
          <w:numId w:val="22"/>
        </w:numPr>
        <w:jc w:val="left"/>
      </w:pPr>
      <w:r>
        <w:t>For the purposes of this Agreement:</w:t>
      </w:r>
    </w:p>
    <w:p w14:paraId="33E67F8C" w14:textId="0513995B" w:rsidR="00355B6C" w:rsidRDefault="00355B6C" w:rsidP="00B85476">
      <w:pPr>
        <w:pStyle w:val="Normalnumbered"/>
        <w:numPr>
          <w:ilvl w:val="1"/>
          <w:numId w:val="22"/>
        </w:numPr>
        <w:tabs>
          <w:tab w:val="clear" w:pos="1440"/>
        </w:tabs>
        <w:ind w:left="1134"/>
        <w:jc w:val="left"/>
      </w:pPr>
      <w:r>
        <w:t xml:space="preserve">Eligible primary producers are applicants who operate as a farm business that produces horticultural crops (including grape vines cultivated for </w:t>
      </w:r>
      <w:proofErr w:type="gramStart"/>
      <w:r>
        <w:t>wine-making</w:t>
      </w:r>
      <w:proofErr w:type="gramEnd"/>
      <w:r>
        <w:t>). Further guidance is at Schedule A.</w:t>
      </w:r>
    </w:p>
    <w:p w14:paraId="5BEEEE4E" w14:textId="79DE9814" w:rsidR="00355B6C" w:rsidRPr="00FB6A2E" w:rsidRDefault="00355B6C" w:rsidP="00B85476">
      <w:pPr>
        <w:pStyle w:val="Normalnumbered"/>
        <w:numPr>
          <w:ilvl w:val="1"/>
          <w:numId w:val="22"/>
        </w:numPr>
        <w:tabs>
          <w:tab w:val="clear" w:pos="1440"/>
        </w:tabs>
        <w:ind w:left="1134"/>
        <w:jc w:val="left"/>
      </w:pPr>
      <w:r>
        <w:t xml:space="preserve">Payments to eligible primary producers will be 50 per cent of the </w:t>
      </w:r>
      <w:r w:rsidR="00B85476">
        <w:t xml:space="preserve">costs incurred by primary producers, up to  maximum of $300,000, for eligible activities undertaken from 16 December 2019. </w:t>
      </w:r>
    </w:p>
    <w:p w14:paraId="2A95395E" w14:textId="18415099" w:rsidR="0036119D" w:rsidRDefault="0036119D" w:rsidP="00B85476">
      <w:pPr>
        <w:pStyle w:val="Normalnumbered"/>
        <w:numPr>
          <w:ilvl w:val="0"/>
          <w:numId w:val="0"/>
        </w:numPr>
        <w:ind w:left="993"/>
        <w:jc w:val="left"/>
        <w:sectPr w:rsidR="0036119D" w:rsidSect="00CB6703">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39C6904F"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10207" w:type="dxa"/>
        <w:jc w:val="center"/>
        <w:tblLayout w:type="fixed"/>
        <w:tblLook w:val="01E0" w:firstRow="1" w:lastRow="1" w:firstColumn="1" w:lastColumn="1" w:noHBand="0" w:noVBand="0"/>
      </w:tblPr>
      <w:tblGrid>
        <w:gridCol w:w="5387"/>
        <w:gridCol w:w="993"/>
        <w:gridCol w:w="3827"/>
      </w:tblGrid>
      <w:tr w:rsidR="00814667" w:rsidRPr="00A50751" w14:paraId="192FCEC5" w14:textId="77777777" w:rsidTr="00B85476">
        <w:trPr>
          <w:cantSplit/>
          <w:jc w:val="center"/>
        </w:trPr>
        <w:tc>
          <w:tcPr>
            <w:tcW w:w="5387" w:type="dxa"/>
          </w:tcPr>
          <w:p w14:paraId="119AF347" w14:textId="77777777" w:rsidR="00814667" w:rsidRPr="004A0AE7" w:rsidRDefault="00814667" w:rsidP="00B85476">
            <w:pPr>
              <w:pStyle w:val="Signed"/>
              <w:jc w:val="left"/>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0073B6B3" w14:textId="77777777" w:rsidR="00814667" w:rsidRPr="00A50751" w:rsidRDefault="00814667">
            <w:pPr>
              <w:pStyle w:val="LineForSignature"/>
            </w:pPr>
            <w:r>
              <w:tab/>
            </w:r>
          </w:p>
          <w:p w14:paraId="7234A493" w14:textId="4BC6DD6A" w:rsidR="00814667" w:rsidRDefault="00814667">
            <w:pPr>
              <w:pStyle w:val="SingleParagraph"/>
              <w:rPr>
                <w:rStyle w:val="Bold"/>
              </w:rPr>
            </w:pPr>
            <w:r>
              <w:rPr>
                <w:rStyle w:val="Bold"/>
              </w:rPr>
              <w:t xml:space="preserve">The Honourable </w:t>
            </w:r>
            <w:r w:rsidR="00B85476">
              <w:rPr>
                <w:rStyle w:val="Bold"/>
              </w:rPr>
              <w:t>David Littleproud</w:t>
            </w:r>
            <w:r w:rsidR="0099742A">
              <w:rPr>
                <w:rStyle w:val="Bold"/>
              </w:rPr>
              <w:t xml:space="preserve"> </w:t>
            </w:r>
            <w:r>
              <w:rPr>
                <w:rStyle w:val="Bold"/>
              </w:rPr>
              <w:t>MP</w:t>
            </w:r>
          </w:p>
          <w:p w14:paraId="689A9A68" w14:textId="48F11C77" w:rsidR="00814667" w:rsidRDefault="0099742A">
            <w:pPr>
              <w:pStyle w:val="Position"/>
              <w:rPr>
                <w:lang w:val="en-GB"/>
              </w:rPr>
            </w:pPr>
            <w:r>
              <w:rPr>
                <w:lang w:val="en-GB"/>
              </w:rPr>
              <w:t xml:space="preserve">Minister for </w:t>
            </w:r>
            <w:r w:rsidR="00B85476">
              <w:rPr>
                <w:lang w:val="en-GB"/>
              </w:rPr>
              <w:t>Agriculture, Drought and Emergency Management</w:t>
            </w:r>
            <w:r>
              <w:rPr>
                <w:lang w:val="en-GB"/>
              </w:rPr>
              <w:t xml:space="preserve"> </w:t>
            </w:r>
          </w:p>
          <w:p w14:paraId="0E2268AB" w14:textId="77777777" w:rsidR="00814667" w:rsidRDefault="006679C0">
            <w:pPr>
              <w:pStyle w:val="SingleParagraph"/>
              <w:tabs>
                <w:tab w:val="num" w:pos="1134"/>
              </w:tabs>
              <w:spacing w:after="240"/>
              <w:ind w:left="1134" w:hanging="567"/>
              <w:rPr>
                <w:b/>
                <w:lang w:val="en-GB"/>
              </w:rPr>
            </w:pPr>
            <w:r>
              <w:rPr>
                <w:lang w:val="en-GB"/>
              </w:rPr>
              <w:t>[</w:t>
            </w:r>
            <w:proofErr w:type="gramStart"/>
            <w:r>
              <w:rPr>
                <w:lang w:val="en-GB"/>
              </w:rPr>
              <w:t>Day]  [</w:t>
            </w:r>
            <w:proofErr w:type="gramEnd"/>
            <w:r w:rsidR="001B1CA3">
              <w:rPr>
                <w:lang w:val="en-GB"/>
              </w:rPr>
              <w:t>Month</w:t>
            </w:r>
            <w:r>
              <w:rPr>
                <w:lang w:val="en-GB"/>
              </w:rPr>
              <w:t>]</w:t>
            </w:r>
            <w:r w:rsidR="001B1CA3">
              <w:rPr>
                <w:lang w:val="en-GB"/>
              </w:rPr>
              <w:t xml:space="preserve"> </w:t>
            </w:r>
            <w:r>
              <w:rPr>
                <w:lang w:val="en-GB"/>
              </w:rPr>
              <w:t xml:space="preserve"> [Year]</w:t>
            </w:r>
          </w:p>
        </w:tc>
        <w:tc>
          <w:tcPr>
            <w:tcW w:w="993" w:type="dxa"/>
            <w:tcMar>
              <w:left w:w="0" w:type="dxa"/>
              <w:right w:w="0" w:type="dxa"/>
            </w:tcMar>
          </w:tcPr>
          <w:p w14:paraId="59161647" w14:textId="77777777" w:rsidR="00814667" w:rsidRPr="00A50751" w:rsidRDefault="00814667">
            <w:pPr>
              <w:rPr>
                <w:rFonts w:ascii="Book Antiqua" w:hAnsi="Book Antiqua"/>
                <w:lang w:val="en-GB"/>
              </w:rPr>
            </w:pPr>
          </w:p>
        </w:tc>
        <w:tc>
          <w:tcPr>
            <w:tcW w:w="3827" w:type="dxa"/>
          </w:tcPr>
          <w:p w14:paraId="3F617770" w14:textId="77777777" w:rsidR="00814667" w:rsidRPr="00A50751" w:rsidRDefault="00814667">
            <w:pPr>
              <w:rPr>
                <w:rFonts w:ascii="Book Antiqua" w:hAnsi="Book Antiqua"/>
                <w:lang w:val="en-GB"/>
              </w:rPr>
            </w:pPr>
          </w:p>
        </w:tc>
      </w:tr>
      <w:tr w:rsidR="00814667" w:rsidRPr="00A50751" w14:paraId="7523BF38" w14:textId="77777777" w:rsidTr="00B85476">
        <w:trPr>
          <w:cantSplit/>
          <w:jc w:val="center"/>
        </w:trPr>
        <w:tc>
          <w:tcPr>
            <w:tcW w:w="5387" w:type="dxa"/>
          </w:tcPr>
          <w:p w14:paraId="5A1C0F31" w14:textId="77777777" w:rsidR="00814667" w:rsidRPr="00A50751" w:rsidRDefault="00814667">
            <w:pPr>
              <w:pStyle w:val="SingleParagraph"/>
              <w:rPr>
                <w:rFonts w:ascii="Book Antiqua" w:hAnsi="Book Antiqua"/>
                <w:lang w:val="en-GB"/>
              </w:rPr>
            </w:pPr>
          </w:p>
        </w:tc>
        <w:tc>
          <w:tcPr>
            <w:tcW w:w="993" w:type="dxa"/>
            <w:tcMar>
              <w:left w:w="0" w:type="dxa"/>
              <w:right w:w="0" w:type="dxa"/>
            </w:tcMar>
          </w:tcPr>
          <w:p w14:paraId="017FAA6A" w14:textId="77777777" w:rsidR="00814667" w:rsidRPr="00A50751" w:rsidRDefault="00814667">
            <w:pPr>
              <w:pStyle w:val="SingleParagraph"/>
              <w:rPr>
                <w:rFonts w:ascii="Book Antiqua" w:hAnsi="Book Antiqua"/>
                <w:lang w:val="en-GB"/>
              </w:rPr>
            </w:pPr>
          </w:p>
        </w:tc>
        <w:tc>
          <w:tcPr>
            <w:tcW w:w="3827" w:type="dxa"/>
          </w:tcPr>
          <w:p w14:paraId="19B94F4B" w14:textId="77777777" w:rsidR="00814667" w:rsidRPr="00A50751" w:rsidRDefault="00814667">
            <w:pPr>
              <w:pStyle w:val="SingleParagraph"/>
              <w:rPr>
                <w:rFonts w:ascii="Book Antiqua" w:hAnsi="Book Antiqua"/>
                <w:lang w:val="en-GB"/>
              </w:rPr>
            </w:pPr>
          </w:p>
        </w:tc>
      </w:tr>
      <w:tr w:rsidR="00814667" w:rsidRPr="00A50751" w14:paraId="719B4205" w14:textId="77777777" w:rsidTr="00B85476">
        <w:trPr>
          <w:cantSplit/>
          <w:jc w:val="center"/>
        </w:trPr>
        <w:tc>
          <w:tcPr>
            <w:tcW w:w="5387" w:type="dxa"/>
          </w:tcPr>
          <w:p w14:paraId="776BBDEA" w14:textId="50D9485F" w:rsidR="00814667" w:rsidRPr="004A0AE7" w:rsidRDefault="00814667" w:rsidP="00B85476">
            <w:pPr>
              <w:pStyle w:val="Signed"/>
              <w:jc w:val="left"/>
            </w:pPr>
            <w:r>
              <w:rPr>
                <w:rStyle w:val="SignedBold"/>
              </w:rPr>
              <w:t>Signed</w:t>
            </w:r>
            <w:r w:rsidRPr="004A0AE7">
              <w:t xml:space="preserve"> for and on behalf of the</w:t>
            </w:r>
            <w:r>
              <w:t xml:space="preserve"> </w:t>
            </w:r>
            <w:r w:rsidRPr="004A0AE7">
              <w:br/>
              <w:t xml:space="preserve">State of </w:t>
            </w:r>
            <w:r w:rsidR="00B85476">
              <w:t xml:space="preserve">South Australia </w:t>
            </w:r>
          </w:p>
          <w:p w14:paraId="7B61B842" w14:textId="77777777" w:rsidR="00814667" w:rsidRPr="00A50751" w:rsidRDefault="00814667">
            <w:pPr>
              <w:pStyle w:val="LineForSignature"/>
            </w:pPr>
            <w:r w:rsidRPr="00A50751">
              <w:tab/>
            </w:r>
          </w:p>
          <w:p w14:paraId="6EE6BEB9" w14:textId="5CE2D196" w:rsidR="00814667" w:rsidRDefault="00814667">
            <w:pPr>
              <w:pStyle w:val="SingleParagraph"/>
              <w:rPr>
                <w:rStyle w:val="Bold"/>
              </w:rPr>
            </w:pPr>
            <w:r>
              <w:rPr>
                <w:rStyle w:val="Bold"/>
              </w:rPr>
              <w:t xml:space="preserve">The Honourable </w:t>
            </w:r>
            <w:r w:rsidR="00B85476">
              <w:rPr>
                <w:rStyle w:val="Bold"/>
              </w:rPr>
              <w:t>Timothy Whetstone</w:t>
            </w:r>
            <w:r w:rsidR="0099742A">
              <w:rPr>
                <w:rStyle w:val="Bold"/>
              </w:rPr>
              <w:t xml:space="preserve"> </w:t>
            </w:r>
            <w:r>
              <w:rPr>
                <w:rStyle w:val="Bold"/>
              </w:rPr>
              <w:t>MP</w:t>
            </w:r>
          </w:p>
          <w:p w14:paraId="252FBE10" w14:textId="3E0C9FF6" w:rsidR="00542A8C" w:rsidRDefault="00542A8C" w:rsidP="00542A8C">
            <w:pPr>
              <w:pStyle w:val="Position"/>
              <w:rPr>
                <w:lang w:val="en-GB"/>
              </w:rPr>
            </w:pPr>
            <w:r>
              <w:rPr>
                <w:lang w:val="en-GB"/>
              </w:rPr>
              <w:t xml:space="preserve">Minister for </w:t>
            </w:r>
            <w:r w:rsidR="00B85476">
              <w:rPr>
                <w:lang w:val="en-GB"/>
              </w:rPr>
              <w:t>Primary Industries and Regional Development</w:t>
            </w:r>
          </w:p>
          <w:p w14:paraId="339B3338" w14:textId="77777777" w:rsidR="00814667" w:rsidRPr="00A50751" w:rsidRDefault="00542A8C">
            <w:pPr>
              <w:pStyle w:val="SingleParagraph"/>
              <w:tabs>
                <w:tab w:val="num" w:pos="1134"/>
              </w:tabs>
              <w:spacing w:after="240"/>
              <w:ind w:left="1134" w:hanging="567"/>
              <w:rPr>
                <w:szCs w:val="22"/>
                <w:lang w:val="en-GB"/>
              </w:rPr>
            </w:pPr>
            <w:r w:rsidRPr="001F6FE8" w:rsidDel="00542A8C">
              <w:rPr>
                <w:bCs/>
                <w:lang w:val="en-GB"/>
              </w:rPr>
              <w:t xml:space="preserve"> </w:t>
            </w:r>
            <w:r w:rsidR="006679C0">
              <w:rPr>
                <w:lang w:val="en-GB"/>
              </w:rPr>
              <w:t>[</w:t>
            </w:r>
            <w:proofErr w:type="gramStart"/>
            <w:r w:rsidR="006679C0">
              <w:rPr>
                <w:lang w:val="en-GB"/>
              </w:rPr>
              <w:t>Day]  [</w:t>
            </w:r>
            <w:proofErr w:type="gramEnd"/>
            <w:r w:rsidR="006679C0">
              <w:rPr>
                <w:lang w:val="en-GB"/>
              </w:rPr>
              <w:t>Month]  [Year]</w:t>
            </w:r>
          </w:p>
        </w:tc>
        <w:tc>
          <w:tcPr>
            <w:tcW w:w="993" w:type="dxa"/>
            <w:tcMar>
              <w:left w:w="0" w:type="dxa"/>
              <w:right w:w="0" w:type="dxa"/>
            </w:tcMar>
          </w:tcPr>
          <w:p w14:paraId="6408C927" w14:textId="77777777" w:rsidR="00814667" w:rsidRPr="00A50751" w:rsidRDefault="00814667">
            <w:pPr>
              <w:rPr>
                <w:rFonts w:ascii="Book Antiqua" w:hAnsi="Book Antiqua"/>
                <w:lang w:val="en-GB"/>
              </w:rPr>
            </w:pPr>
          </w:p>
        </w:tc>
        <w:tc>
          <w:tcPr>
            <w:tcW w:w="3827" w:type="dxa"/>
          </w:tcPr>
          <w:p w14:paraId="5C66DF8E" w14:textId="3ABA459F" w:rsidR="00814667" w:rsidRPr="00A50751" w:rsidRDefault="00814667">
            <w:pPr>
              <w:pStyle w:val="SingleParagraph"/>
              <w:tabs>
                <w:tab w:val="num" w:pos="1134"/>
              </w:tabs>
              <w:spacing w:after="240"/>
              <w:ind w:left="1134" w:hanging="567"/>
              <w:rPr>
                <w:lang w:val="en-GB"/>
              </w:rPr>
            </w:pPr>
          </w:p>
        </w:tc>
      </w:tr>
      <w:tr w:rsidR="00814667" w:rsidRPr="00A50751" w14:paraId="703A7F33" w14:textId="77777777" w:rsidTr="00B85476">
        <w:trPr>
          <w:cantSplit/>
          <w:jc w:val="center"/>
        </w:trPr>
        <w:tc>
          <w:tcPr>
            <w:tcW w:w="5387" w:type="dxa"/>
          </w:tcPr>
          <w:p w14:paraId="6C40A82F" w14:textId="77777777" w:rsidR="00814667" w:rsidRPr="00A50751" w:rsidRDefault="00814667">
            <w:pPr>
              <w:pStyle w:val="SingleParagraph"/>
              <w:rPr>
                <w:rFonts w:ascii="Book Antiqua" w:hAnsi="Book Antiqua"/>
                <w:lang w:val="en-GB"/>
              </w:rPr>
            </w:pPr>
          </w:p>
        </w:tc>
        <w:tc>
          <w:tcPr>
            <w:tcW w:w="993" w:type="dxa"/>
            <w:tcMar>
              <w:left w:w="0" w:type="dxa"/>
              <w:right w:w="0" w:type="dxa"/>
            </w:tcMar>
          </w:tcPr>
          <w:p w14:paraId="07810259" w14:textId="77777777" w:rsidR="00814667" w:rsidRPr="00A50751" w:rsidRDefault="00814667">
            <w:pPr>
              <w:pStyle w:val="SingleParagraph"/>
              <w:rPr>
                <w:rFonts w:ascii="Book Antiqua" w:hAnsi="Book Antiqua"/>
                <w:lang w:val="en-GB"/>
              </w:rPr>
            </w:pPr>
          </w:p>
        </w:tc>
        <w:tc>
          <w:tcPr>
            <w:tcW w:w="3827" w:type="dxa"/>
          </w:tcPr>
          <w:p w14:paraId="7B43B9C4" w14:textId="77777777" w:rsidR="00814667" w:rsidRPr="00A50751" w:rsidRDefault="00814667">
            <w:pPr>
              <w:pStyle w:val="SingleParagraph"/>
              <w:rPr>
                <w:rFonts w:ascii="Book Antiqua" w:hAnsi="Book Antiqua"/>
                <w:lang w:val="en-GB"/>
              </w:rPr>
            </w:pPr>
          </w:p>
        </w:tc>
      </w:tr>
      <w:tr w:rsidR="00814667" w:rsidRPr="00A50751" w14:paraId="254EDB21" w14:textId="77777777" w:rsidTr="00B85476">
        <w:trPr>
          <w:cantSplit/>
          <w:jc w:val="center"/>
        </w:trPr>
        <w:tc>
          <w:tcPr>
            <w:tcW w:w="5387" w:type="dxa"/>
          </w:tcPr>
          <w:p w14:paraId="098412F8" w14:textId="40B4704C" w:rsidR="00814667" w:rsidRPr="00A50751" w:rsidRDefault="00814667">
            <w:pPr>
              <w:pStyle w:val="SingleParagraph"/>
              <w:tabs>
                <w:tab w:val="num" w:pos="1134"/>
              </w:tabs>
              <w:spacing w:after="240"/>
              <w:ind w:left="1134" w:hanging="567"/>
              <w:rPr>
                <w:lang w:val="en-GB"/>
              </w:rPr>
            </w:pPr>
          </w:p>
        </w:tc>
        <w:tc>
          <w:tcPr>
            <w:tcW w:w="993" w:type="dxa"/>
            <w:tcMar>
              <w:left w:w="0" w:type="dxa"/>
              <w:right w:w="0" w:type="dxa"/>
            </w:tcMar>
          </w:tcPr>
          <w:p w14:paraId="2AD87210" w14:textId="77777777" w:rsidR="00814667" w:rsidRPr="00A50751" w:rsidRDefault="00814667">
            <w:pPr>
              <w:rPr>
                <w:rFonts w:ascii="Book Antiqua" w:hAnsi="Book Antiqua"/>
                <w:lang w:val="en-GB"/>
              </w:rPr>
            </w:pPr>
          </w:p>
        </w:tc>
        <w:tc>
          <w:tcPr>
            <w:tcW w:w="3827" w:type="dxa"/>
          </w:tcPr>
          <w:p w14:paraId="02EBA613" w14:textId="170DB34A" w:rsidR="00814667" w:rsidRPr="00A50751" w:rsidRDefault="00814667">
            <w:pPr>
              <w:pStyle w:val="SingleParagraph"/>
              <w:tabs>
                <w:tab w:val="num" w:pos="1134"/>
              </w:tabs>
              <w:spacing w:after="240"/>
              <w:ind w:left="1134" w:hanging="567"/>
              <w:rPr>
                <w:lang w:val="en-GB"/>
              </w:rPr>
            </w:pPr>
          </w:p>
        </w:tc>
      </w:tr>
      <w:tr w:rsidR="00814667" w:rsidRPr="00A50751" w14:paraId="64EB0516" w14:textId="77777777" w:rsidTr="00B85476">
        <w:trPr>
          <w:cantSplit/>
          <w:jc w:val="center"/>
        </w:trPr>
        <w:tc>
          <w:tcPr>
            <w:tcW w:w="5387" w:type="dxa"/>
          </w:tcPr>
          <w:p w14:paraId="5D394B9E" w14:textId="77777777" w:rsidR="00814667" w:rsidRPr="00A50751" w:rsidRDefault="00814667">
            <w:pPr>
              <w:pStyle w:val="SingleParagraph"/>
              <w:rPr>
                <w:rFonts w:ascii="Book Antiqua" w:hAnsi="Book Antiqua"/>
                <w:lang w:val="en-GB"/>
              </w:rPr>
            </w:pPr>
          </w:p>
        </w:tc>
        <w:tc>
          <w:tcPr>
            <w:tcW w:w="993" w:type="dxa"/>
            <w:tcMar>
              <w:left w:w="0" w:type="dxa"/>
              <w:right w:w="0" w:type="dxa"/>
            </w:tcMar>
          </w:tcPr>
          <w:p w14:paraId="7A16D9F1" w14:textId="77777777" w:rsidR="00814667" w:rsidRPr="00A50751" w:rsidRDefault="00814667">
            <w:pPr>
              <w:pStyle w:val="SingleParagraph"/>
              <w:rPr>
                <w:rFonts w:ascii="Book Antiqua" w:hAnsi="Book Antiqua"/>
                <w:lang w:val="en-GB"/>
              </w:rPr>
            </w:pPr>
          </w:p>
        </w:tc>
        <w:tc>
          <w:tcPr>
            <w:tcW w:w="3827" w:type="dxa"/>
          </w:tcPr>
          <w:p w14:paraId="59B3E1D1" w14:textId="77777777" w:rsidR="00814667" w:rsidRPr="00A50751" w:rsidRDefault="00814667">
            <w:pPr>
              <w:pStyle w:val="SingleParagraph"/>
              <w:rPr>
                <w:rFonts w:ascii="Book Antiqua" w:hAnsi="Book Antiqua"/>
                <w:lang w:val="en-GB"/>
              </w:rPr>
            </w:pPr>
          </w:p>
        </w:tc>
      </w:tr>
      <w:tr w:rsidR="00814667" w:rsidRPr="00A50751" w14:paraId="4675FCF1" w14:textId="77777777" w:rsidTr="00B85476">
        <w:trPr>
          <w:cantSplit/>
          <w:trHeight w:val="143"/>
          <w:jc w:val="center"/>
        </w:trPr>
        <w:tc>
          <w:tcPr>
            <w:tcW w:w="5387" w:type="dxa"/>
          </w:tcPr>
          <w:p w14:paraId="2DFC2D18" w14:textId="6544F5FD" w:rsidR="00814667" w:rsidRPr="00A50751" w:rsidRDefault="00814667">
            <w:pPr>
              <w:pStyle w:val="SingleParagraph"/>
              <w:tabs>
                <w:tab w:val="num" w:pos="1134"/>
              </w:tabs>
              <w:spacing w:after="240"/>
              <w:ind w:left="1134" w:hanging="567"/>
              <w:rPr>
                <w:lang w:val="en-GB"/>
              </w:rPr>
            </w:pPr>
          </w:p>
        </w:tc>
        <w:tc>
          <w:tcPr>
            <w:tcW w:w="993" w:type="dxa"/>
            <w:tcMar>
              <w:left w:w="0" w:type="dxa"/>
              <w:right w:w="0" w:type="dxa"/>
            </w:tcMar>
          </w:tcPr>
          <w:p w14:paraId="3E5ABDC5" w14:textId="77777777" w:rsidR="00814667" w:rsidRPr="00A50751" w:rsidRDefault="00814667">
            <w:pPr>
              <w:rPr>
                <w:rFonts w:ascii="Book Antiqua" w:hAnsi="Book Antiqua"/>
                <w:lang w:val="en-GB"/>
              </w:rPr>
            </w:pPr>
          </w:p>
        </w:tc>
        <w:tc>
          <w:tcPr>
            <w:tcW w:w="3827" w:type="dxa"/>
          </w:tcPr>
          <w:p w14:paraId="6599559B" w14:textId="03A3DF26" w:rsidR="00814667" w:rsidRPr="00A50751" w:rsidRDefault="00814667">
            <w:pPr>
              <w:pStyle w:val="SingleParagraph"/>
              <w:tabs>
                <w:tab w:val="num" w:pos="1134"/>
              </w:tabs>
              <w:spacing w:after="240"/>
              <w:ind w:left="1134" w:hanging="567"/>
              <w:rPr>
                <w:lang w:val="en-GB"/>
              </w:rPr>
            </w:pPr>
          </w:p>
        </w:tc>
      </w:tr>
      <w:tr w:rsidR="00814667" w:rsidRPr="00A50751" w14:paraId="155B3B1A" w14:textId="77777777" w:rsidTr="00B85476">
        <w:trPr>
          <w:cantSplit/>
          <w:jc w:val="center"/>
        </w:trPr>
        <w:tc>
          <w:tcPr>
            <w:tcW w:w="5387" w:type="dxa"/>
          </w:tcPr>
          <w:p w14:paraId="37757707" w14:textId="77777777" w:rsidR="00814667" w:rsidRPr="00A50751" w:rsidRDefault="00814667">
            <w:pPr>
              <w:pStyle w:val="SingleParagraph"/>
              <w:rPr>
                <w:rFonts w:ascii="Book Antiqua" w:hAnsi="Book Antiqua"/>
                <w:lang w:val="en-GB"/>
              </w:rPr>
            </w:pPr>
          </w:p>
        </w:tc>
        <w:tc>
          <w:tcPr>
            <w:tcW w:w="993" w:type="dxa"/>
            <w:tcMar>
              <w:left w:w="0" w:type="dxa"/>
              <w:right w:w="0" w:type="dxa"/>
            </w:tcMar>
          </w:tcPr>
          <w:p w14:paraId="30641A57" w14:textId="77777777" w:rsidR="00814667" w:rsidRPr="00A50751" w:rsidRDefault="00814667">
            <w:pPr>
              <w:pStyle w:val="SingleParagraph"/>
              <w:rPr>
                <w:rFonts w:ascii="Book Antiqua" w:hAnsi="Book Antiqua"/>
                <w:lang w:val="en-GB"/>
              </w:rPr>
            </w:pPr>
          </w:p>
        </w:tc>
        <w:tc>
          <w:tcPr>
            <w:tcW w:w="3827" w:type="dxa"/>
          </w:tcPr>
          <w:p w14:paraId="0B534A6F" w14:textId="77777777" w:rsidR="00814667" w:rsidRPr="00A50751" w:rsidRDefault="00814667">
            <w:pPr>
              <w:pStyle w:val="SingleParagraph"/>
              <w:rPr>
                <w:rFonts w:ascii="Book Antiqua" w:hAnsi="Book Antiqua"/>
                <w:lang w:val="en-GB"/>
              </w:rPr>
            </w:pPr>
          </w:p>
        </w:tc>
      </w:tr>
      <w:tr w:rsidR="00814667" w:rsidRPr="00A50751" w14:paraId="6DBB17EA" w14:textId="77777777" w:rsidTr="00B85476">
        <w:trPr>
          <w:cantSplit/>
          <w:jc w:val="center"/>
        </w:trPr>
        <w:tc>
          <w:tcPr>
            <w:tcW w:w="5387" w:type="dxa"/>
          </w:tcPr>
          <w:p w14:paraId="0BB2A9AD" w14:textId="042B532A" w:rsidR="00814667" w:rsidRPr="00A50751" w:rsidRDefault="00814667">
            <w:pPr>
              <w:pStyle w:val="SingleParagraph"/>
              <w:tabs>
                <w:tab w:val="num" w:pos="1134"/>
              </w:tabs>
              <w:spacing w:after="240"/>
              <w:ind w:left="1134" w:hanging="567"/>
              <w:rPr>
                <w:szCs w:val="22"/>
                <w:lang w:val="en-GB"/>
              </w:rPr>
            </w:pPr>
          </w:p>
        </w:tc>
        <w:tc>
          <w:tcPr>
            <w:tcW w:w="993" w:type="dxa"/>
            <w:tcMar>
              <w:left w:w="0" w:type="dxa"/>
              <w:right w:w="0" w:type="dxa"/>
            </w:tcMar>
          </w:tcPr>
          <w:p w14:paraId="60241236" w14:textId="77777777" w:rsidR="00814667" w:rsidRPr="00A50751" w:rsidRDefault="00814667">
            <w:pPr>
              <w:rPr>
                <w:rFonts w:ascii="Book Antiqua" w:hAnsi="Book Antiqua"/>
                <w:lang w:val="en-GB"/>
              </w:rPr>
            </w:pPr>
          </w:p>
        </w:tc>
        <w:tc>
          <w:tcPr>
            <w:tcW w:w="3827" w:type="dxa"/>
          </w:tcPr>
          <w:p w14:paraId="28BCCAC1" w14:textId="60825CB4" w:rsidR="00814667" w:rsidRPr="00A50751" w:rsidRDefault="00814667">
            <w:pPr>
              <w:pStyle w:val="SingleParagraph"/>
              <w:tabs>
                <w:tab w:val="num" w:pos="1134"/>
              </w:tabs>
              <w:spacing w:after="240"/>
              <w:ind w:left="1134" w:hanging="567"/>
              <w:rPr>
                <w:lang w:val="en-GB"/>
              </w:rPr>
            </w:pPr>
          </w:p>
        </w:tc>
      </w:tr>
    </w:tbl>
    <w:p w14:paraId="3D9168FD" w14:textId="1F2FC01A" w:rsidR="00B85476" w:rsidRDefault="00B85476" w:rsidP="0020144E"/>
    <w:p w14:paraId="05E96570" w14:textId="77777777" w:rsidR="00B85476" w:rsidRDefault="00B85476">
      <w:pPr>
        <w:spacing w:after="0" w:line="240" w:lineRule="auto"/>
        <w:jc w:val="left"/>
      </w:pPr>
      <w:r>
        <w:br w:type="page"/>
      </w:r>
    </w:p>
    <w:p w14:paraId="456718D0" w14:textId="716B8288" w:rsidR="008843EE" w:rsidRPr="00B85476" w:rsidRDefault="00B85476" w:rsidP="00B85476">
      <w:pPr>
        <w:jc w:val="right"/>
        <w:rPr>
          <w:sz w:val="40"/>
          <w:szCs w:val="40"/>
        </w:rPr>
      </w:pPr>
      <w:r w:rsidRPr="00B85476">
        <w:rPr>
          <w:sz w:val="40"/>
          <w:szCs w:val="40"/>
        </w:rPr>
        <w:lastRenderedPageBreak/>
        <w:t>Schedule A</w:t>
      </w:r>
    </w:p>
    <w:p w14:paraId="2B2E9C1D" w14:textId="75CA886F" w:rsidR="00B85476" w:rsidRDefault="00B85476" w:rsidP="00B85476">
      <w:pPr>
        <w:pStyle w:val="Heading1"/>
        <w:rPr>
          <w:sz w:val="72"/>
          <w:szCs w:val="72"/>
        </w:rPr>
      </w:pPr>
      <w:r w:rsidRPr="00B85476">
        <w:rPr>
          <w:sz w:val="72"/>
          <w:szCs w:val="72"/>
        </w:rPr>
        <w:t>Project Eligibility</w:t>
      </w:r>
    </w:p>
    <w:p w14:paraId="75E0FFF5" w14:textId="676AEBE2" w:rsidR="00B85476" w:rsidRDefault="00B85476" w:rsidP="00B85476">
      <w:pPr>
        <w:rPr>
          <w:sz w:val="24"/>
          <w:szCs w:val="24"/>
        </w:rPr>
      </w:pPr>
      <w:r>
        <w:rPr>
          <w:sz w:val="24"/>
          <w:szCs w:val="24"/>
        </w:rPr>
        <w:t xml:space="preserve">PROJECT AGREEMENT FOR THE HORTICULTURAL NETTING INFRASTRUCTURE PROGRAM </w:t>
      </w:r>
    </w:p>
    <w:p w14:paraId="65E99D80" w14:textId="34E850FD" w:rsidR="00B85476" w:rsidRDefault="00B85476" w:rsidP="00B85476">
      <w:pPr>
        <w:pStyle w:val="Heading1"/>
      </w:pPr>
      <w:r>
        <w:t>pROJECT ELIGIBILITY CRITERIA</w:t>
      </w:r>
    </w:p>
    <w:p w14:paraId="4E4C1EC0" w14:textId="77777777" w:rsidR="00B85476" w:rsidRDefault="00B85476" w:rsidP="00B85476">
      <w:pPr>
        <w:pStyle w:val="Heading2"/>
      </w:pPr>
      <w:r w:rsidRPr="006F096A">
        <w:t>Enforceability of the Agreement</w:t>
      </w:r>
    </w:p>
    <w:p w14:paraId="23B8691B" w14:textId="689D5C3E" w:rsidR="00B85476" w:rsidRDefault="00B85476" w:rsidP="00B85476">
      <w:pPr>
        <w:pStyle w:val="Normalnumbered"/>
        <w:numPr>
          <w:ilvl w:val="0"/>
          <w:numId w:val="0"/>
        </w:numPr>
        <w:spacing w:line="240" w:lineRule="auto"/>
        <w:ind w:left="720" w:hanging="720"/>
        <w:rPr>
          <w:szCs w:val="23"/>
        </w:rPr>
      </w:pPr>
      <w:r>
        <w:rPr>
          <w:szCs w:val="23"/>
        </w:rPr>
        <w:t>A1</w:t>
      </w:r>
      <w:r>
        <w:rPr>
          <w:szCs w:val="23"/>
        </w:rPr>
        <w:tab/>
        <w:t xml:space="preserve">Guidance to the State of South Australia on eligibility for Commonwealth funding under the Horticultural Netting Infrastructure Program. </w:t>
      </w:r>
    </w:p>
    <w:p w14:paraId="59449120" w14:textId="15036ECE" w:rsidR="00B85476" w:rsidRDefault="00B85476" w:rsidP="00B85476">
      <w:pPr>
        <w:pStyle w:val="Normalnumbered"/>
        <w:numPr>
          <w:ilvl w:val="0"/>
          <w:numId w:val="0"/>
        </w:numPr>
        <w:spacing w:line="240" w:lineRule="auto"/>
        <w:ind w:left="360" w:hanging="360"/>
      </w:pPr>
      <w:r>
        <w:tab/>
        <w:t xml:space="preserve">1. </w:t>
      </w:r>
      <w:r>
        <w:tab/>
        <w:t>Eligible applicants must:</w:t>
      </w:r>
    </w:p>
    <w:p w14:paraId="52550D95" w14:textId="66D74D5A" w:rsidR="00B85476" w:rsidRDefault="00B85476" w:rsidP="00B85476">
      <w:pPr>
        <w:pStyle w:val="Normalnumbered"/>
        <w:numPr>
          <w:ilvl w:val="0"/>
          <w:numId w:val="0"/>
        </w:numPr>
        <w:tabs>
          <w:tab w:val="left" w:pos="709"/>
          <w:tab w:val="left" w:pos="1134"/>
        </w:tabs>
        <w:spacing w:line="240" w:lineRule="auto"/>
        <w:ind w:left="360" w:hanging="360"/>
      </w:pPr>
      <w:r>
        <w:tab/>
      </w:r>
      <w:r>
        <w:tab/>
        <w:t xml:space="preserve">1.  </w:t>
      </w:r>
      <w:r>
        <w:tab/>
        <w:t xml:space="preserve">Be a primary production business (as defined in the </w:t>
      </w:r>
      <w:r>
        <w:rPr>
          <w:i/>
          <w:iCs/>
        </w:rPr>
        <w:t>Income Tax Assessment Act 1997)</w:t>
      </w:r>
      <w:r>
        <w:t xml:space="preserve">; and </w:t>
      </w:r>
    </w:p>
    <w:p w14:paraId="6CBF6017" w14:textId="5EEC08A5" w:rsidR="00B85476" w:rsidRDefault="00B85476" w:rsidP="00B85476">
      <w:pPr>
        <w:pStyle w:val="Normalnumbered"/>
        <w:numPr>
          <w:ilvl w:val="0"/>
          <w:numId w:val="0"/>
        </w:numPr>
        <w:tabs>
          <w:tab w:val="left" w:pos="709"/>
          <w:tab w:val="left" w:pos="1134"/>
        </w:tabs>
        <w:spacing w:line="240" w:lineRule="auto"/>
        <w:ind w:left="360" w:hanging="360"/>
      </w:pPr>
      <w:r>
        <w:tab/>
      </w:r>
      <w:r>
        <w:tab/>
        <w:t xml:space="preserve">2. </w:t>
      </w:r>
      <w:r>
        <w:tab/>
        <w:t>Be property owners, share farmers or lease holders in the horticultural industry; and</w:t>
      </w:r>
    </w:p>
    <w:p w14:paraId="20148094" w14:textId="48386389" w:rsidR="005F5064" w:rsidRDefault="005F5064" w:rsidP="00B85476">
      <w:pPr>
        <w:pStyle w:val="Normalnumbered"/>
        <w:numPr>
          <w:ilvl w:val="0"/>
          <w:numId w:val="0"/>
        </w:numPr>
        <w:tabs>
          <w:tab w:val="left" w:pos="709"/>
          <w:tab w:val="left" w:pos="1134"/>
        </w:tabs>
        <w:spacing w:line="240" w:lineRule="auto"/>
        <w:ind w:left="360" w:hanging="360"/>
      </w:pPr>
      <w:r>
        <w:tab/>
      </w:r>
      <w:r>
        <w:tab/>
        <w:t xml:space="preserve">3. </w:t>
      </w:r>
      <w:r>
        <w:tab/>
        <w:t>Purchase and install protective netting over existing horticultural crops.</w:t>
      </w:r>
    </w:p>
    <w:p w14:paraId="364F6AD1" w14:textId="72079B24" w:rsidR="005F5064" w:rsidRDefault="005F5064" w:rsidP="005F5064">
      <w:pPr>
        <w:pStyle w:val="Normalnumbered"/>
        <w:numPr>
          <w:ilvl w:val="0"/>
          <w:numId w:val="0"/>
        </w:numPr>
        <w:tabs>
          <w:tab w:val="left" w:pos="567"/>
          <w:tab w:val="left" w:pos="1134"/>
        </w:tabs>
        <w:spacing w:line="240" w:lineRule="auto"/>
        <w:ind w:left="284" w:hanging="360"/>
      </w:pPr>
      <w:r>
        <w:tab/>
        <w:t xml:space="preserve">2. </w:t>
      </w:r>
      <w:r>
        <w:tab/>
        <w:t xml:space="preserve">The land to be covered must have an established use of horticultural cropping prior to      </w:t>
      </w:r>
      <w:r>
        <w:tab/>
        <w:t xml:space="preserve">16 December 2019. </w:t>
      </w:r>
    </w:p>
    <w:p w14:paraId="1130159A" w14:textId="36CDFD90" w:rsidR="005F5064" w:rsidRDefault="005F5064" w:rsidP="005F5064">
      <w:pPr>
        <w:pStyle w:val="Normalnumbered"/>
        <w:numPr>
          <w:ilvl w:val="0"/>
          <w:numId w:val="0"/>
        </w:numPr>
        <w:tabs>
          <w:tab w:val="left" w:pos="567"/>
          <w:tab w:val="left" w:pos="1134"/>
        </w:tabs>
        <w:spacing w:line="240" w:lineRule="auto"/>
        <w:ind w:left="284" w:hanging="360"/>
      </w:pPr>
      <w:r>
        <w:tab/>
        <w:t xml:space="preserve">3. </w:t>
      </w:r>
      <w:r>
        <w:tab/>
        <w:t xml:space="preserve">The protective netting must be purchased and installed to reduce the impact of adverse weather  </w:t>
      </w:r>
      <w:r>
        <w:tab/>
        <w:t xml:space="preserve">events and animal predation, and to reduce water consumption. </w:t>
      </w:r>
    </w:p>
    <w:p w14:paraId="1AEBE0F2" w14:textId="1CF9C8AA" w:rsidR="005F5064" w:rsidRDefault="005F5064" w:rsidP="005F5064">
      <w:pPr>
        <w:pStyle w:val="Normalnumbered"/>
        <w:numPr>
          <w:ilvl w:val="0"/>
          <w:numId w:val="0"/>
        </w:numPr>
        <w:tabs>
          <w:tab w:val="left" w:pos="567"/>
          <w:tab w:val="left" w:pos="1134"/>
        </w:tabs>
        <w:spacing w:line="240" w:lineRule="auto"/>
        <w:ind w:left="284" w:hanging="360"/>
      </w:pPr>
      <w:r>
        <w:t xml:space="preserve">       4. Protective netting must be purchased and installed after 16 December 2019.</w:t>
      </w:r>
    </w:p>
    <w:p w14:paraId="236F630C" w14:textId="7BDF8BCD" w:rsidR="005F5064" w:rsidRDefault="005F5064" w:rsidP="005F5064">
      <w:pPr>
        <w:pStyle w:val="Normalnumbered"/>
        <w:numPr>
          <w:ilvl w:val="0"/>
          <w:numId w:val="0"/>
        </w:numPr>
        <w:tabs>
          <w:tab w:val="left" w:pos="567"/>
          <w:tab w:val="left" w:pos="1134"/>
        </w:tabs>
        <w:spacing w:line="240" w:lineRule="auto"/>
        <w:ind w:left="284" w:hanging="360"/>
      </w:pPr>
      <w:r>
        <w:tab/>
        <w:t xml:space="preserve">5. Eligibility for the payment applies to the purchase and installation of permanent and throw-over </w:t>
      </w:r>
      <w:r>
        <w:tab/>
        <w:t>protective netting and associated support structures.</w:t>
      </w:r>
    </w:p>
    <w:p w14:paraId="6BE33549" w14:textId="13469141" w:rsidR="005F5064" w:rsidRPr="00B85476" w:rsidRDefault="005F5064" w:rsidP="005F5064">
      <w:pPr>
        <w:pStyle w:val="Normalnumbered"/>
        <w:numPr>
          <w:ilvl w:val="0"/>
          <w:numId w:val="0"/>
        </w:numPr>
        <w:tabs>
          <w:tab w:val="left" w:pos="567"/>
          <w:tab w:val="left" w:pos="1134"/>
        </w:tabs>
        <w:spacing w:line="240" w:lineRule="auto"/>
        <w:ind w:left="284" w:hanging="360"/>
      </w:pPr>
      <w:r>
        <w:tab/>
        <w:t xml:space="preserve">6. The replacement of netting damaged by the bushfires of 2019-20 is not eligible for the payment. </w:t>
      </w:r>
    </w:p>
    <w:p w14:paraId="0BE83298" w14:textId="77777777" w:rsidR="00B85476" w:rsidRPr="00B85476" w:rsidRDefault="00B85476" w:rsidP="00B85476">
      <w:pPr>
        <w:rPr>
          <w:sz w:val="24"/>
          <w:szCs w:val="24"/>
        </w:rPr>
      </w:pPr>
    </w:p>
    <w:sectPr w:rsidR="00B85476" w:rsidRPr="00B85476" w:rsidSect="00B85476">
      <w:headerReference w:type="first" r:id="rId16"/>
      <w:footerReference w:type="first" r:id="rId17"/>
      <w:type w:val="oddPage"/>
      <w:pgSz w:w="11906" w:h="16838" w:code="9"/>
      <w:pgMar w:top="1276"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32F8" w14:textId="77777777" w:rsidR="00B85476" w:rsidRDefault="00B85476">
      <w:r>
        <w:separator/>
      </w:r>
    </w:p>
  </w:endnote>
  <w:endnote w:type="continuationSeparator" w:id="0">
    <w:p w14:paraId="7213B2F5" w14:textId="77777777" w:rsidR="00B85476" w:rsidRDefault="00B8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6F81" w14:textId="77777777" w:rsidR="00B85476" w:rsidRDefault="00B8547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6DA8AA" w14:textId="77777777" w:rsidR="00B85476" w:rsidRDefault="00B8547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3E37" w14:textId="77777777" w:rsidR="00B85476" w:rsidRDefault="00B8547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66CF" w14:textId="77777777" w:rsidR="00B85476" w:rsidRDefault="00B8547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B0D73B" w14:textId="52DB47D8" w:rsidR="00B85476" w:rsidRDefault="00B85476">
    <w:pPr>
      <w:pStyle w:val="FooterOdd"/>
      <w:keepNext/>
      <w:tabs>
        <w:tab w:val="num" w:pos="567"/>
      </w:tabs>
    </w:pPr>
    <w:r>
      <w:t xml:space="preserve">Version of template: </w:t>
    </w:r>
    <w:r>
      <w:fldChar w:fldCharType="begin"/>
    </w:r>
    <w:r>
      <w:instrText xml:space="preserve"> DATE \@ "d/MM/yyyy" </w:instrText>
    </w:r>
    <w:r>
      <w:fldChar w:fldCharType="separate"/>
    </w:r>
    <w:r w:rsidR="00CC79AA">
      <w:rPr>
        <w:noProof/>
      </w:rPr>
      <w:t>25/06/2020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01B1" w14:textId="77777777" w:rsidR="00B85476" w:rsidRDefault="00B8547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333EA" w14:textId="77777777" w:rsidR="00B85476" w:rsidRDefault="00B85476">
      <w:r>
        <w:separator/>
      </w:r>
    </w:p>
  </w:footnote>
  <w:footnote w:type="continuationSeparator" w:id="0">
    <w:p w14:paraId="6A8432F3" w14:textId="77777777" w:rsidR="00B85476" w:rsidRDefault="00B8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86BA" w14:textId="77777777" w:rsidR="00B85476" w:rsidRPr="00814590" w:rsidRDefault="00B85476">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88DA" w14:textId="282C9DC6" w:rsidR="00B85476" w:rsidRPr="00814590" w:rsidRDefault="00B85476">
    <w:pPr>
      <w:pStyle w:val="HeaderOdd"/>
      <w:tabs>
        <w:tab w:val="num" w:pos="1134"/>
      </w:tabs>
      <w:rPr>
        <w:color w:val="800000"/>
      </w:rPr>
    </w:pPr>
    <w:r>
      <w:rPr>
        <w:color w:val="800000"/>
      </w:rPr>
      <w:t>Project Agreement for the Horticultural Netting Infrastructure Program - Trial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462F" w14:textId="4DEBEFA7" w:rsidR="00B85476" w:rsidRPr="00814590" w:rsidRDefault="00B85476" w:rsidP="00B85476">
    <w:pPr>
      <w:pStyle w:val="HeaderOdd"/>
      <w:tabs>
        <w:tab w:val="num" w:pos="1134"/>
      </w:tabs>
      <w:rPr>
        <w:color w:val="800000"/>
      </w:rPr>
    </w:pPr>
    <w:r>
      <w:rPr>
        <w:color w:val="800000"/>
      </w:rPr>
      <w:t>Project Agreement for the Horticultural Netting Infrastructure Program – trial</w:t>
    </w:r>
  </w:p>
  <w:p w14:paraId="4B5361A9" w14:textId="77777777" w:rsidR="00B85476" w:rsidRPr="00751725" w:rsidRDefault="00B85476"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F5162"/>
    <w:multiLevelType w:val="hybridMultilevel"/>
    <w:tmpl w:val="DC901E84"/>
    <w:lvl w:ilvl="0" w:tplc="B438712C">
      <w:start w:val="2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3425C06"/>
    <w:multiLevelType w:val="multilevel"/>
    <w:tmpl w:val="39B2E1B8"/>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440C8B"/>
    <w:multiLevelType w:val="multilevel"/>
    <w:tmpl w:val="F2A403A2"/>
    <w:lvl w:ilvl="0">
      <w:start w:val="1"/>
      <w:numFmt w:val="bullet"/>
      <w:lvlRestart w:val="0"/>
      <w:lvlText w:val="•"/>
      <w:lvlJc w:val="left"/>
      <w:pPr>
        <w:tabs>
          <w:tab w:val="num" w:pos="566"/>
        </w:tabs>
        <w:ind w:left="566" w:hanging="283"/>
      </w:pPr>
      <w:rPr>
        <w:rFonts w:ascii="Times New Roman" w:hAnsi="Times New Roman"/>
        <w:b w:val="0"/>
        <w:i w:val="0"/>
      </w:rPr>
    </w:lvl>
    <w:lvl w:ilvl="1">
      <w:start w:val="1"/>
      <w:numFmt w:val="bullet"/>
      <w:lvlText w:val="–"/>
      <w:lvlJc w:val="left"/>
      <w:pPr>
        <w:tabs>
          <w:tab w:val="num" w:pos="850"/>
        </w:tabs>
        <w:ind w:left="850" w:hanging="284"/>
      </w:pPr>
      <w:rPr>
        <w:rFonts w:ascii="Times New Roman" w:hAnsi="Times New Roman"/>
        <w:b w:val="0"/>
        <w:i w:val="0"/>
      </w:rPr>
    </w:lvl>
    <w:lvl w:ilvl="2">
      <w:start w:val="1"/>
      <w:numFmt w:val="bullet"/>
      <w:lvlText w:val=":"/>
      <w:lvlJc w:val="left"/>
      <w:pPr>
        <w:tabs>
          <w:tab w:val="num" w:pos="1133"/>
        </w:tabs>
        <w:ind w:left="1133" w:hanging="283"/>
      </w:pPr>
      <w:rPr>
        <w:rFonts w:ascii="Times New Roman" w:hAnsi="Times New Roman"/>
        <w:b w:val="0"/>
        <w:i w:val="0"/>
      </w:rPr>
    </w:lvl>
    <w:lvl w:ilvl="3">
      <w:start w:val="1"/>
      <w:numFmt w:val="decimal"/>
      <w:lvlText w:val="(%4)"/>
      <w:lvlJc w:val="left"/>
      <w:pPr>
        <w:tabs>
          <w:tab w:val="num" w:pos="1723"/>
        </w:tabs>
        <w:ind w:left="1723" w:hanging="360"/>
      </w:pPr>
      <w:rPr>
        <w:rFonts w:cs="Times New Roman"/>
        <w:b w:val="0"/>
        <w:i w:val="0"/>
      </w:rPr>
    </w:lvl>
    <w:lvl w:ilvl="4">
      <w:start w:val="1"/>
      <w:numFmt w:val="lowerLetter"/>
      <w:lvlText w:val="(%5)"/>
      <w:lvlJc w:val="left"/>
      <w:pPr>
        <w:tabs>
          <w:tab w:val="num" w:pos="2083"/>
        </w:tabs>
        <w:ind w:left="2083" w:hanging="360"/>
      </w:pPr>
      <w:rPr>
        <w:rFonts w:cs="Times New Roman"/>
        <w:b w:val="0"/>
        <w:i w:val="0"/>
      </w:rPr>
    </w:lvl>
    <w:lvl w:ilvl="5">
      <w:start w:val="1"/>
      <w:numFmt w:val="lowerRoman"/>
      <w:lvlText w:val="(%6)"/>
      <w:lvlJc w:val="left"/>
      <w:pPr>
        <w:tabs>
          <w:tab w:val="num" w:pos="2443"/>
        </w:tabs>
        <w:ind w:left="2443" w:hanging="360"/>
      </w:pPr>
      <w:rPr>
        <w:rFonts w:cs="Times New Roman"/>
        <w:b w:val="0"/>
        <w:i w:val="0"/>
      </w:rPr>
    </w:lvl>
    <w:lvl w:ilvl="6">
      <w:start w:val="1"/>
      <w:numFmt w:val="decimal"/>
      <w:lvlText w:val="%7."/>
      <w:lvlJc w:val="left"/>
      <w:pPr>
        <w:tabs>
          <w:tab w:val="num" w:pos="2803"/>
        </w:tabs>
        <w:ind w:left="2803" w:hanging="360"/>
      </w:pPr>
      <w:rPr>
        <w:rFonts w:cs="Times New Roman"/>
        <w:b w:val="0"/>
        <w:i w:val="0"/>
      </w:rPr>
    </w:lvl>
    <w:lvl w:ilvl="7">
      <w:start w:val="1"/>
      <w:numFmt w:val="lowerLetter"/>
      <w:lvlText w:val="%8."/>
      <w:lvlJc w:val="left"/>
      <w:pPr>
        <w:tabs>
          <w:tab w:val="num" w:pos="3163"/>
        </w:tabs>
        <w:ind w:left="3163" w:hanging="360"/>
      </w:pPr>
      <w:rPr>
        <w:rFonts w:cs="Times New Roman"/>
        <w:b w:val="0"/>
        <w:i w:val="0"/>
      </w:rPr>
    </w:lvl>
    <w:lvl w:ilvl="8">
      <w:start w:val="1"/>
      <w:numFmt w:val="lowerRoman"/>
      <w:lvlText w:val="%9."/>
      <w:lvlJc w:val="left"/>
      <w:pPr>
        <w:tabs>
          <w:tab w:val="num" w:pos="3523"/>
        </w:tabs>
        <w:ind w:left="3523" w:hanging="360"/>
      </w:pPr>
      <w:rPr>
        <w:rFonts w:cs="Times New Roman"/>
        <w:b w:val="0"/>
        <w:i w:val="0"/>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3FF7E26"/>
    <w:multiLevelType w:val="hybridMultilevel"/>
    <w:tmpl w:val="93CC6628"/>
    <w:lvl w:ilvl="0" w:tplc="A674538A">
      <w:start w:val="20"/>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5951914"/>
    <w:multiLevelType w:val="hybridMultilevel"/>
    <w:tmpl w:val="88603EB4"/>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68F539CD"/>
    <w:multiLevelType w:val="hybridMultilevel"/>
    <w:tmpl w:val="68420772"/>
    <w:lvl w:ilvl="0" w:tplc="E4760E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2" w15:restartNumberingAfterBreak="0">
    <w:nsid w:val="72D81726"/>
    <w:multiLevelType w:val="hybridMultilevel"/>
    <w:tmpl w:val="A320A2B0"/>
    <w:lvl w:ilvl="0" w:tplc="E4760E08">
      <w:start w:val="1"/>
      <w:numFmt w:val="lowerLetter"/>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4" w15:restartNumberingAfterBreak="0">
    <w:nsid w:val="78854AAC"/>
    <w:multiLevelType w:val="hybridMultilevel"/>
    <w:tmpl w:val="60ECA2E2"/>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5636C9C4">
      <w:start w:val="1"/>
      <w:numFmt w:val="lowerLetter"/>
      <w:lvlText w:val="(%2)"/>
      <w:lvlJc w:val="left"/>
      <w:pPr>
        <w:tabs>
          <w:tab w:val="num" w:pos="1440"/>
        </w:tabs>
        <w:ind w:left="1440" w:hanging="360"/>
      </w:pPr>
      <w:rPr>
        <w:rFonts w:ascii="Corbel" w:eastAsia="Times New Roman" w:hAnsi="Corbel"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15"/>
  </w:num>
  <w:num w:numId="15">
    <w:abstractNumId w:val="17"/>
  </w:num>
  <w:num w:numId="16">
    <w:abstractNumId w:val="3"/>
  </w:num>
  <w:num w:numId="17">
    <w:abstractNumId w:val="19"/>
  </w:num>
  <w:num w:numId="18">
    <w:abstractNumId w:val="8"/>
  </w:num>
  <w:num w:numId="19">
    <w:abstractNumId w:val="11"/>
  </w:num>
  <w:num w:numId="20">
    <w:abstractNumId w:val="4"/>
  </w:num>
  <w:num w:numId="21">
    <w:abstractNumId w:val="9"/>
  </w:num>
  <w:num w:numId="22">
    <w:abstractNumId w:val="24"/>
  </w:num>
  <w:num w:numId="23">
    <w:abstractNumId w:val="2"/>
  </w:num>
  <w:num w:numId="24">
    <w:abstractNumId w:val="16"/>
  </w:num>
  <w:num w:numId="25">
    <w:abstractNumId w:val="21"/>
  </w:num>
  <w:num w:numId="26">
    <w:abstractNumId w:val="14"/>
  </w:num>
  <w:num w:numId="27">
    <w:abstractNumId w:val="18"/>
  </w:num>
  <w:num w:numId="28">
    <w:abstractNumId w:val="23"/>
  </w:num>
  <w:num w:numId="29">
    <w:abstractNumId w:val="5"/>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6"/>
  </w:num>
  <w:num w:numId="38">
    <w:abstractNumId w:val="20"/>
  </w:num>
  <w:num w:numId="39">
    <w:abstractNumId w:val="22"/>
  </w:num>
  <w:num w:numId="40">
    <w:abstractNumId w:val="0"/>
  </w:num>
  <w:num w:numId="41">
    <w:abstractNumId w:val="0"/>
  </w:num>
  <w:num w:numId="42">
    <w:abstractNumId w:val="8"/>
  </w:num>
  <w:num w:numId="43">
    <w:abstractNumId w:val="0"/>
  </w:num>
  <w:num w:numId="44">
    <w:abstractNumId w:val="1"/>
  </w:num>
  <w:num w:numId="45">
    <w:abstractNumId w:val="13"/>
  </w:num>
  <w:num w:numId="46">
    <w:abstractNumId w:val="0"/>
  </w:num>
  <w:num w:numId="4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67"/>
    <w:rsid w:val="00005A5D"/>
    <w:rsid w:val="000076D9"/>
    <w:rsid w:val="00021708"/>
    <w:rsid w:val="00030CB2"/>
    <w:rsid w:val="000343F1"/>
    <w:rsid w:val="00044700"/>
    <w:rsid w:val="0006051B"/>
    <w:rsid w:val="000614F9"/>
    <w:rsid w:val="0006451A"/>
    <w:rsid w:val="0006551D"/>
    <w:rsid w:val="00065679"/>
    <w:rsid w:val="0007004C"/>
    <w:rsid w:val="000724F6"/>
    <w:rsid w:val="00074611"/>
    <w:rsid w:val="00074A62"/>
    <w:rsid w:val="00086712"/>
    <w:rsid w:val="00091DF8"/>
    <w:rsid w:val="00093CB6"/>
    <w:rsid w:val="00093DD8"/>
    <w:rsid w:val="00097794"/>
    <w:rsid w:val="000A0C9E"/>
    <w:rsid w:val="000A5191"/>
    <w:rsid w:val="000B4080"/>
    <w:rsid w:val="000B7685"/>
    <w:rsid w:val="000C714F"/>
    <w:rsid w:val="000D19D8"/>
    <w:rsid w:val="000D1C37"/>
    <w:rsid w:val="000D4377"/>
    <w:rsid w:val="000E075D"/>
    <w:rsid w:val="000E2AF6"/>
    <w:rsid w:val="000E36B7"/>
    <w:rsid w:val="000E3C70"/>
    <w:rsid w:val="000E48C3"/>
    <w:rsid w:val="000F0880"/>
    <w:rsid w:val="000F25D5"/>
    <w:rsid w:val="000F6CF6"/>
    <w:rsid w:val="00103FD6"/>
    <w:rsid w:val="001065EE"/>
    <w:rsid w:val="00110F5D"/>
    <w:rsid w:val="001134AC"/>
    <w:rsid w:val="00115166"/>
    <w:rsid w:val="00115A97"/>
    <w:rsid w:val="00122DBA"/>
    <w:rsid w:val="001262B5"/>
    <w:rsid w:val="00132587"/>
    <w:rsid w:val="001404A9"/>
    <w:rsid w:val="001409DA"/>
    <w:rsid w:val="00140F43"/>
    <w:rsid w:val="00145ABD"/>
    <w:rsid w:val="00145D5C"/>
    <w:rsid w:val="00151133"/>
    <w:rsid w:val="00160506"/>
    <w:rsid w:val="0016131F"/>
    <w:rsid w:val="001629FA"/>
    <w:rsid w:val="00165CAB"/>
    <w:rsid w:val="00166312"/>
    <w:rsid w:val="00167BB8"/>
    <w:rsid w:val="00172360"/>
    <w:rsid w:val="00172E3A"/>
    <w:rsid w:val="00173F81"/>
    <w:rsid w:val="00174C2A"/>
    <w:rsid w:val="00175FB9"/>
    <w:rsid w:val="00177A0A"/>
    <w:rsid w:val="00180F76"/>
    <w:rsid w:val="00183EAB"/>
    <w:rsid w:val="00185CC1"/>
    <w:rsid w:val="00187BEB"/>
    <w:rsid w:val="001931E8"/>
    <w:rsid w:val="00194232"/>
    <w:rsid w:val="00194587"/>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5CC5"/>
    <w:rsid w:val="001D2C27"/>
    <w:rsid w:val="001D3CAD"/>
    <w:rsid w:val="001D6E9A"/>
    <w:rsid w:val="001E20EC"/>
    <w:rsid w:val="001E4479"/>
    <w:rsid w:val="001E7173"/>
    <w:rsid w:val="001E74D0"/>
    <w:rsid w:val="001E7803"/>
    <w:rsid w:val="001F1D48"/>
    <w:rsid w:val="001F6F39"/>
    <w:rsid w:val="001F6FE8"/>
    <w:rsid w:val="0020144E"/>
    <w:rsid w:val="00205E18"/>
    <w:rsid w:val="00206773"/>
    <w:rsid w:val="002069F9"/>
    <w:rsid w:val="00212869"/>
    <w:rsid w:val="00221308"/>
    <w:rsid w:val="00222C97"/>
    <w:rsid w:val="00225761"/>
    <w:rsid w:val="00233835"/>
    <w:rsid w:val="00241EE9"/>
    <w:rsid w:val="00244500"/>
    <w:rsid w:val="00247D45"/>
    <w:rsid w:val="00252551"/>
    <w:rsid w:val="00261ABA"/>
    <w:rsid w:val="00262E18"/>
    <w:rsid w:val="0026571E"/>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7E40"/>
    <w:rsid w:val="003012DA"/>
    <w:rsid w:val="00307C5C"/>
    <w:rsid w:val="00312CFE"/>
    <w:rsid w:val="00313480"/>
    <w:rsid w:val="00313C98"/>
    <w:rsid w:val="00313FD9"/>
    <w:rsid w:val="003155BD"/>
    <w:rsid w:val="003177B9"/>
    <w:rsid w:val="00321E0A"/>
    <w:rsid w:val="00333506"/>
    <w:rsid w:val="00340987"/>
    <w:rsid w:val="003410AA"/>
    <w:rsid w:val="0034465F"/>
    <w:rsid w:val="00352A6B"/>
    <w:rsid w:val="00352EC1"/>
    <w:rsid w:val="00355B6C"/>
    <w:rsid w:val="00361054"/>
    <w:rsid w:val="0036119D"/>
    <w:rsid w:val="003637A0"/>
    <w:rsid w:val="0036474E"/>
    <w:rsid w:val="00364CF3"/>
    <w:rsid w:val="00365CAA"/>
    <w:rsid w:val="00367EAB"/>
    <w:rsid w:val="00372573"/>
    <w:rsid w:val="00377AB2"/>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2E5D"/>
    <w:rsid w:val="003C59E0"/>
    <w:rsid w:val="003C6F2A"/>
    <w:rsid w:val="003D743C"/>
    <w:rsid w:val="003E33BA"/>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23AA"/>
    <w:rsid w:val="00423104"/>
    <w:rsid w:val="004267D3"/>
    <w:rsid w:val="00427E2A"/>
    <w:rsid w:val="00433E65"/>
    <w:rsid w:val="004374B2"/>
    <w:rsid w:val="00442AB8"/>
    <w:rsid w:val="004436EA"/>
    <w:rsid w:val="0044456C"/>
    <w:rsid w:val="00450B39"/>
    <w:rsid w:val="00453BC6"/>
    <w:rsid w:val="00454498"/>
    <w:rsid w:val="00456C59"/>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11ED"/>
    <w:rsid w:val="004D310E"/>
    <w:rsid w:val="004D37D8"/>
    <w:rsid w:val="004D4B81"/>
    <w:rsid w:val="004F5DCD"/>
    <w:rsid w:val="004F6B2B"/>
    <w:rsid w:val="005005DF"/>
    <w:rsid w:val="00505045"/>
    <w:rsid w:val="00510B96"/>
    <w:rsid w:val="00511501"/>
    <w:rsid w:val="00511B5B"/>
    <w:rsid w:val="00515AF2"/>
    <w:rsid w:val="0051640E"/>
    <w:rsid w:val="00516741"/>
    <w:rsid w:val="0051684E"/>
    <w:rsid w:val="00527ABC"/>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815B3"/>
    <w:rsid w:val="00582A03"/>
    <w:rsid w:val="00587E37"/>
    <w:rsid w:val="00593821"/>
    <w:rsid w:val="00596E88"/>
    <w:rsid w:val="00597CBD"/>
    <w:rsid w:val="005A0969"/>
    <w:rsid w:val="005A5E7A"/>
    <w:rsid w:val="005B0DEF"/>
    <w:rsid w:val="005B2A03"/>
    <w:rsid w:val="005B4C1B"/>
    <w:rsid w:val="005C2684"/>
    <w:rsid w:val="005C2DDC"/>
    <w:rsid w:val="005C5620"/>
    <w:rsid w:val="005C578C"/>
    <w:rsid w:val="005D1F0F"/>
    <w:rsid w:val="005D29DB"/>
    <w:rsid w:val="005D41F9"/>
    <w:rsid w:val="005E4143"/>
    <w:rsid w:val="005E724B"/>
    <w:rsid w:val="005F5064"/>
    <w:rsid w:val="00601F7C"/>
    <w:rsid w:val="00602A48"/>
    <w:rsid w:val="00602EF7"/>
    <w:rsid w:val="00606F11"/>
    <w:rsid w:val="00607B03"/>
    <w:rsid w:val="0061059D"/>
    <w:rsid w:val="0061326F"/>
    <w:rsid w:val="00614393"/>
    <w:rsid w:val="006146F2"/>
    <w:rsid w:val="00614C00"/>
    <w:rsid w:val="00623567"/>
    <w:rsid w:val="006412B5"/>
    <w:rsid w:val="00641932"/>
    <w:rsid w:val="00644083"/>
    <w:rsid w:val="0064429B"/>
    <w:rsid w:val="0064477C"/>
    <w:rsid w:val="00650903"/>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4D93"/>
    <w:rsid w:val="00746531"/>
    <w:rsid w:val="00750F59"/>
    <w:rsid w:val="00751725"/>
    <w:rsid w:val="00752028"/>
    <w:rsid w:val="0075450A"/>
    <w:rsid w:val="0075717D"/>
    <w:rsid w:val="0076017E"/>
    <w:rsid w:val="00760DB6"/>
    <w:rsid w:val="0076361C"/>
    <w:rsid w:val="007661AE"/>
    <w:rsid w:val="00766A51"/>
    <w:rsid w:val="00771FFF"/>
    <w:rsid w:val="00772818"/>
    <w:rsid w:val="0077685D"/>
    <w:rsid w:val="0077788E"/>
    <w:rsid w:val="00784439"/>
    <w:rsid w:val="00787E75"/>
    <w:rsid w:val="00797257"/>
    <w:rsid w:val="007A3157"/>
    <w:rsid w:val="007A6E20"/>
    <w:rsid w:val="007B10ED"/>
    <w:rsid w:val="007B2B2E"/>
    <w:rsid w:val="007B3BFC"/>
    <w:rsid w:val="007B4B03"/>
    <w:rsid w:val="007C4F31"/>
    <w:rsid w:val="007E5257"/>
    <w:rsid w:val="007E5391"/>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708D6"/>
    <w:rsid w:val="00874608"/>
    <w:rsid w:val="008760D0"/>
    <w:rsid w:val="00881317"/>
    <w:rsid w:val="008843EE"/>
    <w:rsid w:val="00892CA4"/>
    <w:rsid w:val="00896477"/>
    <w:rsid w:val="00896BD6"/>
    <w:rsid w:val="00896F5A"/>
    <w:rsid w:val="008A3C37"/>
    <w:rsid w:val="008B1840"/>
    <w:rsid w:val="008B70D3"/>
    <w:rsid w:val="008B73A2"/>
    <w:rsid w:val="008B7FE2"/>
    <w:rsid w:val="008C0BBA"/>
    <w:rsid w:val="008C2450"/>
    <w:rsid w:val="008C7817"/>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3979"/>
    <w:rsid w:val="00983DC2"/>
    <w:rsid w:val="00983DF0"/>
    <w:rsid w:val="0099742A"/>
    <w:rsid w:val="009A0446"/>
    <w:rsid w:val="009A062C"/>
    <w:rsid w:val="009A48AF"/>
    <w:rsid w:val="009A522D"/>
    <w:rsid w:val="009B0C68"/>
    <w:rsid w:val="009B3F77"/>
    <w:rsid w:val="009B5132"/>
    <w:rsid w:val="009C166A"/>
    <w:rsid w:val="009C2059"/>
    <w:rsid w:val="009C6FFB"/>
    <w:rsid w:val="009C7EF5"/>
    <w:rsid w:val="009D0C93"/>
    <w:rsid w:val="009D2FAC"/>
    <w:rsid w:val="009E093C"/>
    <w:rsid w:val="009E1311"/>
    <w:rsid w:val="009E151E"/>
    <w:rsid w:val="009E3ACF"/>
    <w:rsid w:val="009E5DB6"/>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36551"/>
    <w:rsid w:val="00B36E9E"/>
    <w:rsid w:val="00B40E38"/>
    <w:rsid w:val="00B45C9E"/>
    <w:rsid w:val="00B51ACE"/>
    <w:rsid w:val="00B619AA"/>
    <w:rsid w:val="00B623D7"/>
    <w:rsid w:val="00B66E7A"/>
    <w:rsid w:val="00B8096A"/>
    <w:rsid w:val="00B85476"/>
    <w:rsid w:val="00B91564"/>
    <w:rsid w:val="00B9206A"/>
    <w:rsid w:val="00B9279E"/>
    <w:rsid w:val="00BA1CFA"/>
    <w:rsid w:val="00BA4284"/>
    <w:rsid w:val="00BC1029"/>
    <w:rsid w:val="00BC2720"/>
    <w:rsid w:val="00BC4728"/>
    <w:rsid w:val="00BC4BF4"/>
    <w:rsid w:val="00BC60B3"/>
    <w:rsid w:val="00BD2253"/>
    <w:rsid w:val="00BD7496"/>
    <w:rsid w:val="00BE042D"/>
    <w:rsid w:val="00BE4802"/>
    <w:rsid w:val="00BE7212"/>
    <w:rsid w:val="00BF0D7C"/>
    <w:rsid w:val="00BF331F"/>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2F14"/>
    <w:rsid w:val="00C83627"/>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39B1"/>
    <w:rsid w:val="00CC3D90"/>
    <w:rsid w:val="00CC79AA"/>
    <w:rsid w:val="00CD526B"/>
    <w:rsid w:val="00CD5B93"/>
    <w:rsid w:val="00CD7039"/>
    <w:rsid w:val="00CE3B32"/>
    <w:rsid w:val="00CE4A24"/>
    <w:rsid w:val="00CE613B"/>
    <w:rsid w:val="00CE7403"/>
    <w:rsid w:val="00CF0826"/>
    <w:rsid w:val="00CF0D8A"/>
    <w:rsid w:val="00CF267F"/>
    <w:rsid w:val="00CF7DA0"/>
    <w:rsid w:val="00D0312C"/>
    <w:rsid w:val="00D04614"/>
    <w:rsid w:val="00D1723F"/>
    <w:rsid w:val="00D26B64"/>
    <w:rsid w:val="00D30AA4"/>
    <w:rsid w:val="00D30CE5"/>
    <w:rsid w:val="00D3674A"/>
    <w:rsid w:val="00D40383"/>
    <w:rsid w:val="00D4085D"/>
    <w:rsid w:val="00D428F4"/>
    <w:rsid w:val="00D434F3"/>
    <w:rsid w:val="00D46E83"/>
    <w:rsid w:val="00D51386"/>
    <w:rsid w:val="00D52914"/>
    <w:rsid w:val="00D5485B"/>
    <w:rsid w:val="00D57346"/>
    <w:rsid w:val="00D61911"/>
    <w:rsid w:val="00D62258"/>
    <w:rsid w:val="00D625A7"/>
    <w:rsid w:val="00D677F9"/>
    <w:rsid w:val="00D702F1"/>
    <w:rsid w:val="00D729FA"/>
    <w:rsid w:val="00D7336A"/>
    <w:rsid w:val="00D73591"/>
    <w:rsid w:val="00D802FC"/>
    <w:rsid w:val="00D8532B"/>
    <w:rsid w:val="00D85463"/>
    <w:rsid w:val="00D973A5"/>
    <w:rsid w:val="00DA205D"/>
    <w:rsid w:val="00DA7233"/>
    <w:rsid w:val="00DC4D62"/>
    <w:rsid w:val="00DC50E5"/>
    <w:rsid w:val="00DC76C7"/>
    <w:rsid w:val="00DE311A"/>
    <w:rsid w:val="00DE36EB"/>
    <w:rsid w:val="00DE4A6C"/>
    <w:rsid w:val="00DE64C1"/>
    <w:rsid w:val="00DF5BAB"/>
    <w:rsid w:val="00E10555"/>
    <w:rsid w:val="00E1108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79FF"/>
    <w:rsid w:val="00E6698B"/>
    <w:rsid w:val="00E7195E"/>
    <w:rsid w:val="00E72F4A"/>
    <w:rsid w:val="00E7467D"/>
    <w:rsid w:val="00E82115"/>
    <w:rsid w:val="00E832FF"/>
    <w:rsid w:val="00E83448"/>
    <w:rsid w:val="00E838D3"/>
    <w:rsid w:val="00E90BF8"/>
    <w:rsid w:val="00E92C8A"/>
    <w:rsid w:val="00E9346D"/>
    <w:rsid w:val="00EA21BF"/>
    <w:rsid w:val="00EA594C"/>
    <w:rsid w:val="00EA7329"/>
    <w:rsid w:val="00EA7A1C"/>
    <w:rsid w:val="00EB5170"/>
    <w:rsid w:val="00EB7EDA"/>
    <w:rsid w:val="00EC3E78"/>
    <w:rsid w:val="00EC5206"/>
    <w:rsid w:val="00EC5D22"/>
    <w:rsid w:val="00ED0175"/>
    <w:rsid w:val="00ED0AC8"/>
    <w:rsid w:val="00ED2AC4"/>
    <w:rsid w:val="00ED4036"/>
    <w:rsid w:val="00EE041B"/>
    <w:rsid w:val="00EE57AC"/>
    <w:rsid w:val="00EE74C4"/>
    <w:rsid w:val="00EE7D29"/>
    <w:rsid w:val="00EF33DE"/>
    <w:rsid w:val="00EF6486"/>
    <w:rsid w:val="00EF72D4"/>
    <w:rsid w:val="00F11A23"/>
    <w:rsid w:val="00F11DDE"/>
    <w:rsid w:val="00F120E6"/>
    <w:rsid w:val="00F12ACD"/>
    <w:rsid w:val="00F16589"/>
    <w:rsid w:val="00F2068C"/>
    <w:rsid w:val="00F234AB"/>
    <w:rsid w:val="00F24478"/>
    <w:rsid w:val="00F31DE0"/>
    <w:rsid w:val="00F3245D"/>
    <w:rsid w:val="00F34E70"/>
    <w:rsid w:val="00F4377A"/>
    <w:rsid w:val="00F46237"/>
    <w:rsid w:val="00F47765"/>
    <w:rsid w:val="00F501C6"/>
    <w:rsid w:val="00F630DB"/>
    <w:rsid w:val="00F630EF"/>
    <w:rsid w:val="00F6403E"/>
    <w:rsid w:val="00F71346"/>
    <w:rsid w:val="00F715F2"/>
    <w:rsid w:val="00F730C7"/>
    <w:rsid w:val="00F76C87"/>
    <w:rsid w:val="00F8684A"/>
    <w:rsid w:val="00F94C3D"/>
    <w:rsid w:val="00F95D26"/>
    <w:rsid w:val="00F979C5"/>
    <w:rsid w:val="00FA0CBF"/>
    <w:rsid w:val="00FA0E45"/>
    <w:rsid w:val="00FA2EC0"/>
    <w:rsid w:val="00FA4E87"/>
    <w:rsid w:val="00FA64FD"/>
    <w:rsid w:val="00FB4200"/>
    <w:rsid w:val="00FB5750"/>
    <w:rsid w:val="00FB6A2E"/>
    <w:rsid w:val="00FC055C"/>
    <w:rsid w:val="00FD4437"/>
    <w:rsid w:val="00FE0584"/>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5A7B77F"/>
  <w14:defaultImageDpi w14:val="0"/>
  <w15:docId w15:val="{891D3948-3B8C-4E1F-831E-003A5CC7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5"/>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6"/>
      </w:numPr>
      <w:tabs>
        <w:tab w:val="num" w:pos="567"/>
        <w:tab w:val="num" w:pos="850"/>
      </w:tabs>
      <w:ind w:left="850" w:hanging="284"/>
    </w:pPr>
  </w:style>
  <w:style w:type="paragraph" w:customStyle="1" w:styleId="DoubleDot">
    <w:name w:val="Double Dot"/>
    <w:basedOn w:val="Normal"/>
    <w:rsid w:val="00D51386"/>
    <w:pPr>
      <w:numPr>
        <w:ilvl w:val="2"/>
        <w:numId w:val="16"/>
      </w:numPr>
      <w:tabs>
        <w:tab w:val="num" w:pos="850"/>
        <w:tab w:val="num" w:pos="1133"/>
      </w:tabs>
      <w:ind w:left="1133" w:hanging="283"/>
    </w:pPr>
  </w:style>
  <w:style w:type="paragraph" w:customStyle="1" w:styleId="OutlineNumbered1">
    <w:name w:val="Outline Numbered 1"/>
    <w:basedOn w:val="Normal"/>
    <w:rsid w:val="00D51386"/>
    <w:pPr>
      <w:numPr>
        <w:numId w:val="13"/>
      </w:numPr>
    </w:pPr>
  </w:style>
  <w:style w:type="paragraph" w:customStyle="1" w:styleId="OutlineNumbered2">
    <w:name w:val="Outline Numbered 2"/>
    <w:basedOn w:val="Normal"/>
    <w:rsid w:val="00D51386"/>
    <w:pPr>
      <w:numPr>
        <w:ilvl w:val="1"/>
        <w:numId w:val="13"/>
      </w:numPr>
    </w:pPr>
  </w:style>
  <w:style w:type="paragraph" w:customStyle="1" w:styleId="OutlineNumbered3">
    <w:name w:val="Outline Numbered 3"/>
    <w:basedOn w:val="Normal"/>
    <w:rsid w:val="00D51386"/>
    <w:pPr>
      <w:numPr>
        <w:ilvl w:val="2"/>
        <w:numId w:val="13"/>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4"/>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6"/>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5"/>
      </w:numPr>
    </w:pPr>
  </w:style>
  <w:style w:type="paragraph" w:customStyle="1" w:styleId="BoxDash">
    <w:name w:val="Box Dash"/>
    <w:basedOn w:val="Normal"/>
    <w:uiPriority w:val="99"/>
    <w:rsid w:val="00D51386"/>
    <w:pPr>
      <w:numPr>
        <w:ilvl w:val="1"/>
        <w:numId w:val="15"/>
      </w:numPr>
    </w:pPr>
  </w:style>
  <w:style w:type="paragraph" w:customStyle="1" w:styleId="BoxDoubleDot">
    <w:name w:val="Box Double Dot"/>
    <w:basedOn w:val="BoxTextBase"/>
    <w:uiPriority w:val="99"/>
    <w:rsid w:val="00D51386"/>
    <w:pPr>
      <w:numPr>
        <w:ilvl w:val="2"/>
        <w:numId w:val="15"/>
      </w:numPr>
    </w:pPr>
  </w:style>
  <w:style w:type="paragraph" w:customStyle="1" w:styleId="RecommendationBullet">
    <w:name w:val="Recommendation Bullet"/>
    <w:basedOn w:val="RecommendationTextBase"/>
    <w:rsid w:val="00D51386"/>
    <w:pPr>
      <w:numPr>
        <w:numId w:val="17"/>
      </w:numPr>
    </w:pPr>
  </w:style>
  <w:style w:type="paragraph" w:customStyle="1" w:styleId="RecommendationDash">
    <w:name w:val="Recommendation Dash"/>
    <w:basedOn w:val="RecommendationTextBase"/>
    <w:rsid w:val="00D51386"/>
    <w:pPr>
      <w:numPr>
        <w:ilvl w:val="1"/>
        <w:numId w:val="17"/>
      </w:numPr>
    </w:pPr>
  </w:style>
  <w:style w:type="paragraph" w:customStyle="1" w:styleId="RecommendationDoubleDot">
    <w:name w:val="Recommendation Double Dot"/>
    <w:basedOn w:val="RecommendationTextBase"/>
    <w:rsid w:val="00D51386"/>
    <w:pPr>
      <w:numPr>
        <w:ilvl w:val="2"/>
        <w:numId w:val="17"/>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5"/>
      </w:numPr>
    </w:pPr>
  </w:style>
  <w:style w:type="paragraph" w:customStyle="1" w:styleId="Romannumeral">
    <w:name w:val="Roman numeral"/>
    <w:basedOn w:val="Normal"/>
    <w:rsid w:val="00D51386"/>
    <w:pPr>
      <w:numPr>
        <w:numId w:val="23"/>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6"/>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20"/>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6"/>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21"/>
      </w:numPr>
    </w:pPr>
  </w:style>
  <w:style w:type="paragraph" w:customStyle="1" w:styleId="AgreementParties">
    <w:name w:val="AgreementParties"/>
    <w:rsid w:val="00D51386"/>
    <w:pPr>
      <w:numPr>
        <w:numId w:val="24"/>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3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3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3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3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3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3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3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3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3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198723">
      <w:marLeft w:val="0"/>
      <w:marRight w:val="0"/>
      <w:marTop w:val="0"/>
      <w:marBottom w:val="0"/>
      <w:divBdr>
        <w:top w:val="none" w:sz="0" w:space="0" w:color="auto"/>
        <w:left w:val="none" w:sz="0" w:space="0" w:color="auto"/>
        <w:bottom w:val="none" w:sz="0" w:space="0" w:color="auto"/>
        <w:right w:val="none" w:sz="0" w:space="0" w:color="auto"/>
      </w:divBdr>
    </w:div>
    <w:div w:id="909198724">
      <w:marLeft w:val="0"/>
      <w:marRight w:val="0"/>
      <w:marTop w:val="0"/>
      <w:marBottom w:val="0"/>
      <w:divBdr>
        <w:top w:val="none" w:sz="0" w:space="0" w:color="auto"/>
        <w:left w:val="none" w:sz="0" w:space="0" w:color="auto"/>
        <w:bottom w:val="none" w:sz="0" w:space="0" w:color="auto"/>
        <w:right w:val="none" w:sz="0" w:space="0" w:color="auto"/>
      </w:divBdr>
    </w:div>
    <w:div w:id="9091987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1953F5793609444B9479F27AEE32458" ma:contentTypeVersion="" ma:contentTypeDescription="PDMS Document Site Content Type" ma:contentTypeScope="" ma:versionID="9b02718522f1ee2ecf373008f9e4134e">
  <xsd:schema xmlns:xsd="http://www.w3.org/2001/XMLSchema" xmlns:xs="http://www.w3.org/2001/XMLSchema" xmlns:p="http://schemas.microsoft.com/office/2006/metadata/properties" xmlns:ns2="E605FF3F-5D62-4A64-9ABD-D52F844E95BC" targetNamespace="http://schemas.microsoft.com/office/2006/metadata/properties" ma:root="true" ma:fieldsID="db64483e58fb474d1897f4d339e34804" ns2:_="">
    <xsd:import namespace="E605FF3F-5D62-4A64-9ABD-D52F844E95B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5FF3F-5D62-4A64-9ABD-D52F844E95B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605FF3F-5D62-4A64-9ABD-D52F844E95B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7FC9-CE7F-49DF-92E8-48070859C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5FF3F-5D62-4A64-9ABD-D52F844E9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BDD92129-7869-426E-80EA-939D526ECB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05FF3F-5D62-4A64-9ABD-D52F844E95BC"/>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27B895E-E32C-4689-B466-201176F0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TotalTime>
  <Pages>8</Pages>
  <Words>1644</Words>
  <Characters>9376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Sperling, Kaye</cp:lastModifiedBy>
  <cp:revision>2</cp:revision>
  <cp:lastPrinted>2015-08-13T02:13:00Z</cp:lastPrinted>
  <dcterms:created xsi:type="dcterms:W3CDTF">2020-06-25T00:07:00Z</dcterms:created>
  <dcterms:modified xsi:type="dcterms:W3CDTF">2020-06-25T00:07:00Z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0x010100266966F133664895A6EE3632470D45F50051953F5793609444B9479F27AEE32458</vt:lpwstr>
  </property>
</Properties>
</file>