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8E9E7" w14:textId="17994F25" w:rsidR="003E00B6" w:rsidRDefault="003E00B6" w:rsidP="003E00B6">
      <w:pPr>
        <w:pStyle w:val="Heading9"/>
      </w:pPr>
      <w:r>
        <w:t xml:space="preserve">Schedule </w:t>
      </w:r>
      <w:r w:rsidR="002D39BE">
        <w:t>E7</w:t>
      </w:r>
    </w:p>
    <w:p w14:paraId="6958E9E8" w14:textId="77777777" w:rsidR="003E00B6" w:rsidRDefault="007C30F7" w:rsidP="003E00B6">
      <w:pPr>
        <w:pStyle w:val="Title"/>
      </w:pPr>
      <w:r>
        <w:t>Australian Capital Territory</w:t>
      </w:r>
    </w:p>
    <w:p w14:paraId="6958E9E9" w14:textId="77777777" w:rsidR="003E00B6" w:rsidRDefault="003E00B6" w:rsidP="003E00B6">
      <w:pPr>
        <w:pStyle w:val="Subtitle"/>
      </w:pPr>
      <w:r>
        <w:t>National housing and homelessness agreement</w:t>
      </w:r>
    </w:p>
    <w:p w14:paraId="6958E9EA" w14:textId="77777777" w:rsidR="003E00B6" w:rsidRDefault="003E00B6" w:rsidP="003E00B6">
      <w:pPr>
        <w:pStyle w:val="Heading1"/>
        <w:spacing w:before="240"/>
      </w:pPr>
      <w:r>
        <w:t>Preliminaries</w:t>
      </w:r>
    </w:p>
    <w:p w14:paraId="6958E9EB" w14:textId="77777777" w:rsidR="00730D95" w:rsidRDefault="003E00B6" w:rsidP="00730D95">
      <w:pPr>
        <w:pStyle w:val="Normalnumbered"/>
        <w:numPr>
          <w:ilvl w:val="0"/>
          <w:numId w:val="3"/>
        </w:numPr>
      </w:pPr>
      <w:bookmarkStart w:id="0" w:name="PART_2:_FORMALITIES"/>
      <w:bookmarkStart w:id="1" w:name="PART_3:_FINANCIAL_ARRANGEMENTS"/>
      <w:bookmarkStart w:id="2" w:name="PART_1:_PRELIMINARIES"/>
      <w:bookmarkEnd w:id="0"/>
      <w:bookmarkEnd w:id="1"/>
      <w:bookmarkEnd w:id="2"/>
      <w:r>
        <w:t xml:space="preserve">This Schedule is an agreement that is a supplementary housing agreement for the purposes of section </w:t>
      </w:r>
      <w:r w:rsidR="003F227C">
        <w:t>15C</w:t>
      </w:r>
      <w:r>
        <w:t xml:space="preserve"> of the FFR Act. </w:t>
      </w:r>
    </w:p>
    <w:p w14:paraId="6958E9EC" w14:textId="6F7E0F40" w:rsidR="00730D95" w:rsidRDefault="00730D95" w:rsidP="00730D95">
      <w:pPr>
        <w:pStyle w:val="Normalnumbered"/>
        <w:numPr>
          <w:ilvl w:val="0"/>
          <w:numId w:val="3"/>
        </w:numPr>
      </w:pPr>
      <w:r w:rsidRPr="00DE58EE">
        <w:t>Th</w:t>
      </w:r>
      <w:r>
        <w:t>is</w:t>
      </w:r>
      <w:r w:rsidRPr="00DE58EE">
        <w:t xml:space="preserve"> </w:t>
      </w:r>
      <w:r w:rsidR="001C649E">
        <w:t>Schedule</w:t>
      </w:r>
      <w:r w:rsidRPr="00DE58EE">
        <w:t xml:space="preserve"> will </w:t>
      </w:r>
      <w:r w:rsidR="0024625E">
        <w:t>commence as soon as</w:t>
      </w:r>
      <w:r w:rsidRPr="00606318">
        <w:t xml:space="preserve"> the</w:t>
      </w:r>
      <w:r w:rsidRPr="00DE58EE">
        <w:t xml:space="preserve"> Commonwealth and </w:t>
      </w:r>
      <w:r w:rsidR="007C30F7">
        <w:t>the ACT</w:t>
      </w:r>
      <w:r>
        <w:t xml:space="preserve"> </w:t>
      </w:r>
      <w:r w:rsidRPr="00DE58EE">
        <w:t>sign</w:t>
      </w:r>
      <w:r>
        <w:t xml:space="preserve"> this and the </w:t>
      </w:r>
      <w:r w:rsidR="00895783">
        <w:t>A</w:t>
      </w:r>
      <w:r>
        <w:t>greement</w:t>
      </w:r>
      <w:r w:rsidRPr="00DE58EE">
        <w:t xml:space="preserve">. </w:t>
      </w:r>
    </w:p>
    <w:p w14:paraId="6958E9ED" w14:textId="2C465D9B" w:rsidR="00365AD9" w:rsidRPr="00365AD9" w:rsidRDefault="00365AD9" w:rsidP="00365AD9">
      <w:pPr>
        <w:pStyle w:val="Dash"/>
        <w:numPr>
          <w:ilvl w:val="0"/>
          <w:numId w:val="3"/>
        </w:numPr>
      </w:pPr>
      <w:r w:rsidRPr="00365AD9">
        <w:t xml:space="preserve">Unless terminated earlier or extended as agreed in writing by the Parties, this </w:t>
      </w:r>
      <w:r w:rsidR="001C649E">
        <w:t>Schedule</w:t>
      </w:r>
      <w:r w:rsidRPr="00365AD9">
        <w:t xml:space="preserve"> will:</w:t>
      </w:r>
    </w:p>
    <w:p w14:paraId="6958E9EE" w14:textId="77777777" w:rsidR="00365AD9" w:rsidRPr="003146AF" w:rsidRDefault="00365AD9" w:rsidP="004B6AB5">
      <w:pPr>
        <w:pStyle w:val="DoubleDot"/>
        <w:numPr>
          <w:ilvl w:val="1"/>
          <w:numId w:val="3"/>
        </w:numPr>
        <w:tabs>
          <w:tab w:val="num" w:pos="2160"/>
        </w:tabs>
        <w:spacing w:after="200" w:line="276" w:lineRule="auto"/>
        <w:jc w:val="left"/>
        <w:rPr>
          <w:szCs w:val="23"/>
        </w:rPr>
      </w:pPr>
      <w:r w:rsidRPr="003146AF">
        <w:rPr>
          <w:szCs w:val="23"/>
        </w:rPr>
        <w:t>expire no later than 30 June 2023; and</w:t>
      </w:r>
    </w:p>
    <w:p w14:paraId="6958E9EF" w14:textId="77777777" w:rsidR="00365AD9" w:rsidRPr="003146AF" w:rsidRDefault="00365AD9" w:rsidP="004B6AB5">
      <w:pPr>
        <w:pStyle w:val="DoubleDot"/>
        <w:numPr>
          <w:ilvl w:val="1"/>
          <w:numId w:val="3"/>
        </w:numPr>
        <w:tabs>
          <w:tab w:val="num" w:pos="2160"/>
        </w:tabs>
        <w:spacing w:after="200" w:line="276" w:lineRule="auto"/>
        <w:jc w:val="left"/>
        <w:rPr>
          <w:szCs w:val="23"/>
        </w:rPr>
      </w:pPr>
      <w:r w:rsidRPr="003146AF">
        <w:rPr>
          <w:szCs w:val="23"/>
        </w:rPr>
        <w:t>be replaced for further terms of up to five years by the written agreement of the Parties.</w:t>
      </w:r>
    </w:p>
    <w:p w14:paraId="6958E9F0" w14:textId="77777777" w:rsidR="00365AD9" w:rsidRPr="00365AD9" w:rsidRDefault="00365AD9" w:rsidP="00365AD9">
      <w:pPr>
        <w:pStyle w:val="Dash"/>
        <w:numPr>
          <w:ilvl w:val="0"/>
          <w:numId w:val="3"/>
        </w:numPr>
      </w:pPr>
      <w:r w:rsidRPr="00365AD9">
        <w:t xml:space="preserve">A Party to this </w:t>
      </w:r>
      <w:r w:rsidR="001C649E">
        <w:t>Schedule</w:t>
      </w:r>
      <w:r w:rsidRPr="00365AD9">
        <w:t xml:space="preserve"> may terminate their participation in the Agreement at any time by giving 12 months’ notice of intention to do so, in writing, to the other Party.</w:t>
      </w:r>
    </w:p>
    <w:p w14:paraId="6958E9F1" w14:textId="77777777" w:rsidR="00365AD9" w:rsidRPr="00365AD9" w:rsidRDefault="00365AD9" w:rsidP="00365AD9">
      <w:pPr>
        <w:pStyle w:val="Dash"/>
        <w:numPr>
          <w:ilvl w:val="0"/>
          <w:numId w:val="3"/>
        </w:numPr>
      </w:pPr>
      <w:r w:rsidRPr="00365AD9">
        <w:t xml:space="preserve">This </w:t>
      </w:r>
      <w:r w:rsidR="001C649E">
        <w:t>Schedule</w:t>
      </w:r>
      <w:r w:rsidRPr="00365AD9">
        <w:t xml:space="preserve"> may be amended at any time by agreement in writing by the relevant Commonwealth and State portfolio ministers.</w:t>
      </w:r>
    </w:p>
    <w:p w14:paraId="6958E9F2" w14:textId="1C89A483" w:rsidR="00730D95" w:rsidRDefault="00365AD9" w:rsidP="00730D95">
      <w:pPr>
        <w:pStyle w:val="Normalnumbered"/>
        <w:numPr>
          <w:ilvl w:val="0"/>
          <w:numId w:val="3"/>
        </w:numPr>
      </w:pPr>
      <w:r w:rsidRPr="00DE58EE" w:rsidDel="00365AD9">
        <w:t xml:space="preserve"> </w:t>
      </w:r>
      <w:r w:rsidR="00730D95" w:rsidRPr="00CE526A">
        <w:t xml:space="preserve">The purpose of this Schedule is to provide an indication of how </w:t>
      </w:r>
      <w:r w:rsidR="007C30F7" w:rsidRPr="00CE526A">
        <w:t xml:space="preserve">the </w:t>
      </w:r>
      <w:r w:rsidR="001C649E">
        <w:t xml:space="preserve">Australian Capital Territory (the </w:t>
      </w:r>
      <w:r w:rsidR="007C30F7" w:rsidRPr="00CE526A">
        <w:t>ACT</w:t>
      </w:r>
      <w:r w:rsidR="001C649E">
        <w:t>)</w:t>
      </w:r>
      <w:r w:rsidR="00730D95" w:rsidRPr="00CE526A">
        <w:t xml:space="preserve"> intends to implement the conditions agreed in the </w:t>
      </w:r>
      <w:r w:rsidR="00895783">
        <w:t>A</w:t>
      </w:r>
      <w:r w:rsidR="00730D95" w:rsidRPr="00D00013">
        <w:t xml:space="preserve">greement, including the actions that will be undertaken as stated in </w:t>
      </w:r>
      <w:r w:rsidR="009B608A" w:rsidRPr="00D00013">
        <w:t>the ACT’s</w:t>
      </w:r>
      <w:r w:rsidR="00730D95" w:rsidRPr="00D00013">
        <w:t xml:space="preserve"> housing and homelessness strategies, and</w:t>
      </w:r>
      <w:r w:rsidR="00730D95" w:rsidRPr="00CE526A">
        <w:t xml:space="preserve"> any actions to be undertaken by </w:t>
      </w:r>
      <w:r w:rsidR="007C30F7" w:rsidRPr="00CE526A">
        <w:t>the ACT</w:t>
      </w:r>
      <w:r w:rsidR="00730D95" w:rsidRPr="00CE526A">
        <w:t xml:space="preserve"> to support the Data Schedule.</w:t>
      </w:r>
    </w:p>
    <w:p w14:paraId="193FC373" w14:textId="3F99AA48" w:rsidR="003146AF" w:rsidRPr="003146AF" w:rsidRDefault="001C649E" w:rsidP="003146AF">
      <w:pPr>
        <w:pStyle w:val="Normalnumbered"/>
        <w:numPr>
          <w:ilvl w:val="0"/>
          <w:numId w:val="3"/>
        </w:numPr>
        <w:spacing w:after="480"/>
        <w:rPr>
          <w:color w:val="auto"/>
        </w:rPr>
      </w:pPr>
      <w:r>
        <w:rPr>
          <w:color w:val="auto"/>
        </w:rPr>
        <w:t xml:space="preserve">To enable payments to </w:t>
      </w:r>
      <w:r w:rsidRPr="004B6AB5">
        <w:rPr>
          <w:color w:val="auto"/>
        </w:rPr>
        <w:t>commence from 2018-19, the ACT confirms that it satisfies the requirements of clause 17 of the Agreement as at 1 July 2018 and as set out in this Schedule</w:t>
      </w:r>
      <w:r w:rsidR="004C1038" w:rsidRPr="004B6AB5">
        <w:rPr>
          <w:color w:val="auto"/>
        </w:rPr>
        <w:t xml:space="preserve">. </w:t>
      </w:r>
      <w:r w:rsidRPr="004B6AB5">
        <w:rPr>
          <w:color w:val="auto"/>
        </w:rPr>
        <w:t>At the commencement of this Schedule, the ACT</w:t>
      </w:r>
      <w:r w:rsidR="00895783" w:rsidRPr="004B6AB5">
        <w:rPr>
          <w:color w:val="auto"/>
        </w:rPr>
        <w:t xml:space="preserve"> notes that its </w:t>
      </w:r>
      <w:r w:rsidRPr="004B6AB5">
        <w:rPr>
          <w:color w:val="auto"/>
        </w:rPr>
        <w:t xml:space="preserve">housing and homelessness strategies are </w:t>
      </w:r>
      <w:r w:rsidR="00895783" w:rsidRPr="004B6AB5">
        <w:rPr>
          <w:color w:val="auto"/>
        </w:rPr>
        <w:t xml:space="preserve">currently </w:t>
      </w:r>
      <w:r w:rsidRPr="004B6AB5">
        <w:rPr>
          <w:color w:val="auto"/>
        </w:rPr>
        <w:t>set out in various public documents which are referenced in Parts 2 and 3 of this Schedule</w:t>
      </w:r>
      <w:r w:rsidR="004C1038" w:rsidRPr="004B6AB5">
        <w:rPr>
          <w:color w:val="auto"/>
        </w:rPr>
        <w:t xml:space="preserve">. </w:t>
      </w:r>
      <w:r w:rsidRPr="004B6AB5">
        <w:rPr>
          <w:color w:val="auto"/>
        </w:rPr>
        <w:t>During 2018-19, the ACT Government will be reviewing and updating its housing and homelessness strategies</w:t>
      </w:r>
      <w:r>
        <w:rPr>
          <w:color w:val="auto"/>
        </w:rPr>
        <w:t>.</w:t>
      </w:r>
    </w:p>
    <w:p w14:paraId="6958E9F4" w14:textId="6E284083" w:rsidR="001B6645" w:rsidRDefault="001B6645" w:rsidP="001B6645">
      <w:pPr>
        <w:pStyle w:val="Heading1"/>
        <w:spacing w:before="240"/>
      </w:pPr>
      <w:r>
        <w:t>Part 1 – Overview</w:t>
      </w:r>
    </w:p>
    <w:p w14:paraId="2340F50D" w14:textId="7431FDF8" w:rsidR="00EE2F66" w:rsidRPr="003146AF" w:rsidRDefault="00946BA7" w:rsidP="003146AF">
      <w:pPr>
        <w:pStyle w:val="Normalnumbered"/>
        <w:numPr>
          <w:ilvl w:val="0"/>
          <w:numId w:val="3"/>
        </w:numPr>
      </w:pPr>
      <w:r w:rsidRPr="00E93818">
        <w:t xml:space="preserve">The prosperity and liveability of the ACT can conceal real disadvantage experienced by many at the individual level; in other words, the overall prosperity enjoyed is not always enjoyed equally. </w:t>
      </w:r>
      <w:r w:rsidR="002D610A" w:rsidRPr="00E93818">
        <w:t xml:space="preserve"> </w:t>
      </w:r>
      <w:r w:rsidR="00A32B86" w:rsidRPr="00E93818">
        <w:t>This is why the ACT Government spends around $145 million each year on social housing and homelessness assistance, and pays $144 million each year in rental rebates to help those who need it.</w:t>
      </w:r>
    </w:p>
    <w:p w14:paraId="6958E9F6" w14:textId="273E7CA8" w:rsidR="00946BA7" w:rsidRPr="00E93818" w:rsidRDefault="006D1B70" w:rsidP="00CE526A">
      <w:pPr>
        <w:pStyle w:val="Normalnumbered"/>
        <w:numPr>
          <w:ilvl w:val="0"/>
          <w:numId w:val="3"/>
        </w:numPr>
      </w:pPr>
      <w:r w:rsidRPr="00E93818">
        <w:lastRenderedPageBreak/>
        <w:t xml:space="preserve">The ACT Government </w:t>
      </w:r>
      <w:r w:rsidR="00F66E0D" w:rsidRPr="00E93818">
        <w:t>provides more tha</w:t>
      </w:r>
      <w:r w:rsidR="004E4E2D">
        <w:t>n</w:t>
      </w:r>
      <w:r w:rsidR="00F66E0D" w:rsidRPr="00E93818">
        <w:t xml:space="preserve"> $20 million to </w:t>
      </w:r>
      <w:r w:rsidRPr="00E93818">
        <w:t xml:space="preserve">fund homelessness service providers to deliver intensive support and assistance to individuals and families who are homeless, and those who are at risk of becoming homeless, to address their individual circumstances and needs, and provide them with the skills and capacity to secure and sustain long term housing and better participate in the community. </w:t>
      </w:r>
      <w:r w:rsidR="00946BA7" w:rsidRPr="00E93818">
        <w:t>People seeking homelessness support in the ACT often have high and complex needs requiring a specialist response from skilled practitioners to provide the necessary case management and wrap-around support. There are</w:t>
      </w:r>
      <w:r w:rsidR="008E3B8D" w:rsidRPr="00E93818">
        <w:t xml:space="preserve"> also</w:t>
      </w:r>
      <w:r w:rsidR="00946BA7" w:rsidRPr="00E93818">
        <w:t xml:space="preserve"> key groups in the ACT that need more support, such as older women, people sleeping rough, asylum seekers and migrants, Aboriginal and Torres Strait Islander communities and women and children escaping domestic and family violence. </w:t>
      </w:r>
    </w:p>
    <w:p w14:paraId="6958E9F7" w14:textId="77777777" w:rsidR="006D1B70" w:rsidRPr="00E93818" w:rsidRDefault="00946BA7" w:rsidP="006D1B70">
      <w:pPr>
        <w:pStyle w:val="Normalnumbered"/>
        <w:numPr>
          <w:ilvl w:val="0"/>
          <w:numId w:val="3"/>
        </w:numPr>
      </w:pPr>
      <w:r w:rsidRPr="00E93818">
        <w:t>The ACT is working</w:t>
      </w:r>
      <w:r w:rsidR="008E3B8D" w:rsidRPr="00E93818">
        <w:t xml:space="preserve"> to</w:t>
      </w:r>
      <w:r w:rsidRPr="00E93818">
        <w:t xml:space="preserve"> strengthen the responsiveness of homelessness services to the needs of key and emerging vulnerable cohorts, supporting a balance between crisis and early intervention. </w:t>
      </w:r>
      <w:r w:rsidR="006D1B70" w:rsidRPr="00E93818">
        <w:t xml:space="preserve">Based on an extensive co-design process with the Specialist Homelessness Sector, the ACT Government has provided greater flexibility under service contract arrangements to enable homelessness services in the ACT to: </w:t>
      </w:r>
    </w:p>
    <w:p w14:paraId="6958E9F8" w14:textId="77777777" w:rsidR="006D1B70" w:rsidRPr="00E93818" w:rsidRDefault="006D1B70" w:rsidP="00D400A6">
      <w:pPr>
        <w:pStyle w:val="Normalnumbered"/>
        <w:numPr>
          <w:ilvl w:val="1"/>
          <w:numId w:val="3"/>
        </w:numPr>
      </w:pPr>
      <w:r w:rsidRPr="00E93818">
        <w:t xml:space="preserve">resolve crises; </w:t>
      </w:r>
    </w:p>
    <w:p w14:paraId="6958E9F9" w14:textId="77777777" w:rsidR="006D1B70" w:rsidRPr="00E93818" w:rsidRDefault="006D1B70" w:rsidP="00D400A6">
      <w:pPr>
        <w:pStyle w:val="Normalnumbered"/>
        <w:numPr>
          <w:ilvl w:val="1"/>
          <w:numId w:val="3"/>
        </w:numPr>
      </w:pPr>
      <w:r w:rsidRPr="00E93818">
        <w:t xml:space="preserve">re-establish family links where appropriate; </w:t>
      </w:r>
    </w:p>
    <w:p w14:paraId="6958E9FA" w14:textId="77777777" w:rsidR="006D1B70" w:rsidRPr="00E93818" w:rsidRDefault="006D1B70" w:rsidP="00D400A6">
      <w:pPr>
        <w:pStyle w:val="Normalnumbered"/>
        <w:numPr>
          <w:ilvl w:val="1"/>
          <w:numId w:val="3"/>
        </w:numPr>
      </w:pPr>
      <w:r w:rsidRPr="00E93818">
        <w:t>re-establish the capacity of clients to live independently, achieve sustainable housing and social inclusion; and</w:t>
      </w:r>
    </w:p>
    <w:p w14:paraId="6958E9FB" w14:textId="77777777" w:rsidR="006D1B70" w:rsidRPr="00E93818" w:rsidRDefault="006D1B70" w:rsidP="00D400A6">
      <w:pPr>
        <w:pStyle w:val="Normalnumbered"/>
        <w:numPr>
          <w:ilvl w:val="1"/>
          <w:numId w:val="3"/>
        </w:numPr>
      </w:pPr>
      <w:r w:rsidRPr="00E93818">
        <w:t>provide homelessness services in an equitable and efficient manner.</w:t>
      </w:r>
    </w:p>
    <w:p w14:paraId="6958E9FC" w14:textId="77777777" w:rsidR="006D1B70" w:rsidRPr="00E93818" w:rsidRDefault="006D1B70" w:rsidP="00C64F30">
      <w:pPr>
        <w:pStyle w:val="Normalnumbered"/>
        <w:numPr>
          <w:ilvl w:val="0"/>
          <w:numId w:val="3"/>
        </w:numPr>
      </w:pPr>
      <w:r w:rsidRPr="00E93818">
        <w:t>Changes to the ACT homelessness sector recognise that support should not be tied to accommodation, and services should have the flexibility to assist clients at risk of homelessness who are not residing in accommodation managed by the service. The new categorisations</w:t>
      </w:r>
      <w:r w:rsidR="005676EF" w:rsidRPr="00E93818">
        <w:t xml:space="preserve"> above</w:t>
      </w:r>
      <w:r w:rsidRPr="00E93818">
        <w:t xml:space="preserve"> reflect a more contemporary view of ‘homelessness’ which is a broader concept than ‘not having a roof over your head’. The aim is to intervene as early as possible to help avert a crisis. Preventing homelessness requires much less intensive support</w:t>
      </w:r>
      <w:r w:rsidR="00193C96" w:rsidRPr="00E93818">
        <w:t xml:space="preserve"> and costs less</w:t>
      </w:r>
      <w:r w:rsidRPr="00E93818">
        <w:t xml:space="preserve"> than supporting a person in crisis accommodation.</w:t>
      </w:r>
    </w:p>
    <w:p w14:paraId="6958E9FD" w14:textId="77777777" w:rsidR="006D1B70" w:rsidRPr="00E93818" w:rsidRDefault="00946BA7" w:rsidP="006D1B70">
      <w:pPr>
        <w:pStyle w:val="Normalnumbered"/>
        <w:numPr>
          <w:ilvl w:val="0"/>
          <w:numId w:val="3"/>
        </w:numPr>
      </w:pPr>
      <w:r w:rsidRPr="00E93818">
        <w:t xml:space="preserve">The ACT </w:t>
      </w:r>
      <w:r w:rsidR="006D1B70" w:rsidRPr="00E93818">
        <w:t xml:space="preserve">is </w:t>
      </w:r>
      <w:r w:rsidRPr="00E93818">
        <w:t>also seek</w:t>
      </w:r>
      <w:r w:rsidR="006D1B70" w:rsidRPr="00E93818">
        <w:t>ing</w:t>
      </w:r>
      <w:r w:rsidRPr="00E93818">
        <w:t xml:space="preserve"> to embed holistic and trauma informed care throughout the homelessness sector and ensure there are pathways for clients and key vulnerable cohorts to exit from homelessness into long term accommodation. </w:t>
      </w:r>
      <w:r w:rsidR="006D1B70" w:rsidRPr="00E93818">
        <w:t>Key to successful outcomes for tenants transitioning from homelessness or crisis accommodation into mainstream housing is improving their access to appropriate assistance and supports that will assist them sustain their tenancy long term, improve their opportunities for participation and provide greater access to training, education and employment opportunities. This approach provides a clear pathway out of poverty, disadvantage and exclusion.</w:t>
      </w:r>
    </w:p>
    <w:p w14:paraId="6958E9FE" w14:textId="77777777" w:rsidR="00A147CA" w:rsidRPr="00E93818" w:rsidRDefault="00803FD3" w:rsidP="00803FD3">
      <w:pPr>
        <w:pStyle w:val="Normalnumbered"/>
        <w:numPr>
          <w:ilvl w:val="0"/>
          <w:numId w:val="3"/>
        </w:numPr>
      </w:pPr>
      <w:r w:rsidRPr="00E93818">
        <w:t>The ACT Government spends around $125 million each year on social housing.  This is in addition to $144 million paid each year in rental rebates for public housing. We manage</w:t>
      </w:r>
      <w:r w:rsidR="006D1B70" w:rsidRPr="00E93818">
        <w:t xml:space="preserve"> over </w:t>
      </w:r>
      <w:r w:rsidR="00EF342E" w:rsidRPr="00E93818">
        <w:t>10,848</w:t>
      </w:r>
      <w:r w:rsidR="006D1B70" w:rsidRPr="00E93818">
        <w:t xml:space="preserve"> social housing properties with a value of </w:t>
      </w:r>
      <w:r w:rsidR="0007548F" w:rsidRPr="00E93818">
        <w:t xml:space="preserve">over </w:t>
      </w:r>
      <w:r w:rsidR="006D1B70" w:rsidRPr="00E93818">
        <w:t>$</w:t>
      </w:r>
      <w:r w:rsidR="0007548F" w:rsidRPr="00E93818">
        <w:t>5 </w:t>
      </w:r>
      <w:r w:rsidR="006D1B70" w:rsidRPr="00E93818">
        <w:t>billion. This portfolio underpins the broader human services system in the ACT which provides accommodation, assets and purpose built facilities for not only public housing, but also people with mental health or disability</w:t>
      </w:r>
      <w:r w:rsidR="00A147CA" w:rsidRPr="00E93818">
        <w:t xml:space="preserve"> needs</w:t>
      </w:r>
      <w:r w:rsidR="006D1B70" w:rsidRPr="00E93818">
        <w:t>, refugees, older persons, people exiting corrections, those in need of child protection or family safety, Aboriginal and Torres Strait Islander people and people requiring homelessness and mainstream services.</w:t>
      </w:r>
    </w:p>
    <w:p w14:paraId="6958E9FF" w14:textId="5E3207E3" w:rsidR="006D1B70" w:rsidRPr="00A147CA" w:rsidRDefault="006D1B70" w:rsidP="00A147CA">
      <w:pPr>
        <w:pStyle w:val="Normalnumbered"/>
        <w:numPr>
          <w:ilvl w:val="0"/>
          <w:numId w:val="3"/>
        </w:numPr>
      </w:pPr>
      <w:r w:rsidRPr="00D239B4">
        <w:lastRenderedPageBreak/>
        <w:t xml:space="preserve">The ACT has the most targeted public housing portfolio in Australia with housing being allocated to those in greatest need. Priority housing is offered to: </w:t>
      </w:r>
    </w:p>
    <w:p w14:paraId="6958EA00" w14:textId="77777777" w:rsidR="006D1B70" w:rsidRPr="00D239B4" w:rsidRDefault="008E50BD" w:rsidP="006D1B70">
      <w:pPr>
        <w:pStyle w:val="Normalnumbered"/>
        <w:numPr>
          <w:ilvl w:val="1"/>
          <w:numId w:val="25"/>
        </w:numPr>
      </w:pPr>
      <w:r>
        <w:t>p</w:t>
      </w:r>
      <w:r w:rsidR="006D1B70" w:rsidRPr="00D239B4">
        <w:t>eople who are homeless;</w:t>
      </w:r>
    </w:p>
    <w:p w14:paraId="6958EA01" w14:textId="77777777" w:rsidR="006D1B70" w:rsidRPr="00D239B4" w:rsidRDefault="006D1B70" w:rsidP="006D1B70">
      <w:pPr>
        <w:pStyle w:val="Normalnumbered"/>
        <w:numPr>
          <w:ilvl w:val="1"/>
          <w:numId w:val="25"/>
        </w:numPr>
      </w:pPr>
      <w:r w:rsidRPr="00D239B4">
        <w:t>families with children;</w:t>
      </w:r>
    </w:p>
    <w:p w14:paraId="6958EA02" w14:textId="77777777" w:rsidR="006D1B70" w:rsidRPr="00D239B4" w:rsidRDefault="006D1B70" w:rsidP="006D1B70">
      <w:pPr>
        <w:pStyle w:val="Normalnumbered"/>
        <w:numPr>
          <w:ilvl w:val="1"/>
          <w:numId w:val="25"/>
        </w:numPr>
      </w:pPr>
      <w:r w:rsidRPr="00D239B4">
        <w:t xml:space="preserve">people formally diagnosed </w:t>
      </w:r>
      <w:r w:rsidR="00934F29">
        <w:t xml:space="preserve">with </w:t>
      </w:r>
      <w:r w:rsidRPr="00D239B4">
        <w:t>mental health issues;</w:t>
      </w:r>
    </w:p>
    <w:p w14:paraId="6958EA03" w14:textId="77777777" w:rsidR="006D1B70" w:rsidRPr="00D239B4" w:rsidRDefault="006D1B70" w:rsidP="006D1B70">
      <w:pPr>
        <w:pStyle w:val="Normalnumbered"/>
        <w:numPr>
          <w:ilvl w:val="1"/>
          <w:numId w:val="25"/>
        </w:numPr>
      </w:pPr>
      <w:r w:rsidRPr="00D239B4">
        <w:t xml:space="preserve">women with or without children escaping domestic violence; </w:t>
      </w:r>
    </w:p>
    <w:p w14:paraId="6958EA04" w14:textId="77777777" w:rsidR="006D1B70" w:rsidRPr="00D239B4" w:rsidRDefault="006D1B70" w:rsidP="006D1B70">
      <w:pPr>
        <w:pStyle w:val="Normalnumbered"/>
        <w:numPr>
          <w:ilvl w:val="1"/>
          <w:numId w:val="25"/>
        </w:numPr>
      </w:pPr>
      <w:r w:rsidRPr="00D239B4">
        <w:t>children at risk of abuse or neglect</w:t>
      </w:r>
      <w:r w:rsidR="000D3D84">
        <w:t>;</w:t>
      </w:r>
    </w:p>
    <w:p w14:paraId="6958EA05" w14:textId="77777777" w:rsidR="006D1B70" w:rsidRPr="00D239B4" w:rsidRDefault="006D1B70" w:rsidP="006D1B70">
      <w:pPr>
        <w:pStyle w:val="Normalnumbered"/>
        <w:numPr>
          <w:ilvl w:val="1"/>
          <w:numId w:val="25"/>
        </w:numPr>
      </w:pPr>
      <w:r w:rsidRPr="00D239B4">
        <w:t>people with serious and chronic health issues;</w:t>
      </w:r>
    </w:p>
    <w:p w14:paraId="6958EA06" w14:textId="77777777" w:rsidR="006D1B70" w:rsidRPr="00D239B4" w:rsidRDefault="006D1B70" w:rsidP="006D1B70">
      <w:pPr>
        <w:pStyle w:val="Normalnumbered"/>
        <w:numPr>
          <w:ilvl w:val="1"/>
          <w:numId w:val="25"/>
        </w:numPr>
      </w:pPr>
      <w:r w:rsidRPr="00D239B4">
        <w:t>people with disability including frail-aged;</w:t>
      </w:r>
      <w:r w:rsidR="00934F29">
        <w:t xml:space="preserve"> </w:t>
      </w:r>
      <w:r w:rsidRPr="00D239B4">
        <w:t>and</w:t>
      </w:r>
    </w:p>
    <w:p w14:paraId="6958EA07" w14:textId="77777777" w:rsidR="006D1B70" w:rsidRDefault="006D1B70" w:rsidP="00A147CA">
      <w:pPr>
        <w:pStyle w:val="Normalnumbered"/>
        <w:numPr>
          <w:ilvl w:val="1"/>
          <w:numId w:val="25"/>
        </w:numPr>
      </w:pPr>
      <w:r w:rsidRPr="00D239B4">
        <w:t>Aboriginal and/or Torres Strait Islander persons and families having difficulty accessing private rental accommodation and facing complex issues</w:t>
      </w:r>
      <w:r w:rsidR="00934F29">
        <w:t>.</w:t>
      </w:r>
    </w:p>
    <w:p w14:paraId="6958EA08" w14:textId="77777777" w:rsidR="0007548F" w:rsidRDefault="0007548F" w:rsidP="003146AF">
      <w:pPr>
        <w:pStyle w:val="Normalnumbered"/>
        <w:numPr>
          <w:ilvl w:val="0"/>
          <w:numId w:val="3"/>
        </w:numPr>
        <w:spacing w:after="480"/>
        <w:rPr>
          <w:bCs/>
          <w:caps/>
        </w:rPr>
      </w:pPr>
      <w:r w:rsidRPr="0007548F">
        <w:t>The ACT public housing program provi</w:t>
      </w:r>
      <w:r>
        <w:t>des long-term support to around</w:t>
      </w:r>
      <w:r w:rsidRPr="0007548F">
        <w:t xml:space="preserve"> 22,000 Canberrans. Significant work is being undertaken to ensure the long term viability and sustainability of public housing service delivery. This includes plans to grow and diversify the portfolio, renew ageing stock and ensure stock is appropriate to the needs of current and future households and demographics. A key challenge for the ACT is to continue to build affordable housing that maintains high design standards, including ensuring that as far as practicable, new public housing is made adaptable, energy efficient and accessible with links to transport and community services. The ACT also plans to strengthen levels of tenant choice in housing services through s</w:t>
      </w:r>
      <w:bookmarkStart w:id="3" w:name="_GoBack"/>
      <w:bookmarkEnd w:id="3"/>
      <w:r w:rsidRPr="0007548F">
        <w:t>treamlined and innovative service delivery.</w:t>
      </w:r>
    </w:p>
    <w:p w14:paraId="6958EA09" w14:textId="7182D271" w:rsidR="003E00B6" w:rsidRDefault="003E00B6" w:rsidP="003E00B6">
      <w:pPr>
        <w:pStyle w:val="Heading1"/>
        <w:spacing w:before="240"/>
      </w:pPr>
      <w:r>
        <w:t>Part 2 –</w:t>
      </w:r>
      <w:r w:rsidR="00895783">
        <w:t xml:space="preserve"> </w:t>
      </w:r>
      <w:r w:rsidR="007C30F7">
        <w:t>ACT</w:t>
      </w:r>
      <w:r>
        <w:t xml:space="preserve"> housing </w:t>
      </w:r>
      <w:r w:rsidR="00DC3EE7">
        <w:t>PRIORITIES</w:t>
      </w:r>
    </w:p>
    <w:p w14:paraId="6958EA0A" w14:textId="4A477B48" w:rsidR="003E00B6" w:rsidRDefault="003E00B6" w:rsidP="00A147CA">
      <w:pPr>
        <w:pStyle w:val="Normalnumbered"/>
        <w:numPr>
          <w:ilvl w:val="0"/>
          <w:numId w:val="3"/>
        </w:numPr>
      </w:pPr>
      <w:r>
        <w:t xml:space="preserve">Under the </w:t>
      </w:r>
      <w:r w:rsidR="006E7359" w:rsidRPr="0007548F">
        <w:rPr>
          <w:i/>
        </w:rPr>
        <w:t>Treasury Laws Amendment (National Housing and Homelessness Agreement</w:t>
      </w:r>
      <w:r w:rsidR="00934F29">
        <w:rPr>
          <w:i/>
        </w:rPr>
        <w:t>)</w:t>
      </w:r>
      <w:r w:rsidR="006E7359" w:rsidRPr="0007548F">
        <w:rPr>
          <w:i/>
        </w:rPr>
        <w:t xml:space="preserve"> </w:t>
      </w:r>
      <w:r w:rsidR="008E50BD">
        <w:rPr>
          <w:i/>
        </w:rPr>
        <w:t>Act</w:t>
      </w:r>
      <w:r w:rsidR="008E50BD" w:rsidRPr="0007548F">
        <w:rPr>
          <w:i/>
        </w:rPr>
        <w:t xml:space="preserve"> </w:t>
      </w:r>
      <w:r w:rsidR="0007548F" w:rsidRPr="0007548F">
        <w:rPr>
          <w:i/>
        </w:rPr>
        <w:t>2018</w:t>
      </w:r>
      <w:r w:rsidR="006E7359">
        <w:t xml:space="preserve"> and </w:t>
      </w:r>
      <w:r w:rsidR="005676EF">
        <w:t xml:space="preserve">clause 17 (a) </w:t>
      </w:r>
      <w:r w:rsidR="000D3D84">
        <w:t xml:space="preserve">of the </w:t>
      </w:r>
      <w:r w:rsidR="00895783">
        <w:t>A</w:t>
      </w:r>
      <w:r>
        <w:t xml:space="preserve">greement, States are required to have a </w:t>
      </w:r>
      <w:r w:rsidR="003F227C">
        <w:t>publicly accessible</w:t>
      </w:r>
      <w:r w:rsidR="004C1038">
        <w:t xml:space="preserve"> </w:t>
      </w:r>
      <w:r>
        <w:t>housing strategy</w:t>
      </w:r>
      <w:r w:rsidR="005676EF">
        <w:t>.</w:t>
      </w:r>
    </w:p>
    <w:p w14:paraId="6958EA0B" w14:textId="60A040D5" w:rsidR="00340EC2" w:rsidRDefault="00340EC2" w:rsidP="00A147CA">
      <w:pPr>
        <w:pStyle w:val="Normalnumbered"/>
        <w:numPr>
          <w:ilvl w:val="0"/>
          <w:numId w:val="3"/>
        </w:numPr>
      </w:pPr>
      <w:r>
        <w:t xml:space="preserve">The ACT’s Affordable Housing Action Plan </w:t>
      </w:r>
      <w:r w:rsidR="00895783">
        <w:t xml:space="preserve">2007 </w:t>
      </w:r>
      <w:r>
        <w:t xml:space="preserve">is now </w:t>
      </w:r>
      <w:r w:rsidR="005676EF">
        <w:t xml:space="preserve">over </w:t>
      </w:r>
      <w:r>
        <w:t>ten years old and will be replaced with a new ACT Housing Strategy in 2018</w:t>
      </w:r>
      <w:r w:rsidR="005676EF">
        <w:t>.  The new strategy will address legislative requirements</w:t>
      </w:r>
      <w:r w:rsidR="000D3D84">
        <w:t xml:space="preserve"> and</w:t>
      </w:r>
      <w:r w:rsidR="005676EF">
        <w:t xml:space="preserve"> the requirements of clause 17 (a) of the primary housing agreement</w:t>
      </w:r>
      <w:r w:rsidR="000D3D84">
        <w:t>.  It</w:t>
      </w:r>
      <w:r>
        <w:t xml:space="preserve"> will cover the full housing spectrum, from homelessness, through public housing and affordable rental and home purchase opportunities, through to supporting a sustainable, diverse and equitable supply of housing for the ACT community. </w:t>
      </w:r>
    </w:p>
    <w:p w14:paraId="6958EA0C" w14:textId="77777777" w:rsidR="00CA6A96" w:rsidRDefault="00CA6A96" w:rsidP="00A147CA">
      <w:pPr>
        <w:pStyle w:val="Normalnumbered"/>
        <w:numPr>
          <w:ilvl w:val="0"/>
          <w:numId w:val="3"/>
        </w:numPr>
      </w:pPr>
      <w:r>
        <w:t>In supporting the delivery of programs, services and reforms with respect to housing, homelessness and housing affordability, the ACT agrees to undertake the commitments outlined in the following table</w:t>
      </w:r>
      <w:r w:rsidR="00371523">
        <w:t>.</w:t>
      </w:r>
      <w:r w:rsidR="00340EC2">
        <w:t xml:space="preserve"> </w:t>
      </w:r>
      <w:r w:rsidR="00340EC2" w:rsidRPr="004E0CA6">
        <w:t xml:space="preserve">The table below includes details of the ACT’s housing priorities, policies and initiatives that </w:t>
      </w:r>
      <w:r w:rsidR="005676EF">
        <w:t>are in addition to</w:t>
      </w:r>
      <w:r w:rsidR="005676EF" w:rsidRPr="004E0CA6">
        <w:t xml:space="preserve"> </w:t>
      </w:r>
      <w:r w:rsidR="003544C9">
        <w:t xml:space="preserve">or supersede </w:t>
      </w:r>
      <w:r w:rsidR="00340EC2" w:rsidRPr="004E0CA6">
        <w:t xml:space="preserve">the ACT’s </w:t>
      </w:r>
      <w:r w:rsidR="00934F29">
        <w:t>Affordable Housing Action Plan</w:t>
      </w:r>
      <w:r w:rsidR="00340EC2" w:rsidRPr="004E0CA6">
        <w:t>.</w:t>
      </w:r>
    </w:p>
    <w:p w14:paraId="6958EA0D" w14:textId="77777777" w:rsidR="00490CEC" w:rsidRPr="00591142" w:rsidRDefault="00490CEC" w:rsidP="00591142">
      <w:pPr>
        <w:pStyle w:val="ScheduleNumberedPara"/>
        <w:sectPr w:rsidR="00490CEC" w:rsidRPr="00591142">
          <w:pgSz w:w="11906" w:h="16838"/>
          <w:pgMar w:top="1440" w:right="1440" w:bottom="1440" w:left="1440" w:header="708" w:footer="708" w:gutter="0"/>
          <w:cols w:space="708"/>
          <w:docGrid w:linePitch="360"/>
        </w:sectPr>
      </w:pP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84"/>
        <w:gridCol w:w="4110"/>
        <w:gridCol w:w="2835"/>
      </w:tblGrid>
      <w:tr w:rsidR="00915FC6" w14:paraId="6958EA11" w14:textId="77777777" w:rsidTr="008E50BD">
        <w:trPr>
          <w:trHeight w:val="369"/>
          <w:tblHeader/>
        </w:trPr>
        <w:tc>
          <w:tcPr>
            <w:tcW w:w="2684"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958EA0E" w14:textId="77777777" w:rsidR="00915FC6" w:rsidRPr="00591142" w:rsidRDefault="00915FC6" w:rsidP="00CE2CAB">
            <w:pPr>
              <w:rPr>
                <w:b/>
              </w:rPr>
            </w:pPr>
            <w:r w:rsidRPr="00591142">
              <w:rPr>
                <w:b/>
              </w:rPr>
              <w:lastRenderedPageBreak/>
              <w:t>Key commitment</w:t>
            </w:r>
          </w:p>
        </w:tc>
        <w:tc>
          <w:tcPr>
            <w:tcW w:w="411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958EA0F" w14:textId="77777777" w:rsidR="00915FC6" w:rsidRPr="00591142" w:rsidRDefault="00915FC6" w:rsidP="00143AE2">
            <w:pPr>
              <w:rPr>
                <w:b/>
              </w:rPr>
            </w:pPr>
            <w:r w:rsidRPr="00591142">
              <w:rPr>
                <w:b/>
              </w:rPr>
              <w:t>Policy</w:t>
            </w:r>
            <w:r>
              <w:rPr>
                <w:b/>
              </w:rPr>
              <w:t>/Action</w:t>
            </w:r>
          </w:p>
        </w:tc>
        <w:tc>
          <w:tcPr>
            <w:tcW w:w="283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958EA10" w14:textId="77777777" w:rsidR="00915FC6" w:rsidRPr="0007548F" w:rsidRDefault="0007548F" w:rsidP="0007548F">
            <w:pPr>
              <w:spacing w:line="276" w:lineRule="auto"/>
              <w:jc w:val="left"/>
              <w:rPr>
                <w:b/>
              </w:rPr>
            </w:pPr>
            <w:r>
              <w:rPr>
                <w:b/>
              </w:rPr>
              <w:t xml:space="preserve">Timeframe </w:t>
            </w:r>
            <w:r w:rsidR="00915FC6" w:rsidRPr="0007548F">
              <w:rPr>
                <w:b/>
              </w:rPr>
              <w:t>and Performance Indicator</w:t>
            </w:r>
          </w:p>
        </w:tc>
      </w:tr>
      <w:tr w:rsidR="00915FC6" w14:paraId="6958EA16" w14:textId="77777777" w:rsidTr="008E50BD">
        <w:trPr>
          <w:trHeight w:val="1171"/>
          <w:tblHeader/>
        </w:trPr>
        <w:tc>
          <w:tcPr>
            <w:tcW w:w="2684" w:type="dxa"/>
            <w:tcBorders>
              <w:top w:val="single" w:sz="8" w:space="0" w:color="4F81BD"/>
              <w:left w:val="single" w:sz="8" w:space="0" w:color="4F81BD"/>
              <w:bottom w:val="single" w:sz="8" w:space="0" w:color="4F81BD"/>
              <w:right w:val="single" w:sz="8" w:space="0" w:color="4F81BD"/>
            </w:tcBorders>
          </w:tcPr>
          <w:p w14:paraId="6958EA12" w14:textId="77777777" w:rsidR="00915FC6" w:rsidRDefault="00915FC6" w:rsidP="00CE2CAB">
            <w:pPr>
              <w:jc w:val="left"/>
            </w:pPr>
            <w:r>
              <w:t>Targets for land release</w:t>
            </w:r>
          </w:p>
          <w:p w14:paraId="6958EA13" w14:textId="77777777" w:rsidR="00915FC6" w:rsidRDefault="00915FC6" w:rsidP="00CE2CAB">
            <w:pPr>
              <w:jc w:val="left"/>
            </w:pPr>
          </w:p>
        </w:tc>
        <w:tc>
          <w:tcPr>
            <w:tcW w:w="4110" w:type="dxa"/>
            <w:tcBorders>
              <w:top w:val="single" w:sz="8" w:space="0" w:color="4F81BD"/>
              <w:left w:val="single" w:sz="8" w:space="0" w:color="4F81BD"/>
              <w:bottom w:val="single" w:sz="8" w:space="0" w:color="4F81BD"/>
              <w:right w:val="single" w:sz="8" w:space="0" w:color="4F81BD"/>
            </w:tcBorders>
          </w:tcPr>
          <w:p w14:paraId="6958EA14" w14:textId="77777777" w:rsidR="00915FC6" w:rsidRPr="00606318" w:rsidRDefault="00915FC6" w:rsidP="00CE2CAB">
            <w:pPr>
              <w:jc w:val="left"/>
            </w:pPr>
            <w:r>
              <w:t>The ACT will set and publish annual targets for provision of public, community and affordable housing as part of the Indicative Land Release Program.</w:t>
            </w:r>
          </w:p>
        </w:tc>
        <w:tc>
          <w:tcPr>
            <w:tcW w:w="2835" w:type="dxa"/>
            <w:tcBorders>
              <w:top w:val="single" w:sz="8" w:space="0" w:color="4F81BD"/>
              <w:left w:val="single" w:sz="8" w:space="0" w:color="4F81BD"/>
              <w:bottom w:val="single" w:sz="8" w:space="0" w:color="4F81BD"/>
              <w:right w:val="single" w:sz="8" w:space="0" w:color="4F81BD"/>
            </w:tcBorders>
          </w:tcPr>
          <w:p w14:paraId="6958EA15" w14:textId="77777777" w:rsidR="00915FC6" w:rsidRPr="0007548F" w:rsidRDefault="00915FC6" w:rsidP="00591142">
            <w:pPr>
              <w:jc w:val="left"/>
            </w:pPr>
            <w:r w:rsidRPr="0007548F">
              <w:t>Targets set in June each year alongside the ACT Government’s Indicative Land Release Program.</w:t>
            </w:r>
          </w:p>
        </w:tc>
      </w:tr>
      <w:tr w:rsidR="00915FC6" w14:paraId="6958EA1B" w14:textId="77777777" w:rsidTr="008E50BD">
        <w:trPr>
          <w:trHeight w:val="1171"/>
          <w:tblHeader/>
        </w:trPr>
        <w:tc>
          <w:tcPr>
            <w:tcW w:w="2684" w:type="dxa"/>
            <w:tcBorders>
              <w:top w:val="single" w:sz="8" w:space="0" w:color="4F81BD"/>
              <w:left w:val="single" w:sz="8" w:space="0" w:color="4F81BD"/>
              <w:bottom w:val="single" w:sz="8" w:space="0" w:color="4F81BD"/>
              <w:right w:val="single" w:sz="8" w:space="0" w:color="4F81BD"/>
            </w:tcBorders>
          </w:tcPr>
          <w:p w14:paraId="6958EA18" w14:textId="7F7F4417" w:rsidR="00915FC6" w:rsidRDefault="00915FC6" w:rsidP="00FF4125">
            <w:pPr>
              <w:jc w:val="left"/>
            </w:pPr>
            <w:r>
              <w:t xml:space="preserve">Continue to invest in innovation to support more affordable housing options. </w:t>
            </w:r>
          </w:p>
        </w:tc>
        <w:tc>
          <w:tcPr>
            <w:tcW w:w="4110" w:type="dxa"/>
            <w:tcBorders>
              <w:top w:val="single" w:sz="8" w:space="0" w:color="4F81BD"/>
              <w:left w:val="single" w:sz="8" w:space="0" w:color="4F81BD"/>
              <w:bottom w:val="single" w:sz="8" w:space="0" w:color="4F81BD"/>
              <w:right w:val="single" w:sz="8" w:space="0" w:color="4F81BD"/>
            </w:tcBorders>
          </w:tcPr>
          <w:p w14:paraId="6958EA19" w14:textId="77777777" w:rsidR="00915FC6" w:rsidRDefault="00915FC6" w:rsidP="00340EC2">
            <w:pPr>
              <w:jc w:val="left"/>
            </w:pPr>
            <w:r>
              <w:t xml:space="preserve">Deliver the Affordable Housing Innovation Fund to explore and test new solutions to increase affordable housing and reduce homelessness in the ACT. </w:t>
            </w:r>
          </w:p>
        </w:tc>
        <w:tc>
          <w:tcPr>
            <w:tcW w:w="2835" w:type="dxa"/>
            <w:tcBorders>
              <w:top w:val="single" w:sz="8" w:space="0" w:color="4F81BD"/>
              <w:left w:val="single" w:sz="8" w:space="0" w:color="4F81BD"/>
              <w:bottom w:val="single" w:sz="8" w:space="0" w:color="4F81BD"/>
              <w:right w:val="single" w:sz="8" w:space="0" w:color="4F81BD"/>
            </w:tcBorders>
          </w:tcPr>
          <w:p w14:paraId="6958EA1A" w14:textId="691A0FC8" w:rsidR="00915FC6" w:rsidRPr="0007548F" w:rsidRDefault="00915FC6" w:rsidP="00915FC6">
            <w:pPr>
              <w:jc w:val="left"/>
            </w:pPr>
            <w:r w:rsidRPr="0007548F">
              <w:t xml:space="preserve">Funding Agreements put in place for successful projects before </w:t>
            </w:r>
            <w:r w:rsidR="004E4E2D">
              <w:t xml:space="preserve">the </w:t>
            </w:r>
            <w:r w:rsidRPr="0007548F">
              <w:t>end</w:t>
            </w:r>
            <w:r w:rsidR="004E4E2D">
              <w:t xml:space="preserve"> of</w:t>
            </w:r>
            <w:r w:rsidRPr="0007548F">
              <w:t xml:space="preserve"> June 2018, with appropriate delivery, reporting  and payment milestones over 12 months from date of grant</w:t>
            </w:r>
          </w:p>
        </w:tc>
      </w:tr>
      <w:tr w:rsidR="00915FC6" w14:paraId="6958EA22" w14:textId="77777777" w:rsidTr="008E50BD">
        <w:trPr>
          <w:trHeight w:val="1171"/>
          <w:tblHeader/>
        </w:trPr>
        <w:tc>
          <w:tcPr>
            <w:tcW w:w="2684" w:type="dxa"/>
            <w:tcBorders>
              <w:top w:val="single" w:sz="8" w:space="0" w:color="4F81BD"/>
              <w:left w:val="single" w:sz="8" w:space="0" w:color="4F81BD"/>
              <w:bottom w:val="single" w:sz="8" w:space="0" w:color="4F81BD"/>
              <w:right w:val="single" w:sz="8" w:space="0" w:color="4F81BD"/>
            </w:tcBorders>
          </w:tcPr>
          <w:p w14:paraId="6958EA1D" w14:textId="301F874A" w:rsidR="00915FC6" w:rsidRDefault="00915FC6" w:rsidP="00FF4125">
            <w:pPr>
              <w:jc w:val="left"/>
            </w:pPr>
            <w:r>
              <w:t xml:space="preserve">Encourage the growth of affordable housing in the private sector.  </w:t>
            </w:r>
          </w:p>
        </w:tc>
        <w:tc>
          <w:tcPr>
            <w:tcW w:w="4110" w:type="dxa"/>
            <w:tcBorders>
              <w:top w:val="single" w:sz="8" w:space="0" w:color="4F81BD"/>
              <w:left w:val="single" w:sz="8" w:space="0" w:color="4F81BD"/>
              <w:bottom w:val="single" w:sz="8" w:space="0" w:color="4F81BD"/>
              <w:right w:val="single" w:sz="8" w:space="0" w:color="4F81BD"/>
            </w:tcBorders>
          </w:tcPr>
          <w:p w14:paraId="6958EA1E" w14:textId="77777777" w:rsidR="00915FC6" w:rsidRDefault="00915FC6" w:rsidP="00FF4125">
            <w:pPr>
              <w:jc w:val="left"/>
            </w:pPr>
            <w:r>
              <w:t>Promotion of an Affordable Home Purchase Registration Database</w:t>
            </w:r>
          </w:p>
          <w:p w14:paraId="6958EA20" w14:textId="039A0EE2" w:rsidR="00915FC6" w:rsidRDefault="00915FC6" w:rsidP="00143AE2">
            <w:pPr>
              <w:jc w:val="left"/>
            </w:pPr>
            <w:r>
              <w:t>Establishment of Affordable Housing Purchaser Eligibility Criteria to require purchasers of dedicated Affordable Homes to meet new eligibility criteria to ensure affordable homes are targeted effectively.</w:t>
            </w:r>
          </w:p>
        </w:tc>
        <w:tc>
          <w:tcPr>
            <w:tcW w:w="2835" w:type="dxa"/>
            <w:tcBorders>
              <w:top w:val="single" w:sz="8" w:space="0" w:color="4F81BD"/>
              <w:left w:val="single" w:sz="8" w:space="0" w:color="4F81BD"/>
              <w:bottom w:val="single" w:sz="8" w:space="0" w:color="4F81BD"/>
              <w:right w:val="single" w:sz="8" w:space="0" w:color="4F81BD"/>
            </w:tcBorders>
          </w:tcPr>
          <w:p w14:paraId="6958EA21" w14:textId="77777777" w:rsidR="00915FC6" w:rsidRPr="0007548F" w:rsidRDefault="00915FC6" w:rsidP="00F06526">
            <w:pPr>
              <w:jc w:val="left"/>
            </w:pPr>
            <w:r w:rsidRPr="0007548F">
              <w:t>Eligibility criteria and database already established. Delivery to be tested throughout 2018 and 2019, Performance to be measured by how many dedicated affordable homes are matched successfully t</w:t>
            </w:r>
            <w:r w:rsidR="00F06526" w:rsidRPr="0007548F">
              <w:t>o</w:t>
            </w:r>
            <w:r w:rsidRPr="0007548F">
              <w:t xml:space="preserve"> eligible purchasers</w:t>
            </w:r>
          </w:p>
        </w:tc>
      </w:tr>
      <w:tr w:rsidR="00915FC6" w14:paraId="6958EA27" w14:textId="77777777" w:rsidTr="008E50BD">
        <w:trPr>
          <w:trHeight w:val="1171"/>
          <w:tblHeader/>
        </w:trPr>
        <w:tc>
          <w:tcPr>
            <w:tcW w:w="2684" w:type="dxa"/>
            <w:tcBorders>
              <w:top w:val="single" w:sz="8" w:space="0" w:color="4F81BD"/>
              <w:left w:val="single" w:sz="8" w:space="0" w:color="4F81BD"/>
              <w:bottom w:val="single" w:sz="8" w:space="0" w:color="4F81BD"/>
              <w:right w:val="single" w:sz="8" w:space="0" w:color="4F81BD"/>
            </w:tcBorders>
          </w:tcPr>
          <w:p w14:paraId="6958EA24" w14:textId="28E7EA9A" w:rsidR="00915FC6" w:rsidRDefault="00915FC6" w:rsidP="00FF4125">
            <w:pPr>
              <w:jc w:val="left"/>
            </w:pPr>
            <w:r>
              <w:t xml:space="preserve">Investigate </w:t>
            </w:r>
            <w:r w:rsidRPr="00A0010D">
              <w:t>possible planning and zoning reform to facilitate affordable housing projects and improve housing choice</w:t>
            </w:r>
          </w:p>
        </w:tc>
        <w:tc>
          <w:tcPr>
            <w:tcW w:w="4110" w:type="dxa"/>
            <w:tcBorders>
              <w:top w:val="single" w:sz="8" w:space="0" w:color="4F81BD"/>
              <w:left w:val="single" w:sz="8" w:space="0" w:color="4F81BD"/>
              <w:bottom w:val="single" w:sz="8" w:space="0" w:color="4F81BD"/>
              <w:right w:val="single" w:sz="8" w:space="0" w:color="4F81BD"/>
            </w:tcBorders>
          </w:tcPr>
          <w:p w14:paraId="6958EA25" w14:textId="77777777" w:rsidR="00915FC6" w:rsidRDefault="00915FC6" w:rsidP="00FF4125">
            <w:pPr>
              <w:jc w:val="left"/>
            </w:pPr>
            <w:r>
              <w:t>Housing Choices community engagement process and Demonstration Housing project</w:t>
            </w:r>
          </w:p>
        </w:tc>
        <w:tc>
          <w:tcPr>
            <w:tcW w:w="2835" w:type="dxa"/>
            <w:tcBorders>
              <w:top w:val="single" w:sz="8" w:space="0" w:color="4F81BD"/>
              <w:left w:val="single" w:sz="8" w:space="0" w:color="4F81BD"/>
              <w:bottom w:val="single" w:sz="8" w:space="0" w:color="4F81BD"/>
              <w:right w:val="single" w:sz="8" w:space="0" w:color="4F81BD"/>
            </w:tcBorders>
          </w:tcPr>
          <w:p w14:paraId="30C28D62" w14:textId="77777777" w:rsidR="00915FC6" w:rsidRDefault="00915FC6" w:rsidP="00915FC6">
            <w:pPr>
              <w:jc w:val="left"/>
            </w:pPr>
            <w:r w:rsidRPr="0007548F">
              <w:t>To be progressed throughout 2018 to 2020. Performance to be measured by successful construction of demonstration housing projects, completion of community engagement process and subsequent review of any planning changes.</w:t>
            </w:r>
          </w:p>
          <w:p w14:paraId="32B6A824" w14:textId="77777777" w:rsidR="001E3130" w:rsidRDefault="001E3130" w:rsidP="00915FC6">
            <w:pPr>
              <w:jc w:val="left"/>
            </w:pPr>
          </w:p>
          <w:p w14:paraId="245D481E" w14:textId="77777777" w:rsidR="001E3130" w:rsidRDefault="001E3130" w:rsidP="00915FC6">
            <w:pPr>
              <w:jc w:val="left"/>
            </w:pPr>
          </w:p>
          <w:p w14:paraId="29A474FA" w14:textId="77777777" w:rsidR="001E3130" w:rsidRDefault="001E3130" w:rsidP="00915FC6">
            <w:pPr>
              <w:jc w:val="left"/>
            </w:pPr>
          </w:p>
          <w:p w14:paraId="252858A3" w14:textId="77777777" w:rsidR="001E3130" w:rsidRDefault="001E3130" w:rsidP="00915FC6">
            <w:pPr>
              <w:jc w:val="left"/>
            </w:pPr>
          </w:p>
          <w:p w14:paraId="6958EA26" w14:textId="77777777" w:rsidR="001E3130" w:rsidRPr="0007548F" w:rsidRDefault="001E3130" w:rsidP="00915FC6">
            <w:pPr>
              <w:jc w:val="left"/>
            </w:pPr>
          </w:p>
        </w:tc>
      </w:tr>
      <w:tr w:rsidR="001E3130" w14:paraId="1214E271" w14:textId="77777777" w:rsidTr="00B324C6">
        <w:trPr>
          <w:trHeight w:val="369"/>
          <w:tblHeader/>
        </w:trPr>
        <w:tc>
          <w:tcPr>
            <w:tcW w:w="2684"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4A77E300" w14:textId="77777777" w:rsidR="001E3130" w:rsidRPr="00591142" w:rsidRDefault="001E3130" w:rsidP="00B324C6">
            <w:pPr>
              <w:rPr>
                <w:b/>
              </w:rPr>
            </w:pPr>
            <w:r w:rsidRPr="00591142">
              <w:rPr>
                <w:b/>
              </w:rPr>
              <w:lastRenderedPageBreak/>
              <w:t>Key commitment</w:t>
            </w:r>
          </w:p>
        </w:tc>
        <w:tc>
          <w:tcPr>
            <w:tcW w:w="411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44C643E" w14:textId="77777777" w:rsidR="001E3130" w:rsidRPr="00591142" w:rsidRDefault="001E3130" w:rsidP="00B324C6">
            <w:pPr>
              <w:rPr>
                <w:b/>
              </w:rPr>
            </w:pPr>
            <w:r w:rsidRPr="00591142">
              <w:rPr>
                <w:b/>
              </w:rPr>
              <w:t>Policy</w:t>
            </w:r>
            <w:r>
              <w:rPr>
                <w:b/>
              </w:rPr>
              <w:t>/Action</w:t>
            </w:r>
          </w:p>
        </w:tc>
        <w:tc>
          <w:tcPr>
            <w:tcW w:w="283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1AE9848" w14:textId="77777777" w:rsidR="001E3130" w:rsidRPr="0007548F" w:rsidRDefault="001E3130" w:rsidP="00B324C6">
            <w:pPr>
              <w:spacing w:line="276" w:lineRule="auto"/>
              <w:jc w:val="left"/>
              <w:rPr>
                <w:b/>
              </w:rPr>
            </w:pPr>
            <w:r>
              <w:rPr>
                <w:b/>
              </w:rPr>
              <w:t xml:space="preserve">Timeframe </w:t>
            </w:r>
            <w:r w:rsidRPr="0007548F">
              <w:rPr>
                <w:b/>
              </w:rPr>
              <w:t>and Performance Indicator</w:t>
            </w:r>
          </w:p>
        </w:tc>
      </w:tr>
      <w:tr w:rsidR="00915FC6" w:rsidRPr="00340EC2" w14:paraId="6958EA31" w14:textId="77777777" w:rsidTr="008E50BD">
        <w:trPr>
          <w:trHeight w:val="1171"/>
          <w:tblHeader/>
        </w:trPr>
        <w:tc>
          <w:tcPr>
            <w:tcW w:w="2684" w:type="dxa"/>
            <w:tcBorders>
              <w:top w:val="single" w:sz="8" w:space="0" w:color="4F81BD"/>
              <w:left w:val="single" w:sz="8" w:space="0" w:color="4F81BD"/>
              <w:bottom w:val="single" w:sz="8" w:space="0" w:color="4F81BD"/>
              <w:right w:val="single" w:sz="8" w:space="0" w:color="4F81BD"/>
            </w:tcBorders>
          </w:tcPr>
          <w:p w14:paraId="6958EA28" w14:textId="77777777" w:rsidR="00915FC6" w:rsidRPr="00D00013" w:rsidRDefault="00915FC6" w:rsidP="00946BA7">
            <w:pPr>
              <w:jc w:val="left"/>
              <w:rPr>
                <w:szCs w:val="23"/>
              </w:rPr>
            </w:pPr>
            <w:r w:rsidRPr="00D00013">
              <w:rPr>
                <w:szCs w:val="23"/>
              </w:rPr>
              <w:t>Renewing existing stock of social housing to meet contemporary tenant need.</w:t>
            </w:r>
          </w:p>
          <w:p w14:paraId="6958EA29" w14:textId="77777777" w:rsidR="00915FC6" w:rsidRPr="00D00013" w:rsidRDefault="00915FC6" w:rsidP="0066036D">
            <w:pPr>
              <w:pStyle w:val="Default"/>
              <w:spacing w:after="241"/>
              <w:rPr>
                <w:sz w:val="23"/>
                <w:szCs w:val="23"/>
              </w:rPr>
            </w:pPr>
          </w:p>
          <w:p w14:paraId="6958EA2A" w14:textId="77777777" w:rsidR="00915FC6" w:rsidRPr="00792462" w:rsidRDefault="00915FC6" w:rsidP="0066036D">
            <w:pPr>
              <w:pStyle w:val="Default"/>
              <w:spacing w:after="241"/>
              <w:rPr>
                <w:sz w:val="23"/>
                <w:szCs w:val="23"/>
                <w:highlight w:val="yellow"/>
              </w:rPr>
            </w:pPr>
          </w:p>
        </w:tc>
        <w:tc>
          <w:tcPr>
            <w:tcW w:w="4110" w:type="dxa"/>
            <w:tcBorders>
              <w:top w:val="single" w:sz="8" w:space="0" w:color="4F81BD"/>
              <w:left w:val="single" w:sz="8" w:space="0" w:color="4F81BD"/>
              <w:bottom w:val="single" w:sz="8" w:space="0" w:color="4F81BD"/>
              <w:right w:val="single" w:sz="8" w:space="0" w:color="4F81BD"/>
            </w:tcBorders>
          </w:tcPr>
          <w:p w14:paraId="6958EA2B" w14:textId="77777777" w:rsidR="00915FC6" w:rsidRPr="00D00013" w:rsidRDefault="00915FC6" w:rsidP="00946BA7">
            <w:pPr>
              <w:jc w:val="left"/>
            </w:pPr>
            <w:r w:rsidRPr="00D00013">
              <w:t>Identify and develop initiatives to:</w:t>
            </w:r>
          </w:p>
          <w:p w14:paraId="6958EA2C" w14:textId="77777777" w:rsidR="00915FC6" w:rsidRPr="004E4E2D" w:rsidRDefault="00915FC6" w:rsidP="00946BA7">
            <w:pPr>
              <w:pStyle w:val="ListParagraph"/>
              <w:numPr>
                <w:ilvl w:val="0"/>
                <w:numId w:val="10"/>
              </w:numPr>
              <w:ind w:left="328"/>
              <w:rPr>
                <w:rFonts w:ascii="Corbel" w:hAnsi="Corbel"/>
              </w:rPr>
            </w:pPr>
            <w:r w:rsidRPr="004E4E2D">
              <w:rPr>
                <w:rFonts w:ascii="Corbel" w:hAnsi="Corbel"/>
              </w:rPr>
              <w:t>diversify social housing stock; and</w:t>
            </w:r>
          </w:p>
          <w:p w14:paraId="6958EA2D" w14:textId="77777777" w:rsidR="00915FC6" w:rsidRPr="004E4E2D" w:rsidRDefault="00915FC6" w:rsidP="001D390A">
            <w:pPr>
              <w:pStyle w:val="ListParagraph"/>
              <w:numPr>
                <w:ilvl w:val="0"/>
                <w:numId w:val="10"/>
              </w:numPr>
              <w:ind w:left="328"/>
              <w:rPr>
                <w:rFonts w:ascii="Corbel" w:hAnsi="Corbel"/>
              </w:rPr>
            </w:pPr>
            <w:r w:rsidRPr="004E4E2D">
              <w:rPr>
                <w:rFonts w:ascii="Corbel" w:hAnsi="Corbel"/>
              </w:rPr>
              <w:t>renew aging and inefficient housing stock.</w:t>
            </w:r>
          </w:p>
          <w:p w14:paraId="6958EA2E" w14:textId="77777777" w:rsidR="00915FC6" w:rsidRPr="00D00013" w:rsidRDefault="00915FC6" w:rsidP="00946BA7">
            <w:pPr>
              <w:jc w:val="left"/>
            </w:pPr>
            <w:r w:rsidRPr="00D00013">
              <w:t>Construct public housing dwellings that are built to national liveable design standards.</w:t>
            </w:r>
          </w:p>
        </w:tc>
        <w:tc>
          <w:tcPr>
            <w:tcW w:w="2835" w:type="dxa"/>
            <w:tcBorders>
              <w:top w:val="single" w:sz="8" w:space="0" w:color="4F81BD"/>
              <w:left w:val="single" w:sz="8" w:space="0" w:color="4F81BD"/>
              <w:bottom w:val="single" w:sz="8" w:space="0" w:color="4F81BD"/>
              <w:right w:val="single" w:sz="8" w:space="0" w:color="4F81BD"/>
            </w:tcBorders>
          </w:tcPr>
          <w:p w14:paraId="6958EA2F" w14:textId="77777777" w:rsidR="00915FC6" w:rsidRDefault="00926A75" w:rsidP="00A377E3">
            <w:pPr>
              <w:jc w:val="left"/>
            </w:pPr>
            <w:r w:rsidRPr="0007548F">
              <w:t>The ACT Government is undertaking a program to renew 1,288 public housing properties by June 2019 to improve outcomes for public housing tenants and support the renewal of Canberra’s urban areas.</w:t>
            </w:r>
          </w:p>
          <w:p w14:paraId="6958EA30" w14:textId="77777777" w:rsidR="00B85466" w:rsidRPr="0007548F" w:rsidRDefault="00B85466" w:rsidP="00A377E3">
            <w:pPr>
              <w:jc w:val="left"/>
            </w:pPr>
            <w:r w:rsidRPr="00B85466">
              <w:t>The ACT Government has invested $608 million in the public housing renewal program in the 2015–16, 2016–17, 2017–18 and 2018-19 Budgets, supporting the sale of older properties that are no longer fit for purpose, the construction and purchase of replacement housing and the relocation of tenants.</w:t>
            </w:r>
          </w:p>
        </w:tc>
      </w:tr>
      <w:tr w:rsidR="00915FC6" w:rsidRPr="00340EC2" w14:paraId="6958EA39" w14:textId="77777777" w:rsidTr="008E50BD">
        <w:trPr>
          <w:trHeight w:val="1171"/>
          <w:tblHeader/>
        </w:trPr>
        <w:tc>
          <w:tcPr>
            <w:tcW w:w="2684" w:type="dxa"/>
            <w:tcBorders>
              <w:top w:val="single" w:sz="8" w:space="0" w:color="4F81BD"/>
              <w:left w:val="single" w:sz="8" w:space="0" w:color="4F81BD"/>
              <w:bottom w:val="single" w:sz="8" w:space="0" w:color="4F81BD"/>
              <w:right w:val="single" w:sz="8" w:space="0" w:color="4F81BD"/>
            </w:tcBorders>
          </w:tcPr>
          <w:p w14:paraId="6958EA32" w14:textId="77777777" w:rsidR="00915FC6" w:rsidRPr="00946BA7" w:rsidRDefault="00915FC6" w:rsidP="00946BA7">
            <w:pPr>
              <w:jc w:val="left"/>
              <w:rPr>
                <w:szCs w:val="23"/>
              </w:rPr>
            </w:pPr>
            <w:r w:rsidRPr="008504DE">
              <w:rPr>
                <w:szCs w:val="23"/>
              </w:rPr>
              <w:t>Improve viability and growth of social housing</w:t>
            </w:r>
          </w:p>
        </w:tc>
        <w:tc>
          <w:tcPr>
            <w:tcW w:w="4110" w:type="dxa"/>
            <w:tcBorders>
              <w:top w:val="single" w:sz="8" w:space="0" w:color="4F81BD"/>
              <w:left w:val="single" w:sz="8" w:space="0" w:color="4F81BD"/>
              <w:bottom w:val="single" w:sz="8" w:space="0" w:color="4F81BD"/>
              <w:right w:val="single" w:sz="8" w:space="0" w:color="4F81BD"/>
            </w:tcBorders>
          </w:tcPr>
          <w:p w14:paraId="6958EA33" w14:textId="77777777" w:rsidR="00915FC6" w:rsidRDefault="00915FC6" w:rsidP="008504DE">
            <w:pPr>
              <w:jc w:val="left"/>
            </w:pPr>
            <w:r>
              <w:t xml:space="preserve">Review the existing ACT social housing model to improve viability.  </w:t>
            </w:r>
          </w:p>
          <w:p w14:paraId="6958EA34" w14:textId="77777777" w:rsidR="00915FC6" w:rsidRDefault="00915FC6" w:rsidP="008504DE">
            <w:pPr>
              <w:jc w:val="left"/>
            </w:pPr>
            <w:r>
              <w:t xml:space="preserve">Identify and develop initiatives to: </w:t>
            </w:r>
          </w:p>
          <w:p w14:paraId="6958EA35" w14:textId="77777777" w:rsidR="00915FC6" w:rsidRPr="004E4E2D" w:rsidRDefault="0007548F" w:rsidP="0007548F">
            <w:pPr>
              <w:pStyle w:val="ListParagraph"/>
              <w:numPr>
                <w:ilvl w:val="0"/>
                <w:numId w:val="10"/>
              </w:numPr>
              <w:ind w:left="328"/>
              <w:rPr>
                <w:rFonts w:ascii="Corbel" w:hAnsi="Corbel"/>
              </w:rPr>
            </w:pPr>
            <w:r w:rsidRPr="004E4E2D">
              <w:rPr>
                <w:rFonts w:ascii="Corbel" w:hAnsi="Corbel"/>
              </w:rPr>
              <w:t>achieve efficiencies</w:t>
            </w:r>
            <w:r w:rsidR="00915FC6" w:rsidRPr="004E4E2D">
              <w:rPr>
                <w:rFonts w:ascii="Corbel" w:hAnsi="Corbel"/>
              </w:rPr>
              <w:t>; and</w:t>
            </w:r>
          </w:p>
          <w:p w14:paraId="6958EA36" w14:textId="77777777" w:rsidR="00915FC6" w:rsidRDefault="00915FC6" w:rsidP="008504DE">
            <w:pPr>
              <w:pStyle w:val="ListParagraph"/>
              <w:numPr>
                <w:ilvl w:val="0"/>
                <w:numId w:val="10"/>
              </w:numPr>
              <w:ind w:left="328"/>
            </w:pPr>
            <w:r w:rsidRPr="004E4E2D">
              <w:rPr>
                <w:rFonts w:ascii="Corbel" w:hAnsi="Corbel"/>
              </w:rPr>
              <w:t>Improve stock utilisation</w:t>
            </w:r>
            <w:r w:rsidR="00B85466" w:rsidRPr="004E4E2D">
              <w:rPr>
                <w:rFonts w:ascii="Corbel" w:hAnsi="Corbel"/>
              </w:rPr>
              <w:t>.</w:t>
            </w:r>
          </w:p>
        </w:tc>
        <w:tc>
          <w:tcPr>
            <w:tcW w:w="2835" w:type="dxa"/>
            <w:tcBorders>
              <w:top w:val="single" w:sz="8" w:space="0" w:color="4F81BD"/>
              <w:left w:val="single" w:sz="8" w:space="0" w:color="4F81BD"/>
              <w:bottom w:val="single" w:sz="8" w:space="0" w:color="4F81BD"/>
              <w:right w:val="single" w:sz="8" w:space="0" w:color="4F81BD"/>
            </w:tcBorders>
          </w:tcPr>
          <w:p w14:paraId="6958EA38" w14:textId="102FF8EC" w:rsidR="00915FC6" w:rsidRPr="0007548F" w:rsidRDefault="006C3BB0" w:rsidP="00A377E3">
            <w:pPr>
              <w:jc w:val="left"/>
            </w:pPr>
            <w:r w:rsidRPr="00D00013">
              <w:t xml:space="preserve">Development of a long term asset </w:t>
            </w:r>
            <w:r w:rsidRPr="00D00013">
              <w:rPr>
                <w:szCs w:val="23"/>
              </w:rPr>
              <w:t>management</w:t>
            </w:r>
            <w:r w:rsidRPr="00D00013">
              <w:t xml:space="preserve"> plan. </w:t>
            </w:r>
          </w:p>
        </w:tc>
      </w:tr>
      <w:tr w:rsidR="00915FC6" w:rsidRPr="00340EC2" w14:paraId="6958EA3D" w14:textId="77777777" w:rsidTr="008E50BD">
        <w:trPr>
          <w:trHeight w:val="1171"/>
          <w:tblHeader/>
        </w:trPr>
        <w:tc>
          <w:tcPr>
            <w:tcW w:w="2684" w:type="dxa"/>
            <w:tcBorders>
              <w:top w:val="single" w:sz="8" w:space="0" w:color="4F81BD"/>
              <w:left w:val="single" w:sz="8" w:space="0" w:color="4F81BD"/>
              <w:bottom w:val="single" w:sz="8" w:space="0" w:color="4F81BD"/>
              <w:right w:val="single" w:sz="8" w:space="0" w:color="4F81BD"/>
            </w:tcBorders>
          </w:tcPr>
          <w:p w14:paraId="6958EA3A" w14:textId="77777777" w:rsidR="00915FC6" w:rsidRPr="00946BA7" w:rsidRDefault="00915FC6" w:rsidP="00946BA7">
            <w:pPr>
              <w:jc w:val="left"/>
              <w:rPr>
                <w:szCs w:val="23"/>
              </w:rPr>
            </w:pPr>
            <w:r w:rsidRPr="00AE08F1">
              <w:rPr>
                <w:szCs w:val="23"/>
              </w:rPr>
              <w:t>Innovative programs to improve the social housing experience</w:t>
            </w:r>
          </w:p>
        </w:tc>
        <w:tc>
          <w:tcPr>
            <w:tcW w:w="4110" w:type="dxa"/>
            <w:tcBorders>
              <w:top w:val="single" w:sz="8" w:space="0" w:color="4F81BD"/>
              <w:left w:val="single" w:sz="8" w:space="0" w:color="4F81BD"/>
              <w:bottom w:val="single" w:sz="8" w:space="0" w:color="4F81BD"/>
              <w:right w:val="single" w:sz="8" w:space="0" w:color="4F81BD"/>
            </w:tcBorders>
          </w:tcPr>
          <w:p w14:paraId="6958EA3B" w14:textId="77777777" w:rsidR="00915FC6" w:rsidRDefault="00915FC6" w:rsidP="00946BA7">
            <w:pPr>
              <w:jc w:val="left"/>
            </w:pPr>
            <w:r w:rsidRPr="00AE08F1">
              <w:t xml:space="preserve">Improve tenant accessibility and choice through the implementation of a digital service delivery platform.  </w:t>
            </w:r>
          </w:p>
        </w:tc>
        <w:tc>
          <w:tcPr>
            <w:tcW w:w="2835" w:type="dxa"/>
            <w:tcBorders>
              <w:top w:val="single" w:sz="8" w:space="0" w:color="4F81BD"/>
              <w:left w:val="single" w:sz="8" w:space="0" w:color="4F81BD"/>
              <w:bottom w:val="single" w:sz="8" w:space="0" w:color="4F81BD"/>
              <w:right w:val="single" w:sz="8" w:space="0" w:color="4F81BD"/>
            </w:tcBorders>
          </w:tcPr>
          <w:p w14:paraId="6958EA3C" w14:textId="77777777" w:rsidR="00915FC6" w:rsidRPr="00E93818" w:rsidRDefault="00803FD3" w:rsidP="00A377E3">
            <w:pPr>
              <w:jc w:val="left"/>
            </w:pPr>
            <w:r w:rsidRPr="00E93818">
              <w:t xml:space="preserve">Staged implementation commenced in 2017-18 and will continue over the life of this agreement. </w:t>
            </w:r>
          </w:p>
        </w:tc>
      </w:tr>
    </w:tbl>
    <w:p w14:paraId="6958EA3E" w14:textId="77777777" w:rsidR="008E50BD" w:rsidRDefault="008E50BD">
      <w:pPr>
        <w:spacing w:after="200" w:line="276" w:lineRule="auto"/>
        <w:jc w:val="left"/>
        <w:rPr>
          <w:rFonts w:eastAsiaTheme="minorHAnsi" w:cstheme="minorBidi"/>
          <w:szCs w:val="22"/>
          <w:lang w:eastAsia="en-US"/>
        </w:rPr>
        <w:sectPr w:rsidR="008E50BD" w:rsidSect="00591142">
          <w:pgSz w:w="11906" w:h="16838"/>
          <w:pgMar w:top="1440" w:right="1440" w:bottom="1440" w:left="1440" w:header="708" w:footer="708" w:gutter="0"/>
          <w:cols w:space="708"/>
          <w:docGrid w:linePitch="360"/>
        </w:sectPr>
      </w:pPr>
    </w:p>
    <w:p w14:paraId="6958EA3F" w14:textId="7EE407C3" w:rsidR="003E00B6" w:rsidRDefault="003E00B6" w:rsidP="003E00B6">
      <w:pPr>
        <w:pStyle w:val="Heading1"/>
      </w:pPr>
      <w:r>
        <w:lastRenderedPageBreak/>
        <w:t>Part 3 –</w:t>
      </w:r>
      <w:r w:rsidR="00895783">
        <w:t xml:space="preserve"> </w:t>
      </w:r>
      <w:r w:rsidR="007C30F7">
        <w:t>ACT</w:t>
      </w:r>
      <w:r>
        <w:t xml:space="preserve"> homelessness </w:t>
      </w:r>
      <w:r w:rsidR="00DC3EE7">
        <w:t>PRIORITIES</w:t>
      </w:r>
    </w:p>
    <w:p w14:paraId="6958EA40" w14:textId="659FCE14" w:rsidR="0004409C" w:rsidRDefault="00644938" w:rsidP="000D3D84">
      <w:pPr>
        <w:pStyle w:val="Normalnumbered"/>
        <w:numPr>
          <w:ilvl w:val="0"/>
          <w:numId w:val="3"/>
        </w:numPr>
      </w:pPr>
      <w:bookmarkStart w:id="4" w:name="PART_4:_PROJECT_MILESTONES,_REPORTING_AN"/>
      <w:bookmarkEnd w:id="4"/>
      <w:r>
        <w:t xml:space="preserve">Under the </w:t>
      </w:r>
      <w:r w:rsidRPr="000D3D84">
        <w:rPr>
          <w:i/>
        </w:rPr>
        <w:t>Treasury Laws Amendment (National Housing and Homelessness Agreement</w:t>
      </w:r>
      <w:r w:rsidR="008E50BD" w:rsidRPr="000D3D84">
        <w:rPr>
          <w:i/>
        </w:rPr>
        <w:t>)</w:t>
      </w:r>
      <w:r w:rsidRPr="000D3D84">
        <w:rPr>
          <w:i/>
        </w:rPr>
        <w:t xml:space="preserve"> </w:t>
      </w:r>
      <w:r w:rsidR="008E50BD" w:rsidRPr="000D3D84">
        <w:rPr>
          <w:i/>
        </w:rPr>
        <w:t>Act 2018</w:t>
      </w:r>
      <w:r>
        <w:t xml:space="preserve"> and</w:t>
      </w:r>
      <w:r w:rsidR="0004409C">
        <w:t xml:space="preserve"> </w:t>
      </w:r>
      <w:r w:rsidR="004E5EEC">
        <w:t xml:space="preserve">clause 17(b) of </w:t>
      </w:r>
      <w:r w:rsidR="0004409C">
        <w:t xml:space="preserve">the </w:t>
      </w:r>
      <w:r w:rsidR="00895783">
        <w:t>A</w:t>
      </w:r>
      <w:r w:rsidR="0004409C">
        <w:t xml:space="preserve">greement, States are required to have a </w:t>
      </w:r>
      <w:r w:rsidR="00A638EB">
        <w:t>publicly accessible</w:t>
      </w:r>
      <w:r w:rsidR="004C1038">
        <w:t xml:space="preserve"> </w:t>
      </w:r>
      <w:r w:rsidR="00A638EB">
        <w:t xml:space="preserve">homelessness </w:t>
      </w:r>
      <w:r w:rsidR="0004409C">
        <w:t>strategy</w:t>
      </w:r>
      <w:r w:rsidR="003E3E38">
        <w:t>.</w:t>
      </w:r>
      <w:r w:rsidR="0004409C">
        <w:t xml:space="preserve"> </w:t>
      </w:r>
    </w:p>
    <w:p w14:paraId="6958EA41" w14:textId="5F51F138" w:rsidR="00F06526" w:rsidRDefault="00F06526" w:rsidP="00A147CA">
      <w:pPr>
        <w:pStyle w:val="Normalnumbered"/>
        <w:numPr>
          <w:ilvl w:val="0"/>
          <w:numId w:val="3"/>
        </w:numPr>
      </w:pPr>
      <w:r>
        <w:t>As discussed in Part 2, the ACT’s Affordable Housing Action Plan</w:t>
      </w:r>
      <w:r w:rsidR="00895783">
        <w:t xml:space="preserve"> addresses homelessness but</w:t>
      </w:r>
      <w:r>
        <w:t xml:space="preserve"> is now </w:t>
      </w:r>
      <w:r w:rsidR="004E5EEC">
        <w:t xml:space="preserve">over </w:t>
      </w:r>
      <w:r>
        <w:t>ten years old and will be replaced with a new ACT Housing Strategy in 2018</w:t>
      </w:r>
      <w:r w:rsidR="004E5EEC">
        <w:t>.  The new strategy will address legislative requirements, the requirements of clause 17 (b) of the primary housing agreement and</w:t>
      </w:r>
      <w:r>
        <w:t xml:space="preserve"> will cover the full housing spectrum, including policies, programs and initiatives to address homelessness.</w:t>
      </w:r>
    </w:p>
    <w:p w14:paraId="6958EA42" w14:textId="03A1EB80" w:rsidR="0039727A" w:rsidRDefault="00F06526" w:rsidP="00A147CA">
      <w:pPr>
        <w:pStyle w:val="Normalnumbered"/>
        <w:numPr>
          <w:ilvl w:val="0"/>
          <w:numId w:val="3"/>
        </w:numPr>
      </w:pPr>
      <w:r w:rsidRPr="00F06526">
        <w:t xml:space="preserve">The table below includes details of the ACT’s homelessness priorities, policies and initiatives that </w:t>
      </w:r>
      <w:r w:rsidR="003E3E38">
        <w:t>are in addition to</w:t>
      </w:r>
      <w:r w:rsidR="003E3E38" w:rsidRPr="00F06526">
        <w:t xml:space="preserve"> </w:t>
      </w:r>
      <w:r w:rsidR="003544C9">
        <w:t xml:space="preserve">or supersede </w:t>
      </w:r>
      <w:r w:rsidRPr="00F06526">
        <w:t xml:space="preserve">the ACT’s </w:t>
      </w:r>
      <w:r w:rsidR="003544C9">
        <w:t>Affordable Housing Action Plan</w:t>
      </w:r>
      <w:r w:rsidRPr="00F06526">
        <w:t>.</w:t>
      </w:r>
    </w:p>
    <w:tbl>
      <w:tblPr>
        <w:tblW w:w="99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00"/>
        <w:gridCol w:w="4371"/>
        <w:gridCol w:w="1583"/>
        <w:gridCol w:w="1559"/>
      </w:tblGrid>
      <w:tr w:rsidR="007A4B6D" w:rsidRPr="000A3E78" w14:paraId="6958EA49" w14:textId="77777777" w:rsidTr="00E93818">
        <w:trPr>
          <w:trHeight w:val="735"/>
          <w:tblHeader/>
        </w:trPr>
        <w:tc>
          <w:tcPr>
            <w:tcW w:w="24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958EA45" w14:textId="5E50708A" w:rsidR="007A4B6D" w:rsidRPr="000A3E78" w:rsidRDefault="007A4B6D" w:rsidP="00CE2CAB">
            <w:pPr>
              <w:pStyle w:val="Heading2"/>
              <w:rPr>
                <w:bCs w:val="0"/>
                <w:sz w:val="23"/>
                <w:szCs w:val="23"/>
              </w:rPr>
            </w:pPr>
            <w:r w:rsidRPr="000A3E78">
              <w:rPr>
                <w:bCs w:val="0"/>
                <w:sz w:val="23"/>
                <w:szCs w:val="23"/>
              </w:rPr>
              <w:t>Key commitment</w:t>
            </w:r>
          </w:p>
        </w:tc>
        <w:tc>
          <w:tcPr>
            <w:tcW w:w="4371"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958EA46" w14:textId="77777777" w:rsidR="007A4B6D" w:rsidRPr="004E4E2D" w:rsidRDefault="007A4B6D" w:rsidP="00CE2CAB">
            <w:pPr>
              <w:pStyle w:val="Heading2"/>
              <w:rPr>
                <w:bCs w:val="0"/>
                <w:sz w:val="23"/>
                <w:szCs w:val="23"/>
              </w:rPr>
            </w:pPr>
            <w:r w:rsidRPr="004E4E2D">
              <w:rPr>
                <w:bCs w:val="0"/>
                <w:sz w:val="23"/>
                <w:szCs w:val="23"/>
              </w:rPr>
              <w:t>Policy or program</w:t>
            </w:r>
          </w:p>
        </w:tc>
        <w:tc>
          <w:tcPr>
            <w:tcW w:w="158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958EA47" w14:textId="77777777" w:rsidR="007A4B6D" w:rsidRPr="000A3E78" w:rsidRDefault="007A4B6D" w:rsidP="000A3E78">
            <w:pPr>
              <w:pStyle w:val="Heading2"/>
            </w:pPr>
            <w:r w:rsidRPr="000A3E78">
              <w:rPr>
                <w:bCs w:val="0"/>
                <w:sz w:val="23"/>
                <w:szCs w:val="23"/>
              </w:rPr>
              <w:t>National Priority Cohort</w:t>
            </w:r>
          </w:p>
        </w:tc>
        <w:tc>
          <w:tcPr>
            <w:tcW w:w="155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958EA48" w14:textId="77777777" w:rsidR="007A4B6D" w:rsidRPr="000A3E78" w:rsidRDefault="007A4B6D" w:rsidP="000A3E78">
            <w:pPr>
              <w:pStyle w:val="Heading2"/>
              <w:rPr>
                <w:bCs w:val="0"/>
                <w:sz w:val="23"/>
                <w:szCs w:val="23"/>
              </w:rPr>
            </w:pPr>
            <w:r>
              <w:rPr>
                <w:bCs w:val="0"/>
                <w:sz w:val="23"/>
                <w:szCs w:val="23"/>
              </w:rPr>
              <w:t>Timeframe</w:t>
            </w:r>
          </w:p>
        </w:tc>
      </w:tr>
      <w:tr w:rsidR="007A4B6D" w:rsidRPr="000A3E78" w14:paraId="6958EA51" w14:textId="77777777" w:rsidTr="00E93818">
        <w:trPr>
          <w:trHeight w:val="1171"/>
          <w:tblHeader/>
        </w:trPr>
        <w:tc>
          <w:tcPr>
            <w:tcW w:w="2400" w:type="dxa"/>
            <w:tcBorders>
              <w:top w:val="single" w:sz="8" w:space="0" w:color="4F81BD"/>
              <w:left w:val="single" w:sz="8" w:space="0" w:color="4F81BD"/>
              <w:bottom w:val="single" w:sz="8" w:space="0" w:color="4F81BD"/>
              <w:right w:val="single" w:sz="8" w:space="0" w:color="4F81BD"/>
            </w:tcBorders>
          </w:tcPr>
          <w:p w14:paraId="6958EA4A" w14:textId="77777777" w:rsidR="007A4B6D" w:rsidRPr="000A3E78" w:rsidRDefault="007A4B6D" w:rsidP="00CE2CAB">
            <w:pPr>
              <w:jc w:val="left"/>
            </w:pPr>
            <w:r w:rsidRPr="000A3E78">
              <w:t>Beyond a crisis response for domestic and family violence</w:t>
            </w:r>
          </w:p>
        </w:tc>
        <w:tc>
          <w:tcPr>
            <w:tcW w:w="4371" w:type="dxa"/>
            <w:tcBorders>
              <w:top w:val="single" w:sz="8" w:space="0" w:color="4F81BD"/>
              <w:left w:val="single" w:sz="8" w:space="0" w:color="4F81BD"/>
              <w:bottom w:val="single" w:sz="8" w:space="0" w:color="4F81BD"/>
              <w:right w:val="single" w:sz="8" w:space="0" w:color="4F81BD"/>
            </w:tcBorders>
          </w:tcPr>
          <w:p w14:paraId="6958EA4B" w14:textId="77777777" w:rsidR="007A4B6D" w:rsidRPr="004E4E2D" w:rsidRDefault="007A4B6D" w:rsidP="00E76EF0">
            <w:pPr>
              <w:pStyle w:val="ListParagraph"/>
              <w:numPr>
                <w:ilvl w:val="0"/>
                <w:numId w:val="10"/>
              </w:numPr>
              <w:ind w:left="328"/>
              <w:rPr>
                <w:rFonts w:ascii="Corbel" w:hAnsi="Corbel"/>
              </w:rPr>
            </w:pPr>
            <w:r w:rsidRPr="004E4E2D">
              <w:rPr>
                <w:rFonts w:ascii="Corbel" w:hAnsi="Corbel"/>
              </w:rPr>
              <w:t xml:space="preserve">Commit dedicated funding for services to exclusively provide support to women and children in need of an immediate safety response. </w:t>
            </w:r>
          </w:p>
          <w:p w14:paraId="6958EA4C" w14:textId="77777777" w:rsidR="007A4B6D" w:rsidRPr="004E4E2D" w:rsidRDefault="007A4B6D" w:rsidP="00E76EF0">
            <w:pPr>
              <w:pStyle w:val="ListParagraph"/>
              <w:numPr>
                <w:ilvl w:val="0"/>
                <w:numId w:val="10"/>
              </w:numPr>
              <w:ind w:left="328"/>
              <w:rPr>
                <w:rFonts w:ascii="Corbel" w:hAnsi="Corbel"/>
              </w:rPr>
            </w:pPr>
            <w:r w:rsidRPr="004E4E2D">
              <w:rPr>
                <w:rFonts w:ascii="Corbel" w:hAnsi="Corbel"/>
              </w:rPr>
              <w:t xml:space="preserve">Pilot services to support women and children to stay at home when it’s safe to do so. </w:t>
            </w:r>
          </w:p>
          <w:p w14:paraId="6958EA4D" w14:textId="77777777" w:rsidR="007A4B6D" w:rsidRPr="004E4E2D" w:rsidRDefault="007A4B6D" w:rsidP="00E76EF0">
            <w:pPr>
              <w:pStyle w:val="ListParagraph"/>
              <w:numPr>
                <w:ilvl w:val="0"/>
                <w:numId w:val="10"/>
              </w:numPr>
              <w:ind w:left="328"/>
              <w:rPr>
                <w:rFonts w:ascii="Corbel" w:hAnsi="Corbel"/>
              </w:rPr>
            </w:pPr>
            <w:r w:rsidRPr="004E4E2D">
              <w:rPr>
                <w:rFonts w:ascii="Corbel" w:hAnsi="Corbel"/>
              </w:rPr>
              <w:t>Pilot a therapeutic program targeting  people who use violence to effect long term behavioural change</w:t>
            </w:r>
          </w:p>
        </w:tc>
        <w:tc>
          <w:tcPr>
            <w:tcW w:w="1583" w:type="dxa"/>
            <w:tcBorders>
              <w:top w:val="single" w:sz="8" w:space="0" w:color="4F81BD"/>
              <w:left w:val="single" w:sz="8" w:space="0" w:color="4F81BD"/>
              <w:bottom w:val="single" w:sz="8" w:space="0" w:color="4F81BD"/>
              <w:right w:val="single" w:sz="8" w:space="0" w:color="4F81BD"/>
            </w:tcBorders>
          </w:tcPr>
          <w:p w14:paraId="6958EA4E" w14:textId="77777777" w:rsidR="007A4B6D" w:rsidRPr="000A3E78" w:rsidRDefault="007A4B6D" w:rsidP="008A482E">
            <w:pPr>
              <w:spacing w:line="276" w:lineRule="auto"/>
              <w:jc w:val="left"/>
            </w:pPr>
          </w:p>
          <w:p w14:paraId="6958EA4F" w14:textId="77777777" w:rsidR="007A4B6D" w:rsidRPr="000A3E78" w:rsidRDefault="007A4B6D" w:rsidP="008A482E">
            <w:pPr>
              <w:spacing w:line="276" w:lineRule="auto"/>
              <w:jc w:val="left"/>
            </w:pPr>
            <w:r w:rsidRPr="000A3E78">
              <w:t>Women and children affected by family and domestic violence</w:t>
            </w:r>
          </w:p>
        </w:tc>
        <w:tc>
          <w:tcPr>
            <w:tcW w:w="1559" w:type="dxa"/>
            <w:tcBorders>
              <w:top w:val="single" w:sz="8" w:space="0" w:color="4F81BD"/>
              <w:left w:val="single" w:sz="8" w:space="0" w:color="4F81BD"/>
              <w:bottom w:val="single" w:sz="8" w:space="0" w:color="4F81BD"/>
              <w:right w:val="single" w:sz="8" w:space="0" w:color="4F81BD"/>
            </w:tcBorders>
          </w:tcPr>
          <w:p w14:paraId="6958EA50" w14:textId="77777777" w:rsidR="007A4B6D" w:rsidRPr="000A3E78" w:rsidRDefault="007A4B6D" w:rsidP="008A482E">
            <w:pPr>
              <w:spacing w:line="276" w:lineRule="auto"/>
              <w:jc w:val="left"/>
            </w:pPr>
            <w:r>
              <w:t>Service Funding Agreements in place until 30 June 2019.</w:t>
            </w:r>
          </w:p>
        </w:tc>
      </w:tr>
      <w:tr w:rsidR="007A4B6D" w:rsidRPr="000A3E78" w14:paraId="6958EA5C" w14:textId="77777777" w:rsidTr="00E93818">
        <w:trPr>
          <w:trHeight w:val="1171"/>
          <w:tblHeader/>
        </w:trPr>
        <w:tc>
          <w:tcPr>
            <w:tcW w:w="2400" w:type="dxa"/>
            <w:tcBorders>
              <w:top w:val="single" w:sz="8" w:space="0" w:color="4F81BD"/>
              <w:left w:val="single" w:sz="8" w:space="0" w:color="4F81BD"/>
              <w:bottom w:val="single" w:sz="8" w:space="0" w:color="4F81BD"/>
              <w:right w:val="single" w:sz="8" w:space="0" w:color="4F81BD"/>
            </w:tcBorders>
          </w:tcPr>
          <w:p w14:paraId="6958EA52" w14:textId="77777777" w:rsidR="007A4B6D" w:rsidRPr="000A3E78" w:rsidRDefault="007A4B6D" w:rsidP="00CE2CAB">
            <w:pPr>
              <w:jc w:val="left"/>
            </w:pPr>
            <w:r w:rsidRPr="000A3E78">
              <w:t>Provide youth specific services to support young people obtain/sustain appropriate forms of long term housing and participate in the community.</w:t>
            </w:r>
          </w:p>
        </w:tc>
        <w:tc>
          <w:tcPr>
            <w:tcW w:w="4371" w:type="dxa"/>
            <w:tcBorders>
              <w:top w:val="single" w:sz="8" w:space="0" w:color="4F81BD"/>
              <w:left w:val="single" w:sz="8" w:space="0" w:color="4F81BD"/>
              <w:bottom w:val="single" w:sz="8" w:space="0" w:color="4F81BD"/>
              <w:right w:val="single" w:sz="8" w:space="0" w:color="4F81BD"/>
            </w:tcBorders>
          </w:tcPr>
          <w:p w14:paraId="6958EA53" w14:textId="77777777" w:rsidR="007A4B6D" w:rsidRPr="004E4E2D" w:rsidRDefault="007A4B6D" w:rsidP="008A482E">
            <w:pPr>
              <w:pStyle w:val="ListParagraph"/>
              <w:numPr>
                <w:ilvl w:val="0"/>
                <w:numId w:val="10"/>
              </w:numPr>
              <w:ind w:left="328"/>
              <w:rPr>
                <w:rFonts w:ascii="Corbel" w:hAnsi="Corbel"/>
              </w:rPr>
            </w:pPr>
            <w:r w:rsidRPr="004E4E2D">
              <w:rPr>
                <w:rFonts w:ascii="Corbel" w:hAnsi="Corbel"/>
              </w:rPr>
              <w:t>Supported accommodation outreach and tenancy management support for young parents with children.</w:t>
            </w:r>
          </w:p>
          <w:p w14:paraId="6958EA54" w14:textId="77777777" w:rsidR="007A4B6D" w:rsidRPr="004E4E2D" w:rsidRDefault="007A4B6D" w:rsidP="008A482E">
            <w:pPr>
              <w:pStyle w:val="ListParagraph"/>
              <w:numPr>
                <w:ilvl w:val="0"/>
                <w:numId w:val="10"/>
              </w:numPr>
              <w:ind w:left="328"/>
              <w:rPr>
                <w:rFonts w:ascii="Corbel" w:hAnsi="Corbel"/>
              </w:rPr>
            </w:pPr>
            <w:r w:rsidRPr="004E4E2D">
              <w:rPr>
                <w:rFonts w:ascii="Corbel" w:hAnsi="Corbel"/>
              </w:rPr>
              <w:t>Support to access and sustain long term accommodation</w:t>
            </w:r>
          </w:p>
          <w:p w14:paraId="6958EA55" w14:textId="77777777" w:rsidR="007A4B6D" w:rsidRPr="004E4E2D" w:rsidRDefault="007A4B6D" w:rsidP="008A482E">
            <w:pPr>
              <w:pStyle w:val="ListParagraph"/>
              <w:numPr>
                <w:ilvl w:val="0"/>
                <w:numId w:val="10"/>
              </w:numPr>
              <w:ind w:left="328"/>
              <w:rPr>
                <w:rFonts w:ascii="Corbel" w:hAnsi="Corbel"/>
              </w:rPr>
            </w:pPr>
            <w:r w:rsidRPr="004E4E2D">
              <w:rPr>
                <w:rFonts w:ascii="Corbel" w:hAnsi="Corbel"/>
              </w:rPr>
              <w:t>Assist young people to reside with a support family of choice</w:t>
            </w:r>
          </w:p>
          <w:p w14:paraId="6958EA56" w14:textId="77777777" w:rsidR="007A4B6D" w:rsidRPr="004E4E2D" w:rsidRDefault="007A4B6D" w:rsidP="008A482E">
            <w:pPr>
              <w:pStyle w:val="ListParagraph"/>
              <w:numPr>
                <w:ilvl w:val="0"/>
                <w:numId w:val="10"/>
              </w:numPr>
              <w:ind w:left="328"/>
              <w:rPr>
                <w:rFonts w:ascii="Corbel" w:hAnsi="Corbel"/>
              </w:rPr>
            </w:pPr>
            <w:r w:rsidRPr="004E4E2D">
              <w:rPr>
                <w:rFonts w:ascii="Corbel" w:hAnsi="Corbel"/>
              </w:rPr>
              <w:t xml:space="preserve">Supporting young people to engage with the private rental market, </w:t>
            </w:r>
          </w:p>
          <w:p w14:paraId="6958EA57" w14:textId="77777777" w:rsidR="007A4B6D" w:rsidRPr="004E4E2D" w:rsidRDefault="007A4B6D" w:rsidP="008A482E">
            <w:pPr>
              <w:pStyle w:val="ListParagraph"/>
              <w:numPr>
                <w:ilvl w:val="0"/>
                <w:numId w:val="10"/>
              </w:numPr>
              <w:ind w:left="328"/>
              <w:rPr>
                <w:rFonts w:ascii="Corbel" w:hAnsi="Corbel"/>
              </w:rPr>
            </w:pPr>
            <w:r w:rsidRPr="004E4E2D">
              <w:rPr>
                <w:rFonts w:ascii="Corbel" w:hAnsi="Corbel"/>
              </w:rPr>
              <w:t>Mentoring and life skills training</w:t>
            </w:r>
          </w:p>
          <w:p w14:paraId="6958EA58" w14:textId="77777777" w:rsidR="007A4B6D" w:rsidRPr="004E4E2D" w:rsidRDefault="007A4B6D" w:rsidP="008A482E">
            <w:pPr>
              <w:pStyle w:val="ListParagraph"/>
              <w:numPr>
                <w:ilvl w:val="0"/>
                <w:numId w:val="10"/>
              </w:numPr>
              <w:ind w:left="328"/>
              <w:rPr>
                <w:rFonts w:ascii="Corbel" w:hAnsi="Corbel"/>
              </w:rPr>
            </w:pPr>
            <w:r w:rsidRPr="004E4E2D">
              <w:rPr>
                <w:rFonts w:ascii="Corbel" w:hAnsi="Corbel"/>
              </w:rPr>
              <w:t>Support to access and engage in education training and employment</w:t>
            </w:r>
          </w:p>
        </w:tc>
        <w:tc>
          <w:tcPr>
            <w:tcW w:w="1583" w:type="dxa"/>
            <w:tcBorders>
              <w:top w:val="single" w:sz="8" w:space="0" w:color="4F81BD"/>
              <w:left w:val="single" w:sz="8" w:space="0" w:color="4F81BD"/>
              <w:bottom w:val="single" w:sz="8" w:space="0" w:color="4F81BD"/>
              <w:right w:val="single" w:sz="8" w:space="0" w:color="4F81BD"/>
            </w:tcBorders>
          </w:tcPr>
          <w:p w14:paraId="6958EA59" w14:textId="77777777" w:rsidR="007A4B6D" w:rsidRPr="000A3E78" w:rsidRDefault="007A4B6D" w:rsidP="00AF76A1">
            <w:pPr>
              <w:spacing w:line="276" w:lineRule="auto"/>
              <w:jc w:val="left"/>
            </w:pPr>
          </w:p>
          <w:p w14:paraId="6958EA5A" w14:textId="77777777" w:rsidR="007A4B6D" w:rsidRPr="000A3E78" w:rsidRDefault="007A4B6D" w:rsidP="00AF76A1">
            <w:pPr>
              <w:spacing w:line="276" w:lineRule="auto"/>
              <w:jc w:val="left"/>
            </w:pPr>
            <w:r w:rsidRPr="000A3E78">
              <w:t>Children and Young people</w:t>
            </w:r>
          </w:p>
        </w:tc>
        <w:tc>
          <w:tcPr>
            <w:tcW w:w="1559" w:type="dxa"/>
            <w:tcBorders>
              <w:top w:val="single" w:sz="8" w:space="0" w:color="4F81BD"/>
              <w:left w:val="single" w:sz="8" w:space="0" w:color="4F81BD"/>
              <w:bottom w:val="single" w:sz="8" w:space="0" w:color="4F81BD"/>
              <w:right w:val="single" w:sz="8" w:space="0" w:color="4F81BD"/>
            </w:tcBorders>
          </w:tcPr>
          <w:p w14:paraId="6958EA5B" w14:textId="77777777" w:rsidR="007A4B6D" w:rsidRPr="000A3E78" w:rsidRDefault="007A4B6D" w:rsidP="00AF76A1">
            <w:pPr>
              <w:spacing w:line="276" w:lineRule="auto"/>
              <w:jc w:val="left"/>
            </w:pPr>
            <w:r>
              <w:t>Service Funding Agreements in place until 30 June 2019.</w:t>
            </w:r>
          </w:p>
        </w:tc>
      </w:tr>
      <w:tr w:rsidR="001E3130" w:rsidRPr="000A3E78" w14:paraId="3A9F1AF1" w14:textId="77777777" w:rsidTr="004A1DFE">
        <w:trPr>
          <w:trHeight w:val="735"/>
          <w:tblHeader/>
        </w:trPr>
        <w:tc>
          <w:tcPr>
            <w:tcW w:w="24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2D8F7FED" w14:textId="77777777" w:rsidR="001E3130" w:rsidRPr="000A3E78" w:rsidRDefault="001E3130" w:rsidP="004A1DFE">
            <w:pPr>
              <w:pStyle w:val="Heading2"/>
              <w:rPr>
                <w:bCs w:val="0"/>
                <w:sz w:val="23"/>
                <w:szCs w:val="23"/>
              </w:rPr>
            </w:pPr>
            <w:r w:rsidRPr="00B64E89">
              <w:lastRenderedPageBreak/>
              <w:t xml:space="preserve"> </w:t>
            </w:r>
            <w:r w:rsidRPr="000A3E78">
              <w:rPr>
                <w:bCs w:val="0"/>
                <w:sz w:val="23"/>
                <w:szCs w:val="23"/>
              </w:rPr>
              <w:t>Key commitment</w:t>
            </w:r>
          </w:p>
        </w:tc>
        <w:tc>
          <w:tcPr>
            <w:tcW w:w="4371"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52B674F" w14:textId="77777777" w:rsidR="001E3130" w:rsidRPr="004E4E2D" w:rsidRDefault="001E3130" w:rsidP="004A1DFE">
            <w:pPr>
              <w:pStyle w:val="Heading2"/>
              <w:rPr>
                <w:bCs w:val="0"/>
                <w:sz w:val="23"/>
                <w:szCs w:val="23"/>
              </w:rPr>
            </w:pPr>
            <w:r w:rsidRPr="004E4E2D">
              <w:rPr>
                <w:bCs w:val="0"/>
                <w:sz w:val="23"/>
                <w:szCs w:val="23"/>
              </w:rPr>
              <w:t>Policy or program</w:t>
            </w:r>
          </w:p>
        </w:tc>
        <w:tc>
          <w:tcPr>
            <w:tcW w:w="158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D273517" w14:textId="77777777" w:rsidR="001E3130" w:rsidRPr="000A3E78" w:rsidRDefault="001E3130" w:rsidP="004A1DFE">
            <w:pPr>
              <w:pStyle w:val="Heading2"/>
            </w:pPr>
            <w:r w:rsidRPr="000A3E78">
              <w:rPr>
                <w:bCs w:val="0"/>
                <w:sz w:val="23"/>
                <w:szCs w:val="23"/>
              </w:rPr>
              <w:t>National Priority Cohort</w:t>
            </w:r>
          </w:p>
        </w:tc>
        <w:tc>
          <w:tcPr>
            <w:tcW w:w="155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42C82B5" w14:textId="77777777" w:rsidR="001E3130" w:rsidRPr="000A3E78" w:rsidRDefault="001E3130" w:rsidP="004A1DFE">
            <w:pPr>
              <w:pStyle w:val="Heading2"/>
              <w:rPr>
                <w:bCs w:val="0"/>
                <w:sz w:val="23"/>
                <w:szCs w:val="23"/>
              </w:rPr>
            </w:pPr>
            <w:r>
              <w:rPr>
                <w:bCs w:val="0"/>
                <w:sz w:val="23"/>
                <w:szCs w:val="23"/>
              </w:rPr>
              <w:t>Timeframe</w:t>
            </w:r>
          </w:p>
        </w:tc>
      </w:tr>
      <w:tr w:rsidR="007A4B6D" w:rsidRPr="000A3E78" w14:paraId="6958EA65" w14:textId="77777777" w:rsidTr="00E93818">
        <w:trPr>
          <w:trHeight w:val="1171"/>
          <w:tblHeader/>
        </w:trPr>
        <w:tc>
          <w:tcPr>
            <w:tcW w:w="2400" w:type="dxa"/>
            <w:tcBorders>
              <w:top w:val="single" w:sz="8" w:space="0" w:color="4F81BD"/>
              <w:left w:val="single" w:sz="8" w:space="0" w:color="4F81BD"/>
              <w:bottom w:val="single" w:sz="8" w:space="0" w:color="4F81BD"/>
              <w:right w:val="single" w:sz="8" w:space="0" w:color="4F81BD"/>
            </w:tcBorders>
          </w:tcPr>
          <w:p w14:paraId="6958EA5D" w14:textId="77777777" w:rsidR="007A4B6D" w:rsidRPr="000A3E78" w:rsidRDefault="007A4B6D" w:rsidP="00CE2CAB">
            <w:pPr>
              <w:jc w:val="left"/>
            </w:pPr>
            <w:r w:rsidRPr="000A3E78">
              <w:t>Aboriginal and Torres Strait Islander people who are at risk of, or experiencing homelessness, are supported with services that respond their needs.</w:t>
            </w:r>
          </w:p>
        </w:tc>
        <w:tc>
          <w:tcPr>
            <w:tcW w:w="4371" w:type="dxa"/>
            <w:tcBorders>
              <w:top w:val="single" w:sz="8" w:space="0" w:color="4F81BD"/>
              <w:left w:val="single" w:sz="8" w:space="0" w:color="4F81BD"/>
              <w:bottom w:val="single" w:sz="8" w:space="0" w:color="4F81BD"/>
              <w:right w:val="single" w:sz="8" w:space="0" w:color="4F81BD"/>
            </w:tcBorders>
          </w:tcPr>
          <w:p w14:paraId="6958EA5E" w14:textId="77777777" w:rsidR="007A4B6D" w:rsidRPr="004E4E2D" w:rsidRDefault="007A4B6D" w:rsidP="004F388E">
            <w:pPr>
              <w:pStyle w:val="ListParagraph"/>
              <w:numPr>
                <w:ilvl w:val="0"/>
                <w:numId w:val="10"/>
              </w:numPr>
              <w:ind w:left="328"/>
              <w:rPr>
                <w:rFonts w:ascii="Corbel" w:hAnsi="Corbel"/>
              </w:rPr>
            </w:pPr>
            <w:r w:rsidRPr="004E4E2D">
              <w:rPr>
                <w:rFonts w:ascii="Corbel" w:hAnsi="Corbel"/>
              </w:rPr>
              <w:t>Provide support for young ATSI people experiencing or at risk of homelessness.</w:t>
            </w:r>
          </w:p>
          <w:p w14:paraId="6958EA5F" w14:textId="77777777" w:rsidR="007A4B6D" w:rsidRPr="004E4E2D" w:rsidRDefault="007A4B6D" w:rsidP="004F388E">
            <w:pPr>
              <w:pStyle w:val="ListParagraph"/>
              <w:numPr>
                <w:ilvl w:val="0"/>
                <w:numId w:val="10"/>
              </w:numPr>
              <w:ind w:left="328"/>
              <w:rPr>
                <w:rFonts w:ascii="Corbel" w:hAnsi="Corbel"/>
              </w:rPr>
            </w:pPr>
            <w:r w:rsidRPr="004E4E2D">
              <w:rPr>
                <w:rFonts w:ascii="Corbel" w:hAnsi="Corbel"/>
              </w:rPr>
              <w:t>Outreach support and case management for young ATSI people experiencing or at risk of homelessness.</w:t>
            </w:r>
          </w:p>
          <w:p w14:paraId="6958EA60" w14:textId="77777777" w:rsidR="007A4B6D" w:rsidRPr="004E4E2D" w:rsidRDefault="007A4B6D" w:rsidP="004F388E">
            <w:pPr>
              <w:pStyle w:val="ListParagraph"/>
              <w:numPr>
                <w:ilvl w:val="0"/>
                <w:numId w:val="10"/>
              </w:numPr>
              <w:ind w:left="328"/>
              <w:rPr>
                <w:rFonts w:ascii="Corbel" w:hAnsi="Corbel"/>
              </w:rPr>
            </w:pPr>
            <w:r w:rsidRPr="004E4E2D">
              <w:rPr>
                <w:rFonts w:ascii="Corbel" w:hAnsi="Corbel"/>
              </w:rPr>
              <w:t xml:space="preserve">Provide advice and advocacy to support service users to access appropriate housing options and support people to sustain their tenancies. </w:t>
            </w:r>
          </w:p>
          <w:p w14:paraId="6958EA61" w14:textId="77777777" w:rsidR="007A4B6D" w:rsidRPr="004E4E2D" w:rsidRDefault="007A4B6D" w:rsidP="004F388E">
            <w:pPr>
              <w:pStyle w:val="ListParagraph"/>
              <w:numPr>
                <w:ilvl w:val="0"/>
                <w:numId w:val="10"/>
              </w:numPr>
              <w:ind w:left="328"/>
              <w:rPr>
                <w:rFonts w:ascii="Corbel" w:hAnsi="Corbel"/>
              </w:rPr>
            </w:pPr>
            <w:r w:rsidRPr="004E4E2D">
              <w:rPr>
                <w:rFonts w:ascii="Corbel" w:hAnsi="Corbel"/>
              </w:rPr>
              <w:t>Explore options to build a purpose built support accommodation complex for Aboriginal and Torres Strait Islander older people</w:t>
            </w:r>
          </w:p>
        </w:tc>
        <w:tc>
          <w:tcPr>
            <w:tcW w:w="1583" w:type="dxa"/>
            <w:tcBorders>
              <w:top w:val="single" w:sz="8" w:space="0" w:color="4F81BD"/>
              <w:left w:val="single" w:sz="8" w:space="0" w:color="4F81BD"/>
              <w:bottom w:val="single" w:sz="8" w:space="0" w:color="4F81BD"/>
              <w:right w:val="single" w:sz="8" w:space="0" w:color="4F81BD"/>
            </w:tcBorders>
          </w:tcPr>
          <w:p w14:paraId="6958EA62" w14:textId="77777777" w:rsidR="007A4B6D" w:rsidRPr="000A3E78" w:rsidRDefault="007A4B6D" w:rsidP="00AF76A1">
            <w:pPr>
              <w:spacing w:line="276" w:lineRule="auto"/>
              <w:jc w:val="left"/>
            </w:pPr>
          </w:p>
          <w:p w14:paraId="6958EA63" w14:textId="77777777" w:rsidR="007A4B6D" w:rsidRPr="000A3E78" w:rsidRDefault="007A4B6D" w:rsidP="00AF76A1">
            <w:pPr>
              <w:spacing w:line="276" w:lineRule="auto"/>
              <w:jc w:val="left"/>
            </w:pPr>
            <w:r w:rsidRPr="000A3E78">
              <w:t>Indigenous Australians</w:t>
            </w:r>
          </w:p>
        </w:tc>
        <w:tc>
          <w:tcPr>
            <w:tcW w:w="1559" w:type="dxa"/>
            <w:tcBorders>
              <w:top w:val="single" w:sz="8" w:space="0" w:color="4F81BD"/>
              <w:left w:val="single" w:sz="8" w:space="0" w:color="4F81BD"/>
              <w:bottom w:val="single" w:sz="8" w:space="0" w:color="4F81BD"/>
              <w:right w:val="single" w:sz="8" w:space="0" w:color="4F81BD"/>
            </w:tcBorders>
          </w:tcPr>
          <w:p w14:paraId="6958EA64" w14:textId="77777777" w:rsidR="007A4B6D" w:rsidRPr="000A3E78" w:rsidRDefault="007A4B6D" w:rsidP="00AF76A1">
            <w:pPr>
              <w:spacing w:line="276" w:lineRule="auto"/>
              <w:jc w:val="left"/>
            </w:pPr>
            <w:r>
              <w:t>Service Funding Agreements in place until 30 June 2019.</w:t>
            </w:r>
          </w:p>
        </w:tc>
      </w:tr>
      <w:tr w:rsidR="007A4B6D" w:rsidRPr="000A3E78" w14:paraId="6958EA71" w14:textId="77777777" w:rsidTr="00E93818">
        <w:trPr>
          <w:trHeight w:val="1171"/>
          <w:tblHeader/>
        </w:trPr>
        <w:tc>
          <w:tcPr>
            <w:tcW w:w="2400" w:type="dxa"/>
            <w:tcBorders>
              <w:top w:val="single" w:sz="8" w:space="0" w:color="4F81BD"/>
              <w:left w:val="single" w:sz="8" w:space="0" w:color="4F81BD"/>
              <w:bottom w:val="single" w:sz="8" w:space="0" w:color="4F81BD"/>
              <w:right w:val="single" w:sz="8" w:space="0" w:color="4F81BD"/>
            </w:tcBorders>
          </w:tcPr>
          <w:p w14:paraId="6958EA66" w14:textId="77777777" w:rsidR="007A4B6D" w:rsidRPr="000A3E78" w:rsidRDefault="007A4B6D" w:rsidP="00CE2CAB">
            <w:pPr>
              <w:jc w:val="left"/>
            </w:pPr>
            <w:r w:rsidRPr="000A3E78">
              <w:t>Provide support which contributes to a reduction in the incidence of homelessness, including repeat homelessness.</w:t>
            </w:r>
          </w:p>
        </w:tc>
        <w:tc>
          <w:tcPr>
            <w:tcW w:w="4371" w:type="dxa"/>
            <w:tcBorders>
              <w:top w:val="single" w:sz="8" w:space="0" w:color="4F81BD"/>
              <w:left w:val="single" w:sz="8" w:space="0" w:color="4F81BD"/>
              <w:bottom w:val="single" w:sz="8" w:space="0" w:color="4F81BD"/>
              <w:right w:val="single" w:sz="8" w:space="0" w:color="4F81BD"/>
            </w:tcBorders>
          </w:tcPr>
          <w:p w14:paraId="6958EA67" w14:textId="77777777" w:rsidR="007A4B6D" w:rsidRPr="004E4E2D" w:rsidRDefault="007A4B6D" w:rsidP="00F20732">
            <w:pPr>
              <w:pStyle w:val="ListParagraph"/>
              <w:numPr>
                <w:ilvl w:val="0"/>
                <w:numId w:val="10"/>
              </w:numPr>
              <w:ind w:left="328"/>
              <w:rPr>
                <w:rFonts w:ascii="Corbel" w:hAnsi="Corbel"/>
                <w:szCs w:val="23"/>
              </w:rPr>
            </w:pPr>
            <w:r w:rsidRPr="004E4E2D">
              <w:rPr>
                <w:rFonts w:ascii="Corbel" w:hAnsi="Corbel"/>
              </w:rPr>
              <w:t>Strengthening</w:t>
            </w:r>
            <w:r w:rsidRPr="004E4E2D">
              <w:rPr>
                <w:rFonts w:ascii="Corbel" w:hAnsi="Corbel"/>
                <w:szCs w:val="23"/>
              </w:rPr>
              <w:t xml:space="preserve"> support for households to sustain tenancies and prevent homelessness.  </w:t>
            </w:r>
          </w:p>
          <w:p w14:paraId="6958EA68" w14:textId="77777777" w:rsidR="007A4B6D" w:rsidRPr="004E4E2D" w:rsidRDefault="007A4B6D" w:rsidP="00F20732">
            <w:pPr>
              <w:pStyle w:val="ListParagraph"/>
              <w:numPr>
                <w:ilvl w:val="0"/>
                <w:numId w:val="10"/>
              </w:numPr>
              <w:ind w:left="328"/>
              <w:rPr>
                <w:rFonts w:ascii="Corbel" w:hAnsi="Corbel"/>
              </w:rPr>
            </w:pPr>
            <w:r w:rsidRPr="004E4E2D">
              <w:rPr>
                <w:rFonts w:ascii="Corbel" w:hAnsi="Corbel"/>
              </w:rPr>
              <w:t xml:space="preserve">Long term supportive accommodation for those who need it. </w:t>
            </w:r>
          </w:p>
          <w:p w14:paraId="6958EA69" w14:textId="77777777" w:rsidR="007A4B6D" w:rsidRPr="004E4E2D" w:rsidRDefault="007A4B6D" w:rsidP="00F20732">
            <w:pPr>
              <w:pStyle w:val="ListParagraph"/>
              <w:numPr>
                <w:ilvl w:val="0"/>
                <w:numId w:val="10"/>
              </w:numPr>
              <w:ind w:left="328"/>
              <w:rPr>
                <w:rFonts w:ascii="Corbel" w:hAnsi="Corbel"/>
              </w:rPr>
            </w:pPr>
            <w:r w:rsidRPr="004E4E2D">
              <w:rPr>
                <w:rFonts w:ascii="Corbel" w:hAnsi="Corbel"/>
              </w:rPr>
              <w:t xml:space="preserve">Provide </w:t>
            </w:r>
            <w:r w:rsidRPr="004E4E2D">
              <w:rPr>
                <w:rFonts w:ascii="Corbel" w:hAnsi="Corbel"/>
                <w:szCs w:val="23"/>
              </w:rPr>
              <w:t>early</w:t>
            </w:r>
            <w:r w:rsidRPr="004E4E2D">
              <w:rPr>
                <w:rFonts w:ascii="Corbel" w:hAnsi="Corbel"/>
              </w:rPr>
              <w:t xml:space="preserve"> intervention and outreach support to those at risk of homelessness to maintain housing and assist service users to access sustainable housing.</w:t>
            </w:r>
          </w:p>
          <w:p w14:paraId="6958EA6A" w14:textId="77777777" w:rsidR="007A4B6D" w:rsidRPr="004E4E2D" w:rsidRDefault="007A4B6D" w:rsidP="00F20732">
            <w:pPr>
              <w:pStyle w:val="ListParagraph"/>
              <w:numPr>
                <w:ilvl w:val="0"/>
                <w:numId w:val="10"/>
              </w:numPr>
              <w:ind w:left="328"/>
              <w:rPr>
                <w:rFonts w:ascii="Corbel" w:hAnsi="Corbel"/>
              </w:rPr>
            </w:pPr>
            <w:r w:rsidRPr="004E4E2D">
              <w:rPr>
                <w:rFonts w:ascii="Corbel" w:hAnsi="Corbel"/>
                <w:szCs w:val="23"/>
              </w:rPr>
              <w:t>Undertaking</w:t>
            </w:r>
            <w:r w:rsidRPr="004E4E2D">
              <w:rPr>
                <w:rFonts w:ascii="Corbel" w:hAnsi="Corbel"/>
              </w:rPr>
              <w:t xml:space="preserve"> research into the support needs and built form for people who require long term supportive accommodation to remain out of homelessness.</w:t>
            </w:r>
          </w:p>
        </w:tc>
        <w:tc>
          <w:tcPr>
            <w:tcW w:w="1583" w:type="dxa"/>
            <w:tcBorders>
              <w:top w:val="single" w:sz="8" w:space="0" w:color="4F81BD"/>
              <w:left w:val="single" w:sz="8" w:space="0" w:color="4F81BD"/>
              <w:bottom w:val="single" w:sz="8" w:space="0" w:color="4F81BD"/>
              <w:right w:val="single" w:sz="8" w:space="0" w:color="4F81BD"/>
            </w:tcBorders>
          </w:tcPr>
          <w:p w14:paraId="6958EA6B" w14:textId="77777777" w:rsidR="007A4B6D" w:rsidRPr="000A3E78" w:rsidRDefault="007A4B6D" w:rsidP="00F20732">
            <w:pPr>
              <w:spacing w:line="276" w:lineRule="auto"/>
              <w:jc w:val="left"/>
            </w:pPr>
          </w:p>
          <w:p w14:paraId="6958EA6C" w14:textId="77777777" w:rsidR="007A4B6D" w:rsidRPr="000A3E78" w:rsidRDefault="007A4B6D" w:rsidP="00F20732">
            <w:pPr>
              <w:spacing w:line="276" w:lineRule="auto"/>
              <w:jc w:val="left"/>
            </w:pPr>
            <w:r w:rsidRPr="000A3E78">
              <w:t>People experiencing repeat homelessness</w:t>
            </w:r>
          </w:p>
        </w:tc>
        <w:tc>
          <w:tcPr>
            <w:tcW w:w="1559" w:type="dxa"/>
            <w:tcBorders>
              <w:top w:val="single" w:sz="8" w:space="0" w:color="4F81BD"/>
              <w:left w:val="single" w:sz="8" w:space="0" w:color="4F81BD"/>
              <w:bottom w:val="single" w:sz="8" w:space="0" w:color="4F81BD"/>
              <w:right w:val="single" w:sz="8" w:space="0" w:color="4F81BD"/>
            </w:tcBorders>
          </w:tcPr>
          <w:p w14:paraId="6958EA6D" w14:textId="77777777" w:rsidR="007A4B6D" w:rsidRDefault="007A4B6D" w:rsidP="00F20732">
            <w:pPr>
              <w:spacing w:line="276" w:lineRule="auto"/>
              <w:jc w:val="left"/>
            </w:pPr>
            <w:r>
              <w:t>Service Funding Agreements in place until 30 June 2019.</w:t>
            </w:r>
          </w:p>
          <w:p w14:paraId="6958EA6E" w14:textId="77777777" w:rsidR="007A4B6D" w:rsidRDefault="007A4B6D" w:rsidP="00F20732">
            <w:pPr>
              <w:spacing w:line="276" w:lineRule="auto"/>
              <w:jc w:val="left"/>
            </w:pPr>
          </w:p>
          <w:p w14:paraId="6958EA6F" w14:textId="77777777" w:rsidR="007A4B6D" w:rsidRDefault="007A4B6D" w:rsidP="00F20732">
            <w:pPr>
              <w:spacing w:line="276" w:lineRule="auto"/>
              <w:jc w:val="left"/>
            </w:pPr>
          </w:p>
          <w:p w14:paraId="6958EA70" w14:textId="77777777" w:rsidR="007A4B6D" w:rsidRPr="000A3E78" w:rsidRDefault="007A4B6D" w:rsidP="00F20732">
            <w:pPr>
              <w:spacing w:line="276" w:lineRule="auto"/>
              <w:jc w:val="left"/>
            </w:pPr>
            <w:r>
              <w:t>Research to be finalised by June 2018</w:t>
            </w:r>
          </w:p>
        </w:tc>
      </w:tr>
      <w:tr w:rsidR="007A4B6D" w:rsidRPr="000A3E78" w14:paraId="6958EA78" w14:textId="77777777" w:rsidTr="00E93818">
        <w:trPr>
          <w:trHeight w:val="1171"/>
          <w:tblHeader/>
        </w:trPr>
        <w:tc>
          <w:tcPr>
            <w:tcW w:w="2400" w:type="dxa"/>
            <w:tcBorders>
              <w:top w:val="single" w:sz="8" w:space="0" w:color="4F81BD"/>
              <w:left w:val="single" w:sz="8" w:space="0" w:color="4F81BD"/>
              <w:bottom w:val="single" w:sz="8" w:space="0" w:color="4F81BD"/>
              <w:right w:val="single" w:sz="8" w:space="0" w:color="4F81BD"/>
            </w:tcBorders>
          </w:tcPr>
          <w:p w14:paraId="6958EA72" w14:textId="77777777" w:rsidR="007A4B6D" w:rsidRPr="000A3E78" w:rsidRDefault="007A4B6D" w:rsidP="00CE2CAB">
            <w:pPr>
              <w:jc w:val="left"/>
              <w:rPr>
                <w:szCs w:val="23"/>
                <w:lang w:eastAsia="en-US"/>
              </w:rPr>
            </w:pPr>
            <w:r w:rsidRPr="000A3E78">
              <w:rPr>
                <w:szCs w:val="23"/>
                <w:lang w:eastAsia="en-US"/>
              </w:rPr>
              <w:t xml:space="preserve">Reducing homelessness </w:t>
            </w:r>
            <w:r w:rsidRPr="000A3E78">
              <w:rPr>
                <w:color w:val="auto"/>
                <w:szCs w:val="23"/>
                <w:lang w:eastAsia="en-US"/>
              </w:rPr>
              <w:t xml:space="preserve">amongst those exiting </w:t>
            </w:r>
            <w:r w:rsidRPr="000A3E78">
              <w:rPr>
                <w:color w:val="auto"/>
              </w:rPr>
              <w:t xml:space="preserve">care and institutions, including </w:t>
            </w:r>
            <w:r w:rsidRPr="000A3E78">
              <w:rPr>
                <w:color w:val="auto"/>
                <w:szCs w:val="23"/>
                <w:lang w:eastAsia="en-US"/>
              </w:rPr>
              <w:t>the corrections system.</w:t>
            </w:r>
          </w:p>
        </w:tc>
        <w:tc>
          <w:tcPr>
            <w:tcW w:w="4371" w:type="dxa"/>
            <w:tcBorders>
              <w:top w:val="single" w:sz="8" w:space="0" w:color="4F81BD"/>
              <w:left w:val="single" w:sz="8" w:space="0" w:color="4F81BD"/>
              <w:bottom w:val="single" w:sz="8" w:space="0" w:color="4F81BD"/>
              <w:right w:val="single" w:sz="8" w:space="0" w:color="4F81BD"/>
            </w:tcBorders>
          </w:tcPr>
          <w:p w14:paraId="6958EA73" w14:textId="77777777" w:rsidR="007A4B6D" w:rsidRPr="004E4E2D" w:rsidRDefault="007A4B6D" w:rsidP="00F20732">
            <w:pPr>
              <w:pStyle w:val="ListParagraph"/>
              <w:numPr>
                <w:ilvl w:val="0"/>
                <w:numId w:val="10"/>
              </w:numPr>
              <w:ind w:left="328"/>
              <w:rPr>
                <w:rFonts w:ascii="Corbel" w:hAnsi="Corbel"/>
              </w:rPr>
            </w:pPr>
            <w:r w:rsidRPr="004E4E2D">
              <w:rPr>
                <w:rFonts w:ascii="Corbel" w:hAnsi="Corbel"/>
              </w:rPr>
              <w:t xml:space="preserve">A better coordinated system across ACT </w:t>
            </w:r>
            <w:r w:rsidRPr="004E4E2D">
              <w:rPr>
                <w:rFonts w:ascii="Corbel" w:hAnsi="Corbel"/>
                <w:szCs w:val="23"/>
              </w:rPr>
              <w:t>Government</w:t>
            </w:r>
            <w:r w:rsidRPr="004E4E2D">
              <w:rPr>
                <w:rFonts w:ascii="Corbel" w:hAnsi="Corbel"/>
              </w:rPr>
              <w:t xml:space="preserve"> by improving linkages with existing support programs for people who are homeless or at risk (including current managed accommodation for men exiting the corrections system</w:t>
            </w:r>
          </w:p>
        </w:tc>
        <w:tc>
          <w:tcPr>
            <w:tcW w:w="1583" w:type="dxa"/>
            <w:tcBorders>
              <w:top w:val="single" w:sz="8" w:space="0" w:color="4F81BD"/>
              <w:left w:val="single" w:sz="8" w:space="0" w:color="4F81BD"/>
              <w:bottom w:val="single" w:sz="8" w:space="0" w:color="4F81BD"/>
              <w:right w:val="single" w:sz="8" w:space="0" w:color="4F81BD"/>
            </w:tcBorders>
          </w:tcPr>
          <w:p w14:paraId="6958EA74" w14:textId="77777777" w:rsidR="007A4B6D" w:rsidRPr="000A3E78" w:rsidRDefault="007A4B6D" w:rsidP="00AF76A1">
            <w:pPr>
              <w:spacing w:line="276" w:lineRule="auto"/>
              <w:jc w:val="left"/>
            </w:pPr>
          </w:p>
          <w:p w14:paraId="6958EA75" w14:textId="51C544DB" w:rsidR="007A4B6D" w:rsidRPr="000A3E78" w:rsidRDefault="007A4B6D" w:rsidP="00AF76A1">
            <w:pPr>
              <w:spacing w:line="276" w:lineRule="auto"/>
              <w:jc w:val="left"/>
            </w:pPr>
            <w:r w:rsidRPr="000A3E78">
              <w:t>People exiting instituti</w:t>
            </w:r>
            <w:r w:rsidR="004C1038">
              <w:t>ons and care into homelessness</w:t>
            </w:r>
          </w:p>
        </w:tc>
        <w:tc>
          <w:tcPr>
            <w:tcW w:w="1559" w:type="dxa"/>
            <w:tcBorders>
              <w:top w:val="single" w:sz="8" w:space="0" w:color="4F81BD"/>
              <w:left w:val="single" w:sz="8" w:space="0" w:color="4F81BD"/>
              <w:bottom w:val="single" w:sz="8" w:space="0" w:color="4F81BD"/>
              <w:right w:val="single" w:sz="8" w:space="0" w:color="4F81BD"/>
            </w:tcBorders>
          </w:tcPr>
          <w:p w14:paraId="6958EA76" w14:textId="77777777" w:rsidR="007A4B6D" w:rsidRDefault="007A4B6D" w:rsidP="007A4B6D">
            <w:pPr>
              <w:spacing w:line="276" w:lineRule="auto"/>
              <w:jc w:val="left"/>
            </w:pPr>
            <w:r>
              <w:t>Service Funding Agreements in place until 30 June 2019.</w:t>
            </w:r>
          </w:p>
          <w:p w14:paraId="6958EA77" w14:textId="77777777" w:rsidR="007A4B6D" w:rsidRPr="000A3E78" w:rsidRDefault="007A4B6D" w:rsidP="00AF76A1">
            <w:pPr>
              <w:spacing w:line="276" w:lineRule="auto"/>
              <w:jc w:val="left"/>
            </w:pPr>
          </w:p>
        </w:tc>
      </w:tr>
      <w:tr w:rsidR="007A4B6D" w14:paraId="6958EA7F" w14:textId="77777777" w:rsidTr="00E93818">
        <w:trPr>
          <w:trHeight w:val="1171"/>
          <w:tblHeader/>
        </w:trPr>
        <w:tc>
          <w:tcPr>
            <w:tcW w:w="2400" w:type="dxa"/>
            <w:tcBorders>
              <w:top w:val="single" w:sz="8" w:space="0" w:color="4F81BD"/>
              <w:left w:val="single" w:sz="8" w:space="0" w:color="4F81BD"/>
              <w:bottom w:val="single" w:sz="8" w:space="0" w:color="4F81BD"/>
              <w:right w:val="single" w:sz="8" w:space="0" w:color="4F81BD"/>
            </w:tcBorders>
          </w:tcPr>
          <w:p w14:paraId="6958EA79" w14:textId="77777777" w:rsidR="007A4B6D" w:rsidRPr="000A3E78" w:rsidRDefault="007A4B6D" w:rsidP="00CE2CAB">
            <w:pPr>
              <w:jc w:val="left"/>
            </w:pPr>
            <w:r w:rsidRPr="000A3E78">
              <w:t>Better understand the support needs of older people who are at risk of, or are experiencing, homelessness.</w:t>
            </w:r>
          </w:p>
        </w:tc>
        <w:tc>
          <w:tcPr>
            <w:tcW w:w="4371" w:type="dxa"/>
            <w:tcBorders>
              <w:top w:val="single" w:sz="8" w:space="0" w:color="4F81BD"/>
              <w:left w:val="single" w:sz="8" w:space="0" w:color="4F81BD"/>
              <w:bottom w:val="single" w:sz="8" w:space="0" w:color="4F81BD"/>
              <w:right w:val="single" w:sz="8" w:space="0" w:color="4F81BD"/>
            </w:tcBorders>
          </w:tcPr>
          <w:p w14:paraId="6958EA7A" w14:textId="77777777" w:rsidR="007A4B6D" w:rsidRPr="004E4E2D" w:rsidRDefault="007A4B6D" w:rsidP="00803E02">
            <w:pPr>
              <w:pStyle w:val="ListParagraph"/>
              <w:numPr>
                <w:ilvl w:val="0"/>
                <w:numId w:val="10"/>
              </w:numPr>
              <w:ind w:left="328"/>
              <w:rPr>
                <w:rFonts w:ascii="Corbel" w:hAnsi="Corbel"/>
              </w:rPr>
            </w:pPr>
            <w:r w:rsidRPr="004E4E2D">
              <w:rPr>
                <w:rFonts w:ascii="Corbel" w:hAnsi="Corbel"/>
              </w:rPr>
              <w:t>Investigate affordable long-term accommodation options for older women at risk of or experiencing homelessness.</w:t>
            </w:r>
          </w:p>
        </w:tc>
        <w:tc>
          <w:tcPr>
            <w:tcW w:w="1583" w:type="dxa"/>
            <w:tcBorders>
              <w:top w:val="single" w:sz="8" w:space="0" w:color="4F81BD"/>
              <w:left w:val="single" w:sz="8" w:space="0" w:color="4F81BD"/>
              <w:bottom w:val="single" w:sz="8" w:space="0" w:color="4F81BD"/>
              <w:right w:val="single" w:sz="8" w:space="0" w:color="4F81BD"/>
            </w:tcBorders>
          </w:tcPr>
          <w:p w14:paraId="6958EA7B" w14:textId="77777777" w:rsidR="007A4B6D" w:rsidRPr="000A3E78" w:rsidRDefault="007A4B6D" w:rsidP="00AF76A1">
            <w:pPr>
              <w:spacing w:line="276" w:lineRule="auto"/>
              <w:jc w:val="left"/>
            </w:pPr>
          </w:p>
          <w:p w14:paraId="6958EA7C" w14:textId="77777777" w:rsidR="007A4B6D" w:rsidRDefault="007A4B6D" w:rsidP="00AF76A1">
            <w:pPr>
              <w:spacing w:line="276" w:lineRule="auto"/>
              <w:jc w:val="left"/>
            </w:pPr>
            <w:r w:rsidRPr="000A3E78">
              <w:t>Older people</w:t>
            </w:r>
          </w:p>
          <w:p w14:paraId="6958EA7D" w14:textId="77777777" w:rsidR="007A4B6D" w:rsidRDefault="007A4B6D" w:rsidP="00AF76A1">
            <w:pPr>
              <w:spacing w:line="276" w:lineRule="auto"/>
              <w:jc w:val="left"/>
            </w:pPr>
          </w:p>
        </w:tc>
        <w:tc>
          <w:tcPr>
            <w:tcW w:w="1559" w:type="dxa"/>
            <w:tcBorders>
              <w:top w:val="single" w:sz="8" w:space="0" w:color="4F81BD"/>
              <w:left w:val="single" w:sz="8" w:space="0" w:color="4F81BD"/>
              <w:bottom w:val="single" w:sz="8" w:space="0" w:color="4F81BD"/>
              <w:right w:val="single" w:sz="8" w:space="0" w:color="4F81BD"/>
            </w:tcBorders>
          </w:tcPr>
          <w:p w14:paraId="6958EA7E" w14:textId="77777777" w:rsidR="007A4B6D" w:rsidRPr="000A3E78" w:rsidRDefault="002F64D0" w:rsidP="00AF76A1">
            <w:pPr>
              <w:spacing w:line="276" w:lineRule="auto"/>
              <w:jc w:val="left"/>
            </w:pPr>
            <w:r w:rsidRPr="00E93818">
              <w:t>2018-19</w:t>
            </w:r>
          </w:p>
        </w:tc>
      </w:tr>
    </w:tbl>
    <w:p w14:paraId="6958EA80" w14:textId="48086C50" w:rsidR="00AF76A1" w:rsidRDefault="00AF76A1" w:rsidP="004E4E2D">
      <w:pPr>
        <w:pStyle w:val="ScheduleNumberedPara"/>
        <w:tabs>
          <w:tab w:val="left" w:pos="5247"/>
          <w:tab w:val="left" w:pos="6374"/>
        </w:tabs>
      </w:pPr>
    </w:p>
    <w:p w14:paraId="6958EA81" w14:textId="77777777" w:rsidR="00E14A37" w:rsidRDefault="00E14A37" w:rsidP="00E14A37">
      <w:pPr>
        <w:pStyle w:val="Heading1"/>
      </w:pPr>
      <w:r>
        <w:lastRenderedPageBreak/>
        <w:t>par</w:t>
      </w:r>
      <w:r w:rsidR="00AC2F15">
        <w:t>t 4 – Joint reform commitments</w:t>
      </w:r>
    </w:p>
    <w:p w14:paraId="6958EA82" w14:textId="77777777" w:rsidR="00A55015" w:rsidRPr="000A3E78" w:rsidRDefault="00A55015" w:rsidP="00A55015">
      <w:pPr>
        <w:pStyle w:val="Normalnumbered"/>
        <w:numPr>
          <w:ilvl w:val="0"/>
          <w:numId w:val="3"/>
        </w:numPr>
        <w:rPr>
          <w:color w:val="auto"/>
        </w:rPr>
      </w:pPr>
      <w:r w:rsidRPr="006F663A">
        <w:rPr>
          <w:color w:val="auto"/>
        </w:rPr>
        <w:t xml:space="preserve">The </w:t>
      </w:r>
      <w:r>
        <w:rPr>
          <w:color w:val="auto"/>
        </w:rPr>
        <w:t>ACT</w:t>
      </w:r>
      <w:r w:rsidRPr="006F663A">
        <w:rPr>
          <w:color w:val="auto"/>
        </w:rPr>
        <w:t xml:space="preserve"> and the Commonwealth will </w:t>
      </w:r>
      <w:r w:rsidR="00F169E3">
        <w:rPr>
          <w:color w:val="auto"/>
        </w:rPr>
        <w:t>explore</w:t>
      </w:r>
      <w:r w:rsidRPr="006F663A">
        <w:rPr>
          <w:color w:val="auto"/>
        </w:rPr>
        <w:t xml:space="preserve"> opportunities to share data and undertake agreed projects to share and link social housing and homeless</w:t>
      </w:r>
      <w:r w:rsidR="008D37E8">
        <w:rPr>
          <w:color w:val="auto"/>
        </w:rPr>
        <w:t xml:space="preserve">ness data with social security </w:t>
      </w:r>
      <w:r w:rsidRPr="006F663A">
        <w:rPr>
          <w:color w:val="auto"/>
        </w:rPr>
        <w:t>and other datasets</w:t>
      </w:r>
      <w:r>
        <w:rPr>
          <w:color w:val="auto"/>
        </w:rPr>
        <w:t>.</w:t>
      </w:r>
    </w:p>
    <w:p w14:paraId="6958EA83" w14:textId="77777777" w:rsidR="00695488" w:rsidRDefault="00E863B7" w:rsidP="003E00B6">
      <w:pPr>
        <w:pStyle w:val="Heading1"/>
      </w:pPr>
      <w:r>
        <w:t xml:space="preserve">Part 5 – </w:t>
      </w:r>
      <w:r w:rsidR="002F7595">
        <w:t>State-specific measurement</w:t>
      </w:r>
      <w:r w:rsidR="00695488">
        <w:t xml:space="preserve"> </w:t>
      </w:r>
    </w:p>
    <w:p w14:paraId="6958EA84" w14:textId="77777777" w:rsidR="00A55015" w:rsidRPr="00FE7D33" w:rsidRDefault="00A55015" w:rsidP="003F1442">
      <w:pPr>
        <w:pStyle w:val="Normalnumbered"/>
        <w:numPr>
          <w:ilvl w:val="0"/>
          <w:numId w:val="3"/>
        </w:numPr>
      </w:pPr>
      <w:r w:rsidRPr="001C63C0">
        <w:rPr>
          <w:color w:val="auto"/>
        </w:rPr>
        <w:t xml:space="preserve"> </w:t>
      </w:r>
      <w:r w:rsidR="00FE7D33">
        <w:t>State-specific indicators may be agreed between the Parties from time to time.</w:t>
      </w:r>
    </w:p>
    <w:p w14:paraId="6958EA85" w14:textId="77777777" w:rsidR="002526CD" w:rsidRDefault="002526CD" w:rsidP="002526CD">
      <w:pPr>
        <w:pStyle w:val="Heading1"/>
      </w:pPr>
      <w:r>
        <w:t>Part 6 – reporting</w:t>
      </w:r>
    </w:p>
    <w:p w14:paraId="6958EA86" w14:textId="77777777" w:rsidR="006E26FE" w:rsidRDefault="006E26FE" w:rsidP="00A147CA">
      <w:pPr>
        <w:pStyle w:val="Normalnumbered"/>
        <w:numPr>
          <w:ilvl w:val="0"/>
          <w:numId w:val="3"/>
        </w:numPr>
      </w:pPr>
      <w:r>
        <w:t xml:space="preserve">The ACT will report annually on the implementation of the reforms and initiatives agreed in Parts 2, 3 and 5 of this Schedule.  Reporting will be provided to the Commonwealth Minister with portfolio responsibility for housing and homelessness and will be made publicly available.  </w:t>
      </w:r>
    </w:p>
    <w:p w14:paraId="6958EA87" w14:textId="77777777" w:rsidR="006E26FE" w:rsidRDefault="006E26FE" w:rsidP="00A147CA">
      <w:pPr>
        <w:pStyle w:val="Normalnumbered"/>
        <w:numPr>
          <w:ilvl w:val="0"/>
          <w:numId w:val="3"/>
        </w:numPr>
      </w:pPr>
      <w:r>
        <w:t>Reporting will consist of the following:</w:t>
      </w:r>
    </w:p>
    <w:p w14:paraId="6958EA88" w14:textId="77777777" w:rsidR="00C00869" w:rsidRDefault="00CE6007" w:rsidP="006E26FE">
      <w:pPr>
        <w:pStyle w:val="Normalnumbered"/>
        <w:numPr>
          <w:ilvl w:val="1"/>
          <w:numId w:val="3"/>
        </w:numPr>
      </w:pPr>
      <w:r w:rsidRPr="00E834C6">
        <w:t>The ACT’</w:t>
      </w:r>
      <w:r w:rsidR="002662C1" w:rsidRPr="00E834C6">
        <w:t xml:space="preserve">s </w:t>
      </w:r>
      <w:r w:rsidR="00B82C2A" w:rsidRPr="00E834C6">
        <w:t xml:space="preserve">Community Services Directorate </w:t>
      </w:r>
      <w:r w:rsidR="002662C1" w:rsidRPr="00E834C6">
        <w:t>Annual R</w:t>
      </w:r>
      <w:r w:rsidRPr="00E834C6">
        <w:t xml:space="preserve">eport, released </w:t>
      </w:r>
      <w:r w:rsidR="00B82C2A" w:rsidRPr="00E834C6">
        <w:t xml:space="preserve">within </w:t>
      </w:r>
      <w:r w:rsidR="000A6713" w:rsidRPr="00E834C6">
        <w:t>15</w:t>
      </w:r>
      <w:r w:rsidR="000A6713">
        <w:t> </w:t>
      </w:r>
      <w:r w:rsidR="00B82C2A" w:rsidRPr="00E834C6">
        <w:t xml:space="preserve">weeks of the end of the reporting year </w:t>
      </w:r>
      <w:r w:rsidRPr="00E834C6">
        <w:t>each year</w:t>
      </w:r>
      <w:r w:rsidR="00B82C2A" w:rsidRPr="00E834C6">
        <w:t xml:space="preserve"> (mid-October)</w:t>
      </w:r>
      <w:r w:rsidRPr="00E834C6">
        <w:t xml:space="preserve">, provides comprehensive reporting on </w:t>
      </w:r>
      <w:r w:rsidR="00C00869">
        <w:t xml:space="preserve">the </w:t>
      </w:r>
      <w:r w:rsidRPr="00E834C6">
        <w:t>social housing and homelessness sectors and includes</w:t>
      </w:r>
      <w:r w:rsidRPr="00C80B05">
        <w:t xml:space="preserve"> key statistics and data</w:t>
      </w:r>
      <w:r w:rsidRPr="00E834C6">
        <w:t xml:space="preserve"> as well as strategic performance indicators. </w:t>
      </w:r>
      <w:r w:rsidR="002662C1" w:rsidRPr="00E834C6">
        <w:t xml:space="preserve"> This report will cover the implementation of social housing and homelessness reforms and initiatives outlined in Parts 2 and 3 of this agreement</w:t>
      </w:r>
      <w:r w:rsidR="006E26FE">
        <w:t>;</w:t>
      </w:r>
    </w:p>
    <w:p w14:paraId="6958EA89" w14:textId="77777777" w:rsidR="004E0CA6" w:rsidRPr="00E834C6" w:rsidRDefault="004E0CA6" w:rsidP="006E26FE">
      <w:pPr>
        <w:pStyle w:val="Normalnumbered"/>
        <w:numPr>
          <w:ilvl w:val="1"/>
          <w:numId w:val="3"/>
        </w:numPr>
      </w:pPr>
      <w:r w:rsidRPr="00E834C6">
        <w:t>The ACT’s Environment, Planning and Sustainable Development Directorate Annual Report, released within 15 weeks of the end of the reporting year each year (mid</w:t>
      </w:r>
      <w:r w:rsidR="00C00869">
        <w:noBreakHyphen/>
      </w:r>
      <w:r w:rsidRPr="00E834C6">
        <w:t>October), provides comprehensive reporting on land release, planning policy and planning delivery related to the broader housing market, including affordable housing initiatives. This report includes key statistics and data as well as strategic performance indicators and will cover the implementation of broader housing market reforms and initiatives outlined in Parts 2 and 3 of this agreement</w:t>
      </w:r>
      <w:r w:rsidR="006E26FE">
        <w:t>; and</w:t>
      </w:r>
    </w:p>
    <w:p w14:paraId="6958EA8A" w14:textId="77777777" w:rsidR="009928C2" w:rsidRDefault="006E26FE" w:rsidP="006E26FE">
      <w:pPr>
        <w:pStyle w:val="Normalnumbered"/>
        <w:numPr>
          <w:ilvl w:val="1"/>
          <w:numId w:val="3"/>
        </w:numPr>
      </w:pPr>
      <w:r>
        <w:t>Reporting on a</w:t>
      </w:r>
      <w:r w:rsidR="002662C1" w:rsidRPr="00E834C6">
        <w:t>ny remaining initiatives, not covered by</w:t>
      </w:r>
      <w:r w:rsidR="005427F1">
        <w:t xml:space="preserve"> the</w:t>
      </w:r>
      <w:r w:rsidR="002662C1" w:rsidRPr="00E834C6">
        <w:t xml:space="preserve"> </w:t>
      </w:r>
      <w:r>
        <w:t>above r</w:t>
      </w:r>
      <w:r w:rsidR="002662C1" w:rsidRPr="00E834C6">
        <w:t>eport</w:t>
      </w:r>
      <w:r w:rsidR="004E0CA6" w:rsidRPr="00E834C6">
        <w:t>s</w:t>
      </w:r>
      <w:r>
        <w:t>.</w:t>
      </w:r>
    </w:p>
    <w:p w14:paraId="6958EA8B" w14:textId="1E3C9D41" w:rsidR="00BC723D" w:rsidRDefault="00FE7D33" w:rsidP="003E00B6">
      <w:pPr>
        <w:pStyle w:val="Heading1"/>
      </w:pPr>
      <w:r>
        <w:t xml:space="preserve">Part 7 – </w:t>
      </w:r>
      <w:r w:rsidR="00BC723D">
        <w:t>other conditions</w:t>
      </w:r>
      <w:r w:rsidR="007D7061">
        <w:t>/priority policy areas</w:t>
      </w:r>
    </w:p>
    <w:p w14:paraId="6958EA8C" w14:textId="77777777" w:rsidR="00FB550E" w:rsidRDefault="00FE7D33" w:rsidP="00A147CA">
      <w:pPr>
        <w:pStyle w:val="Normalnumbered"/>
        <w:numPr>
          <w:ilvl w:val="0"/>
          <w:numId w:val="3"/>
        </w:numPr>
        <w:rPr>
          <w:color w:val="auto"/>
        </w:rPr>
      </w:pPr>
      <w:r>
        <w:t>Other conditions and/or priority policy areas may be agreed between the Parties from time to time</w:t>
      </w:r>
    </w:p>
    <w:p w14:paraId="6958EA8D" w14:textId="77777777" w:rsidR="00BC723D" w:rsidRPr="00FB550E" w:rsidRDefault="00FB550E" w:rsidP="00FB550E">
      <w:pPr>
        <w:spacing w:after="200" w:line="276" w:lineRule="auto"/>
        <w:jc w:val="left"/>
        <w:rPr>
          <w:rFonts w:eastAsiaTheme="minorHAnsi" w:cstheme="minorBidi"/>
          <w:color w:val="auto"/>
          <w:szCs w:val="22"/>
          <w:lang w:eastAsia="en-US"/>
        </w:rPr>
      </w:pPr>
      <w:r>
        <w:rPr>
          <w:color w:val="auto"/>
        </w:rPr>
        <w:br w:type="page"/>
      </w:r>
    </w:p>
    <w:p w14:paraId="6958EA8E" w14:textId="77777777" w:rsidR="003E00B6" w:rsidRDefault="00FE7D33" w:rsidP="003E00B6">
      <w:pPr>
        <w:pStyle w:val="Heading1"/>
      </w:pPr>
      <w:r>
        <w:lastRenderedPageBreak/>
        <w:t>Part 8</w:t>
      </w:r>
      <w:r w:rsidR="00695488">
        <w:t xml:space="preserve"> –</w:t>
      </w:r>
      <w:r w:rsidR="003E00B6">
        <w:t xml:space="preserve"> Sign Off</w:t>
      </w:r>
    </w:p>
    <w:p w14:paraId="6958EA8F" w14:textId="77777777" w:rsidR="003E00B6" w:rsidRDefault="003E00B6" w:rsidP="001C63C0">
      <w:pPr>
        <w:pStyle w:val="ScheduleNumberedPara"/>
        <w:numPr>
          <w:ilvl w:val="1"/>
          <w:numId w:val="19"/>
        </w:numPr>
        <w:tabs>
          <w:tab w:val="num" w:pos="2268"/>
        </w:tabs>
        <w:rPr>
          <w:color w:val="auto"/>
        </w:rPr>
      </w:pPr>
      <w:r>
        <w:rPr>
          <w:color w:val="auto"/>
        </w:rPr>
        <w:t>The Parties have confirmed their commitment to this agreement as follows:</w:t>
      </w:r>
    </w:p>
    <w:p w14:paraId="6958EA90" w14:textId="77777777" w:rsidR="003E00B6" w:rsidRDefault="003E00B6" w:rsidP="003E00B6">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for and on behalf of the Commonwealth of Australia by</w:t>
      </w:r>
    </w:p>
    <w:p w14:paraId="6958EA91" w14:textId="77777777" w:rsidR="003E00B6" w:rsidRDefault="003E00B6" w:rsidP="003E00B6">
      <w:pPr>
        <w:pStyle w:val="ScheduleNumberedPara"/>
        <w:rPr>
          <w:color w:val="auto"/>
          <w:szCs w:val="20"/>
        </w:rPr>
      </w:pPr>
    </w:p>
    <w:p w14:paraId="6958EA92" w14:textId="77777777" w:rsidR="003E00B6" w:rsidRDefault="003E00B6" w:rsidP="003E00B6">
      <w:pPr>
        <w:pStyle w:val="ScheduleNumberedPara"/>
        <w:rPr>
          <w:color w:val="auto"/>
        </w:rPr>
      </w:pPr>
    </w:p>
    <w:p w14:paraId="6958EA93" w14:textId="77777777" w:rsidR="003E00B6" w:rsidRDefault="003E00B6" w:rsidP="003E00B6">
      <w:pPr>
        <w:pStyle w:val="ScheduleNumberedPara"/>
        <w:rPr>
          <w:color w:val="auto"/>
        </w:rPr>
      </w:pPr>
    </w:p>
    <w:p w14:paraId="6958EA94" w14:textId="77777777" w:rsidR="003E00B6" w:rsidRDefault="003E00B6" w:rsidP="003E00B6">
      <w:pPr>
        <w:pStyle w:val="ScheduleNumberedPara"/>
        <w:tabs>
          <w:tab w:val="num" w:pos="2268"/>
        </w:tabs>
        <w:rPr>
          <w:color w:val="auto"/>
        </w:rPr>
      </w:pPr>
      <w:r>
        <w:rPr>
          <w:color w:val="auto"/>
        </w:rPr>
        <w:t>-----------------------------------------------------</w:t>
      </w:r>
    </w:p>
    <w:p w14:paraId="6958EA95" w14:textId="77777777" w:rsidR="003E00B6" w:rsidRDefault="003E00B6" w:rsidP="003E00B6">
      <w:pPr>
        <w:pStyle w:val="SingleParagraph"/>
        <w:rPr>
          <w:rStyle w:val="Bold"/>
        </w:rPr>
      </w:pPr>
      <w:r>
        <w:rPr>
          <w:rStyle w:val="Bold"/>
        </w:rPr>
        <w:t xml:space="preserve">The Honourable </w:t>
      </w:r>
      <w:r w:rsidR="00C06C95">
        <w:rPr>
          <w:rStyle w:val="Bold"/>
        </w:rPr>
        <w:t>Scott Morrison</w:t>
      </w:r>
      <w:r>
        <w:rPr>
          <w:rStyle w:val="Bold"/>
        </w:rPr>
        <w:t xml:space="preserve"> MP</w:t>
      </w:r>
    </w:p>
    <w:p w14:paraId="6958EA96" w14:textId="77777777" w:rsidR="003E00B6" w:rsidRDefault="00C06C95" w:rsidP="003E00B6">
      <w:pPr>
        <w:pStyle w:val="Position"/>
        <w:rPr>
          <w:lang w:val="en-GB"/>
        </w:rPr>
      </w:pPr>
      <w:r>
        <w:rPr>
          <w:lang w:val="en-GB"/>
        </w:rPr>
        <w:t>Treasurer</w:t>
      </w:r>
      <w:r w:rsidR="00983545">
        <w:rPr>
          <w:lang w:val="en-GB"/>
        </w:rPr>
        <w:t xml:space="preserve"> of the Commonwealth of Australia</w:t>
      </w:r>
    </w:p>
    <w:p w14:paraId="6958EA97" w14:textId="77777777" w:rsidR="00C15862" w:rsidRDefault="00C15862" w:rsidP="003E00B6">
      <w:pPr>
        <w:pStyle w:val="Position"/>
        <w:rPr>
          <w:lang w:val="en-GB"/>
        </w:rPr>
      </w:pPr>
    </w:p>
    <w:p w14:paraId="6958EA98" w14:textId="77777777" w:rsidR="003E00B6" w:rsidRDefault="004411F2" w:rsidP="003E00B6">
      <w:pPr>
        <w:pStyle w:val="ScheduleNumberedPara"/>
        <w:rPr>
          <w:lang w:val="en-GB"/>
        </w:rPr>
      </w:pPr>
      <w:r>
        <w:rPr>
          <w:lang w:val="en-GB"/>
        </w:rPr>
        <w:t xml:space="preserve">          June 2018</w:t>
      </w:r>
    </w:p>
    <w:p w14:paraId="6958EA99" w14:textId="77777777" w:rsidR="004411F2" w:rsidRDefault="004411F2" w:rsidP="003E00B6">
      <w:pPr>
        <w:pStyle w:val="ScheduleNumberedPara"/>
        <w:rPr>
          <w:lang w:val="en-GB"/>
        </w:rPr>
      </w:pPr>
    </w:p>
    <w:p w14:paraId="6958EA9A" w14:textId="77777777" w:rsidR="003E00B6" w:rsidRDefault="003E00B6" w:rsidP="003E00B6">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 xml:space="preserve">for and on behalf of </w:t>
      </w:r>
      <w:r w:rsidR="007C30F7">
        <w:rPr>
          <w:rFonts w:ascii="Times New Roman" w:hAnsi="Times New Roman"/>
          <w:i/>
          <w:color w:val="auto"/>
          <w:sz w:val="24"/>
          <w:szCs w:val="24"/>
        </w:rPr>
        <w:t>the ACT</w:t>
      </w:r>
      <w:r>
        <w:rPr>
          <w:rFonts w:ascii="Times New Roman" w:hAnsi="Times New Roman"/>
          <w:i/>
          <w:color w:val="auto"/>
          <w:sz w:val="24"/>
          <w:szCs w:val="24"/>
        </w:rPr>
        <w:t xml:space="preserve"> by</w:t>
      </w:r>
    </w:p>
    <w:p w14:paraId="6958EA9B" w14:textId="77777777" w:rsidR="003E00B6" w:rsidRDefault="003E00B6" w:rsidP="003E00B6">
      <w:pPr>
        <w:pStyle w:val="ScheduleNumberedPara"/>
        <w:rPr>
          <w:color w:val="auto"/>
          <w:szCs w:val="20"/>
        </w:rPr>
      </w:pPr>
    </w:p>
    <w:p w14:paraId="6958EA9C" w14:textId="77777777" w:rsidR="003E00B6" w:rsidRDefault="003E00B6" w:rsidP="003E00B6">
      <w:pPr>
        <w:pStyle w:val="ScheduleNumberedPara"/>
        <w:rPr>
          <w:color w:val="auto"/>
        </w:rPr>
      </w:pPr>
    </w:p>
    <w:p w14:paraId="6958EA9D" w14:textId="77777777" w:rsidR="003E00B6" w:rsidRDefault="003E00B6" w:rsidP="003E00B6">
      <w:pPr>
        <w:pStyle w:val="ScheduleNumberedPara"/>
        <w:rPr>
          <w:color w:val="auto"/>
        </w:rPr>
      </w:pPr>
    </w:p>
    <w:p w14:paraId="6958EA9E" w14:textId="77777777" w:rsidR="003E00B6" w:rsidRDefault="003E00B6" w:rsidP="003E00B6">
      <w:pPr>
        <w:pStyle w:val="ScheduleNumberedPara"/>
        <w:tabs>
          <w:tab w:val="num" w:pos="2268"/>
        </w:tabs>
        <w:rPr>
          <w:color w:val="auto"/>
        </w:rPr>
      </w:pPr>
      <w:r>
        <w:rPr>
          <w:color w:val="auto"/>
        </w:rPr>
        <w:t>-----------------------------------------------------</w:t>
      </w:r>
    </w:p>
    <w:p w14:paraId="6958EA9F" w14:textId="77777777" w:rsidR="003E00B6" w:rsidRDefault="00C06C95" w:rsidP="003E00B6">
      <w:pPr>
        <w:pStyle w:val="SingleParagraph"/>
        <w:rPr>
          <w:rStyle w:val="Bold"/>
        </w:rPr>
      </w:pPr>
      <w:r>
        <w:rPr>
          <w:rStyle w:val="Bold"/>
        </w:rPr>
        <w:t>Andrew Barr MLA</w:t>
      </w:r>
    </w:p>
    <w:p w14:paraId="6958EAA0" w14:textId="77777777" w:rsidR="00C15862" w:rsidRDefault="00C06C95" w:rsidP="003E00B6">
      <w:pPr>
        <w:pStyle w:val="Position"/>
        <w:rPr>
          <w:lang w:val="en-GB"/>
        </w:rPr>
      </w:pPr>
      <w:r>
        <w:rPr>
          <w:lang w:val="en-GB"/>
        </w:rPr>
        <w:t xml:space="preserve">Chief Minister </w:t>
      </w:r>
      <w:r w:rsidR="007C2671">
        <w:rPr>
          <w:lang w:val="en-GB"/>
        </w:rPr>
        <w:t>of</w:t>
      </w:r>
      <w:r>
        <w:rPr>
          <w:lang w:val="en-GB"/>
        </w:rPr>
        <w:t xml:space="preserve"> the Australian Capital Territory</w:t>
      </w:r>
    </w:p>
    <w:p w14:paraId="6958EAA1" w14:textId="77777777" w:rsidR="003E00B6" w:rsidRDefault="003E00B6" w:rsidP="003E00B6">
      <w:pPr>
        <w:pStyle w:val="Position"/>
        <w:rPr>
          <w:lang w:val="en-GB"/>
        </w:rPr>
      </w:pPr>
    </w:p>
    <w:p w14:paraId="6958EAA2" w14:textId="77777777" w:rsidR="004411F2" w:rsidRDefault="004411F2" w:rsidP="004411F2">
      <w:pPr>
        <w:pStyle w:val="ScheduleNumberedPara"/>
        <w:rPr>
          <w:lang w:val="en-GB"/>
        </w:rPr>
      </w:pPr>
      <w:r>
        <w:rPr>
          <w:lang w:val="en-GB"/>
        </w:rPr>
        <w:t xml:space="preserve">            June 2018</w:t>
      </w:r>
    </w:p>
    <w:p w14:paraId="6958EAA3" w14:textId="77777777" w:rsidR="003E00B6" w:rsidRDefault="003E00B6" w:rsidP="003E00B6"/>
    <w:p w14:paraId="6958EAA4" w14:textId="77777777" w:rsidR="00CF683F" w:rsidRPr="003E00B6" w:rsidRDefault="00CF683F" w:rsidP="003E00B6"/>
    <w:sectPr w:rsidR="00CF683F" w:rsidRPr="003E00B6" w:rsidSect="00490C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8EAA8" w14:textId="77777777" w:rsidR="00D25423" w:rsidRDefault="00D25423" w:rsidP="00066850">
      <w:pPr>
        <w:spacing w:after="0" w:line="240" w:lineRule="auto"/>
      </w:pPr>
      <w:r>
        <w:separator/>
      </w:r>
    </w:p>
  </w:endnote>
  <w:endnote w:type="continuationSeparator" w:id="0">
    <w:p w14:paraId="6958EAA9" w14:textId="77777777" w:rsidR="00D25423" w:rsidRDefault="00D25423" w:rsidP="00066850">
      <w:pPr>
        <w:spacing w:after="0" w:line="240" w:lineRule="auto"/>
      </w:pPr>
      <w:r>
        <w:continuationSeparator/>
      </w:r>
    </w:p>
  </w:endnote>
  <w:endnote w:type="continuationNotice" w:id="1">
    <w:p w14:paraId="6958EAAA" w14:textId="77777777" w:rsidR="00D25423" w:rsidRDefault="00D25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EAA5" w14:textId="77777777" w:rsidR="00D25423" w:rsidRDefault="00D25423" w:rsidP="00066850">
      <w:pPr>
        <w:spacing w:after="0" w:line="240" w:lineRule="auto"/>
      </w:pPr>
      <w:r>
        <w:separator/>
      </w:r>
    </w:p>
  </w:footnote>
  <w:footnote w:type="continuationSeparator" w:id="0">
    <w:p w14:paraId="6958EAA6" w14:textId="77777777" w:rsidR="00D25423" w:rsidRDefault="00D25423" w:rsidP="00066850">
      <w:pPr>
        <w:spacing w:after="0" w:line="240" w:lineRule="auto"/>
      </w:pPr>
      <w:r>
        <w:continuationSeparator/>
      </w:r>
    </w:p>
  </w:footnote>
  <w:footnote w:type="continuationNotice" w:id="1">
    <w:p w14:paraId="6958EAA7" w14:textId="77777777" w:rsidR="00D25423" w:rsidRDefault="00D2542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3A0516F"/>
    <w:multiLevelType w:val="hybridMultilevel"/>
    <w:tmpl w:val="943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EC8"/>
    <w:multiLevelType w:val="multilevel"/>
    <w:tmpl w:val="901AB650"/>
    <w:lvl w:ilvl="0">
      <w:start w:val="1"/>
      <w:numFmt w:val="upperLetter"/>
      <w:suff w:val="nothing"/>
      <w:lvlText w:val="%1"/>
      <w:lvlJc w:val="left"/>
      <w:pPr>
        <w:ind w:left="0" w:firstLine="0"/>
      </w:pPr>
      <w:rPr>
        <w:rFonts w:cs="Times New Roman" w:hint="default"/>
      </w:rPr>
    </w:lvl>
    <w:lvl w:ilvl="1">
      <w:start w:val="27"/>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nsid w:val="043F0631"/>
    <w:multiLevelType w:val="hybridMultilevel"/>
    <w:tmpl w:val="8132C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5C7851"/>
    <w:multiLevelType w:val="multilevel"/>
    <w:tmpl w:val="CF3E1F74"/>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EE69D9"/>
    <w:multiLevelType w:val="hybridMultilevel"/>
    <w:tmpl w:val="0B26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410C4C"/>
    <w:multiLevelType w:val="hybridMultilevel"/>
    <w:tmpl w:val="DA9A0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793A41"/>
    <w:multiLevelType w:val="hybridMultilevel"/>
    <w:tmpl w:val="3A82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C8418F"/>
    <w:multiLevelType w:val="hybridMultilevel"/>
    <w:tmpl w:val="ADE25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DF175D"/>
    <w:multiLevelType w:val="hybridMultilevel"/>
    <w:tmpl w:val="FFB67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3F7E5E"/>
    <w:multiLevelType w:val="hybridMultilevel"/>
    <w:tmpl w:val="595A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D914E7"/>
    <w:multiLevelType w:val="hybridMultilevel"/>
    <w:tmpl w:val="1264F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3D10C3"/>
    <w:multiLevelType w:val="multilevel"/>
    <w:tmpl w:val="E522F738"/>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67958A1"/>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567"/>
        </w:tabs>
        <w:ind w:left="567"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14">
    <w:nsid w:val="4E2947D9"/>
    <w:multiLevelType w:val="hybridMultilevel"/>
    <w:tmpl w:val="A81E36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55514557"/>
    <w:multiLevelType w:val="hybridMultilevel"/>
    <w:tmpl w:val="C8D4E15E"/>
    <w:lvl w:ilvl="0" w:tplc="660EB736">
      <w:start w:val="1"/>
      <w:numFmt w:val="lowerLetter"/>
      <w:lvlText w:val="(%1)"/>
      <w:lvlJc w:val="left"/>
      <w:pPr>
        <w:ind w:left="1287" w:hanging="360"/>
      </w:pPr>
      <w:rPr>
        <w:rFonts w:cs="Times New Roman"/>
      </w:rPr>
    </w:lvl>
    <w:lvl w:ilvl="1" w:tplc="0C090019">
      <w:start w:val="1"/>
      <w:numFmt w:val="lowerLetter"/>
      <w:lvlText w:val="%2."/>
      <w:lvlJc w:val="left"/>
      <w:pPr>
        <w:ind w:left="2007" w:hanging="360"/>
      </w:pPr>
      <w:rPr>
        <w:rFonts w:cs="Times New Roman"/>
      </w:rPr>
    </w:lvl>
    <w:lvl w:ilvl="2" w:tplc="0C09001B">
      <w:start w:val="1"/>
      <w:numFmt w:val="lowerRoman"/>
      <w:lvlText w:val="%3."/>
      <w:lvlJc w:val="right"/>
      <w:pPr>
        <w:ind w:left="2727" w:hanging="180"/>
      </w:pPr>
      <w:rPr>
        <w:rFonts w:cs="Times New Roman"/>
      </w:rPr>
    </w:lvl>
    <w:lvl w:ilvl="3" w:tplc="0C09000F">
      <w:start w:val="1"/>
      <w:numFmt w:val="decimal"/>
      <w:lvlText w:val="%4."/>
      <w:lvlJc w:val="left"/>
      <w:pPr>
        <w:ind w:left="3447" w:hanging="360"/>
      </w:pPr>
      <w:rPr>
        <w:rFonts w:cs="Times New Roman"/>
      </w:rPr>
    </w:lvl>
    <w:lvl w:ilvl="4" w:tplc="0C090019">
      <w:start w:val="1"/>
      <w:numFmt w:val="lowerLetter"/>
      <w:lvlText w:val="%5."/>
      <w:lvlJc w:val="left"/>
      <w:pPr>
        <w:ind w:left="4167" w:hanging="360"/>
      </w:pPr>
      <w:rPr>
        <w:rFonts w:cs="Times New Roman"/>
      </w:rPr>
    </w:lvl>
    <w:lvl w:ilvl="5" w:tplc="0C09001B">
      <w:start w:val="1"/>
      <w:numFmt w:val="lowerRoman"/>
      <w:lvlText w:val="%6."/>
      <w:lvlJc w:val="right"/>
      <w:pPr>
        <w:ind w:left="4887" w:hanging="180"/>
      </w:pPr>
      <w:rPr>
        <w:rFonts w:cs="Times New Roman"/>
      </w:rPr>
    </w:lvl>
    <w:lvl w:ilvl="6" w:tplc="0C09000F">
      <w:start w:val="1"/>
      <w:numFmt w:val="decimal"/>
      <w:lvlText w:val="%7."/>
      <w:lvlJc w:val="left"/>
      <w:pPr>
        <w:ind w:left="5607" w:hanging="360"/>
      </w:pPr>
      <w:rPr>
        <w:rFonts w:cs="Times New Roman"/>
      </w:rPr>
    </w:lvl>
    <w:lvl w:ilvl="7" w:tplc="0C090019">
      <w:start w:val="1"/>
      <w:numFmt w:val="lowerLetter"/>
      <w:lvlText w:val="%8."/>
      <w:lvlJc w:val="left"/>
      <w:pPr>
        <w:ind w:left="6327" w:hanging="360"/>
      </w:pPr>
      <w:rPr>
        <w:rFonts w:cs="Times New Roman"/>
      </w:rPr>
    </w:lvl>
    <w:lvl w:ilvl="8" w:tplc="0C09001B">
      <w:start w:val="1"/>
      <w:numFmt w:val="lowerRoman"/>
      <w:lvlText w:val="%9."/>
      <w:lvlJc w:val="right"/>
      <w:pPr>
        <w:ind w:left="7047" w:hanging="180"/>
      </w:pPr>
      <w:rPr>
        <w:rFonts w:cs="Times New Roman"/>
      </w:rPr>
    </w:lvl>
  </w:abstractNum>
  <w:abstractNum w:abstractNumId="16">
    <w:nsid w:val="647D5EE3"/>
    <w:multiLevelType w:val="hybridMultilevel"/>
    <w:tmpl w:val="07C8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FC5141"/>
    <w:multiLevelType w:val="multilevel"/>
    <w:tmpl w:val="0D1E9414"/>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E23821"/>
    <w:multiLevelType w:val="hybridMultilevel"/>
    <w:tmpl w:val="1D360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854AAC"/>
    <w:multiLevelType w:val="hybridMultilevel"/>
    <w:tmpl w:val="A81E36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7CDF3F99"/>
    <w:multiLevelType w:val="hybridMultilevel"/>
    <w:tmpl w:val="1DCEE8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2"/>
  </w:num>
  <w:num w:numId="6">
    <w:abstractNumId w:val="15"/>
  </w:num>
  <w:num w:numId="7">
    <w:abstractNumId w:val="0"/>
  </w:num>
  <w:num w:numId="8">
    <w:abstractNumId w:val="10"/>
  </w:num>
  <w:num w:numId="9">
    <w:abstractNumId w:val="18"/>
  </w:num>
  <w:num w:numId="10">
    <w:abstractNumId w:val="11"/>
  </w:num>
  <w:num w:numId="11">
    <w:abstractNumId w:val="9"/>
  </w:num>
  <w:num w:numId="12">
    <w:abstractNumId w:val="3"/>
  </w:num>
  <w:num w:numId="13">
    <w:abstractNumId w:val="8"/>
  </w:num>
  <w:num w:numId="14">
    <w:abstractNumId w:val="7"/>
  </w:num>
  <w:num w:numId="15">
    <w:abstractNumId w:val="1"/>
  </w:num>
  <w:num w:numId="16">
    <w:abstractNumId w:val="5"/>
  </w:num>
  <w:num w:numId="17">
    <w:abstractNumId w:val="6"/>
  </w:num>
  <w:num w:numId="18">
    <w:abstractNumId w:val="16"/>
  </w:num>
  <w:num w:numId="19">
    <w:abstractNumId w:val="2"/>
  </w:num>
  <w:num w:numId="20">
    <w:abstractNumId w:val="17"/>
  </w:num>
  <w:num w:numId="21">
    <w:abstractNumId w:val="4"/>
  </w:num>
  <w:num w:numId="22">
    <w:abstractNumId w:val="17"/>
  </w:num>
  <w:num w:numId="23">
    <w:abstractNumId w:val="17"/>
  </w:num>
  <w:num w:numId="24">
    <w:abstractNumId w:val="17"/>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50"/>
    <w:rsid w:val="00002126"/>
    <w:rsid w:val="000138E2"/>
    <w:rsid w:val="0002674C"/>
    <w:rsid w:val="00036279"/>
    <w:rsid w:val="00041D7B"/>
    <w:rsid w:val="0004409C"/>
    <w:rsid w:val="00050BDE"/>
    <w:rsid w:val="00051FD9"/>
    <w:rsid w:val="00057C1A"/>
    <w:rsid w:val="00062157"/>
    <w:rsid w:val="00066850"/>
    <w:rsid w:val="000719BB"/>
    <w:rsid w:val="00073608"/>
    <w:rsid w:val="0007548F"/>
    <w:rsid w:val="00086018"/>
    <w:rsid w:val="000A1581"/>
    <w:rsid w:val="000A3E78"/>
    <w:rsid w:val="000A6713"/>
    <w:rsid w:val="000B6536"/>
    <w:rsid w:val="000D3B22"/>
    <w:rsid w:val="000D3D84"/>
    <w:rsid w:val="000D71EB"/>
    <w:rsid w:val="00110B8D"/>
    <w:rsid w:val="00121E4A"/>
    <w:rsid w:val="00122EBC"/>
    <w:rsid w:val="00134286"/>
    <w:rsid w:val="00143AE2"/>
    <w:rsid w:val="00144802"/>
    <w:rsid w:val="00150E9C"/>
    <w:rsid w:val="00151205"/>
    <w:rsid w:val="00151FF9"/>
    <w:rsid w:val="00174B9F"/>
    <w:rsid w:val="00193C96"/>
    <w:rsid w:val="001A58AE"/>
    <w:rsid w:val="001B2110"/>
    <w:rsid w:val="001B6645"/>
    <w:rsid w:val="001C63C0"/>
    <w:rsid w:val="001C649E"/>
    <w:rsid w:val="001D390A"/>
    <w:rsid w:val="001E26C1"/>
    <w:rsid w:val="001E3130"/>
    <w:rsid w:val="001E7BBC"/>
    <w:rsid w:val="001F022E"/>
    <w:rsid w:val="001F11D7"/>
    <w:rsid w:val="001F3CB6"/>
    <w:rsid w:val="001F75C2"/>
    <w:rsid w:val="002017FB"/>
    <w:rsid w:val="00207811"/>
    <w:rsid w:val="00220DF5"/>
    <w:rsid w:val="002459E5"/>
    <w:rsid w:val="0024625E"/>
    <w:rsid w:val="002526CD"/>
    <w:rsid w:val="00252D0E"/>
    <w:rsid w:val="00264E34"/>
    <w:rsid w:val="002652CE"/>
    <w:rsid w:val="002662C1"/>
    <w:rsid w:val="00267293"/>
    <w:rsid w:val="0027124C"/>
    <w:rsid w:val="00292973"/>
    <w:rsid w:val="002B7557"/>
    <w:rsid w:val="002C05F7"/>
    <w:rsid w:val="002C5AF8"/>
    <w:rsid w:val="002C76A3"/>
    <w:rsid w:val="002D39BE"/>
    <w:rsid w:val="002D610A"/>
    <w:rsid w:val="002F192E"/>
    <w:rsid w:val="002F2120"/>
    <w:rsid w:val="002F64D0"/>
    <w:rsid w:val="002F7595"/>
    <w:rsid w:val="003146AF"/>
    <w:rsid w:val="003206A1"/>
    <w:rsid w:val="00340EC2"/>
    <w:rsid w:val="003464E9"/>
    <w:rsid w:val="00346B93"/>
    <w:rsid w:val="00353A00"/>
    <w:rsid w:val="003544C9"/>
    <w:rsid w:val="00354AC5"/>
    <w:rsid w:val="00363A18"/>
    <w:rsid w:val="00365AD9"/>
    <w:rsid w:val="00371523"/>
    <w:rsid w:val="003909D9"/>
    <w:rsid w:val="0039727A"/>
    <w:rsid w:val="003975D9"/>
    <w:rsid w:val="003C2E1A"/>
    <w:rsid w:val="003D3D61"/>
    <w:rsid w:val="003E00B6"/>
    <w:rsid w:val="003E3E38"/>
    <w:rsid w:val="003F227C"/>
    <w:rsid w:val="003F7862"/>
    <w:rsid w:val="00405B7A"/>
    <w:rsid w:val="004411F2"/>
    <w:rsid w:val="00486348"/>
    <w:rsid w:val="00490CEC"/>
    <w:rsid w:val="0049227F"/>
    <w:rsid w:val="004A21A6"/>
    <w:rsid w:val="004B4400"/>
    <w:rsid w:val="004B6AB5"/>
    <w:rsid w:val="004C1038"/>
    <w:rsid w:val="004C1772"/>
    <w:rsid w:val="004E0CA6"/>
    <w:rsid w:val="004E416B"/>
    <w:rsid w:val="004E4E2D"/>
    <w:rsid w:val="004E5EEC"/>
    <w:rsid w:val="004F238E"/>
    <w:rsid w:val="004F388E"/>
    <w:rsid w:val="0051105C"/>
    <w:rsid w:val="005127D2"/>
    <w:rsid w:val="00526BFC"/>
    <w:rsid w:val="005427F1"/>
    <w:rsid w:val="005440B2"/>
    <w:rsid w:val="00565480"/>
    <w:rsid w:val="005676EF"/>
    <w:rsid w:val="005722A5"/>
    <w:rsid w:val="00574C62"/>
    <w:rsid w:val="00590C3B"/>
    <w:rsid w:val="00591142"/>
    <w:rsid w:val="005A2462"/>
    <w:rsid w:val="005A6208"/>
    <w:rsid w:val="005C295C"/>
    <w:rsid w:val="005C7181"/>
    <w:rsid w:val="005C7B1F"/>
    <w:rsid w:val="005D3CFC"/>
    <w:rsid w:val="005E50E0"/>
    <w:rsid w:val="00606318"/>
    <w:rsid w:val="00613912"/>
    <w:rsid w:val="0062401A"/>
    <w:rsid w:val="00633DE2"/>
    <w:rsid w:val="006414D6"/>
    <w:rsid w:val="00644938"/>
    <w:rsid w:val="0066036D"/>
    <w:rsid w:val="00695488"/>
    <w:rsid w:val="006A19AE"/>
    <w:rsid w:val="006B0E47"/>
    <w:rsid w:val="006B1AF4"/>
    <w:rsid w:val="006B4C36"/>
    <w:rsid w:val="006B5693"/>
    <w:rsid w:val="006C3BB0"/>
    <w:rsid w:val="006C4501"/>
    <w:rsid w:val="006D1B70"/>
    <w:rsid w:val="006E26FE"/>
    <w:rsid w:val="006E7359"/>
    <w:rsid w:val="006F2F91"/>
    <w:rsid w:val="006F663A"/>
    <w:rsid w:val="00716D88"/>
    <w:rsid w:val="007300AB"/>
    <w:rsid w:val="00730D95"/>
    <w:rsid w:val="00735A41"/>
    <w:rsid w:val="00737C8D"/>
    <w:rsid w:val="00740AFB"/>
    <w:rsid w:val="007470B1"/>
    <w:rsid w:val="00750BB7"/>
    <w:rsid w:val="00754672"/>
    <w:rsid w:val="00771080"/>
    <w:rsid w:val="00792462"/>
    <w:rsid w:val="00796A15"/>
    <w:rsid w:val="007A2C3F"/>
    <w:rsid w:val="007A4B6D"/>
    <w:rsid w:val="007A7359"/>
    <w:rsid w:val="007B572A"/>
    <w:rsid w:val="007C2671"/>
    <w:rsid w:val="007C30F7"/>
    <w:rsid w:val="007D48C0"/>
    <w:rsid w:val="007D6C77"/>
    <w:rsid w:val="007D7061"/>
    <w:rsid w:val="007E19D4"/>
    <w:rsid w:val="007F2081"/>
    <w:rsid w:val="00803E02"/>
    <w:rsid w:val="00803FD3"/>
    <w:rsid w:val="00814D0E"/>
    <w:rsid w:val="008167D3"/>
    <w:rsid w:val="00820B1C"/>
    <w:rsid w:val="00841A19"/>
    <w:rsid w:val="008504DE"/>
    <w:rsid w:val="008605B6"/>
    <w:rsid w:val="00882052"/>
    <w:rsid w:val="00890666"/>
    <w:rsid w:val="00890EAB"/>
    <w:rsid w:val="00893F79"/>
    <w:rsid w:val="00895783"/>
    <w:rsid w:val="008A482E"/>
    <w:rsid w:val="008D2294"/>
    <w:rsid w:val="008D37E8"/>
    <w:rsid w:val="008E3B8D"/>
    <w:rsid w:val="008E50BD"/>
    <w:rsid w:val="00905F17"/>
    <w:rsid w:val="00906169"/>
    <w:rsid w:val="009063B8"/>
    <w:rsid w:val="00915FC6"/>
    <w:rsid w:val="00921846"/>
    <w:rsid w:val="00921ED9"/>
    <w:rsid w:val="00926A75"/>
    <w:rsid w:val="00934F29"/>
    <w:rsid w:val="00946BA7"/>
    <w:rsid w:val="009673F5"/>
    <w:rsid w:val="00971D37"/>
    <w:rsid w:val="00974DE6"/>
    <w:rsid w:val="00983545"/>
    <w:rsid w:val="009928C2"/>
    <w:rsid w:val="009A00AF"/>
    <w:rsid w:val="009A51E9"/>
    <w:rsid w:val="009A7857"/>
    <w:rsid w:val="009B20DF"/>
    <w:rsid w:val="009B608A"/>
    <w:rsid w:val="009C0434"/>
    <w:rsid w:val="009D1D2F"/>
    <w:rsid w:val="009D382C"/>
    <w:rsid w:val="00A044C5"/>
    <w:rsid w:val="00A12B83"/>
    <w:rsid w:val="00A147CA"/>
    <w:rsid w:val="00A25E4D"/>
    <w:rsid w:val="00A32B86"/>
    <w:rsid w:val="00A34DA3"/>
    <w:rsid w:val="00A377E3"/>
    <w:rsid w:val="00A55015"/>
    <w:rsid w:val="00A638EB"/>
    <w:rsid w:val="00A718F9"/>
    <w:rsid w:val="00A745DC"/>
    <w:rsid w:val="00A81529"/>
    <w:rsid w:val="00A95497"/>
    <w:rsid w:val="00AA459B"/>
    <w:rsid w:val="00AC2F15"/>
    <w:rsid w:val="00AE08F1"/>
    <w:rsid w:val="00AE4058"/>
    <w:rsid w:val="00AF76A1"/>
    <w:rsid w:val="00B43931"/>
    <w:rsid w:val="00B515A0"/>
    <w:rsid w:val="00B56FEA"/>
    <w:rsid w:val="00B64E89"/>
    <w:rsid w:val="00B66FF8"/>
    <w:rsid w:val="00B719E8"/>
    <w:rsid w:val="00B73971"/>
    <w:rsid w:val="00B815CB"/>
    <w:rsid w:val="00B82C2A"/>
    <w:rsid w:val="00B85466"/>
    <w:rsid w:val="00B90B9C"/>
    <w:rsid w:val="00BA3282"/>
    <w:rsid w:val="00BC723D"/>
    <w:rsid w:val="00BD155F"/>
    <w:rsid w:val="00BD7CC5"/>
    <w:rsid w:val="00C00869"/>
    <w:rsid w:val="00C046F7"/>
    <w:rsid w:val="00C06C95"/>
    <w:rsid w:val="00C1265B"/>
    <w:rsid w:val="00C15862"/>
    <w:rsid w:val="00C179D4"/>
    <w:rsid w:val="00C21326"/>
    <w:rsid w:val="00C30B0C"/>
    <w:rsid w:val="00C5018D"/>
    <w:rsid w:val="00C571AE"/>
    <w:rsid w:val="00C64F30"/>
    <w:rsid w:val="00C80B05"/>
    <w:rsid w:val="00C95320"/>
    <w:rsid w:val="00CA13AA"/>
    <w:rsid w:val="00CA6A96"/>
    <w:rsid w:val="00CB2F01"/>
    <w:rsid w:val="00CB74C2"/>
    <w:rsid w:val="00CC5662"/>
    <w:rsid w:val="00CC7916"/>
    <w:rsid w:val="00CD0680"/>
    <w:rsid w:val="00CD13C9"/>
    <w:rsid w:val="00CE2CAB"/>
    <w:rsid w:val="00CE4FC1"/>
    <w:rsid w:val="00CE526A"/>
    <w:rsid w:val="00CE6007"/>
    <w:rsid w:val="00CF1510"/>
    <w:rsid w:val="00CF1880"/>
    <w:rsid w:val="00CF683F"/>
    <w:rsid w:val="00D00013"/>
    <w:rsid w:val="00D246E2"/>
    <w:rsid w:val="00D25423"/>
    <w:rsid w:val="00D25654"/>
    <w:rsid w:val="00D3176C"/>
    <w:rsid w:val="00D3327F"/>
    <w:rsid w:val="00D400A6"/>
    <w:rsid w:val="00D53638"/>
    <w:rsid w:val="00D571E2"/>
    <w:rsid w:val="00D86954"/>
    <w:rsid w:val="00DA5619"/>
    <w:rsid w:val="00DA58D8"/>
    <w:rsid w:val="00DC3EE7"/>
    <w:rsid w:val="00E03BC5"/>
    <w:rsid w:val="00E10BD0"/>
    <w:rsid w:val="00E13410"/>
    <w:rsid w:val="00E14A37"/>
    <w:rsid w:val="00E17AB3"/>
    <w:rsid w:val="00E217B7"/>
    <w:rsid w:val="00E23F0A"/>
    <w:rsid w:val="00E279ED"/>
    <w:rsid w:val="00E305FC"/>
    <w:rsid w:val="00E632FB"/>
    <w:rsid w:val="00E76EF0"/>
    <w:rsid w:val="00E834C6"/>
    <w:rsid w:val="00E863B7"/>
    <w:rsid w:val="00E93818"/>
    <w:rsid w:val="00E951C2"/>
    <w:rsid w:val="00EE2F66"/>
    <w:rsid w:val="00EF104C"/>
    <w:rsid w:val="00EF342E"/>
    <w:rsid w:val="00EF4AF3"/>
    <w:rsid w:val="00EF5684"/>
    <w:rsid w:val="00F06526"/>
    <w:rsid w:val="00F169E3"/>
    <w:rsid w:val="00F20732"/>
    <w:rsid w:val="00F24291"/>
    <w:rsid w:val="00F36C76"/>
    <w:rsid w:val="00F63407"/>
    <w:rsid w:val="00F65410"/>
    <w:rsid w:val="00F66E0D"/>
    <w:rsid w:val="00F77D06"/>
    <w:rsid w:val="00F8696F"/>
    <w:rsid w:val="00FA1F58"/>
    <w:rsid w:val="00FB550E"/>
    <w:rsid w:val="00FC0459"/>
    <w:rsid w:val="00FE3482"/>
    <w:rsid w:val="00FE4D17"/>
    <w:rsid w:val="00FE76FB"/>
    <w:rsid w:val="00FE7D33"/>
    <w:rsid w:val="00FF4125"/>
    <w:rsid w:val="00FF6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5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BD"/>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5"/>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5"/>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5"/>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7"/>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2F192E"/>
    <w:pPr>
      <w:spacing w:after="160" w:line="259" w:lineRule="auto"/>
      <w:ind w:left="720"/>
      <w:contextualSpacing/>
      <w:jc w:val="left"/>
    </w:pPr>
    <w:rPr>
      <w:rFonts w:asciiTheme="minorHAnsi" w:eastAsiaTheme="minorHAnsi" w:hAnsiTheme="minorHAnsi" w:cstheme="minorBidi"/>
      <w:color w:val="auto"/>
      <w:sz w:val="22"/>
      <w:szCs w:val="22"/>
      <w:lang w:eastAsia="en-US"/>
    </w:rPr>
  </w:style>
  <w:style w:type="paragraph" w:customStyle="1" w:styleId="Default">
    <w:name w:val="Default"/>
    <w:rsid w:val="007470B1"/>
    <w:pPr>
      <w:autoSpaceDE w:val="0"/>
      <w:autoSpaceDN w:val="0"/>
      <w:adjustRightInd w:val="0"/>
      <w:spacing w:after="0" w:line="240" w:lineRule="auto"/>
    </w:pPr>
    <w:rPr>
      <w:rFonts w:ascii="Corbel" w:hAnsi="Corbel" w:cs="Corbel"/>
      <w:color w:val="000000"/>
      <w:sz w:val="24"/>
      <w:szCs w:val="24"/>
    </w:rPr>
  </w:style>
  <w:style w:type="paragraph" w:styleId="Revision">
    <w:name w:val="Revision"/>
    <w:hidden/>
    <w:uiPriority w:val="99"/>
    <w:semiHidden/>
    <w:rsid w:val="00143AE2"/>
    <w:pPr>
      <w:spacing w:after="0" w:line="240" w:lineRule="auto"/>
    </w:pPr>
    <w:rPr>
      <w:rFonts w:ascii="Corbel" w:eastAsia="Times New Roman" w:hAnsi="Corbel" w:cs="Times New Roman"/>
      <w:color w:val="000000"/>
      <w:sz w:val="23"/>
      <w:szCs w:val="20"/>
      <w:lang w:eastAsia="en-AU"/>
    </w:rPr>
  </w:style>
  <w:style w:type="paragraph" w:customStyle="1" w:styleId="Bullet">
    <w:name w:val="Bullet"/>
    <w:basedOn w:val="Normal"/>
    <w:link w:val="BulletChar"/>
    <w:rsid w:val="00F63407"/>
    <w:pPr>
      <w:numPr>
        <w:numId w:val="20"/>
      </w:numPr>
    </w:pPr>
  </w:style>
  <w:style w:type="character" w:customStyle="1" w:styleId="BulletChar">
    <w:name w:val="Bullet Char"/>
    <w:basedOn w:val="CommentTextChar"/>
    <w:link w:val="Bullet"/>
    <w:rsid w:val="00F63407"/>
    <w:rPr>
      <w:rFonts w:ascii="Corbel" w:eastAsia="Times New Roman" w:hAnsi="Corbel" w:cs="Times New Roman"/>
      <w:color w:val="000000"/>
      <w:sz w:val="23"/>
      <w:szCs w:val="20"/>
      <w:lang w:eastAsia="en-AU"/>
    </w:rPr>
  </w:style>
  <w:style w:type="paragraph" w:customStyle="1" w:styleId="Dash">
    <w:name w:val="Dash"/>
    <w:basedOn w:val="Normal"/>
    <w:link w:val="DashChar"/>
    <w:rsid w:val="00F63407"/>
    <w:pPr>
      <w:numPr>
        <w:ilvl w:val="1"/>
        <w:numId w:val="20"/>
      </w:numPr>
    </w:pPr>
  </w:style>
  <w:style w:type="character" w:customStyle="1" w:styleId="DashChar">
    <w:name w:val="Dash Char"/>
    <w:basedOn w:val="CommentTextChar"/>
    <w:link w:val="Dash"/>
    <w:rsid w:val="00F63407"/>
    <w:rPr>
      <w:rFonts w:ascii="Corbel" w:eastAsia="Times New Roman" w:hAnsi="Corbel" w:cs="Times New Roman"/>
      <w:color w:val="000000"/>
      <w:sz w:val="23"/>
      <w:szCs w:val="20"/>
      <w:lang w:eastAsia="en-AU"/>
    </w:rPr>
  </w:style>
  <w:style w:type="paragraph" w:customStyle="1" w:styleId="DoubleDot">
    <w:name w:val="Double Dot"/>
    <w:basedOn w:val="Normal"/>
    <w:link w:val="DoubleDotChar"/>
    <w:rsid w:val="00F63407"/>
    <w:pPr>
      <w:numPr>
        <w:ilvl w:val="2"/>
        <w:numId w:val="20"/>
      </w:numPr>
    </w:pPr>
  </w:style>
  <w:style w:type="character" w:customStyle="1" w:styleId="DoubleDotChar">
    <w:name w:val="Double Dot Char"/>
    <w:basedOn w:val="CommentTextChar"/>
    <w:link w:val="DoubleDot"/>
    <w:rsid w:val="00F63407"/>
    <w:rPr>
      <w:rFonts w:ascii="Corbel" w:eastAsia="Times New Roman" w:hAnsi="Corbel" w:cs="Times New Roman"/>
      <w:color w:val="000000"/>
      <w:sz w:val="23"/>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BD"/>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5"/>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5"/>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5"/>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7"/>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2F192E"/>
    <w:pPr>
      <w:spacing w:after="160" w:line="259" w:lineRule="auto"/>
      <w:ind w:left="720"/>
      <w:contextualSpacing/>
      <w:jc w:val="left"/>
    </w:pPr>
    <w:rPr>
      <w:rFonts w:asciiTheme="minorHAnsi" w:eastAsiaTheme="minorHAnsi" w:hAnsiTheme="minorHAnsi" w:cstheme="minorBidi"/>
      <w:color w:val="auto"/>
      <w:sz w:val="22"/>
      <w:szCs w:val="22"/>
      <w:lang w:eastAsia="en-US"/>
    </w:rPr>
  </w:style>
  <w:style w:type="paragraph" w:customStyle="1" w:styleId="Default">
    <w:name w:val="Default"/>
    <w:rsid w:val="007470B1"/>
    <w:pPr>
      <w:autoSpaceDE w:val="0"/>
      <w:autoSpaceDN w:val="0"/>
      <w:adjustRightInd w:val="0"/>
      <w:spacing w:after="0" w:line="240" w:lineRule="auto"/>
    </w:pPr>
    <w:rPr>
      <w:rFonts w:ascii="Corbel" w:hAnsi="Corbel" w:cs="Corbel"/>
      <w:color w:val="000000"/>
      <w:sz w:val="24"/>
      <w:szCs w:val="24"/>
    </w:rPr>
  </w:style>
  <w:style w:type="paragraph" w:styleId="Revision">
    <w:name w:val="Revision"/>
    <w:hidden/>
    <w:uiPriority w:val="99"/>
    <w:semiHidden/>
    <w:rsid w:val="00143AE2"/>
    <w:pPr>
      <w:spacing w:after="0" w:line="240" w:lineRule="auto"/>
    </w:pPr>
    <w:rPr>
      <w:rFonts w:ascii="Corbel" w:eastAsia="Times New Roman" w:hAnsi="Corbel" w:cs="Times New Roman"/>
      <w:color w:val="000000"/>
      <w:sz w:val="23"/>
      <w:szCs w:val="20"/>
      <w:lang w:eastAsia="en-AU"/>
    </w:rPr>
  </w:style>
  <w:style w:type="paragraph" w:customStyle="1" w:styleId="Bullet">
    <w:name w:val="Bullet"/>
    <w:basedOn w:val="Normal"/>
    <w:link w:val="BulletChar"/>
    <w:rsid w:val="00F63407"/>
    <w:pPr>
      <w:numPr>
        <w:numId w:val="20"/>
      </w:numPr>
    </w:pPr>
  </w:style>
  <w:style w:type="character" w:customStyle="1" w:styleId="BulletChar">
    <w:name w:val="Bullet Char"/>
    <w:basedOn w:val="CommentTextChar"/>
    <w:link w:val="Bullet"/>
    <w:rsid w:val="00F63407"/>
    <w:rPr>
      <w:rFonts w:ascii="Corbel" w:eastAsia="Times New Roman" w:hAnsi="Corbel" w:cs="Times New Roman"/>
      <w:color w:val="000000"/>
      <w:sz w:val="23"/>
      <w:szCs w:val="20"/>
      <w:lang w:eastAsia="en-AU"/>
    </w:rPr>
  </w:style>
  <w:style w:type="paragraph" w:customStyle="1" w:styleId="Dash">
    <w:name w:val="Dash"/>
    <w:basedOn w:val="Normal"/>
    <w:link w:val="DashChar"/>
    <w:rsid w:val="00F63407"/>
    <w:pPr>
      <w:numPr>
        <w:ilvl w:val="1"/>
        <w:numId w:val="20"/>
      </w:numPr>
    </w:pPr>
  </w:style>
  <w:style w:type="character" w:customStyle="1" w:styleId="DashChar">
    <w:name w:val="Dash Char"/>
    <w:basedOn w:val="CommentTextChar"/>
    <w:link w:val="Dash"/>
    <w:rsid w:val="00F63407"/>
    <w:rPr>
      <w:rFonts w:ascii="Corbel" w:eastAsia="Times New Roman" w:hAnsi="Corbel" w:cs="Times New Roman"/>
      <w:color w:val="000000"/>
      <w:sz w:val="23"/>
      <w:szCs w:val="20"/>
      <w:lang w:eastAsia="en-AU"/>
    </w:rPr>
  </w:style>
  <w:style w:type="paragraph" w:customStyle="1" w:styleId="DoubleDot">
    <w:name w:val="Double Dot"/>
    <w:basedOn w:val="Normal"/>
    <w:link w:val="DoubleDotChar"/>
    <w:rsid w:val="00F63407"/>
    <w:pPr>
      <w:numPr>
        <w:ilvl w:val="2"/>
        <w:numId w:val="20"/>
      </w:numPr>
    </w:pPr>
  </w:style>
  <w:style w:type="character" w:customStyle="1" w:styleId="DoubleDotChar">
    <w:name w:val="Double Dot Char"/>
    <w:basedOn w:val="CommentTextChar"/>
    <w:link w:val="DoubleDot"/>
    <w:rsid w:val="00F63407"/>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0185">
      <w:bodyDiv w:val="1"/>
      <w:marLeft w:val="0"/>
      <w:marRight w:val="0"/>
      <w:marTop w:val="0"/>
      <w:marBottom w:val="0"/>
      <w:divBdr>
        <w:top w:val="none" w:sz="0" w:space="0" w:color="auto"/>
        <w:left w:val="none" w:sz="0" w:space="0" w:color="auto"/>
        <w:bottom w:val="none" w:sz="0" w:space="0" w:color="auto"/>
        <w:right w:val="none" w:sz="0" w:space="0" w:color="auto"/>
      </w:divBdr>
    </w:div>
    <w:div w:id="414329610">
      <w:bodyDiv w:val="1"/>
      <w:marLeft w:val="0"/>
      <w:marRight w:val="0"/>
      <w:marTop w:val="0"/>
      <w:marBottom w:val="0"/>
      <w:divBdr>
        <w:top w:val="none" w:sz="0" w:space="0" w:color="auto"/>
        <w:left w:val="none" w:sz="0" w:space="0" w:color="auto"/>
        <w:bottom w:val="none" w:sz="0" w:space="0" w:color="auto"/>
        <w:right w:val="none" w:sz="0" w:space="0" w:color="auto"/>
      </w:divBdr>
    </w:div>
    <w:div w:id="498622962">
      <w:bodyDiv w:val="1"/>
      <w:marLeft w:val="0"/>
      <w:marRight w:val="0"/>
      <w:marTop w:val="0"/>
      <w:marBottom w:val="0"/>
      <w:divBdr>
        <w:top w:val="none" w:sz="0" w:space="0" w:color="auto"/>
        <w:left w:val="none" w:sz="0" w:space="0" w:color="auto"/>
        <w:bottom w:val="none" w:sz="0" w:space="0" w:color="auto"/>
        <w:right w:val="none" w:sz="0" w:space="0" w:color="auto"/>
      </w:divBdr>
    </w:div>
    <w:div w:id="916745943">
      <w:bodyDiv w:val="1"/>
      <w:marLeft w:val="0"/>
      <w:marRight w:val="0"/>
      <w:marTop w:val="0"/>
      <w:marBottom w:val="0"/>
      <w:divBdr>
        <w:top w:val="none" w:sz="0" w:space="0" w:color="auto"/>
        <w:left w:val="none" w:sz="0" w:space="0" w:color="auto"/>
        <w:bottom w:val="none" w:sz="0" w:space="0" w:color="auto"/>
        <w:right w:val="none" w:sz="0" w:space="0" w:color="auto"/>
      </w:divBdr>
    </w:div>
    <w:div w:id="1265114427">
      <w:bodyDiv w:val="1"/>
      <w:marLeft w:val="0"/>
      <w:marRight w:val="0"/>
      <w:marTop w:val="0"/>
      <w:marBottom w:val="0"/>
      <w:divBdr>
        <w:top w:val="none" w:sz="0" w:space="0" w:color="auto"/>
        <w:left w:val="none" w:sz="0" w:space="0" w:color="auto"/>
        <w:bottom w:val="none" w:sz="0" w:space="0" w:color="auto"/>
        <w:right w:val="none" w:sz="0" w:space="0" w:color="auto"/>
      </w:divBdr>
    </w:div>
    <w:div w:id="1355887480">
      <w:bodyDiv w:val="1"/>
      <w:marLeft w:val="0"/>
      <w:marRight w:val="0"/>
      <w:marTop w:val="0"/>
      <w:marBottom w:val="0"/>
      <w:divBdr>
        <w:top w:val="none" w:sz="0" w:space="0" w:color="auto"/>
        <w:left w:val="none" w:sz="0" w:space="0" w:color="auto"/>
        <w:bottom w:val="none" w:sz="0" w:space="0" w:color="auto"/>
        <w:right w:val="none" w:sz="0" w:space="0" w:color="auto"/>
      </w:divBdr>
    </w:div>
    <w:div w:id="1424452229">
      <w:bodyDiv w:val="1"/>
      <w:marLeft w:val="0"/>
      <w:marRight w:val="0"/>
      <w:marTop w:val="0"/>
      <w:marBottom w:val="0"/>
      <w:divBdr>
        <w:top w:val="none" w:sz="0" w:space="0" w:color="auto"/>
        <w:left w:val="none" w:sz="0" w:space="0" w:color="auto"/>
        <w:bottom w:val="none" w:sz="0" w:space="0" w:color="auto"/>
        <w:right w:val="none" w:sz="0" w:space="0" w:color="auto"/>
      </w:divBdr>
    </w:div>
    <w:div w:id="1471243275">
      <w:bodyDiv w:val="1"/>
      <w:marLeft w:val="0"/>
      <w:marRight w:val="0"/>
      <w:marTop w:val="0"/>
      <w:marBottom w:val="0"/>
      <w:divBdr>
        <w:top w:val="none" w:sz="0" w:space="0" w:color="auto"/>
        <w:left w:val="none" w:sz="0" w:space="0" w:color="auto"/>
        <w:bottom w:val="none" w:sz="0" w:space="0" w:color="auto"/>
        <w:right w:val="none" w:sz="0" w:space="0" w:color="auto"/>
      </w:divBdr>
    </w:div>
    <w:div w:id="19488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2084" ma:contentTypeDescription=" " ma:contentTypeScope="" ma:versionID="c14ea7248ea6a5e24f05c4897b99043f">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2018FG-64-46681</_dlc_DocId>
    <_dlc_DocIdUrl xmlns="e544e5cc-ab70-42e1-849e-1a0f8bb1f4ef">
      <Url>http://tweb/sites/fg/csrd/_layouts/15/DocIdRedir.aspx?ID=2018FG-64-46681</Url>
      <Description>2018FG-64-46681</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FB94E16A-5498-4D9C-BEA9-E3B3D34DE1C4}"/>
</file>

<file path=customXml/itemProps2.xml><?xml version="1.0" encoding="utf-8"?>
<ds:datastoreItem xmlns:ds="http://schemas.openxmlformats.org/officeDocument/2006/customXml" ds:itemID="{E1B9E172-617A-4C99-B51C-EE256F026E05}">
  <ds:schemaRefs>
    <ds:schemaRef ds:uri="office.server.policy"/>
  </ds:schemaRefs>
</ds:datastoreItem>
</file>

<file path=customXml/itemProps3.xml><?xml version="1.0" encoding="utf-8"?>
<ds:datastoreItem xmlns:ds="http://schemas.openxmlformats.org/officeDocument/2006/customXml" ds:itemID="{378723A5-716C-4E0A-BF70-361DD08E7631}">
  <ds:schemaRefs>
    <ds:schemaRef ds:uri="http://purl.org/dc/dcmitype/"/>
    <ds:schemaRef ds:uri="http://purl.org/dc/elements/1.1/"/>
    <ds:schemaRef ds:uri="http://schemas.microsoft.com/sharepoint/v4"/>
    <ds:schemaRef ds:uri="http://schemas.microsoft.com/office/2006/documentManagement/types"/>
    <ds:schemaRef ds:uri="http://purl.org/dc/terms/"/>
    <ds:schemaRef ds:uri="e544e5cc-ab70-42e1-849e-1a0f8bb1f4ef"/>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0576311-D1D8-4266-B141-648B5B58DCEA}"/>
</file>

<file path=customXml/itemProps5.xml><?xml version="1.0" encoding="utf-8"?>
<ds:datastoreItem xmlns:ds="http://schemas.openxmlformats.org/officeDocument/2006/customXml" ds:itemID="{5936336E-FF0C-4E9A-81AC-3D838B752CFF}">
  <ds:schemaRefs>
    <ds:schemaRef ds:uri="http://schemas.microsoft.com/sharepoint/v3/contenttype/forms"/>
  </ds:schemaRefs>
</ds:datastoreItem>
</file>

<file path=customXml/itemProps6.xml><?xml version="1.0" encoding="utf-8"?>
<ds:datastoreItem xmlns:ds="http://schemas.openxmlformats.org/officeDocument/2006/customXml" ds:itemID="{24E3CBFA-7747-4B4E-A0A6-92B97EF05D9B}">
  <ds:schemaRefs>
    <ds:schemaRef ds:uri="http://schemas.openxmlformats.org/officeDocument/2006/bibliography"/>
  </ds:schemaRefs>
</ds:datastoreItem>
</file>

<file path=customXml/itemProps7.xml><?xml version="1.0" encoding="utf-8"?>
<ds:datastoreItem xmlns:ds="http://schemas.openxmlformats.org/officeDocument/2006/customXml" ds:itemID="{5789E95F-23BF-4C93-9E79-F34F6043083B}"/>
</file>

<file path=docProps/app.xml><?xml version="1.0" encoding="utf-8"?>
<Properties xmlns="http://schemas.openxmlformats.org/officeDocument/2006/extended-properties" xmlns:vt="http://schemas.openxmlformats.org/officeDocument/2006/docPropsVTypes">
  <Template>Normal.dotm</Template>
  <TotalTime>16</TotalTime>
  <Pages>9</Pages>
  <Words>3039</Words>
  <Characters>14619</Characters>
  <Application>Microsoft Office Word</Application>
  <DocSecurity>0</DocSecurity>
  <Lines>859</Lines>
  <Paragraphs>569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 Alyson</dc:creator>
  <cp:lastModifiedBy>Commonwealth</cp:lastModifiedBy>
  <cp:revision>7</cp:revision>
  <cp:lastPrinted>2018-05-23T00:09:00Z</cp:lastPrinted>
  <dcterms:created xsi:type="dcterms:W3CDTF">2018-05-30T04:25:00Z</dcterms:created>
  <dcterms:modified xsi:type="dcterms:W3CDTF">2018-06-01T07:40:00Z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RecordPoint_WorkflowType">
    <vt:lpwstr>ActiveSubmitStub</vt:lpwstr>
  </property>
  <property fmtid="{D5CDD505-2E9C-101B-9397-08002B2CF9AE}" pid="5" name="RecordPoint_ActiveItemListId">
    <vt:lpwstr>{4435c73b-6585-4bc2-a76a-5d21b1a02e06}</vt:lpwstr>
  </property>
  <property fmtid="{D5CDD505-2E9C-101B-9397-08002B2CF9AE}" pid="6" name="RecordPoint_ActiveItemWebId">
    <vt:lpwstr>{a4589788-615f-4b8b-8296-7f9f6dfbab44}</vt:lpwstr>
  </property>
  <property fmtid="{D5CDD505-2E9C-101B-9397-08002B2CF9AE}" pid="7" name="RecordPoint_ActiveItemSiteId">
    <vt:lpwstr>{a3a280d1-e8f1-4ce7-94f0-aaa2322da0dd}</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_NewReviewCycle">
    <vt:lpwstr/>
  </property>
  <property fmtid="{D5CDD505-2E9C-101B-9397-08002B2CF9AE}" pid="12" name="RecordPoint_ActiveItemUniqueId">
    <vt:lpwstr>{ec950c80-c175-449a-8cf3-a71ebec082b1}</vt:lpwstr>
  </property>
  <property fmtid="{D5CDD505-2E9C-101B-9397-08002B2CF9AE}" pid="13" name="RecordPoint_SubmissionCompleted">
    <vt:lpwstr>2018-06-19T12:05:25.5936677+10:00</vt:lpwstr>
  </property>
  <property fmtid="{D5CDD505-2E9C-101B-9397-08002B2CF9AE}" pid="14" name="_dlc_DocIdItemGuid">
    <vt:lpwstr>ec950c80-c175-449a-8cf3-a71ebec082b1</vt:lpwstr>
  </property>
  <property fmtid="{D5CDD505-2E9C-101B-9397-08002B2CF9AE}" pid="15" name="RecordPoint_RecordNumberSubmitted">
    <vt:lpwstr>R0001755709</vt:lpwstr>
  </property>
  <property fmtid="{D5CDD505-2E9C-101B-9397-08002B2CF9AE}" pid="16" name="Objective-Id">
    <vt:lpwstr>A16091761</vt:lpwstr>
  </property>
  <property fmtid="{D5CDD505-2E9C-101B-9397-08002B2CF9AE}" pid="17" name="Objective-Title">
    <vt:lpwstr>Commonwealth comments on DRAFT ACT NHHA bilateral schedule_EPSDD Comments</vt:lpwstr>
  </property>
  <property fmtid="{D5CDD505-2E9C-101B-9397-08002B2CF9AE}" pid="18" name="Objective-Comment">
    <vt:lpwstr/>
  </property>
  <property fmtid="{D5CDD505-2E9C-101B-9397-08002B2CF9AE}" pid="19" name="Objective-CreationStamp">
    <vt:filetime>2018-05-07T01:55:55Z</vt:filetime>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2018-05-07T05:47:22Z</vt:filetime>
  </property>
  <property fmtid="{D5CDD505-2E9C-101B-9397-08002B2CF9AE}" pid="23" name="Objective-ModificationStamp">
    <vt:filetime>2018-05-07T05:47:22Z</vt:filetime>
  </property>
  <property fmtid="{D5CDD505-2E9C-101B-9397-08002B2CF9AE}" pid="24" name="Objective-Owner">
    <vt:lpwstr>Elizabeth Howell</vt:lpwstr>
  </property>
  <property fmtid="{D5CDD505-2E9C-101B-9397-08002B2CF9AE}" pid="25" name="Objective-Path">
    <vt:lpwstr>Whole of ACT Government:EPSDD - Environment Planning and Sustainable Development Directorate:DIVISION - Land Supply Policy:12. Archived Historical Files:01. Land Supply &amp; Policy:Land and Affordable Housing Policy:Affordable Housing Policy:New Housing Stra</vt:lpwstr>
  </property>
  <property fmtid="{D5CDD505-2E9C-101B-9397-08002B2CF9AE}" pid="26" name="Objective-Parent">
    <vt:lpwstr>NHHA</vt:lpwstr>
  </property>
  <property fmtid="{D5CDD505-2E9C-101B-9397-08002B2CF9AE}" pid="27" name="Objective-State">
    <vt:lpwstr>Published</vt:lpwstr>
  </property>
  <property fmtid="{D5CDD505-2E9C-101B-9397-08002B2CF9AE}" pid="28" name="Objective-Version">
    <vt:lpwstr>1.0</vt:lpwstr>
  </property>
  <property fmtid="{D5CDD505-2E9C-101B-9397-08002B2CF9AE}" pid="29" name="Objective-VersionNumber">
    <vt:r8>2</vt:r8>
  </property>
  <property fmtid="{D5CDD505-2E9C-101B-9397-08002B2CF9AE}" pid="30" name="Objective-VersionComment">
    <vt:lpwstr>Version 2</vt:lpwstr>
  </property>
  <property fmtid="{D5CDD505-2E9C-101B-9397-08002B2CF9AE}" pid="31" name="Objective-FileNumber">
    <vt:lpwstr/>
  </property>
  <property fmtid="{D5CDD505-2E9C-101B-9397-08002B2CF9AE}" pid="32" name="Objective-Classification">
    <vt:lpwstr>[Inherited - none]</vt:lpwstr>
  </property>
  <property fmtid="{D5CDD505-2E9C-101B-9397-08002B2CF9AE}" pid="33" name="Objective-Caveats">
    <vt:lpwstr/>
  </property>
  <property fmtid="{D5CDD505-2E9C-101B-9397-08002B2CF9AE}" pid="34" name="Objective-Owner Agency [system]">
    <vt:lpwstr>EPD</vt:lpwstr>
  </property>
  <property fmtid="{D5CDD505-2E9C-101B-9397-08002B2CF9AE}" pid="35" name="Objective-Document Type [system]">
    <vt:lpwstr>0-Document</vt:lpwstr>
  </property>
  <property fmtid="{D5CDD505-2E9C-101B-9397-08002B2CF9AE}" pid="36" name="Objective-Language [system]">
    <vt:lpwstr>English (en)</vt:lpwstr>
  </property>
  <property fmtid="{D5CDD505-2E9C-101B-9397-08002B2CF9AE}" pid="37" name="Objective-Jurisdiction [system]">
    <vt:lpwstr>ACT</vt:lpwstr>
  </property>
  <property fmtid="{D5CDD505-2E9C-101B-9397-08002B2CF9AE}" pid="38" name="Objective-Customers [system]">
    <vt:lpwstr/>
  </property>
  <property fmtid="{D5CDD505-2E9C-101B-9397-08002B2CF9AE}" pid="39" name="Objective-Places [system]">
    <vt:lpwstr/>
  </property>
  <property fmtid="{D5CDD505-2E9C-101B-9397-08002B2CF9AE}" pid="40" name="Objective-Transaction Reference [system]">
    <vt:lpwstr/>
  </property>
  <property fmtid="{D5CDD505-2E9C-101B-9397-08002B2CF9AE}" pid="41" name="Objective-Document Created By [system]">
    <vt:lpwstr/>
  </property>
  <property fmtid="{D5CDD505-2E9C-101B-9397-08002B2CF9AE}" pid="42" name="Objective-Document Created On [system]">
    <vt:lpwstr/>
  </property>
  <property fmtid="{D5CDD505-2E9C-101B-9397-08002B2CF9AE}" pid="43" name="Objective-Covers Period From [system]">
    <vt:lpwstr/>
  </property>
  <property fmtid="{D5CDD505-2E9C-101B-9397-08002B2CF9AE}" pid="44" name="Objective-Covers Period To [system]">
    <vt:lpwstr/>
  </property>
  <property fmtid="{D5CDD505-2E9C-101B-9397-08002B2CF9AE}" pid="45" name="_AdHocReviewCycleID">
    <vt:i4>-1166608492</vt:i4>
  </property>
  <property fmtid="{D5CDD505-2E9C-101B-9397-08002B2CF9AE}" pid="46" name="_EmailSubject">
    <vt:lpwstr>Publishing of NHHA [DLM=For-Official-Use-Only]</vt:lpwstr>
  </property>
  <property fmtid="{D5CDD505-2E9C-101B-9397-08002B2CF9AE}" pid="47" name="_AuthorEmail">
    <vt:lpwstr>Helen.Sykes@treasury.gov.au</vt:lpwstr>
  </property>
  <property fmtid="{D5CDD505-2E9C-101B-9397-08002B2CF9AE}" pid="48" name="_AuthorEmailDisplayName">
    <vt:lpwstr>Sykes, Helen</vt:lpwstr>
  </property>
  <property fmtid="{D5CDD505-2E9C-101B-9397-08002B2CF9AE}" pid="49" name="_PreviousAdHocReviewCycleID">
    <vt:i4>-778322736</vt:i4>
  </property>
</Properties>
</file>