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2815" w14:textId="5DBBF8C3" w:rsidR="008D7907" w:rsidRDefault="008D7907" w:rsidP="008D7907">
      <w:pPr>
        <w:jc w:val="right"/>
        <w:rPr>
          <w:rFonts w:ascii="Consolas" w:eastAsiaTheme="majorEastAsia" w:hAnsi="Consolas" w:cs="Consolas"/>
          <w:bCs/>
          <w:color w:val="3D4B67"/>
          <w:sz w:val="32"/>
          <w:szCs w:val="32"/>
          <w:lang w:bidi="en-US"/>
        </w:rPr>
      </w:pPr>
      <w:r>
        <w:rPr>
          <w:rFonts w:ascii="Consolas" w:eastAsiaTheme="majorEastAsia" w:hAnsi="Consolas" w:cs="Consolas"/>
          <w:bCs/>
          <w:color w:val="3D4B67"/>
          <w:sz w:val="32"/>
          <w:szCs w:val="32"/>
          <w:lang w:bidi="en-US"/>
        </w:rPr>
        <w:t>SCHEDULE E</w:t>
      </w:r>
    </w:p>
    <w:p w14:paraId="110D81A0" w14:textId="77777777" w:rsidR="008D7907" w:rsidRDefault="008D7907" w:rsidP="008D7907">
      <w:pPr>
        <w:rPr>
          <w:rFonts w:ascii="Consolas" w:eastAsiaTheme="majorEastAsia" w:hAnsi="Consolas" w:cs="Consolas"/>
          <w:bCs/>
          <w:color w:val="3D4B67"/>
          <w:sz w:val="32"/>
          <w:szCs w:val="32"/>
          <w:lang w:bidi="en-US"/>
        </w:rPr>
      </w:pPr>
      <w:r>
        <w:rPr>
          <w:rFonts w:ascii="Consolas" w:eastAsiaTheme="majorEastAsia" w:hAnsi="Consolas" w:cs="Consolas"/>
          <w:bCs/>
          <w:color w:val="3D4B67"/>
          <w:sz w:val="32"/>
          <w:szCs w:val="32"/>
          <w:lang w:bidi="en-US"/>
        </w:rPr>
        <w:t xml:space="preserve">HOUSING AND HOMELESSNESS DATA IMPROVEMENT PLAN </w:t>
      </w:r>
    </w:p>
    <w:p w14:paraId="4E32A25A" w14:textId="77777777" w:rsidR="008D7907" w:rsidRDefault="008D7907" w:rsidP="008D7907">
      <w:pPr>
        <w:rPr>
          <w:rFonts w:ascii="Consolas" w:eastAsiaTheme="majorEastAsia" w:hAnsi="Consolas" w:cs="Consolas"/>
          <w:bCs/>
          <w:color w:val="3D4B67"/>
          <w:sz w:val="32"/>
          <w:szCs w:val="32"/>
          <w:lang w:bidi="en-US"/>
        </w:rPr>
      </w:pPr>
      <w:r>
        <w:rPr>
          <w:rFonts w:ascii="Consolas" w:eastAsiaTheme="majorEastAsia" w:hAnsi="Consolas" w:cs="Consolas"/>
          <w:bCs/>
          <w:color w:val="3D4B67"/>
          <w:sz w:val="32"/>
          <w:szCs w:val="32"/>
          <w:lang w:bidi="en-US"/>
        </w:rPr>
        <w:t>2019-2023</w:t>
      </w:r>
    </w:p>
    <w:p w14:paraId="078B3EA0" w14:textId="77777777" w:rsidR="008D7907" w:rsidRDefault="008D7907" w:rsidP="008D7907">
      <w:pPr>
        <w:pStyle w:val="FootnoteText"/>
        <w:tabs>
          <w:tab w:val="clear" w:pos="284"/>
          <w:tab w:val="left" w:pos="142"/>
        </w:tabs>
        <w:rPr>
          <w:color w:val="auto"/>
          <w:sz w:val="23"/>
          <w:szCs w:val="23"/>
        </w:rPr>
      </w:pPr>
      <w:r>
        <w:rPr>
          <w:rFonts w:eastAsiaTheme="minorHAnsi" w:cs="Corbel"/>
          <w:b/>
          <w:bCs/>
          <w:color w:val="3D4B67"/>
          <w:sz w:val="23"/>
          <w:szCs w:val="23"/>
          <w:lang w:eastAsia="en-US"/>
        </w:rPr>
        <w:t>Preliminaries</w:t>
      </w:r>
    </w:p>
    <w:p w14:paraId="03EE3122" w14:textId="77777777" w:rsidR="008D7907"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Pr>
          <w:rFonts w:cstheme="minorHAnsi"/>
          <w:color w:val="auto"/>
          <w:sz w:val="22"/>
          <w:szCs w:val="22"/>
        </w:rPr>
        <w:t>This schedule outlines the Housing and Homelessness Data Improvement Plan (the Plan) developed by the Housing and Homelessness Data Working Group (HHDWG),</w:t>
      </w:r>
      <w:r w:rsidRPr="000B6924">
        <w:rPr>
          <w:rFonts w:cstheme="minorHAnsi"/>
          <w:color w:val="auto"/>
          <w:sz w:val="22"/>
          <w:szCs w:val="22"/>
        </w:rPr>
        <w:t xml:space="preserve"> </w:t>
      </w:r>
      <w:r>
        <w:rPr>
          <w:rFonts w:cstheme="minorHAnsi"/>
          <w:color w:val="auto"/>
          <w:sz w:val="22"/>
          <w:szCs w:val="22"/>
        </w:rPr>
        <w:t>as prescribed in Schedule C of this Agreement, and constitutes an output of this Agreement, per sub-clause 17(d).</w:t>
      </w:r>
    </w:p>
    <w:p w14:paraId="63DF90E2" w14:textId="77777777" w:rsidR="008D7907"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sidRPr="001712FD">
        <w:rPr>
          <w:rFonts w:cstheme="minorHAnsi"/>
          <w:color w:val="auto"/>
          <w:sz w:val="22"/>
          <w:szCs w:val="22"/>
        </w:rPr>
        <w:t>The schedule summarises</w:t>
      </w:r>
      <w:r w:rsidRPr="0052583D">
        <w:rPr>
          <w:rFonts w:cstheme="minorHAnsi"/>
          <w:color w:val="auto"/>
          <w:sz w:val="22"/>
          <w:szCs w:val="22"/>
        </w:rPr>
        <w:t xml:space="preserve"> the data improvements, timelines and responsible parties for agreed data improvements. </w:t>
      </w:r>
    </w:p>
    <w:p w14:paraId="12C61C66" w14:textId="77777777" w:rsidR="008D7907" w:rsidRPr="001712FD"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Pr>
          <w:rFonts w:cstheme="minorHAnsi"/>
          <w:color w:val="auto"/>
          <w:sz w:val="22"/>
          <w:szCs w:val="22"/>
        </w:rPr>
        <w:t>For the avoidance of doubt, the Commonwealth’s estimated financial contributions to the States and Territories will not be reduced if the agreed outcomes set out in E6 are not achieved within the funding committed under E5.</w:t>
      </w:r>
    </w:p>
    <w:p w14:paraId="553C36EA" w14:textId="77777777" w:rsidR="008D7907"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sidRPr="00FF1EB6">
        <w:rPr>
          <w:rFonts w:cstheme="minorHAnsi"/>
          <w:color w:val="auto"/>
          <w:sz w:val="22"/>
          <w:szCs w:val="22"/>
        </w:rPr>
        <w:t xml:space="preserve">The </w:t>
      </w:r>
      <w:r>
        <w:rPr>
          <w:rFonts w:cstheme="minorHAnsi"/>
          <w:color w:val="auto"/>
          <w:sz w:val="22"/>
          <w:szCs w:val="22"/>
        </w:rPr>
        <w:t>HHDWG</w:t>
      </w:r>
      <w:r w:rsidRPr="00FF1EB6">
        <w:rPr>
          <w:rFonts w:cstheme="minorHAnsi"/>
          <w:color w:val="auto"/>
          <w:sz w:val="22"/>
          <w:szCs w:val="22"/>
        </w:rPr>
        <w:t xml:space="preserve"> will provide annual reports to </w:t>
      </w:r>
      <w:r>
        <w:rPr>
          <w:rFonts w:cstheme="minorHAnsi"/>
          <w:color w:val="auto"/>
          <w:sz w:val="22"/>
          <w:szCs w:val="22"/>
        </w:rPr>
        <w:t xml:space="preserve">the </w:t>
      </w:r>
      <w:r w:rsidRPr="00FF1EB6">
        <w:rPr>
          <w:rFonts w:cstheme="minorHAnsi"/>
          <w:color w:val="auto"/>
          <w:sz w:val="22"/>
          <w:szCs w:val="22"/>
        </w:rPr>
        <w:t>H</w:t>
      </w:r>
      <w:r>
        <w:rPr>
          <w:rFonts w:cstheme="minorHAnsi"/>
          <w:color w:val="auto"/>
          <w:sz w:val="22"/>
          <w:szCs w:val="22"/>
        </w:rPr>
        <w:t xml:space="preserve">ousing and </w:t>
      </w:r>
      <w:r w:rsidRPr="00FF1EB6">
        <w:rPr>
          <w:rFonts w:cstheme="minorHAnsi"/>
          <w:color w:val="auto"/>
          <w:sz w:val="22"/>
          <w:szCs w:val="22"/>
        </w:rPr>
        <w:t>H</w:t>
      </w:r>
      <w:r>
        <w:rPr>
          <w:rFonts w:cstheme="minorHAnsi"/>
          <w:color w:val="auto"/>
          <w:sz w:val="22"/>
          <w:szCs w:val="22"/>
        </w:rPr>
        <w:t xml:space="preserve">omelessness </w:t>
      </w:r>
      <w:r w:rsidRPr="00FF1EB6">
        <w:rPr>
          <w:rFonts w:cstheme="minorHAnsi"/>
          <w:color w:val="auto"/>
          <w:sz w:val="22"/>
          <w:szCs w:val="22"/>
        </w:rPr>
        <w:t>S</w:t>
      </w:r>
      <w:r>
        <w:rPr>
          <w:rFonts w:cstheme="minorHAnsi"/>
          <w:color w:val="auto"/>
          <w:sz w:val="22"/>
          <w:szCs w:val="22"/>
        </w:rPr>
        <w:t xml:space="preserve">enior </w:t>
      </w:r>
      <w:r w:rsidRPr="00FF1EB6">
        <w:rPr>
          <w:rFonts w:cstheme="minorHAnsi"/>
          <w:color w:val="auto"/>
          <w:sz w:val="22"/>
          <w:szCs w:val="22"/>
        </w:rPr>
        <w:t>O</w:t>
      </w:r>
      <w:r>
        <w:rPr>
          <w:rFonts w:cstheme="minorHAnsi"/>
          <w:color w:val="auto"/>
          <w:sz w:val="22"/>
          <w:szCs w:val="22"/>
        </w:rPr>
        <w:t xml:space="preserve">fficials’ </w:t>
      </w:r>
      <w:r w:rsidRPr="00FF1EB6">
        <w:rPr>
          <w:rFonts w:cstheme="minorHAnsi"/>
          <w:color w:val="auto"/>
          <w:sz w:val="22"/>
          <w:szCs w:val="22"/>
        </w:rPr>
        <w:t>N</w:t>
      </w:r>
      <w:r>
        <w:rPr>
          <w:rFonts w:cstheme="minorHAnsi"/>
          <w:color w:val="auto"/>
          <w:sz w:val="22"/>
          <w:szCs w:val="22"/>
        </w:rPr>
        <w:t>etwork</w:t>
      </w:r>
      <w:r w:rsidRPr="00FF1EB6">
        <w:rPr>
          <w:rFonts w:cstheme="minorHAnsi"/>
          <w:color w:val="auto"/>
          <w:sz w:val="22"/>
          <w:szCs w:val="22"/>
        </w:rPr>
        <w:t>, Heads of Treasuries Deputies, and Housing and Homelessness Ministers on progress towards implementing the data improvement activities outlined in the table below, as well as a final report. Schedule C sets out the timeframes for these reports.</w:t>
      </w:r>
    </w:p>
    <w:p w14:paraId="0213A240" w14:textId="77777777" w:rsidR="008D7907" w:rsidRPr="00A06642"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sidRPr="00A06642">
        <w:rPr>
          <w:rFonts w:cstheme="minorHAnsi"/>
          <w:color w:val="auto"/>
          <w:sz w:val="22"/>
          <w:szCs w:val="22"/>
        </w:rPr>
        <w:t xml:space="preserve">The Commonwealth Government has committed $4.8 million to data improvement activities in this schedule. Each State and Territory Government will collectively match, at a minimum, the Commonwealth contribution, based on population. Overall, there will be a fixed contribution to the pooled fund of $9.6 </w:t>
      </w:r>
      <w:r w:rsidRPr="0050289F">
        <w:rPr>
          <w:rFonts w:cstheme="minorHAnsi"/>
          <w:color w:val="auto"/>
          <w:sz w:val="22"/>
          <w:szCs w:val="22"/>
        </w:rPr>
        <w:t>million.</w:t>
      </w:r>
      <w:r w:rsidRPr="00A06642">
        <w:rPr>
          <w:rFonts w:cstheme="minorHAnsi"/>
          <w:color w:val="auto"/>
          <w:sz w:val="22"/>
          <w:szCs w:val="22"/>
        </w:rPr>
        <w:t xml:space="preserve"> </w:t>
      </w:r>
    </w:p>
    <w:p w14:paraId="464432AA" w14:textId="77777777" w:rsidR="008D7907"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sidRPr="00FF1EB6">
        <w:rPr>
          <w:rFonts w:cstheme="minorHAnsi"/>
          <w:color w:val="auto"/>
          <w:sz w:val="22"/>
          <w:szCs w:val="22"/>
        </w:rPr>
        <w:t xml:space="preserve">In the period up to 30 June 2023, the Commonwealth and States and Territories will undertake the following actions towards continuous improvement of housing and homelessness data under this Agreement. </w:t>
      </w:r>
    </w:p>
    <w:p w14:paraId="41586D31" w14:textId="77777777" w:rsidR="008D7907" w:rsidRDefault="008D7907" w:rsidP="008D7907">
      <w:pPr>
        <w:pStyle w:val="FootnoteText"/>
        <w:tabs>
          <w:tab w:val="clear" w:pos="284"/>
          <w:tab w:val="left" w:pos="142"/>
        </w:tabs>
        <w:spacing w:after="240"/>
        <w:rPr>
          <w:color w:val="auto"/>
          <w:sz w:val="23"/>
          <w:szCs w:val="23"/>
        </w:rPr>
      </w:pPr>
      <w:r w:rsidRPr="00B31AEC">
        <w:rPr>
          <w:rFonts w:eastAsiaTheme="minorHAnsi" w:cs="Corbel"/>
          <w:b/>
          <w:bCs/>
          <w:color w:val="3D4B67"/>
          <w:sz w:val="23"/>
          <w:szCs w:val="23"/>
          <w:lang w:eastAsia="en-US"/>
        </w:rPr>
        <w:t>Agreed data improvements</w:t>
      </w:r>
    </w:p>
    <w:tbl>
      <w:tblPr>
        <w:tblStyle w:val="TableGrid"/>
        <w:tblW w:w="9209" w:type="dxa"/>
        <w:tblLook w:val="04A0" w:firstRow="1" w:lastRow="0" w:firstColumn="1" w:lastColumn="0" w:noHBand="0" w:noVBand="1"/>
      </w:tblPr>
      <w:tblGrid>
        <w:gridCol w:w="3709"/>
        <w:gridCol w:w="5500"/>
      </w:tblGrid>
      <w:tr w:rsidR="008D7907" w:rsidRPr="00D25EF8" w14:paraId="5C4A97B1" w14:textId="77777777" w:rsidTr="00B97F62">
        <w:trPr>
          <w:trHeight w:val="191"/>
        </w:trPr>
        <w:tc>
          <w:tcPr>
            <w:tcW w:w="3709" w:type="dxa"/>
            <w:vAlign w:val="center"/>
          </w:tcPr>
          <w:p w14:paraId="7861BB93" w14:textId="4804E16E" w:rsidR="008D7907" w:rsidRPr="00D25EF8" w:rsidRDefault="008D7907" w:rsidP="00B97F62">
            <w:pPr>
              <w:pStyle w:val="FootnoteText"/>
              <w:tabs>
                <w:tab w:val="clear" w:pos="284"/>
                <w:tab w:val="left" w:pos="142"/>
              </w:tabs>
              <w:spacing w:after="240"/>
              <w:jc w:val="center"/>
              <w:rPr>
                <w:rFonts w:eastAsiaTheme="minorHAnsi" w:cs="Corbel"/>
                <w:b/>
                <w:bCs/>
                <w:color w:val="3D4B67"/>
                <w:sz w:val="22"/>
                <w:szCs w:val="22"/>
                <w:lang w:eastAsia="en-US"/>
              </w:rPr>
            </w:pPr>
            <w:r>
              <w:rPr>
                <w:rFonts w:eastAsiaTheme="minorHAnsi" w:cs="Corbel"/>
                <w:b/>
                <w:bCs/>
                <w:color w:val="3D4B67"/>
                <w:sz w:val="22"/>
                <w:szCs w:val="22"/>
                <w:lang w:eastAsia="en-US"/>
              </w:rPr>
              <w:t>NHHA Indicator</w:t>
            </w:r>
          </w:p>
        </w:tc>
        <w:tc>
          <w:tcPr>
            <w:tcW w:w="5500" w:type="dxa"/>
            <w:vAlign w:val="center"/>
          </w:tcPr>
          <w:p w14:paraId="5866013E" w14:textId="77777777" w:rsidR="008D7907" w:rsidRPr="00D25EF8" w:rsidRDefault="008D7907" w:rsidP="00B97F62">
            <w:pPr>
              <w:pStyle w:val="FootnoteText"/>
              <w:tabs>
                <w:tab w:val="clear" w:pos="284"/>
                <w:tab w:val="left" w:pos="142"/>
              </w:tabs>
              <w:spacing w:after="240"/>
              <w:jc w:val="center"/>
              <w:rPr>
                <w:color w:val="auto"/>
                <w:sz w:val="22"/>
                <w:szCs w:val="22"/>
              </w:rPr>
            </w:pPr>
            <w:r w:rsidRPr="00D25EF8">
              <w:rPr>
                <w:rFonts w:eastAsiaTheme="minorHAnsi" w:cs="Corbel"/>
                <w:b/>
                <w:bCs/>
                <w:color w:val="3D4B67"/>
                <w:sz w:val="22"/>
                <w:szCs w:val="22"/>
                <w:lang w:eastAsia="en-US"/>
              </w:rPr>
              <w:t xml:space="preserve">Agreed </w:t>
            </w:r>
            <w:r>
              <w:rPr>
                <w:rFonts w:eastAsiaTheme="minorHAnsi" w:cs="Corbel"/>
                <w:b/>
                <w:bCs/>
                <w:color w:val="3D4B67"/>
                <w:sz w:val="22"/>
                <w:szCs w:val="22"/>
                <w:lang w:eastAsia="en-US"/>
              </w:rPr>
              <w:t>outcome</w:t>
            </w:r>
          </w:p>
        </w:tc>
      </w:tr>
      <w:tr w:rsidR="008D7907" w:rsidRPr="001B5B99" w:rsidDel="007164C9" w14:paraId="5695F1B9" w14:textId="77777777" w:rsidTr="00E05CE2">
        <w:trPr>
          <w:trHeight w:val="383"/>
        </w:trPr>
        <w:tc>
          <w:tcPr>
            <w:tcW w:w="3709" w:type="dxa"/>
          </w:tcPr>
          <w:p w14:paraId="34AA37EB" w14:textId="77777777" w:rsidR="008D7907" w:rsidRPr="001B5B99" w:rsidRDefault="008D7907" w:rsidP="00E05CE2">
            <w:pPr>
              <w:pStyle w:val="NoSpacing"/>
              <w:rPr>
                <w:rFonts w:ascii="Corbel" w:hAnsi="Corbel"/>
                <w:sz w:val="20"/>
                <w:szCs w:val="20"/>
              </w:rPr>
            </w:pPr>
            <w:r w:rsidRPr="001B5B99">
              <w:rPr>
                <w:rFonts w:ascii="Corbel" w:hAnsi="Corbel"/>
                <w:sz w:val="20"/>
                <w:szCs w:val="20"/>
                <w:u w:val="single"/>
              </w:rPr>
              <w:t>NHHA indicator</w:t>
            </w:r>
            <w:r w:rsidRPr="001B5B99">
              <w:rPr>
                <w:rFonts w:ascii="Corbel" w:hAnsi="Corbel"/>
                <w:sz w:val="20"/>
                <w:szCs w:val="20"/>
              </w:rPr>
              <w:t xml:space="preserve"> </w:t>
            </w:r>
          </w:p>
          <w:p w14:paraId="01300B51" w14:textId="77777777" w:rsidR="008D7907" w:rsidRPr="001B5B99" w:rsidRDefault="008D7907" w:rsidP="00E05CE2">
            <w:pPr>
              <w:pStyle w:val="NoSpacing"/>
              <w:rPr>
                <w:rFonts w:ascii="Corbel" w:hAnsi="Corbel"/>
                <w:sz w:val="20"/>
                <w:szCs w:val="20"/>
                <w:u w:val="single"/>
              </w:rPr>
            </w:pPr>
            <w:r w:rsidRPr="001B5B99">
              <w:rPr>
                <w:rFonts w:ascii="Corbel" w:hAnsi="Corbel"/>
                <w:sz w:val="20"/>
                <w:szCs w:val="20"/>
              </w:rPr>
              <w:t>(a)  the total number of dwellings relative to the population</w:t>
            </w:r>
          </w:p>
        </w:tc>
        <w:tc>
          <w:tcPr>
            <w:tcW w:w="5500" w:type="dxa"/>
          </w:tcPr>
          <w:p w14:paraId="2B2EC6D8" w14:textId="77777777" w:rsidR="008D7907" w:rsidRPr="001B5B99" w:rsidRDefault="008D7907" w:rsidP="00E05CE2">
            <w:pPr>
              <w:spacing w:after="0"/>
              <w:rPr>
                <w:rFonts w:ascii="Corbel" w:hAnsi="Corbel" w:cs="Corbel"/>
                <w:bCs/>
                <w:sz w:val="20"/>
                <w:szCs w:val="20"/>
              </w:rPr>
            </w:pPr>
            <w:r>
              <w:rPr>
                <w:rFonts w:ascii="Corbel" w:hAnsi="Corbel" w:cs="Corbel"/>
                <w:bCs/>
                <w:sz w:val="20"/>
                <w:szCs w:val="20"/>
              </w:rPr>
              <w:t>From 1 July 2018, t</w:t>
            </w:r>
            <w:r w:rsidRPr="001B5B99">
              <w:rPr>
                <w:rFonts w:ascii="Corbel" w:hAnsi="Corbel" w:cs="Corbel"/>
                <w:bCs/>
                <w:sz w:val="20"/>
                <w:szCs w:val="20"/>
              </w:rPr>
              <w:t>he A</w:t>
            </w:r>
            <w:r>
              <w:rPr>
                <w:rFonts w:ascii="Corbel" w:hAnsi="Corbel" w:cs="Corbel"/>
                <w:bCs/>
                <w:sz w:val="20"/>
                <w:szCs w:val="20"/>
              </w:rPr>
              <w:t xml:space="preserve">ustralian </w:t>
            </w:r>
            <w:r w:rsidRPr="001B5B99">
              <w:rPr>
                <w:rFonts w:ascii="Corbel" w:hAnsi="Corbel" w:cs="Corbel"/>
                <w:bCs/>
                <w:sz w:val="20"/>
                <w:szCs w:val="20"/>
              </w:rPr>
              <w:t>B</w:t>
            </w:r>
            <w:r>
              <w:rPr>
                <w:rFonts w:ascii="Corbel" w:hAnsi="Corbel" w:cs="Corbel"/>
                <w:bCs/>
                <w:sz w:val="20"/>
                <w:szCs w:val="20"/>
              </w:rPr>
              <w:t xml:space="preserve">ureau of </w:t>
            </w:r>
            <w:r w:rsidRPr="001B5B99">
              <w:rPr>
                <w:rFonts w:ascii="Corbel" w:hAnsi="Corbel" w:cs="Corbel"/>
                <w:bCs/>
                <w:sz w:val="20"/>
                <w:szCs w:val="20"/>
              </w:rPr>
              <w:t>S</w:t>
            </w:r>
            <w:r>
              <w:rPr>
                <w:rFonts w:ascii="Corbel" w:hAnsi="Corbel" w:cs="Corbel"/>
                <w:bCs/>
                <w:sz w:val="20"/>
                <w:szCs w:val="20"/>
              </w:rPr>
              <w:t>tatistics (ABS)</w:t>
            </w:r>
            <w:r w:rsidRPr="001B5B99">
              <w:rPr>
                <w:rFonts w:ascii="Corbel" w:hAnsi="Corbel" w:cs="Corbel"/>
                <w:bCs/>
                <w:sz w:val="20"/>
                <w:szCs w:val="20"/>
              </w:rPr>
              <w:t xml:space="preserve"> will explore the collection of additional data on dwelling demolitions and completions in order to comprehensively measure and classify total dwelling stock in Australia, in between each 5-yearly Census of Population and Housing.  Stock measures will be available at low levels of geography (LGA/SA2) and classified according to relevant dwelling characteristics.  </w:t>
            </w:r>
          </w:p>
          <w:p w14:paraId="3C8F0A96" w14:textId="77777777" w:rsidR="008D7907" w:rsidRPr="001B5B99" w:rsidDel="007164C9" w:rsidRDefault="008D7907" w:rsidP="00E05CE2">
            <w:pPr>
              <w:pStyle w:val="NoSpacing"/>
              <w:rPr>
                <w:rFonts w:ascii="Corbel" w:hAnsi="Corbel" w:cs="Corbel"/>
                <w:bCs/>
                <w:sz w:val="20"/>
                <w:szCs w:val="20"/>
              </w:rPr>
            </w:pPr>
          </w:p>
        </w:tc>
      </w:tr>
      <w:tr w:rsidR="008D7907" w:rsidRPr="001B5B99" w14:paraId="7919BB76" w14:textId="77777777" w:rsidTr="00E05CE2">
        <w:trPr>
          <w:trHeight w:val="383"/>
        </w:trPr>
        <w:tc>
          <w:tcPr>
            <w:tcW w:w="3709" w:type="dxa"/>
          </w:tcPr>
          <w:p w14:paraId="51672477" w14:textId="77777777" w:rsidR="008D7907" w:rsidRPr="001B5B99" w:rsidRDefault="008D7907" w:rsidP="00E05CE2">
            <w:pPr>
              <w:pStyle w:val="NoSpacing"/>
              <w:rPr>
                <w:rFonts w:ascii="Corbel" w:hAnsi="Corbel"/>
                <w:sz w:val="20"/>
                <w:szCs w:val="20"/>
              </w:rPr>
            </w:pPr>
            <w:r w:rsidRPr="001B5B99">
              <w:rPr>
                <w:rFonts w:ascii="Corbel" w:hAnsi="Corbel"/>
                <w:sz w:val="20"/>
                <w:szCs w:val="20"/>
                <w:u w:val="single"/>
              </w:rPr>
              <w:t>NHHA indicator</w:t>
            </w:r>
            <w:r w:rsidRPr="001B5B99">
              <w:rPr>
                <w:rFonts w:ascii="Corbel" w:hAnsi="Corbel"/>
                <w:sz w:val="20"/>
                <w:szCs w:val="20"/>
              </w:rPr>
              <w:t xml:space="preserve"> </w:t>
            </w:r>
          </w:p>
          <w:p w14:paraId="7CEED666" w14:textId="77777777" w:rsidR="008D7907" w:rsidRPr="001B5B99" w:rsidRDefault="008D7907" w:rsidP="00E05CE2">
            <w:pPr>
              <w:pStyle w:val="NoSpacing"/>
              <w:rPr>
                <w:rFonts w:ascii="Corbel" w:hAnsi="Corbel"/>
                <w:sz w:val="20"/>
                <w:szCs w:val="20"/>
              </w:rPr>
            </w:pPr>
            <w:r w:rsidRPr="001B5B99">
              <w:rPr>
                <w:rFonts w:ascii="Corbel" w:hAnsi="Corbel"/>
                <w:sz w:val="20"/>
                <w:szCs w:val="20"/>
              </w:rPr>
              <w:t>(d) an increase in the proportion of social housing occupants that are housed in homes that match their needs</w:t>
            </w:r>
          </w:p>
          <w:p w14:paraId="71A3F9D8" w14:textId="77777777" w:rsidR="008D7907" w:rsidRPr="001B5B99" w:rsidRDefault="008D7907" w:rsidP="00E05CE2">
            <w:pPr>
              <w:pStyle w:val="NoSpacing"/>
              <w:rPr>
                <w:rFonts w:ascii="Corbel" w:hAnsi="Corbel"/>
                <w:sz w:val="20"/>
                <w:szCs w:val="20"/>
                <w:u w:val="single"/>
              </w:rPr>
            </w:pPr>
          </w:p>
        </w:tc>
        <w:tc>
          <w:tcPr>
            <w:tcW w:w="5500" w:type="dxa"/>
          </w:tcPr>
          <w:p w14:paraId="3AB4B7CC" w14:textId="77777777" w:rsidR="008D7907" w:rsidRDefault="008D7907" w:rsidP="00E05CE2">
            <w:pPr>
              <w:spacing w:after="0"/>
              <w:rPr>
                <w:rFonts w:ascii="Corbel" w:hAnsi="Corbel"/>
                <w:sz w:val="20"/>
                <w:szCs w:val="20"/>
              </w:rPr>
            </w:pPr>
            <w:r w:rsidRPr="000A4AFB">
              <w:rPr>
                <w:rFonts w:ascii="Corbel" w:hAnsi="Corbel"/>
                <w:sz w:val="20"/>
                <w:szCs w:val="20"/>
              </w:rPr>
              <w:t xml:space="preserve">From </w:t>
            </w:r>
            <w:r w:rsidRPr="0050289F">
              <w:rPr>
                <w:rFonts w:ascii="Corbel" w:hAnsi="Corbel"/>
                <w:sz w:val="20"/>
                <w:szCs w:val="20"/>
              </w:rPr>
              <w:t>1 July 2020</w:t>
            </w:r>
            <w:r w:rsidRPr="000A4AFB">
              <w:rPr>
                <w:rFonts w:ascii="Corbel" w:hAnsi="Corbel"/>
                <w:sz w:val="20"/>
                <w:szCs w:val="20"/>
              </w:rPr>
              <w:t xml:space="preserve">, the Australian Housing and Urban Research Institute (AHURI) will lead research and engage policy stakeholders to establish a working </w:t>
            </w:r>
            <w:r>
              <w:rPr>
                <w:rFonts w:ascii="Corbel" w:hAnsi="Corbel"/>
                <w:sz w:val="20"/>
                <w:szCs w:val="20"/>
              </w:rPr>
              <w:t>group</w:t>
            </w:r>
            <w:r w:rsidRPr="000A4AFB">
              <w:rPr>
                <w:rFonts w:ascii="Corbel" w:hAnsi="Corbel"/>
                <w:sz w:val="20"/>
                <w:szCs w:val="20"/>
              </w:rPr>
              <w:t xml:space="preserve"> to review the Canadian National Occupancy Standard (CNOS) measure to ensure its relevance and accuracy in depicting utilisation </w:t>
            </w:r>
            <w:r w:rsidRPr="000A4AFB">
              <w:rPr>
                <w:rFonts w:ascii="Corbel" w:hAnsi="Corbel"/>
                <w:sz w:val="20"/>
                <w:szCs w:val="20"/>
              </w:rPr>
              <w:lastRenderedPageBreak/>
              <w:t>especially for particular groups such as Aboriginal and Torres Strait Islander people and potentially people who are Culturally and Linguistically Diverse (CALD). The research will also consider new stress measures of overcrowding relevant to Indigenous households and Closing the Gap.</w:t>
            </w:r>
          </w:p>
          <w:p w14:paraId="41FBEF57" w14:textId="77777777" w:rsidR="008D7907" w:rsidRPr="001B5B99" w:rsidRDefault="008D7907" w:rsidP="00E05CE2">
            <w:pPr>
              <w:pStyle w:val="NoSpacing"/>
              <w:tabs>
                <w:tab w:val="left" w:pos="0"/>
              </w:tabs>
              <w:spacing w:after="240"/>
              <w:rPr>
                <w:rFonts w:ascii="Corbel" w:hAnsi="Corbel"/>
                <w:sz w:val="20"/>
                <w:szCs w:val="20"/>
              </w:rPr>
            </w:pPr>
          </w:p>
        </w:tc>
      </w:tr>
      <w:tr w:rsidR="008D7907" w:rsidRPr="001B5B99" w14:paraId="1ECF425C" w14:textId="77777777" w:rsidTr="00E05CE2">
        <w:trPr>
          <w:trHeight w:val="383"/>
        </w:trPr>
        <w:tc>
          <w:tcPr>
            <w:tcW w:w="3709" w:type="dxa"/>
          </w:tcPr>
          <w:p w14:paraId="6B399C6B" w14:textId="77777777" w:rsidR="008D7907" w:rsidRPr="001B5B99" w:rsidRDefault="008D7907" w:rsidP="00E05CE2">
            <w:pPr>
              <w:pStyle w:val="NoSpacing"/>
              <w:rPr>
                <w:rFonts w:ascii="Corbel" w:hAnsi="Corbel"/>
                <w:sz w:val="20"/>
                <w:szCs w:val="20"/>
              </w:rPr>
            </w:pPr>
            <w:r w:rsidRPr="001B5B99">
              <w:rPr>
                <w:rFonts w:ascii="Corbel" w:hAnsi="Corbel"/>
                <w:sz w:val="20"/>
                <w:szCs w:val="20"/>
                <w:u w:val="single"/>
              </w:rPr>
              <w:lastRenderedPageBreak/>
              <w:t>NHHA indicator</w:t>
            </w:r>
            <w:r w:rsidRPr="001B5B99">
              <w:rPr>
                <w:rFonts w:ascii="Corbel" w:hAnsi="Corbel"/>
                <w:sz w:val="20"/>
                <w:szCs w:val="20"/>
              </w:rPr>
              <w:t xml:space="preserve"> </w:t>
            </w:r>
          </w:p>
          <w:p w14:paraId="1C32AD22" w14:textId="77777777" w:rsidR="008D7907" w:rsidRPr="001B5B99" w:rsidRDefault="008D7907" w:rsidP="00E05CE2">
            <w:pPr>
              <w:pStyle w:val="NoSpacing"/>
              <w:rPr>
                <w:rFonts w:ascii="Corbel" w:hAnsi="Corbel"/>
                <w:sz w:val="20"/>
                <w:szCs w:val="20"/>
              </w:rPr>
            </w:pPr>
            <w:r w:rsidRPr="001B5B99">
              <w:rPr>
                <w:rFonts w:ascii="Corbel" w:hAnsi="Corbel"/>
                <w:sz w:val="20"/>
                <w:szCs w:val="20"/>
              </w:rPr>
              <w:t>(g) a decrease in the number of people experiencing homelessness</w:t>
            </w:r>
          </w:p>
          <w:p w14:paraId="5F28B95B" w14:textId="77777777" w:rsidR="008D7907" w:rsidRPr="001B5B99" w:rsidRDefault="008D7907" w:rsidP="00E05CE2">
            <w:pPr>
              <w:pStyle w:val="NoSpacing"/>
              <w:rPr>
                <w:rFonts w:ascii="Corbel" w:hAnsi="Corbel"/>
                <w:sz w:val="20"/>
                <w:szCs w:val="20"/>
                <w:u w:val="single"/>
              </w:rPr>
            </w:pPr>
          </w:p>
        </w:tc>
        <w:tc>
          <w:tcPr>
            <w:tcW w:w="5500" w:type="dxa"/>
          </w:tcPr>
          <w:p w14:paraId="385BC741" w14:textId="77777777" w:rsidR="008D7907" w:rsidRDefault="008D7907" w:rsidP="00E05CE2">
            <w:pPr>
              <w:autoSpaceDE w:val="0"/>
              <w:autoSpaceDN w:val="0"/>
              <w:adjustRightInd w:val="0"/>
              <w:spacing w:after="0" w:line="240" w:lineRule="auto"/>
              <w:rPr>
                <w:rFonts w:ascii="Corbel" w:hAnsi="Corbel"/>
                <w:sz w:val="20"/>
                <w:szCs w:val="20"/>
              </w:rPr>
            </w:pPr>
            <w:r>
              <w:rPr>
                <w:rFonts w:ascii="Corbel" w:hAnsi="Corbel"/>
                <w:sz w:val="20"/>
                <w:szCs w:val="20"/>
              </w:rPr>
              <w:t>From 1 July 2019, t</w:t>
            </w:r>
            <w:r w:rsidRPr="001B5B99">
              <w:rPr>
                <w:rFonts w:ascii="Corbel" w:hAnsi="Corbel"/>
                <w:sz w:val="20"/>
                <w:szCs w:val="20"/>
              </w:rPr>
              <w:t>he ABS will lead improvements in the enumeration, processing and estimation of homelessness</w:t>
            </w:r>
            <w:r>
              <w:rPr>
                <w:rFonts w:ascii="Corbel" w:hAnsi="Corbel"/>
                <w:sz w:val="20"/>
                <w:szCs w:val="20"/>
              </w:rPr>
              <w:t>, as part of the broader 2021 Census enhancements</w:t>
            </w:r>
            <w:r w:rsidRPr="001B5B99">
              <w:rPr>
                <w:rFonts w:ascii="Corbel" w:hAnsi="Corbel"/>
                <w:sz w:val="20"/>
                <w:szCs w:val="20"/>
              </w:rPr>
              <w:t>.</w:t>
            </w:r>
          </w:p>
          <w:p w14:paraId="33F7D15F" w14:textId="77777777" w:rsidR="008D7907" w:rsidRPr="001B5B99" w:rsidRDefault="008D7907" w:rsidP="00E05CE2">
            <w:pPr>
              <w:autoSpaceDE w:val="0"/>
              <w:autoSpaceDN w:val="0"/>
              <w:adjustRightInd w:val="0"/>
              <w:spacing w:after="0" w:line="240" w:lineRule="auto"/>
              <w:rPr>
                <w:rFonts w:ascii="Corbel" w:hAnsi="Corbel"/>
                <w:sz w:val="20"/>
                <w:szCs w:val="20"/>
              </w:rPr>
            </w:pPr>
          </w:p>
          <w:p w14:paraId="4527EB4C" w14:textId="77777777" w:rsidR="008D7907" w:rsidRDefault="008D7907" w:rsidP="00E05CE2">
            <w:pPr>
              <w:autoSpaceDE w:val="0"/>
              <w:autoSpaceDN w:val="0"/>
              <w:adjustRightInd w:val="0"/>
              <w:spacing w:after="0" w:line="240" w:lineRule="auto"/>
              <w:rPr>
                <w:rFonts w:ascii="Corbel" w:hAnsi="Corbel"/>
                <w:sz w:val="20"/>
                <w:szCs w:val="20"/>
              </w:rPr>
            </w:pPr>
            <w:r w:rsidRPr="00766376">
              <w:rPr>
                <w:rFonts w:ascii="Corbel" w:hAnsi="Corbel"/>
                <w:sz w:val="20"/>
                <w:szCs w:val="20"/>
              </w:rPr>
              <w:t xml:space="preserve">The ABS in consultation with all jurisdictions, the AIHW, homelessness peak bodies and service providers will </w:t>
            </w:r>
            <w:r w:rsidRPr="001B5B99">
              <w:rPr>
                <w:rFonts w:ascii="Corbel" w:hAnsi="Corbel"/>
                <w:sz w:val="20"/>
                <w:szCs w:val="20"/>
              </w:rPr>
              <w:t>improve the quality of supported accommodation information.</w:t>
            </w:r>
          </w:p>
          <w:p w14:paraId="277AAEE2" w14:textId="77777777" w:rsidR="008D7907" w:rsidRDefault="008D7907" w:rsidP="00E05CE2">
            <w:pPr>
              <w:autoSpaceDE w:val="0"/>
              <w:autoSpaceDN w:val="0"/>
              <w:adjustRightInd w:val="0"/>
              <w:spacing w:after="0" w:line="240" w:lineRule="auto"/>
              <w:rPr>
                <w:rFonts w:ascii="Corbel" w:hAnsi="Corbel"/>
                <w:sz w:val="20"/>
                <w:szCs w:val="20"/>
              </w:rPr>
            </w:pPr>
          </w:p>
          <w:p w14:paraId="2893D9A3" w14:textId="77777777" w:rsidR="008D7907" w:rsidRPr="001B5B99" w:rsidRDefault="008D7907" w:rsidP="00E05CE2">
            <w:pPr>
              <w:autoSpaceDE w:val="0"/>
              <w:autoSpaceDN w:val="0"/>
              <w:adjustRightInd w:val="0"/>
              <w:spacing w:after="0" w:line="240" w:lineRule="auto"/>
              <w:rPr>
                <w:rFonts w:ascii="Corbel" w:hAnsi="Corbel"/>
                <w:sz w:val="20"/>
                <w:szCs w:val="20"/>
              </w:rPr>
            </w:pPr>
            <w:r w:rsidRPr="00766376">
              <w:rPr>
                <w:rFonts w:ascii="Corbel" w:hAnsi="Corbel"/>
                <w:sz w:val="20"/>
                <w:szCs w:val="20"/>
              </w:rPr>
              <w:t>Measurement to commence in the 2021 Census, with homelessness estimates to be released in late 2022.</w:t>
            </w:r>
          </w:p>
          <w:p w14:paraId="4B110B45" w14:textId="77777777" w:rsidR="008D7907" w:rsidRPr="001B5B99" w:rsidRDefault="008D7907" w:rsidP="00E05CE2">
            <w:pPr>
              <w:autoSpaceDE w:val="0"/>
              <w:autoSpaceDN w:val="0"/>
              <w:adjustRightInd w:val="0"/>
              <w:spacing w:after="0" w:line="240" w:lineRule="auto"/>
              <w:rPr>
                <w:rFonts w:ascii="Corbel" w:hAnsi="Corbel"/>
                <w:sz w:val="20"/>
                <w:szCs w:val="20"/>
              </w:rPr>
            </w:pPr>
            <w:r w:rsidRPr="001B5B99">
              <w:rPr>
                <w:rFonts w:ascii="Corbel" w:hAnsi="Corbel"/>
                <w:sz w:val="20"/>
                <w:szCs w:val="20"/>
              </w:rPr>
              <w:t xml:space="preserve">The </w:t>
            </w:r>
            <w:r>
              <w:rPr>
                <w:rFonts w:ascii="Corbel" w:hAnsi="Corbel"/>
                <w:sz w:val="20"/>
                <w:szCs w:val="20"/>
              </w:rPr>
              <w:t>HHDWG</w:t>
            </w:r>
            <w:r w:rsidRPr="001B5B99">
              <w:rPr>
                <w:rFonts w:ascii="Corbel" w:hAnsi="Corbel"/>
                <w:sz w:val="20"/>
                <w:szCs w:val="20"/>
              </w:rPr>
              <w:t xml:space="preserve"> will </w:t>
            </w:r>
            <w:r>
              <w:rPr>
                <w:rFonts w:ascii="Corbel" w:hAnsi="Corbel"/>
                <w:sz w:val="20"/>
                <w:szCs w:val="20"/>
              </w:rPr>
              <w:t>determine</w:t>
            </w:r>
            <w:r w:rsidRPr="001B5B99">
              <w:rPr>
                <w:rFonts w:ascii="Corbel" w:hAnsi="Corbel"/>
                <w:sz w:val="20"/>
                <w:szCs w:val="20"/>
              </w:rPr>
              <w:t xml:space="preserve"> the value and relative priority in measuring the prevalence of homelessness more frequently</w:t>
            </w:r>
            <w:r>
              <w:rPr>
                <w:rFonts w:ascii="Corbel" w:hAnsi="Corbel"/>
                <w:sz w:val="20"/>
                <w:szCs w:val="20"/>
              </w:rPr>
              <w:t>, outside of the Census</w:t>
            </w:r>
            <w:r w:rsidRPr="001B5B99">
              <w:rPr>
                <w:rFonts w:ascii="Corbel" w:hAnsi="Corbel"/>
                <w:sz w:val="20"/>
                <w:szCs w:val="20"/>
              </w:rPr>
              <w:t>.</w:t>
            </w:r>
          </w:p>
          <w:p w14:paraId="67EA33BA" w14:textId="77777777" w:rsidR="008D7907" w:rsidRPr="001B5B99" w:rsidRDefault="008D7907" w:rsidP="00E05CE2">
            <w:pPr>
              <w:spacing w:after="0"/>
              <w:rPr>
                <w:rFonts w:ascii="Corbel" w:hAnsi="Corbel"/>
                <w:sz w:val="20"/>
                <w:szCs w:val="20"/>
              </w:rPr>
            </w:pPr>
          </w:p>
        </w:tc>
      </w:tr>
      <w:tr w:rsidR="008D7907" w:rsidRPr="001B5B99" w14:paraId="025A4AF0" w14:textId="77777777" w:rsidTr="00E05CE2">
        <w:trPr>
          <w:trHeight w:val="383"/>
        </w:trPr>
        <w:tc>
          <w:tcPr>
            <w:tcW w:w="3709" w:type="dxa"/>
          </w:tcPr>
          <w:p w14:paraId="10318A75" w14:textId="77777777" w:rsidR="008D7907" w:rsidRPr="0050289F" w:rsidRDefault="008D7907" w:rsidP="00E05CE2">
            <w:pPr>
              <w:pStyle w:val="NoSpacing"/>
              <w:rPr>
                <w:rFonts w:ascii="Corbel" w:hAnsi="Corbel"/>
                <w:sz w:val="20"/>
                <w:szCs w:val="20"/>
              </w:rPr>
            </w:pPr>
            <w:r w:rsidRPr="0050289F">
              <w:rPr>
                <w:rFonts w:ascii="Corbel" w:hAnsi="Corbel"/>
                <w:sz w:val="20"/>
                <w:szCs w:val="20"/>
                <w:u w:val="single"/>
              </w:rPr>
              <w:t>NHHA indicator</w:t>
            </w:r>
            <w:r w:rsidRPr="0050289F">
              <w:rPr>
                <w:rFonts w:ascii="Corbel" w:hAnsi="Corbel"/>
                <w:sz w:val="20"/>
                <w:szCs w:val="20"/>
              </w:rPr>
              <w:t xml:space="preserve"> </w:t>
            </w:r>
          </w:p>
          <w:p w14:paraId="57996579" w14:textId="77777777" w:rsidR="008D7907" w:rsidRPr="0050289F" w:rsidRDefault="008D7907" w:rsidP="00E05CE2">
            <w:pPr>
              <w:pStyle w:val="NoSpacing"/>
              <w:rPr>
                <w:rFonts w:ascii="Corbel" w:hAnsi="Corbel"/>
                <w:sz w:val="20"/>
                <w:szCs w:val="20"/>
              </w:rPr>
            </w:pPr>
            <w:r w:rsidRPr="0050289F">
              <w:rPr>
                <w:rFonts w:ascii="Corbel" w:hAnsi="Corbel"/>
                <w:sz w:val="20"/>
                <w:szCs w:val="20"/>
              </w:rPr>
              <w:t>(h) a decrease in the number of people that experience repeat homelessness</w:t>
            </w:r>
          </w:p>
          <w:p w14:paraId="32D6AAED" w14:textId="77777777" w:rsidR="008D7907" w:rsidRPr="0050289F" w:rsidRDefault="008D7907" w:rsidP="00E05CE2">
            <w:pPr>
              <w:pStyle w:val="NoSpacing"/>
              <w:rPr>
                <w:rFonts w:ascii="Corbel" w:hAnsi="Corbel"/>
                <w:sz w:val="20"/>
                <w:szCs w:val="20"/>
              </w:rPr>
            </w:pPr>
          </w:p>
          <w:p w14:paraId="70680303" w14:textId="77777777" w:rsidR="008D7907" w:rsidRPr="0050289F" w:rsidRDefault="008D7907" w:rsidP="00E05CE2">
            <w:pPr>
              <w:pStyle w:val="NoSpacing"/>
              <w:rPr>
                <w:rFonts w:ascii="Corbel" w:hAnsi="Corbel"/>
                <w:sz w:val="20"/>
                <w:szCs w:val="20"/>
              </w:rPr>
            </w:pPr>
            <w:r w:rsidRPr="0050289F">
              <w:rPr>
                <w:rFonts w:ascii="Corbel" w:hAnsi="Corbel"/>
                <w:sz w:val="20"/>
                <w:szCs w:val="20"/>
              </w:rPr>
              <w:t>(j) an increase in the proportion of people who are homeless that are assisted to achieve housing</w:t>
            </w:r>
          </w:p>
          <w:p w14:paraId="61487DC7" w14:textId="77777777" w:rsidR="008D7907" w:rsidRPr="0050289F" w:rsidRDefault="008D7907" w:rsidP="00E05CE2">
            <w:pPr>
              <w:pStyle w:val="NoSpacing"/>
              <w:rPr>
                <w:rFonts w:ascii="Corbel" w:hAnsi="Corbel"/>
                <w:sz w:val="20"/>
                <w:szCs w:val="20"/>
                <w:u w:val="single"/>
              </w:rPr>
            </w:pPr>
          </w:p>
        </w:tc>
        <w:tc>
          <w:tcPr>
            <w:tcW w:w="5500" w:type="dxa"/>
          </w:tcPr>
          <w:p w14:paraId="350E2684" w14:textId="77777777" w:rsidR="008D7907" w:rsidRPr="0050289F" w:rsidRDefault="008D7907" w:rsidP="00E05CE2">
            <w:pPr>
              <w:spacing w:after="0"/>
              <w:rPr>
                <w:rFonts w:ascii="Corbel" w:hAnsi="Corbel"/>
                <w:sz w:val="20"/>
                <w:szCs w:val="20"/>
              </w:rPr>
            </w:pPr>
            <w:r w:rsidRPr="0050289F">
              <w:rPr>
                <w:rFonts w:ascii="Corbel" w:hAnsi="Corbel"/>
                <w:sz w:val="20"/>
                <w:szCs w:val="20"/>
              </w:rPr>
              <w:t>From 1 July 2020, the AIHW will lead changes to the repeat homelessness indicator using longitudinal data.</w:t>
            </w:r>
            <w:r w:rsidRPr="0050289F">
              <w:rPr>
                <w:rFonts w:ascii="Corbel" w:hAnsi="Corbel"/>
                <w:sz w:val="20"/>
                <w:szCs w:val="20"/>
              </w:rPr>
              <w:br/>
            </w:r>
          </w:p>
          <w:p w14:paraId="7AE86D04" w14:textId="77777777" w:rsidR="008D7907" w:rsidRDefault="008D7907" w:rsidP="00E05CE2">
            <w:pPr>
              <w:spacing w:after="0"/>
              <w:rPr>
                <w:rFonts w:ascii="Corbel" w:hAnsi="Corbel"/>
                <w:sz w:val="20"/>
                <w:szCs w:val="20"/>
              </w:rPr>
            </w:pPr>
            <w:r w:rsidRPr="0050289F">
              <w:rPr>
                <w:rFonts w:ascii="Corbel" w:hAnsi="Corbel"/>
                <w:sz w:val="20"/>
                <w:szCs w:val="20"/>
              </w:rPr>
              <w:t xml:space="preserve">The AIHW will lead improvements to data items to more closely align the Specialist Homelessness Services Collection (SHSC) definitions of homelessness and at-risk, with the ABS definitions. </w:t>
            </w:r>
          </w:p>
          <w:p w14:paraId="41AB3534" w14:textId="77777777" w:rsidR="008D7907" w:rsidRPr="0050289F" w:rsidRDefault="008D7907" w:rsidP="00E05CE2">
            <w:pPr>
              <w:spacing w:after="0"/>
              <w:rPr>
                <w:rFonts w:ascii="Corbel" w:hAnsi="Corbel"/>
                <w:sz w:val="20"/>
                <w:szCs w:val="20"/>
              </w:rPr>
            </w:pPr>
          </w:p>
          <w:p w14:paraId="6024E461" w14:textId="77777777" w:rsidR="008D7907" w:rsidRPr="0050289F" w:rsidRDefault="008D7907" w:rsidP="00E05CE2">
            <w:pPr>
              <w:spacing w:after="0"/>
              <w:rPr>
                <w:rFonts w:ascii="Corbel" w:hAnsi="Corbel" w:cs="Corbel"/>
                <w:bCs/>
                <w:sz w:val="20"/>
                <w:szCs w:val="20"/>
              </w:rPr>
            </w:pPr>
            <w:r w:rsidRPr="0050289F">
              <w:rPr>
                <w:rFonts w:ascii="Corbel" w:hAnsi="Corbel"/>
                <w:sz w:val="20"/>
                <w:szCs w:val="20"/>
              </w:rPr>
              <w:t>From 1 July 2022, the HHDWG will assess the feasibility of expanding the measurement of repeat homelessness beyond the SHSC.</w:t>
            </w:r>
          </w:p>
        </w:tc>
      </w:tr>
      <w:tr w:rsidR="008D7907" w:rsidRPr="001B5B99" w14:paraId="106387FC" w14:textId="77777777" w:rsidTr="00E05CE2">
        <w:trPr>
          <w:trHeight w:val="3172"/>
        </w:trPr>
        <w:tc>
          <w:tcPr>
            <w:tcW w:w="3709" w:type="dxa"/>
          </w:tcPr>
          <w:p w14:paraId="5CF989AA" w14:textId="77777777" w:rsidR="008D7907" w:rsidRPr="001B5B99" w:rsidRDefault="008D7907" w:rsidP="00E05CE2">
            <w:pPr>
              <w:pStyle w:val="NoSpacing"/>
              <w:rPr>
                <w:rFonts w:ascii="Corbel" w:hAnsi="Corbel"/>
                <w:sz w:val="20"/>
                <w:szCs w:val="20"/>
                <w:u w:val="single"/>
              </w:rPr>
            </w:pPr>
            <w:r w:rsidRPr="001B5B99">
              <w:rPr>
                <w:rFonts w:ascii="Corbel" w:hAnsi="Corbel"/>
                <w:sz w:val="20"/>
                <w:szCs w:val="20"/>
                <w:u w:val="single"/>
              </w:rPr>
              <w:t xml:space="preserve">NHHA indicator </w:t>
            </w:r>
          </w:p>
          <w:p w14:paraId="6C232C9A" w14:textId="77777777" w:rsidR="008D7907" w:rsidRPr="001B5B99" w:rsidRDefault="008D7907" w:rsidP="00E05CE2">
            <w:pPr>
              <w:pStyle w:val="NoSpacing"/>
              <w:rPr>
                <w:rFonts w:ascii="Corbel" w:hAnsi="Corbel"/>
                <w:sz w:val="20"/>
                <w:szCs w:val="20"/>
              </w:rPr>
            </w:pPr>
            <w:r w:rsidRPr="001B5B99">
              <w:rPr>
                <w:rFonts w:ascii="Corbel" w:hAnsi="Corbel"/>
                <w:sz w:val="20"/>
                <w:szCs w:val="20"/>
              </w:rPr>
              <w:t>(</w:t>
            </w:r>
            <w:proofErr w:type="spellStart"/>
            <w:r w:rsidRPr="001B5B99">
              <w:rPr>
                <w:rFonts w:ascii="Corbel" w:hAnsi="Corbel"/>
                <w:sz w:val="20"/>
                <w:szCs w:val="20"/>
              </w:rPr>
              <w:t>i</w:t>
            </w:r>
            <w:proofErr w:type="spellEnd"/>
            <w:r w:rsidRPr="001B5B99">
              <w:rPr>
                <w:rFonts w:ascii="Corbel" w:hAnsi="Corbel"/>
                <w:sz w:val="20"/>
                <w:szCs w:val="20"/>
              </w:rPr>
              <w:t>) an increase in the proportion of people who are at risk of homelessness that receive assistance to avoid homelessness</w:t>
            </w:r>
          </w:p>
          <w:p w14:paraId="1C730BBB" w14:textId="77777777" w:rsidR="008D7907" w:rsidRPr="001B5B99" w:rsidRDefault="008D7907" w:rsidP="00E05CE2">
            <w:pPr>
              <w:pStyle w:val="NoSpacing"/>
              <w:rPr>
                <w:rFonts w:ascii="Corbel" w:hAnsi="Corbel"/>
                <w:sz w:val="20"/>
                <w:szCs w:val="20"/>
              </w:rPr>
            </w:pPr>
          </w:p>
          <w:p w14:paraId="0495BB1C" w14:textId="77777777" w:rsidR="008D7907" w:rsidRPr="001B5B99" w:rsidRDefault="008D7907" w:rsidP="00E05CE2">
            <w:pPr>
              <w:pStyle w:val="NoSpacing"/>
              <w:rPr>
                <w:rFonts w:ascii="Corbel" w:hAnsi="Corbel"/>
                <w:sz w:val="20"/>
                <w:szCs w:val="20"/>
              </w:rPr>
            </w:pPr>
          </w:p>
          <w:p w14:paraId="7F37E128" w14:textId="77777777" w:rsidR="008D7907" w:rsidRPr="001B5B99" w:rsidRDefault="008D7907" w:rsidP="00E05CE2">
            <w:pPr>
              <w:pStyle w:val="NoSpacing"/>
              <w:rPr>
                <w:rFonts w:ascii="Corbel" w:hAnsi="Corbel"/>
                <w:sz w:val="20"/>
                <w:szCs w:val="20"/>
              </w:rPr>
            </w:pPr>
          </w:p>
          <w:p w14:paraId="1DC5C062" w14:textId="77777777" w:rsidR="008D7907" w:rsidRPr="001B5B99" w:rsidRDefault="008D7907" w:rsidP="00E05CE2">
            <w:pPr>
              <w:pStyle w:val="NoSpacing"/>
              <w:rPr>
                <w:rFonts w:ascii="Corbel" w:hAnsi="Corbel"/>
                <w:sz w:val="20"/>
                <w:szCs w:val="20"/>
              </w:rPr>
            </w:pPr>
          </w:p>
          <w:p w14:paraId="46722506" w14:textId="77777777" w:rsidR="008D7907" w:rsidRPr="001B5B99" w:rsidRDefault="008D7907" w:rsidP="00E05CE2">
            <w:pPr>
              <w:pStyle w:val="NoSpacing"/>
              <w:rPr>
                <w:rFonts w:ascii="Corbel" w:hAnsi="Corbel"/>
                <w:sz w:val="20"/>
                <w:szCs w:val="20"/>
              </w:rPr>
            </w:pPr>
          </w:p>
          <w:p w14:paraId="24034494" w14:textId="77777777" w:rsidR="008D7907" w:rsidRPr="001B5B99" w:rsidRDefault="008D7907" w:rsidP="00E05CE2">
            <w:pPr>
              <w:pStyle w:val="NoSpacing"/>
              <w:rPr>
                <w:rFonts w:ascii="Corbel" w:hAnsi="Corbel"/>
                <w:sz w:val="20"/>
                <w:szCs w:val="20"/>
              </w:rPr>
            </w:pPr>
          </w:p>
          <w:p w14:paraId="2C6A9CBC" w14:textId="77777777" w:rsidR="008D7907" w:rsidRPr="001B5B99" w:rsidRDefault="008D7907" w:rsidP="00E05CE2">
            <w:pPr>
              <w:pStyle w:val="NoSpacing"/>
              <w:rPr>
                <w:rFonts w:ascii="Corbel" w:hAnsi="Corbel"/>
                <w:sz w:val="20"/>
                <w:szCs w:val="20"/>
              </w:rPr>
            </w:pPr>
          </w:p>
          <w:p w14:paraId="110BB044" w14:textId="77777777" w:rsidR="008D7907" w:rsidRPr="001B5B99" w:rsidRDefault="008D7907" w:rsidP="00E05CE2">
            <w:pPr>
              <w:pStyle w:val="NoSpacing"/>
              <w:rPr>
                <w:rFonts w:ascii="Corbel" w:hAnsi="Corbel"/>
                <w:sz w:val="20"/>
                <w:szCs w:val="20"/>
              </w:rPr>
            </w:pPr>
          </w:p>
          <w:p w14:paraId="0875DDA0" w14:textId="77777777" w:rsidR="008D7907" w:rsidRPr="001B5B99" w:rsidRDefault="008D7907" w:rsidP="00E05CE2">
            <w:pPr>
              <w:pStyle w:val="NoSpacing"/>
              <w:rPr>
                <w:rFonts w:ascii="Corbel" w:hAnsi="Corbel"/>
                <w:sz w:val="20"/>
                <w:szCs w:val="20"/>
                <w:u w:val="single"/>
              </w:rPr>
            </w:pPr>
          </w:p>
        </w:tc>
        <w:tc>
          <w:tcPr>
            <w:tcW w:w="5500" w:type="dxa"/>
          </w:tcPr>
          <w:p w14:paraId="2CC3EA17" w14:textId="77777777" w:rsidR="008D7907" w:rsidRPr="001B5B99" w:rsidRDefault="008D7907" w:rsidP="00E05CE2">
            <w:pPr>
              <w:spacing w:after="0"/>
              <w:rPr>
                <w:rFonts w:ascii="Corbel" w:hAnsi="Corbel"/>
                <w:sz w:val="20"/>
                <w:szCs w:val="20"/>
              </w:rPr>
            </w:pPr>
            <w:r>
              <w:rPr>
                <w:rFonts w:ascii="Corbel" w:hAnsi="Corbel"/>
                <w:sz w:val="20"/>
                <w:szCs w:val="20"/>
              </w:rPr>
              <w:t>From commencement of this Schedule</w:t>
            </w:r>
            <w:r w:rsidRPr="001B5B99">
              <w:rPr>
                <w:rFonts w:ascii="Corbel" w:hAnsi="Corbel"/>
                <w:sz w:val="20"/>
                <w:szCs w:val="20"/>
              </w:rPr>
              <w:t xml:space="preserve">, the AIHW will </w:t>
            </w:r>
            <w:r>
              <w:rPr>
                <w:rFonts w:ascii="Corbel" w:hAnsi="Corbel"/>
                <w:sz w:val="20"/>
                <w:szCs w:val="20"/>
              </w:rPr>
              <w:t xml:space="preserve">lead the </w:t>
            </w:r>
            <w:r w:rsidRPr="001B5B99">
              <w:rPr>
                <w:rFonts w:ascii="Corbel" w:hAnsi="Corbel"/>
                <w:sz w:val="20"/>
                <w:szCs w:val="20"/>
              </w:rPr>
              <w:t>develop</w:t>
            </w:r>
            <w:r>
              <w:rPr>
                <w:rFonts w:ascii="Corbel" w:hAnsi="Corbel"/>
                <w:sz w:val="20"/>
                <w:szCs w:val="20"/>
              </w:rPr>
              <w:t>ment of</w:t>
            </w:r>
            <w:r w:rsidRPr="001B5B99">
              <w:rPr>
                <w:rFonts w:ascii="Corbel" w:hAnsi="Corbel"/>
                <w:sz w:val="20"/>
                <w:szCs w:val="20"/>
              </w:rPr>
              <w:t xml:space="preserve"> a nationally agreed measure of the proportion of people who are at risk of homelessness that receive assistance to avoid homelessness</w:t>
            </w:r>
            <w:r>
              <w:rPr>
                <w:rFonts w:ascii="Corbel" w:hAnsi="Corbel"/>
                <w:sz w:val="20"/>
                <w:szCs w:val="20"/>
              </w:rPr>
              <w:t>,</w:t>
            </w:r>
            <w:r w:rsidRPr="001B5B99">
              <w:rPr>
                <w:rFonts w:ascii="Corbel" w:hAnsi="Corbel"/>
                <w:sz w:val="20"/>
                <w:szCs w:val="20"/>
              </w:rPr>
              <w:t xml:space="preserve"> drawing on data from the</w:t>
            </w:r>
            <w:r>
              <w:rPr>
                <w:rFonts w:ascii="Corbel" w:hAnsi="Corbel"/>
                <w:sz w:val="20"/>
                <w:szCs w:val="20"/>
              </w:rPr>
              <w:t xml:space="preserve"> </w:t>
            </w:r>
            <w:r w:rsidRPr="001B5B99">
              <w:rPr>
                <w:rFonts w:ascii="Corbel" w:hAnsi="Corbel"/>
                <w:sz w:val="20"/>
                <w:szCs w:val="20"/>
              </w:rPr>
              <w:t>SHSC.</w:t>
            </w:r>
          </w:p>
          <w:p w14:paraId="72F83936" w14:textId="77777777" w:rsidR="008D7907" w:rsidRPr="001B5B99" w:rsidRDefault="008D7907" w:rsidP="00E05CE2">
            <w:pPr>
              <w:spacing w:after="0"/>
              <w:rPr>
                <w:rFonts w:ascii="Corbel" w:hAnsi="Corbel"/>
                <w:sz w:val="20"/>
                <w:szCs w:val="20"/>
              </w:rPr>
            </w:pPr>
          </w:p>
          <w:p w14:paraId="37B7CA0C" w14:textId="77777777" w:rsidR="008D7907" w:rsidRPr="001B5B99" w:rsidRDefault="008D7907" w:rsidP="00E05CE2">
            <w:pPr>
              <w:spacing w:after="0"/>
            </w:pPr>
            <w:r>
              <w:rPr>
                <w:rFonts w:ascii="Corbel" w:hAnsi="Corbel"/>
                <w:sz w:val="20"/>
                <w:szCs w:val="20"/>
              </w:rPr>
              <w:t>T</w:t>
            </w:r>
            <w:r w:rsidRPr="001B5B99">
              <w:rPr>
                <w:rFonts w:ascii="Corbel" w:hAnsi="Corbel"/>
                <w:sz w:val="20"/>
                <w:szCs w:val="20"/>
              </w:rPr>
              <w:t>he AIHW will implement agreed improvements to the definition of at risk of homelessness in the SHSC.</w:t>
            </w:r>
          </w:p>
          <w:p w14:paraId="20CF0AE6" w14:textId="77777777" w:rsidR="008D7907" w:rsidRDefault="008D7907" w:rsidP="00E05CE2">
            <w:pPr>
              <w:pStyle w:val="NoSpacing"/>
              <w:rPr>
                <w:rFonts w:ascii="Corbel" w:hAnsi="Corbel"/>
                <w:sz w:val="20"/>
                <w:szCs w:val="20"/>
              </w:rPr>
            </w:pPr>
          </w:p>
          <w:p w14:paraId="41E1D98B" w14:textId="77777777" w:rsidR="008D7907" w:rsidRPr="001B5B99" w:rsidRDefault="008D7907" w:rsidP="00E05CE2">
            <w:pPr>
              <w:rPr>
                <w:rFonts w:ascii="Corbel" w:hAnsi="Corbel"/>
                <w:sz w:val="20"/>
                <w:szCs w:val="20"/>
              </w:rPr>
            </w:pPr>
            <w:r>
              <w:rPr>
                <w:rFonts w:ascii="Corbel" w:hAnsi="Corbel"/>
                <w:sz w:val="20"/>
                <w:szCs w:val="20"/>
              </w:rPr>
              <w:t xml:space="preserve">From 1 July </w:t>
            </w:r>
            <w:r w:rsidRPr="001B5B99">
              <w:rPr>
                <w:rFonts w:ascii="Corbel" w:hAnsi="Corbel"/>
                <w:sz w:val="20"/>
                <w:szCs w:val="20"/>
              </w:rPr>
              <w:t>202</w:t>
            </w:r>
            <w:r>
              <w:rPr>
                <w:rFonts w:ascii="Corbel" w:hAnsi="Corbel"/>
                <w:sz w:val="20"/>
                <w:szCs w:val="20"/>
              </w:rPr>
              <w:t>2</w:t>
            </w:r>
            <w:r w:rsidRPr="001B5B99">
              <w:rPr>
                <w:rFonts w:ascii="Corbel" w:hAnsi="Corbel"/>
                <w:sz w:val="20"/>
                <w:szCs w:val="20"/>
              </w:rPr>
              <w:t xml:space="preserve">, the AIHW will </w:t>
            </w:r>
            <w:r>
              <w:rPr>
                <w:rFonts w:ascii="Corbel" w:hAnsi="Corbel"/>
                <w:sz w:val="20"/>
                <w:szCs w:val="20"/>
              </w:rPr>
              <w:t xml:space="preserve">consult jurisdictions to assess the feasibility of </w:t>
            </w:r>
            <w:r w:rsidRPr="001B5B99">
              <w:rPr>
                <w:rFonts w:ascii="Corbel" w:hAnsi="Corbel"/>
                <w:sz w:val="20"/>
                <w:szCs w:val="20"/>
              </w:rPr>
              <w:t>develop</w:t>
            </w:r>
            <w:r>
              <w:rPr>
                <w:rFonts w:ascii="Corbel" w:hAnsi="Corbel"/>
                <w:sz w:val="20"/>
                <w:szCs w:val="20"/>
              </w:rPr>
              <w:t>ing</w:t>
            </w:r>
            <w:r w:rsidRPr="001B5B99">
              <w:rPr>
                <w:rFonts w:ascii="Corbel" w:hAnsi="Corbel"/>
                <w:sz w:val="20"/>
                <w:szCs w:val="20"/>
              </w:rPr>
              <w:t xml:space="preserve"> a new whole-of-population measure for people at risk of homelessness.</w:t>
            </w:r>
          </w:p>
        </w:tc>
      </w:tr>
      <w:tr w:rsidR="008D7907" w:rsidRPr="001B5B99" w:rsidDel="007164C9" w14:paraId="45BEE2AA" w14:textId="77777777" w:rsidTr="00E05CE2">
        <w:trPr>
          <w:trHeight w:val="383"/>
        </w:trPr>
        <w:tc>
          <w:tcPr>
            <w:tcW w:w="3709" w:type="dxa"/>
          </w:tcPr>
          <w:p w14:paraId="556483E5" w14:textId="77777777" w:rsidR="008D7907" w:rsidRPr="001B5B99" w:rsidRDefault="008D7907" w:rsidP="00E05CE2">
            <w:pPr>
              <w:pStyle w:val="NoSpacing"/>
              <w:rPr>
                <w:rFonts w:ascii="Corbel" w:hAnsi="Corbel"/>
                <w:sz w:val="20"/>
                <w:szCs w:val="20"/>
              </w:rPr>
            </w:pPr>
            <w:r w:rsidRPr="001B5B99">
              <w:rPr>
                <w:rFonts w:ascii="Corbel" w:hAnsi="Corbel"/>
                <w:sz w:val="20"/>
                <w:szCs w:val="20"/>
                <w:u w:val="single"/>
              </w:rPr>
              <w:t>NHHA indicator</w:t>
            </w:r>
            <w:r w:rsidRPr="001B5B99">
              <w:rPr>
                <w:rFonts w:ascii="Corbel" w:hAnsi="Corbel"/>
                <w:sz w:val="20"/>
                <w:szCs w:val="20"/>
              </w:rPr>
              <w:t xml:space="preserve"> </w:t>
            </w:r>
          </w:p>
          <w:p w14:paraId="0C24CE9F" w14:textId="77777777" w:rsidR="008D7907" w:rsidRPr="001B5B99" w:rsidRDefault="008D7907" w:rsidP="00E05CE2">
            <w:pPr>
              <w:pStyle w:val="NoSpacing"/>
              <w:rPr>
                <w:rFonts w:ascii="Corbel" w:hAnsi="Corbel"/>
                <w:sz w:val="20"/>
                <w:szCs w:val="20"/>
              </w:rPr>
            </w:pPr>
            <w:r w:rsidRPr="001B5B99">
              <w:rPr>
                <w:rFonts w:ascii="Corbel" w:hAnsi="Corbel"/>
                <w:sz w:val="20"/>
                <w:szCs w:val="20"/>
              </w:rPr>
              <w:t>(k) an increase in the number of dwellings that are permitted by zoning in cities or urban areas</w:t>
            </w:r>
          </w:p>
          <w:p w14:paraId="7B1768D9" w14:textId="77777777" w:rsidR="008D7907" w:rsidRPr="001B5B99" w:rsidRDefault="008D7907" w:rsidP="00E05CE2">
            <w:pPr>
              <w:pStyle w:val="NoSpacing"/>
              <w:ind w:left="306"/>
              <w:rPr>
                <w:rFonts w:ascii="Corbel" w:hAnsi="Corbel"/>
                <w:sz w:val="20"/>
                <w:szCs w:val="20"/>
              </w:rPr>
            </w:pPr>
            <w:proofErr w:type="spellStart"/>
            <w:r w:rsidRPr="001B5B99">
              <w:rPr>
                <w:rFonts w:ascii="Corbel" w:hAnsi="Corbel"/>
                <w:sz w:val="20"/>
                <w:szCs w:val="20"/>
              </w:rPr>
              <w:t>i</w:t>
            </w:r>
            <w:proofErr w:type="spellEnd"/>
            <w:r w:rsidRPr="001B5B99">
              <w:rPr>
                <w:rFonts w:ascii="Corbel" w:hAnsi="Corbel"/>
                <w:sz w:val="20"/>
                <w:szCs w:val="20"/>
              </w:rPr>
              <w:t xml:space="preserve">. the measurement of this indicator will be considered as part of the operation of the </w:t>
            </w:r>
            <w:r>
              <w:rPr>
                <w:rFonts w:ascii="Corbel" w:hAnsi="Corbel"/>
                <w:sz w:val="20"/>
                <w:szCs w:val="20"/>
              </w:rPr>
              <w:t>HHDWG</w:t>
            </w:r>
            <w:r w:rsidRPr="001B5B99">
              <w:rPr>
                <w:rFonts w:ascii="Corbel" w:hAnsi="Corbel"/>
                <w:sz w:val="20"/>
                <w:szCs w:val="20"/>
              </w:rPr>
              <w:t xml:space="preserve"> (established </w:t>
            </w:r>
            <w:r w:rsidRPr="001B5B99">
              <w:rPr>
                <w:rFonts w:ascii="Corbel" w:hAnsi="Corbel"/>
                <w:sz w:val="20"/>
                <w:szCs w:val="20"/>
              </w:rPr>
              <w:lastRenderedPageBreak/>
              <w:t>by Schedule C), with measurement to commence from 1 July 2021 subject to the development of a reliable measure</w:t>
            </w:r>
          </w:p>
          <w:p w14:paraId="4C1E4AC9" w14:textId="77777777" w:rsidR="008D7907" w:rsidRPr="001B5B99" w:rsidRDefault="008D7907" w:rsidP="00E05CE2">
            <w:pPr>
              <w:pStyle w:val="NoSpacing"/>
              <w:rPr>
                <w:rFonts w:ascii="Corbel" w:hAnsi="Corbel"/>
                <w:sz w:val="20"/>
                <w:szCs w:val="20"/>
                <w:u w:val="single"/>
              </w:rPr>
            </w:pPr>
          </w:p>
        </w:tc>
        <w:tc>
          <w:tcPr>
            <w:tcW w:w="5500" w:type="dxa"/>
          </w:tcPr>
          <w:p w14:paraId="4127E7E5" w14:textId="77777777" w:rsidR="008D7907" w:rsidRDefault="008D7907" w:rsidP="00E05CE2">
            <w:pPr>
              <w:spacing w:after="0"/>
              <w:rPr>
                <w:rFonts w:ascii="Corbel" w:hAnsi="Corbel" w:cs="Corbel"/>
                <w:bCs/>
                <w:sz w:val="20"/>
                <w:szCs w:val="20"/>
              </w:rPr>
            </w:pPr>
            <w:r>
              <w:rPr>
                <w:rFonts w:ascii="Corbel" w:hAnsi="Corbel" w:cs="Corbel"/>
                <w:bCs/>
                <w:sz w:val="20"/>
                <w:szCs w:val="20"/>
              </w:rPr>
              <w:lastRenderedPageBreak/>
              <w:t xml:space="preserve">In the last quarter of 2020, the </w:t>
            </w:r>
            <w:r w:rsidRPr="001B5B99">
              <w:rPr>
                <w:rFonts w:ascii="Corbel" w:hAnsi="Corbel" w:cs="Corbel"/>
                <w:bCs/>
                <w:sz w:val="20"/>
                <w:szCs w:val="20"/>
              </w:rPr>
              <w:t>ABS will release a research paper on methodologies to estimate the number of dwellings that are permitted by zoning in cities or urban areas</w:t>
            </w:r>
            <w:r>
              <w:rPr>
                <w:rFonts w:ascii="Corbel" w:hAnsi="Corbel" w:cs="Corbel"/>
                <w:bCs/>
                <w:sz w:val="20"/>
                <w:szCs w:val="20"/>
              </w:rPr>
              <w:t xml:space="preserve"> for the HHDWG’s consideration</w:t>
            </w:r>
            <w:r w:rsidRPr="001B5B99">
              <w:rPr>
                <w:rFonts w:ascii="Corbel" w:hAnsi="Corbel" w:cs="Corbel"/>
                <w:bCs/>
                <w:sz w:val="20"/>
                <w:szCs w:val="20"/>
              </w:rPr>
              <w:t>.</w:t>
            </w:r>
          </w:p>
          <w:p w14:paraId="32F82518" w14:textId="77777777" w:rsidR="008D7907" w:rsidRDefault="008D7907" w:rsidP="00E05CE2">
            <w:pPr>
              <w:spacing w:after="0"/>
              <w:rPr>
                <w:rFonts w:ascii="Corbel" w:hAnsi="Corbel" w:cs="Corbel"/>
                <w:bCs/>
                <w:sz w:val="20"/>
                <w:szCs w:val="20"/>
              </w:rPr>
            </w:pPr>
          </w:p>
          <w:p w14:paraId="74B3C895" w14:textId="77777777" w:rsidR="008D7907" w:rsidRPr="001B5B99" w:rsidRDefault="008D7907" w:rsidP="00E05CE2">
            <w:pPr>
              <w:pStyle w:val="NoSpacing"/>
              <w:rPr>
                <w:rFonts w:ascii="Corbel" w:hAnsi="Corbel" w:cs="Corbel"/>
                <w:bCs/>
                <w:sz w:val="20"/>
                <w:szCs w:val="20"/>
              </w:rPr>
            </w:pPr>
          </w:p>
          <w:p w14:paraId="3022E52E" w14:textId="77777777" w:rsidR="008D7907" w:rsidRPr="001B5B99" w:rsidDel="007164C9" w:rsidRDefault="008D7907" w:rsidP="00E05CE2">
            <w:pPr>
              <w:pStyle w:val="NoSpacing"/>
              <w:rPr>
                <w:rFonts w:ascii="Corbel" w:hAnsi="Corbel" w:cs="Corbel"/>
                <w:bCs/>
                <w:sz w:val="20"/>
                <w:szCs w:val="20"/>
              </w:rPr>
            </w:pPr>
          </w:p>
        </w:tc>
      </w:tr>
      <w:tr w:rsidR="008D7907" w:rsidRPr="001B5B99" w:rsidDel="007164C9" w14:paraId="3C6AE273" w14:textId="77777777" w:rsidTr="00E05CE2">
        <w:trPr>
          <w:trHeight w:val="383"/>
        </w:trPr>
        <w:tc>
          <w:tcPr>
            <w:tcW w:w="3709" w:type="dxa"/>
          </w:tcPr>
          <w:p w14:paraId="470A5C23" w14:textId="77777777" w:rsidR="008D7907" w:rsidRPr="001B5B99" w:rsidRDefault="008D7907" w:rsidP="00E05CE2">
            <w:pPr>
              <w:pStyle w:val="NoSpacing"/>
              <w:rPr>
                <w:rFonts w:ascii="Corbel" w:hAnsi="Corbel"/>
                <w:sz w:val="20"/>
                <w:szCs w:val="20"/>
              </w:rPr>
            </w:pPr>
            <w:r w:rsidRPr="001B5B99">
              <w:rPr>
                <w:rFonts w:ascii="Corbel" w:hAnsi="Corbel"/>
                <w:sz w:val="20"/>
                <w:szCs w:val="20"/>
                <w:u w:val="single"/>
              </w:rPr>
              <w:lastRenderedPageBreak/>
              <w:t>NHHA indicator</w:t>
            </w:r>
            <w:r w:rsidRPr="001B5B99">
              <w:rPr>
                <w:rFonts w:ascii="Corbel" w:hAnsi="Corbel"/>
                <w:sz w:val="20"/>
                <w:szCs w:val="20"/>
              </w:rPr>
              <w:t xml:space="preserve"> </w:t>
            </w:r>
          </w:p>
          <w:p w14:paraId="737D9662" w14:textId="77777777" w:rsidR="008D7907" w:rsidRPr="001B5B99" w:rsidRDefault="008D7907" w:rsidP="00E05CE2">
            <w:pPr>
              <w:pStyle w:val="NoSpacing"/>
              <w:rPr>
                <w:rFonts w:ascii="Corbel" w:hAnsi="Corbel"/>
                <w:sz w:val="20"/>
                <w:szCs w:val="20"/>
              </w:rPr>
            </w:pPr>
            <w:r w:rsidRPr="001B5B99">
              <w:rPr>
                <w:rFonts w:ascii="Corbel" w:hAnsi="Corbel"/>
                <w:sz w:val="20"/>
                <w:szCs w:val="20"/>
              </w:rPr>
              <w:t>(m) a decrease in the proportion of rental households with household income in the bottom two quintiles that spend more than 30 per cent of their income on rent</w:t>
            </w:r>
          </w:p>
          <w:p w14:paraId="33FF2E7B" w14:textId="77777777" w:rsidR="008D7907" w:rsidRPr="001B5B99" w:rsidRDefault="008D7907" w:rsidP="00E05CE2">
            <w:pPr>
              <w:pStyle w:val="NoSpacing"/>
              <w:rPr>
                <w:rFonts w:ascii="Corbel" w:hAnsi="Corbel"/>
                <w:sz w:val="20"/>
                <w:szCs w:val="20"/>
                <w:u w:val="single"/>
              </w:rPr>
            </w:pPr>
          </w:p>
        </w:tc>
        <w:tc>
          <w:tcPr>
            <w:tcW w:w="5500" w:type="dxa"/>
          </w:tcPr>
          <w:p w14:paraId="5FA6E858" w14:textId="77777777" w:rsidR="008D7907" w:rsidRPr="001B5B99" w:rsidRDefault="008D7907" w:rsidP="00E05CE2">
            <w:pPr>
              <w:spacing w:after="0"/>
              <w:rPr>
                <w:rFonts w:ascii="Corbel" w:hAnsi="Corbel" w:cs="Corbel"/>
                <w:bCs/>
                <w:sz w:val="20"/>
                <w:szCs w:val="20"/>
              </w:rPr>
            </w:pPr>
            <w:r>
              <w:rPr>
                <w:rFonts w:ascii="Corbel" w:hAnsi="Corbel" w:cs="Corbel"/>
                <w:bCs/>
                <w:sz w:val="20"/>
                <w:szCs w:val="20"/>
              </w:rPr>
              <w:t>In July 2019</w:t>
            </w:r>
            <w:r w:rsidRPr="001B5B99">
              <w:rPr>
                <w:rFonts w:ascii="Corbel" w:hAnsi="Corbel" w:cs="Corbel"/>
                <w:bCs/>
                <w:sz w:val="20"/>
                <w:szCs w:val="20"/>
              </w:rPr>
              <w:t>, the ABS release</w:t>
            </w:r>
            <w:r>
              <w:rPr>
                <w:rFonts w:ascii="Corbel" w:hAnsi="Corbel" w:cs="Corbel"/>
                <w:bCs/>
                <w:sz w:val="20"/>
                <w:szCs w:val="20"/>
              </w:rPr>
              <w:t>d</w:t>
            </w:r>
            <w:r w:rsidRPr="001B5B99">
              <w:rPr>
                <w:rFonts w:ascii="Corbel" w:hAnsi="Corbel" w:cs="Corbel"/>
                <w:bCs/>
                <w:sz w:val="20"/>
                <w:szCs w:val="20"/>
              </w:rPr>
              <w:t xml:space="preserve"> new rental stress data from the Survey of Income and Housing (2017-18) with improvements in accuracy and consistency for national performance reporting. </w:t>
            </w:r>
            <w:r w:rsidRPr="000A4AFB">
              <w:rPr>
                <w:rFonts w:ascii="Corbel" w:hAnsi="Corbel" w:cs="Corbel"/>
                <w:bCs/>
                <w:sz w:val="20"/>
                <w:szCs w:val="20"/>
              </w:rPr>
              <w:t>Ongoing improvements in rental stress data for NHHA indicator (m) will take place with future Surveys of Income and Housing.</w:t>
            </w:r>
          </w:p>
          <w:p w14:paraId="212C52A2" w14:textId="77777777" w:rsidR="008D7907" w:rsidRPr="001B5B99" w:rsidDel="007164C9" w:rsidRDefault="008D7907" w:rsidP="00E05CE2">
            <w:pPr>
              <w:pStyle w:val="NoSpacing"/>
              <w:rPr>
                <w:rFonts w:ascii="Corbel" w:hAnsi="Corbel" w:cs="Corbel"/>
                <w:bCs/>
                <w:sz w:val="20"/>
                <w:szCs w:val="20"/>
              </w:rPr>
            </w:pPr>
          </w:p>
        </w:tc>
      </w:tr>
      <w:tr w:rsidR="008D7907" w:rsidRPr="001B5B99" w:rsidDel="007164C9" w14:paraId="0B4A82BF" w14:textId="77777777" w:rsidTr="00E05CE2">
        <w:trPr>
          <w:trHeight w:val="383"/>
        </w:trPr>
        <w:tc>
          <w:tcPr>
            <w:tcW w:w="3709" w:type="dxa"/>
          </w:tcPr>
          <w:p w14:paraId="6B7E2832" w14:textId="77777777" w:rsidR="008D7907" w:rsidRPr="001B5B99" w:rsidRDefault="008D7907" w:rsidP="00E05CE2">
            <w:pPr>
              <w:pStyle w:val="NoSpacing"/>
              <w:rPr>
                <w:rFonts w:ascii="Corbel" w:hAnsi="Corbel"/>
                <w:sz w:val="20"/>
                <w:szCs w:val="20"/>
                <w:u w:val="single"/>
              </w:rPr>
            </w:pPr>
            <w:r>
              <w:rPr>
                <w:rFonts w:ascii="Corbel" w:hAnsi="Corbel"/>
                <w:sz w:val="20"/>
                <w:szCs w:val="20"/>
              </w:rPr>
              <w:t xml:space="preserve">Other – </w:t>
            </w:r>
            <w:r w:rsidRPr="00494BE9">
              <w:rPr>
                <w:rFonts w:ascii="Corbel" w:hAnsi="Corbel"/>
                <w:sz w:val="20"/>
                <w:szCs w:val="20"/>
              </w:rPr>
              <w:t>i</w:t>
            </w:r>
            <w:r w:rsidRPr="00D4754C">
              <w:rPr>
                <w:rFonts w:ascii="Corbel" w:hAnsi="Corbel"/>
                <w:sz w:val="20"/>
                <w:szCs w:val="20"/>
              </w:rPr>
              <w:t xml:space="preserve">mprove collection of community housing data </w:t>
            </w:r>
          </w:p>
        </w:tc>
        <w:tc>
          <w:tcPr>
            <w:tcW w:w="5500" w:type="dxa"/>
          </w:tcPr>
          <w:p w14:paraId="61D8FEDF" w14:textId="77777777" w:rsidR="008D7907" w:rsidRPr="001B5B99" w:rsidRDefault="008D7907" w:rsidP="00E05CE2">
            <w:pPr>
              <w:spacing w:after="0"/>
              <w:rPr>
                <w:rFonts w:ascii="Corbel" w:hAnsi="Corbel"/>
                <w:sz w:val="20"/>
                <w:szCs w:val="20"/>
              </w:rPr>
            </w:pPr>
            <w:r>
              <w:rPr>
                <w:rFonts w:ascii="Corbel" w:hAnsi="Corbel"/>
                <w:sz w:val="20"/>
                <w:szCs w:val="20"/>
              </w:rPr>
              <w:t>From commencement of this Schedule, t</w:t>
            </w:r>
            <w:r w:rsidRPr="001B5B99">
              <w:rPr>
                <w:rFonts w:ascii="Corbel" w:hAnsi="Corbel"/>
                <w:sz w:val="20"/>
                <w:szCs w:val="20"/>
              </w:rPr>
              <w:t xml:space="preserve">he </w:t>
            </w:r>
            <w:r>
              <w:rPr>
                <w:rFonts w:ascii="Corbel" w:hAnsi="Corbel"/>
                <w:sz w:val="20"/>
                <w:szCs w:val="20"/>
              </w:rPr>
              <w:t>HHDWG</w:t>
            </w:r>
            <w:r w:rsidRPr="001B5B99">
              <w:rPr>
                <w:rFonts w:ascii="Corbel" w:hAnsi="Corbel"/>
                <w:sz w:val="20"/>
                <w:szCs w:val="20"/>
              </w:rPr>
              <w:t xml:space="preserve"> will develop agreed immediate data development and data collection and supply tool priorities for the C</w:t>
            </w:r>
            <w:r>
              <w:rPr>
                <w:rFonts w:ascii="Corbel" w:hAnsi="Corbel"/>
                <w:sz w:val="20"/>
                <w:szCs w:val="20"/>
              </w:rPr>
              <w:t xml:space="preserve">ommunity </w:t>
            </w:r>
            <w:r w:rsidRPr="001B5B99">
              <w:rPr>
                <w:rFonts w:ascii="Corbel" w:hAnsi="Corbel"/>
                <w:sz w:val="20"/>
                <w:szCs w:val="20"/>
              </w:rPr>
              <w:t>H</w:t>
            </w:r>
            <w:r>
              <w:rPr>
                <w:rFonts w:ascii="Corbel" w:hAnsi="Corbel"/>
                <w:sz w:val="20"/>
                <w:szCs w:val="20"/>
              </w:rPr>
              <w:t>ousing</w:t>
            </w:r>
            <w:r w:rsidRPr="001B5B99">
              <w:rPr>
                <w:rFonts w:ascii="Corbel" w:hAnsi="Corbel"/>
                <w:sz w:val="20"/>
                <w:szCs w:val="20"/>
              </w:rPr>
              <w:t xml:space="preserve"> and I</w:t>
            </w:r>
            <w:r>
              <w:rPr>
                <w:rFonts w:ascii="Corbel" w:hAnsi="Corbel"/>
                <w:sz w:val="20"/>
                <w:szCs w:val="20"/>
              </w:rPr>
              <w:t xml:space="preserve">ndigenous </w:t>
            </w:r>
            <w:r w:rsidRPr="001B5B99">
              <w:rPr>
                <w:rFonts w:ascii="Corbel" w:hAnsi="Corbel"/>
                <w:sz w:val="20"/>
                <w:szCs w:val="20"/>
              </w:rPr>
              <w:t>C</w:t>
            </w:r>
            <w:r>
              <w:rPr>
                <w:rFonts w:ascii="Corbel" w:hAnsi="Corbel"/>
                <w:sz w:val="20"/>
                <w:szCs w:val="20"/>
              </w:rPr>
              <w:t xml:space="preserve">ommunity </w:t>
            </w:r>
            <w:r w:rsidRPr="001B5B99">
              <w:rPr>
                <w:rFonts w:ascii="Corbel" w:hAnsi="Corbel"/>
                <w:sz w:val="20"/>
                <w:szCs w:val="20"/>
              </w:rPr>
              <w:t>H</w:t>
            </w:r>
            <w:r>
              <w:rPr>
                <w:rFonts w:ascii="Corbel" w:hAnsi="Corbel"/>
                <w:sz w:val="20"/>
                <w:szCs w:val="20"/>
              </w:rPr>
              <w:t>ousing</w:t>
            </w:r>
            <w:r w:rsidRPr="001B5B99">
              <w:rPr>
                <w:rFonts w:ascii="Corbel" w:hAnsi="Corbel"/>
                <w:sz w:val="20"/>
                <w:szCs w:val="20"/>
              </w:rPr>
              <w:t xml:space="preserve"> collections. </w:t>
            </w:r>
          </w:p>
          <w:p w14:paraId="5CB6A2D4" w14:textId="77777777" w:rsidR="008D7907" w:rsidRPr="001B5B99" w:rsidRDefault="008D7907" w:rsidP="00E05CE2">
            <w:pPr>
              <w:spacing w:after="0"/>
              <w:rPr>
                <w:rFonts w:ascii="Corbel" w:hAnsi="Corbel"/>
                <w:sz w:val="20"/>
                <w:szCs w:val="20"/>
              </w:rPr>
            </w:pPr>
          </w:p>
          <w:p w14:paraId="6591757B" w14:textId="77777777" w:rsidR="008D7907" w:rsidRPr="000A4AFB" w:rsidRDefault="008D7907" w:rsidP="00E05CE2">
            <w:pPr>
              <w:spacing w:after="0"/>
              <w:rPr>
                <w:rFonts w:ascii="Corbel" w:hAnsi="Corbel"/>
                <w:sz w:val="20"/>
                <w:szCs w:val="20"/>
              </w:rPr>
            </w:pPr>
            <w:r w:rsidRPr="000A4AFB">
              <w:rPr>
                <w:rFonts w:ascii="Corbel" w:hAnsi="Corbel"/>
                <w:sz w:val="20"/>
                <w:szCs w:val="20"/>
              </w:rPr>
              <w:t>From 1 J</w:t>
            </w:r>
            <w:r>
              <w:rPr>
                <w:rFonts w:ascii="Corbel" w:hAnsi="Corbel"/>
                <w:sz w:val="20"/>
                <w:szCs w:val="20"/>
              </w:rPr>
              <w:t xml:space="preserve">uly </w:t>
            </w:r>
            <w:r w:rsidRPr="000A4AFB">
              <w:rPr>
                <w:rFonts w:ascii="Corbel" w:hAnsi="Corbel"/>
                <w:sz w:val="20"/>
                <w:szCs w:val="20"/>
              </w:rPr>
              <w:t>2020, the AIHW will convene a time-limited group comprising HHDWG, National Regulatory System for Community Housing (NRSCH), Community Housing industry and Community Housing provider representatives to develop</w:t>
            </w:r>
            <w:r w:rsidRPr="000A4AFB" w:rsidDel="009F45EB">
              <w:rPr>
                <w:rFonts w:ascii="Corbel" w:hAnsi="Corbel"/>
                <w:sz w:val="20"/>
                <w:szCs w:val="20"/>
              </w:rPr>
              <w:t xml:space="preserve"> </w:t>
            </w:r>
            <w:r w:rsidRPr="000A4AFB">
              <w:rPr>
                <w:rFonts w:ascii="Corbel" w:hAnsi="Corbel"/>
                <w:sz w:val="20"/>
                <w:szCs w:val="20"/>
              </w:rPr>
              <w:t>a strategy by 31 December 202</w:t>
            </w:r>
            <w:r>
              <w:rPr>
                <w:rFonts w:ascii="Corbel" w:hAnsi="Corbel"/>
                <w:sz w:val="20"/>
                <w:szCs w:val="20"/>
              </w:rPr>
              <w:t>1</w:t>
            </w:r>
            <w:r w:rsidRPr="000A4AFB">
              <w:rPr>
                <w:rFonts w:ascii="Corbel" w:hAnsi="Corbel"/>
                <w:sz w:val="20"/>
                <w:szCs w:val="20"/>
              </w:rPr>
              <w:t xml:space="preserve"> to align community housing data, audit and reporting requirements with state/territory and national-level funding and regulatory purposes. This strategy will complement action following the Review of the NRSCH and will be developed with the community housing sector. </w:t>
            </w:r>
          </w:p>
          <w:p w14:paraId="1854E10E" w14:textId="77777777" w:rsidR="008D7907" w:rsidRPr="001B5B99" w:rsidDel="00604049" w:rsidRDefault="008D7907" w:rsidP="00E05CE2">
            <w:pPr>
              <w:spacing w:after="0"/>
              <w:rPr>
                <w:rFonts w:ascii="Corbel" w:hAnsi="Corbel" w:cs="Corbel"/>
                <w:bCs/>
                <w:sz w:val="20"/>
                <w:szCs w:val="20"/>
              </w:rPr>
            </w:pPr>
          </w:p>
        </w:tc>
      </w:tr>
      <w:tr w:rsidR="008D7907" w:rsidRPr="001B5B99" w14:paraId="3FA9E8F6" w14:textId="77777777" w:rsidTr="00E05CE2">
        <w:trPr>
          <w:trHeight w:val="383"/>
        </w:trPr>
        <w:tc>
          <w:tcPr>
            <w:tcW w:w="3709" w:type="dxa"/>
          </w:tcPr>
          <w:p w14:paraId="448696C1" w14:textId="77777777" w:rsidR="008D7907" w:rsidRPr="001B5B99" w:rsidRDefault="008D7907" w:rsidP="00E05CE2">
            <w:pPr>
              <w:pStyle w:val="NoSpacing"/>
              <w:rPr>
                <w:rFonts w:ascii="Corbel" w:hAnsi="Corbel"/>
                <w:sz w:val="20"/>
                <w:szCs w:val="20"/>
              </w:rPr>
            </w:pPr>
            <w:r>
              <w:rPr>
                <w:rFonts w:ascii="Corbel" w:hAnsi="Corbel"/>
                <w:sz w:val="20"/>
                <w:szCs w:val="20"/>
              </w:rPr>
              <w:t>Other – Data Improvement Plan 2023-2028</w:t>
            </w:r>
          </w:p>
        </w:tc>
        <w:tc>
          <w:tcPr>
            <w:tcW w:w="5500" w:type="dxa"/>
          </w:tcPr>
          <w:p w14:paraId="7A523AE2" w14:textId="77777777" w:rsidR="008D7907" w:rsidRPr="001B5B99" w:rsidRDefault="008D7907" w:rsidP="00E05CE2">
            <w:pPr>
              <w:pStyle w:val="NoSpacing"/>
              <w:rPr>
                <w:rFonts w:ascii="Corbel" w:hAnsi="Corbel"/>
                <w:b/>
                <w:sz w:val="20"/>
                <w:szCs w:val="20"/>
                <w:u w:val="single"/>
              </w:rPr>
            </w:pPr>
            <w:r w:rsidRPr="001B5B99">
              <w:rPr>
                <w:rFonts w:ascii="Corbel" w:hAnsi="Corbel"/>
                <w:sz w:val="20"/>
                <w:szCs w:val="20"/>
              </w:rPr>
              <w:t>By the second quarter of 2023</w:t>
            </w:r>
            <w:r>
              <w:rPr>
                <w:rFonts w:ascii="Corbel" w:hAnsi="Corbel"/>
                <w:sz w:val="20"/>
                <w:szCs w:val="20"/>
              </w:rPr>
              <w:t>, t</w:t>
            </w:r>
            <w:r w:rsidRPr="001B5B99">
              <w:rPr>
                <w:rFonts w:ascii="Corbel" w:hAnsi="Corbel"/>
                <w:sz w:val="20"/>
                <w:szCs w:val="20"/>
              </w:rPr>
              <w:t xml:space="preserve">he </w:t>
            </w:r>
            <w:r>
              <w:rPr>
                <w:rFonts w:ascii="Corbel" w:hAnsi="Corbel"/>
                <w:sz w:val="20"/>
                <w:szCs w:val="20"/>
              </w:rPr>
              <w:t>HHDWG</w:t>
            </w:r>
            <w:r w:rsidRPr="001B5B99">
              <w:rPr>
                <w:rFonts w:ascii="Corbel" w:hAnsi="Corbel"/>
                <w:sz w:val="20"/>
                <w:szCs w:val="20"/>
              </w:rPr>
              <w:t xml:space="preserve"> or subsequent working group </w:t>
            </w:r>
            <w:r>
              <w:rPr>
                <w:rFonts w:ascii="Corbel" w:hAnsi="Corbel"/>
                <w:sz w:val="20"/>
                <w:szCs w:val="20"/>
              </w:rPr>
              <w:t>will</w:t>
            </w:r>
            <w:r w:rsidRPr="001B5B99">
              <w:rPr>
                <w:rFonts w:ascii="Corbel" w:hAnsi="Corbel"/>
                <w:sz w:val="20"/>
                <w:szCs w:val="20"/>
              </w:rPr>
              <w:t xml:space="preserve"> develop recommendations for activities to include in a new Data Improvement Plan for the period 2023-2028.</w:t>
            </w:r>
            <w:r>
              <w:rPr>
                <w:rFonts w:ascii="Corbel" w:hAnsi="Corbel"/>
                <w:sz w:val="20"/>
                <w:szCs w:val="20"/>
              </w:rPr>
              <w:br/>
            </w:r>
          </w:p>
        </w:tc>
      </w:tr>
    </w:tbl>
    <w:p w14:paraId="745AFEC1" w14:textId="77777777" w:rsidR="008D7907" w:rsidRDefault="008D7907" w:rsidP="008D7907">
      <w:pPr>
        <w:pStyle w:val="FootnoteText"/>
        <w:tabs>
          <w:tab w:val="clear" w:pos="284"/>
          <w:tab w:val="left" w:pos="142"/>
        </w:tabs>
        <w:spacing w:after="240"/>
        <w:rPr>
          <w:rFonts w:eastAsiaTheme="minorHAnsi" w:cs="Corbel"/>
          <w:b/>
          <w:bCs/>
          <w:color w:val="3D4B67"/>
          <w:sz w:val="23"/>
          <w:szCs w:val="23"/>
          <w:lang w:eastAsia="en-US"/>
        </w:rPr>
      </w:pPr>
    </w:p>
    <w:p w14:paraId="61EC26B3" w14:textId="77777777" w:rsidR="008D7907" w:rsidRDefault="008D7907" w:rsidP="008D7907">
      <w:pPr>
        <w:pStyle w:val="FootnoteText"/>
        <w:tabs>
          <w:tab w:val="clear" w:pos="284"/>
          <w:tab w:val="left" w:pos="142"/>
        </w:tabs>
        <w:spacing w:after="240"/>
        <w:rPr>
          <w:color w:val="auto"/>
          <w:sz w:val="23"/>
          <w:szCs w:val="23"/>
        </w:rPr>
      </w:pPr>
      <w:r>
        <w:rPr>
          <w:rFonts w:eastAsiaTheme="minorHAnsi" w:cs="Corbel"/>
          <w:b/>
          <w:bCs/>
          <w:color w:val="3D4B67"/>
          <w:sz w:val="23"/>
          <w:szCs w:val="23"/>
          <w:lang w:eastAsia="en-US"/>
        </w:rPr>
        <w:t>Term of the Schedule</w:t>
      </w:r>
    </w:p>
    <w:p w14:paraId="3B959325" w14:textId="77777777" w:rsidR="008D7907" w:rsidRPr="00FF1EB6" w:rsidRDefault="008D7907" w:rsidP="008D7907">
      <w:pPr>
        <w:pStyle w:val="FootnoteText"/>
        <w:numPr>
          <w:ilvl w:val="0"/>
          <w:numId w:val="4"/>
        </w:numPr>
        <w:tabs>
          <w:tab w:val="clear" w:pos="284"/>
          <w:tab w:val="left" w:pos="142"/>
        </w:tabs>
        <w:spacing w:after="240"/>
        <w:ind w:left="567" w:hanging="567"/>
        <w:rPr>
          <w:rFonts w:cstheme="minorHAnsi"/>
          <w:color w:val="auto"/>
          <w:sz w:val="22"/>
          <w:szCs w:val="22"/>
        </w:rPr>
      </w:pPr>
      <w:r>
        <w:rPr>
          <w:rFonts w:cstheme="minorHAnsi"/>
          <w:color w:val="auto"/>
          <w:sz w:val="22"/>
          <w:szCs w:val="22"/>
        </w:rPr>
        <w:t>Unless terminated earlier as agreed in writing by the relevant Parties, this schedule will be replaced / revised with a work plan for the following five years.</w:t>
      </w:r>
    </w:p>
    <w:p w14:paraId="743ABE6A" w14:textId="77777777" w:rsidR="008D7907" w:rsidRDefault="008D7907" w:rsidP="008D7907">
      <w:pPr>
        <w:pStyle w:val="NoSpacing"/>
      </w:pPr>
    </w:p>
    <w:p w14:paraId="36A5289D" w14:textId="77777777" w:rsidR="00B0587F" w:rsidRPr="008D7907" w:rsidRDefault="00B0587F" w:rsidP="008D7907"/>
    <w:sectPr w:rsidR="00B0587F" w:rsidRPr="008D79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639F" w14:textId="77777777" w:rsidR="0054518B" w:rsidRDefault="0054518B" w:rsidP="001A4E1E">
      <w:pPr>
        <w:spacing w:after="0" w:line="240" w:lineRule="auto"/>
      </w:pPr>
      <w:r>
        <w:separator/>
      </w:r>
    </w:p>
  </w:endnote>
  <w:endnote w:type="continuationSeparator" w:id="0">
    <w:p w14:paraId="7B85EA9D" w14:textId="77777777" w:rsidR="0054518B" w:rsidRDefault="0054518B" w:rsidP="001A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614800"/>
      <w:docPartObj>
        <w:docPartGallery w:val="Page Numbers (Bottom of Page)"/>
        <w:docPartUnique/>
      </w:docPartObj>
    </w:sdtPr>
    <w:sdtEndPr>
      <w:rPr>
        <w:rFonts w:ascii="Corbel" w:hAnsi="Corbel" w:cstheme="minorHAnsi"/>
        <w:color w:val="7F7F7F" w:themeColor="background1" w:themeShade="7F"/>
        <w:spacing w:val="60"/>
      </w:rPr>
    </w:sdtEndPr>
    <w:sdtContent>
      <w:p w14:paraId="085FDC6D" w14:textId="1D45DD79" w:rsidR="0096780A" w:rsidRPr="00E42C0C" w:rsidRDefault="0096780A">
        <w:pPr>
          <w:pStyle w:val="Footer"/>
          <w:pBdr>
            <w:top w:val="single" w:sz="4" w:space="1" w:color="D9D9D9" w:themeColor="background1" w:themeShade="D9"/>
          </w:pBdr>
          <w:jc w:val="right"/>
          <w:rPr>
            <w:rFonts w:ascii="Corbel" w:hAnsi="Corbel" w:cstheme="minorHAnsi"/>
          </w:rPr>
        </w:pPr>
        <w:r w:rsidRPr="00E42C0C">
          <w:rPr>
            <w:rFonts w:ascii="Corbel" w:hAnsi="Corbel" w:cstheme="minorHAnsi"/>
          </w:rPr>
          <w:fldChar w:fldCharType="begin"/>
        </w:r>
        <w:r w:rsidRPr="00E42C0C">
          <w:rPr>
            <w:rFonts w:ascii="Corbel" w:hAnsi="Corbel" w:cstheme="minorHAnsi"/>
          </w:rPr>
          <w:instrText xml:space="preserve"> PAGE   \* MERGEFORMAT </w:instrText>
        </w:r>
        <w:r w:rsidRPr="00E42C0C">
          <w:rPr>
            <w:rFonts w:ascii="Corbel" w:hAnsi="Corbel" w:cstheme="minorHAnsi"/>
          </w:rPr>
          <w:fldChar w:fldCharType="separate"/>
        </w:r>
        <w:r w:rsidR="00B97F62">
          <w:rPr>
            <w:rFonts w:ascii="Corbel" w:hAnsi="Corbel" w:cstheme="minorHAnsi"/>
            <w:noProof/>
          </w:rPr>
          <w:t>3</w:t>
        </w:r>
        <w:r w:rsidRPr="00E42C0C">
          <w:rPr>
            <w:rFonts w:ascii="Corbel" w:hAnsi="Corbel" w:cstheme="minorHAnsi"/>
            <w:noProof/>
          </w:rPr>
          <w:fldChar w:fldCharType="end"/>
        </w:r>
        <w:r w:rsidRPr="00E42C0C">
          <w:rPr>
            <w:rFonts w:ascii="Corbel" w:hAnsi="Corbel" w:cstheme="minorHAnsi"/>
          </w:rPr>
          <w:t xml:space="preserve"> | </w:t>
        </w:r>
        <w:r w:rsidRPr="00E42C0C">
          <w:rPr>
            <w:rFonts w:ascii="Corbel" w:hAnsi="Corbel" w:cstheme="minorHAnsi"/>
            <w:color w:val="7F7F7F" w:themeColor="background1" w:themeShade="7F"/>
            <w:spacing w:val="60"/>
          </w:rPr>
          <w:t>Page</w:t>
        </w:r>
      </w:p>
    </w:sdtContent>
  </w:sdt>
  <w:p w14:paraId="29F3F425" w14:textId="33A8455F" w:rsidR="00092ECB" w:rsidRDefault="00092ECB" w:rsidP="00092ECB">
    <w:pPr>
      <w:pStyle w:val="ProtectiveMarking"/>
      <w:rPr>
        <w:noProof/>
        <w:lang w:val="en-US"/>
      </w:rPr>
    </w:pPr>
  </w:p>
  <w:p w14:paraId="46ECFACC" w14:textId="77777777" w:rsidR="0096780A" w:rsidRDefault="0096780A" w:rsidP="00E42C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1B07" w14:textId="77777777" w:rsidR="0054518B" w:rsidRDefault="0054518B" w:rsidP="001A4E1E">
      <w:pPr>
        <w:spacing w:after="0" w:line="240" w:lineRule="auto"/>
      </w:pPr>
      <w:r>
        <w:separator/>
      </w:r>
    </w:p>
  </w:footnote>
  <w:footnote w:type="continuationSeparator" w:id="0">
    <w:p w14:paraId="6FD5DD93" w14:textId="77777777" w:rsidR="0054518B" w:rsidRDefault="0054518B" w:rsidP="001A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7928" w14:textId="77777777" w:rsidR="00092ECB" w:rsidRDefault="00092ECB" w:rsidP="00E42C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A83"/>
    <w:multiLevelType w:val="hybridMultilevel"/>
    <w:tmpl w:val="2E84E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C2AD2"/>
    <w:multiLevelType w:val="hybridMultilevel"/>
    <w:tmpl w:val="7418578A"/>
    <w:lvl w:ilvl="0" w:tplc="7A3E1E80">
      <w:numFmt w:val="bullet"/>
      <w:lvlText w:val="-"/>
      <w:lvlJc w:val="left"/>
      <w:pPr>
        <w:ind w:left="720" w:hanging="360"/>
      </w:pPr>
      <w:rPr>
        <w:rFonts w:ascii="Corbel" w:eastAsiaTheme="minorHAnsi" w:hAnsi="Corbe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37290"/>
    <w:multiLevelType w:val="hybridMultilevel"/>
    <w:tmpl w:val="1F3A73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DF1770"/>
    <w:multiLevelType w:val="hybridMultilevel"/>
    <w:tmpl w:val="DBCA68E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A35A1E"/>
    <w:multiLevelType w:val="hybridMultilevel"/>
    <w:tmpl w:val="C1186C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D933BD2"/>
    <w:multiLevelType w:val="hybridMultilevel"/>
    <w:tmpl w:val="6C6611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963CF1"/>
    <w:multiLevelType w:val="multilevel"/>
    <w:tmpl w:val="27D8F93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011001"/>
    <w:multiLevelType w:val="hybridMultilevel"/>
    <w:tmpl w:val="96B082DE"/>
    <w:lvl w:ilvl="0" w:tplc="048E26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F9041F"/>
    <w:multiLevelType w:val="hybridMultilevel"/>
    <w:tmpl w:val="9BFCC35E"/>
    <w:lvl w:ilvl="0" w:tplc="45961040">
      <w:start w:val="1"/>
      <w:numFmt w:val="decimal"/>
      <w:lvlText w:val="E%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8"/>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7F"/>
    <w:rsid w:val="00002EAD"/>
    <w:rsid w:val="00012C59"/>
    <w:rsid w:val="00043B79"/>
    <w:rsid w:val="0004454A"/>
    <w:rsid w:val="00045E43"/>
    <w:rsid w:val="00060F0A"/>
    <w:rsid w:val="00065D70"/>
    <w:rsid w:val="0006634F"/>
    <w:rsid w:val="00072D22"/>
    <w:rsid w:val="0009225C"/>
    <w:rsid w:val="00092ECB"/>
    <w:rsid w:val="000A4AFB"/>
    <w:rsid w:val="000B5444"/>
    <w:rsid w:val="000B5F3C"/>
    <w:rsid w:val="000C30A9"/>
    <w:rsid w:val="000C32B4"/>
    <w:rsid w:val="000C539F"/>
    <w:rsid w:val="000C5779"/>
    <w:rsid w:val="000D2808"/>
    <w:rsid w:val="000E1E02"/>
    <w:rsid w:val="000E5D7D"/>
    <w:rsid w:val="000E776C"/>
    <w:rsid w:val="00113F7F"/>
    <w:rsid w:val="00116836"/>
    <w:rsid w:val="00124781"/>
    <w:rsid w:val="001275E5"/>
    <w:rsid w:val="00152879"/>
    <w:rsid w:val="0015424C"/>
    <w:rsid w:val="00157EB0"/>
    <w:rsid w:val="00160AA1"/>
    <w:rsid w:val="00164028"/>
    <w:rsid w:val="00166449"/>
    <w:rsid w:val="001771AA"/>
    <w:rsid w:val="00183F73"/>
    <w:rsid w:val="001849C8"/>
    <w:rsid w:val="00193208"/>
    <w:rsid w:val="001A4E1E"/>
    <w:rsid w:val="001A6FAD"/>
    <w:rsid w:val="001B7429"/>
    <w:rsid w:val="001B775D"/>
    <w:rsid w:val="001C1450"/>
    <w:rsid w:val="001C427A"/>
    <w:rsid w:val="001E4BD0"/>
    <w:rsid w:val="001F0BB7"/>
    <w:rsid w:val="001F436F"/>
    <w:rsid w:val="00204D08"/>
    <w:rsid w:val="0021718C"/>
    <w:rsid w:val="0022105D"/>
    <w:rsid w:val="00222B30"/>
    <w:rsid w:val="00237A43"/>
    <w:rsid w:val="00240371"/>
    <w:rsid w:val="0025739F"/>
    <w:rsid w:val="00257940"/>
    <w:rsid w:val="002663EC"/>
    <w:rsid w:val="002746AD"/>
    <w:rsid w:val="00275268"/>
    <w:rsid w:val="0028381D"/>
    <w:rsid w:val="00284D5B"/>
    <w:rsid w:val="00292AA4"/>
    <w:rsid w:val="002A1402"/>
    <w:rsid w:val="002A2D55"/>
    <w:rsid w:val="002A7FAC"/>
    <w:rsid w:val="002B2306"/>
    <w:rsid w:val="002C1D98"/>
    <w:rsid w:val="002C259C"/>
    <w:rsid w:val="002C3775"/>
    <w:rsid w:val="002C3A4B"/>
    <w:rsid w:val="002F4928"/>
    <w:rsid w:val="002F6464"/>
    <w:rsid w:val="0030002B"/>
    <w:rsid w:val="00305C30"/>
    <w:rsid w:val="00314F03"/>
    <w:rsid w:val="003243DB"/>
    <w:rsid w:val="003358C0"/>
    <w:rsid w:val="00365659"/>
    <w:rsid w:val="0037172C"/>
    <w:rsid w:val="00376668"/>
    <w:rsid w:val="003C7860"/>
    <w:rsid w:val="003D0216"/>
    <w:rsid w:val="003E2527"/>
    <w:rsid w:val="0040768A"/>
    <w:rsid w:val="0041693E"/>
    <w:rsid w:val="00457FC7"/>
    <w:rsid w:val="00467E05"/>
    <w:rsid w:val="0047362C"/>
    <w:rsid w:val="0047693D"/>
    <w:rsid w:val="00486417"/>
    <w:rsid w:val="00486A39"/>
    <w:rsid w:val="00494BE9"/>
    <w:rsid w:val="004A279D"/>
    <w:rsid w:val="004A3443"/>
    <w:rsid w:val="004C1D63"/>
    <w:rsid w:val="004D1E21"/>
    <w:rsid w:val="004F15B4"/>
    <w:rsid w:val="004F29DE"/>
    <w:rsid w:val="004F4439"/>
    <w:rsid w:val="00503AB6"/>
    <w:rsid w:val="0051542A"/>
    <w:rsid w:val="00525315"/>
    <w:rsid w:val="00536FB3"/>
    <w:rsid w:val="00537371"/>
    <w:rsid w:val="00542B00"/>
    <w:rsid w:val="0054483D"/>
    <w:rsid w:val="0054518B"/>
    <w:rsid w:val="00546BBF"/>
    <w:rsid w:val="00573286"/>
    <w:rsid w:val="005776DA"/>
    <w:rsid w:val="0059445C"/>
    <w:rsid w:val="005C63E0"/>
    <w:rsid w:val="005E52CB"/>
    <w:rsid w:val="005F2CB5"/>
    <w:rsid w:val="005F4DE6"/>
    <w:rsid w:val="005F672C"/>
    <w:rsid w:val="00601CC7"/>
    <w:rsid w:val="00604049"/>
    <w:rsid w:val="0063248B"/>
    <w:rsid w:val="00636C3B"/>
    <w:rsid w:val="006441BE"/>
    <w:rsid w:val="00652D62"/>
    <w:rsid w:val="0065633B"/>
    <w:rsid w:val="00664622"/>
    <w:rsid w:val="00670D3C"/>
    <w:rsid w:val="006767EE"/>
    <w:rsid w:val="00680C2B"/>
    <w:rsid w:val="006816BE"/>
    <w:rsid w:val="006915B2"/>
    <w:rsid w:val="0069350A"/>
    <w:rsid w:val="006A0445"/>
    <w:rsid w:val="006A7CAF"/>
    <w:rsid w:val="006B0D2A"/>
    <w:rsid w:val="006B2998"/>
    <w:rsid w:val="006C2F1C"/>
    <w:rsid w:val="006D1791"/>
    <w:rsid w:val="006D1CD4"/>
    <w:rsid w:val="006D4139"/>
    <w:rsid w:val="006D5061"/>
    <w:rsid w:val="006E7D63"/>
    <w:rsid w:val="00703A7A"/>
    <w:rsid w:val="00723DCA"/>
    <w:rsid w:val="0074411F"/>
    <w:rsid w:val="007504A1"/>
    <w:rsid w:val="00762E01"/>
    <w:rsid w:val="00766376"/>
    <w:rsid w:val="007902A8"/>
    <w:rsid w:val="00790C28"/>
    <w:rsid w:val="00795CEC"/>
    <w:rsid w:val="007A5F24"/>
    <w:rsid w:val="007A7207"/>
    <w:rsid w:val="007B033E"/>
    <w:rsid w:val="007B3975"/>
    <w:rsid w:val="007B5753"/>
    <w:rsid w:val="007B7B48"/>
    <w:rsid w:val="007C5A36"/>
    <w:rsid w:val="007D149C"/>
    <w:rsid w:val="007E54BD"/>
    <w:rsid w:val="007F2689"/>
    <w:rsid w:val="007F72A2"/>
    <w:rsid w:val="00805F03"/>
    <w:rsid w:val="00823F5A"/>
    <w:rsid w:val="00826B52"/>
    <w:rsid w:val="00830273"/>
    <w:rsid w:val="00833093"/>
    <w:rsid w:val="00833F4F"/>
    <w:rsid w:val="00834240"/>
    <w:rsid w:val="00846733"/>
    <w:rsid w:val="00847874"/>
    <w:rsid w:val="008479FD"/>
    <w:rsid w:val="00857199"/>
    <w:rsid w:val="0086103B"/>
    <w:rsid w:val="0086133E"/>
    <w:rsid w:val="00866E27"/>
    <w:rsid w:val="00871E5D"/>
    <w:rsid w:val="00885E25"/>
    <w:rsid w:val="00885E73"/>
    <w:rsid w:val="00895C71"/>
    <w:rsid w:val="00897FEE"/>
    <w:rsid w:val="008A1E48"/>
    <w:rsid w:val="008A41AA"/>
    <w:rsid w:val="008A5398"/>
    <w:rsid w:val="008A7D9D"/>
    <w:rsid w:val="008B12E9"/>
    <w:rsid w:val="008B1ABB"/>
    <w:rsid w:val="008B3C44"/>
    <w:rsid w:val="008B4BCD"/>
    <w:rsid w:val="008C3161"/>
    <w:rsid w:val="008D7907"/>
    <w:rsid w:val="008E3A3E"/>
    <w:rsid w:val="008F321B"/>
    <w:rsid w:val="00906909"/>
    <w:rsid w:val="009164E3"/>
    <w:rsid w:val="00917D77"/>
    <w:rsid w:val="00926A7C"/>
    <w:rsid w:val="009346B1"/>
    <w:rsid w:val="00940963"/>
    <w:rsid w:val="00951265"/>
    <w:rsid w:val="009513C4"/>
    <w:rsid w:val="0095530B"/>
    <w:rsid w:val="00964BE8"/>
    <w:rsid w:val="00967017"/>
    <w:rsid w:val="0096780A"/>
    <w:rsid w:val="00977000"/>
    <w:rsid w:val="009937C1"/>
    <w:rsid w:val="00993EDD"/>
    <w:rsid w:val="009A1739"/>
    <w:rsid w:val="009C5A2C"/>
    <w:rsid w:val="009D77A1"/>
    <w:rsid w:val="009E291F"/>
    <w:rsid w:val="009F30F0"/>
    <w:rsid w:val="00A06642"/>
    <w:rsid w:val="00A123A7"/>
    <w:rsid w:val="00A34224"/>
    <w:rsid w:val="00A40D5D"/>
    <w:rsid w:val="00A61062"/>
    <w:rsid w:val="00A66DCF"/>
    <w:rsid w:val="00A67578"/>
    <w:rsid w:val="00A949A8"/>
    <w:rsid w:val="00A955FA"/>
    <w:rsid w:val="00A97BF2"/>
    <w:rsid w:val="00AB25E1"/>
    <w:rsid w:val="00AB3156"/>
    <w:rsid w:val="00AC0556"/>
    <w:rsid w:val="00AC28C0"/>
    <w:rsid w:val="00AC3A09"/>
    <w:rsid w:val="00AD08A1"/>
    <w:rsid w:val="00AE2486"/>
    <w:rsid w:val="00AF4309"/>
    <w:rsid w:val="00B01132"/>
    <w:rsid w:val="00B036A7"/>
    <w:rsid w:val="00B0587F"/>
    <w:rsid w:val="00B17706"/>
    <w:rsid w:val="00B216A5"/>
    <w:rsid w:val="00B244D7"/>
    <w:rsid w:val="00B26D3D"/>
    <w:rsid w:val="00B37041"/>
    <w:rsid w:val="00B549A6"/>
    <w:rsid w:val="00B54E7C"/>
    <w:rsid w:val="00B5699F"/>
    <w:rsid w:val="00B60B02"/>
    <w:rsid w:val="00B74E54"/>
    <w:rsid w:val="00B97F62"/>
    <w:rsid w:val="00BA3289"/>
    <w:rsid w:val="00BA4683"/>
    <w:rsid w:val="00BB4031"/>
    <w:rsid w:val="00BD28AD"/>
    <w:rsid w:val="00BD69F9"/>
    <w:rsid w:val="00BF3A14"/>
    <w:rsid w:val="00C14E82"/>
    <w:rsid w:val="00C44F2B"/>
    <w:rsid w:val="00C53A3F"/>
    <w:rsid w:val="00C74C10"/>
    <w:rsid w:val="00CA220B"/>
    <w:rsid w:val="00CB3A5C"/>
    <w:rsid w:val="00CC16D9"/>
    <w:rsid w:val="00CD3050"/>
    <w:rsid w:val="00CD534D"/>
    <w:rsid w:val="00CE6331"/>
    <w:rsid w:val="00CF47FE"/>
    <w:rsid w:val="00D0116B"/>
    <w:rsid w:val="00D13E06"/>
    <w:rsid w:val="00D16232"/>
    <w:rsid w:val="00D21B37"/>
    <w:rsid w:val="00D25C89"/>
    <w:rsid w:val="00D35D76"/>
    <w:rsid w:val="00D4274A"/>
    <w:rsid w:val="00D4754C"/>
    <w:rsid w:val="00D54230"/>
    <w:rsid w:val="00D55EF4"/>
    <w:rsid w:val="00D70897"/>
    <w:rsid w:val="00D76D20"/>
    <w:rsid w:val="00D87AAB"/>
    <w:rsid w:val="00DA06AA"/>
    <w:rsid w:val="00DA0D33"/>
    <w:rsid w:val="00DA5B55"/>
    <w:rsid w:val="00DA79D3"/>
    <w:rsid w:val="00DB1D26"/>
    <w:rsid w:val="00DB249F"/>
    <w:rsid w:val="00DB4069"/>
    <w:rsid w:val="00DB4857"/>
    <w:rsid w:val="00DC1989"/>
    <w:rsid w:val="00DC5321"/>
    <w:rsid w:val="00DC5F83"/>
    <w:rsid w:val="00DD5B4A"/>
    <w:rsid w:val="00DF2D14"/>
    <w:rsid w:val="00DF7809"/>
    <w:rsid w:val="00DF7E7D"/>
    <w:rsid w:val="00E00E6E"/>
    <w:rsid w:val="00E056A6"/>
    <w:rsid w:val="00E311F6"/>
    <w:rsid w:val="00E34122"/>
    <w:rsid w:val="00E36E71"/>
    <w:rsid w:val="00E374C6"/>
    <w:rsid w:val="00E42C0C"/>
    <w:rsid w:val="00E81392"/>
    <w:rsid w:val="00EA0E87"/>
    <w:rsid w:val="00EA3E4A"/>
    <w:rsid w:val="00EA77FD"/>
    <w:rsid w:val="00EB0BFC"/>
    <w:rsid w:val="00EB78CB"/>
    <w:rsid w:val="00EC716B"/>
    <w:rsid w:val="00ED0167"/>
    <w:rsid w:val="00EE348D"/>
    <w:rsid w:val="00EE5F92"/>
    <w:rsid w:val="00EE7F42"/>
    <w:rsid w:val="00EF29A9"/>
    <w:rsid w:val="00EF2BA0"/>
    <w:rsid w:val="00EF69E5"/>
    <w:rsid w:val="00F029E9"/>
    <w:rsid w:val="00F05F1B"/>
    <w:rsid w:val="00F2406D"/>
    <w:rsid w:val="00F24E89"/>
    <w:rsid w:val="00F30245"/>
    <w:rsid w:val="00F30BDD"/>
    <w:rsid w:val="00F3731C"/>
    <w:rsid w:val="00F44F10"/>
    <w:rsid w:val="00F551CB"/>
    <w:rsid w:val="00F57E9A"/>
    <w:rsid w:val="00F750EC"/>
    <w:rsid w:val="00FA3BFB"/>
    <w:rsid w:val="00FA42EE"/>
    <w:rsid w:val="00FA7F02"/>
    <w:rsid w:val="00FC18B5"/>
    <w:rsid w:val="00FC653A"/>
    <w:rsid w:val="00FE0D51"/>
    <w:rsid w:val="00FE3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9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07"/>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587F"/>
    <w:pPr>
      <w:spacing w:after="0" w:line="240" w:lineRule="auto"/>
    </w:pPr>
  </w:style>
  <w:style w:type="character" w:customStyle="1" w:styleId="NoSpacingChar">
    <w:name w:val="No Spacing Char"/>
    <w:basedOn w:val="DefaultParagraphFont"/>
    <w:link w:val="NoSpacing"/>
    <w:uiPriority w:val="1"/>
    <w:rsid w:val="00B0587F"/>
  </w:style>
  <w:style w:type="paragraph" w:styleId="FootnoteText">
    <w:name w:val="footnote text"/>
    <w:basedOn w:val="Normal"/>
    <w:link w:val="FootnoteTextChar"/>
    <w:uiPriority w:val="99"/>
    <w:rsid w:val="00B0587F"/>
    <w:pPr>
      <w:tabs>
        <w:tab w:val="left" w:pos="284"/>
      </w:tabs>
      <w:spacing w:after="0" w:line="240" w:lineRule="auto"/>
      <w:ind w:left="284" w:hanging="284"/>
      <w:jc w:val="both"/>
    </w:pPr>
    <w:rPr>
      <w:rFonts w:ascii="Corbel" w:eastAsia="Times New Roman" w:hAnsi="Corbel" w:cs="Times New Roman"/>
      <w:color w:val="000000"/>
      <w:sz w:val="18"/>
      <w:szCs w:val="20"/>
      <w:lang w:eastAsia="en-AU"/>
    </w:rPr>
  </w:style>
  <w:style w:type="character" w:customStyle="1" w:styleId="FootnoteTextChar">
    <w:name w:val="Footnote Text Char"/>
    <w:basedOn w:val="DefaultParagraphFont"/>
    <w:link w:val="FootnoteText"/>
    <w:uiPriority w:val="99"/>
    <w:rsid w:val="00B0587F"/>
    <w:rPr>
      <w:rFonts w:ascii="Corbel" w:eastAsia="Times New Roman" w:hAnsi="Corbel" w:cs="Times New Roman"/>
      <w:color w:val="000000"/>
      <w:sz w:val="18"/>
      <w:szCs w:val="20"/>
      <w:lang w:eastAsia="en-AU"/>
    </w:rPr>
  </w:style>
  <w:style w:type="table" w:styleId="TableGrid">
    <w:name w:val="Table Grid"/>
    <w:basedOn w:val="TableNormal"/>
    <w:uiPriority w:val="59"/>
    <w:rsid w:val="00B0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587F"/>
    <w:rPr>
      <w:sz w:val="16"/>
      <w:szCs w:val="16"/>
    </w:rPr>
  </w:style>
  <w:style w:type="paragraph" w:styleId="CommentText">
    <w:name w:val="annotation text"/>
    <w:basedOn w:val="Normal"/>
    <w:link w:val="CommentTextChar"/>
    <w:uiPriority w:val="99"/>
    <w:unhideWhenUsed/>
    <w:rsid w:val="00B0587F"/>
    <w:pPr>
      <w:spacing w:line="240" w:lineRule="auto"/>
    </w:pPr>
    <w:rPr>
      <w:sz w:val="20"/>
      <w:szCs w:val="20"/>
    </w:rPr>
  </w:style>
  <w:style w:type="character" w:customStyle="1" w:styleId="CommentTextChar">
    <w:name w:val="Comment Text Char"/>
    <w:basedOn w:val="DefaultParagraphFont"/>
    <w:link w:val="CommentText"/>
    <w:uiPriority w:val="99"/>
    <w:rsid w:val="00B0587F"/>
    <w:rPr>
      <w:rFonts w:ascii="Arial" w:hAnsi="Arial"/>
      <w:sz w:val="20"/>
      <w:szCs w:val="20"/>
    </w:rPr>
  </w:style>
  <w:style w:type="paragraph" w:styleId="BalloonText">
    <w:name w:val="Balloon Text"/>
    <w:basedOn w:val="Normal"/>
    <w:link w:val="BalloonTextChar"/>
    <w:uiPriority w:val="99"/>
    <w:semiHidden/>
    <w:unhideWhenUsed/>
    <w:rsid w:val="00B0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69E5"/>
    <w:rPr>
      <w:b/>
      <w:bCs/>
    </w:rPr>
  </w:style>
  <w:style w:type="character" w:customStyle="1" w:styleId="CommentSubjectChar">
    <w:name w:val="Comment Subject Char"/>
    <w:basedOn w:val="CommentTextChar"/>
    <w:link w:val="CommentSubject"/>
    <w:uiPriority w:val="99"/>
    <w:semiHidden/>
    <w:rsid w:val="00EF69E5"/>
    <w:rPr>
      <w:rFonts w:ascii="Arial" w:hAnsi="Arial"/>
      <w:b/>
      <w:bCs/>
      <w:sz w:val="20"/>
      <w:szCs w:val="20"/>
    </w:rPr>
  </w:style>
  <w:style w:type="paragraph" w:styleId="Revision">
    <w:name w:val="Revision"/>
    <w:hidden/>
    <w:uiPriority w:val="99"/>
    <w:semiHidden/>
    <w:rsid w:val="00EF69E5"/>
    <w:pPr>
      <w:spacing w:after="0" w:line="240" w:lineRule="auto"/>
    </w:pPr>
    <w:rPr>
      <w:rFonts w:ascii="Arial" w:hAnsi="Arial"/>
    </w:rPr>
  </w:style>
  <w:style w:type="paragraph" w:styleId="Header">
    <w:name w:val="header"/>
    <w:basedOn w:val="Normal"/>
    <w:link w:val="HeaderChar"/>
    <w:uiPriority w:val="99"/>
    <w:unhideWhenUsed/>
    <w:rsid w:val="001A4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1E"/>
    <w:rPr>
      <w:rFonts w:ascii="Arial" w:hAnsi="Arial"/>
    </w:rPr>
  </w:style>
  <w:style w:type="paragraph" w:styleId="Footer">
    <w:name w:val="footer"/>
    <w:basedOn w:val="Normal"/>
    <w:link w:val="FooterChar"/>
    <w:uiPriority w:val="99"/>
    <w:unhideWhenUsed/>
    <w:rsid w:val="001A4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1E"/>
    <w:rPr>
      <w:rFonts w:ascii="Arial" w:hAnsi="Arial"/>
    </w:rPr>
  </w:style>
  <w:style w:type="paragraph" w:customStyle="1" w:styleId="Bullet">
    <w:name w:val="Bullet"/>
    <w:basedOn w:val="Normal"/>
    <w:link w:val="BulletChar"/>
    <w:rsid w:val="00E34122"/>
    <w:pPr>
      <w:numPr>
        <w:numId w:val="6"/>
      </w:numPr>
      <w:spacing w:after="0"/>
    </w:pPr>
    <w:rPr>
      <w:rFonts w:cs="Arial"/>
    </w:rPr>
  </w:style>
  <w:style w:type="character" w:customStyle="1" w:styleId="BulletChar">
    <w:name w:val="Bullet Char"/>
    <w:basedOn w:val="DefaultParagraphFont"/>
    <w:link w:val="Bullet"/>
    <w:rsid w:val="00E34122"/>
    <w:rPr>
      <w:rFonts w:ascii="Arial" w:hAnsi="Arial" w:cs="Arial"/>
    </w:rPr>
  </w:style>
  <w:style w:type="paragraph" w:customStyle="1" w:styleId="Dash">
    <w:name w:val="Dash"/>
    <w:basedOn w:val="Normal"/>
    <w:rsid w:val="00E34122"/>
    <w:pPr>
      <w:numPr>
        <w:ilvl w:val="1"/>
        <w:numId w:val="6"/>
      </w:numPr>
      <w:spacing w:after="0"/>
    </w:pPr>
    <w:rPr>
      <w:rFonts w:cs="Arial"/>
    </w:rPr>
  </w:style>
  <w:style w:type="paragraph" w:customStyle="1" w:styleId="DoubleDot">
    <w:name w:val="Double Dot"/>
    <w:basedOn w:val="Normal"/>
    <w:rsid w:val="00E34122"/>
    <w:pPr>
      <w:numPr>
        <w:ilvl w:val="2"/>
        <w:numId w:val="6"/>
      </w:numPr>
      <w:spacing w:after="0"/>
    </w:pPr>
    <w:rPr>
      <w:rFonts w:cs="Arial"/>
    </w:rPr>
  </w:style>
  <w:style w:type="paragraph" w:styleId="ListParagraph">
    <w:name w:val="List Paragraph"/>
    <w:basedOn w:val="Normal"/>
    <w:uiPriority w:val="34"/>
    <w:qFormat/>
    <w:rsid w:val="00866E27"/>
    <w:pPr>
      <w:ind w:left="720"/>
      <w:contextualSpacing/>
    </w:pPr>
  </w:style>
  <w:style w:type="paragraph" w:customStyle="1" w:styleId="ProtectiveMarking">
    <w:name w:val="Protective Marking"/>
    <w:uiPriority w:val="15"/>
    <w:semiHidden/>
    <w:qFormat/>
    <w:rsid w:val="00092ECB"/>
    <w:pPr>
      <w:spacing w:after="0" w:line="240" w:lineRule="auto"/>
      <w:jc w:val="center"/>
    </w:pPr>
    <w:rPr>
      <w:rFonts w:ascii="Arial" w:hAnsi="Arial"/>
      <w:b/>
      <w:color w:val="FF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232566">
      <w:bodyDiv w:val="1"/>
      <w:marLeft w:val="0"/>
      <w:marRight w:val="0"/>
      <w:marTop w:val="0"/>
      <w:marBottom w:val="0"/>
      <w:divBdr>
        <w:top w:val="none" w:sz="0" w:space="0" w:color="auto"/>
        <w:left w:val="none" w:sz="0" w:space="0" w:color="auto"/>
        <w:bottom w:val="none" w:sz="0" w:space="0" w:color="auto"/>
        <w:right w:val="none" w:sz="0" w:space="0" w:color="auto"/>
      </w:divBdr>
      <w:divsChild>
        <w:div w:id="1221863487">
          <w:marLeft w:val="0"/>
          <w:marRight w:val="0"/>
          <w:marTop w:val="0"/>
          <w:marBottom w:val="0"/>
          <w:divBdr>
            <w:top w:val="none" w:sz="0" w:space="0" w:color="auto"/>
            <w:left w:val="none" w:sz="0" w:space="0" w:color="auto"/>
            <w:bottom w:val="none" w:sz="0" w:space="0" w:color="auto"/>
            <w:right w:val="none" w:sz="0" w:space="0" w:color="auto"/>
          </w:divBdr>
          <w:divsChild>
            <w:div w:id="1503624696">
              <w:marLeft w:val="0"/>
              <w:marRight w:val="0"/>
              <w:marTop w:val="0"/>
              <w:marBottom w:val="0"/>
              <w:divBdr>
                <w:top w:val="none" w:sz="0" w:space="0" w:color="auto"/>
                <w:left w:val="none" w:sz="0" w:space="0" w:color="auto"/>
                <w:bottom w:val="none" w:sz="0" w:space="0" w:color="auto"/>
                <w:right w:val="none" w:sz="0" w:space="0" w:color="auto"/>
              </w:divBdr>
              <w:divsChild>
                <w:div w:id="11283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36BD-6907-430B-A8C0-DF162E6F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Housing and Homelessness Data Improvement Plan - Schedule E</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Homelessness Data Improvement Plan - Schedule E</dc:title>
  <dc:subject/>
  <dc:creator/>
  <cp:keywords/>
  <dc:description/>
  <cp:lastModifiedBy/>
  <cp:revision>1</cp:revision>
  <dcterms:created xsi:type="dcterms:W3CDTF">2021-04-20T06:01:00Z</dcterms:created>
  <dcterms:modified xsi:type="dcterms:W3CDTF">2021-04-20T06:01:00Z</dcterms:modified>
</cp:coreProperties>
</file>