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1512"/>
        <w:gridCol w:w="8342"/>
      </w:tblGrid>
      <w:tr w:rsidR="00814667" w:rsidRPr="00EF45D2" w14:paraId="55108BEA" w14:textId="77777777">
        <w:tc>
          <w:tcPr>
            <w:tcW w:w="5000" w:type="pct"/>
            <w:gridSpan w:val="2"/>
          </w:tcPr>
          <w:p w14:paraId="4182E178" w14:textId="77777777" w:rsidR="00814667" w:rsidRPr="00EF45D2" w:rsidRDefault="002A203F" w:rsidP="002A203F">
            <w:pPr>
              <w:pStyle w:val="CoverTitleMain"/>
            </w:pPr>
            <w:bookmarkStart w:id="0" w:name="_GoBack"/>
            <w:bookmarkEnd w:id="0"/>
            <w:r w:rsidRPr="00EF45D2">
              <w:t xml:space="preserve">national </w:t>
            </w:r>
            <w:r w:rsidR="006151CC" w:rsidRPr="00EF45D2">
              <w:t xml:space="preserve">housing </w:t>
            </w:r>
            <w:r w:rsidRPr="00EF45D2">
              <w:br/>
            </w:r>
            <w:r w:rsidR="006151CC" w:rsidRPr="00EF45D2">
              <w:t>and homelessness</w:t>
            </w:r>
            <w:r w:rsidRPr="00EF45D2">
              <w:t xml:space="preserve"> agreement</w:t>
            </w:r>
          </w:p>
        </w:tc>
      </w:tr>
      <w:tr w:rsidR="00814667" w:rsidRPr="00EF45D2" w14:paraId="38748E21" w14:textId="77777777">
        <w:tc>
          <w:tcPr>
            <w:tcW w:w="767" w:type="pct"/>
          </w:tcPr>
          <w:p w14:paraId="76D4693F" w14:textId="77777777" w:rsidR="00814667" w:rsidRPr="00EF45D2" w:rsidRDefault="00814667">
            <w:pPr>
              <w:pStyle w:val="SingleParagraph"/>
              <w:tabs>
                <w:tab w:val="num" w:pos="1134"/>
              </w:tabs>
              <w:spacing w:after="240"/>
              <w:ind w:left="1134" w:hanging="567"/>
            </w:pPr>
          </w:p>
        </w:tc>
        <w:tc>
          <w:tcPr>
            <w:tcW w:w="4233" w:type="pct"/>
          </w:tcPr>
          <w:p w14:paraId="4DD67C8A" w14:textId="77777777" w:rsidR="00814667" w:rsidRPr="00EF45D2" w:rsidRDefault="00814667">
            <w:pPr>
              <w:pStyle w:val="SingleParagraph"/>
              <w:tabs>
                <w:tab w:val="num" w:pos="1134"/>
              </w:tabs>
              <w:spacing w:after="240"/>
              <w:ind w:left="1134" w:hanging="567"/>
            </w:pPr>
          </w:p>
        </w:tc>
      </w:tr>
      <w:tr w:rsidR="00814667" w:rsidRPr="00EF45D2" w14:paraId="250937A6" w14:textId="77777777">
        <w:tc>
          <w:tcPr>
            <w:tcW w:w="767" w:type="pct"/>
          </w:tcPr>
          <w:p w14:paraId="6A7D5337" w14:textId="77777777" w:rsidR="00814667" w:rsidRPr="00EF45D2" w:rsidRDefault="00814667">
            <w:pPr>
              <w:pStyle w:val="SingleParagraph"/>
              <w:tabs>
                <w:tab w:val="num" w:pos="1134"/>
              </w:tabs>
              <w:spacing w:after="240"/>
              <w:ind w:left="1134" w:hanging="567"/>
            </w:pPr>
          </w:p>
        </w:tc>
        <w:tc>
          <w:tcPr>
            <w:tcW w:w="4233" w:type="pct"/>
          </w:tcPr>
          <w:p w14:paraId="64EE4CE7" w14:textId="77777777" w:rsidR="00814667" w:rsidRPr="00EF45D2" w:rsidRDefault="00814667">
            <w:pPr>
              <w:pStyle w:val="SingleParagraph"/>
              <w:tabs>
                <w:tab w:val="num" w:pos="1134"/>
              </w:tabs>
              <w:spacing w:after="240"/>
              <w:ind w:left="1134" w:hanging="567"/>
            </w:pPr>
          </w:p>
        </w:tc>
      </w:tr>
      <w:tr w:rsidR="00814667" w:rsidRPr="00EF45D2" w14:paraId="7B096BD2" w14:textId="77777777">
        <w:tc>
          <w:tcPr>
            <w:tcW w:w="5000" w:type="pct"/>
            <w:gridSpan w:val="2"/>
          </w:tcPr>
          <w:p w14:paraId="6DA8AD33" w14:textId="77777777" w:rsidR="00814667" w:rsidRPr="00EF45D2" w:rsidRDefault="00814667">
            <w:pPr>
              <w:pStyle w:val="AgreementHeading"/>
              <w:tabs>
                <w:tab w:val="clear" w:pos="1134"/>
              </w:tabs>
            </w:pPr>
            <w:r w:rsidRPr="00EF45D2">
              <w:t>An agreement between</w:t>
            </w:r>
            <w:r w:rsidR="00697494" w:rsidRPr="00EF45D2">
              <w:t>:</w:t>
            </w:r>
          </w:p>
        </w:tc>
      </w:tr>
      <w:tr w:rsidR="00814667" w:rsidRPr="00EF45D2" w14:paraId="3FA78A11" w14:textId="77777777">
        <w:tc>
          <w:tcPr>
            <w:tcW w:w="767" w:type="pct"/>
          </w:tcPr>
          <w:p w14:paraId="337A3F84" w14:textId="77777777" w:rsidR="00814667" w:rsidRPr="00EF45D2" w:rsidRDefault="00814667">
            <w:pPr>
              <w:pStyle w:val="AgreementHeading"/>
              <w:tabs>
                <w:tab w:val="clear" w:pos="1134"/>
              </w:tabs>
              <w:ind w:left="522"/>
            </w:pPr>
          </w:p>
        </w:tc>
        <w:tc>
          <w:tcPr>
            <w:tcW w:w="4233" w:type="pct"/>
          </w:tcPr>
          <w:p w14:paraId="73E377E7" w14:textId="77777777" w:rsidR="00814667" w:rsidRPr="00EF45D2" w:rsidRDefault="00814667">
            <w:pPr>
              <w:pStyle w:val="AgreementParties"/>
            </w:pPr>
            <w:r w:rsidRPr="00EF45D2">
              <w:t xml:space="preserve">the </w:t>
            </w:r>
            <w:r w:rsidRPr="00EF45D2">
              <w:rPr>
                <w:rStyle w:val="Bold"/>
              </w:rPr>
              <w:t>Commonwealth of Australia</w:t>
            </w:r>
            <w:r w:rsidR="00697494" w:rsidRPr="00EF45D2">
              <w:rPr>
                <w:rStyle w:val="Bold"/>
              </w:rPr>
              <w:t>;</w:t>
            </w:r>
            <w:r w:rsidRPr="00EF45D2">
              <w:t xml:space="preserve"> and</w:t>
            </w:r>
          </w:p>
          <w:p w14:paraId="787BC7A9" w14:textId="77777777" w:rsidR="00814667" w:rsidRPr="00EF45D2" w:rsidRDefault="00814667" w:rsidP="00697494">
            <w:pPr>
              <w:pStyle w:val="AgreementParties"/>
            </w:pPr>
            <w:r w:rsidRPr="00EF45D2">
              <w:t xml:space="preserve">the </w:t>
            </w:r>
            <w:r w:rsidRPr="00EF45D2">
              <w:rPr>
                <w:rStyle w:val="Bold"/>
              </w:rPr>
              <w:t>States and Territorie</w:t>
            </w:r>
            <w:r w:rsidR="00697494" w:rsidRPr="00EF45D2">
              <w:rPr>
                <w:rStyle w:val="Bold"/>
              </w:rPr>
              <w:t>s of</w:t>
            </w:r>
          </w:p>
        </w:tc>
      </w:tr>
      <w:tr w:rsidR="00814667" w:rsidRPr="00EF45D2" w14:paraId="70669D71" w14:textId="77777777">
        <w:tc>
          <w:tcPr>
            <w:tcW w:w="767" w:type="pct"/>
          </w:tcPr>
          <w:p w14:paraId="196888C4" w14:textId="77777777" w:rsidR="00814667" w:rsidRPr="00EF45D2" w:rsidRDefault="00814667">
            <w:pPr>
              <w:pStyle w:val="SingleParagraph"/>
              <w:tabs>
                <w:tab w:val="num" w:pos="1134"/>
              </w:tabs>
              <w:spacing w:after="240"/>
              <w:ind w:left="1134" w:hanging="567"/>
            </w:pPr>
          </w:p>
        </w:tc>
        <w:tc>
          <w:tcPr>
            <w:tcW w:w="4233" w:type="pct"/>
            <w:tcBorders>
              <w:left w:val="nil"/>
            </w:tcBorders>
          </w:tcPr>
          <w:p w14:paraId="5A5391D5" w14:textId="77777777" w:rsidR="00814667" w:rsidRPr="00EF45D2" w:rsidRDefault="00814667" w:rsidP="00852B6B">
            <w:pPr>
              <w:pStyle w:val="StatesList"/>
              <w:numPr>
                <w:ilvl w:val="0"/>
                <w:numId w:val="6"/>
              </w:numPr>
            </w:pPr>
            <w:r w:rsidRPr="00EF45D2">
              <w:t>New South Wales</w:t>
            </w:r>
            <w:r w:rsidR="00697494" w:rsidRPr="00EF45D2">
              <w:t>,</w:t>
            </w:r>
          </w:p>
          <w:p w14:paraId="530E6EEC" w14:textId="77777777" w:rsidR="00814667" w:rsidRPr="00EF45D2" w:rsidRDefault="00814667" w:rsidP="00852B6B">
            <w:pPr>
              <w:pStyle w:val="StatesList"/>
              <w:numPr>
                <w:ilvl w:val="0"/>
                <w:numId w:val="6"/>
              </w:numPr>
            </w:pPr>
            <w:r w:rsidRPr="00EF45D2">
              <w:t>Victoria</w:t>
            </w:r>
            <w:r w:rsidR="00697494" w:rsidRPr="00EF45D2">
              <w:t>,</w:t>
            </w:r>
          </w:p>
          <w:p w14:paraId="6BC225B4" w14:textId="77777777" w:rsidR="00814667" w:rsidRPr="00EF45D2" w:rsidRDefault="00814667" w:rsidP="00852B6B">
            <w:pPr>
              <w:pStyle w:val="StatesList"/>
              <w:numPr>
                <w:ilvl w:val="0"/>
                <w:numId w:val="6"/>
              </w:numPr>
            </w:pPr>
            <w:r w:rsidRPr="00EF45D2">
              <w:t>Queensland</w:t>
            </w:r>
            <w:r w:rsidR="00697494" w:rsidRPr="00EF45D2">
              <w:t>,</w:t>
            </w:r>
          </w:p>
          <w:p w14:paraId="122D5FA8" w14:textId="77777777" w:rsidR="00814667" w:rsidRPr="00EF45D2" w:rsidRDefault="00814667" w:rsidP="00852B6B">
            <w:pPr>
              <w:pStyle w:val="StatesList"/>
              <w:numPr>
                <w:ilvl w:val="0"/>
                <w:numId w:val="6"/>
              </w:numPr>
            </w:pPr>
            <w:r w:rsidRPr="00EF45D2">
              <w:t>Western Australia</w:t>
            </w:r>
            <w:r w:rsidR="00697494" w:rsidRPr="00EF45D2">
              <w:t>,</w:t>
            </w:r>
          </w:p>
          <w:p w14:paraId="71BB6DD8" w14:textId="77777777" w:rsidR="00814667" w:rsidRPr="00EF45D2" w:rsidRDefault="00814667" w:rsidP="00852B6B">
            <w:pPr>
              <w:pStyle w:val="StatesList"/>
              <w:numPr>
                <w:ilvl w:val="0"/>
                <w:numId w:val="6"/>
              </w:numPr>
            </w:pPr>
            <w:r w:rsidRPr="00EF45D2">
              <w:t>South Australia</w:t>
            </w:r>
            <w:r w:rsidR="00697494" w:rsidRPr="00EF45D2">
              <w:t>,</w:t>
            </w:r>
          </w:p>
          <w:p w14:paraId="3E71F20D" w14:textId="77777777" w:rsidR="00814667" w:rsidRPr="00EF45D2" w:rsidRDefault="00814667" w:rsidP="00852B6B">
            <w:pPr>
              <w:pStyle w:val="StatesList"/>
              <w:numPr>
                <w:ilvl w:val="0"/>
                <w:numId w:val="6"/>
              </w:numPr>
            </w:pPr>
            <w:r w:rsidRPr="00EF45D2">
              <w:t>Tasmania</w:t>
            </w:r>
            <w:r w:rsidR="00697494" w:rsidRPr="00EF45D2">
              <w:t>,</w:t>
            </w:r>
          </w:p>
          <w:p w14:paraId="345FBCDB" w14:textId="77777777" w:rsidR="00814667" w:rsidRPr="00EF45D2" w:rsidRDefault="004B6083" w:rsidP="00852B6B">
            <w:pPr>
              <w:pStyle w:val="StatesList"/>
              <w:numPr>
                <w:ilvl w:val="0"/>
                <w:numId w:val="6"/>
              </w:numPr>
            </w:pPr>
            <w:r w:rsidRPr="00EF45D2">
              <w:t xml:space="preserve">the </w:t>
            </w:r>
            <w:r w:rsidR="00814667" w:rsidRPr="00EF45D2">
              <w:t>Australian Capital Territory</w:t>
            </w:r>
            <w:r w:rsidR="00697494" w:rsidRPr="00EF45D2">
              <w:t xml:space="preserve">, </w:t>
            </w:r>
            <w:r w:rsidR="00030618" w:rsidRPr="00EF45D2">
              <w:t>and</w:t>
            </w:r>
          </w:p>
          <w:p w14:paraId="57DCF91F" w14:textId="28730417" w:rsidR="00814667" w:rsidRPr="00EF45D2" w:rsidRDefault="004B6083" w:rsidP="00852B6B">
            <w:pPr>
              <w:pStyle w:val="StatesList"/>
              <w:numPr>
                <w:ilvl w:val="0"/>
                <w:numId w:val="6"/>
              </w:numPr>
            </w:pPr>
            <w:r w:rsidRPr="00EF45D2">
              <w:t>t</w:t>
            </w:r>
            <w:r w:rsidR="00814667" w:rsidRPr="00EF45D2">
              <w:t>he Northern Territory</w:t>
            </w:r>
            <w:r w:rsidR="00726DB5" w:rsidRPr="00EF45D2">
              <w:t>.</w:t>
            </w:r>
          </w:p>
          <w:p w14:paraId="534DF2C0" w14:textId="77777777" w:rsidR="00EB7EDA" w:rsidRPr="00EF45D2" w:rsidRDefault="00EB7EDA" w:rsidP="00F630EF">
            <w:pPr>
              <w:rPr>
                <w:i/>
              </w:rPr>
            </w:pPr>
          </w:p>
        </w:tc>
      </w:tr>
      <w:tr w:rsidR="00814667" w:rsidRPr="00EF45D2" w14:paraId="0B77AC89" w14:textId="77777777">
        <w:tc>
          <w:tcPr>
            <w:tcW w:w="5000" w:type="pct"/>
            <w:gridSpan w:val="2"/>
          </w:tcPr>
          <w:p w14:paraId="2BB2F542" w14:textId="77777777" w:rsidR="00814667" w:rsidRPr="00EF45D2" w:rsidRDefault="00814667">
            <w:pPr>
              <w:pStyle w:val="SingleParagraph"/>
              <w:tabs>
                <w:tab w:val="num" w:pos="1134"/>
              </w:tabs>
              <w:spacing w:after="240"/>
              <w:ind w:left="1134" w:hanging="567"/>
            </w:pPr>
          </w:p>
        </w:tc>
      </w:tr>
      <w:tr w:rsidR="00814667" w:rsidRPr="00EF45D2" w14:paraId="168BBEA7" w14:textId="77777777">
        <w:tc>
          <w:tcPr>
            <w:tcW w:w="5000" w:type="pct"/>
            <w:gridSpan w:val="2"/>
          </w:tcPr>
          <w:p w14:paraId="02B0BA08" w14:textId="07482D00" w:rsidR="00414BB8" w:rsidRDefault="00F81233" w:rsidP="004B678B">
            <w:pPr>
              <w:pStyle w:val="Abstract"/>
            </w:pPr>
            <w:r w:rsidRPr="00EF45D2">
              <w:t>T</w:t>
            </w:r>
            <w:r w:rsidR="00B60FE0" w:rsidRPr="00EF45D2">
              <w:t>his Agreement will contribute to improv</w:t>
            </w:r>
            <w:r w:rsidR="00CE20B6" w:rsidRPr="00EF45D2">
              <w:t>ing</w:t>
            </w:r>
            <w:r w:rsidR="003341DB" w:rsidRPr="00EF45D2">
              <w:t xml:space="preserve"> </w:t>
            </w:r>
            <w:r w:rsidR="00624253" w:rsidRPr="00EF45D2">
              <w:t xml:space="preserve">access to affordable, safe and sustainable housing across the housing spectrum, including to prevent and </w:t>
            </w:r>
            <w:r w:rsidR="00E65EE4" w:rsidRPr="006B0F32">
              <w:t xml:space="preserve">address </w:t>
            </w:r>
            <w:r w:rsidR="00624253" w:rsidRPr="00EF45D2">
              <w:t>homelessness, and to support social and economic participation</w:t>
            </w:r>
            <w:r w:rsidR="004B678B">
              <w:t>.</w:t>
            </w:r>
          </w:p>
          <w:p w14:paraId="4D8644E9" w14:textId="7F41B363" w:rsidR="00E65EE4" w:rsidRDefault="00E65EE4" w:rsidP="00E65EE4">
            <w:pPr>
              <w:pStyle w:val="Abstract"/>
            </w:pPr>
          </w:p>
          <w:p w14:paraId="330E7D6E" w14:textId="77777777" w:rsidR="00E65EE4" w:rsidRDefault="00E65EE4" w:rsidP="00E65EE4">
            <w:pPr>
              <w:pStyle w:val="Abstract"/>
            </w:pPr>
          </w:p>
          <w:p w14:paraId="4DEEB62F" w14:textId="77777777" w:rsidR="00E65EE4" w:rsidRDefault="00E65EE4" w:rsidP="00E65EE4">
            <w:pPr>
              <w:pStyle w:val="Abstract"/>
              <w:jc w:val="center"/>
            </w:pPr>
          </w:p>
          <w:p w14:paraId="59CFFF04" w14:textId="77777777" w:rsidR="00E65EE4" w:rsidRDefault="00E65EE4" w:rsidP="00E65EE4">
            <w:pPr>
              <w:pStyle w:val="Abstract"/>
              <w:jc w:val="center"/>
            </w:pPr>
          </w:p>
          <w:p w14:paraId="1DED3F73" w14:textId="77777777" w:rsidR="00FE70A5" w:rsidRDefault="00FE70A5" w:rsidP="004B678B">
            <w:pPr>
              <w:pStyle w:val="Abstract"/>
            </w:pPr>
          </w:p>
          <w:p w14:paraId="0922C928" w14:textId="71D26001" w:rsidR="00FE70A5" w:rsidRPr="004D4561" w:rsidRDefault="00FE70A5" w:rsidP="00810FC1">
            <w:pPr>
              <w:pStyle w:val="Abstract"/>
              <w:jc w:val="right"/>
            </w:pPr>
          </w:p>
        </w:tc>
      </w:tr>
    </w:tbl>
    <w:p w14:paraId="0A1DCC36" w14:textId="77777777" w:rsidR="00814667" w:rsidRPr="00EF45D2" w:rsidRDefault="002A203F">
      <w:pPr>
        <w:pStyle w:val="Title"/>
        <w:pageBreakBefore/>
      </w:pPr>
      <w:r w:rsidRPr="00EF45D2">
        <w:lastRenderedPageBreak/>
        <w:t xml:space="preserve">National </w:t>
      </w:r>
      <w:r w:rsidR="006151CC" w:rsidRPr="00EF45D2">
        <w:t xml:space="preserve">Housing and Homelessness </w:t>
      </w:r>
      <w:r w:rsidRPr="00EF45D2">
        <w:t>Agreement</w:t>
      </w:r>
    </w:p>
    <w:p w14:paraId="342FE84B" w14:textId="77777777" w:rsidR="004B2EF6" w:rsidRPr="00EF45D2" w:rsidRDefault="00804105"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EF45D2">
        <w:t>overview</w:t>
      </w:r>
    </w:p>
    <w:p w14:paraId="2CEF5353" w14:textId="3710C562" w:rsidR="00C960AA" w:rsidRPr="00EF45D2" w:rsidRDefault="001B6FC6" w:rsidP="00852B6B">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pPr>
      <w:r w:rsidRPr="00EF45D2">
        <w:rPr>
          <w:color w:val="auto"/>
        </w:rPr>
        <w:t>The National Housing and Homelessness Agreement</w:t>
      </w:r>
      <w:r w:rsidR="00C960AA" w:rsidRPr="00EF45D2">
        <w:rPr>
          <w:color w:val="auto"/>
        </w:rPr>
        <w:t xml:space="preserve"> (the Agreement) is created subject to the provisions of </w:t>
      </w:r>
      <w:r w:rsidR="005D31CE" w:rsidRPr="00EF45D2">
        <w:rPr>
          <w:color w:val="auto"/>
        </w:rPr>
        <w:t xml:space="preserve">the </w:t>
      </w:r>
      <w:r w:rsidR="005D31CE" w:rsidRPr="00EF45D2">
        <w:rPr>
          <w:i/>
          <w:color w:val="auto"/>
        </w:rPr>
        <w:t>Federal Financial Relations Act 2009</w:t>
      </w:r>
      <w:r w:rsidR="005D31CE" w:rsidRPr="00EF45D2">
        <w:rPr>
          <w:color w:val="auto"/>
        </w:rPr>
        <w:t xml:space="preserve"> (the FFR Act)</w:t>
      </w:r>
      <w:r w:rsidR="00F81233" w:rsidRPr="00EF45D2">
        <w:rPr>
          <w:color w:val="auto"/>
        </w:rPr>
        <w:t xml:space="preserve"> and</w:t>
      </w:r>
      <w:r w:rsidR="005D31CE" w:rsidRPr="00EF45D2">
        <w:rPr>
          <w:color w:val="auto"/>
        </w:rPr>
        <w:t xml:space="preserve"> </w:t>
      </w:r>
      <w:r w:rsidR="00C960AA" w:rsidRPr="00EF45D2">
        <w:rPr>
          <w:color w:val="auto"/>
        </w:rPr>
        <w:t xml:space="preserve">the Intergovernmental Agreement on Federal Financial Relations </w:t>
      </w:r>
      <w:r w:rsidR="00C2605C" w:rsidRPr="00EF45D2">
        <w:rPr>
          <w:color w:val="auto"/>
        </w:rPr>
        <w:t>(IGA FFR)</w:t>
      </w:r>
      <w:r w:rsidR="00F81233" w:rsidRPr="00EF45D2">
        <w:rPr>
          <w:color w:val="auto"/>
        </w:rPr>
        <w:t>. It</w:t>
      </w:r>
      <w:r w:rsidR="00C960AA" w:rsidRPr="00EF45D2">
        <w:rPr>
          <w:color w:val="auto"/>
        </w:rPr>
        <w:t xml:space="preserve"> should be read in conjunction with </w:t>
      </w:r>
      <w:r w:rsidR="005D31CE" w:rsidRPr="00EF45D2">
        <w:rPr>
          <w:color w:val="auto"/>
        </w:rPr>
        <w:t>the FFR Act, the IGA FFR</w:t>
      </w:r>
      <w:r w:rsidR="008F7B9C" w:rsidRPr="00EF45D2">
        <w:rPr>
          <w:color w:val="auto"/>
        </w:rPr>
        <w:t xml:space="preserve"> </w:t>
      </w:r>
      <w:r w:rsidR="00C960AA" w:rsidRPr="00EF45D2">
        <w:rPr>
          <w:color w:val="auto"/>
        </w:rPr>
        <w:t xml:space="preserve">and </w:t>
      </w:r>
      <w:r w:rsidR="001C346E" w:rsidRPr="00EF45D2">
        <w:rPr>
          <w:color w:val="auto"/>
        </w:rPr>
        <w:t>its</w:t>
      </w:r>
      <w:r w:rsidR="00C960AA" w:rsidRPr="00EF45D2">
        <w:rPr>
          <w:color w:val="auto"/>
        </w:rPr>
        <w:t xml:space="preserve"> </w:t>
      </w:r>
      <w:r w:rsidR="001C346E" w:rsidRPr="00EF45D2">
        <w:rPr>
          <w:color w:val="auto"/>
        </w:rPr>
        <w:t>S</w:t>
      </w:r>
      <w:r w:rsidR="00C960AA" w:rsidRPr="00EF45D2">
        <w:rPr>
          <w:color w:val="auto"/>
        </w:rPr>
        <w:t>chedules</w:t>
      </w:r>
      <w:r w:rsidR="001C346E" w:rsidRPr="00EF45D2">
        <w:rPr>
          <w:color w:val="auto"/>
        </w:rPr>
        <w:t xml:space="preserve">, which provide information in relation to </w:t>
      </w:r>
      <w:r w:rsidR="00B72595" w:rsidRPr="00EF45D2">
        <w:rPr>
          <w:color w:val="auto"/>
        </w:rPr>
        <w:t xml:space="preserve">conditions for </w:t>
      </w:r>
      <w:r w:rsidR="0084149A">
        <w:rPr>
          <w:color w:val="auto"/>
        </w:rPr>
        <w:t xml:space="preserve">the </w:t>
      </w:r>
      <w:r w:rsidR="008F7B9C" w:rsidRPr="00EF45D2">
        <w:rPr>
          <w:color w:val="auto"/>
        </w:rPr>
        <w:t>State</w:t>
      </w:r>
      <w:r w:rsidR="00B72595" w:rsidRPr="00EF45D2">
        <w:rPr>
          <w:color w:val="auto"/>
        </w:rPr>
        <w:t xml:space="preserve"> </w:t>
      </w:r>
      <w:r w:rsidR="0084149A">
        <w:rPr>
          <w:color w:val="auto"/>
        </w:rPr>
        <w:t>and Territory (the States)</w:t>
      </w:r>
      <w:r w:rsidR="00B72595" w:rsidRPr="00EF45D2">
        <w:rPr>
          <w:color w:val="auto"/>
        </w:rPr>
        <w:t xml:space="preserve"> receipt of</w:t>
      </w:r>
      <w:r w:rsidR="008F7B9C" w:rsidRPr="00EF45D2">
        <w:rPr>
          <w:color w:val="auto"/>
        </w:rPr>
        <w:t xml:space="preserve"> Commonwealth</w:t>
      </w:r>
      <w:r w:rsidR="00B72595" w:rsidRPr="00EF45D2">
        <w:rPr>
          <w:color w:val="auto"/>
        </w:rPr>
        <w:t xml:space="preserve"> financial assistance, </w:t>
      </w:r>
      <w:r w:rsidR="00C960AA" w:rsidRPr="00EF45D2">
        <w:rPr>
          <w:color w:val="auto"/>
        </w:rPr>
        <w:t>performance reporting and payment arrangements.</w:t>
      </w:r>
    </w:p>
    <w:p w14:paraId="62DB4EBE" w14:textId="2C3593F0" w:rsidR="00E966BF" w:rsidRDefault="009C287C" w:rsidP="00852B6B">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pPr>
      <w:r>
        <w:t xml:space="preserve">The FFR Act establishes a framework for Commonwealth payments to support </w:t>
      </w:r>
      <w:r w:rsidRPr="007B7857">
        <w:t>States</w:t>
      </w:r>
      <w:r w:rsidR="007B7857" w:rsidRPr="007B7857">
        <w:t>’</w:t>
      </w:r>
      <w:r>
        <w:t xml:space="preserve"> delivery of programs, services and reforms with respect to housing, homelessness and housing affordability matters including certain legislative conditions to receive Commonwealth funding.</w:t>
      </w:r>
    </w:p>
    <w:p w14:paraId="745C54F7" w14:textId="77777777" w:rsidR="0096732C" w:rsidRPr="00EF45D2" w:rsidRDefault="0096732C"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EF45D2">
        <w:t>Purpose</w:t>
      </w:r>
    </w:p>
    <w:p w14:paraId="15348251" w14:textId="10CED703" w:rsidR="00B60FE0" w:rsidRPr="00EF45D2" w:rsidRDefault="00B60FE0" w:rsidP="00852B6B">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pPr>
      <w:r w:rsidRPr="00EF45D2">
        <w:t xml:space="preserve">In entering this Agreement, the Commonwealth and the </w:t>
      </w:r>
      <w:r w:rsidRPr="0084149A">
        <w:t xml:space="preserve">States </w:t>
      </w:r>
      <w:r w:rsidRPr="00EF45D2">
        <w:t xml:space="preserve">recognise that they have a mutual interest in improving </w:t>
      </w:r>
      <w:r w:rsidR="00D6536D">
        <w:t xml:space="preserve">housing </w:t>
      </w:r>
      <w:r w:rsidRPr="00EF45D2">
        <w:t xml:space="preserve">outcomes </w:t>
      </w:r>
      <w:r w:rsidR="00027160" w:rsidRPr="00EF45D2">
        <w:t>across the housing spectrum</w:t>
      </w:r>
      <w:r w:rsidR="00E966BF">
        <w:t>,</w:t>
      </w:r>
      <w:r w:rsidRPr="00EF45D2">
        <w:t xml:space="preserve"> </w:t>
      </w:r>
      <w:r w:rsidR="00462134" w:rsidRPr="00EF45D2">
        <w:t>including outcomes for Australians who are homeless or at risk of homelessness</w:t>
      </w:r>
      <w:r w:rsidR="00E966BF">
        <w:t>,</w:t>
      </w:r>
      <w:r w:rsidR="00462134" w:rsidRPr="00EF45D2">
        <w:t xml:space="preserve"> and </w:t>
      </w:r>
      <w:r w:rsidRPr="00EF45D2">
        <w:t>need to work together to achieve those outcomes.</w:t>
      </w:r>
    </w:p>
    <w:p w14:paraId="1A781733" w14:textId="651B7706" w:rsidR="00B60FE0" w:rsidRDefault="00F81233" w:rsidP="00852B6B">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pPr>
      <w:r w:rsidRPr="00EF45D2">
        <w:t>This Agreement will contribute to</w:t>
      </w:r>
      <w:r w:rsidR="00D70115" w:rsidRPr="00EF45D2">
        <w:t xml:space="preserve"> improv</w:t>
      </w:r>
      <w:r w:rsidRPr="00EF45D2">
        <w:t>ing</w:t>
      </w:r>
      <w:r w:rsidR="00D70115" w:rsidRPr="00EF45D2">
        <w:t xml:space="preserve"> access to affordable, safe and sustainable housing across the housing spectrum, including to </w:t>
      </w:r>
      <w:r w:rsidR="00E601C8">
        <w:t xml:space="preserve">prevent and </w:t>
      </w:r>
      <w:r w:rsidR="0061008F">
        <w:t xml:space="preserve">address </w:t>
      </w:r>
      <w:r w:rsidR="00D70115" w:rsidRPr="00EF45D2">
        <w:t>homelessness, and to support social and economic participation</w:t>
      </w:r>
      <w:r w:rsidR="004B678B">
        <w:t>.</w:t>
      </w:r>
    </w:p>
    <w:p w14:paraId="36D1808B" w14:textId="54BB123C" w:rsidR="0055250E" w:rsidRPr="00EF45D2" w:rsidRDefault="0055250E" w:rsidP="00852B6B">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pPr>
      <w:r>
        <w:t xml:space="preserve">The Parties acknowledge that there </w:t>
      </w:r>
      <w:r w:rsidR="007B7857">
        <w:t xml:space="preserve">is </w:t>
      </w:r>
      <w:r>
        <w:t>a range of factors outside of the scope of this Agreement that impact the housing market, including Commonwealth and State tax settings, financial sector regulation, immigration, income support and rental subsidies.</w:t>
      </w:r>
    </w:p>
    <w:p w14:paraId="0C1EB4BB" w14:textId="77777777" w:rsidR="0096732C" w:rsidRPr="00EF45D2" w:rsidRDefault="0096732C" w:rsidP="00804105">
      <w:pPr>
        <w:pStyle w:val="Normalnumbered"/>
        <w:pBdr>
          <w:top w:val="single" w:sz="4" w:space="1" w:color="auto"/>
          <w:left w:val="single" w:sz="4" w:space="4" w:color="auto"/>
          <w:bottom w:val="single" w:sz="4" w:space="1" w:color="auto"/>
          <w:right w:val="single" w:sz="4" w:space="4" w:color="auto"/>
        </w:pBdr>
        <w:shd w:val="clear" w:color="auto" w:fill="DAEEF3" w:themeFill="accent5" w:themeFillTint="33"/>
        <w:tabs>
          <w:tab w:val="clear" w:pos="360"/>
        </w:tabs>
        <w:ind w:left="0" w:firstLine="0"/>
        <w:jc w:val="left"/>
      </w:pPr>
      <w:r w:rsidRPr="00EF45D2">
        <w:rPr>
          <w:rFonts w:cs="Arial"/>
          <w:b/>
          <w:bCs/>
          <w:iCs/>
          <w:color w:val="3D4B67"/>
          <w:sz w:val="29"/>
          <w:szCs w:val="28"/>
        </w:rPr>
        <w:t>Reporting Arrangements</w:t>
      </w:r>
      <w:r w:rsidRPr="00EF45D2">
        <w:t xml:space="preserve"> </w:t>
      </w:r>
    </w:p>
    <w:p w14:paraId="11081C10" w14:textId="37C619BF" w:rsidR="0096732C" w:rsidRPr="00EF45D2" w:rsidRDefault="0096732C" w:rsidP="00852B6B">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EF45D2">
        <w:t xml:space="preserve">The States will report annually against the agreed </w:t>
      </w:r>
      <w:r w:rsidR="00A62E86" w:rsidRPr="006B0F32">
        <w:t>outputs</w:t>
      </w:r>
      <w:r w:rsidRPr="006B0F32">
        <w:t xml:space="preserve"> </w:t>
      </w:r>
      <w:r w:rsidRPr="00EF45D2">
        <w:t xml:space="preserve">during the operation of this Agreement, as set out in Part 4 – </w:t>
      </w:r>
      <w:r w:rsidR="00027160" w:rsidRPr="00EF45D2">
        <w:t>Performance Monitoring and Reporting</w:t>
      </w:r>
      <w:r w:rsidRPr="00EF45D2">
        <w:t xml:space="preserve">. </w:t>
      </w:r>
    </w:p>
    <w:p w14:paraId="7F295924" w14:textId="77777777" w:rsidR="0096732C" w:rsidRPr="00EF45D2" w:rsidRDefault="0096732C" w:rsidP="00804105">
      <w:pPr>
        <w:pStyle w:val="Normalnumbered"/>
        <w:pBdr>
          <w:top w:val="single" w:sz="4" w:space="1" w:color="auto"/>
          <w:left w:val="single" w:sz="4" w:space="4" w:color="auto"/>
          <w:bottom w:val="single" w:sz="4" w:space="1" w:color="auto"/>
          <w:right w:val="single" w:sz="4" w:space="4" w:color="auto"/>
        </w:pBdr>
        <w:shd w:val="clear" w:color="auto" w:fill="DAEEF3" w:themeFill="accent5" w:themeFillTint="33"/>
        <w:tabs>
          <w:tab w:val="clear" w:pos="360"/>
        </w:tabs>
        <w:ind w:left="0" w:firstLine="0"/>
        <w:jc w:val="left"/>
        <w:rPr>
          <w:rFonts w:cs="Arial"/>
          <w:b/>
          <w:bCs/>
          <w:iCs/>
          <w:color w:val="3D4B67"/>
          <w:sz w:val="29"/>
          <w:szCs w:val="28"/>
        </w:rPr>
      </w:pPr>
      <w:r w:rsidRPr="00EF45D2">
        <w:rPr>
          <w:rFonts w:cs="Arial"/>
          <w:b/>
          <w:bCs/>
          <w:iCs/>
          <w:color w:val="3D4B67"/>
          <w:sz w:val="29"/>
          <w:szCs w:val="28"/>
        </w:rPr>
        <w:t xml:space="preserve">Financial Arrangements </w:t>
      </w:r>
    </w:p>
    <w:p w14:paraId="707D3313" w14:textId="6D87C37B" w:rsidR="0096732C" w:rsidRPr="00EF45D2" w:rsidRDefault="00CC6D90" w:rsidP="00F81233">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EF45D2">
        <w:t xml:space="preserve">As set out in Part 5 – Financial Arrangements, in 2018-19, the Commonwealth will provide an estimated financial contribution to the States of </w:t>
      </w:r>
      <w:r w:rsidRPr="006B0F32">
        <w:t>$1,</w:t>
      </w:r>
      <w:r w:rsidR="00673202" w:rsidRPr="006B0F32">
        <w:t>536</w:t>
      </w:r>
      <w:r w:rsidRPr="009E22CB">
        <w:rPr>
          <w:color w:val="FF0000"/>
        </w:rPr>
        <w:t xml:space="preserve"> </w:t>
      </w:r>
      <w:r w:rsidRPr="00EF45D2">
        <w:t xml:space="preserve">million </w:t>
      </w:r>
      <w:r w:rsidRPr="00EF45D2">
        <w:rPr>
          <w:color w:val="auto"/>
        </w:rPr>
        <w:t xml:space="preserve">(GST exclusive) in respect of this Agreement and </w:t>
      </w:r>
      <w:r w:rsidRPr="00EF45D2">
        <w:t>from 2019-20, the Commonwealth’s financial contribution will be</w:t>
      </w:r>
      <w:r w:rsidR="00EA10DF">
        <w:t xml:space="preserve"> ongoing and</w:t>
      </w:r>
      <w:r w:rsidRPr="00EF45D2">
        <w:t xml:space="preserve"> indexed annually.</w:t>
      </w:r>
    </w:p>
    <w:p w14:paraId="4ECE9D66" w14:textId="4195D5CC" w:rsidR="00271F64" w:rsidRDefault="00271F64" w:rsidP="00271F64">
      <w:pPr>
        <w:pStyle w:val="Heading1"/>
      </w:pPr>
      <w:r w:rsidRPr="00027160">
        <w:t>preliminaries</w:t>
      </w:r>
    </w:p>
    <w:p w14:paraId="193BFC21" w14:textId="200F92B9" w:rsidR="00E2177F" w:rsidRDefault="001D4A90" w:rsidP="009A1877">
      <w:pPr>
        <w:pStyle w:val="Normalnumbered"/>
        <w:numPr>
          <w:ilvl w:val="0"/>
          <w:numId w:val="9"/>
        </w:numPr>
        <w:jc w:val="left"/>
      </w:pPr>
      <w:r>
        <w:t xml:space="preserve">This Agreement </w:t>
      </w:r>
      <w:r w:rsidR="00E2177F" w:rsidRPr="00EF45D2">
        <w:t xml:space="preserve">is a primary housing agreement for the purposes of section 4 of the FFR Act.  Bilateral schedules are supplementary </w:t>
      </w:r>
      <w:r w:rsidR="00717ECD">
        <w:t xml:space="preserve">housing </w:t>
      </w:r>
      <w:r w:rsidR="00E2177F" w:rsidRPr="00EF45D2">
        <w:t>agreements for the purposes of section 4 of the FFR Act.</w:t>
      </w:r>
      <w:r w:rsidR="00E2177F">
        <w:t xml:space="preserve"> </w:t>
      </w:r>
    </w:p>
    <w:p w14:paraId="5C71E9C0" w14:textId="69B21B89" w:rsidR="00A14A3C" w:rsidRPr="00E65EE4" w:rsidRDefault="007A225F" w:rsidP="009D5832">
      <w:pPr>
        <w:pStyle w:val="Normalnumbered"/>
        <w:numPr>
          <w:ilvl w:val="0"/>
          <w:numId w:val="9"/>
        </w:numPr>
        <w:jc w:val="left"/>
        <w:rPr>
          <w:color w:val="00B050"/>
        </w:rPr>
      </w:pPr>
      <w:r w:rsidRPr="00C747E8">
        <w:lastRenderedPageBreak/>
        <w:t>In the 2017</w:t>
      </w:r>
      <w:r w:rsidRPr="00C747E8">
        <w:noBreakHyphen/>
        <w:t xml:space="preserve">18 Budget the Commonwealth Government announced it would introduce a new National Housing and Homelessness Agreement with State Governments to improve outcomes across the housing spectrum. </w:t>
      </w:r>
      <w:r w:rsidRPr="00C747E8" w:rsidDel="00A14A3C">
        <w:t xml:space="preserve">This Agreement replaces two agreements: the National Partnership Agreement on Homelessness and the National Affordable Housing Agreement (supported by the National Affordable Housing Specific Purpose Payment). </w:t>
      </w:r>
      <w:r w:rsidR="008E6343" w:rsidRPr="00C747E8">
        <w:t>This</w:t>
      </w:r>
      <w:r w:rsidR="00534772" w:rsidRPr="00C747E8">
        <w:t xml:space="preserve"> National Housing and Homelessness Agreement</w:t>
      </w:r>
      <w:r w:rsidR="008E6343" w:rsidRPr="00C747E8">
        <w:t xml:space="preserve"> </w:t>
      </w:r>
      <w:r w:rsidR="00534772" w:rsidRPr="00C747E8">
        <w:t>continues</w:t>
      </w:r>
      <w:r w:rsidR="008E6343" w:rsidRPr="00C747E8">
        <w:t xml:space="preserve"> the long history of cooperation between the Commonwealth and States to improve housing outcomes dat</w:t>
      </w:r>
      <w:r w:rsidR="003220CA" w:rsidRPr="00C747E8">
        <w:t>ing</w:t>
      </w:r>
      <w:r w:rsidR="008E6343" w:rsidRPr="00C747E8">
        <w:t xml:space="preserve"> back to </w:t>
      </w:r>
      <w:r w:rsidR="00E27DFE" w:rsidRPr="00C747E8">
        <w:t>1945</w:t>
      </w:r>
      <w:r w:rsidR="008E6343" w:rsidRPr="00C747E8">
        <w:t xml:space="preserve">. </w:t>
      </w:r>
      <w:r w:rsidR="003F5A92" w:rsidRPr="006B0F32">
        <w:t xml:space="preserve">These </w:t>
      </w:r>
      <w:r w:rsidR="00E245A3" w:rsidRPr="006B0F32">
        <w:t xml:space="preserve">joint </w:t>
      </w:r>
      <w:r w:rsidR="003F5A92" w:rsidRPr="006B0F32">
        <w:t>efforts</w:t>
      </w:r>
      <w:r w:rsidR="00E245A3" w:rsidRPr="006B0F32">
        <w:t xml:space="preserve"> have generally been directed to those most in need </w:t>
      </w:r>
      <w:r w:rsidR="00F25E6F" w:rsidRPr="006B0F32">
        <w:t>th</w:t>
      </w:r>
      <w:r w:rsidR="00AC06AD" w:rsidRPr="006B0F32">
        <w:t>r</w:t>
      </w:r>
      <w:r w:rsidR="00F25E6F" w:rsidRPr="006B0F32">
        <w:t xml:space="preserve">ough homelessness services and social housing, and </w:t>
      </w:r>
      <w:r w:rsidR="00E245A3" w:rsidRPr="006B0F32">
        <w:t>recognise the significant economic and social benefits</w:t>
      </w:r>
      <w:r w:rsidR="003F5A92" w:rsidRPr="006B0F32">
        <w:t xml:space="preserve"> </w:t>
      </w:r>
      <w:r w:rsidR="00E245A3" w:rsidRPr="006B0F32">
        <w:t>of secure housing</w:t>
      </w:r>
      <w:r w:rsidR="00E928AC" w:rsidRPr="006B0F32">
        <w:t>.</w:t>
      </w:r>
      <w:r w:rsidR="00E928AC" w:rsidRPr="009E22CB">
        <w:rPr>
          <w:color w:val="00B050"/>
        </w:rPr>
        <w:t xml:space="preserve"> </w:t>
      </w:r>
      <w:r w:rsidR="008E6343" w:rsidRPr="009E22CB">
        <w:rPr>
          <w:color w:val="00B050"/>
        </w:rPr>
        <w:t xml:space="preserve"> </w:t>
      </w:r>
    </w:p>
    <w:p w14:paraId="774766DD" w14:textId="7CF8DF87" w:rsidR="00814667" w:rsidRPr="00EF45D2" w:rsidRDefault="00814667">
      <w:pPr>
        <w:pStyle w:val="Heading1"/>
      </w:pPr>
      <w:r w:rsidRPr="00EF45D2">
        <w:t>Part 1 — Formalities</w:t>
      </w:r>
    </w:p>
    <w:p w14:paraId="09421D95" w14:textId="77777777" w:rsidR="00814667" w:rsidRPr="00EF45D2" w:rsidRDefault="00814667">
      <w:pPr>
        <w:pStyle w:val="Heading2"/>
      </w:pPr>
      <w:r w:rsidRPr="00EF45D2">
        <w:t>Parties to this Agreement</w:t>
      </w:r>
    </w:p>
    <w:p w14:paraId="487582D1" w14:textId="228344DF" w:rsidR="007B4B03" w:rsidRPr="00EF45D2" w:rsidRDefault="00E7195E" w:rsidP="00BD43E6">
      <w:pPr>
        <w:pStyle w:val="Normalnumbered"/>
        <w:numPr>
          <w:ilvl w:val="0"/>
          <w:numId w:val="9"/>
        </w:numPr>
        <w:jc w:val="left"/>
      </w:pPr>
      <w:r w:rsidRPr="00EF45D2">
        <w:t xml:space="preserve">This </w:t>
      </w:r>
      <w:r w:rsidR="00E31096" w:rsidRPr="00EF45D2">
        <w:t xml:space="preserve">Agreement </w:t>
      </w:r>
      <w:r w:rsidRPr="00EF45D2">
        <w:t>is between the Commonwealth of Australia (the</w:t>
      </w:r>
      <w:r w:rsidR="00593821" w:rsidRPr="00EF45D2">
        <w:t xml:space="preserve"> Commonwealth</w:t>
      </w:r>
      <w:r w:rsidRPr="00EF45D2">
        <w:t>) and t</w:t>
      </w:r>
      <w:r w:rsidR="00593821" w:rsidRPr="00EF45D2">
        <w:t xml:space="preserve">he States and Territories (the </w:t>
      </w:r>
      <w:r w:rsidR="00F81233" w:rsidRPr="00EF45D2">
        <w:t>States).</w:t>
      </w:r>
    </w:p>
    <w:p w14:paraId="5F2873C6" w14:textId="63AC3E28" w:rsidR="00814667" w:rsidRPr="00EF45D2" w:rsidRDefault="005B3AF7">
      <w:pPr>
        <w:pStyle w:val="Heading2"/>
      </w:pPr>
      <w:r w:rsidRPr="00EF45D2">
        <w:t>T</w:t>
      </w:r>
      <w:r w:rsidR="00814667" w:rsidRPr="00EF45D2">
        <w:t>erm of the Agreement</w:t>
      </w:r>
    </w:p>
    <w:p w14:paraId="2E598152" w14:textId="05BDD724" w:rsidR="009B289A" w:rsidRPr="00EF45D2" w:rsidRDefault="009B289A" w:rsidP="00F81233">
      <w:pPr>
        <w:pStyle w:val="Normalnumbered"/>
        <w:numPr>
          <w:ilvl w:val="0"/>
          <w:numId w:val="9"/>
        </w:numPr>
        <w:jc w:val="left"/>
      </w:pPr>
      <w:r w:rsidRPr="00EF45D2">
        <w:t>This</w:t>
      </w:r>
      <w:r w:rsidR="00412249" w:rsidRPr="00EF45D2">
        <w:t xml:space="preserve"> </w:t>
      </w:r>
      <w:r w:rsidR="00465ACC" w:rsidRPr="00EF45D2">
        <w:t xml:space="preserve">Agreement </w:t>
      </w:r>
      <w:r w:rsidRPr="00EF45D2">
        <w:t xml:space="preserve">will commence </w:t>
      </w:r>
      <w:r w:rsidR="00440301" w:rsidRPr="006B0F32">
        <w:t xml:space="preserve">on 1 July 2018 or </w:t>
      </w:r>
      <w:r w:rsidRPr="00EF45D2">
        <w:t>as soon as the Commonwealth and one other</w:t>
      </w:r>
      <w:r w:rsidR="00F81233" w:rsidRPr="00EF45D2">
        <w:t xml:space="preserve"> Party sign it</w:t>
      </w:r>
      <w:r w:rsidR="007B7857">
        <w:t xml:space="preserve">, </w:t>
      </w:r>
      <w:r w:rsidR="00BF4DAE" w:rsidRPr="006B0F32">
        <w:t xml:space="preserve">whichever is the later, </w:t>
      </w:r>
      <w:r w:rsidR="00F81233" w:rsidRPr="00EF45D2">
        <w:t xml:space="preserve">and is ongoing.  </w:t>
      </w:r>
      <w:r w:rsidR="001D4A90">
        <w:t>This Agreement</w:t>
      </w:r>
      <w:r w:rsidR="001D4A90" w:rsidRPr="00EF45D2">
        <w:t xml:space="preserve"> </w:t>
      </w:r>
      <w:r w:rsidRPr="00EF45D2">
        <w:t>may be</w:t>
      </w:r>
      <w:r w:rsidR="00BF50E6">
        <w:t xml:space="preserve"> </w:t>
      </w:r>
      <w:r w:rsidR="00D34450">
        <w:t xml:space="preserve">reviewed, </w:t>
      </w:r>
      <w:r w:rsidR="00BF50E6">
        <w:t>varied or</w:t>
      </w:r>
      <w:r w:rsidRPr="00EF45D2">
        <w:t xml:space="preserve"> terminated as </w:t>
      </w:r>
      <w:r w:rsidR="00BF50E6">
        <w:t>set ou</w:t>
      </w:r>
      <w:r w:rsidR="00BF50E6" w:rsidRPr="00991EA2">
        <w:t xml:space="preserve">t in </w:t>
      </w:r>
      <w:r w:rsidR="00F859CE" w:rsidRPr="00A137C5">
        <w:t>Part 6</w:t>
      </w:r>
      <w:r w:rsidR="00F859CE" w:rsidRPr="00991EA2">
        <w:t xml:space="preserve"> –</w:t>
      </w:r>
      <w:r w:rsidR="00F859CE">
        <w:t xml:space="preserve"> Governance Arrangements</w:t>
      </w:r>
      <w:r w:rsidRPr="00EF45D2">
        <w:t>.</w:t>
      </w:r>
      <w:r w:rsidR="007B7857">
        <w:t xml:space="preserve"> </w:t>
      </w:r>
    </w:p>
    <w:p w14:paraId="3AC2EE59" w14:textId="4DEBC8DB" w:rsidR="00DE58EE" w:rsidRDefault="009B289A" w:rsidP="00BD43E6">
      <w:pPr>
        <w:pStyle w:val="Normalnumbered"/>
        <w:numPr>
          <w:ilvl w:val="0"/>
          <w:numId w:val="9"/>
        </w:numPr>
        <w:jc w:val="left"/>
      </w:pPr>
      <w:r w:rsidRPr="00EF45D2">
        <w:t xml:space="preserve">The </w:t>
      </w:r>
      <w:r w:rsidR="00355F05" w:rsidRPr="00EF45D2">
        <w:t xml:space="preserve">bilateral schedules </w:t>
      </w:r>
      <w:r w:rsidRPr="00EF45D2">
        <w:t>will commence as soon as the Commonwealth and the relevant Party sign them</w:t>
      </w:r>
      <w:r w:rsidR="00DE58EE" w:rsidRPr="00EF45D2">
        <w:t>.</w:t>
      </w:r>
    </w:p>
    <w:p w14:paraId="0583FBB9" w14:textId="687278CF" w:rsidR="007E4F66" w:rsidRPr="00DE58EE" w:rsidRDefault="007E4F66" w:rsidP="007E4F66">
      <w:pPr>
        <w:pStyle w:val="Normalnumbered"/>
        <w:numPr>
          <w:ilvl w:val="0"/>
          <w:numId w:val="9"/>
        </w:numPr>
      </w:pPr>
      <w:r w:rsidRPr="00DE58EE">
        <w:t>Unless terminated earlier as agreed in writing by the</w:t>
      </w:r>
      <w:r w:rsidR="00EB0D06">
        <w:t xml:space="preserve"> relevant</w:t>
      </w:r>
      <w:r w:rsidRPr="00DE58EE">
        <w:t xml:space="preserve"> Parties</w:t>
      </w:r>
      <w:r w:rsidR="00D035C2">
        <w:t>,</w:t>
      </w:r>
      <w:r w:rsidRPr="00DE58EE">
        <w:t xml:space="preserve"> </w:t>
      </w:r>
      <w:r>
        <w:t>b</w:t>
      </w:r>
      <w:r w:rsidRPr="00DE58EE">
        <w:t xml:space="preserve">ilateral </w:t>
      </w:r>
      <w:r>
        <w:t>s</w:t>
      </w:r>
      <w:r w:rsidRPr="00DE58EE">
        <w:t>chedules will:</w:t>
      </w:r>
    </w:p>
    <w:p w14:paraId="04D5A2D8" w14:textId="66E8E253" w:rsidR="007E4F66" w:rsidRPr="00DE58EE" w:rsidRDefault="007E4F66" w:rsidP="00D34450">
      <w:pPr>
        <w:pStyle w:val="Normalnumbered"/>
        <w:numPr>
          <w:ilvl w:val="1"/>
          <w:numId w:val="20"/>
        </w:numPr>
        <w:tabs>
          <w:tab w:val="clear" w:pos="1440"/>
          <w:tab w:val="num" w:pos="1134"/>
        </w:tabs>
        <w:ind w:left="1134" w:hanging="567"/>
        <w:jc w:val="left"/>
      </w:pPr>
      <w:r>
        <w:t>e</w:t>
      </w:r>
      <w:r w:rsidRPr="00DE58EE">
        <w:t>xpire</w:t>
      </w:r>
      <w:r>
        <w:t xml:space="preserve"> </w:t>
      </w:r>
      <w:r w:rsidR="001E2C55">
        <w:t>no later than</w:t>
      </w:r>
      <w:r w:rsidR="001E2C55" w:rsidRPr="00DE58EE">
        <w:t xml:space="preserve"> </w:t>
      </w:r>
      <w:r w:rsidRPr="00DE58EE">
        <w:t>30 June 2023; and</w:t>
      </w:r>
    </w:p>
    <w:p w14:paraId="676A365B" w14:textId="2675780D" w:rsidR="007E4F66" w:rsidRPr="00EF45D2" w:rsidRDefault="007E4F66" w:rsidP="007E4F66">
      <w:pPr>
        <w:pStyle w:val="Normalnumbered"/>
        <w:numPr>
          <w:ilvl w:val="1"/>
          <w:numId w:val="20"/>
        </w:numPr>
        <w:tabs>
          <w:tab w:val="clear" w:pos="1440"/>
          <w:tab w:val="num" w:pos="1134"/>
        </w:tabs>
        <w:ind w:left="1134" w:hanging="567"/>
        <w:jc w:val="left"/>
      </w:pPr>
      <w:r w:rsidRPr="00DE58EE">
        <w:t xml:space="preserve">be replaced for further </w:t>
      </w:r>
      <w:r w:rsidR="0055250E">
        <w:t xml:space="preserve">terms of up to </w:t>
      </w:r>
      <w:r w:rsidRPr="00DE58EE">
        <w:t>five yea</w:t>
      </w:r>
      <w:r w:rsidR="00E966BF">
        <w:t xml:space="preserve">rs </w:t>
      </w:r>
      <w:r w:rsidRPr="00DE58EE">
        <w:t>by the written agreement of the Parties.</w:t>
      </w:r>
    </w:p>
    <w:p w14:paraId="29DE8A60" w14:textId="77777777" w:rsidR="00784439" w:rsidRPr="00EF45D2" w:rsidRDefault="00784439" w:rsidP="00BD43E6">
      <w:pPr>
        <w:pStyle w:val="Heading1"/>
      </w:pPr>
      <w:r w:rsidRPr="00EF45D2">
        <w:t>P</w:t>
      </w:r>
      <w:r w:rsidR="00814667" w:rsidRPr="00EF45D2">
        <w:t xml:space="preserve">art 2 — </w:t>
      </w:r>
      <w:r w:rsidR="00D71DB5" w:rsidRPr="00EF45D2">
        <w:t xml:space="preserve">Objectives, </w:t>
      </w:r>
      <w:r w:rsidR="00234FAB" w:rsidRPr="00EF45D2">
        <w:t xml:space="preserve">outcomes and </w:t>
      </w:r>
      <w:r w:rsidR="00814667" w:rsidRPr="00EF45D2">
        <w:t>outputs</w:t>
      </w:r>
    </w:p>
    <w:p w14:paraId="596F4C35" w14:textId="71B37BD5" w:rsidR="00D71DB5" w:rsidRPr="00EF45D2" w:rsidRDefault="00EF45D2">
      <w:pPr>
        <w:pStyle w:val="Heading2"/>
      </w:pPr>
      <w:r w:rsidRPr="00EF45D2">
        <w:t>Objectives</w:t>
      </w:r>
    </w:p>
    <w:p w14:paraId="1DCB6419" w14:textId="70D7485C" w:rsidR="00532161" w:rsidRPr="00EF45D2" w:rsidRDefault="00EF45D2" w:rsidP="00570165">
      <w:pPr>
        <w:pStyle w:val="Normalnumbered"/>
        <w:numPr>
          <w:ilvl w:val="0"/>
          <w:numId w:val="9"/>
        </w:numPr>
        <w:jc w:val="left"/>
      </w:pPr>
      <w:r w:rsidRPr="00EF45D2">
        <w:t>The objective of this Agreement is to</w:t>
      </w:r>
      <w:r w:rsidR="00BA5D6D" w:rsidRPr="00EF45D2">
        <w:t xml:space="preserve"> </w:t>
      </w:r>
      <w:r w:rsidR="00987821" w:rsidRPr="006B0F32">
        <w:t xml:space="preserve">contribute to improving </w:t>
      </w:r>
      <w:r w:rsidR="00BA5D6D" w:rsidRPr="00EF45D2">
        <w:t xml:space="preserve">access to affordable, safe and sustainable housing across the housing </w:t>
      </w:r>
      <w:r w:rsidR="00BA5D6D" w:rsidRPr="004165D6">
        <w:t>spectrum</w:t>
      </w:r>
      <w:r w:rsidR="00A31182" w:rsidRPr="004165D6">
        <w:t>,</w:t>
      </w:r>
      <w:r w:rsidR="00BA5D6D" w:rsidRPr="004165D6">
        <w:t xml:space="preserve"> including to </w:t>
      </w:r>
      <w:r w:rsidR="00E601C8" w:rsidRPr="004165D6">
        <w:t xml:space="preserve">prevent </w:t>
      </w:r>
      <w:r w:rsidR="00183284" w:rsidRPr="004165D6">
        <w:t xml:space="preserve">and </w:t>
      </w:r>
      <w:r w:rsidR="0061008F">
        <w:t>address</w:t>
      </w:r>
      <w:r w:rsidR="0061008F" w:rsidRPr="004165D6">
        <w:t xml:space="preserve"> </w:t>
      </w:r>
      <w:r w:rsidR="00BA5D6D" w:rsidRPr="004165D6">
        <w:t>homelessness</w:t>
      </w:r>
      <w:r w:rsidR="00A31182" w:rsidRPr="004165D6">
        <w:t xml:space="preserve">, </w:t>
      </w:r>
      <w:r w:rsidR="00A13BBC" w:rsidRPr="004165D6">
        <w:t>and</w:t>
      </w:r>
      <w:r w:rsidR="00A13BBC" w:rsidRPr="00EF45D2">
        <w:t xml:space="preserve"> </w:t>
      </w:r>
      <w:r w:rsidR="00AC7B4B" w:rsidRPr="00EF45D2">
        <w:t>to support</w:t>
      </w:r>
      <w:r w:rsidR="00A31182" w:rsidRPr="00EF45D2">
        <w:t xml:space="preserve"> social and economic participation</w:t>
      </w:r>
      <w:r w:rsidR="00BA5D6D" w:rsidRPr="00EF45D2">
        <w:t>.</w:t>
      </w:r>
    </w:p>
    <w:p w14:paraId="1ECBDA91" w14:textId="46EF81AB" w:rsidR="00234FAB" w:rsidRPr="00EF45D2" w:rsidRDefault="00EF45D2">
      <w:pPr>
        <w:pStyle w:val="Heading2"/>
      </w:pPr>
      <w:r w:rsidRPr="00EF45D2">
        <w:t>Outcomes</w:t>
      </w:r>
    </w:p>
    <w:p w14:paraId="0D8CAB18" w14:textId="540E0810" w:rsidR="00234FAB" w:rsidRPr="00EF45D2" w:rsidRDefault="00814324" w:rsidP="00A41994">
      <w:pPr>
        <w:pStyle w:val="Normalnumbered"/>
        <w:numPr>
          <w:ilvl w:val="0"/>
          <w:numId w:val="9"/>
        </w:numPr>
        <w:jc w:val="left"/>
      </w:pPr>
      <w:r w:rsidRPr="00EF45D2">
        <w:t xml:space="preserve">This Agreement will </w:t>
      </w:r>
      <w:r w:rsidR="00732151">
        <w:t>contribute to</w:t>
      </w:r>
      <w:r w:rsidRPr="00EF45D2">
        <w:t xml:space="preserve"> the </w:t>
      </w:r>
      <w:r w:rsidRPr="00E3653D">
        <w:t>following</w:t>
      </w:r>
      <w:r w:rsidR="00F14347" w:rsidRPr="00E3653D">
        <w:t xml:space="preserve"> </w:t>
      </w:r>
      <w:r w:rsidR="00180392" w:rsidRPr="00E3653D">
        <w:t>aspirational, overarching</w:t>
      </w:r>
      <w:r w:rsidR="00180392">
        <w:t xml:space="preserve"> </w:t>
      </w:r>
      <w:r w:rsidR="00F14347" w:rsidRPr="00EF45D2">
        <w:t>national</w:t>
      </w:r>
      <w:r w:rsidR="00F14347" w:rsidRPr="00EF45D2" w:rsidDel="00F14347">
        <w:t xml:space="preserve"> </w:t>
      </w:r>
      <w:r w:rsidRPr="00EF45D2">
        <w:t>outcomes</w:t>
      </w:r>
      <w:r w:rsidR="00234FAB" w:rsidRPr="00EF45D2">
        <w:t>:</w:t>
      </w:r>
    </w:p>
    <w:p w14:paraId="2CB591F8" w14:textId="0DBEA66B" w:rsidR="00C019D4" w:rsidRDefault="00C019D4" w:rsidP="00A137C5">
      <w:pPr>
        <w:pStyle w:val="Normalnumbered"/>
        <w:numPr>
          <w:ilvl w:val="1"/>
          <w:numId w:val="21"/>
        </w:numPr>
        <w:tabs>
          <w:tab w:val="clear" w:pos="1440"/>
          <w:tab w:val="num" w:pos="1134"/>
        </w:tabs>
        <w:ind w:left="1134" w:hanging="567"/>
        <w:jc w:val="left"/>
      </w:pPr>
      <w:r w:rsidRPr="00EF45D2">
        <w:t xml:space="preserve">a </w:t>
      </w:r>
      <w:r w:rsidR="00884046" w:rsidRPr="00EF45D2">
        <w:t xml:space="preserve">well-functioning social housing system that operates efficiently, sustainably and is </w:t>
      </w:r>
      <w:r w:rsidR="00180392">
        <w:t xml:space="preserve">effective in assisting low income </w:t>
      </w:r>
      <w:r w:rsidR="00873388">
        <w:t xml:space="preserve">households </w:t>
      </w:r>
      <w:r w:rsidR="00180392">
        <w:t xml:space="preserve">and </w:t>
      </w:r>
      <w:r w:rsidR="00180392" w:rsidRPr="00A137C5">
        <w:rPr>
          <w:b/>
        </w:rPr>
        <w:t xml:space="preserve">priority </w:t>
      </w:r>
      <w:r w:rsidR="002E6DE4" w:rsidRPr="00A137C5">
        <w:rPr>
          <w:b/>
        </w:rPr>
        <w:t xml:space="preserve">homelessness </w:t>
      </w:r>
      <w:r w:rsidR="00180392" w:rsidRPr="00A137C5">
        <w:rPr>
          <w:b/>
        </w:rPr>
        <w:t>cohorts</w:t>
      </w:r>
      <w:r w:rsidR="00180392">
        <w:t xml:space="preserve"> to manage their needs</w:t>
      </w:r>
      <w:r w:rsidRPr="00EF45D2">
        <w:t>;</w:t>
      </w:r>
    </w:p>
    <w:p w14:paraId="4CAD9369" w14:textId="06D17BBE" w:rsidR="00C019D4" w:rsidRPr="00EF45D2" w:rsidRDefault="00884046" w:rsidP="00C70459">
      <w:pPr>
        <w:pStyle w:val="Normalnumbered"/>
        <w:numPr>
          <w:ilvl w:val="1"/>
          <w:numId w:val="21"/>
        </w:numPr>
        <w:tabs>
          <w:tab w:val="clear" w:pos="1440"/>
          <w:tab w:val="num" w:pos="1134"/>
        </w:tabs>
        <w:ind w:left="1134" w:hanging="567"/>
        <w:jc w:val="left"/>
      </w:pPr>
      <w:r w:rsidRPr="00EF45D2">
        <w:t>affordable housing options for people on low</w:t>
      </w:r>
      <w:r w:rsidR="00FF7D21">
        <w:noBreakHyphen/>
      </w:r>
      <w:r w:rsidRPr="00EF45D2">
        <w:t>to</w:t>
      </w:r>
      <w:r w:rsidR="00FF7D21">
        <w:noBreakHyphen/>
      </w:r>
      <w:r w:rsidRPr="00EF45D2">
        <w:t>moderate incomes</w:t>
      </w:r>
      <w:r w:rsidR="00C019D4" w:rsidRPr="00EF45D2">
        <w:t>;</w:t>
      </w:r>
    </w:p>
    <w:p w14:paraId="243F2B36" w14:textId="7641E349" w:rsidR="0055250E" w:rsidRPr="006B0F32" w:rsidRDefault="004975BC" w:rsidP="009E22CB">
      <w:pPr>
        <w:pStyle w:val="Normalnumbered"/>
        <w:numPr>
          <w:ilvl w:val="1"/>
          <w:numId w:val="21"/>
        </w:numPr>
        <w:tabs>
          <w:tab w:val="clear" w:pos="1440"/>
          <w:tab w:val="num" w:pos="1134"/>
        </w:tabs>
        <w:ind w:left="1134" w:hanging="567"/>
        <w:jc w:val="left"/>
      </w:pPr>
      <w:r w:rsidRPr="006B0F32">
        <w:t>an effective homelessness service system, which responds to and supports people who are homeless or at risk of homelessness to achieve and maintain housing</w:t>
      </w:r>
      <w:r w:rsidR="003110A3" w:rsidRPr="006B0F32">
        <w:t>,</w:t>
      </w:r>
      <w:r w:rsidRPr="006B0F32">
        <w:t xml:space="preserve"> and addresses the incidence and prevalence of homelessness</w:t>
      </w:r>
      <w:r w:rsidR="00E966BF" w:rsidRPr="006B0F32">
        <w:t>;</w:t>
      </w:r>
    </w:p>
    <w:p w14:paraId="455B18B9" w14:textId="020CD59B" w:rsidR="00E966BF" w:rsidRDefault="00C019D4" w:rsidP="00BA2C43">
      <w:pPr>
        <w:pStyle w:val="Normalnumbered"/>
        <w:numPr>
          <w:ilvl w:val="1"/>
          <w:numId w:val="21"/>
        </w:numPr>
        <w:tabs>
          <w:tab w:val="clear" w:pos="1440"/>
          <w:tab w:val="num" w:pos="1134"/>
        </w:tabs>
        <w:ind w:left="1134" w:hanging="567"/>
        <w:jc w:val="left"/>
      </w:pPr>
      <w:r w:rsidRPr="00EF45D2">
        <w:lastRenderedPageBreak/>
        <w:t>improved housing outcomes for Indigenous Australians</w:t>
      </w:r>
      <w:r w:rsidR="00E966BF">
        <w:t xml:space="preserve">; </w:t>
      </w:r>
    </w:p>
    <w:p w14:paraId="1DDBC725" w14:textId="4CD9E545" w:rsidR="00271F64" w:rsidRDefault="00E966BF" w:rsidP="00BA2C43">
      <w:pPr>
        <w:pStyle w:val="Normalnumbered"/>
        <w:numPr>
          <w:ilvl w:val="1"/>
          <w:numId w:val="21"/>
        </w:numPr>
        <w:tabs>
          <w:tab w:val="clear" w:pos="1440"/>
          <w:tab w:val="num" w:pos="1134"/>
        </w:tabs>
        <w:ind w:left="1134" w:hanging="567"/>
        <w:jc w:val="left"/>
      </w:pPr>
      <w:r w:rsidRPr="00EF45D2">
        <w:t>a well-functioning housing market that responds to local conditions</w:t>
      </w:r>
      <w:r w:rsidR="00271F64">
        <w:t xml:space="preserve">; and </w:t>
      </w:r>
    </w:p>
    <w:p w14:paraId="1ADC088B" w14:textId="56129B08" w:rsidR="00E966BF" w:rsidRPr="00A137C5" w:rsidRDefault="00D6566B" w:rsidP="00457392">
      <w:pPr>
        <w:pStyle w:val="Normalnumbered"/>
        <w:numPr>
          <w:ilvl w:val="1"/>
          <w:numId w:val="21"/>
        </w:numPr>
        <w:tabs>
          <w:tab w:val="clear" w:pos="1440"/>
          <w:tab w:val="num" w:pos="1134"/>
        </w:tabs>
        <w:ind w:left="1134" w:hanging="567"/>
        <w:jc w:val="left"/>
      </w:pPr>
      <w:r>
        <w:t xml:space="preserve">improved transparency </w:t>
      </w:r>
      <w:r w:rsidR="00B567FE">
        <w:t xml:space="preserve">and accountability </w:t>
      </w:r>
      <w:r>
        <w:t xml:space="preserve">in respect of </w:t>
      </w:r>
      <w:r w:rsidR="00B567FE">
        <w:t xml:space="preserve">housing and homelessness </w:t>
      </w:r>
      <w:r>
        <w:t>strategies, spending and outcomes</w:t>
      </w:r>
      <w:r w:rsidR="00271F64">
        <w:t>.</w:t>
      </w:r>
    </w:p>
    <w:p w14:paraId="0D104435" w14:textId="3D5264AC" w:rsidR="00570165" w:rsidRPr="00EF45D2" w:rsidRDefault="00992614" w:rsidP="00024137">
      <w:pPr>
        <w:pStyle w:val="Normalnumbered"/>
        <w:numPr>
          <w:ilvl w:val="0"/>
          <w:numId w:val="9"/>
        </w:numPr>
        <w:jc w:val="left"/>
      </w:pPr>
      <w:r>
        <w:t xml:space="preserve">The outcomes of this Agreement are a shared responsibility of the Commonwealth and States. They </w:t>
      </w:r>
      <w:r w:rsidR="00024137" w:rsidRPr="00024137">
        <w:t>are included for the purpose of monitoring sector-wide performance supported by Commonwealth funding under this Agreement and other funding including Commonwealth Rent Assistance and States’ own source funding contributions</w:t>
      </w:r>
      <w:r w:rsidR="00024137">
        <w:t>.</w:t>
      </w:r>
      <w:r w:rsidR="00024137" w:rsidRPr="00024137" w:rsidDel="00992614">
        <w:t xml:space="preserve"> </w:t>
      </w:r>
      <w:r w:rsidR="00CA408A">
        <w:t xml:space="preserve">For the avoidance of doubt, the Commonwealth’s estimated financial contribution to the State will not be reduced because the outcomes set out in </w:t>
      </w:r>
      <w:r w:rsidR="00CA408A" w:rsidRPr="009D6AF2">
        <w:t xml:space="preserve">clause </w:t>
      </w:r>
      <w:r w:rsidR="00CA408A" w:rsidRPr="00A137C5">
        <w:t>15</w:t>
      </w:r>
      <w:r w:rsidR="00CA408A" w:rsidRPr="009D6AF2">
        <w:t xml:space="preserve"> are</w:t>
      </w:r>
      <w:r w:rsidR="00CA408A">
        <w:t xml:space="preserve"> not achieved.</w:t>
      </w:r>
      <w:r w:rsidR="00CA408A" w:rsidRPr="00FB1D98">
        <w:t xml:space="preserve"> </w:t>
      </w:r>
    </w:p>
    <w:p w14:paraId="7D55F860" w14:textId="26F70213" w:rsidR="00814667" w:rsidRPr="00EF45D2" w:rsidRDefault="00814667">
      <w:pPr>
        <w:pStyle w:val="Heading2"/>
      </w:pPr>
      <w:r w:rsidRPr="00EF45D2">
        <w:t>Outputs</w:t>
      </w:r>
    </w:p>
    <w:p w14:paraId="646FB833" w14:textId="787AB5C9" w:rsidR="0085738D" w:rsidRPr="00EF45D2" w:rsidRDefault="0066197E" w:rsidP="005D2DDE">
      <w:pPr>
        <w:pStyle w:val="Normalnumbered"/>
        <w:keepNext/>
        <w:numPr>
          <w:ilvl w:val="0"/>
          <w:numId w:val="9"/>
        </w:numPr>
        <w:jc w:val="left"/>
      </w:pPr>
      <w:r>
        <w:t>Consistent with</w:t>
      </w:r>
      <w:r w:rsidR="006D2D0A">
        <w:t xml:space="preserve"> </w:t>
      </w:r>
      <w:r w:rsidR="00EB6FAA">
        <w:t xml:space="preserve">section 15C of </w:t>
      </w:r>
      <w:r w:rsidR="00952D06">
        <w:t>the FFR Act, e</w:t>
      </w:r>
      <w:r w:rsidR="00465ACC" w:rsidRPr="00EF45D2">
        <w:t>ach State will</w:t>
      </w:r>
      <w:r w:rsidR="00E966BF">
        <w:t xml:space="preserve"> </w:t>
      </w:r>
      <w:r w:rsidR="00465ACC" w:rsidRPr="00EF45D2">
        <w:t xml:space="preserve">be required to </w:t>
      </w:r>
      <w:r w:rsidR="00B43589">
        <w:t>achieve the following conditions</w:t>
      </w:r>
      <w:r w:rsidR="00465ACC" w:rsidRPr="00EF45D2">
        <w:t xml:space="preserve"> </w:t>
      </w:r>
      <w:r w:rsidR="00EF45D2" w:rsidRPr="00EF45D2">
        <w:t>to be eligible for</w:t>
      </w:r>
      <w:r w:rsidR="00465ACC" w:rsidRPr="00EF45D2">
        <w:t xml:space="preserve"> funding under this Agreement:</w:t>
      </w:r>
    </w:p>
    <w:p w14:paraId="472B259E" w14:textId="201BBC98" w:rsidR="005A3D38" w:rsidRPr="00FF7D21" w:rsidRDefault="00CA31A2" w:rsidP="00C70459">
      <w:pPr>
        <w:pStyle w:val="Normalnumbered"/>
        <w:numPr>
          <w:ilvl w:val="1"/>
          <w:numId w:val="9"/>
        </w:numPr>
        <w:tabs>
          <w:tab w:val="clear" w:pos="1440"/>
          <w:tab w:val="num" w:pos="1134"/>
        </w:tabs>
        <w:ind w:left="1134" w:hanging="567"/>
        <w:jc w:val="left"/>
      </w:pPr>
      <w:r>
        <w:t xml:space="preserve">for the period set out in </w:t>
      </w:r>
      <w:r w:rsidRPr="009D6AF2">
        <w:t xml:space="preserve">clause </w:t>
      </w:r>
      <w:r w:rsidR="00987821">
        <w:t>18</w:t>
      </w:r>
      <w:r w:rsidRPr="009D6AF2">
        <w:t xml:space="preserve"> </w:t>
      </w:r>
      <w:r w:rsidR="00D12E88" w:rsidRPr="00901179">
        <w:t xml:space="preserve">the State will have a </w:t>
      </w:r>
      <w:r w:rsidR="00884046" w:rsidRPr="00FF7D21">
        <w:t>publicly available housing strategy tha</w:t>
      </w:r>
      <w:r w:rsidR="005A3D38" w:rsidRPr="00FF7D21">
        <w:t>t:</w:t>
      </w:r>
    </w:p>
    <w:p w14:paraId="00FD1611" w14:textId="10901EF1" w:rsidR="00B43589" w:rsidRDefault="005A3D38" w:rsidP="00B43589">
      <w:pPr>
        <w:pStyle w:val="Normalnumbered"/>
        <w:numPr>
          <w:ilvl w:val="2"/>
          <w:numId w:val="9"/>
        </w:numPr>
        <w:tabs>
          <w:tab w:val="clear" w:pos="2160"/>
          <w:tab w:val="num" w:pos="1701"/>
        </w:tabs>
        <w:ind w:left="1701" w:hanging="567"/>
        <w:jc w:val="left"/>
      </w:pPr>
      <w:r w:rsidRPr="00FF7D21">
        <w:t>indicates the level of housing supply needed to respon</w:t>
      </w:r>
      <w:r w:rsidR="00BF2FF7" w:rsidRPr="00FF7D21">
        <w:t>d</w:t>
      </w:r>
      <w:r w:rsidRPr="00FF7D21">
        <w:t xml:space="preserve"> to projected housing demand, and out</w:t>
      </w:r>
      <w:r w:rsidR="00884046" w:rsidRPr="00FF7D21">
        <w:t>lines</w:t>
      </w:r>
      <w:r w:rsidRPr="00FF7D21">
        <w:t xml:space="preserve"> the reforms and initiatives that will </w:t>
      </w:r>
      <w:r w:rsidR="00CA31A2" w:rsidRPr="00FF7D21">
        <w:t>contribute to meeting</w:t>
      </w:r>
      <w:r w:rsidRPr="00FF7D21">
        <w:t xml:space="preserve"> this need</w:t>
      </w:r>
      <w:r w:rsidR="003E26E6" w:rsidRPr="00FF7D21">
        <w:t>;</w:t>
      </w:r>
      <w:r w:rsidRPr="00FF7D21">
        <w:t xml:space="preserve"> </w:t>
      </w:r>
    </w:p>
    <w:p w14:paraId="2A4768E7" w14:textId="0DFFD95A" w:rsidR="00B43589" w:rsidRPr="006B0F32" w:rsidRDefault="00B43589" w:rsidP="009E22CB">
      <w:pPr>
        <w:pStyle w:val="Normalnumbered"/>
        <w:numPr>
          <w:ilvl w:val="2"/>
          <w:numId w:val="9"/>
        </w:numPr>
        <w:tabs>
          <w:tab w:val="clear" w:pos="2160"/>
          <w:tab w:val="num" w:pos="1701"/>
        </w:tabs>
        <w:ind w:left="1701" w:hanging="567"/>
        <w:jc w:val="left"/>
      </w:pPr>
      <w:r w:rsidRPr="006B0F32">
        <w:t xml:space="preserve">includes planned or expected levels of social housing; </w:t>
      </w:r>
      <w:r w:rsidR="00440062" w:rsidRPr="006B0F32">
        <w:t>and</w:t>
      </w:r>
      <w:r w:rsidRPr="006B0F32">
        <w:t xml:space="preserve"> </w:t>
      </w:r>
    </w:p>
    <w:p w14:paraId="1888B511" w14:textId="22A9C153" w:rsidR="00B43589" w:rsidRPr="00FF7D21" w:rsidRDefault="00B43589" w:rsidP="009E22CB">
      <w:pPr>
        <w:pStyle w:val="Normalnumbered"/>
        <w:numPr>
          <w:ilvl w:val="2"/>
          <w:numId w:val="9"/>
        </w:numPr>
        <w:tabs>
          <w:tab w:val="clear" w:pos="2160"/>
          <w:tab w:val="num" w:pos="1701"/>
        </w:tabs>
        <w:ind w:left="1701" w:hanging="567"/>
        <w:jc w:val="left"/>
      </w:pPr>
      <w:r w:rsidRPr="006B0F32">
        <w:t xml:space="preserve">details how the State will contribute to the </w:t>
      </w:r>
      <w:r w:rsidRPr="00711E7F">
        <w:rPr>
          <w:b/>
        </w:rPr>
        <w:t>housing priority policy areas</w:t>
      </w:r>
      <w:r w:rsidRPr="006B0F32">
        <w:t xml:space="preserve"> set out</w:t>
      </w:r>
      <w:r w:rsidR="00987821" w:rsidRPr="006B0F32">
        <w:t xml:space="preserve"> in Schedule A where appropriate</w:t>
      </w:r>
      <w:r w:rsidR="00D834DC" w:rsidRPr="006B0F32">
        <w:t xml:space="preserve"> to </w:t>
      </w:r>
      <w:r w:rsidR="003110A3" w:rsidRPr="006B0F32">
        <w:t>its</w:t>
      </w:r>
      <w:r w:rsidR="00D834DC" w:rsidRPr="006B0F32">
        <w:t xml:space="preserve"> needs</w:t>
      </w:r>
      <w:r w:rsidR="00F6340E">
        <w:t>;</w:t>
      </w:r>
      <w:r w:rsidRPr="00C00B4D">
        <w:t xml:space="preserve"> </w:t>
      </w:r>
    </w:p>
    <w:p w14:paraId="4A242E87" w14:textId="68644FCA" w:rsidR="007602C9" w:rsidRPr="00FF7D21" w:rsidRDefault="00B068B8" w:rsidP="00C70459">
      <w:pPr>
        <w:pStyle w:val="Normalnumbered"/>
        <w:numPr>
          <w:ilvl w:val="1"/>
          <w:numId w:val="9"/>
        </w:numPr>
        <w:tabs>
          <w:tab w:val="clear" w:pos="1440"/>
          <w:tab w:val="num" w:pos="1134"/>
        </w:tabs>
        <w:ind w:left="1134" w:hanging="567"/>
        <w:jc w:val="left"/>
      </w:pPr>
      <w:r w:rsidRPr="00FF7D21">
        <w:t xml:space="preserve">for the period set out in clause </w:t>
      </w:r>
      <w:r w:rsidR="00987821">
        <w:t>18</w:t>
      </w:r>
      <w:r w:rsidR="00987821" w:rsidRPr="009D6AF2">
        <w:t xml:space="preserve"> </w:t>
      </w:r>
      <w:r w:rsidR="00D12E88" w:rsidRPr="00FF7D21">
        <w:t xml:space="preserve">the State will have a </w:t>
      </w:r>
      <w:r w:rsidR="003E26E6" w:rsidRPr="00FF7D21">
        <w:t xml:space="preserve">publicly available homelessness strategy </w:t>
      </w:r>
      <w:r w:rsidR="005A3D38" w:rsidRPr="00FF7D21">
        <w:t>that</w:t>
      </w:r>
      <w:r w:rsidR="007602C9" w:rsidRPr="00FF7D21">
        <w:t>:</w:t>
      </w:r>
    </w:p>
    <w:p w14:paraId="7E24C3A9" w14:textId="06B05CAC" w:rsidR="004456D6" w:rsidRDefault="004456D6" w:rsidP="004456D6">
      <w:pPr>
        <w:pStyle w:val="Normalnumbered"/>
        <w:numPr>
          <w:ilvl w:val="2"/>
          <w:numId w:val="9"/>
        </w:numPr>
        <w:tabs>
          <w:tab w:val="clear" w:pos="2160"/>
          <w:tab w:val="num" w:pos="1701"/>
        </w:tabs>
        <w:ind w:left="1701" w:hanging="567"/>
        <w:jc w:val="left"/>
      </w:pPr>
      <w:r w:rsidRPr="00EF45D2">
        <w:t xml:space="preserve">addresses the </w:t>
      </w:r>
      <w:r w:rsidRPr="00A137C5">
        <w:rPr>
          <w:b/>
        </w:rPr>
        <w:t>priority homelessness cohorts</w:t>
      </w:r>
      <w:r w:rsidRPr="00EF45D2">
        <w:t xml:space="preserve"> specified in </w:t>
      </w:r>
      <w:r w:rsidRPr="00A137C5">
        <w:t>Schedule B</w:t>
      </w:r>
      <w:r>
        <w:t xml:space="preserve">; </w:t>
      </w:r>
    </w:p>
    <w:p w14:paraId="56C06826" w14:textId="14443F3B" w:rsidR="001E2C55" w:rsidRDefault="00146CCE" w:rsidP="004165D6">
      <w:pPr>
        <w:pStyle w:val="Normalnumbered"/>
        <w:numPr>
          <w:ilvl w:val="2"/>
          <w:numId w:val="9"/>
        </w:numPr>
        <w:tabs>
          <w:tab w:val="clear" w:pos="2160"/>
          <w:tab w:val="num" w:pos="1701"/>
        </w:tabs>
        <w:ind w:left="1701" w:hanging="567"/>
        <w:jc w:val="left"/>
      </w:pPr>
      <w:r w:rsidRPr="00EF45D2">
        <w:t>sets out reforms and initiatives that will contribute to a reduction in the incidence of homelessness</w:t>
      </w:r>
      <w:r w:rsidR="001E2C55">
        <w:t>;</w:t>
      </w:r>
      <w:r w:rsidR="00440062">
        <w:t xml:space="preserve"> and</w:t>
      </w:r>
    </w:p>
    <w:p w14:paraId="11E1E518" w14:textId="04B69489" w:rsidR="00B43589" w:rsidRDefault="004456D6" w:rsidP="009E22CB">
      <w:pPr>
        <w:pStyle w:val="Normalnumbered"/>
        <w:numPr>
          <w:ilvl w:val="2"/>
          <w:numId w:val="9"/>
        </w:numPr>
        <w:tabs>
          <w:tab w:val="clear" w:pos="2160"/>
          <w:tab w:val="num" w:pos="1701"/>
        </w:tabs>
        <w:ind w:left="1701" w:hanging="567"/>
        <w:jc w:val="left"/>
      </w:pPr>
      <w:r w:rsidRPr="006B0F32">
        <w:t>incorporate</w:t>
      </w:r>
      <w:r w:rsidR="00440062" w:rsidRPr="006B0F32">
        <w:t>s</w:t>
      </w:r>
      <w:r w:rsidR="00B43589" w:rsidRPr="006B0F32">
        <w:t xml:space="preserve"> the </w:t>
      </w:r>
      <w:r w:rsidR="00B43589" w:rsidRPr="00711E7F">
        <w:rPr>
          <w:b/>
        </w:rPr>
        <w:t>homelessness priority policy reform areas</w:t>
      </w:r>
      <w:r w:rsidR="00B43589" w:rsidRPr="006B0F32">
        <w:t xml:space="preserve"> specified in </w:t>
      </w:r>
      <w:r w:rsidR="007B073F" w:rsidRPr="006B0F32">
        <w:t>Schedule</w:t>
      </w:r>
      <w:r w:rsidR="00440062" w:rsidRPr="006B0F32">
        <w:t> </w:t>
      </w:r>
      <w:r w:rsidR="00B43589" w:rsidRPr="006B0F32">
        <w:t>B</w:t>
      </w:r>
      <w:r w:rsidR="00987821" w:rsidRPr="006B0F32">
        <w:t xml:space="preserve"> where appropriate</w:t>
      </w:r>
      <w:r w:rsidR="00D834DC" w:rsidRPr="006B0F32">
        <w:t xml:space="preserve"> to </w:t>
      </w:r>
      <w:r w:rsidR="003110A3" w:rsidRPr="006B0F32">
        <w:t>its</w:t>
      </w:r>
      <w:r w:rsidR="00D834DC" w:rsidRPr="006B0F32">
        <w:t xml:space="preserve"> needs</w:t>
      </w:r>
      <w:r w:rsidR="003B2A67">
        <w:t>;</w:t>
      </w:r>
    </w:p>
    <w:p w14:paraId="47254192" w14:textId="07C55565" w:rsidR="007D4805" w:rsidRDefault="007D4805" w:rsidP="00BA2C43">
      <w:pPr>
        <w:pStyle w:val="Normalnumbered"/>
        <w:numPr>
          <w:ilvl w:val="1"/>
          <w:numId w:val="9"/>
        </w:numPr>
        <w:tabs>
          <w:tab w:val="clear" w:pos="1440"/>
          <w:tab w:val="num" w:pos="1134"/>
        </w:tabs>
        <w:ind w:left="1134" w:hanging="567"/>
        <w:jc w:val="left"/>
      </w:pPr>
      <w:r>
        <w:t xml:space="preserve">provide reporting on the Agreement </w:t>
      </w:r>
      <w:r w:rsidR="00991EA2" w:rsidRPr="00AF5285">
        <w:t>to the</w:t>
      </w:r>
      <w:r w:rsidR="00D30D26" w:rsidRPr="00AF5285">
        <w:t xml:space="preserve"> relevant Commonwealth</w:t>
      </w:r>
      <w:r w:rsidR="00991EA2" w:rsidRPr="00AF5285">
        <w:t xml:space="preserve"> Minister </w:t>
      </w:r>
      <w:r w:rsidR="00896B26" w:rsidRPr="00AF5285">
        <w:t xml:space="preserve">(or a relevant Commonwealth official) </w:t>
      </w:r>
      <w:r w:rsidRPr="00AF5285">
        <w:t>in the manner</w:t>
      </w:r>
      <w:r w:rsidR="00991EA2" w:rsidRPr="00AF5285">
        <w:t>,</w:t>
      </w:r>
      <w:r w:rsidRPr="00AF5285">
        <w:t xml:space="preserve"> and within the period</w:t>
      </w:r>
      <w:r w:rsidR="00991EA2" w:rsidRPr="00AF5285">
        <w:t>,</w:t>
      </w:r>
      <w:r w:rsidRPr="00AF5285">
        <w:t xml:space="preserve"> set out in Part 4</w:t>
      </w:r>
      <w:r w:rsidR="00991EA2" w:rsidRPr="00AF5285">
        <w:t xml:space="preserve"> –</w:t>
      </w:r>
      <w:r w:rsidR="00991EA2">
        <w:t xml:space="preserve"> Monitoring and Reporting</w:t>
      </w:r>
      <w:r>
        <w:t>;</w:t>
      </w:r>
    </w:p>
    <w:p w14:paraId="18EE82B6" w14:textId="740705AC" w:rsidR="00E53B1B" w:rsidRPr="009D6AF2" w:rsidRDefault="00E53B1B" w:rsidP="00BA2C43">
      <w:pPr>
        <w:pStyle w:val="Normalnumbered"/>
        <w:numPr>
          <w:ilvl w:val="1"/>
          <w:numId w:val="9"/>
        </w:numPr>
        <w:tabs>
          <w:tab w:val="clear" w:pos="1440"/>
          <w:tab w:val="num" w:pos="1134"/>
        </w:tabs>
        <w:ind w:left="1134" w:hanging="567"/>
        <w:jc w:val="left"/>
      </w:pPr>
      <w:r w:rsidRPr="00EF45D2">
        <w:t>contribute to</w:t>
      </w:r>
      <w:r>
        <w:t xml:space="preserve"> the </w:t>
      </w:r>
      <w:r w:rsidRPr="00EF45D2">
        <w:t>ongoing collection and transparent reporting of agreed data</w:t>
      </w:r>
      <w:r w:rsidR="00605393">
        <w:t>,</w:t>
      </w:r>
      <w:r w:rsidRPr="00EF45D2">
        <w:t xml:space="preserve"> </w:t>
      </w:r>
      <w:r>
        <w:t xml:space="preserve">including the </w:t>
      </w:r>
      <w:r w:rsidRPr="00EF45D2">
        <w:t>develop</w:t>
      </w:r>
      <w:r>
        <w:t xml:space="preserve">ment of data improvements and </w:t>
      </w:r>
      <w:r w:rsidRPr="00EF45D2">
        <w:t>a nationally consistent data set</w:t>
      </w:r>
      <w:r w:rsidR="00A1356F">
        <w:t xml:space="preserve"> under Commonwealth leadership,</w:t>
      </w:r>
      <w:r>
        <w:t xml:space="preserve"> in accordance </w:t>
      </w:r>
      <w:r w:rsidRPr="009D6AF2">
        <w:t xml:space="preserve">with </w:t>
      </w:r>
      <w:r w:rsidRPr="00A137C5">
        <w:t xml:space="preserve">Schedule </w:t>
      </w:r>
      <w:r w:rsidR="004105A6" w:rsidRPr="00A137C5">
        <w:t>C</w:t>
      </w:r>
      <w:r w:rsidRPr="00A137C5">
        <w:t>;</w:t>
      </w:r>
    </w:p>
    <w:p w14:paraId="22183FE4" w14:textId="4C0B4BEE" w:rsidR="006279C0" w:rsidRDefault="006279C0" w:rsidP="004F44C3">
      <w:pPr>
        <w:pStyle w:val="Normalnumbered"/>
        <w:numPr>
          <w:ilvl w:val="2"/>
          <w:numId w:val="9"/>
        </w:numPr>
        <w:tabs>
          <w:tab w:val="clear" w:pos="2160"/>
          <w:tab w:val="num" w:pos="1701"/>
        </w:tabs>
        <w:ind w:left="1701" w:hanging="567"/>
        <w:jc w:val="left"/>
      </w:pPr>
      <w:r>
        <w:t xml:space="preserve">States are required to provide information </w:t>
      </w:r>
      <w:r w:rsidR="00440062" w:rsidRPr="006B0F32">
        <w:t>(including deliverables)</w:t>
      </w:r>
      <w:r w:rsidR="00440062">
        <w:t xml:space="preserve"> </w:t>
      </w:r>
      <w:r w:rsidRPr="00AF5285">
        <w:t xml:space="preserve">to the </w:t>
      </w:r>
      <w:r w:rsidR="00D30D26" w:rsidRPr="00AF5285">
        <w:t xml:space="preserve">relevant Commonwealth </w:t>
      </w:r>
      <w:r w:rsidRPr="00AF5285">
        <w:t>Minister (or a relevant Commonwealth official) in the manner, and within the period, as set</w:t>
      </w:r>
      <w:r>
        <w:t xml:space="preserve"> out </w:t>
      </w:r>
      <w:r w:rsidRPr="009D6AF2">
        <w:t xml:space="preserve">in </w:t>
      </w:r>
      <w:r w:rsidRPr="00901179">
        <w:t>Schedule</w:t>
      </w:r>
      <w:r w:rsidR="000C41C5" w:rsidRPr="00A137C5">
        <w:t> </w:t>
      </w:r>
      <w:r w:rsidRPr="00901179">
        <w:t>C</w:t>
      </w:r>
      <w:r w:rsidRPr="00ED4465">
        <w:t>, and</w:t>
      </w:r>
      <w:r>
        <w:t xml:space="preserve"> agree to a</w:t>
      </w:r>
      <w:r w:rsidR="00605393">
        <w:t xml:space="preserve"> new</w:t>
      </w:r>
      <w:r w:rsidR="003110A3">
        <w:t xml:space="preserve"> s</w:t>
      </w:r>
      <w:r>
        <w:t xml:space="preserve">chedule </w:t>
      </w:r>
      <w:r w:rsidR="00217674" w:rsidRPr="006B0F32">
        <w:t>setting out</w:t>
      </w:r>
      <w:r w:rsidR="00217674" w:rsidRPr="00C479A6">
        <w:rPr>
          <w:color w:val="FF0000"/>
        </w:rPr>
        <w:t xml:space="preserve"> </w:t>
      </w:r>
      <w:r>
        <w:t xml:space="preserve">data improvements by </w:t>
      </w:r>
      <w:r w:rsidR="00F6340E">
        <w:t xml:space="preserve">30 June </w:t>
      </w:r>
      <w:r w:rsidRPr="00901179">
        <w:t>2019</w:t>
      </w:r>
      <w:r w:rsidR="001C37D3">
        <w:t>;</w:t>
      </w:r>
      <w:r>
        <w:t xml:space="preserve"> </w:t>
      </w:r>
      <w:r w:rsidR="00440062">
        <w:t>and</w:t>
      </w:r>
    </w:p>
    <w:p w14:paraId="46BCDDA1" w14:textId="5EBB4AD0" w:rsidR="00B31A08" w:rsidRDefault="006279C0" w:rsidP="006279C0">
      <w:pPr>
        <w:pStyle w:val="Normalnumbered"/>
        <w:numPr>
          <w:ilvl w:val="2"/>
          <w:numId w:val="9"/>
        </w:numPr>
        <w:tabs>
          <w:tab w:val="clear" w:pos="2160"/>
          <w:tab w:val="num" w:pos="1701"/>
        </w:tabs>
        <w:ind w:left="1701" w:hanging="567"/>
        <w:jc w:val="left"/>
      </w:pPr>
      <w:r>
        <w:lastRenderedPageBreak/>
        <w:t xml:space="preserve">States are required to provide information to </w:t>
      </w:r>
      <w:r w:rsidRPr="00F6340E">
        <w:t xml:space="preserve">the </w:t>
      </w:r>
      <w:r w:rsidR="00D30D26" w:rsidRPr="00F6340E">
        <w:t xml:space="preserve">relevant Commonwealth </w:t>
      </w:r>
      <w:r w:rsidRPr="00F6340E">
        <w:t>Minister</w:t>
      </w:r>
      <w:r>
        <w:t xml:space="preserve"> (or a relevant Commonwealth official) in the manner, and within the period, as set out in the </w:t>
      </w:r>
      <w:r w:rsidRPr="009D6AF2">
        <w:t xml:space="preserve">data </w:t>
      </w:r>
      <w:r w:rsidR="003110A3">
        <w:t>s</w:t>
      </w:r>
      <w:r w:rsidRPr="00901179">
        <w:t>chedule</w:t>
      </w:r>
      <w:r w:rsidR="00C93695" w:rsidRPr="003314CF">
        <w:t>s</w:t>
      </w:r>
      <w:r w:rsidR="00696B62" w:rsidRPr="00A137C5">
        <w:t xml:space="preserve"> </w:t>
      </w:r>
      <w:r w:rsidRPr="00901179">
        <w:t>(when</w:t>
      </w:r>
      <w:r>
        <w:t xml:space="preserve"> agreed or by </w:t>
      </w:r>
      <w:r w:rsidR="001A708E">
        <w:t>30 June </w:t>
      </w:r>
      <w:r w:rsidR="00ED4465" w:rsidRPr="00C72726">
        <w:t>2019</w:t>
      </w:r>
      <w:r>
        <w:t>, whichever comes first)</w:t>
      </w:r>
      <w:r w:rsidR="001C37D3">
        <w:t>;</w:t>
      </w:r>
    </w:p>
    <w:p w14:paraId="6B687616" w14:textId="51504175" w:rsidR="001F26EE" w:rsidRDefault="001F26EE" w:rsidP="00A41994">
      <w:pPr>
        <w:pStyle w:val="Normalnumbered"/>
        <w:numPr>
          <w:ilvl w:val="1"/>
          <w:numId w:val="9"/>
        </w:numPr>
        <w:tabs>
          <w:tab w:val="clear" w:pos="1440"/>
          <w:tab w:val="num" w:pos="1134"/>
        </w:tabs>
        <w:ind w:left="1134" w:hanging="567"/>
        <w:jc w:val="left"/>
      </w:pPr>
      <w:r>
        <w:t>match Commonwealth homelessness</w:t>
      </w:r>
      <w:r w:rsidRPr="006B0F32">
        <w:t xml:space="preserve"> </w:t>
      </w:r>
      <w:r w:rsidR="004647FC" w:rsidRPr="006B0F32">
        <w:t>(including</w:t>
      </w:r>
      <w:r w:rsidR="0061008F" w:rsidRPr="006B0F32">
        <w:t xml:space="preserve"> homelessness</w:t>
      </w:r>
      <w:r w:rsidR="004647FC" w:rsidRPr="006B0F32">
        <w:t xml:space="preserve"> SACS)</w:t>
      </w:r>
      <w:r w:rsidRPr="006B0F32">
        <w:t xml:space="preserve"> </w:t>
      </w:r>
      <w:r>
        <w:t xml:space="preserve">funding </w:t>
      </w:r>
      <w:r w:rsidR="005F39E7">
        <w:t xml:space="preserve">set out in </w:t>
      </w:r>
      <w:r w:rsidR="005F39E7" w:rsidRPr="009D6AF2">
        <w:t xml:space="preserve">Table </w:t>
      </w:r>
      <w:r w:rsidR="004105A6" w:rsidRPr="00A137C5">
        <w:t>2</w:t>
      </w:r>
      <w:r w:rsidR="005F39E7" w:rsidRPr="009D6AF2">
        <w:t xml:space="preserve"> </w:t>
      </w:r>
      <w:r w:rsidR="001869A7" w:rsidRPr="00901179">
        <w:t>in Part</w:t>
      </w:r>
      <w:r w:rsidR="001869A7" w:rsidRPr="00EF45D2">
        <w:t xml:space="preserve"> 5 – Financial Arrangements</w:t>
      </w:r>
      <w:r w:rsidR="001869A7">
        <w:t xml:space="preserve"> </w:t>
      </w:r>
      <w:r>
        <w:t>on a dollar for</w:t>
      </w:r>
      <w:r w:rsidRPr="00586406">
        <w:rPr>
          <w:b/>
        </w:rPr>
        <w:t xml:space="preserve"> </w:t>
      </w:r>
      <w:r>
        <w:t>dollar basis during each financial year;</w:t>
      </w:r>
      <w:r w:rsidR="00E53B1B">
        <w:t xml:space="preserve"> and </w:t>
      </w:r>
    </w:p>
    <w:p w14:paraId="5134215F" w14:textId="35ED0EDF" w:rsidR="005F39E7" w:rsidRPr="00EF45D2" w:rsidRDefault="005F39E7" w:rsidP="00BA2C43">
      <w:pPr>
        <w:pStyle w:val="Normalnumbered"/>
        <w:numPr>
          <w:ilvl w:val="1"/>
          <w:numId w:val="9"/>
        </w:numPr>
        <w:tabs>
          <w:tab w:val="clear" w:pos="1440"/>
        </w:tabs>
        <w:ind w:left="1134" w:hanging="567"/>
        <w:jc w:val="left"/>
      </w:pPr>
      <w:r w:rsidRPr="005F39E7">
        <w:t xml:space="preserve">agree a bilateral schedule with the Commonwealth </w:t>
      </w:r>
      <w:r w:rsidR="006279C0">
        <w:t>which will be tailored to the needs of each State.</w:t>
      </w:r>
    </w:p>
    <w:p w14:paraId="18750B83" w14:textId="5231F4E3" w:rsidR="00270B2E" w:rsidRDefault="00B068B8">
      <w:pPr>
        <w:pStyle w:val="Normalnumbered"/>
        <w:numPr>
          <w:ilvl w:val="0"/>
          <w:numId w:val="9"/>
        </w:numPr>
        <w:jc w:val="left"/>
      </w:pPr>
      <w:r>
        <w:t xml:space="preserve">For the </w:t>
      </w:r>
      <w:r w:rsidRPr="00987821">
        <w:t xml:space="preserve">purposes of </w:t>
      </w:r>
      <w:r w:rsidR="003E02F6" w:rsidRPr="00987821">
        <w:t>sub</w:t>
      </w:r>
      <w:r w:rsidR="003110A3">
        <w:noBreakHyphen/>
      </w:r>
      <w:r w:rsidR="007B073F" w:rsidRPr="009E22CB">
        <w:t>clause</w:t>
      </w:r>
      <w:r w:rsidR="003E02F6" w:rsidRPr="00987821">
        <w:t>s 1</w:t>
      </w:r>
      <w:r w:rsidR="00904AB8" w:rsidRPr="00987821">
        <w:t>7</w:t>
      </w:r>
      <w:r w:rsidR="003E02F6" w:rsidRPr="00987821">
        <w:t xml:space="preserve"> (a)</w:t>
      </w:r>
      <w:r w:rsidR="00DE5D76" w:rsidRPr="00987821">
        <w:t xml:space="preserve"> and</w:t>
      </w:r>
      <w:r w:rsidR="003E02F6" w:rsidRPr="00987821">
        <w:t xml:space="preserve"> </w:t>
      </w:r>
      <w:r w:rsidRPr="00987821">
        <w:t>(b)</w:t>
      </w:r>
      <w:r w:rsidR="00B62CC1" w:rsidRPr="00987821">
        <w:t>,</w:t>
      </w:r>
      <w:r w:rsidR="003E02F6" w:rsidRPr="00987821">
        <w:t xml:space="preserve"> </w:t>
      </w:r>
      <w:r w:rsidRPr="009F0F2C">
        <w:t>and</w:t>
      </w:r>
      <w:r>
        <w:t xml:space="preserve"> for subsections 15C (5) and (6) of the FFR Act</w:t>
      </w:r>
      <w:r w:rsidR="00B62CC1">
        <w:t>,</w:t>
      </w:r>
      <w:r>
        <w:t xml:space="preserve"> the period for which a State must have a housing strategy </w:t>
      </w:r>
      <w:r w:rsidR="00E80517">
        <w:t>or</w:t>
      </w:r>
      <w:r>
        <w:t xml:space="preserve"> a homelessness strategy and make them available on a publicly accessible website </w:t>
      </w:r>
      <w:r w:rsidR="00494EA9">
        <w:t>is</w:t>
      </w:r>
      <w:r w:rsidR="00F6628F">
        <w:t>:</w:t>
      </w:r>
      <w:r w:rsidR="00494EA9">
        <w:t xml:space="preserve"> </w:t>
      </w:r>
    </w:p>
    <w:p w14:paraId="3B85D236" w14:textId="22217FA2" w:rsidR="00270B2E" w:rsidRDefault="00494EA9" w:rsidP="00592329">
      <w:pPr>
        <w:pStyle w:val="Normalnumbered"/>
        <w:numPr>
          <w:ilvl w:val="1"/>
          <w:numId w:val="9"/>
        </w:numPr>
        <w:jc w:val="left"/>
      </w:pPr>
      <w:r>
        <w:t>the whole of the financial year</w:t>
      </w:r>
      <w:r w:rsidR="00270B2E">
        <w:t>;</w:t>
      </w:r>
      <w:r>
        <w:t xml:space="preserve"> </w:t>
      </w:r>
    </w:p>
    <w:p w14:paraId="1C7B46A9" w14:textId="14A6F132" w:rsidR="00270B2E" w:rsidRDefault="007D4805" w:rsidP="00592329">
      <w:pPr>
        <w:pStyle w:val="Normalnumbered"/>
        <w:tabs>
          <w:tab w:val="clear" w:pos="360"/>
        </w:tabs>
        <w:ind w:left="567" w:firstLine="0"/>
        <w:jc w:val="left"/>
      </w:pPr>
      <w:r w:rsidRPr="007D4805">
        <w:t xml:space="preserve">but for any period </w:t>
      </w:r>
      <w:r w:rsidR="00217674" w:rsidRPr="006B0F32">
        <w:t>where</w:t>
      </w:r>
      <w:r w:rsidRPr="006B0F32">
        <w:t xml:space="preserve"> </w:t>
      </w:r>
      <w:r w:rsidR="0062718C" w:rsidRPr="006B0F32">
        <w:t xml:space="preserve">it is not reasonably practicable that </w:t>
      </w:r>
      <w:r w:rsidRPr="007D4805">
        <w:t>the strategy is available, which may include a period:</w:t>
      </w:r>
    </w:p>
    <w:p w14:paraId="5CAF015E" w14:textId="7563A0DB" w:rsidR="00494EA9" w:rsidRDefault="00B068B8" w:rsidP="00046510">
      <w:pPr>
        <w:pStyle w:val="Normalnumbered"/>
        <w:numPr>
          <w:ilvl w:val="1"/>
          <w:numId w:val="9"/>
        </w:numPr>
        <w:jc w:val="left"/>
      </w:pPr>
      <w:r>
        <w:t>during which</w:t>
      </w:r>
      <w:r w:rsidR="00494EA9">
        <w:t xml:space="preserve"> the State is in caretaker;</w:t>
      </w:r>
      <w:r w:rsidR="00C54F2C">
        <w:t xml:space="preserve"> </w:t>
      </w:r>
    </w:p>
    <w:p w14:paraId="64A8083E" w14:textId="6720E9B9" w:rsidR="00B068B8" w:rsidRDefault="00494EA9" w:rsidP="00494EA9">
      <w:pPr>
        <w:pStyle w:val="Normalnumbered"/>
        <w:numPr>
          <w:ilvl w:val="1"/>
          <w:numId w:val="9"/>
        </w:numPr>
        <w:jc w:val="left"/>
      </w:pPr>
      <w:r>
        <w:t>during which the State is developing, reviewing or updating its strategies, so long as the</w:t>
      </w:r>
      <w:r w:rsidR="00006EA7">
        <w:t xml:space="preserve"> sum of all such</w:t>
      </w:r>
      <w:r>
        <w:t xml:space="preserve"> period</w:t>
      </w:r>
      <w:r w:rsidR="00006EA7">
        <w:t>s do</w:t>
      </w:r>
      <w:r>
        <w:t xml:space="preserve"> not exceed </w:t>
      </w:r>
      <w:r w:rsidR="006276BB">
        <w:t>eighteen</w:t>
      </w:r>
      <w:r>
        <w:t xml:space="preserve"> months in any five year period;</w:t>
      </w:r>
    </w:p>
    <w:p w14:paraId="58353338" w14:textId="57E8CCB1" w:rsidR="00B068B8" w:rsidRDefault="00B068B8" w:rsidP="00494EA9">
      <w:pPr>
        <w:pStyle w:val="Normalnumbered"/>
        <w:numPr>
          <w:ilvl w:val="1"/>
          <w:numId w:val="9"/>
        </w:numPr>
        <w:jc w:val="left"/>
      </w:pPr>
      <w:r>
        <w:t>during which there is a website outage</w:t>
      </w:r>
      <w:r w:rsidR="00453352">
        <w:t xml:space="preserve">; </w:t>
      </w:r>
      <w:r w:rsidR="007F6C21" w:rsidRPr="006276BB">
        <w:t>or</w:t>
      </w:r>
      <w:r w:rsidR="007F6C21">
        <w:t xml:space="preserve"> </w:t>
      </w:r>
    </w:p>
    <w:p w14:paraId="1775CAB1" w14:textId="3FE98182" w:rsidR="00453352" w:rsidRDefault="00046510" w:rsidP="00494EA9">
      <w:pPr>
        <w:pStyle w:val="Normalnumbered"/>
        <w:numPr>
          <w:ilvl w:val="1"/>
          <w:numId w:val="9"/>
        </w:numPr>
        <w:jc w:val="left"/>
      </w:pPr>
      <w:r>
        <w:t xml:space="preserve">set out in the relevant State’s </w:t>
      </w:r>
      <w:r w:rsidR="00453352">
        <w:t xml:space="preserve">bilateral </w:t>
      </w:r>
      <w:r>
        <w:t>schedule</w:t>
      </w:r>
      <w:r w:rsidR="008C760F">
        <w:t xml:space="preserve"> </w:t>
      </w:r>
      <w:r w:rsidR="008C760F" w:rsidRPr="006276BB">
        <w:t>for this purpose, as agreed between the Commonwealth and the relevant State</w:t>
      </w:r>
      <w:r w:rsidR="00453352" w:rsidRPr="006276BB">
        <w:t>.</w:t>
      </w:r>
      <w:r w:rsidR="00453352">
        <w:t xml:space="preserve"> </w:t>
      </w:r>
    </w:p>
    <w:p w14:paraId="3D4E88B5" w14:textId="31012401" w:rsidR="00645CFF" w:rsidRPr="00904AB8" w:rsidRDefault="00645CFF" w:rsidP="001E2C55">
      <w:pPr>
        <w:pStyle w:val="Normalnumbered"/>
        <w:numPr>
          <w:ilvl w:val="0"/>
          <w:numId w:val="9"/>
        </w:numPr>
        <w:jc w:val="left"/>
      </w:pPr>
      <w:r>
        <w:t xml:space="preserve">For the purposes of </w:t>
      </w:r>
      <w:r w:rsidRPr="009D6AF2">
        <w:t>clause</w:t>
      </w:r>
      <w:r w:rsidR="00573132" w:rsidRPr="00901179">
        <w:t>s</w:t>
      </w:r>
      <w:r w:rsidRPr="00904AB8">
        <w:t xml:space="preserve"> </w:t>
      </w:r>
      <w:r w:rsidR="000C41C5" w:rsidRPr="00904AB8">
        <w:t>1</w:t>
      </w:r>
      <w:r w:rsidR="00904AB8" w:rsidRPr="00A137C5">
        <w:t>7</w:t>
      </w:r>
      <w:r w:rsidR="000C41C5" w:rsidRPr="009D6AF2">
        <w:t xml:space="preserve"> </w:t>
      </w:r>
      <w:r w:rsidR="000C41C5" w:rsidRPr="00A137C5">
        <w:t>and</w:t>
      </w:r>
      <w:r w:rsidR="00573132" w:rsidRPr="00A137C5">
        <w:t xml:space="preserve"> </w:t>
      </w:r>
      <w:r w:rsidR="00987821">
        <w:t>18</w:t>
      </w:r>
      <w:r w:rsidR="00987821" w:rsidRPr="00A137C5">
        <w:t xml:space="preserve"> </w:t>
      </w:r>
      <w:r w:rsidRPr="00901179">
        <w:t xml:space="preserve">bilateral schedules will </w:t>
      </w:r>
      <w:r w:rsidR="00E45E1D" w:rsidRPr="00904AB8">
        <w:t xml:space="preserve">supplement </w:t>
      </w:r>
      <w:r w:rsidRPr="00904AB8">
        <w:t xml:space="preserve">housing and homelessness strategies. </w:t>
      </w:r>
    </w:p>
    <w:p w14:paraId="752BA316" w14:textId="59615974" w:rsidR="00894FD0" w:rsidRDefault="003B2812" w:rsidP="00894FD0">
      <w:pPr>
        <w:pStyle w:val="Normalnumbered"/>
        <w:numPr>
          <w:ilvl w:val="0"/>
          <w:numId w:val="9"/>
        </w:numPr>
        <w:jc w:val="left"/>
      </w:pPr>
      <w:r>
        <w:t>For the avoidance of doubt, i</w:t>
      </w:r>
      <w:r w:rsidR="00894FD0">
        <w:t xml:space="preserve">t is immaterial whether </w:t>
      </w:r>
      <w:r w:rsidR="000C41C5">
        <w:t xml:space="preserve">State housing and homelessness strategies </w:t>
      </w:r>
      <w:r w:rsidR="00894FD0">
        <w:t xml:space="preserve">are contained in a single document or multiple documents. </w:t>
      </w:r>
    </w:p>
    <w:p w14:paraId="6EBFD175" w14:textId="5B5E76FB" w:rsidR="00573132" w:rsidRPr="00EF45D2" w:rsidRDefault="003B2812" w:rsidP="001E2C55">
      <w:pPr>
        <w:pStyle w:val="Normalnumbered"/>
        <w:numPr>
          <w:ilvl w:val="0"/>
          <w:numId w:val="9"/>
        </w:numPr>
        <w:jc w:val="left"/>
      </w:pPr>
      <w:r>
        <w:t>For the avoidance of doubt, t</w:t>
      </w:r>
      <w:r w:rsidR="00573132">
        <w:t xml:space="preserve">he Commonwealth’s estimated financial contribution to the State will not be reduced </w:t>
      </w:r>
      <w:r w:rsidR="00546AA9">
        <w:t xml:space="preserve">because </w:t>
      </w:r>
      <w:r w:rsidR="000C41C5">
        <w:t>the reforms and initiatives set out</w:t>
      </w:r>
      <w:r w:rsidR="00546AA9">
        <w:t xml:space="preserve"> in the State’s housing</w:t>
      </w:r>
      <w:r w:rsidR="000C41C5">
        <w:t xml:space="preserve"> or homelessness</w:t>
      </w:r>
      <w:r w:rsidR="00546AA9">
        <w:t xml:space="preserve"> strateg</w:t>
      </w:r>
      <w:r w:rsidR="00F933AB">
        <w:t>ies d</w:t>
      </w:r>
      <w:r w:rsidR="000C41C5">
        <w:t>o not achieve their stated or intended aim</w:t>
      </w:r>
      <w:r w:rsidR="00D8492F">
        <w:t>.</w:t>
      </w:r>
      <w:r w:rsidR="00640344">
        <w:t xml:space="preserve"> </w:t>
      </w:r>
    </w:p>
    <w:p w14:paraId="6072A0AB" w14:textId="430D8665" w:rsidR="008F44F1" w:rsidRPr="00EF45D2" w:rsidRDefault="008F44F1" w:rsidP="00F40832">
      <w:pPr>
        <w:pStyle w:val="Heading2"/>
        <w:ind w:right="-568"/>
        <w:rPr>
          <w:rFonts w:ascii="Consolas" w:hAnsi="Consolas"/>
          <w:b w:val="0"/>
          <w:iCs w:val="0"/>
          <w:caps/>
          <w:kern w:val="32"/>
          <w:sz w:val="32"/>
          <w:szCs w:val="36"/>
        </w:rPr>
      </w:pPr>
      <w:r w:rsidRPr="00EF45D2">
        <w:rPr>
          <w:rFonts w:ascii="Consolas" w:hAnsi="Consolas"/>
          <w:b w:val="0"/>
          <w:iCs w:val="0"/>
          <w:caps/>
          <w:kern w:val="32"/>
          <w:sz w:val="32"/>
          <w:szCs w:val="36"/>
        </w:rPr>
        <w:t>Part 3 — roles and responsibilities of each party</w:t>
      </w:r>
    </w:p>
    <w:p w14:paraId="259A1B88" w14:textId="2EFB1015" w:rsidR="003E6D0F" w:rsidRDefault="00894FD0" w:rsidP="00592329">
      <w:pPr>
        <w:pStyle w:val="Normalnumbered"/>
        <w:numPr>
          <w:ilvl w:val="0"/>
          <w:numId w:val="9"/>
        </w:numPr>
        <w:jc w:val="left"/>
      </w:pPr>
      <w:r>
        <w:t>E</w:t>
      </w:r>
      <w:r w:rsidR="003E6D0F">
        <w:t>ach Party has specific roles and responsibilities, as outlined below.</w:t>
      </w:r>
    </w:p>
    <w:p w14:paraId="288AA533" w14:textId="77777777" w:rsidR="008F44F1" w:rsidRPr="00EF45D2" w:rsidRDefault="008F44F1" w:rsidP="008F44F1">
      <w:pPr>
        <w:pStyle w:val="Heading2"/>
      </w:pPr>
      <w:r w:rsidRPr="00EF45D2">
        <w:t>Role of the Commonwealth</w:t>
      </w:r>
    </w:p>
    <w:p w14:paraId="69F070A3" w14:textId="1105390C" w:rsidR="008F44F1" w:rsidRPr="00EF45D2" w:rsidRDefault="002E6DE4" w:rsidP="00F9203D">
      <w:pPr>
        <w:pStyle w:val="Normalnumbered"/>
        <w:keepNext/>
        <w:numPr>
          <w:ilvl w:val="0"/>
          <w:numId w:val="9"/>
        </w:numPr>
        <w:jc w:val="left"/>
      </w:pPr>
      <w:r>
        <w:t>Under this Agreement t</w:t>
      </w:r>
      <w:r w:rsidR="008F44F1" w:rsidRPr="00EF45D2">
        <w:t xml:space="preserve">he Commonwealth </w:t>
      </w:r>
      <w:r w:rsidR="00514F8E">
        <w:t>agrees to be</w:t>
      </w:r>
      <w:r w:rsidR="00514F8E" w:rsidRPr="00EF45D2">
        <w:t xml:space="preserve"> </w:t>
      </w:r>
      <w:r w:rsidR="008F44F1" w:rsidRPr="00EF45D2">
        <w:t>responsible for:</w:t>
      </w:r>
    </w:p>
    <w:p w14:paraId="4A2676DD" w14:textId="510DBDEF" w:rsidR="00F812BA" w:rsidRDefault="00F812BA" w:rsidP="00F812BA">
      <w:pPr>
        <w:pStyle w:val="AlphaParagraph"/>
        <w:numPr>
          <w:ilvl w:val="0"/>
          <w:numId w:val="18"/>
        </w:numPr>
        <w:tabs>
          <w:tab w:val="clear" w:pos="283"/>
          <w:tab w:val="clear" w:pos="567"/>
          <w:tab w:val="clear" w:pos="1418"/>
          <w:tab w:val="clear" w:pos="1701"/>
        </w:tabs>
        <w:ind w:left="1134" w:hanging="567"/>
        <w:jc w:val="left"/>
        <w:rPr>
          <w:color w:val="auto"/>
        </w:rPr>
      </w:pPr>
      <w:r w:rsidRPr="00EF45D2">
        <w:rPr>
          <w:color w:val="auto"/>
        </w:rPr>
        <w:t xml:space="preserve">providing a financial contribution to the States </w:t>
      </w:r>
      <w:r w:rsidR="0081724B">
        <w:rPr>
          <w:color w:val="auto"/>
        </w:rPr>
        <w:t>in accordance with</w:t>
      </w:r>
      <w:r w:rsidRPr="00EF45D2">
        <w:rPr>
          <w:color w:val="auto"/>
        </w:rPr>
        <w:t xml:space="preserve"> this Agreement</w:t>
      </w:r>
      <w:r>
        <w:rPr>
          <w:color w:val="auto"/>
        </w:rPr>
        <w:t>;</w:t>
      </w:r>
    </w:p>
    <w:p w14:paraId="1B8F5140" w14:textId="5ED51ED7" w:rsidR="002E6DE4" w:rsidRPr="00497577" w:rsidRDefault="00F812BA" w:rsidP="00A137C5">
      <w:pPr>
        <w:pStyle w:val="AlphaParagraph"/>
        <w:numPr>
          <w:ilvl w:val="0"/>
          <w:numId w:val="18"/>
        </w:numPr>
        <w:tabs>
          <w:tab w:val="clear" w:pos="283"/>
          <w:tab w:val="clear" w:pos="567"/>
          <w:tab w:val="clear" w:pos="1418"/>
          <w:tab w:val="clear" w:pos="1701"/>
        </w:tabs>
        <w:ind w:left="1134" w:hanging="567"/>
        <w:jc w:val="left"/>
        <w:rPr>
          <w:color w:val="auto"/>
        </w:rPr>
      </w:pPr>
      <w:r>
        <w:rPr>
          <w:color w:val="auto"/>
        </w:rPr>
        <w:t xml:space="preserve">monitoring and assessing performance under this Agreement to ensure that the outputs are delivered </w:t>
      </w:r>
      <w:r w:rsidR="00EC3BED">
        <w:rPr>
          <w:color w:val="auto"/>
        </w:rPr>
        <w:t>within agreed timeframes</w:t>
      </w:r>
      <w:r>
        <w:rPr>
          <w:color w:val="auto"/>
        </w:rPr>
        <w:t>;</w:t>
      </w:r>
    </w:p>
    <w:p w14:paraId="19232849" w14:textId="5A459D5C" w:rsidR="007145BC" w:rsidRPr="00A137C5" w:rsidRDefault="007145BC" w:rsidP="00A137C5">
      <w:pPr>
        <w:pStyle w:val="AlphaParagraph"/>
        <w:numPr>
          <w:ilvl w:val="0"/>
          <w:numId w:val="18"/>
        </w:numPr>
        <w:tabs>
          <w:tab w:val="clear" w:pos="283"/>
          <w:tab w:val="clear" w:pos="567"/>
          <w:tab w:val="clear" w:pos="1418"/>
          <w:tab w:val="clear" w:pos="1701"/>
        </w:tabs>
        <w:ind w:left="1134" w:hanging="567"/>
        <w:jc w:val="left"/>
        <w:rPr>
          <w:color w:val="auto"/>
        </w:rPr>
      </w:pPr>
      <w:r w:rsidRPr="00AE2F8D">
        <w:rPr>
          <w:color w:val="auto"/>
        </w:rPr>
        <w:t>leading</w:t>
      </w:r>
      <w:r w:rsidRPr="00894FD0">
        <w:t xml:space="preserve"> the development of data improvements and a nationally consistent data set</w:t>
      </w:r>
      <w:r w:rsidR="006D2D0A">
        <w:t xml:space="preserve">, </w:t>
      </w:r>
      <w:r w:rsidR="006D2D0A" w:rsidRPr="006B0F32">
        <w:rPr>
          <w:color w:val="auto"/>
        </w:rPr>
        <w:t xml:space="preserve">including as set out in </w:t>
      </w:r>
      <w:r w:rsidR="007B073F" w:rsidRPr="006B0F32">
        <w:rPr>
          <w:color w:val="auto"/>
        </w:rPr>
        <w:t>Schedule</w:t>
      </w:r>
      <w:r w:rsidR="006D2D0A" w:rsidRPr="006B0F32">
        <w:rPr>
          <w:color w:val="auto"/>
        </w:rPr>
        <w:t xml:space="preserve"> C</w:t>
      </w:r>
      <w:r w:rsidRPr="006B0F32">
        <w:rPr>
          <w:color w:val="auto"/>
        </w:rPr>
        <w:t>;</w:t>
      </w:r>
      <w:r>
        <w:t xml:space="preserve"> </w:t>
      </w:r>
    </w:p>
    <w:p w14:paraId="642CB9D2" w14:textId="7D23928E" w:rsidR="002E6DE4" w:rsidRPr="00FC7817" w:rsidRDefault="002E6DE4" w:rsidP="00A137C5">
      <w:pPr>
        <w:pStyle w:val="AlphaParagraph"/>
        <w:numPr>
          <w:ilvl w:val="0"/>
          <w:numId w:val="18"/>
        </w:numPr>
        <w:tabs>
          <w:tab w:val="clear" w:pos="283"/>
          <w:tab w:val="clear" w:pos="567"/>
          <w:tab w:val="clear" w:pos="1418"/>
          <w:tab w:val="clear" w:pos="1701"/>
        </w:tabs>
        <w:ind w:left="1134" w:hanging="567"/>
        <w:jc w:val="left"/>
        <w:rPr>
          <w:color w:val="auto"/>
        </w:rPr>
      </w:pPr>
      <w:r w:rsidRPr="00497577">
        <w:rPr>
          <w:color w:val="auto"/>
        </w:rPr>
        <w:lastRenderedPageBreak/>
        <w:t xml:space="preserve">where relevant, in accordance with the </w:t>
      </w:r>
      <w:r w:rsidRPr="00A137C5">
        <w:rPr>
          <w:i/>
          <w:color w:val="auto"/>
        </w:rPr>
        <w:t>Building and Construction Industry (Improving Productivity) Act 2016</w:t>
      </w:r>
      <w:r w:rsidRPr="005311FD">
        <w:rPr>
          <w:color w:val="auto"/>
        </w:rPr>
        <w:t>, ensuring that financial contributions to a building projec</w:t>
      </w:r>
      <w:r w:rsidRPr="008830D0">
        <w:rPr>
          <w:color w:val="auto"/>
        </w:rPr>
        <w:t xml:space="preserve">t or projects as defined under the Fair Work (Building Industry – Accreditation Scheme) Regulations 2016 are only made where a builder or builders accredited under the Australian Government Building and Construction WHS Accreditation Scheme is contracted; </w:t>
      </w:r>
      <w:r w:rsidRPr="00FC7817">
        <w:rPr>
          <w:color w:val="auto"/>
        </w:rPr>
        <w:t>and</w:t>
      </w:r>
    </w:p>
    <w:p w14:paraId="3043A9E7" w14:textId="6D8B7B87" w:rsidR="008E36D1" w:rsidRPr="009D6AF2" w:rsidRDefault="002E6DE4" w:rsidP="009D6AF2">
      <w:pPr>
        <w:pStyle w:val="AlphaParagraph"/>
        <w:numPr>
          <w:ilvl w:val="0"/>
          <w:numId w:val="18"/>
        </w:numPr>
        <w:tabs>
          <w:tab w:val="clear" w:pos="283"/>
          <w:tab w:val="clear" w:pos="567"/>
          <w:tab w:val="clear" w:pos="1418"/>
          <w:tab w:val="clear" w:pos="1701"/>
        </w:tabs>
        <w:ind w:left="1134" w:hanging="567"/>
        <w:jc w:val="left"/>
        <w:rPr>
          <w:color w:val="auto"/>
        </w:rPr>
      </w:pPr>
      <w:r w:rsidRPr="009D6AF2">
        <w:rPr>
          <w:color w:val="auto"/>
        </w:rPr>
        <w:t xml:space="preserve">where relevant, </w:t>
      </w:r>
      <w:r w:rsidRPr="00901179">
        <w:rPr>
          <w:color w:val="auto"/>
        </w:rPr>
        <w:t xml:space="preserve">ensuring that compliance with the </w:t>
      </w:r>
      <w:r w:rsidRPr="007145BC">
        <w:rPr>
          <w:color w:val="auto"/>
        </w:rPr>
        <w:t>Code for the Tendering and Performance of Building Work 2016 (Building Code 2016) is a condition of Australian Government funding</w:t>
      </w:r>
      <w:r w:rsidR="00C32490">
        <w:t>.</w:t>
      </w:r>
    </w:p>
    <w:p w14:paraId="37B2CE68" w14:textId="1792801F" w:rsidR="00C32490" w:rsidRPr="00894FD0" w:rsidRDefault="00C32490" w:rsidP="00A137C5">
      <w:pPr>
        <w:pStyle w:val="Normalnumbered"/>
        <w:keepNext/>
        <w:numPr>
          <w:ilvl w:val="0"/>
          <w:numId w:val="9"/>
        </w:numPr>
        <w:jc w:val="left"/>
        <w:rPr>
          <w:color w:val="auto"/>
        </w:rPr>
      </w:pPr>
      <w:r w:rsidRPr="00A137C5">
        <w:t>Additionally</w:t>
      </w:r>
      <w:r>
        <w:rPr>
          <w:color w:val="auto"/>
        </w:rPr>
        <w:t xml:space="preserve">, the Commonwealth is responsible for: </w:t>
      </w:r>
    </w:p>
    <w:p w14:paraId="59041133" w14:textId="45E4D379" w:rsidR="00C82D74" w:rsidRPr="00487BB7" w:rsidRDefault="00C82D74" w:rsidP="00A137C5">
      <w:pPr>
        <w:pStyle w:val="AlphaParagraph"/>
        <w:numPr>
          <w:ilvl w:val="0"/>
          <w:numId w:val="89"/>
        </w:numPr>
        <w:tabs>
          <w:tab w:val="clear" w:pos="283"/>
          <w:tab w:val="clear" w:pos="567"/>
          <w:tab w:val="clear" w:pos="1418"/>
          <w:tab w:val="clear" w:pos="1701"/>
        </w:tabs>
        <w:ind w:left="1134" w:hanging="567"/>
        <w:jc w:val="left"/>
        <w:rPr>
          <w:rFonts w:cs="Corbel"/>
          <w:color w:val="auto"/>
          <w:szCs w:val="23"/>
        </w:rPr>
      </w:pPr>
      <w:r>
        <w:rPr>
          <w:rFonts w:cs="Corbel"/>
          <w:color w:val="auto"/>
          <w:szCs w:val="23"/>
        </w:rPr>
        <w:t xml:space="preserve">income </w:t>
      </w:r>
      <w:r w:rsidRPr="009E22CB">
        <w:rPr>
          <w:rFonts w:cs="Corbel"/>
          <w:color w:val="auto"/>
          <w:szCs w:val="23"/>
        </w:rPr>
        <w:t>support</w:t>
      </w:r>
      <w:r>
        <w:rPr>
          <w:rFonts w:cs="Corbel"/>
          <w:color w:val="auto"/>
          <w:szCs w:val="23"/>
        </w:rPr>
        <w:t xml:space="preserve"> and </w:t>
      </w:r>
      <w:r w:rsidR="00F9203D">
        <w:rPr>
          <w:rFonts w:cs="Corbel"/>
          <w:color w:val="auto"/>
          <w:szCs w:val="23"/>
        </w:rPr>
        <w:t>Commonwealth Rent Assistance</w:t>
      </w:r>
      <w:r>
        <w:rPr>
          <w:rFonts w:cs="Corbel"/>
          <w:color w:val="auto"/>
          <w:szCs w:val="23"/>
        </w:rPr>
        <w:t>;</w:t>
      </w:r>
    </w:p>
    <w:p w14:paraId="7E35C56E" w14:textId="14DF16F0" w:rsidR="00487BB7" w:rsidRPr="006B0F32" w:rsidRDefault="00487BB7" w:rsidP="009E22CB">
      <w:pPr>
        <w:pStyle w:val="AlphaParagraph"/>
        <w:numPr>
          <w:ilvl w:val="0"/>
          <w:numId w:val="89"/>
        </w:numPr>
        <w:tabs>
          <w:tab w:val="clear" w:pos="283"/>
          <w:tab w:val="clear" w:pos="567"/>
          <w:tab w:val="clear" w:pos="1418"/>
          <w:tab w:val="clear" w:pos="1701"/>
        </w:tabs>
        <w:ind w:left="1134" w:hanging="567"/>
        <w:jc w:val="left"/>
        <w:rPr>
          <w:rFonts w:cs="Corbel"/>
          <w:color w:val="auto"/>
          <w:szCs w:val="23"/>
        </w:rPr>
      </w:pPr>
      <w:r w:rsidRPr="006B0F32">
        <w:rPr>
          <w:rFonts w:cs="Corbel"/>
          <w:color w:val="auto"/>
          <w:szCs w:val="23"/>
        </w:rPr>
        <w:t>provision of</w:t>
      </w:r>
      <w:r w:rsidR="00F61C39" w:rsidRPr="006B0F32">
        <w:rPr>
          <w:rFonts w:cs="Corbel"/>
          <w:color w:val="auto"/>
          <w:szCs w:val="23"/>
        </w:rPr>
        <w:t xml:space="preserve"> Commonwealth own-purpose</w:t>
      </w:r>
      <w:r w:rsidRPr="006B0F32">
        <w:rPr>
          <w:rFonts w:cs="Corbel"/>
          <w:color w:val="auto"/>
          <w:szCs w:val="23"/>
        </w:rPr>
        <w:t xml:space="preserve"> </w:t>
      </w:r>
      <w:r w:rsidR="00F61C39" w:rsidRPr="006B0F32">
        <w:rPr>
          <w:rFonts w:cs="Corbel"/>
          <w:color w:val="auto"/>
          <w:szCs w:val="23"/>
        </w:rPr>
        <w:t>housing and homelessness related programs and services</w:t>
      </w:r>
      <w:r w:rsidRPr="006B0F32">
        <w:rPr>
          <w:rFonts w:cs="Corbel"/>
          <w:color w:val="auto"/>
          <w:szCs w:val="23"/>
        </w:rPr>
        <w:t>;</w:t>
      </w:r>
    </w:p>
    <w:p w14:paraId="0C14B629" w14:textId="77777777" w:rsidR="00C82D74" w:rsidRPr="00C32490" w:rsidRDefault="00C82D74" w:rsidP="00A137C5">
      <w:pPr>
        <w:pStyle w:val="AlphaParagraph"/>
        <w:numPr>
          <w:ilvl w:val="0"/>
          <w:numId w:val="89"/>
        </w:numPr>
        <w:tabs>
          <w:tab w:val="clear" w:pos="283"/>
          <w:tab w:val="clear" w:pos="567"/>
          <w:tab w:val="clear" w:pos="1418"/>
          <w:tab w:val="clear" w:pos="1701"/>
        </w:tabs>
        <w:ind w:left="1134" w:hanging="567"/>
        <w:jc w:val="left"/>
        <w:rPr>
          <w:rFonts w:cs="Corbel"/>
          <w:color w:val="auto"/>
          <w:szCs w:val="23"/>
        </w:rPr>
      </w:pPr>
      <w:r>
        <w:rPr>
          <w:rFonts w:cs="Corbel"/>
          <w:color w:val="auto"/>
          <w:szCs w:val="23"/>
        </w:rPr>
        <w:t>immigration and settlement policy and programs;</w:t>
      </w:r>
    </w:p>
    <w:p w14:paraId="119CF433" w14:textId="77777777" w:rsidR="00C82D74" w:rsidRDefault="00C82D74" w:rsidP="00A137C5">
      <w:pPr>
        <w:pStyle w:val="AlphaParagraph"/>
        <w:numPr>
          <w:ilvl w:val="0"/>
          <w:numId w:val="89"/>
        </w:numPr>
        <w:tabs>
          <w:tab w:val="clear" w:pos="283"/>
          <w:tab w:val="clear" w:pos="567"/>
          <w:tab w:val="clear" w:pos="1418"/>
          <w:tab w:val="clear" w:pos="1701"/>
        </w:tabs>
        <w:ind w:left="1134" w:hanging="567"/>
        <w:jc w:val="left"/>
        <w:rPr>
          <w:rFonts w:cs="Corbel"/>
          <w:color w:val="auto"/>
          <w:szCs w:val="23"/>
        </w:rPr>
      </w:pPr>
      <w:r>
        <w:rPr>
          <w:rFonts w:cs="Corbel"/>
          <w:color w:val="auto"/>
          <w:szCs w:val="23"/>
        </w:rPr>
        <w:t>financial sector regulations and Commonwealth taxation settings that influence housing affordability;</w:t>
      </w:r>
    </w:p>
    <w:p w14:paraId="4DCBD674" w14:textId="2B4202C6" w:rsidR="00432F99" w:rsidRPr="006B0F32" w:rsidRDefault="00432F99" w:rsidP="009E22CB">
      <w:pPr>
        <w:pStyle w:val="AlphaParagraph"/>
        <w:numPr>
          <w:ilvl w:val="0"/>
          <w:numId w:val="89"/>
        </w:numPr>
        <w:tabs>
          <w:tab w:val="clear" w:pos="283"/>
          <w:tab w:val="clear" w:pos="567"/>
          <w:tab w:val="clear" w:pos="1418"/>
          <w:tab w:val="clear" w:pos="1701"/>
        </w:tabs>
        <w:ind w:left="1134" w:hanging="567"/>
        <w:jc w:val="left"/>
        <w:rPr>
          <w:rFonts w:cs="Corbel"/>
          <w:color w:val="auto"/>
          <w:szCs w:val="23"/>
        </w:rPr>
      </w:pPr>
      <w:r w:rsidRPr="006B0F32">
        <w:rPr>
          <w:rFonts w:cs="Corbel"/>
          <w:color w:val="auto"/>
          <w:szCs w:val="23"/>
        </w:rPr>
        <w:t>competition policy;</w:t>
      </w:r>
    </w:p>
    <w:p w14:paraId="3B70CA07" w14:textId="1E713ECC" w:rsidR="00CA1AF7" w:rsidRPr="002338DC" w:rsidRDefault="00CA1AF7" w:rsidP="00A137C5">
      <w:pPr>
        <w:pStyle w:val="AlphaParagraph"/>
        <w:numPr>
          <w:ilvl w:val="0"/>
          <w:numId w:val="89"/>
        </w:numPr>
        <w:tabs>
          <w:tab w:val="clear" w:pos="283"/>
          <w:tab w:val="clear" w:pos="567"/>
          <w:tab w:val="clear" w:pos="1418"/>
          <w:tab w:val="clear" w:pos="1701"/>
        </w:tabs>
        <w:ind w:left="1134" w:hanging="567"/>
        <w:jc w:val="left"/>
        <w:rPr>
          <w:rFonts w:cs="Corbel"/>
          <w:color w:val="auto"/>
          <w:szCs w:val="23"/>
        </w:rPr>
      </w:pPr>
      <w:r w:rsidRPr="002338DC">
        <w:rPr>
          <w:rFonts w:cs="Corbel"/>
          <w:color w:val="auto"/>
          <w:szCs w:val="23"/>
        </w:rPr>
        <w:t>the National Housing Finance and Investment Corporation to operate</w:t>
      </w:r>
      <w:r w:rsidR="002338DC">
        <w:rPr>
          <w:rFonts w:cs="Corbel"/>
          <w:color w:val="auto"/>
          <w:szCs w:val="23"/>
        </w:rPr>
        <w:t>:</w:t>
      </w:r>
      <w:r w:rsidRPr="002338DC">
        <w:rPr>
          <w:rFonts w:cs="Corbel"/>
          <w:color w:val="auto"/>
          <w:szCs w:val="23"/>
        </w:rPr>
        <w:t xml:space="preserve"> an affordable housing bond </w:t>
      </w:r>
      <w:r w:rsidR="00C82D74" w:rsidRPr="002338DC">
        <w:rPr>
          <w:rFonts w:cs="Corbel"/>
          <w:color w:val="auto"/>
          <w:szCs w:val="23"/>
        </w:rPr>
        <w:t>aggregator to provide lower cost and longer tenor finance to community housing providers</w:t>
      </w:r>
      <w:r w:rsidR="002338DC">
        <w:rPr>
          <w:rFonts w:cs="Corbel"/>
          <w:color w:val="auto"/>
          <w:szCs w:val="23"/>
        </w:rPr>
        <w:t>;</w:t>
      </w:r>
      <w:r w:rsidR="002338DC" w:rsidRPr="002338DC">
        <w:rPr>
          <w:rFonts w:cs="Corbel"/>
          <w:color w:val="auto"/>
          <w:szCs w:val="23"/>
        </w:rPr>
        <w:t xml:space="preserve"> and </w:t>
      </w:r>
      <w:r w:rsidRPr="002338DC">
        <w:rPr>
          <w:rFonts w:cs="Corbel"/>
          <w:color w:val="auto"/>
          <w:szCs w:val="23"/>
        </w:rPr>
        <w:t>the National Housing Infrastructure Facility to provide grants, equity investments and concessional loans to build the critical infrastructure needed to bring forward the supply of housing;</w:t>
      </w:r>
    </w:p>
    <w:p w14:paraId="1953FDCE" w14:textId="4104E061" w:rsidR="004F5DCD" w:rsidRPr="00566ECC" w:rsidRDefault="00633EE5" w:rsidP="00A137C5">
      <w:pPr>
        <w:pStyle w:val="AlphaParagraph"/>
        <w:numPr>
          <w:ilvl w:val="0"/>
          <w:numId w:val="89"/>
        </w:numPr>
        <w:tabs>
          <w:tab w:val="clear" w:pos="283"/>
          <w:tab w:val="clear" w:pos="567"/>
          <w:tab w:val="clear" w:pos="1418"/>
          <w:tab w:val="clear" w:pos="1701"/>
        </w:tabs>
        <w:ind w:left="1134" w:hanging="567"/>
        <w:jc w:val="left"/>
        <w:rPr>
          <w:color w:val="auto"/>
        </w:rPr>
      </w:pPr>
      <w:r w:rsidRPr="00EF45D2">
        <w:rPr>
          <w:rFonts w:cs="Corbel"/>
          <w:color w:val="auto"/>
          <w:szCs w:val="23"/>
        </w:rPr>
        <w:t xml:space="preserve">the </w:t>
      </w:r>
      <w:r w:rsidR="001D3AC1" w:rsidRPr="00EF45D2">
        <w:rPr>
          <w:rFonts w:cs="Corbel"/>
          <w:color w:val="auto"/>
          <w:szCs w:val="23"/>
        </w:rPr>
        <w:t>collect</w:t>
      </w:r>
      <w:r w:rsidR="007C4F95" w:rsidRPr="00EF45D2">
        <w:rPr>
          <w:rFonts w:cs="Corbel"/>
          <w:color w:val="auto"/>
          <w:szCs w:val="23"/>
        </w:rPr>
        <w:t xml:space="preserve">ion </w:t>
      </w:r>
      <w:r w:rsidR="00A1356F">
        <w:rPr>
          <w:rFonts w:cs="Corbel"/>
          <w:color w:val="auto"/>
          <w:szCs w:val="23"/>
        </w:rPr>
        <w:t xml:space="preserve">and publication </w:t>
      </w:r>
      <w:r w:rsidR="007C4F95" w:rsidRPr="00EF45D2">
        <w:rPr>
          <w:rFonts w:cs="Corbel"/>
          <w:color w:val="auto"/>
          <w:szCs w:val="23"/>
        </w:rPr>
        <w:t>of</w:t>
      </w:r>
      <w:r w:rsidR="001D3AC1" w:rsidRPr="00EF45D2">
        <w:rPr>
          <w:rFonts w:cs="Corbel"/>
          <w:color w:val="auto"/>
          <w:szCs w:val="23"/>
        </w:rPr>
        <w:t xml:space="preserve"> housing</w:t>
      </w:r>
      <w:r w:rsidR="006D2D0A">
        <w:rPr>
          <w:rFonts w:cs="Corbel"/>
          <w:color w:val="auto"/>
          <w:szCs w:val="23"/>
        </w:rPr>
        <w:t>,</w:t>
      </w:r>
      <w:r w:rsidR="001D3AC1" w:rsidRPr="00EF45D2">
        <w:rPr>
          <w:rFonts w:cs="Corbel"/>
          <w:color w:val="auto"/>
          <w:szCs w:val="23"/>
        </w:rPr>
        <w:t xml:space="preserve"> homelessness </w:t>
      </w:r>
      <w:r w:rsidR="006D2D0A" w:rsidRPr="006B0F32">
        <w:rPr>
          <w:rFonts w:cs="Corbel"/>
          <w:color w:val="auto"/>
          <w:szCs w:val="23"/>
        </w:rPr>
        <w:t>and housing affordability</w:t>
      </w:r>
      <w:r w:rsidR="006D2D0A">
        <w:rPr>
          <w:rFonts w:cs="Corbel"/>
          <w:color w:val="auto"/>
          <w:szCs w:val="23"/>
        </w:rPr>
        <w:t xml:space="preserve"> </w:t>
      </w:r>
      <w:r w:rsidR="001D3AC1" w:rsidRPr="00EF45D2">
        <w:rPr>
          <w:rFonts w:cs="Corbel"/>
          <w:color w:val="auto"/>
          <w:szCs w:val="23"/>
        </w:rPr>
        <w:t xml:space="preserve">related data, </w:t>
      </w:r>
      <w:r w:rsidR="000814E7" w:rsidRPr="00EF45D2">
        <w:rPr>
          <w:rFonts w:cs="Corbel"/>
          <w:color w:val="auto"/>
          <w:szCs w:val="23"/>
        </w:rPr>
        <w:t xml:space="preserve">in conjunction with (but not limited to) the </w:t>
      </w:r>
      <w:r w:rsidR="001D3AC1" w:rsidRPr="00EF45D2">
        <w:rPr>
          <w:rFonts w:cs="Corbel"/>
          <w:color w:val="auto"/>
          <w:szCs w:val="23"/>
        </w:rPr>
        <w:t>Australian Bureau of Statistics</w:t>
      </w:r>
      <w:r w:rsidR="000B76B6" w:rsidRPr="00EF45D2">
        <w:rPr>
          <w:rFonts w:cs="Corbel"/>
          <w:color w:val="auto"/>
          <w:szCs w:val="23"/>
        </w:rPr>
        <w:t>, the Australian Institute of Health and Welfare</w:t>
      </w:r>
      <w:r w:rsidR="005B3722">
        <w:rPr>
          <w:rFonts w:cs="Corbel"/>
          <w:color w:val="auto"/>
          <w:szCs w:val="23"/>
        </w:rPr>
        <w:t>, the Productivity Commission</w:t>
      </w:r>
      <w:r w:rsidR="00C94D1A" w:rsidRPr="00EF45D2">
        <w:rPr>
          <w:rFonts w:cs="Corbel"/>
          <w:color w:val="auto"/>
          <w:szCs w:val="23"/>
        </w:rPr>
        <w:t xml:space="preserve"> </w:t>
      </w:r>
      <w:r w:rsidR="001D3AC1" w:rsidRPr="00EF45D2">
        <w:rPr>
          <w:rFonts w:cs="Corbel"/>
          <w:color w:val="auto"/>
          <w:szCs w:val="23"/>
        </w:rPr>
        <w:t xml:space="preserve">and </w:t>
      </w:r>
      <w:r w:rsidR="000814E7" w:rsidRPr="00EF45D2">
        <w:rPr>
          <w:rFonts w:cs="Corbel"/>
          <w:color w:val="auto"/>
          <w:szCs w:val="23"/>
        </w:rPr>
        <w:t xml:space="preserve">other </w:t>
      </w:r>
      <w:r w:rsidR="00977BE7" w:rsidRPr="00EF45D2">
        <w:rPr>
          <w:rFonts w:cs="Corbel"/>
          <w:color w:val="auto"/>
          <w:szCs w:val="23"/>
        </w:rPr>
        <w:t>Commonwealth</w:t>
      </w:r>
      <w:r w:rsidR="000814E7" w:rsidRPr="00EF45D2">
        <w:rPr>
          <w:rFonts w:cs="Corbel"/>
          <w:color w:val="auto"/>
          <w:szCs w:val="23"/>
        </w:rPr>
        <w:t xml:space="preserve"> and </w:t>
      </w:r>
      <w:r w:rsidR="00977BE7" w:rsidRPr="00EF45D2">
        <w:rPr>
          <w:rFonts w:cs="Corbel"/>
          <w:color w:val="auto"/>
          <w:szCs w:val="23"/>
        </w:rPr>
        <w:t>S</w:t>
      </w:r>
      <w:r w:rsidR="000814E7" w:rsidRPr="00EF45D2">
        <w:rPr>
          <w:rFonts w:cs="Corbel"/>
          <w:color w:val="auto"/>
          <w:szCs w:val="23"/>
        </w:rPr>
        <w:t xml:space="preserve">tate </w:t>
      </w:r>
      <w:r w:rsidRPr="00EF45D2">
        <w:rPr>
          <w:rFonts w:cs="Corbel"/>
          <w:color w:val="auto"/>
          <w:szCs w:val="23"/>
        </w:rPr>
        <w:t xml:space="preserve">bodies as </w:t>
      </w:r>
      <w:r w:rsidR="00977BE7" w:rsidRPr="00EF45D2">
        <w:rPr>
          <w:rFonts w:cs="Corbel"/>
          <w:color w:val="auto"/>
          <w:szCs w:val="23"/>
        </w:rPr>
        <w:t>necessary</w:t>
      </w:r>
      <w:r w:rsidR="005D2DDE" w:rsidRPr="00566ECC">
        <w:rPr>
          <w:color w:val="auto"/>
        </w:rPr>
        <w:t>.</w:t>
      </w:r>
    </w:p>
    <w:p w14:paraId="463C8820" w14:textId="66EA3328" w:rsidR="008F44F1" w:rsidRPr="00EF45D2" w:rsidRDefault="008F44F1" w:rsidP="00C3635F">
      <w:pPr>
        <w:pStyle w:val="Heading2"/>
      </w:pPr>
      <w:r w:rsidRPr="00EF45D2">
        <w:t>Role of the States</w:t>
      </w:r>
    </w:p>
    <w:p w14:paraId="1B3F079F" w14:textId="7F08BD74" w:rsidR="008F44F1" w:rsidRPr="00EF45D2" w:rsidRDefault="002E6DE4" w:rsidP="00A41994">
      <w:pPr>
        <w:pStyle w:val="Normalnumbered"/>
        <w:keepNext/>
        <w:numPr>
          <w:ilvl w:val="0"/>
          <w:numId w:val="9"/>
        </w:numPr>
        <w:jc w:val="left"/>
      </w:pPr>
      <w:r>
        <w:t>Under this Agreement t</w:t>
      </w:r>
      <w:r w:rsidR="008F44F1" w:rsidRPr="00EF45D2">
        <w:t>he States</w:t>
      </w:r>
      <w:r w:rsidR="00EF4258" w:rsidRPr="00EF45D2">
        <w:t xml:space="preserve"> </w:t>
      </w:r>
      <w:r w:rsidR="00E34547">
        <w:t>agree to</w:t>
      </w:r>
      <w:r w:rsidR="00E34547" w:rsidRPr="00EF45D2">
        <w:t xml:space="preserve"> </w:t>
      </w:r>
      <w:r w:rsidR="008F44F1" w:rsidRPr="00EF45D2">
        <w:t>be responsible for</w:t>
      </w:r>
      <w:r w:rsidR="00545DF7" w:rsidRPr="00EF45D2">
        <w:t>:</w:t>
      </w:r>
    </w:p>
    <w:p w14:paraId="39E8600F" w14:textId="73934EC0" w:rsidR="00E34547" w:rsidRDefault="00E34547" w:rsidP="00E34547">
      <w:pPr>
        <w:pStyle w:val="AlphaParagraph"/>
        <w:numPr>
          <w:ilvl w:val="0"/>
          <w:numId w:val="23"/>
        </w:numPr>
        <w:tabs>
          <w:tab w:val="clear" w:pos="283"/>
          <w:tab w:val="clear" w:pos="567"/>
          <w:tab w:val="clear" w:pos="1418"/>
          <w:tab w:val="left" w:pos="1134"/>
        </w:tabs>
        <w:ind w:hanging="567"/>
      </w:pPr>
      <w:r>
        <w:t>developing bilateral schedules in consultation with the Commonwealth;</w:t>
      </w:r>
    </w:p>
    <w:p w14:paraId="22B9F64B" w14:textId="7AB5FB81" w:rsidR="00E34547" w:rsidRPr="00901179" w:rsidRDefault="00E34547" w:rsidP="00E34547">
      <w:pPr>
        <w:pStyle w:val="AlphaParagraph"/>
        <w:numPr>
          <w:ilvl w:val="0"/>
          <w:numId w:val="23"/>
        </w:numPr>
        <w:tabs>
          <w:tab w:val="clear" w:pos="283"/>
          <w:tab w:val="clear" w:pos="567"/>
          <w:tab w:val="clear" w:pos="1418"/>
          <w:tab w:val="left" w:pos="1134"/>
        </w:tabs>
        <w:ind w:hanging="567"/>
      </w:pPr>
      <w:r w:rsidRPr="006B4DF0">
        <w:t xml:space="preserve">delivering on outputs </w:t>
      </w:r>
      <w:r w:rsidR="00E008DB">
        <w:t xml:space="preserve">as set </w:t>
      </w:r>
      <w:r w:rsidR="00E008DB" w:rsidRPr="009D6AF2">
        <w:t xml:space="preserve">out in </w:t>
      </w:r>
      <w:r w:rsidR="00E008DB" w:rsidRPr="00A137C5">
        <w:t xml:space="preserve">clause </w:t>
      </w:r>
      <w:r w:rsidR="00A045A2" w:rsidRPr="00A137C5">
        <w:t>1</w:t>
      </w:r>
      <w:r w:rsidR="00E71E8C" w:rsidRPr="00A137C5">
        <w:t>7</w:t>
      </w:r>
      <w:r w:rsidRPr="009D6AF2">
        <w:t>;</w:t>
      </w:r>
    </w:p>
    <w:p w14:paraId="4629ED10" w14:textId="5637FA8F" w:rsidR="00514F8E" w:rsidRPr="00A137C5" w:rsidRDefault="00FA2B3B" w:rsidP="00A137C5">
      <w:pPr>
        <w:pStyle w:val="AlphaParagraph"/>
        <w:numPr>
          <w:ilvl w:val="0"/>
          <w:numId w:val="23"/>
        </w:numPr>
        <w:tabs>
          <w:tab w:val="clear" w:pos="283"/>
          <w:tab w:val="clear" w:pos="567"/>
          <w:tab w:val="clear" w:pos="1418"/>
          <w:tab w:val="left" w:pos="1134"/>
        </w:tabs>
        <w:ind w:hanging="567"/>
      </w:pPr>
      <w:bookmarkStart w:id="1" w:name="OLE_LINK1"/>
      <w:bookmarkStart w:id="2" w:name="OLE_LINK2"/>
      <w:r>
        <w:t>provid</w:t>
      </w:r>
      <w:r w:rsidR="00C32490">
        <w:t>ing</w:t>
      </w:r>
      <w:r>
        <w:t xml:space="preserve"> evidence of</w:t>
      </w:r>
      <w:r w:rsidR="00E34547" w:rsidRPr="006B4DF0">
        <w:t xml:space="preserve"> the delivery of </w:t>
      </w:r>
      <w:r w:rsidR="00E34547">
        <w:t>outputs</w:t>
      </w:r>
      <w:r w:rsidR="00E34547" w:rsidRPr="006B4DF0">
        <w:t xml:space="preserve"> as set out in </w:t>
      </w:r>
      <w:r w:rsidR="00E34547" w:rsidRPr="00A137C5">
        <w:t>Part 4</w:t>
      </w:r>
      <w:r w:rsidR="00E34547" w:rsidRPr="00A045A2">
        <w:t xml:space="preserve"> –</w:t>
      </w:r>
      <w:r w:rsidR="00E34547" w:rsidRPr="006B4DF0">
        <w:t xml:space="preserve"> Performance </w:t>
      </w:r>
      <w:r w:rsidR="00E34547">
        <w:t>Monitoring</w:t>
      </w:r>
      <w:r w:rsidR="00E34547" w:rsidRPr="006B4DF0">
        <w:t xml:space="preserve"> and Reporting</w:t>
      </w:r>
      <w:r w:rsidR="00C32490">
        <w:t xml:space="preserve">; </w:t>
      </w:r>
    </w:p>
    <w:p w14:paraId="6DB7048E" w14:textId="15D06D1C" w:rsidR="00E71E8C" w:rsidRDefault="00E71E8C" w:rsidP="00A137C5">
      <w:pPr>
        <w:pStyle w:val="AlphaParagraph"/>
        <w:numPr>
          <w:ilvl w:val="0"/>
          <w:numId w:val="23"/>
        </w:numPr>
        <w:tabs>
          <w:tab w:val="clear" w:pos="283"/>
          <w:tab w:val="clear" w:pos="567"/>
          <w:tab w:val="clear" w:pos="1418"/>
          <w:tab w:val="left" w:pos="1134"/>
        </w:tabs>
        <w:ind w:hanging="567"/>
      </w:pPr>
      <w:r w:rsidRPr="00D64BFC">
        <w:t xml:space="preserve">providing a matching contribution in respect of the Commonwealth’s homelessness </w:t>
      </w:r>
      <w:r w:rsidR="004647FC" w:rsidRPr="006B0F32">
        <w:t>(including</w:t>
      </w:r>
      <w:r w:rsidR="003110A3" w:rsidRPr="006B0F32">
        <w:t xml:space="preserve"> homelessness</w:t>
      </w:r>
      <w:r w:rsidR="004647FC" w:rsidRPr="006B0F32">
        <w:t xml:space="preserve"> SACS)</w:t>
      </w:r>
      <w:r w:rsidR="004647FC">
        <w:t xml:space="preserve"> </w:t>
      </w:r>
      <w:r w:rsidRPr="00D64BFC">
        <w:t>funding as set out</w:t>
      </w:r>
      <w:r w:rsidRPr="006B0F32">
        <w:t xml:space="preserve"> in Table 2 in Part 5 – Financial Arrangements;</w:t>
      </w:r>
      <w:r w:rsidRPr="009D6AF2">
        <w:t xml:space="preserve"> </w:t>
      </w:r>
    </w:p>
    <w:p w14:paraId="3518FABD" w14:textId="32A6DFC0" w:rsidR="009F0F2C" w:rsidRPr="006B0F32" w:rsidRDefault="009F0F2C" w:rsidP="00A137C5">
      <w:pPr>
        <w:pStyle w:val="AlphaParagraph"/>
        <w:numPr>
          <w:ilvl w:val="0"/>
          <w:numId w:val="23"/>
        </w:numPr>
        <w:tabs>
          <w:tab w:val="clear" w:pos="283"/>
          <w:tab w:val="clear" w:pos="567"/>
          <w:tab w:val="clear" w:pos="1418"/>
          <w:tab w:val="left" w:pos="1134"/>
        </w:tabs>
        <w:ind w:hanging="567"/>
      </w:pPr>
      <w:r w:rsidRPr="006B0F32">
        <w:t>social housing and homelessness services, administration and delivery to support local needs;</w:t>
      </w:r>
    </w:p>
    <w:p w14:paraId="51786277" w14:textId="3CB7D421" w:rsidR="00514F8E" w:rsidRPr="005311FD" w:rsidRDefault="00514F8E" w:rsidP="00A137C5">
      <w:pPr>
        <w:pStyle w:val="AlphaParagraph"/>
        <w:numPr>
          <w:ilvl w:val="0"/>
          <w:numId w:val="23"/>
        </w:numPr>
        <w:tabs>
          <w:tab w:val="clear" w:pos="283"/>
          <w:tab w:val="clear" w:pos="567"/>
          <w:tab w:val="clear" w:pos="1418"/>
          <w:tab w:val="left" w:pos="1134"/>
        </w:tabs>
        <w:ind w:hanging="567"/>
      </w:pPr>
      <w:r w:rsidRPr="00A137C5">
        <w:lastRenderedPageBreak/>
        <w:t>where relevant, ensurin</w:t>
      </w:r>
      <w:r w:rsidRPr="00497577">
        <w:t>g that only a builder or builders accredited under the Australian Government Building and Construction WHS Accreditation Scheme is contracted, and providing the necessary assurances to the Commonw</w:t>
      </w:r>
      <w:r w:rsidRPr="005311FD">
        <w:t xml:space="preserve">ealth; </w:t>
      </w:r>
      <w:r w:rsidR="00E71E8C">
        <w:t>and</w:t>
      </w:r>
    </w:p>
    <w:p w14:paraId="555D7847" w14:textId="5D81C473" w:rsidR="00C32490" w:rsidRPr="00A137C5" w:rsidRDefault="00514F8E" w:rsidP="00C32490">
      <w:pPr>
        <w:pStyle w:val="AlphaParagraph"/>
        <w:numPr>
          <w:ilvl w:val="0"/>
          <w:numId w:val="23"/>
        </w:numPr>
        <w:tabs>
          <w:tab w:val="clear" w:pos="283"/>
          <w:tab w:val="clear" w:pos="1418"/>
          <w:tab w:val="left" w:pos="567"/>
          <w:tab w:val="left" w:pos="1134"/>
        </w:tabs>
        <w:spacing w:after="246"/>
        <w:ind w:hanging="567"/>
        <w:rPr>
          <w:color w:val="00B050"/>
        </w:rPr>
      </w:pPr>
      <w:r w:rsidRPr="008830D0">
        <w:t xml:space="preserve">where relevant, ensuring that compliance with the Building Code 2016 is made a </w:t>
      </w:r>
      <w:r w:rsidRPr="00FC7817">
        <w:t>condition of tender for and performance of building work by all contractors and subcontractors, and providing the</w:t>
      </w:r>
      <w:r w:rsidRPr="009D6AF2">
        <w:t xml:space="preserve"> necessary assurances to the Commonwealth</w:t>
      </w:r>
      <w:r w:rsidR="00C32490" w:rsidRPr="00901179">
        <w:rPr>
          <w:rFonts w:cs="Corbel"/>
          <w:color w:val="auto"/>
          <w:szCs w:val="23"/>
        </w:rPr>
        <w:t>.</w:t>
      </w:r>
      <w:r w:rsidR="00C32490">
        <w:t xml:space="preserve"> </w:t>
      </w:r>
    </w:p>
    <w:p w14:paraId="71C5935A" w14:textId="565A4D49" w:rsidR="00E34547" w:rsidRPr="0055250E" w:rsidRDefault="00C32490" w:rsidP="00A137C5">
      <w:pPr>
        <w:pStyle w:val="Normalnumbered"/>
        <w:keepNext/>
        <w:numPr>
          <w:ilvl w:val="0"/>
          <w:numId w:val="9"/>
        </w:numPr>
        <w:jc w:val="left"/>
        <w:rPr>
          <w:color w:val="00B050"/>
        </w:rPr>
      </w:pPr>
      <w:r>
        <w:t xml:space="preserve">Additionally the States are responsible for: </w:t>
      </w:r>
      <w:bookmarkEnd w:id="1"/>
      <w:bookmarkEnd w:id="2"/>
    </w:p>
    <w:p w14:paraId="44F2E51B" w14:textId="2A58B4C8" w:rsidR="007E4F66" w:rsidRPr="007E4F66" w:rsidRDefault="00633EE5" w:rsidP="00A137C5">
      <w:pPr>
        <w:pStyle w:val="AlphaParagraph"/>
        <w:numPr>
          <w:ilvl w:val="0"/>
          <w:numId w:val="90"/>
        </w:numPr>
        <w:tabs>
          <w:tab w:val="clear" w:pos="283"/>
          <w:tab w:val="clear" w:pos="567"/>
          <w:tab w:val="clear" w:pos="1134"/>
          <w:tab w:val="clear" w:pos="1418"/>
        </w:tabs>
        <w:ind w:hanging="567"/>
        <w:rPr>
          <w:color w:val="auto"/>
        </w:rPr>
      </w:pPr>
      <w:r w:rsidRPr="00EF45D2">
        <w:rPr>
          <w:rFonts w:cs="Corbel"/>
          <w:color w:val="auto"/>
          <w:szCs w:val="23"/>
        </w:rPr>
        <w:t xml:space="preserve">the </w:t>
      </w:r>
      <w:r w:rsidR="001D3AC1" w:rsidRPr="00EF45D2">
        <w:rPr>
          <w:rFonts w:cs="Corbel"/>
          <w:color w:val="auto"/>
          <w:szCs w:val="23"/>
        </w:rPr>
        <w:t>collection of data from housing providers and agencies that provide services to people who are homeless;</w:t>
      </w:r>
    </w:p>
    <w:p w14:paraId="6E15896B" w14:textId="3C94252E" w:rsidR="00306B62" w:rsidRPr="00A137C5" w:rsidRDefault="00306B62" w:rsidP="00A137C5">
      <w:pPr>
        <w:pStyle w:val="AlphaParagraph"/>
        <w:numPr>
          <w:ilvl w:val="0"/>
          <w:numId w:val="90"/>
        </w:numPr>
        <w:tabs>
          <w:tab w:val="clear" w:pos="283"/>
          <w:tab w:val="clear" w:pos="567"/>
          <w:tab w:val="clear" w:pos="1134"/>
          <w:tab w:val="clear" w:pos="1418"/>
        </w:tabs>
        <w:ind w:hanging="567"/>
        <w:rPr>
          <w:rFonts w:cs="Corbel"/>
          <w:color w:val="auto"/>
          <w:szCs w:val="23"/>
        </w:rPr>
      </w:pPr>
      <w:r w:rsidRPr="00A137C5">
        <w:rPr>
          <w:rFonts w:cs="Corbel"/>
          <w:color w:val="auto"/>
          <w:szCs w:val="23"/>
        </w:rPr>
        <w:t>land use, supply and urban planning and development policy;</w:t>
      </w:r>
    </w:p>
    <w:p w14:paraId="4B45D1F8" w14:textId="6AB675CA" w:rsidR="00306B62" w:rsidRPr="00497577" w:rsidRDefault="00306B62" w:rsidP="00A137C5">
      <w:pPr>
        <w:pStyle w:val="AlphaParagraph"/>
        <w:numPr>
          <w:ilvl w:val="0"/>
          <w:numId w:val="90"/>
        </w:numPr>
        <w:tabs>
          <w:tab w:val="clear" w:pos="283"/>
          <w:tab w:val="clear" w:pos="567"/>
          <w:tab w:val="clear" w:pos="1134"/>
          <w:tab w:val="clear" w:pos="1418"/>
        </w:tabs>
        <w:ind w:hanging="567"/>
        <w:rPr>
          <w:rFonts w:cs="Corbel"/>
          <w:color w:val="auto"/>
          <w:szCs w:val="23"/>
        </w:rPr>
      </w:pPr>
      <w:r w:rsidRPr="00A137C5">
        <w:rPr>
          <w:rFonts w:cs="Corbel"/>
          <w:color w:val="auto"/>
          <w:szCs w:val="23"/>
        </w:rPr>
        <w:t>tenancy legislation and regulation;</w:t>
      </w:r>
    </w:p>
    <w:p w14:paraId="7F5B4016" w14:textId="2B8DBA46" w:rsidR="00E95E3F" w:rsidRPr="00A137C5" w:rsidRDefault="00E95E3F" w:rsidP="00A137C5">
      <w:pPr>
        <w:pStyle w:val="AlphaParagraph"/>
        <w:numPr>
          <w:ilvl w:val="0"/>
          <w:numId w:val="90"/>
        </w:numPr>
        <w:tabs>
          <w:tab w:val="clear" w:pos="283"/>
          <w:tab w:val="clear" w:pos="567"/>
          <w:tab w:val="clear" w:pos="1134"/>
          <w:tab w:val="clear" w:pos="1418"/>
        </w:tabs>
        <w:ind w:hanging="567"/>
        <w:rPr>
          <w:rFonts w:cs="Corbel"/>
          <w:color w:val="auto"/>
          <w:szCs w:val="23"/>
        </w:rPr>
      </w:pPr>
      <w:r w:rsidRPr="00497577">
        <w:rPr>
          <w:color w:val="auto"/>
        </w:rPr>
        <w:t xml:space="preserve">legislation to support the operation of the national regulatory system for community housing; </w:t>
      </w:r>
    </w:p>
    <w:p w14:paraId="5094F9EC" w14:textId="7A5B9559" w:rsidR="00306B62" w:rsidRPr="00A137C5" w:rsidRDefault="00306B62" w:rsidP="00A137C5">
      <w:pPr>
        <w:pStyle w:val="AlphaParagraph"/>
        <w:numPr>
          <w:ilvl w:val="0"/>
          <w:numId w:val="90"/>
        </w:numPr>
        <w:tabs>
          <w:tab w:val="clear" w:pos="283"/>
          <w:tab w:val="clear" w:pos="567"/>
          <w:tab w:val="clear" w:pos="1134"/>
          <w:tab w:val="clear" w:pos="1418"/>
        </w:tabs>
        <w:ind w:hanging="567"/>
        <w:rPr>
          <w:rFonts w:cs="Corbel"/>
          <w:color w:val="auto"/>
          <w:szCs w:val="23"/>
        </w:rPr>
      </w:pPr>
      <w:r w:rsidRPr="00A137C5">
        <w:rPr>
          <w:rFonts w:cs="Corbel"/>
          <w:color w:val="auto"/>
          <w:szCs w:val="23"/>
        </w:rPr>
        <w:t>housing-related State taxes and charges that influence housing affordability;</w:t>
      </w:r>
      <w:r w:rsidR="00514F8E">
        <w:rPr>
          <w:rFonts w:cs="Corbel"/>
          <w:color w:val="auto"/>
          <w:szCs w:val="23"/>
        </w:rPr>
        <w:t xml:space="preserve"> and</w:t>
      </w:r>
    </w:p>
    <w:p w14:paraId="30E46DB1" w14:textId="77F46612" w:rsidR="004F5DCD" w:rsidRPr="00D4131E" w:rsidRDefault="00306B62" w:rsidP="00A137C5">
      <w:pPr>
        <w:pStyle w:val="AlphaParagraph"/>
        <w:numPr>
          <w:ilvl w:val="0"/>
          <w:numId w:val="90"/>
        </w:numPr>
        <w:tabs>
          <w:tab w:val="clear" w:pos="283"/>
          <w:tab w:val="clear" w:pos="567"/>
          <w:tab w:val="clear" w:pos="1134"/>
          <w:tab w:val="clear" w:pos="1418"/>
        </w:tabs>
        <w:ind w:hanging="567"/>
        <w:rPr>
          <w:szCs w:val="23"/>
        </w:rPr>
      </w:pPr>
      <w:r w:rsidRPr="00A137C5">
        <w:rPr>
          <w:rFonts w:cs="Corbel"/>
          <w:color w:val="auto"/>
          <w:szCs w:val="23"/>
        </w:rPr>
        <w:t>State based infrastructure policy and services associated with residential development</w:t>
      </w:r>
      <w:r w:rsidR="004F5DCD" w:rsidRPr="00D4131E">
        <w:rPr>
          <w:szCs w:val="23"/>
        </w:rPr>
        <w:t>.</w:t>
      </w:r>
    </w:p>
    <w:p w14:paraId="35CF9A28" w14:textId="77777777" w:rsidR="008F44F1" w:rsidRPr="00EF45D2" w:rsidRDefault="008F44F1" w:rsidP="004F5DCD">
      <w:pPr>
        <w:pStyle w:val="Heading2"/>
      </w:pPr>
      <w:r w:rsidRPr="00EF45D2">
        <w:t>Shared roles</w:t>
      </w:r>
      <w:r w:rsidR="00F17960" w:rsidRPr="00EF45D2">
        <w:t xml:space="preserve"> and responsibilities </w:t>
      </w:r>
    </w:p>
    <w:p w14:paraId="7859CC9D" w14:textId="30D49B23" w:rsidR="00283282" w:rsidRPr="00EF45D2" w:rsidRDefault="00B66900" w:rsidP="00A41994">
      <w:pPr>
        <w:pStyle w:val="Normalnumbered"/>
        <w:keepNext/>
        <w:numPr>
          <w:ilvl w:val="0"/>
          <w:numId w:val="9"/>
        </w:numPr>
        <w:jc w:val="left"/>
      </w:pPr>
      <w:r w:rsidRPr="00EF45D2">
        <w:t>The Commonwealth and the States agree to be jointly responsible for:</w:t>
      </w:r>
    </w:p>
    <w:p w14:paraId="5A2A7CA5" w14:textId="3927A2BC" w:rsidR="002455EA" w:rsidRPr="006B0F32" w:rsidRDefault="006D2D0A" w:rsidP="00A41994">
      <w:pPr>
        <w:pStyle w:val="AlphaParagraph"/>
        <w:numPr>
          <w:ilvl w:val="0"/>
          <w:numId w:val="19"/>
        </w:numPr>
        <w:tabs>
          <w:tab w:val="clear" w:pos="283"/>
          <w:tab w:val="clear" w:pos="567"/>
          <w:tab w:val="clear" w:pos="1418"/>
          <w:tab w:val="clear" w:pos="1701"/>
        </w:tabs>
        <w:ind w:left="1134" w:hanging="567"/>
        <w:jc w:val="left"/>
      </w:pPr>
      <w:r>
        <w:t>h</w:t>
      </w:r>
      <w:r w:rsidR="002455EA" w:rsidRPr="00EF45D2">
        <w:t>ousing</w:t>
      </w:r>
      <w:r>
        <w:t>,</w:t>
      </w:r>
      <w:r w:rsidR="002455EA" w:rsidRPr="00EF45D2">
        <w:t xml:space="preserve"> homelessness </w:t>
      </w:r>
      <w:r w:rsidRPr="006B0F32">
        <w:t xml:space="preserve">and housing affordability </w:t>
      </w:r>
      <w:r w:rsidR="002455EA" w:rsidRPr="00EF45D2">
        <w:t>policy</w:t>
      </w:r>
      <w:r w:rsidR="009F0F2C">
        <w:t xml:space="preserve">, </w:t>
      </w:r>
      <w:r w:rsidR="009F0F2C" w:rsidRPr="006B0F32">
        <w:t>recognising that States will have responsibility for the content and implementation of their housing and homelessness strategies</w:t>
      </w:r>
      <w:r w:rsidR="002455EA" w:rsidRPr="006B0F32">
        <w:t>;</w:t>
      </w:r>
    </w:p>
    <w:p w14:paraId="5976A5B2" w14:textId="1C62902D" w:rsidR="00306B62" w:rsidRPr="00EF45D2" w:rsidRDefault="00306B62" w:rsidP="00A41994">
      <w:pPr>
        <w:pStyle w:val="AlphaParagraph"/>
        <w:numPr>
          <w:ilvl w:val="0"/>
          <w:numId w:val="19"/>
        </w:numPr>
        <w:tabs>
          <w:tab w:val="clear" w:pos="283"/>
          <w:tab w:val="clear" w:pos="567"/>
          <w:tab w:val="clear" w:pos="1418"/>
          <w:tab w:val="clear" w:pos="1701"/>
        </w:tabs>
        <w:ind w:left="1134" w:hanging="567"/>
        <w:jc w:val="left"/>
      </w:pPr>
      <w:r>
        <w:t xml:space="preserve">support for renters; </w:t>
      </w:r>
    </w:p>
    <w:p w14:paraId="280BAC4E" w14:textId="77777777" w:rsidR="00790C8A" w:rsidRPr="00EF45D2" w:rsidRDefault="00790C8A" w:rsidP="00A41994">
      <w:pPr>
        <w:pStyle w:val="AlphaParagraph"/>
        <w:numPr>
          <w:ilvl w:val="0"/>
          <w:numId w:val="19"/>
        </w:numPr>
        <w:tabs>
          <w:tab w:val="clear" w:pos="283"/>
          <w:tab w:val="clear" w:pos="567"/>
          <w:tab w:val="clear" w:pos="1418"/>
          <w:tab w:val="clear" w:pos="1701"/>
        </w:tabs>
        <w:ind w:left="1134" w:hanging="567"/>
        <w:jc w:val="left"/>
      </w:pPr>
      <w:r w:rsidRPr="00EF45D2">
        <w:t>participat</w:t>
      </w:r>
      <w:r w:rsidR="00F4733D" w:rsidRPr="00EF45D2">
        <w:t>ing</w:t>
      </w:r>
      <w:r w:rsidRPr="00EF45D2">
        <w:t xml:space="preserve"> in consultations as appropriate regarding the implementation of this Agreement;</w:t>
      </w:r>
    </w:p>
    <w:p w14:paraId="2C47FC54" w14:textId="409AE54E" w:rsidR="00AA0DCC" w:rsidRPr="00EF45D2" w:rsidRDefault="002329AC" w:rsidP="00A41994">
      <w:pPr>
        <w:pStyle w:val="AlphaParagraph"/>
        <w:numPr>
          <w:ilvl w:val="0"/>
          <w:numId w:val="19"/>
        </w:numPr>
        <w:tabs>
          <w:tab w:val="clear" w:pos="283"/>
          <w:tab w:val="clear" w:pos="567"/>
          <w:tab w:val="clear" w:pos="1418"/>
          <w:tab w:val="clear" w:pos="1701"/>
        </w:tabs>
        <w:ind w:left="1134" w:hanging="567"/>
        <w:jc w:val="left"/>
      </w:pPr>
      <w:r w:rsidRPr="00EF45D2">
        <w:t>identify</w:t>
      </w:r>
      <w:r w:rsidR="00F4733D" w:rsidRPr="00EF45D2">
        <w:t>ing</w:t>
      </w:r>
      <w:r w:rsidRPr="00EF45D2">
        <w:t xml:space="preserve"> and shar</w:t>
      </w:r>
      <w:r w:rsidR="00F4733D" w:rsidRPr="00EF45D2">
        <w:t>ing</w:t>
      </w:r>
      <w:r w:rsidRPr="00EF45D2">
        <w:t xml:space="preserve"> best practices</w:t>
      </w:r>
      <w:r w:rsidR="007F3C65">
        <w:t xml:space="preserve"> and policy</w:t>
      </w:r>
      <w:r w:rsidR="00B66900" w:rsidRPr="00EF45D2">
        <w:t xml:space="preserve"> for housing</w:t>
      </w:r>
      <w:r w:rsidR="006D2D0A">
        <w:t>,</w:t>
      </w:r>
      <w:r w:rsidR="00B66900" w:rsidRPr="00EF45D2">
        <w:t xml:space="preserve"> homelessness</w:t>
      </w:r>
      <w:r w:rsidR="006D2D0A">
        <w:t xml:space="preserve"> </w:t>
      </w:r>
      <w:r w:rsidR="006D2D0A" w:rsidRPr="006B0F32">
        <w:t>and housing affordability</w:t>
      </w:r>
      <w:r w:rsidRPr="00EF45D2">
        <w:t>;</w:t>
      </w:r>
    </w:p>
    <w:p w14:paraId="24D16007" w14:textId="22109952" w:rsidR="00AC3E35" w:rsidRPr="00EF45D2" w:rsidRDefault="00F4733D" w:rsidP="00A41994">
      <w:pPr>
        <w:pStyle w:val="AlphaParagraph"/>
        <w:numPr>
          <w:ilvl w:val="0"/>
          <w:numId w:val="19"/>
        </w:numPr>
        <w:tabs>
          <w:tab w:val="clear" w:pos="283"/>
          <w:tab w:val="clear" w:pos="567"/>
          <w:tab w:val="clear" w:pos="1418"/>
          <w:tab w:val="clear" w:pos="1701"/>
        </w:tabs>
        <w:ind w:left="1134" w:hanging="567"/>
        <w:jc w:val="left"/>
      </w:pPr>
      <w:r w:rsidRPr="00EF45D2">
        <w:t xml:space="preserve">participating in and contributing to the reviews of this Agreement </w:t>
      </w:r>
      <w:r w:rsidR="002D3CE7" w:rsidRPr="00EF45D2">
        <w:t xml:space="preserve">conducted </w:t>
      </w:r>
      <w:r w:rsidRPr="00EF45D2">
        <w:t>by</w:t>
      </w:r>
      <w:r w:rsidR="00AC3E35" w:rsidRPr="00EF45D2">
        <w:t xml:space="preserve"> the Productivity Commission in </w:t>
      </w:r>
      <w:r w:rsidR="00BA618D">
        <w:t>accordance with clauses 5</w:t>
      </w:r>
      <w:r w:rsidR="00987821">
        <w:t>3</w:t>
      </w:r>
      <w:r w:rsidR="00BA618D">
        <w:t xml:space="preserve"> to 5</w:t>
      </w:r>
      <w:r w:rsidR="00987821">
        <w:t>5</w:t>
      </w:r>
      <w:r w:rsidR="00AC3E35" w:rsidRPr="00EF45D2">
        <w:t xml:space="preserve">; </w:t>
      </w:r>
    </w:p>
    <w:p w14:paraId="0F5DC5C9" w14:textId="73FCDBAE" w:rsidR="002329AC" w:rsidRDefault="00977BE7" w:rsidP="00A41994">
      <w:pPr>
        <w:pStyle w:val="AlphaParagraph"/>
        <w:numPr>
          <w:ilvl w:val="0"/>
          <w:numId w:val="19"/>
        </w:numPr>
        <w:tabs>
          <w:tab w:val="clear" w:pos="283"/>
          <w:tab w:val="clear" w:pos="567"/>
          <w:tab w:val="clear" w:pos="1418"/>
          <w:tab w:val="clear" w:pos="1701"/>
        </w:tabs>
        <w:ind w:left="1134" w:hanging="567"/>
        <w:jc w:val="left"/>
      </w:pPr>
      <w:r w:rsidRPr="00EF45D2">
        <w:t xml:space="preserve">collecting and </w:t>
      </w:r>
      <w:r w:rsidR="002329AC" w:rsidRPr="00EF45D2">
        <w:t>shar</w:t>
      </w:r>
      <w:r w:rsidR="00F4733D" w:rsidRPr="00EF45D2">
        <w:t>ing</w:t>
      </w:r>
      <w:r w:rsidR="002329AC" w:rsidRPr="00EF45D2">
        <w:t xml:space="preserve"> data, including a commitment to provide data for the </w:t>
      </w:r>
      <w:r w:rsidRPr="00EF45D2">
        <w:t xml:space="preserve">development of a </w:t>
      </w:r>
      <w:r w:rsidR="002329AC" w:rsidRPr="00EF45D2">
        <w:t>national</w:t>
      </w:r>
      <w:r w:rsidRPr="00EF45D2">
        <w:t xml:space="preserve">ly consistent </w:t>
      </w:r>
      <w:r w:rsidR="002329AC" w:rsidRPr="00EF45D2">
        <w:t>data set and a commitment to the continuous improvement of data</w:t>
      </w:r>
      <w:r w:rsidR="002D3CE7" w:rsidRPr="00EF45D2">
        <w:t xml:space="preserve"> as set out </w:t>
      </w:r>
      <w:r w:rsidR="002D3CE7" w:rsidRPr="009D6AF2">
        <w:t xml:space="preserve">in </w:t>
      </w:r>
      <w:r w:rsidR="002D3CE7" w:rsidRPr="00A137C5">
        <w:t>Schedule</w:t>
      </w:r>
      <w:r w:rsidR="007065FC" w:rsidRPr="00A137C5">
        <w:t xml:space="preserve"> C</w:t>
      </w:r>
      <w:r w:rsidR="00877BD2">
        <w:t xml:space="preserve">, </w:t>
      </w:r>
      <w:r w:rsidR="00877BD2" w:rsidRPr="006B0F32">
        <w:t>and the data collections and compilations set out in Schedule D</w:t>
      </w:r>
      <w:r w:rsidR="002329AC" w:rsidRPr="00EF45D2">
        <w:t>;</w:t>
      </w:r>
      <w:r w:rsidR="00C67D37" w:rsidRPr="00EF45D2">
        <w:t xml:space="preserve"> and </w:t>
      </w:r>
    </w:p>
    <w:p w14:paraId="1B797050" w14:textId="77777777" w:rsidR="002329AC" w:rsidRPr="00EF45D2" w:rsidRDefault="002329AC" w:rsidP="00A41994">
      <w:pPr>
        <w:pStyle w:val="AlphaParagraph"/>
        <w:numPr>
          <w:ilvl w:val="0"/>
          <w:numId w:val="19"/>
        </w:numPr>
        <w:tabs>
          <w:tab w:val="clear" w:pos="283"/>
          <w:tab w:val="clear" w:pos="567"/>
          <w:tab w:val="clear" w:pos="1418"/>
          <w:tab w:val="clear" w:pos="1701"/>
        </w:tabs>
        <w:ind w:left="1134" w:hanging="567"/>
        <w:jc w:val="left"/>
      </w:pPr>
      <w:r w:rsidRPr="00EF45D2">
        <w:t>set</w:t>
      </w:r>
      <w:r w:rsidR="00F4733D" w:rsidRPr="00EF45D2">
        <w:t>ting</w:t>
      </w:r>
      <w:r w:rsidRPr="00EF45D2">
        <w:t xml:space="preserve"> joint priorities for evaluation and research.</w:t>
      </w:r>
    </w:p>
    <w:p w14:paraId="18566549" w14:textId="61DC3CC4" w:rsidR="006D2D0A" w:rsidRPr="006B0F32" w:rsidRDefault="006D2D0A" w:rsidP="006B0F32">
      <w:pPr>
        <w:pStyle w:val="Normalnumbered"/>
        <w:numPr>
          <w:ilvl w:val="0"/>
          <w:numId w:val="9"/>
        </w:numPr>
        <w:jc w:val="left"/>
      </w:pPr>
      <w:r w:rsidRPr="006B0F32">
        <w:t xml:space="preserve">All </w:t>
      </w:r>
      <w:r w:rsidR="00FC7358" w:rsidRPr="006B0F32">
        <w:t>P</w:t>
      </w:r>
      <w:r w:rsidRPr="006B0F32">
        <w:t xml:space="preserve">arties agree, subject to meeting relevant legislative obligations (such as those relating to privacy, retention or distribution of information and data), to: collect and share data; provide reasonable access to research and administrative data sets; and, where practicable, allow Parties to share data for delivering improved outcomes under this Agreement. </w:t>
      </w:r>
    </w:p>
    <w:p w14:paraId="1CD65AB2" w14:textId="186C76BD" w:rsidR="007A2D04" w:rsidRPr="00457392" w:rsidRDefault="007A2D04" w:rsidP="006B0F32">
      <w:pPr>
        <w:pStyle w:val="Normalnumbered"/>
        <w:numPr>
          <w:ilvl w:val="0"/>
          <w:numId w:val="9"/>
        </w:numPr>
        <w:jc w:val="left"/>
      </w:pPr>
      <w:r w:rsidRPr="00EF45D2">
        <w:lastRenderedPageBreak/>
        <w:t xml:space="preserve">The Parties will meet the requirements of Schedule </w:t>
      </w:r>
      <w:r w:rsidRPr="00067671">
        <w:t>E,</w:t>
      </w:r>
      <w:r w:rsidRPr="00EF45D2">
        <w:t xml:space="preserve"> Clause 26 of the IGA FFR, by ensuring that prior agreement is reached on the nature and content of any events, announcements, promotional material or publicity relating to activities under this Agreement, and that the roles of both Parties will be acknowledged </w:t>
      </w:r>
      <w:r w:rsidRPr="00457392">
        <w:t>and recognised appropriately.</w:t>
      </w:r>
    </w:p>
    <w:p w14:paraId="3F505719" w14:textId="6B4F02BD" w:rsidR="00C7642C" w:rsidRPr="00457392" w:rsidRDefault="00C7642C" w:rsidP="00C7642C">
      <w:pPr>
        <w:pStyle w:val="Heading2"/>
      </w:pPr>
      <w:r w:rsidRPr="00457392">
        <w:t>Role of local government</w:t>
      </w:r>
    </w:p>
    <w:p w14:paraId="082A31AD" w14:textId="14430BBE" w:rsidR="00C7642C" w:rsidRPr="00457392" w:rsidRDefault="00C7642C" w:rsidP="00A41994">
      <w:pPr>
        <w:pStyle w:val="Normalnumbered"/>
        <w:numPr>
          <w:ilvl w:val="0"/>
          <w:numId w:val="9"/>
        </w:numPr>
        <w:jc w:val="left"/>
      </w:pPr>
      <w:r w:rsidRPr="00457392">
        <w:rPr>
          <w:rFonts w:cs="Corbel"/>
          <w:color w:val="auto"/>
          <w:szCs w:val="23"/>
        </w:rPr>
        <w:t xml:space="preserve">Local governments </w:t>
      </w:r>
      <w:r w:rsidR="002E6DE4">
        <w:rPr>
          <w:rFonts w:cs="Corbel"/>
          <w:color w:val="auto"/>
          <w:szCs w:val="23"/>
        </w:rPr>
        <w:t>operate under</w:t>
      </w:r>
      <w:r w:rsidR="00CC6D90" w:rsidRPr="00457392">
        <w:rPr>
          <w:rFonts w:cs="Corbel"/>
          <w:color w:val="auto"/>
          <w:szCs w:val="23"/>
        </w:rPr>
        <w:t xml:space="preserve"> State</w:t>
      </w:r>
      <w:r w:rsidR="002E6DE4">
        <w:rPr>
          <w:rFonts w:cs="Corbel"/>
          <w:color w:val="auto"/>
          <w:szCs w:val="23"/>
        </w:rPr>
        <w:t xml:space="preserve"> regulation</w:t>
      </w:r>
      <w:r w:rsidR="00CC6D90" w:rsidRPr="00457392">
        <w:rPr>
          <w:rFonts w:cs="Corbel"/>
          <w:color w:val="auto"/>
          <w:szCs w:val="23"/>
        </w:rPr>
        <w:t xml:space="preserve"> </w:t>
      </w:r>
      <w:r w:rsidRPr="00457392">
        <w:rPr>
          <w:rFonts w:cs="Corbel"/>
          <w:color w:val="auto"/>
          <w:szCs w:val="23"/>
        </w:rPr>
        <w:t>and are not Parties to this Agreement.  Local governments, and the Australian Capital Territory and the Northern Territory Governments, are responsible for:</w:t>
      </w:r>
    </w:p>
    <w:p w14:paraId="55C07A49" w14:textId="77777777" w:rsidR="00C7642C" w:rsidRPr="00457392" w:rsidRDefault="00C7642C" w:rsidP="00A41994">
      <w:pPr>
        <w:pStyle w:val="AlphaParagraph"/>
        <w:numPr>
          <w:ilvl w:val="0"/>
          <w:numId w:val="24"/>
        </w:numPr>
        <w:tabs>
          <w:tab w:val="clear" w:pos="283"/>
          <w:tab w:val="clear" w:pos="567"/>
          <w:tab w:val="clear" w:pos="1134"/>
          <w:tab w:val="clear" w:pos="1418"/>
        </w:tabs>
        <w:ind w:hanging="567"/>
        <w:jc w:val="left"/>
      </w:pPr>
      <w:r w:rsidRPr="00457392">
        <w:rPr>
          <w:rFonts w:cs="Corbel"/>
          <w:color w:val="auto"/>
          <w:szCs w:val="23"/>
        </w:rPr>
        <w:t>building approval processes;</w:t>
      </w:r>
    </w:p>
    <w:p w14:paraId="54202473" w14:textId="77777777" w:rsidR="00C7642C" w:rsidRPr="00457392" w:rsidRDefault="00C7642C" w:rsidP="00A41994">
      <w:pPr>
        <w:pStyle w:val="AlphaParagraph"/>
        <w:numPr>
          <w:ilvl w:val="0"/>
          <w:numId w:val="24"/>
        </w:numPr>
        <w:tabs>
          <w:tab w:val="clear" w:pos="283"/>
          <w:tab w:val="clear" w:pos="567"/>
          <w:tab w:val="clear" w:pos="1134"/>
          <w:tab w:val="clear" w:pos="1418"/>
        </w:tabs>
        <w:ind w:hanging="567"/>
        <w:jc w:val="left"/>
        <w:rPr>
          <w:rFonts w:cs="Corbel"/>
          <w:color w:val="auto"/>
          <w:szCs w:val="23"/>
        </w:rPr>
      </w:pPr>
      <w:r w:rsidRPr="00457392">
        <w:rPr>
          <w:rFonts w:cs="Corbel"/>
          <w:color w:val="auto"/>
          <w:szCs w:val="23"/>
        </w:rPr>
        <w:t>local urban planning and development approval processes; and</w:t>
      </w:r>
    </w:p>
    <w:p w14:paraId="70233920" w14:textId="77777777" w:rsidR="00C7642C" w:rsidRPr="00457392" w:rsidRDefault="00C7642C" w:rsidP="00A41994">
      <w:pPr>
        <w:pStyle w:val="AlphaParagraph"/>
        <w:numPr>
          <w:ilvl w:val="0"/>
          <w:numId w:val="24"/>
        </w:numPr>
        <w:tabs>
          <w:tab w:val="clear" w:pos="283"/>
          <w:tab w:val="clear" w:pos="567"/>
          <w:tab w:val="clear" w:pos="1134"/>
          <w:tab w:val="clear" w:pos="1418"/>
        </w:tabs>
        <w:ind w:hanging="567"/>
        <w:jc w:val="left"/>
      </w:pPr>
      <w:r w:rsidRPr="00457392">
        <w:rPr>
          <w:rFonts w:cs="Corbel"/>
          <w:color w:val="auto"/>
          <w:szCs w:val="23"/>
        </w:rPr>
        <w:t>rates and charges that influence housing affordability.</w:t>
      </w:r>
    </w:p>
    <w:p w14:paraId="666229E4" w14:textId="77777777" w:rsidR="00814667" w:rsidRPr="00457392" w:rsidRDefault="00814667">
      <w:pPr>
        <w:pStyle w:val="Heading1"/>
      </w:pPr>
      <w:r w:rsidRPr="00457392">
        <w:t xml:space="preserve">Part 4 — </w:t>
      </w:r>
      <w:r w:rsidR="002F0F15" w:rsidRPr="00457392">
        <w:t>performance monitoring and reporting</w:t>
      </w:r>
    </w:p>
    <w:p w14:paraId="5EEDF7C1" w14:textId="019E24E1" w:rsidR="002A65E4" w:rsidRPr="00457392" w:rsidRDefault="00AC3E35" w:rsidP="002A65E4">
      <w:pPr>
        <w:pStyle w:val="Heading2"/>
      </w:pPr>
      <w:r w:rsidRPr="00457392">
        <w:t xml:space="preserve">National </w:t>
      </w:r>
      <w:r w:rsidR="00B73DC7" w:rsidRPr="00457392">
        <w:t>performance</w:t>
      </w:r>
      <w:r w:rsidRPr="00457392">
        <w:t xml:space="preserve"> </w:t>
      </w:r>
      <w:r w:rsidR="002A65E4" w:rsidRPr="00457392">
        <w:t>indicators</w:t>
      </w:r>
    </w:p>
    <w:p w14:paraId="6A467E7A" w14:textId="72AFBBD7" w:rsidR="002A65E4" w:rsidRPr="00457392" w:rsidRDefault="008D4CD2" w:rsidP="00262BAE">
      <w:pPr>
        <w:pStyle w:val="Normalnumbered"/>
        <w:numPr>
          <w:ilvl w:val="0"/>
          <w:numId w:val="9"/>
        </w:numPr>
        <w:jc w:val="left"/>
      </w:pPr>
      <w:r w:rsidRPr="00457392">
        <w:t>Progress towards</w:t>
      </w:r>
      <w:r w:rsidR="00977BE7" w:rsidRPr="00457392">
        <w:t xml:space="preserve"> achieving the</w:t>
      </w:r>
      <w:r w:rsidR="007E4F66" w:rsidRPr="00457392">
        <w:t xml:space="preserve"> objective and</w:t>
      </w:r>
      <w:r w:rsidR="00977BE7" w:rsidRPr="00457392">
        <w:t xml:space="preserve"> </w:t>
      </w:r>
      <w:r w:rsidRPr="00457392">
        <w:t>outcomes</w:t>
      </w:r>
      <w:r w:rsidR="002A65E4" w:rsidRPr="00457392">
        <w:t xml:space="preserve"> </w:t>
      </w:r>
      <w:r w:rsidR="009E5CB2">
        <w:t>that this</w:t>
      </w:r>
      <w:r w:rsidR="002A65E4" w:rsidRPr="00457392">
        <w:t xml:space="preserve"> Agreement </w:t>
      </w:r>
      <w:r w:rsidR="009E5CB2">
        <w:t xml:space="preserve">contributes to </w:t>
      </w:r>
      <w:r w:rsidR="002A65E4" w:rsidRPr="00457392">
        <w:t xml:space="preserve">will be informed with reference to </w:t>
      </w:r>
      <w:r w:rsidR="00956052">
        <w:t xml:space="preserve">the following </w:t>
      </w:r>
      <w:r w:rsidR="00AC3E35" w:rsidRPr="00457392">
        <w:t xml:space="preserve">national </w:t>
      </w:r>
      <w:r w:rsidR="00F6395F" w:rsidRPr="00457392">
        <w:t>performance</w:t>
      </w:r>
      <w:r w:rsidR="00AC3E35" w:rsidRPr="00457392">
        <w:t xml:space="preserve"> </w:t>
      </w:r>
      <w:r w:rsidR="002A65E4" w:rsidRPr="00457392">
        <w:t>indicators:</w:t>
      </w:r>
    </w:p>
    <w:p w14:paraId="36CAE645" w14:textId="4DD9BE12" w:rsidR="00096770" w:rsidRPr="00096770" w:rsidRDefault="00096770" w:rsidP="00A137C5">
      <w:pPr>
        <w:pStyle w:val="AlphaParagraph"/>
        <w:numPr>
          <w:ilvl w:val="0"/>
          <w:numId w:val="94"/>
        </w:numPr>
        <w:tabs>
          <w:tab w:val="clear" w:pos="283"/>
          <w:tab w:val="clear" w:pos="567"/>
          <w:tab w:val="clear" w:pos="1134"/>
          <w:tab w:val="clear" w:pos="1418"/>
        </w:tabs>
        <w:ind w:hanging="567"/>
        <w:rPr>
          <w:rFonts w:cs="Corbel"/>
          <w:color w:val="auto"/>
          <w:szCs w:val="23"/>
        </w:rPr>
      </w:pPr>
      <w:r>
        <w:rPr>
          <w:rFonts w:cs="Corbel"/>
          <w:color w:val="auto"/>
          <w:szCs w:val="23"/>
        </w:rPr>
        <w:t>t</w:t>
      </w:r>
      <w:r w:rsidRPr="00096770">
        <w:rPr>
          <w:rFonts w:cs="Corbel"/>
          <w:color w:val="auto"/>
          <w:szCs w:val="23"/>
        </w:rPr>
        <w:t>he total number of dwellings relative to the population;</w:t>
      </w:r>
    </w:p>
    <w:p w14:paraId="20F0C341" w14:textId="646046E8" w:rsidR="00096770" w:rsidRPr="00096770" w:rsidRDefault="00096770" w:rsidP="00A137C5">
      <w:pPr>
        <w:pStyle w:val="AlphaParagraph"/>
        <w:numPr>
          <w:ilvl w:val="0"/>
          <w:numId w:val="94"/>
        </w:numPr>
        <w:tabs>
          <w:tab w:val="clear" w:pos="283"/>
          <w:tab w:val="clear" w:pos="567"/>
          <w:tab w:val="clear" w:pos="1134"/>
          <w:tab w:val="clear" w:pos="1418"/>
        </w:tabs>
        <w:ind w:hanging="567"/>
        <w:rPr>
          <w:rFonts w:cs="Corbel"/>
          <w:color w:val="auto"/>
          <w:szCs w:val="23"/>
        </w:rPr>
      </w:pPr>
      <w:r>
        <w:rPr>
          <w:rFonts w:cs="Corbel"/>
          <w:color w:val="auto"/>
          <w:szCs w:val="23"/>
        </w:rPr>
        <w:t>t</w:t>
      </w:r>
      <w:r w:rsidRPr="00096770">
        <w:rPr>
          <w:rFonts w:cs="Corbel"/>
          <w:color w:val="auto"/>
          <w:szCs w:val="23"/>
        </w:rPr>
        <w:t>he stock of affordable rental housing relative to the population;</w:t>
      </w:r>
    </w:p>
    <w:p w14:paraId="4F7F5474" w14:textId="423F124C" w:rsidR="00096770" w:rsidRPr="00096770" w:rsidRDefault="00096770" w:rsidP="00A137C5">
      <w:pPr>
        <w:pStyle w:val="AlphaParagraph"/>
        <w:numPr>
          <w:ilvl w:val="0"/>
          <w:numId w:val="94"/>
        </w:numPr>
        <w:tabs>
          <w:tab w:val="clear" w:pos="283"/>
          <w:tab w:val="clear" w:pos="567"/>
          <w:tab w:val="clear" w:pos="1134"/>
          <w:tab w:val="clear" w:pos="1418"/>
        </w:tabs>
        <w:ind w:hanging="567"/>
        <w:rPr>
          <w:rFonts w:cs="Corbel"/>
          <w:color w:val="auto"/>
          <w:szCs w:val="23"/>
        </w:rPr>
      </w:pPr>
      <w:r>
        <w:rPr>
          <w:rFonts w:cs="Corbel"/>
          <w:color w:val="auto"/>
          <w:szCs w:val="23"/>
        </w:rPr>
        <w:t>t</w:t>
      </w:r>
      <w:r w:rsidRPr="00096770">
        <w:rPr>
          <w:rFonts w:cs="Corbel"/>
          <w:color w:val="auto"/>
          <w:szCs w:val="23"/>
        </w:rPr>
        <w:t xml:space="preserve">he stock of social housing dwellings relative to the </w:t>
      </w:r>
      <w:r w:rsidR="00295855" w:rsidRPr="006B0F32">
        <w:rPr>
          <w:rFonts w:cs="Corbel"/>
          <w:color w:val="auto"/>
          <w:szCs w:val="23"/>
        </w:rPr>
        <w:t xml:space="preserve">target </w:t>
      </w:r>
      <w:r w:rsidRPr="00096770">
        <w:rPr>
          <w:rFonts w:cs="Corbel"/>
          <w:color w:val="auto"/>
          <w:szCs w:val="23"/>
        </w:rPr>
        <w:t>population</w:t>
      </w:r>
      <w:r w:rsidR="00295855">
        <w:rPr>
          <w:rFonts w:cs="Corbel"/>
          <w:color w:val="auto"/>
          <w:szCs w:val="23"/>
        </w:rPr>
        <w:t xml:space="preserve"> </w:t>
      </w:r>
      <w:r w:rsidR="00295855" w:rsidRPr="006B0F32">
        <w:rPr>
          <w:rFonts w:cs="Corbel"/>
          <w:color w:val="auto"/>
          <w:szCs w:val="23"/>
        </w:rPr>
        <w:t>for social housing</w:t>
      </w:r>
      <w:r w:rsidRPr="00096770">
        <w:rPr>
          <w:rFonts w:cs="Corbel"/>
          <w:color w:val="auto"/>
          <w:szCs w:val="23"/>
        </w:rPr>
        <w:t>;</w:t>
      </w:r>
    </w:p>
    <w:p w14:paraId="62D7B6B0" w14:textId="2DE3CA0A" w:rsidR="00096770" w:rsidRPr="00096770" w:rsidRDefault="00096770" w:rsidP="00A137C5">
      <w:pPr>
        <w:pStyle w:val="AlphaParagraph"/>
        <w:numPr>
          <w:ilvl w:val="0"/>
          <w:numId w:val="94"/>
        </w:numPr>
        <w:tabs>
          <w:tab w:val="clear" w:pos="283"/>
          <w:tab w:val="clear" w:pos="567"/>
          <w:tab w:val="clear" w:pos="1134"/>
          <w:tab w:val="clear" w:pos="1418"/>
        </w:tabs>
        <w:ind w:hanging="567"/>
        <w:rPr>
          <w:rFonts w:cs="Corbel"/>
          <w:color w:val="auto"/>
          <w:szCs w:val="23"/>
        </w:rPr>
      </w:pPr>
      <w:r>
        <w:rPr>
          <w:rFonts w:cs="Corbel"/>
          <w:color w:val="auto"/>
          <w:szCs w:val="23"/>
        </w:rPr>
        <w:t>a</w:t>
      </w:r>
      <w:r w:rsidRPr="00096770">
        <w:rPr>
          <w:rFonts w:cs="Corbel"/>
          <w:color w:val="auto"/>
          <w:szCs w:val="23"/>
        </w:rPr>
        <w:t>n increase in the proportion of social housing occupants that are housed in homes that match their needs</w:t>
      </w:r>
      <w:r w:rsidR="00CB2E52">
        <w:rPr>
          <w:rFonts w:cs="Corbel"/>
          <w:color w:val="auto"/>
          <w:szCs w:val="23"/>
        </w:rPr>
        <w:t>;</w:t>
      </w:r>
    </w:p>
    <w:p w14:paraId="748DD3A9" w14:textId="4394B22F" w:rsidR="00B95ED2" w:rsidRDefault="00B95ED2" w:rsidP="00A137C5">
      <w:pPr>
        <w:pStyle w:val="AlphaParagraph"/>
        <w:numPr>
          <w:ilvl w:val="0"/>
          <w:numId w:val="94"/>
        </w:numPr>
        <w:tabs>
          <w:tab w:val="clear" w:pos="283"/>
          <w:tab w:val="clear" w:pos="567"/>
          <w:tab w:val="clear" w:pos="1134"/>
          <w:tab w:val="clear" w:pos="1418"/>
        </w:tabs>
        <w:ind w:hanging="567"/>
        <w:rPr>
          <w:rFonts w:cs="Corbel"/>
          <w:color w:val="auto"/>
          <w:szCs w:val="23"/>
        </w:rPr>
      </w:pPr>
      <w:r>
        <w:rPr>
          <w:rFonts w:cs="Corbel"/>
          <w:color w:val="auto"/>
          <w:szCs w:val="23"/>
        </w:rPr>
        <w:t>an increase in the number</w:t>
      </w:r>
      <w:r w:rsidRPr="00B95ED2">
        <w:rPr>
          <w:rFonts w:cs="Corbel"/>
          <w:color w:val="auto"/>
          <w:szCs w:val="23"/>
        </w:rPr>
        <w:t xml:space="preserve"> of social housing occupants with greatest need as a proportion of all new allocations</w:t>
      </w:r>
      <w:r w:rsidR="00CB2E52">
        <w:rPr>
          <w:rFonts w:cs="Corbel"/>
          <w:color w:val="auto"/>
          <w:szCs w:val="23"/>
        </w:rPr>
        <w:t>;</w:t>
      </w:r>
    </w:p>
    <w:p w14:paraId="38AF4F0F" w14:textId="77777777" w:rsidR="00B95ED2" w:rsidRPr="00096770" w:rsidRDefault="00B95ED2" w:rsidP="00A137C5">
      <w:pPr>
        <w:pStyle w:val="AlphaParagraph"/>
        <w:numPr>
          <w:ilvl w:val="0"/>
          <w:numId w:val="94"/>
        </w:numPr>
        <w:tabs>
          <w:tab w:val="clear" w:pos="283"/>
          <w:tab w:val="clear" w:pos="567"/>
          <w:tab w:val="clear" w:pos="1134"/>
          <w:tab w:val="clear" w:pos="1418"/>
        </w:tabs>
        <w:ind w:hanging="567"/>
        <w:rPr>
          <w:rFonts w:cs="Corbel"/>
          <w:color w:val="auto"/>
          <w:szCs w:val="23"/>
        </w:rPr>
      </w:pPr>
      <w:r>
        <w:rPr>
          <w:rFonts w:cs="Corbel"/>
          <w:color w:val="auto"/>
          <w:szCs w:val="23"/>
        </w:rPr>
        <w:t>a</w:t>
      </w:r>
      <w:r w:rsidRPr="00096770">
        <w:rPr>
          <w:rFonts w:cs="Corbel"/>
          <w:color w:val="auto"/>
          <w:szCs w:val="23"/>
        </w:rPr>
        <w:t>n increase in the proportion of social housing occupants whose needs are met and are satisfied with services provided by their housing organisation;</w:t>
      </w:r>
    </w:p>
    <w:p w14:paraId="088861E5" w14:textId="24685062" w:rsidR="00096770" w:rsidRPr="00096770" w:rsidRDefault="00096770" w:rsidP="00A137C5">
      <w:pPr>
        <w:pStyle w:val="AlphaParagraph"/>
        <w:numPr>
          <w:ilvl w:val="0"/>
          <w:numId w:val="94"/>
        </w:numPr>
        <w:tabs>
          <w:tab w:val="clear" w:pos="283"/>
          <w:tab w:val="clear" w:pos="567"/>
          <w:tab w:val="clear" w:pos="1134"/>
          <w:tab w:val="clear" w:pos="1418"/>
        </w:tabs>
        <w:ind w:hanging="567"/>
        <w:rPr>
          <w:rFonts w:cs="Corbel"/>
          <w:color w:val="auto"/>
          <w:szCs w:val="23"/>
        </w:rPr>
      </w:pPr>
      <w:r>
        <w:rPr>
          <w:rFonts w:cs="Corbel"/>
          <w:color w:val="auto"/>
          <w:szCs w:val="23"/>
        </w:rPr>
        <w:t>a</w:t>
      </w:r>
      <w:r w:rsidRPr="00096770">
        <w:rPr>
          <w:rFonts w:cs="Corbel"/>
          <w:color w:val="auto"/>
          <w:szCs w:val="23"/>
        </w:rPr>
        <w:t xml:space="preserve"> decrease in the number of </w:t>
      </w:r>
      <w:r w:rsidR="006D53FE">
        <w:rPr>
          <w:rFonts w:cs="Corbel"/>
          <w:color w:val="auto"/>
          <w:szCs w:val="23"/>
        </w:rPr>
        <w:t>people</w:t>
      </w:r>
      <w:r w:rsidR="006D53FE" w:rsidRPr="00096770">
        <w:rPr>
          <w:rFonts w:cs="Corbel"/>
          <w:color w:val="auto"/>
          <w:szCs w:val="23"/>
        </w:rPr>
        <w:t xml:space="preserve"> </w:t>
      </w:r>
      <w:r w:rsidRPr="00096770">
        <w:rPr>
          <w:rFonts w:cs="Corbel"/>
          <w:color w:val="auto"/>
          <w:szCs w:val="23"/>
        </w:rPr>
        <w:t>experiencing homelessness;</w:t>
      </w:r>
    </w:p>
    <w:p w14:paraId="73204D81" w14:textId="76D4B455" w:rsidR="00096770" w:rsidRPr="00096770" w:rsidRDefault="00096770" w:rsidP="00A137C5">
      <w:pPr>
        <w:pStyle w:val="AlphaParagraph"/>
        <w:numPr>
          <w:ilvl w:val="0"/>
          <w:numId w:val="94"/>
        </w:numPr>
        <w:tabs>
          <w:tab w:val="clear" w:pos="283"/>
          <w:tab w:val="clear" w:pos="567"/>
          <w:tab w:val="clear" w:pos="1134"/>
          <w:tab w:val="clear" w:pos="1418"/>
        </w:tabs>
        <w:ind w:hanging="567"/>
        <w:rPr>
          <w:rFonts w:cs="Corbel"/>
          <w:color w:val="auto"/>
          <w:szCs w:val="23"/>
        </w:rPr>
      </w:pPr>
      <w:r>
        <w:rPr>
          <w:rFonts w:cs="Corbel"/>
          <w:color w:val="auto"/>
          <w:szCs w:val="23"/>
        </w:rPr>
        <w:t>a</w:t>
      </w:r>
      <w:r w:rsidRPr="00096770">
        <w:rPr>
          <w:rFonts w:cs="Corbel"/>
          <w:color w:val="auto"/>
          <w:szCs w:val="23"/>
        </w:rPr>
        <w:t xml:space="preserve"> decrease in the number of people that experience repeat homelessness;</w:t>
      </w:r>
    </w:p>
    <w:p w14:paraId="394A3A5C" w14:textId="64F5D00D" w:rsidR="00096770" w:rsidRPr="00096770" w:rsidRDefault="00096770" w:rsidP="00A137C5">
      <w:pPr>
        <w:pStyle w:val="AlphaParagraph"/>
        <w:numPr>
          <w:ilvl w:val="0"/>
          <w:numId w:val="94"/>
        </w:numPr>
        <w:tabs>
          <w:tab w:val="clear" w:pos="283"/>
          <w:tab w:val="clear" w:pos="567"/>
          <w:tab w:val="clear" w:pos="1134"/>
          <w:tab w:val="clear" w:pos="1418"/>
        </w:tabs>
        <w:ind w:hanging="567"/>
        <w:rPr>
          <w:rFonts w:cs="Corbel"/>
          <w:color w:val="auto"/>
          <w:szCs w:val="23"/>
        </w:rPr>
      </w:pPr>
      <w:r>
        <w:rPr>
          <w:rFonts w:cs="Corbel"/>
          <w:color w:val="auto"/>
          <w:szCs w:val="23"/>
        </w:rPr>
        <w:t>a</w:t>
      </w:r>
      <w:r w:rsidRPr="00096770">
        <w:rPr>
          <w:rFonts w:cs="Corbel"/>
          <w:color w:val="auto"/>
          <w:szCs w:val="23"/>
        </w:rPr>
        <w:t>n increase in the proportion of people who are at risk of homelessness that receive assistance to avoid homelessness;</w:t>
      </w:r>
    </w:p>
    <w:p w14:paraId="76269BF9" w14:textId="267BEAD7" w:rsidR="00096770" w:rsidRPr="00096770" w:rsidRDefault="00096770" w:rsidP="00A137C5">
      <w:pPr>
        <w:pStyle w:val="AlphaParagraph"/>
        <w:numPr>
          <w:ilvl w:val="0"/>
          <w:numId w:val="94"/>
        </w:numPr>
        <w:tabs>
          <w:tab w:val="clear" w:pos="283"/>
          <w:tab w:val="clear" w:pos="567"/>
          <w:tab w:val="clear" w:pos="1134"/>
          <w:tab w:val="clear" w:pos="1418"/>
        </w:tabs>
        <w:ind w:hanging="567"/>
        <w:rPr>
          <w:rFonts w:cs="Corbel"/>
          <w:color w:val="auto"/>
          <w:szCs w:val="23"/>
        </w:rPr>
      </w:pPr>
      <w:r>
        <w:rPr>
          <w:rFonts w:cs="Corbel"/>
          <w:color w:val="auto"/>
          <w:szCs w:val="23"/>
        </w:rPr>
        <w:t>a</w:t>
      </w:r>
      <w:r w:rsidRPr="00096770">
        <w:rPr>
          <w:rFonts w:cs="Corbel"/>
          <w:color w:val="auto"/>
          <w:szCs w:val="23"/>
        </w:rPr>
        <w:t>n increase in the proportion of people who are homeless that are assisted to achieve housing;</w:t>
      </w:r>
    </w:p>
    <w:p w14:paraId="423AA49B" w14:textId="6F8591BC" w:rsidR="00096770" w:rsidRDefault="00096770" w:rsidP="00A137C5">
      <w:pPr>
        <w:pStyle w:val="AlphaParagraph"/>
        <w:numPr>
          <w:ilvl w:val="0"/>
          <w:numId w:val="94"/>
        </w:numPr>
        <w:tabs>
          <w:tab w:val="clear" w:pos="283"/>
          <w:tab w:val="clear" w:pos="567"/>
          <w:tab w:val="clear" w:pos="1134"/>
          <w:tab w:val="clear" w:pos="1418"/>
        </w:tabs>
        <w:ind w:hanging="567"/>
        <w:rPr>
          <w:rFonts w:cs="Corbel"/>
          <w:color w:val="auto"/>
          <w:szCs w:val="23"/>
        </w:rPr>
      </w:pPr>
      <w:r>
        <w:rPr>
          <w:rFonts w:cs="Corbel"/>
          <w:color w:val="auto"/>
          <w:szCs w:val="23"/>
        </w:rPr>
        <w:t>a</w:t>
      </w:r>
      <w:r w:rsidRPr="00096770">
        <w:rPr>
          <w:rFonts w:cs="Corbel"/>
          <w:color w:val="auto"/>
          <w:szCs w:val="23"/>
        </w:rPr>
        <w:t>n increase in the number of dwellings that are permitted by zoning in cities or urban areas;</w:t>
      </w:r>
    </w:p>
    <w:p w14:paraId="158EAD3F" w14:textId="72CD57E2" w:rsidR="00BD6C22" w:rsidRPr="006B0F32" w:rsidRDefault="001D6FD7" w:rsidP="009E22CB">
      <w:pPr>
        <w:pStyle w:val="AlphaParagraph"/>
        <w:numPr>
          <w:ilvl w:val="1"/>
          <w:numId w:val="94"/>
        </w:numPr>
        <w:tabs>
          <w:tab w:val="clear" w:pos="283"/>
          <w:tab w:val="clear" w:pos="567"/>
          <w:tab w:val="clear" w:pos="1134"/>
          <w:tab w:val="clear" w:pos="1418"/>
        </w:tabs>
        <w:rPr>
          <w:rFonts w:cs="Corbel"/>
          <w:color w:val="auto"/>
          <w:szCs w:val="23"/>
        </w:rPr>
      </w:pPr>
      <w:r w:rsidRPr="006B0F32">
        <w:rPr>
          <w:rFonts w:cs="Corbel"/>
          <w:color w:val="auto"/>
          <w:szCs w:val="23"/>
        </w:rPr>
        <w:t>the measurement of this</w:t>
      </w:r>
      <w:r w:rsidR="00D834DC" w:rsidRPr="006B0F32">
        <w:rPr>
          <w:rFonts w:cs="Corbel"/>
          <w:color w:val="auto"/>
          <w:szCs w:val="23"/>
        </w:rPr>
        <w:t xml:space="preserve"> indicator will be considered as part of the operation of the Housing and Homelessness Data Working Group (established by Schedule C), with </w:t>
      </w:r>
      <w:r w:rsidR="005C6BFD" w:rsidRPr="006B0F32">
        <w:rPr>
          <w:rFonts w:cs="Corbel"/>
          <w:color w:val="auto"/>
          <w:szCs w:val="23"/>
        </w:rPr>
        <w:lastRenderedPageBreak/>
        <w:t xml:space="preserve">measurement </w:t>
      </w:r>
      <w:r w:rsidR="00D834DC" w:rsidRPr="006B0F32">
        <w:rPr>
          <w:rFonts w:cs="Corbel"/>
          <w:color w:val="auto"/>
          <w:szCs w:val="23"/>
        </w:rPr>
        <w:t xml:space="preserve">to </w:t>
      </w:r>
      <w:r w:rsidR="005C6BFD" w:rsidRPr="006B0F32">
        <w:rPr>
          <w:rFonts w:cs="Corbel"/>
          <w:color w:val="auto"/>
          <w:szCs w:val="23"/>
        </w:rPr>
        <w:t>commence</w:t>
      </w:r>
      <w:r w:rsidR="00BD6C22" w:rsidRPr="006B0F32">
        <w:rPr>
          <w:rFonts w:cs="Corbel"/>
          <w:color w:val="auto"/>
          <w:szCs w:val="23"/>
        </w:rPr>
        <w:t xml:space="preserve"> from 1 July 2021</w:t>
      </w:r>
      <w:r w:rsidR="00012A88" w:rsidRPr="006B0F32">
        <w:rPr>
          <w:rFonts w:cs="Corbel"/>
          <w:color w:val="auto"/>
          <w:szCs w:val="23"/>
        </w:rPr>
        <w:t xml:space="preserve"> subject to the development of a reliable measure</w:t>
      </w:r>
      <w:r w:rsidR="00BD6C22" w:rsidRPr="006B0F32">
        <w:rPr>
          <w:rFonts w:cs="Corbel"/>
          <w:color w:val="auto"/>
          <w:szCs w:val="23"/>
        </w:rPr>
        <w:t>;</w:t>
      </w:r>
    </w:p>
    <w:p w14:paraId="5EC99F9B" w14:textId="2255AA90" w:rsidR="00096770" w:rsidRPr="00096770" w:rsidRDefault="00096770" w:rsidP="00A137C5">
      <w:pPr>
        <w:pStyle w:val="AlphaParagraph"/>
        <w:numPr>
          <w:ilvl w:val="0"/>
          <w:numId w:val="94"/>
        </w:numPr>
        <w:tabs>
          <w:tab w:val="clear" w:pos="283"/>
          <w:tab w:val="clear" w:pos="567"/>
          <w:tab w:val="clear" w:pos="1134"/>
          <w:tab w:val="clear" w:pos="1418"/>
        </w:tabs>
        <w:ind w:hanging="567"/>
        <w:rPr>
          <w:rFonts w:cs="Corbel"/>
          <w:color w:val="auto"/>
          <w:szCs w:val="23"/>
        </w:rPr>
      </w:pPr>
      <w:r>
        <w:rPr>
          <w:rFonts w:cs="Corbel"/>
          <w:color w:val="auto"/>
          <w:szCs w:val="23"/>
        </w:rPr>
        <w:t>a</w:t>
      </w:r>
      <w:r w:rsidRPr="00096770">
        <w:rPr>
          <w:rFonts w:cs="Corbel"/>
          <w:color w:val="auto"/>
          <w:szCs w:val="23"/>
        </w:rPr>
        <w:t xml:space="preserve"> reduction in the average time taken to decide the outcome of a development application </w:t>
      </w:r>
      <w:r w:rsidR="002B5B3D" w:rsidRPr="006B0F32">
        <w:rPr>
          <w:rFonts w:cs="Corbel"/>
          <w:color w:val="auto"/>
          <w:szCs w:val="23"/>
        </w:rPr>
        <w:t>or residential building permit (as applicable)</w:t>
      </w:r>
      <w:r w:rsidR="002B5B3D">
        <w:rPr>
          <w:rFonts w:cs="Corbel"/>
          <w:color w:val="auto"/>
          <w:szCs w:val="23"/>
        </w:rPr>
        <w:t xml:space="preserve"> </w:t>
      </w:r>
      <w:r w:rsidRPr="00096770">
        <w:rPr>
          <w:rFonts w:cs="Corbel"/>
          <w:color w:val="auto"/>
          <w:szCs w:val="23"/>
        </w:rPr>
        <w:t>in cities or urban areas;</w:t>
      </w:r>
    </w:p>
    <w:p w14:paraId="77FCDA37" w14:textId="1B8D675B" w:rsidR="00096770" w:rsidRPr="00096770" w:rsidRDefault="00096770" w:rsidP="00A137C5">
      <w:pPr>
        <w:pStyle w:val="AlphaParagraph"/>
        <w:numPr>
          <w:ilvl w:val="0"/>
          <w:numId w:val="94"/>
        </w:numPr>
        <w:tabs>
          <w:tab w:val="clear" w:pos="283"/>
          <w:tab w:val="clear" w:pos="567"/>
          <w:tab w:val="clear" w:pos="1134"/>
          <w:tab w:val="clear" w:pos="1418"/>
        </w:tabs>
        <w:ind w:hanging="567"/>
        <w:rPr>
          <w:rFonts w:cs="Corbel"/>
          <w:color w:val="auto"/>
          <w:szCs w:val="23"/>
        </w:rPr>
      </w:pPr>
      <w:r>
        <w:rPr>
          <w:rFonts w:cs="Corbel"/>
          <w:color w:val="auto"/>
          <w:szCs w:val="23"/>
        </w:rPr>
        <w:t>a</w:t>
      </w:r>
      <w:r w:rsidRPr="00096770">
        <w:rPr>
          <w:rFonts w:cs="Corbel"/>
          <w:color w:val="auto"/>
          <w:szCs w:val="23"/>
        </w:rPr>
        <w:t xml:space="preserve"> decrease in the proportion of rental households </w:t>
      </w:r>
      <w:r w:rsidR="007A7909">
        <w:rPr>
          <w:rFonts w:cs="Corbel"/>
          <w:color w:val="auto"/>
          <w:szCs w:val="23"/>
        </w:rPr>
        <w:t>with</w:t>
      </w:r>
      <w:r w:rsidRPr="00096770">
        <w:rPr>
          <w:rFonts w:cs="Corbel"/>
          <w:color w:val="auto"/>
          <w:szCs w:val="23"/>
        </w:rPr>
        <w:t xml:space="preserve"> household income</w:t>
      </w:r>
      <w:r w:rsidR="007A7909">
        <w:rPr>
          <w:rFonts w:cs="Corbel"/>
          <w:color w:val="auto"/>
          <w:szCs w:val="23"/>
        </w:rPr>
        <w:t xml:space="preserve"> in the bottom two</w:t>
      </w:r>
      <w:r w:rsidRPr="00096770">
        <w:rPr>
          <w:rFonts w:cs="Corbel"/>
          <w:color w:val="auto"/>
          <w:szCs w:val="23"/>
        </w:rPr>
        <w:t xml:space="preserve"> quintiles that spend more than 30 per cent of their income on rent; and</w:t>
      </w:r>
    </w:p>
    <w:p w14:paraId="6F2E7742" w14:textId="689CD5A6" w:rsidR="00CD323A" w:rsidRPr="00A137C5" w:rsidRDefault="00096770" w:rsidP="00A137C5">
      <w:pPr>
        <w:pStyle w:val="AlphaParagraph"/>
        <w:numPr>
          <w:ilvl w:val="0"/>
          <w:numId w:val="94"/>
        </w:numPr>
        <w:tabs>
          <w:tab w:val="clear" w:pos="283"/>
          <w:tab w:val="clear" w:pos="567"/>
          <w:tab w:val="clear" w:pos="1134"/>
          <w:tab w:val="clear" w:pos="1418"/>
        </w:tabs>
        <w:ind w:hanging="567"/>
        <w:rPr>
          <w:rFonts w:cs="Corbel"/>
          <w:color w:val="auto"/>
          <w:szCs w:val="23"/>
        </w:rPr>
      </w:pPr>
      <w:r>
        <w:rPr>
          <w:rFonts w:cs="Corbel"/>
          <w:color w:val="auto"/>
          <w:szCs w:val="23"/>
        </w:rPr>
        <w:t>a</w:t>
      </w:r>
      <w:r w:rsidRPr="00096770">
        <w:rPr>
          <w:rFonts w:cs="Corbel"/>
          <w:color w:val="auto"/>
          <w:szCs w:val="23"/>
        </w:rPr>
        <w:t>n increase in the proportion of Indigenous Australians purchasing or owning their own home</w:t>
      </w:r>
      <w:r w:rsidR="00306B62" w:rsidRPr="00096770">
        <w:rPr>
          <w:rFonts w:cs="Corbel"/>
          <w:color w:val="auto"/>
          <w:szCs w:val="23"/>
        </w:rPr>
        <w:t>.</w:t>
      </w:r>
    </w:p>
    <w:p w14:paraId="209EECF7" w14:textId="61A43F3C" w:rsidR="00FA655A" w:rsidRPr="006B0F32" w:rsidRDefault="00FA655A" w:rsidP="00FA655A">
      <w:pPr>
        <w:pStyle w:val="Normalnumbered"/>
        <w:numPr>
          <w:ilvl w:val="0"/>
          <w:numId w:val="9"/>
        </w:numPr>
        <w:jc w:val="left"/>
      </w:pPr>
      <w:r w:rsidRPr="006B0F32">
        <w:t xml:space="preserve">The </w:t>
      </w:r>
      <w:r w:rsidR="0024233A" w:rsidRPr="006B0F32">
        <w:t>reporting</w:t>
      </w:r>
      <w:r w:rsidRPr="006B0F32">
        <w:t xml:space="preserve"> o</w:t>
      </w:r>
      <w:r w:rsidR="0024233A" w:rsidRPr="006B0F32">
        <w:t>n</w:t>
      </w:r>
      <w:r w:rsidRPr="006B0F32">
        <w:t xml:space="preserve"> performance under this Agreement will include disaggregation of each national performance indicator (where appropriate) to identify Indigenous Australians and other </w:t>
      </w:r>
      <w:r w:rsidRPr="006B0F32">
        <w:rPr>
          <w:b/>
        </w:rPr>
        <w:t>priority homelessness cohorts</w:t>
      </w:r>
      <w:r w:rsidRPr="006B0F32">
        <w:t>.</w:t>
      </w:r>
    </w:p>
    <w:p w14:paraId="5BDF3714" w14:textId="22F66391" w:rsidR="002A0307" w:rsidRDefault="00BC2653" w:rsidP="003D3D18">
      <w:pPr>
        <w:pStyle w:val="Normalnumbered"/>
        <w:numPr>
          <w:ilvl w:val="0"/>
          <w:numId w:val="9"/>
        </w:numPr>
        <w:jc w:val="left"/>
      </w:pPr>
      <w:r w:rsidRPr="004165D6">
        <w:t>Additional n</w:t>
      </w:r>
      <w:r w:rsidR="002A0307" w:rsidRPr="004165D6">
        <w:t xml:space="preserve">ational performance </w:t>
      </w:r>
      <w:r w:rsidRPr="004165D6">
        <w:t>indicators</w:t>
      </w:r>
      <w:r w:rsidR="002A0307" w:rsidRPr="004165D6">
        <w:t xml:space="preserve"> may be agreed between the </w:t>
      </w:r>
      <w:r w:rsidR="00012A88">
        <w:t>P</w:t>
      </w:r>
      <w:r w:rsidR="002A0307" w:rsidRPr="004165D6">
        <w:t xml:space="preserve">arties from time </w:t>
      </w:r>
      <w:r w:rsidR="007A7909">
        <w:t>to time, and set out in a s</w:t>
      </w:r>
      <w:r w:rsidR="002A0307" w:rsidRPr="004165D6">
        <w:t xml:space="preserve">chedule for that purpose. </w:t>
      </w:r>
    </w:p>
    <w:p w14:paraId="53B3FC1F" w14:textId="751ACFC3" w:rsidR="002E6DE4" w:rsidRPr="00901179" w:rsidRDefault="00C21D4B" w:rsidP="003D3D18">
      <w:pPr>
        <w:pStyle w:val="Normalnumbered"/>
        <w:numPr>
          <w:ilvl w:val="0"/>
          <w:numId w:val="9"/>
        </w:numPr>
        <w:jc w:val="left"/>
      </w:pPr>
      <w:r>
        <w:t>For the avoidance of doubt, t</w:t>
      </w:r>
      <w:r w:rsidR="002E6DE4">
        <w:t xml:space="preserve">he Commonwealth’s estimated financial contribution to the State </w:t>
      </w:r>
      <w:r w:rsidR="005E5288">
        <w:t>is not contingent upon performance against the</w:t>
      </w:r>
      <w:r w:rsidR="002E6DE4">
        <w:t xml:space="preserve"> performance indicators set out in </w:t>
      </w:r>
      <w:r w:rsidR="002E6DE4" w:rsidRPr="009D6AF2">
        <w:t xml:space="preserve">clause </w:t>
      </w:r>
      <w:r w:rsidR="00AF7433" w:rsidRPr="00A137C5">
        <w:t>3</w:t>
      </w:r>
      <w:r w:rsidR="00987821">
        <w:t>1</w:t>
      </w:r>
      <w:r w:rsidR="005E5288" w:rsidRPr="009D6AF2">
        <w:t>.</w:t>
      </w:r>
      <w:r w:rsidR="002E6DE4" w:rsidRPr="009D6AF2">
        <w:t xml:space="preserve"> </w:t>
      </w:r>
    </w:p>
    <w:p w14:paraId="14F07D5C" w14:textId="247846EF" w:rsidR="00C507CB" w:rsidRDefault="00C507CB" w:rsidP="00A952E9">
      <w:pPr>
        <w:pStyle w:val="Heading2"/>
      </w:pPr>
      <w:r>
        <w:t xml:space="preserve">Performance benchmarks </w:t>
      </w:r>
    </w:p>
    <w:p w14:paraId="15637B27" w14:textId="2310FB79" w:rsidR="00C507CB" w:rsidRPr="00C507CB" w:rsidRDefault="000B195E" w:rsidP="00C507CB">
      <w:pPr>
        <w:pStyle w:val="Normalnumbered"/>
        <w:numPr>
          <w:ilvl w:val="0"/>
          <w:numId w:val="9"/>
        </w:numPr>
        <w:jc w:val="left"/>
      </w:pPr>
      <w:r>
        <w:t>N</w:t>
      </w:r>
      <w:r w:rsidR="00C507CB" w:rsidRPr="004165D6">
        <w:t xml:space="preserve">ational performance benchmarks may be agreed between the </w:t>
      </w:r>
      <w:r w:rsidR="00217674">
        <w:t>P</w:t>
      </w:r>
      <w:r w:rsidR="00C507CB" w:rsidRPr="004165D6">
        <w:t xml:space="preserve">arties from </w:t>
      </w:r>
      <w:r w:rsidR="007A7909">
        <w:t>time to time, and set out in a s</w:t>
      </w:r>
      <w:r w:rsidR="00C507CB" w:rsidRPr="004165D6">
        <w:t>chedule for that purpose.</w:t>
      </w:r>
    </w:p>
    <w:p w14:paraId="662B8864" w14:textId="39F8D556" w:rsidR="006666D9" w:rsidRPr="00EF45D2" w:rsidRDefault="00294146" w:rsidP="00BA2C43">
      <w:pPr>
        <w:pStyle w:val="Heading2"/>
      </w:pPr>
      <w:r>
        <w:t xml:space="preserve">Reporting </w:t>
      </w:r>
    </w:p>
    <w:p w14:paraId="0B062B2F" w14:textId="59FAA5F4" w:rsidR="00E94F94" w:rsidRPr="00E94F94" w:rsidRDefault="00E94F94" w:rsidP="00E94F94">
      <w:pPr>
        <w:pStyle w:val="Heading3"/>
      </w:pPr>
      <w:r w:rsidRPr="00E94F94">
        <w:t>Statement of assurance</w:t>
      </w:r>
    </w:p>
    <w:p w14:paraId="0D2DA4D7" w14:textId="429E5DB8" w:rsidR="007B78EA" w:rsidRPr="009D6AF2" w:rsidRDefault="00C9318C" w:rsidP="005B78D3">
      <w:pPr>
        <w:pStyle w:val="Normalnumbered"/>
        <w:numPr>
          <w:ilvl w:val="0"/>
          <w:numId w:val="9"/>
        </w:numPr>
        <w:jc w:val="left"/>
      </w:pPr>
      <w:r>
        <w:t xml:space="preserve">Each </w:t>
      </w:r>
      <w:r w:rsidR="008C1215" w:rsidRPr="00EF45D2">
        <w:t xml:space="preserve">State will provide to </w:t>
      </w:r>
      <w:r w:rsidR="008C1215" w:rsidRPr="00ED4D09">
        <w:t xml:space="preserve">the </w:t>
      </w:r>
      <w:r w:rsidR="00A137C5" w:rsidRPr="009E22CB">
        <w:t>relevant Commonwealth Minister</w:t>
      </w:r>
      <w:r w:rsidR="00A137C5" w:rsidRPr="00ED4D09">
        <w:t xml:space="preserve"> (or a relevant</w:t>
      </w:r>
      <w:r w:rsidR="00A137C5">
        <w:t xml:space="preserve"> Commonwealth official) </w:t>
      </w:r>
      <w:r w:rsidR="008C1215" w:rsidRPr="00EF45D2">
        <w:t>a</w:t>
      </w:r>
      <w:r w:rsidR="008C1215">
        <w:t xml:space="preserve">n annual </w:t>
      </w:r>
      <w:r w:rsidR="008C1215" w:rsidRPr="00EF45D2">
        <w:t>statement of assurance that</w:t>
      </w:r>
      <w:r w:rsidR="008C1215">
        <w:t xml:space="preserve"> </w:t>
      </w:r>
      <w:r>
        <w:t>it</w:t>
      </w:r>
      <w:r w:rsidR="008C1215">
        <w:t xml:space="preserve"> has satisfied the requirements set </w:t>
      </w:r>
      <w:r w:rsidR="008C1215" w:rsidRPr="009D6AF2">
        <w:t xml:space="preserve">out in </w:t>
      </w:r>
      <w:r w:rsidR="008C1215" w:rsidRPr="00A137C5">
        <w:t xml:space="preserve">clause </w:t>
      </w:r>
      <w:r w:rsidR="00C7510D" w:rsidRPr="00A137C5">
        <w:t>1</w:t>
      </w:r>
      <w:r w:rsidR="0040596A" w:rsidRPr="00A137C5">
        <w:t>7</w:t>
      </w:r>
      <w:r w:rsidR="00C7510D" w:rsidRPr="00A137C5">
        <w:t xml:space="preserve"> </w:t>
      </w:r>
      <w:r w:rsidR="008C1215" w:rsidRPr="009D6AF2">
        <w:t>(‘</w:t>
      </w:r>
      <w:r w:rsidR="008C1215" w:rsidRPr="00901179">
        <w:t>Outputs’</w:t>
      </w:r>
      <w:r w:rsidR="008C1215" w:rsidRPr="0040596A">
        <w:t>)</w:t>
      </w:r>
      <w:r w:rsidR="007B78EA" w:rsidRPr="0040596A">
        <w:t>,</w:t>
      </w:r>
      <w:r w:rsidR="005B78D3" w:rsidRPr="0040596A">
        <w:t xml:space="preserve"> </w:t>
      </w:r>
      <w:r w:rsidR="00514F8E" w:rsidRPr="00A137C5">
        <w:t>clause 4</w:t>
      </w:r>
      <w:r w:rsidR="00F0459C">
        <w:t>6</w:t>
      </w:r>
      <w:r w:rsidR="00514F8E" w:rsidRPr="009D6AF2">
        <w:t xml:space="preserve"> (‘General Funding’) and </w:t>
      </w:r>
      <w:r w:rsidR="00514F8E" w:rsidRPr="00A137C5">
        <w:t>clause 4</w:t>
      </w:r>
      <w:r w:rsidR="0040596A" w:rsidRPr="00A137C5">
        <w:t>9</w:t>
      </w:r>
      <w:r w:rsidR="00514F8E" w:rsidRPr="009D6AF2">
        <w:t xml:space="preserve"> (‘Homelessness Funding’). </w:t>
      </w:r>
    </w:p>
    <w:p w14:paraId="4C373333" w14:textId="19073386" w:rsidR="00514F8E" w:rsidRPr="00DD1F17" w:rsidRDefault="007B78EA" w:rsidP="007B78EA">
      <w:pPr>
        <w:pStyle w:val="Normalnumbered"/>
        <w:numPr>
          <w:ilvl w:val="0"/>
          <w:numId w:val="9"/>
        </w:numPr>
        <w:jc w:val="left"/>
      </w:pPr>
      <w:r>
        <w:t>The statement should</w:t>
      </w:r>
      <w:r w:rsidR="0040596A">
        <w:t xml:space="preserve"> also</w:t>
      </w:r>
      <w:r w:rsidR="00514F8E" w:rsidRPr="00DD1F17">
        <w:t xml:space="preserve"> include: </w:t>
      </w:r>
    </w:p>
    <w:p w14:paraId="7CB40D4F" w14:textId="0866B1BD" w:rsidR="00514F8E" w:rsidRPr="006B0F32" w:rsidRDefault="00514F8E" w:rsidP="00514F8E">
      <w:pPr>
        <w:pStyle w:val="Normalnumbered"/>
        <w:numPr>
          <w:ilvl w:val="1"/>
          <w:numId w:val="9"/>
        </w:numPr>
        <w:jc w:val="left"/>
        <w:rPr>
          <w:color w:val="auto"/>
        </w:rPr>
      </w:pPr>
      <w:r w:rsidRPr="006B0F32">
        <w:rPr>
          <w:color w:val="auto"/>
        </w:rPr>
        <w:t xml:space="preserve">actual Commonwealth funding and expenditure under this Agreement </w:t>
      </w:r>
      <w:r w:rsidR="00EA1EE1" w:rsidRPr="006B0F32">
        <w:rPr>
          <w:color w:val="auto"/>
        </w:rPr>
        <w:t xml:space="preserve">separately identified for housing and homelessness </w:t>
      </w:r>
      <w:r w:rsidRPr="006B0F32">
        <w:rPr>
          <w:color w:val="auto"/>
        </w:rPr>
        <w:t>and State</w:t>
      </w:r>
      <w:r w:rsidRPr="006B0F32">
        <w:rPr>
          <w:color w:val="auto"/>
        </w:rPr>
        <w:noBreakHyphen/>
        <w:t xml:space="preserve">own funding and expenditure </w:t>
      </w:r>
      <w:r w:rsidR="00EA1EE1" w:rsidRPr="006B0F32">
        <w:rPr>
          <w:color w:val="auto"/>
        </w:rPr>
        <w:t>in respect of</w:t>
      </w:r>
      <w:r w:rsidR="00FC7358" w:rsidRPr="006B0F32">
        <w:rPr>
          <w:color w:val="auto"/>
        </w:rPr>
        <w:t xml:space="preserve"> the</w:t>
      </w:r>
      <w:r w:rsidR="00EA1EE1" w:rsidRPr="006B0F32">
        <w:rPr>
          <w:color w:val="auto"/>
        </w:rPr>
        <w:t xml:space="preserve"> social housing and homelessness</w:t>
      </w:r>
      <w:r w:rsidR="00FC7358" w:rsidRPr="006B0F32">
        <w:rPr>
          <w:color w:val="auto"/>
        </w:rPr>
        <w:t xml:space="preserve"> sectors</w:t>
      </w:r>
      <w:r w:rsidR="00EA1EE1" w:rsidRPr="006B0F32">
        <w:rPr>
          <w:color w:val="auto"/>
        </w:rPr>
        <w:t xml:space="preserve"> </w:t>
      </w:r>
      <w:r w:rsidRPr="006B0F32">
        <w:rPr>
          <w:color w:val="auto"/>
        </w:rPr>
        <w:t>for the relevant financial year;</w:t>
      </w:r>
    </w:p>
    <w:p w14:paraId="226F821E" w14:textId="1753CFED" w:rsidR="00514F8E" w:rsidRPr="006B0F32" w:rsidRDefault="00514F8E" w:rsidP="009E22CB">
      <w:pPr>
        <w:pStyle w:val="Normalnumbered"/>
        <w:numPr>
          <w:ilvl w:val="2"/>
          <w:numId w:val="9"/>
        </w:numPr>
        <w:jc w:val="left"/>
        <w:rPr>
          <w:color w:val="auto"/>
        </w:rPr>
      </w:pPr>
      <w:r w:rsidRPr="006B0F32">
        <w:rPr>
          <w:color w:val="auto"/>
        </w:rPr>
        <w:t xml:space="preserve">actual </w:t>
      </w:r>
      <w:r w:rsidR="004456D6" w:rsidRPr="006B0F32">
        <w:rPr>
          <w:color w:val="auto"/>
        </w:rPr>
        <w:t xml:space="preserve">homelessness </w:t>
      </w:r>
      <w:r w:rsidRPr="006B0F32">
        <w:rPr>
          <w:color w:val="auto"/>
        </w:rPr>
        <w:t>expenditure</w:t>
      </w:r>
      <w:r w:rsidR="004456D6" w:rsidRPr="006B0F32">
        <w:rPr>
          <w:color w:val="auto"/>
        </w:rPr>
        <w:t xml:space="preserve"> will be disaggregated to</w:t>
      </w:r>
      <w:r w:rsidRPr="006B0F32">
        <w:rPr>
          <w:color w:val="auto"/>
        </w:rPr>
        <w:t xml:space="preserve"> separately identif</w:t>
      </w:r>
      <w:r w:rsidR="004456D6" w:rsidRPr="006B0F32">
        <w:rPr>
          <w:color w:val="auto"/>
        </w:rPr>
        <w:t>y</w:t>
      </w:r>
      <w:r w:rsidRPr="006B0F32">
        <w:rPr>
          <w:color w:val="auto"/>
        </w:rPr>
        <w:t xml:space="preserve"> each of the national</w:t>
      </w:r>
      <w:r w:rsidRPr="006B0F32">
        <w:rPr>
          <w:b/>
          <w:color w:val="auto"/>
        </w:rPr>
        <w:t xml:space="preserve"> priority homelessness cohorts </w:t>
      </w:r>
      <w:r w:rsidRPr="006B0F32">
        <w:rPr>
          <w:color w:val="auto"/>
        </w:rPr>
        <w:t xml:space="preserve">for the relevant financial year; </w:t>
      </w:r>
    </w:p>
    <w:p w14:paraId="2ADF7A76" w14:textId="66BD4499" w:rsidR="00514F8E" w:rsidRPr="006B0F32" w:rsidRDefault="00514F8E" w:rsidP="00514F8E">
      <w:pPr>
        <w:pStyle w:val="Normalnumbered"/>
        <w:numPr>
          <w:ilvl w:val="1"/>
          <w:numId w:val="9"/>
        </w:numPr>
        <w:jc w:val="left"/>
        <w:rPr>
          <w:color w:val="auto"/>
        </w:rPr>
      </w:pPr>
      <w:r w:rsidRPr="006B0F32">
        <w:rPr>
          <w:color w:val="auto"/>
        </w:rPr>
        <w:t xml:space="preserve">estimated Commonwealth funding and expenditure under this Agreement </w:t>
      </w:r>
      <w:r w:rsidR="00EA1EE1" w:rsidRPr="006B0F32">
        <w:rPr>
          <w:color w:val="auto"/>
        </w:rPr>
        <w:t xml:space="preserve">separately identified for housing and homelessness </w:t>
      </w:r>
      <w:r w:rsidRPr="006B0F32">
        <w:rPr>
          <w:color w:val="auto"/>
        </w:rPr>
        <w:t>and State</w:t>
      </w:r>
      <w:r w:rsidRPr="006B0F32">
        <w:rPr>
          <w:color w:val="auto"/>
        </w:rPr>
        <w:noBreakHyphen/>
        <w:t xml:space="preserve">own funding and expenditure </w:t>
      </w:r>
      <w:r w:rsidR="00EA1EE1" w:rsidRPr="006B0F32">
        <w:rPr>
          <w:color w:val="auto"/>
        </w:rPr>
        <w:t xml:space="preserve"> in respect of </w:t>
      </w:r>
      <w:r w:rsidR="00FC7358" w:rsidRPr="006B0F32">
        <w:rPr>
          <w:color w:val="auto"/>
        </w:rPr>
        <w:t xml:space="preserve">the </w:t>
      </w:r>
      <w:r w:rsidR="00EA1EE1" w:rsidRPr="006B0F32">
        <w:rPr>
          <w:color w:val="auto"/>
        </w:rPr>
        <w:t>social housing and homelessness</w:t>
      </w:r>
      <w:r w:rsidR="00FC7358" w:rsidRPr="006B0F32">
        <w:rPr>
          <w:color w:val="auto"/>
        </w:rPr>
        <w:t xml:space="preserve"> sectors</w:t>
      </w:r>
      <w:r w:rsidR="00EA1EE1" w:rsidRPr="006B0F32">
        <w:rPr>
          <w:color w:val="auto"/>
        </w:rPr>
        <w:t xml:space="preserve"> </w:t>
      </w:r>
      <w:r w:rsidRPr="006B0F32">
        <w:rPr>
          <w:color w:val="auto"/>
        </w:rPr>
        <w:t xml:space="preserve">for the </w:t>
      </w:r>
      <w:r w:rsidR="0024233A" w:rsidRPr="006B0F32">
        <w:rPr>
          <w:color w:val="auto"/>
        </w:rPr>
        <w:t xml:space="preserve">subsequent </w:t>
      </w:r>
      <w:r w:rsidRPr="006B0F32">
        <w:rPr>
          <w:color w:val="auto"/>
        </w:rPr>
        <w:t>financial year.</w:t>
      </w:r>
    </w:p>
    <w:p w14:paraId="020D744A" w14:textId="30249140" w:rsidR="007B78EA" w:rsidRDefault="007B78EA" w:rsidP="00A36131">
      <w:pPr>
        <w:pStyle w:val="Normalnumbered"/>
        <w:numPr>
          <w:ilvl w:val="0"/>
          <w:numId w:val="9"/>
        </w:numPr>
        <w:jc w:val="left"/>
      </w:pPr>
      <w:r w:rsidRPr="00320211">
        <w:t xml:space="preserve">The statement will take the form of official correspondence between the relevant State and Commonwealth Ministers (or delegated officials from the relevant </w:t>
      </w:r>
      <w:r w:rsidRPr="004F5FDF">
        <w:t xml:space="preserve">agencies). </w:t>
      </w:r>
      <w:r w:rsidR="006B22A0">
        <w:t>Statements</w:t>
      </w:r>
      <w:r w:rsidR="006B22A0" w:rsidRPr="00A36131">
        <w:t xml:space="preserve"> may be </w:t>
      </w:r>
      <w:r w:rsidR="006B22A0">
        <w:t>made public</w:t>
      </w:r>
      <w:r w:rsidR="006B22A0" w:rsidRPr="00A36131">
        <w:t xml:space="preserve"> by the Commonwealth</w:t>
      </w:r>
      <w:r w:rsidR="00F0459C">
        <w:t xml:space="preserve"> </w:t>
      </w:r>
      <w:r w:rsidR="00F0459C" w:rsidRPr="006B0F32">
        <w:t>or the States</w:t>
      </w:r>
      <w:r w:rsidR="006B22A0" w:rsidRPr="00A36131">
        <w:t>.</w:t>
      </w:r>
    </w:p>
    <w:p w14:paraId="6B3DB47F" w14:textId="58302C3F" w:rsidR="008C1215" w:rsidRDefault="00C9318C" w:rsidP="00A36131">
      <w:pPr>
        <w:pStyle w:val="Normalnumbered"/>
        <w:numPr>
          <w:ilvl w:val="0"/>
          <w:numId w:val="9"/>
        </w:numPr>
        <w:jc w:val="left"/>
      </w:pPr>
      <w:r>
        <w:t>S</w:t>
      </w:r>
      <w:r w:rsidR="008C1215">
        <w:t xml:space="preserve">tatements </w:t>
      </w:r>
      <w:r w:rsidR="008C1215" w:rsidRPr="00843F28">
        <w:t>for a financial</w:t>
      </w:r>
      <w:r w:rsidR="008C1215" w:rsidRPr="00EF45D2">
        <w:t xml:space="preserve"> year are </w:t>
      </w:r>
      <w:r w:rsidR="001146C3">
        <w:t>required</w:t>
      </w:r>
      <w:r w:rsidR="001146C3" w:rsidRPr="00EF45D2">
        <w:t xml:space="preserve"> </w:t>
      </w:r>
      <w:r w:rsidR="008C1215" w:rsidRPr="00EF45D2">
        <w:t xml:space="preserve">by 31 October </w:t>
      </w:r>
      <w:r w:rsidR="008C1215">
        <w:t>of the following financial</w:t>
      </w:r>
      <w:r w:rsidR="008C1215" w:rsidRPr="00EF45D2">
        <w:t xml:space="preserve"> year</w:t>
      </w:r>
      <w:r w:rsidR="0040596A">
        <w:t>,</w:t>
      </w:r>
      <w:r w:rsidR="00DD1F17" w:rsidRPr="00DD1F17">
        <w:t xml:space="preserve"> </w:t>
      </w:r>
      <w:r w:rsidR="00DD1F17">
        <w:t>or a later date as agreed by the Commonwealth and the relevant State</w:t>
      </w:r>
      <w:r w:rsidR="008C1215" w:rsidRPr="00EF45D2">
        <w:t>.</w:t>
      </w:r>
      <w:r w:rsidR="00B12F71">
        <w:t xml:space="preserve"> </w:t>
      </w:r>
    </w:p>
    <w:p w14:paraId="37615777" w14:textId="32FA628B" w:rsidR="00D14FF3" w:rsidRDefault="00D14FF3" w:rsidP="00592329">
      <w:pPr>
        <w:pStyle w:val="Heading3"/>
      </w:pPr>
      <w:r w:rsidRPr="00DD1F17">
        <w:lastRenderedPageBreak/>
        <w:t xml:space="preserve">Public reporting on bilateral schedules </w:t>
      </w:r>
    </w:p>
    <w:p w14:paraId="28CDED14" w14:textId="75293C44" w:rsidR="00E45E1D" w:rsidRPr="00DD1F17" w:rsidRDefault="00E45E1D" w:rsidP="00584EE6">
      <w:pPr>
        <w:pStyle w:val="Normalnumbered"/>
        <w:numPr>
          <w:ilvl w:val="0"/>
          <w:numId w:val="9"/>
        </w:numPr>
        <w:jc w:val="left"/>
      </w:pPr>
      <w:r w:rsidRPr="00DD1F17">
        <w:t xml:space="preserve">The States will report </w:t>
      </w:r>
      <w:r w:rsidR="00B31D22">
        <w:t xml:space="preserve">on the </w:t>
      </w:r>
      <w:r w:rsidRPr="00DD1F17">
        <w:t xml:space="preserve">reforms </w:t>
      </w:r>
      <w:r w:rsidR="00810FC1">
        <w:t xml:space="preserve">and </w:t>
      </w:r>
      <w:r w:rsidR="00D87A05">
        <w:t>initiatives</w:t>
      </w:r>
      <w:r w:rsidR="00810FC1">
        <w:t xml:space="preserve"> </w:t>
      </w:r>
      <w:r w:rsidRPr="00DD1F17">
        <w:t>agreed in their respective bilateral schedules</w:t>
      </w:r>
      <w:r w:rsidR="000770C3">
        <w:t>, in the manner and in the period set out</w:t>
      </w:r>
      <w:r w:rsidR="008D1639" w:rsidRPr="00DD1F17">
        <w:t xml:space="preserve"> </w:t>
      </w:r>
      <w:r w:rsidR="000770C3">
        <w:t xml:space="preserve">in the </w:t>
      </w:r>
      <w:r w:rsidR="008D1639" w:rsidRPr="00DD1F17">
        <w:t>bilateral schedules</w:t>
      </w:r>
      <w:r w:rsidRPr="00DD1F17">
        <w:t>.</w:t>
      </w:r>
    </w:p>
    <w:p w14:paraId="0D311BD0" w14:textId="25FA1CAC" w:rsidR="00584EE6" w:rsidRPr="00E45E1D" w:rsidRDefault="001366E6" w:rsidP="00584EE6">
      <w:pPr>
        <w:pStyle w:val="Heading3"/>
      </w:pPr>
      <w:r w:rsidRPr="00EB29D0">
        <w:t xml:space="preserve">National </w:t>
      </w:r>
      <w:r w:rsidR="00584EE6" w:rsidRPr="00EB29D0">
        <w:t xml:space="preserve">Performance Reporting </w:t>
      </w:r>
    </w:p>
    <w:p w14:paraId="6446121C" w14:textId="24668C1D" w:rsidR="00EF7FCC" w:rsidRPr="00A137C5" w:rsidRDefault="004F5FDF" w:rsidP="00C06ACD">
      <w:pPr>
        <w:pStyle w:val="Normalnumbered"/>
        <w:numPr>
          <w:ilvl w:val="0"/>
          <w:numId w:val="9"/>
        </w:numPr>
        <w:jc w:val="left"/>
      </w:pPr>
      <w:r w:rsidRPr="004165D6">
        <w:t>The Commonwealth</w:t>
      </w:r>
      <w:r>
        <w:t>, in consultation with the States,</w:t>
      </w:r>
      <w:r w:rsidRPr="004165D6">
        <w:t xml:space="preserve"> will produce </w:t>
      </w:r>
      <w:r w:rsidRPr="006B0F32">
        <w:t>a</w:t>
      </w:r>
      <w:r w:rsidR="00F0459C" w:rsidRPr="006B0F32">
        <w:t>n independent</w:t>
      </w:r>
      <w:r w:rsidRPr="006B0F32">
        <w:t xml:space="preserve"> </w:t>
      </w:r>
      <w:r w:rsidRPr="004165D6">
        <w:t xml:space="preserve">public report </w:t>
      </w:r>
      <w:r>
        <w:t>on</w:t>
      </w:r>
      <w:r w:rsidRPr="004165D6">
        <w:t xml:space="preserve"> the outcomes </w:t>
      </w:r>
      <w:r>
        <w:t>that</w:t>
      </w:r>
      <w:r w:rsidRPr="004165D6">
        <w:t xml:space="preserve"> the Agreement</w:t>
      </w:r>
      <w:r>
        <w:t xml:space="preserve"> contributes to</w:t>
      </w:r>
      <w:r w:rsidRPr="004165D6">
        <w:t xml:space="preserve"> by</w:t>
      </w:r>
      <w:r w:rsidR="005278C0">
        <w:t>, at a minimum,</w:t>
      </w:r>
      <w:r w:rsidRPr="004165D6">
        <w:t xml:space="preserve"> measuring the national performance indicators and benchmarks</w:t>
      </w:r>
      <w:r w:rsidR="005163F8">
        <w:t xml:space="preserve"> </w:t>
      </w:r>
      <w:r w:rsidRPr="004165D6">
        <w:rPr>
          <w:szCs w:val="24"/>
        </w:rPr>
        <w:t>at least annually</w:t>
      </w:r>
      <w:r w:rsidRPr="004165D6">
        <w:t>.</w:t>
      </w:r>
      <w:r>
        <w:t xml:space="preserve"> </w:t>
      </w:r>
    </w:p>
    <w:p w14:paraId="66931AF9" w14:textId="77777777" w:rsidR="008E7527" w:rsidRPr="00EF45D2" w:rsidRDefault="008E7527" w:rsidP="009E093C">
      <w:pPr>
        <w:pStyle w:val="Heading1"/>
      </w:pPr>
      <w:r w:rsidRPr="00EF45D2">
        <w:t>Part 5 — financial arrangements</w:t>
      </w:r>
    </w:p>
    <w:p w14:paraId="6542D020" w14:textId="216B5F3E" w:rsidR="006061B3" w:rsidRPr="00EF45D2" w:rsidRDefault="00CC6D90" w:rsidP="00A41994">
      <w:pPr>
        <w:pStyle w:val="Normalnumbered"/>
        <w:numPr>
          <w:ilvl w:val="0"/>
          <w:numId w:val="9"/>
        </w:numPr>
        <w:jc w:val="left"/>
      </w:pPr>
      <w:r>
        <w:t>In 2018</w:t>
      </w:r>
      <w:r w:rsidR="00AE388D">
        <w:noBreakHyphen/>
      </w:r>
      <w:r>
        <w:t>19, t</w:t>
      </w:r>
      <w:r w:rsidR="008E7527" w:rsidRPr="00EF45D2">
        <w:t>he Commonwealth will provide a</w:t>
      </w:r>
      <w:r w:rsidR="002E144A" w:rsidRPr="00EF45D2">
        <w:t>n estimated</w:t>
      </w:r>
      <w:r w:rsidR="008E7527" w:rsidRPr="00EF45D2">
        <w:t xml:space="preserve"> total financial contribution to the States of</w:t>
      </w:r>
      <w:r w:rsidRPr="00EF45D2">
        <w:t xml:space="preserve"> </w:t>
      </w:r>
      <w:r w:rsidR="007A3E22">
        <w:t>$1,536</w:t>
      </w:r>
      <w:r w:rsidRPr="00EF45D2">
        <w:t xml:space="preserve"> million </w:t>
      </w:r>
      <w:r w:rsidRPr="00EF45D2">
        <w:rPr>
          <w:color w:val="auto"/>
        </w:rPr>
        <w:t>in respect of this Agreement</w:t>
      </w:r>
      <w:r>
        <w:rPr>
          <w:color w:val="auto"/>
        </w:rPr>
        <w:t>.  F</w:t>
      </w:r>
      <w:r w:rsidRPr="00EF45D2">
        <w:t>rom 2019</w:t>
      </w:r>
      <w:r w:rsidR="00AE388D">
        <w:noBreakHyphen/>
      </w:r>
      <w:r w:rsidRPr="00EF45D2">
        <w:t xml:space="preserve">20, the Commonwealth’s </w:t>
      </w:r>
      <w:r w:rsidR="00910D08">
        <w:t xml:space="preserve">estimated </w:t>
      </w:r>
      <w:r w:rsidRPr="00EF45D2">
        <w:t xml:space="preserve">financial contribution will be </w:t>
      </w:r>
      <w:r w:rsidR="00910D08">
        <w:t xml:space="preserve">ongoing and </w:t>
      </w:r>
      <w:r>
        <w:t>the 2018</w:t>
      </w:r>
      <w:r w:rsidR="00AE388D">
        <w:noBreakHyphen/>
      </w:r>
      <w:r>
        <w:t xml:space="preserve">19 </w:t>
      </w:r>
      <w:r w:rsidR="009640E0" w:rsidRPr="006B0F32">
        <w:t xml:space="preserve">general and homelessness funding </w:t>
      </w:r>
      <w:r w:rsidR="0061272C" w:rsidRPr="006B0F32">
        <w:t>will be</w:t>
      </w:r>
      <w:r w:rsidR="009640E0">
        <w:t xml:space="preserve"> </w:t>
      </w:r>
      <w:r w:rsidRPr="00EF45D2">
        <w:t>indexed annually</w:t>
      </w:r>
      <w:r>
        <w:t xml:space="preserve"> by Wage Cost Index 1</w:t>
      </w:r>
      <w:r w:rsidRPr="00EF45D2">
        <w:t>.</w:t>
      </w:r>
      <w:r>
        <w:t xml:space="preserve">  </w:t>
      </w:r>
      <w:r w:rsidR="008E7527" w:rsidRPr="00EF45D2">
        <w:t>All payments are GST exclusive.</w:t>
      </w:r>
    </w:p>
    <w:p w14:paraId="7CAB4EDE" w14:textId="61E78680" w:rsidR="00F40832" w:rsidRPr="00DB465D" w:rsidRDefault="005A5E7A" w:rsidP="00A41994">
      <w:pPr>
        <w:pStyle w:val="Normalnumbered"/>
        <w:numPr>
          <w:ilvl w:val="0"/>
          <w:numId w:val="9"/>
        </w:numPr>
        <w:jc w:val="left"/>
      </w:pPr>
      <w:r w:rsidRPr="00EF45D2">
        <w:t>T</w:t>
      </w:r>
      <w:r w:rsidR="008E7527" w:rsidRPr="00EF45D2">
        <w:t>he Commonwealth’s funding contribution will not be reduced where the States secure funding from other activity partners</w:t>
      </w:r>
      <w:r w:rsidR="002E144A" w:rsidRPr="00457392">
        <w:t>.</w:t>
      </w:r>
      <w:r w:rsidR="00F4600C">
        <w:t xml:space="preserve"> </w:t>
      </w:r>
    </w:p>
    <w:p w14:paraId="183628C4" w14:textId="0714092F" w:rsidR="0055250E" w:rsidRDefault="0055250E" w:rsidP="00A41994">
      <w:pPr>
        <w:pStyle w:val="Normalnumbered"/>
        <w:numPr>
          <w:ilvl w:val="0"/>
          <w:numId w:val="9"/>
        </w:numPr>
        <w:jc w:val="left"/>
      </w:pPr>
      <w:r w:rsidRPr="00457392">
        <w:t>The Commonwealth’s and the States’ estimated financial contributions to the</w:t>
      </w:r>
      <w:r w:rsidRPr="00D757F6">
        <w:t xml:space="preserve"> operation of this Agreement, are shown in Table</w:t>
      </w:r>
      <w:r>
        <w:t>s</w:t>
      </w:r>
      <w:r w:rsidRPr="00D757F6">
        <w:t xml:space="preserve"> </w:t>
      </w:r>
      <w:r>
        <w:t>1 and 2</w:t>
      </w:r>
      <w:r w:rsidR="00D977D5">
        <w:t>.</w:t>
      </w:r>
    </w:p>
    <w:p w14:paraId="5F3D8C42" w14:textId="062533D9" w:rsidR="00C951D2" w:rsidRPr="00EF45D2" w:rsidRDefault="00C951D2" w:rsidP="00A41994">
      <w:pPr>
        <w:pStyle w:val="Normalnumbered"/>
        <w:numPr>
          <w:ilvl w:val="0"/>
          <w:numId w:val="9"/>
        </w:numPr>
        <w:jc w:val="left"/>
      </w:pPr>
      <w:r>
        <w:t xml:space="preserve">Commonwealth contributions will be paid monthly providing that the </w:t>
      </w:r>
      <w:r w:rsidR="00530011">
        <w:t xml:space="preserve">relevant terms and </w:t>
      </w:r>
      <w:r>
        <w:t xml:space="preserve">conditions set out in this Agreement are met. </w:t>
      </w:r>
    </w:p>
    <w:p w14:paraId="7A484C81" w14:textId="61E1979E" w:rsidR="0036703D" w:rsidRPr="00EF45D2" w:rsidRDefault="00770172" w:rsidP="004E4BC7">
      <w:pPr>
        <w:pStyle w:val="Heading2"/>
      </w:pPr>
      <w:r>
        <w:t>General</w:t>
      </w:r>
      <w:r w:rsidRPr="00EF45D2">
        <w:t xml:space="preserve"> </w:t>
      </w:r>
      <w:r w:rsidR="0036703D" w:rsidRPr="00EF45D2">
        <w:t>funding</w:t>
      </w:r>
    </w:p>
    <w:p w14:paraId="5E790FC4" w14:textId="38AE555C" w:rsidR="006140EA" w:rsidRPr="002E4388" w:rsidRDefault="002033E9" w:rsidP="00A41994">
      <w:pPr>
        <w:pStyle w:val="Normalnumbered"/>
        <w:keepLines/>
        <w:numPr>
          <w:ilvl w:val="0"/>
          <w:numId w:val="9"/>
        </w:numPr>
        <w:jc w:val="left"/>
      </w:pPr>
      <w:r>
        <w:t xml:space="preserve">Under this Agreement, the </w:t>
      </w:r>
      <w:r w:rsidR="0036703D" w:rsidRPr="00EF45D2">
        <w:t xml:space="preserve">States </w:t>
      </w:r>
      <w:r>
        <w:t>are required to allocate</w:t>
      </w:r>
      <w:r w:rsidRPr="00EF45D2">
        <w:t xml:space="preserve"> </w:t>
      </w:r>
      <w:r w:rsidR="00732BA9">
        <w:t xml:space="preserve">Commonwealth </w:t>
      </w:r>
      <w:r w:rsidR="0036703D" w:rsidRPr="00EF45D2">
        <w:t xml:space="preserve">funding </w:t>
      </w:r>
      <w:r>
        <w:t xml:space="preserve">(exclusive of </w:t>
      </w:r>
      <w:r w:rsidR="00732BA9">
        <w:t xml:space="preserve">Commonwealth </w:t>
      </w:r>
      <w:r>
        <w:t>homelessness funding</w:t>
      </w:r>
      <w:r w:rsidR="00732BA9">
        <w:t xml:space="preserve"> in </w:t>
      </w:r>
      <w:r w:rsidR="00732BA9" w:rsidRPr="002E4388">
        <w:t xml:space="preserve">Table </w:t>
      </w:r>
      <w:r w:rsidR="00E10810" w:rsidRPr="00A137C5">
        <w:t>1</w:t>
      </w:r>
      <w:r w:rsidRPr="002E4388">
        <w:t>) to</w:t>
      </w:r>
      <w:r w:rsidR="0036703D" w:rsidRPr="002E4388">
        <w:t xml:space="preserve"> housing </w:t>
      </w:r>
      <w:r w:rsidRPr="002E4388">
        <w:t xml:space="preserve">and homelessness </w:t>
      </w:r>
      <w:r w:rsidR="0036703D" w:rsidRPr="002E4388">
        <w:t>services.</w:t>
      </w:r>
    </w:p>
    <w:p w14:paraId="2192692B" w14:textId="321C894C" w:rsidR="009640E0" w:rsidRPr="006B0F32" w:rsidRDefault="009640E0" w:rsidP="00A41994">
      <w:pPr>
        <w:pStyle w:val="Normalnumbered"/>
        <w:keepLines/>
        <w:numPr>
          <w:ilvl w:val="0"/>
          <w:numId w:val="9"/>
        </w:numPr>
        <w:jc w:val="left"/>
      </w:pPr>
      <w:r w:rsidRPr="006B0F32">
        <w:t xml:space="preserve">Commonwealth general funding will be allocated to States in accordance with each State’s share of total population. For payment purposes, States’ population shares will be updated annually using </w:t>
      </w:r>
      <w:r w:rsidR="00FF4AA9" w:rsidRPr="006B0F32">
        <w:t xml:space="preserve">Australian Bureau of Statistics </w:t>
      </w:r>
      <w:r w:rsidRPr="006B0F32">
        <w:t>population estimates.</w:t>
      </w:r>
    </w:p>
    <w:p w14:paraId="08A72E4F" w14:textId="4DD8D04F" w:rsidR="002C65D6" w:rsidRPr="002E4388" w:rsidRDefault="0036703D" w:rsidP="007F6C21">
      <w:pPr>
        <w:pStyle w:val="Normalnumbered"/>
        <w:keepLines/>
        <w:numPr>
          <w:ilvl w:val="0"/>
          <w:numId w:val="9"/>
        </w:numPr>
        <w:jc w:val="left"/>
      </w:pPr>
      <w:r w:rsidRPr="009D6AF2">
        <w:t xml:space="preserve">States may direct </w:t>
      </w:r>
      <w:r w:rsidR="00732BA9" w:rsidRPr="009D6AF2">
        <w:t xml:space="preserve">Commonwealth </w:t>
      </w:r>
      <w:r w:rsidR="00E2667E" w:rsidRPr="00901179">
        <w:t xml:space="preserve">general </w:t>
      </w:r>
      <w:r w:rsidRPr="002E4388">
        <w:t>funding under this Agreement to the delivery of homelessness services.</w:t>
      </w:r>
      <w:r w:rsidR="002C65D6" w:rsidRPr="002E4388">
        <w:t xml:space="preserve"> </w:t>
      </w:r>
    </w:p>
    <w:p w14:paraId="50D78D5E" w14:textId="48F81B8C" w:rsidR="004E4BC7" w:rsidRPr="002E4388" w:rsidRDefault="004E4BC7" w:rsidP="00732BA9">
      <w:pPr>
        <w:pStyle w:val="Heading2"/>
      </w:pPr>
      <w:r w:rsidRPr="002E4388">
        <w:t>Homelessness funding</w:t>
      </w:r>
    </w:p>
    <w:p w14:paraId="28DAD541" w14:textId="734370E7" w:rsidR="0036703D" w:rsidRDefault="002033E9" w:rsidP="00A41994">
      <w:pPr>
        <w:pStyle w:val="Normalnumbered"/>
        <w:keepLines/>
        <w:numPr>
          <w:ilvl w:val="0"/>
          <w:numId w:val="9"/>
        </w:numPr>
        <w:jc w:val="left"/>
      </w:pPr>
      <w:r w:rsidRPr="002E4388">
        <w:t xml:space="preserve">Under this Agreement, the </w:t>
      </w:r>
      <w:r w:rsidR="0036703D" w:rsidRPr="002E4388">
        <w:t xml:space="preserve">States </w:t>
      </w:r>
      <w:r w:rsidRPr="002E4388">
        <w:t xml:space="preserve">are required to </w:t>
      </w:r>
      <w:r w:rsidR="0036703D" w:rsidRPr="002E4388">
        <w:t xml:space="preserve">allocate at least </w:t>
      </w:r>
      <w:r w:rsidR="00770172" w:rsidRPr="002E4388">
        <w:t xml:space="preserve">the </w:t>
      </w:r>
      <w:r w:rsidR="00732BA9" w:rsidRPr="002E4388">
        <w:t>Commonwealth</w:t>
      </w:r>
      <w:r w:rsidR="00770172" w:rsidRPr="002E4388">
        <w:t>’s</w:t>
      </w:r>
      <w:r w:rsidR="00732BA9" w:rsidRPr="002E4388">
        <w:t xml:space="preserve"> </w:t>
      </w:r>
      <w:r w:rsidR="0036703D" w:rsidRPr="002E4388">
        <w:t xml:space="preserve">homelessness funding </w:t>
      </w:r>
      <w:r w:rsidR="00770172" w:rsidRPr="002E4388">
        <w:t>identified</w:t>
      </w:r>
      <w:r w:rsidR="0036703D" w:rsidRPr="002E4388">
        <w:t xml:space="preserve"> in Table </w:t>
      </w:r>
      <w:r w:rsidR="00E10810" w:rsidRPr="00A137C5">
        <w:t>2</w:t>
      </w:r>
      <w:r w:rsidR="0036703D" w:rsidRPr="002E4388">
        <w:t xml:space="preserve"> to homelessness services, but may </w:t>
      </w:r>
      <w:r w:rsidRPr="002E4388">
        <w:t xml:space="preserve">allocate additional </w:t>
      </w:r>
      <w:r w:rsidR="0036703D" w:rsidRPr="009D6AF2">
        <w:t xml:space="preserve">funding from </w:t>
      </w:r>
      <w:r w:rsidR="00954CAF" w:rsidRPr="009D6AF2">
        <w:t>genera</w:t>
      </w:r>
      <w:r w:rsidR="00954CAF" w:rsidRPr="00901179">
        <w:t>l</w:t>
      </w:r>
      <w:r w:rsidR="00954CAF" w:rsidRPr="002E4388">
        <w:t xml:space="preserve"> </w:t>
      </w:r>
      <w:r w:rsidR="0054385E" w:rsidRPr="002E4388">
        <w:t xml:space="preserve">Commonwealth funding </w:t>
      </w:r>
      <w:r w:rsidR="0036703D" w:rsidRPr="002E4388">
        <w:t>under this Agreement</w:t>
      </w:r>
      <w:r w:rsidR="00770172" w:rsidRPr="002E4388">
        <w:t xml:space="preserve"> to address homelessness</w:t>
      </w:r>
      <w:r w:rsidR="0036703D" w:rsidRPr="002E4388">
        <w:t>.</w:t>
      </w:r>
    </w:p>
    <w:p w14:paraId="05939AD8" w14:textId="302D10BA" w:rsidR="00D10F21" w:rsidRPr="006B0F32" w:rsidRDefault="00D10F21">
      <w:pPr>
        <w:pStyle w:val="Normalnumbered"/>
        <w:keepLines/>
        <w:numPr>
          <w:ilvl w:val="0"/>
          <w:numId w:val="9"/>
        </w:numPr>
        <w:jc w:val="left"/>
      </w:pPr>
      <w:r w:rsidRPr="006B0F32">
        <w:t xml:space="preserve">Commonwealth homelessness funding will be allocated to States in accordance with each State’s share of total homelessness based on 2006 </w:t>
      </w:r>
      <w:r w:rsidR="00FF4AA9" w:rsidRPr="006B0F32">
        <w:t xml:space="preserve">Australian Bureau of Statistics </w:t>
      </w:r>
      <w:r w:rsidRPr="006B0F32">
        <w:t>Census homelessness estimates.</w:t>
      </w:r>
    </w:p>
    <w:p w14:paraId="4545307C" w14:textId="21F1DF8A" w:rsidR="00E10810" w:rsidRDefault="003F1C8B" w:rsidP="003F1C8B">
      <w:pPr>
        <w:pStyle w:val="Heading2"/>
      </w:pPr>
      <w:r>
        <w:t>SACS funding</w:t>
      </w:r>
    </w:p>
    <w:p w14:paraId="3722304E" w14:textId="2885EA9B" w:rsidR="0055250E" w:rsidRPr="006B0F32" w:rsidRDefault="0055250E" w:rsidP="00FC086B">
      <w:pPr>
        <w:pStyle w:val="Normalnumbered"/>
        <w:numPr>
          <w:ilvl w:val="0"/>
          <w:numId w:val="9"/>
        </w:numPr>
        <w:jc w:val="left"/>
        <w:rPr>
          <w:color w:val="auto"/>
        </w:rPr>
      </w:pPr>
      <w:r w:rsidRPr="00CC45E1">
        <w:t>States will ensure that supplementation funding of $</w:t>
      </w:r>
      <w:r w:rsidR="0065684D">
        <w:t>145.1</w:t>
      </w:r>
      <w:r w:rsidRPr="00CC45E1">
        <w:t xml:space="preserve"> million </w:t>
      </w:r>
      <w:r w:rsidR="008668B3" w:rsidRPr="006B0F32">
        <w:t>provided by the Commonwealth</w:t>
      </w:r>
      <w:r w:rsidR="008668B3">
        <w:t xml:space="preserve"> </w:t>
      </w:r>
      <w:r w:rsidR="00217674" w:rsidRPr="006B0F32">
        <w:t xml:space="preserve">under </w:t>
      </w:r>
      <w:r w:rsidRPr="00CC45E1">
        <w:t xml:space="preserve">the </w:t>
      </w:r>
      <w:r w:rsidR="00843F28" w:rsidRPr="00CC45E1">
        <w:t>Social, Community and Disability Services Industry Equal Remuneration Order 2012</w:t>
      </w:r>
      <w:r>
        <w:t xml:space="preserve"> is distributed from 2018-19 through a clear and fair process that is </w:t>
      </w:r>
      <w:r>
        <w:lastRenderedPageBreak/>
        <w:t xml:space="preserve">consistent with </w:t>
      </w:r>
      <w:r w:rsidRPr="006B0F32">
        <w:rPr>
          <w:color w:val="auto"/>
        </w:rPr>
        <w:t>the principles of procedural fairness.  The amount of supplementation funding each State is required to distribute is set out in Tables 1 and 2.</w:t>
      </w:r>
    </w:p>
    <w:p w14:paraId="1738177C" w14:textId="77777777" w:rsidR="0065684D" w:rsidRPr="006B0F32" w:rsidRDefault="0065684D" w:rsidP="0065684D">
      <w:pPr>
        <w:pStyle w:val="Normalnumbered"/>
        <w:keepNext/>
        <w:keepLines/>
        <w:tabs>
          <w:tab w:val="clear" w:pos="360"/>
        </w:tabs>
        <w:ind w:left="0" w:firstLine="0"/>
        <w:jc w:val="left"/>
        <w:rPr>
          <w:b/>
          <w:color w:val="auto"/>
        </w:rPr>
      </w:pPr>
      <w:r w:rsidRPr="006B0F32">
        <w:rPr>
          <w:b/>
          <w:color w:val="auto"/>
        </w:rPr>
        <w:t>Table 1: Estimated financial contributions</w:t>
      </w:r>
    </w:p>
    <w:tbl>
      <w:tblPr>
        <w:tblW w:w="10012" w:type="dxa"/>
        <w:tblLook w:val="01E0" w:firstRow="1" w:lastRow="1" w:firstColumn="1" w:lastColumn="1" w:noHBand="0" w:noVBand="0"/>
      </w:tblPr>
      <w:tblGrid>
        <w:gridCol w:w="3936"/>
        <w:gridCol w:w="992"/>
        <w:gridCol w:w="1134"/>
        <w:gridCol w:w="992"/>
        <w:gridCol w:w="992"/>
        <w:gridCol w:w="993"/>
        <w:gridCol w:w="973"/>
      </w:tblGrid>
      <w:tr w:rsidR="003E0540" w:rsidRPr="00457392" w14:paraId="5BA66981" w14:textId="77777777" w:rsidTr="00C63FEC">
        <w:trPr>
          <w:cantSplit/>
        </w:trPr>
        <w:tc>
          <w:tcPr>
            <w:tcW w:w="3936" w:type="dxa"/>
            <w:tcBorders>
              <w:top w:val="single" w:sz="4" w:space="0" w:color="000080"/>
            </w:tcBorders>
          </w:tcPr>
          <w:p w14:paraId="40EE10B8" w14:textId="77777777" w:rsidR="003E0540" w:rsidRPr="00457392" w:rsidRDefault="003E0540" w:rsidP="00C63FEC">
            <w:pPr>
              <w:keepNext/>
              <w:keepLines/>
              <w:spacing w:before="40" w:after="40"/>
              <w:jc w:val="left"/>
              <w:rPr>
                <w:b/>
              </w:rPr>
            </w:pPr>
            <w:r w:rsidRPr="00457392">
              <w:rPr>
                <w:b/>
              </w:rPr>
              <w:t>($ million)</w:t>
            </w:r>
          </w:p>
        </w:tc>
        <w:tc>
          <w:tcPr>
            <w:tcW w:w="992" w:type="dxa"/>
            <w:tcBorders>
              <w:top w:val="single" w:sz="4" w:space="0" w:color="000080"/>
              <w:bottom w:val="single" w:sz="4" w:space="0" w:color="000080"/>
            </w:tcBorders>
          </w:tcPr>
          <w:p w14:paraId="08043EB6" w14:textId="77777777" w:rsidR="003E0540" w:rsidRPr="00457392" w:rsidRDefault="003E0540" w:rsidP="00C63FEC">
            <w:pPr>
              <w:keepNext/>
              <w:keepLines/>
              <w:spacing w:before="40" w:after="40"/>
              <w:jc w:val="right"/>
            </w:pPr>
            <w:r w:rsidRPr="00457392">
              <w:t>2018-19</w:t>
            </w:r>
          </w:p>
        </w:tc>
        <w:tc>
          <w:tcPr>
            <w:tcW w:w="1134" w:type="dxa"/>
            <w:tcBorders>
              <w:top w:val="single" w:sz="4" w:space="0" w:color="000080"/>
              <w:bottom w:val="single" w:sz="4" w:space="0" w:color="000080"/>
            </w:tcBorders>
          </w:tcPr>
          <w:p w14:paraId="25E673C2" w14:textId="77777777" w:rsidR="003E0540" w:rsidRPr="00457392" w:rsidRDefault="003E0540" w:rsidP="00C63FEC">
            <w:pPr>
              <w:keepNext/>
              <w:keepLines/>
              <w:spacing w:before="40" w:after="40"/>
              <w:jc w:val="right"/>
            </w:pPr>
            <w:r w:rsidRPr="00457392">
              <w:t>2019-20</w:t>
            </w:r>
          </w:p>
        </w:tc>
        <w:tc>
          <w:tcPr>
            <w:tcW w:w="992" w:type="dxa"/>
            <w:tcBorders>
              <w:top w:val="single" w:sz="4" w:space="0" w:color="000080"/>
              <w:bottom w:val="single" w:sz="4" w:space="0" w:color="000080"/>
            </w:tcBorders>
          </w:tcPr>
          <w:p w14:paraId="14F39054" w14:textId="77777777" w:rsidR="003E0540" w:rsidRPr="00457392" w:rsidRDefault="003E0540" w:rsidP="00C63FEC">
            <w:pPr>
              <w:keepNext/>
              <w:keepLines/>
              <w:spacing w:before="40" w:after="40"/>
              <w:jc w:val="right"/>
            </w:pPr>
            <w:r w:rsidRPr="00457392">
              <w:t>2020-21</w:t>
            </w:r>
          </w:p>
        </w:tc>
        <w:tc>
          <w:tcPr>
            <w:tcW w:w="992" w:type="dxa"/>
            <w:tcBorders>
              <w:top w:val="single" w:sz="4" w:space="0" w:color="000080"/>
              <w:bottom w:val="single" w:sz="4" w:space="0" w:color="000080"/>
            </w:tcBorders>
          </w:tcPr>
          <w:p w14:paraId="5EF4987E" w14:textId="77777777" w:rsidR="003E0540" w:rsidRPr="00457392" w:rsidRDefault="003E0540" w:rsidP="00C63FEC">
            <w:pPr>
              <w:keepNext/>
              <w:keepLines/>
              <w:spacing w:before="40" w:after="40"/>
              <w:jc w:val="right"/>
            </w:pPr>
            <w:r w:rsidRPr="00457392">
              <w:t>2021-22</w:t>
            </w:r>
          </w:p>
        </w:tc>
        <w:tc>
          <w:tcPr>
            <w:tcW w:w="993" w:type="dxa"/>
            <w:tcBorders>
              <w:top w:val="single" w:sz="4" w:space="0" w:color="000080"/>
              <w:bottom w:val="single" w:sz="4" w:space="0" w:color="000080"/>
            </w:tcBorders>
          </w:tcPr>
          <w:p w14:paraId="688AF988" w14:textId="77777777" w:rsidR="003E0540" w:rsidRPr="00457392" w:rsidRDefault="003E0540" w:rsidP="00C63FEC">
            <w:pPr>
              <w:keepNext/>
              <w:keepLines/>
              <w:spacing w:before="40" w:after="40"/>
              <w:jc w:val="right"/>
            </w:pPr>
            <w:r w:rsidRPr="00457392">
              <w:t>2022-23</w:t>
            </w:r>
          </w:p>
        </w:tc>
        <w:tc>
          <w:tcPr>
            <w:tcW w:w="973" w:type="dxa"/>
            <w:tcBorders>
              <w:top w:val="single" w:sz="4" w:space="0" w:color="000080"/>
              <w:bottom w:val="single" w:sz="4" w:space="0" w:color="000080"/>
            </w:tcBorders>
          </w:tcPr>
          <w:p w14:paraId="3693B57E" w14:textId="77777777" w:rsidR="003E0540" w:rsidRPr="00030466" w:rsidRDefault="003E0540" w:rsidP="00C63FEC">
            <w:pPr>
              <w:keepNext/>
              <w:keepLines/>
              <w:spacing w:before="40" w:after="40"/>
              <w:jc w:val="right"/>
              <w:rPr>
                <w:b/>
              </w:rPr>
            </w:pPr>
            <w:r w:rsidRPr="00030466">
              <w:rPr>
                <w:b/>
              </w:rPr>
              <w:t>Total</w:t>
            </w:r>
          </w:p>
        </w:tc>
      </w:tr>
      <w:tr w:rsidR="003E0540" w:rsidRPr="00457392" w14:paraId="0A38FE7B" w14:textId="77777777" w:rsidTr="00C63FEC">
        <w:trPr>
          <w:cantSplit/>
        </w:trPr>
        <w:tc>
          <w:tcPr>
            <w:tcW w:w="3936" w:type="dxa"/>
          </w:tcPr>
          <w:p w14:paraId="1A2A65B0" w14:textId="77777777" w:rsidR="003E0540" w:rsidRPr="00457392" w:rsidRDefault="003E0540" w:rsidP="00C63FEC">
            <w:pPr>
              <w:keepNext/>
              <w:keepLines/>
              <w:spacing w:before="60" w:after="60"/>
              <w:jc w:val="left"/>
            </w:pPr>
            <w:r w:rsidRPr="00457392">
              <w:rPr>
                <w:b/>
                <w:i/>
              </w:rPr>
              <w:t>Estimated</w:t>
            </w:r>
            <w:r w:rsidRPr="00457392">
              <w:t xml:space="preserve"> total budget (1)</w:t>
            </w:r>
            <w:r>
              <w:t>*</w:t>
            </w:r>
          </w:p>
        </w:tc>
        <w:tc>
          <w:tcPr>
            <w:tcW w:w="992" w:type="dxa"/>
            <w:tcBorders>
              <w:top w:val="single" w:sz="4" w:space="0" w:color="000080"/>
              <w:bottom w:val="single" w:sz="4" w:space="0" w:color="000080"/>
            </w:tcBorders>
          </w:tcPr>
          <w:p w14:paraId="678BD306" w14:textId="77777777" w:rsidR="003E0540" w:rsidRPr="00457392" w:rsidRDefault="003E0540" w:rsidP="00C63FEC">
            <w:pPr>
              <w:keepNext/>
              <w:keepLines/>
              <w:spacing w:before="40" w:after="40"/>
              <w:jc w:val="right"/>
            </w:pPr>
            <w:r w:rsidRPr="00730E10">
              <w:t>1,656.9</w:t>
            </w:r>
          </w:p>
        </w:tc>
        <w:tc>
          <w:tcPr>
            <w:tcW w:w="1134" w:type="dxa"/>
            <w:tcBorders>
              <w:top w:val="single" w:sz="4" w:space="0" w:color="000080"/>
              <w:bottom w:val="single" w:sz="4" w:space="0" w:color="000080"/>
            </w:tcBorders>
          </w:tcPr>
          <w:p w14:paraId="7A2B6EF5" w14:textId="77777777" w:rsidR="003E0540" w:rsidRPr="00457392" w:rsidRDefault="003E0540" w:rsidP="00C63FEC">
            <w:pPr>
              <w:keepNext/>
              <w:keepLines/>
              <w:spacing w:before="40" w:after="40"/>
              <w:jc w:val="right"/>
            </w:pPr>
            <w:r w:rsidRPr="00730E10">
              <w:t>1,689.9</w:t>
            </w:r>
          </w:p>
        </w:tc>
        <w:tc>
          <w:tcPr>
            <w:tcW w:w="992" w:type="dxa"/>
            <w:tcBorders>
              <w:top w:val="single" w:sz="4" w:space="0" w:color="000080"/>
              <w:bottom w:val="single" w:sz="4" w:space="0" w:color="000080"/>
            </w:tcBorders>
          </w:tcPr>
          <w:p w14:paraId="6F4CAEC7" w14:textId="77777777" w:rsidR="003E0540" w:rsidRPr="00457392" w:rsidRDefault="003E0540" w:rsidP="00C63FEC">
            <w:pPr>
              <w:keepNext/>
              <w:keepLines/>
              <w:spacing w:before="40" w:after="40"/>
              <w:jc w:val="right"/>
            </w:pPr>
            <w:r w:rsidRPr="00730E10">
              <w:t>1,725.1</w:t>
            </w:r>
          </w:p>
        </w:tc>
        <w:tc>
          <w:tcPr>
            <w:tcW w:w="992" w:type="dxa"/>
            <w:tcBorders>
              <w:top w:val="single" w:sz="4" w:space="0" w:color="000080"/>
              <w:bottom w:val="single" w:sz="4" w:space="0" w:color="000080"/>
            </w:tcBorders>
          </w:tcPr>
          <w:p w14:paraId="6BD9F935" w14:textId="77777777" w:rsidR="003E0540" w:rsidRPr="00457392" w:rsidRDefault="003E0540" w:rsidP="00C63FEC">
            <w:pPr>
              <w:keepNext/>
              <w:keepLines/>
              <w:spacing w:before="40" w:after="40"/>
              <w:jc w:val="right"/>
            </w:pPr>
            <w:r w:rsidRPr="00730E10">
              <w:t>1,684.3</w:t>
            </w:r>
          </w:p>
        </w:tc>
        <w:tc>
          <w:tcPr>
            <w:tcW w:w="993" w:type="dxa"/>
            <w:tcBorders>
              <w:top w:val="single" w:sz="4" w:space="0" w:color="000080"/>
              <w:bottom w:val="single" w:sz="4" w:space="0" w:color="000080"/>
            </w:tcBorders>
          </w:tcPr>
          <w:p w14:paraId="243A5C45" w14:textId="77777777" w:rsidR="003E0540" w:rsidRPr="00457392" w:rsidRDefault="003E0540" w:rsidP="00C63FEC">
            <w:pPr>
              <w:keepNext/>
              <w:keepLines/>
              <w:spacing w:before="40" w:after="40"/>
              <w:jc w:val="right"/>
            </w:pPr>
            <w:r w:rsidRPr="00730E10">
              <w:t>1,709.6</w:t>
            </w:r>
          </w:p>
        </w:tc>
        <w:tc>
          <w:tcPr>
            <w:tcW w:w="973" w:type="dxa"/>
            <w:tcBorders>
              <w:top w:val="single" w:sz="4" w:space="0" w:color="000080"/>
              <w:bottom w:val="single" w:sz="4" w:space="0" w:color="000080"/>
            </w:tcBorders>
          </w:tcPr>
          <w:p w14:paraId="6DF279D6" w14:textId="77777777" w:rsidR="003E0540" w:rsidRPr="00326699" w:rsidRDefault="003E0540" w:rsidP="00C63FEC">
            <w:pPr>
              <w:keepNext/>
              <w:keepLines/>
              <w:spacing w:before="40" w:after="40"/>
              <w:jc w:val="right"/>
              <w:rPr>
                <w:b/>
              </w:rPr>
            </w:pPr>
            <w:r w:rsidRPr="00326699">
              <w:rPr>
                <w:b/>
              </w:rPr>
              <w:t>8,465.8</w:t>
            </w:r>
          </w:p>
        </w:tc>
      </w:tr>
      <w:tr w:rsidR="003E0540" w:rsidRPr="00457392" w14:paraId="70E4E376" w14:textId="77777777" w:rsidTr="00C63FEC">
        <w:trPr>
          <w:cantSplit/>
        </w:trPr>
        <w:tc>
          <w:tcPr>
            <w:tcW w:w="3936" w:type="dxa"/>
          </w:tcPr>
          <w:p w14:paraId="47877233" w14:textId="77777777" w:rsidR="003E0540" w:rsidRPr="00457392" w:rsidRDefault="003E0540" w:rsidP="00C63FEC">
            <w:pPr>
              <w:keepNext/>
              <w:keepLines/>
              <w:spacing w:before="60" w:after="60"/>
              <w:jc w:val="left"/>
            </w:pPr>
            <w:r w:rsidRPr="00457392">
              <w:rPr>
                <w:b/>
                <w:i/>
              </w:rPr>
              <w:t>Estimated</w:t>
            </w:r>
            <w:r w:rsidRPr="00457392">
              <w:t xml:space="preserve"> National payment (2)</w:t>
            </w:r>
          </w:p>
        </w:tc>
        <w:tc>
          <w:tcPr>
            <w:tcW w:w="992" w:type="dxa"/>
            <w:tcBorders>
              <w:top w:val="single" w:sz="4" w:space="0" w:color="000080"/>
            </w:tcBorders>
          </w:tcPr>
          <w:p w14:paraId="3234ED3D" w14:textId="77777777" w:rsidR="003E0540" w:rsidRPr="00457392" w:rsidRDefault="003E0540" w:rsidP="00C63FEC">
            <w:pPr>
              <w:keepNext/>
              <w:keepLines/>
              <w:spacing w:before="40" w:after="40"/>
              <w:jc w:val="right"/>
              <w:rPr>
                <w:b/>
              </w:rPr>
            </w:pPr>
          </w:p>
        </w:tc>
        <w:tc>
          <w:tcPr>
            <w:tcW w:w="1134" w:type="dxa"/>
            <w:tcBorders>
              <w:top w:val="single" w:sz="4" w:space="0" w:color="000080"/>
            </w:tcBorders>
          </w:tcPr>
          <w:p w14:paraId="337E076A" w14:textId="77777777" w:rsidR="003E0540" w:rsidRPr="00457392" w:rsidRDefault="003E0540" w:rsidP="00C63FEC">
            <w:pPr>
              <w:keepNext/>
              <w:keepLines/>
              <w:spacing w:before="40" w:after="40"/>
              <w:jc w:val="right"/>
              <w:rPr>
                <w:b/>
              </w:rPr>
            </w:pPr>
          </w:p>
        </w:tc>
        <w:tc>
          <w:tcPr>
            <w:tcW w:w="992" w:type="dxa"/>
            <w:tcBorders>
              <w:top w:val="single" w:sz="4" w:space="0" w:color="000080"/>
            </w:tcBorders>
          </w:tcPr>
          <w:p w14:paraId="04EF4793" w14:textId="77777777" w:rsidR="003E0540" w:rsidRPr="00457392" w:rsidRDefault="003E0540" w:rsidP="00C63FEC">
            <w:pPr>
              <w:keepNext/>
              <w:keepLines/>
              <w:spacing w:before="40" w:after="40"/>
              <w:jc w:val="right"/>
              <w:rPr>
                <w:b/>
              </w:rPr>
            </w:pPr>
          </w:p>
        </w:tc>
        <w:tc>
          <w:tcPr>
            <w:tcW w:w="992" w:type="dxa"/>
            <w:tcBorders>
              <w:top w:val="single" w:sz="4" w:space="0" w:color="000080"/>
            </w:tcBorders>
          </w:tcPr>
          <w:p w14:paraId="6A99929D" w14:textId="77777777" w:rsidR="003E0540" w:rsidRPr="00457392" w:rsidRDefault="003E0540" w:rsidP="00C63FEC">
            <w:pPr>
              <w:keepNext/>
              <w:keepLines/>
              <w:spacing w:before="40" w:after="40"/>
              <w:jc w:val="right"/>
              <w:rPr>
                <w:b/>
              </w:rPr>
            </w:pPr>
          </w:p>
        </w:tc>
        <w:tc>
          <w:tcPr>
            <w:tcW w:w="993" w:type="dxa"/>
            <w:tcBorders>
              <w:top w:val="single" w:sz="4" w:space="0" w:color="000080"/>
            </w:tcBorders>
          </w:tcPr>
          <w:p w14:paraId="209A846D" w14:textId="77777777" w:rsidR="003E0540" w:rsidRPr="00457392" w:rsidRDefault="003E0540" w:rsidP="00C63FEC">
            <w:pPr>
              <w:keepNext/>
              <w:keepLines/>
              <w:spacing w:before="40" w:after="40"/>
              <w:jc w:val="right"/>
              <w:rPr>
                <w:b/>
              </w:rPr>
            </w:pPr>
          </w:p>
        </w:tc>
        <w:tc>
          <w:tcPr>
            <w:tcW w:w="973" w:type="dxa"/>
            <w:tcBorders>
              <w:top w:val="single" w:sz="4" w:space="0" w:color="000080"/>
            </w:tcBorders>
          </w:tcPr>
          <w:p w14:paraId="62D718F2" w14:textId="77777777" w:rsidR="003E0540" w:rsidRPr="00326699" w:rsidRDefault="003E0540" w:rsidP="00C63FEC">
            <w:pPr>
              <w:keepNext/>
              <w:keepLines/>
              <w:spacing w:before="40" w:after="40"/>
              <w:jc w:val="right"/>
              <w:rPr>
                <w:b/>
              </w:rPr>
            </w:pPr>
          </w:p>
        </w:tc>
      </w:tr>
      <w:tr w:rsidR="003E0540" w:rsidRPr="00457392" w14:paraId="7DFD0405" w14:textId="77777777" w:rsidTr="00C63FEC">
        <w:trPr>
          <w:cantSplit/>
        </w:trPr>
        <w:tc>
          <w:tcPr>
            <w:tcW w:w="3936" w:type="dxa"/>
          </w:tcPr>
          <w:p w14:paraId="17F7271F" w14:textId="77777777" w:rsidR="003E0540" w:rsidRPr="00457392" w:rsidRDefault="003E0540" w:rsidP="00C63FEC">
            <w:pPr>
              <w:keepNext/>
              <w:keepLines/>
              <w:spacing w:before="40" w:after="40"/>
              <w:ind w:left="567"/>
              <w:jc w:val="left"/>
            </w:pPr>
            <w:r>
              <w:t>General</w:t>
            </w:r>
          </w:p>
          <w:p w14:paraId="7FA49079" w14:textId="77777777" w:rsidR="003E0540" w:rsidRPr="00457392" w:rsidRDefault="003E0540" w:rsidP="00C63FEC">
            <w:pPr>
              <w:keepNext/>
              <w:keepLines/>
              <w:spacing w:before="40" w:after="40"/>
              <w:ind w:left="567"/>
              <w:jc w:val="left"/>
            </w:pPr>
            <w:r w:rsidRPr="00457392">
              <w:t>Homelessness</w:t>
            </w:r>
          </w:p>
          <w:p w14:paraId="67476558" w14:textId="2DE3BF7E" w:rsidR="003E0540" w:rsidRDefault="003E0540" w:rsidP="00C63FEC">
            <w:pPr>
              <w:keepNext/>
              <w:keepLines/>
              <w:spacing w:before="40" w:after="40"/>
              <w:ind w:left="567"/>
              <w:jc w:val="left"/>
            </w:pPr>
            <w:r>
              <w:t>General</w:t>
            </w:r>
            <w:r w:rsidRPr="00457392">
              <w:t xml:space="preserve"> </w:t>
            </w:r>
            <w:r>
              <w:t>(</w:t>
            </w:r>
            <w:r w:rsidRPr="00457392">
              <w:t>Social and Community Services</w:t>
            </w:r>
            <w:r>
              <w:t>)</w:t>
            </w:r>
            <w:r w:rsidR="00115014">
              <w:t xml:space="preserve">** </w:t>
            </w:r>
          </w:p>
          <w:p w14:paraId="3907D6AF" w14:textId="77777777" w:rsidR="003E0540" w:rsidRPr="00457392" w:rsidRDefault="003E0540" w:rsidP="00C63FEC">
            <w:pPr>
              <w:keepNext/>
              <w:keepLines/>
              <w:spacing w:before="40" w:after="40"/>
              <w:ind w:left="567"/>
              <w:jc w:val="left"/>
            </w:pPr>
            <w:r>
              <w:t>Homelessness</w:t>
            </w:r>
            <w:r w:rsidRPr="00457392">
              <w:t xml:space="preserve"> </w:t>
            </w:r>
            <w:r>
              <w:t>(</w:t>
            </w:r>
            <w:r w:rsidRPr="00457392">
              <w:t>Social and Community Services</w:t>
            </w:r>
            <w:r>
              <w:t>)</w:t>
            </w:r>
          </w:p>
        </w:tc>
        <w:tc>
          <w:tcPr>
            <w:tcW w:w="992" w:type="dxa"/>
            <w:tcBorders>
              <w:bottom w:val="single" w:sz="4" w:space="0" w:color="000080"/>
            </w:tcBorders>
          </w:tcPr>
          <w:p w14:paraId="7CC3B8C2" w14:textId="77777777" w:rsidR="003E0540" w:rsidRDefault="003E0540" w:rsidP="00C63FEC">
            <w:pPr>
              <w:keepNext/>
              <w:keepLines/>
              <w:spacing w:before="40" w:after="40"/>
              <w:jc w:val="right"/>
            </w:pPr>
            <w:r w:rsidRPr="004B7E9C">
              <w:t>1,379.1</w:t>
            </w:r>
          </w:p>
          <w:p w14:paraId="7B93EBB9" w14:textId="77777777" w:rsidR="003E0540" w:rsidRDefault="003E0540" w:rsidP="00C63FEC">
            <w:pPr>
              <w:keepNext/>
              <w:keepLines/>
              <w:spacing w:before="40" w:after="40"/>
              <w:jc w:val="right"/>
            </w:pPr>
            <w:r w:rsidRPr="00D15C8A">
              <w:t>116.6</w:t>
            </w:r>
          </w:p>
          <w:p w14:paraId="74C72525" w14:textId="77777777" w:rsidR="003E0540" w:rsidRDefault="003E0540" w:rsidP="00C63FEC">
            <w:pPr>
              <w:keepNext/>
              <w:keepLines/>
              <w:spacing w:before="40" w:after="40"/>
              <w:jc w:val="right"/>
            </w:pPr>
            <w:r w:rsidRPr="00730E10">
              <w:t>35.7</w:t>
            </w:r>
          </w:p>
          <w:p w14:paraId="16E8EFE9" w14:textId="77777777" w:rsidR="003E0540" w:rsidRDefault="003E0540" w:rsidP="00C63FEC">
            <w:pPr>
              <w:keepNext/>
              <w:keepLines/>
              <w:spacing w:before="40" w:after="40"/>
              <w:jc w:val="right"/>
            </w:pPr>
          </w:p>
          <w:p w14:paraId="01486DAD" w14:textId="77777777" w:rsidR="003E0540" w:rsidRPr="00457392" w:rsidRDefault="003E0540" w:rsidP="00C63FEC">
            <w:pPr>
              <w:keepNext/>
              <w:keepLines/>
              <w:spacing w:before="40" w:after="40"/>
              <w:jc w:val="right"/>
            </w:pPr>
            <w:r w:rsidRPr="00730E10">
              <w:t>4.5</w:t>
            </w:r>
          </w:p>
        </w:tc>
        <w:tc>
          <w:tcPr>
            <w:tcW w:w="1134" w:type="dxa"/>
            <w:tcBorders>
              <w:bottom w:val="single" w:sz="4" w:space="0" w:color="000080"/>
            </w:tcBorders>
          </w:tcPr>
          <w:p w14:paraId="52A449E2" w14:textId="77777777" w:rsidR="003E0540" w:rsidRDefault="003E0540" w:rsidP="00C63FEC">
            <w:pPr>
              <w:keepNext/>
              <w:keepLines/>
              <w:spacing w:before="40" w:after="40"/>
              <w:jc w:val="right"/>
            </w:pPr>
            <w:r w:rsidRPr="00D15C8A">
              <w:t>1,398.4</w:t>
            </w:r>
          </w:p>
          <w:p w14:paraId="03B33A40" w14:textId="77777777" w:rsidR="003E0540" w:rsidRDefault="003E0540" w:rsidP="00C63FEC">
            <w:pPr>
              <w:keepNext/>
              <w:keepLines/>
              <w:spacing w:before="40" w:after="40"/>
              <w:jc w:val="right"/>
            </w:pPr>
            <w:r w:rsidRPr="00D15C8A">
              <w:t>118.2</w:t>
            </w:r>
          </w:p>
          <w:p w14:paraId="0DCE4B59" w14:textId="77777777" w:rsidR="003E0540" w:rsidRDefault="003E0540" w:rsidP="00C63FEC">
            <w:pPr>
              <w:keepNext/>
              <w:keepLines/>
              <w:spacing w:before="40" w:after="40"/>
              <w:jc w:val="right"/>
            </w:pPr>
            <w:r w:rsidRPr="00730E10">
              <w:t>41.5</w:t>
            </w:r>
          </w:p>
          <w:p w14:paraId="3E2D3B3F" w14:textId="77777777" w:rsidR="003E0540" w:rsidRDefault="003E0540" w:rsidP="00C63FEC">
            <w:pPr>
              <w:keepNext/>
              <w:keepLines/>
              <w:spacing w:before="40" w:after="40"/>
              <w:jc w:val="right"/>
            </w:pPr>
          </w:p>
          <w:p w14:paraId="6846B647" w14:textId="77777777" w:rsidR="003E0540" w:rsidRPr="00457392" w:rsidRDefault="003E0540" w:rsidP="00C63FEC">
            <w:pPr>
              <w:keepNext/>
              <w:keepLines/>
              <w:spacing w:before="40" w:after="40"/>
              <w:jc w:val="right"/>
            </w:pPr>
            <w:r w:rsidRPr="00730E10">
              <w:t>6.8</w:t>
            </w:r>
          </w:p>
        </w:tc>
        <w:tc>
          <w:tcPr>
            <w:tcW w:w="992" w:type="dxa"/>
            <w:tcBorders>
              <w:bottom w:val="single" w:sz="4" w:space="0" w:color="000080"/>
            </w:tcBorders>
          </w:tcPr>
          <w:p w14:paraId="7BCBAC30" w14:textId="77777777" w:rsidR="003E0540" w:rsidRDefault="003E0540" w:rsidP="00C63FEC">
            <w:pPr>
              <w:keepNext/>
              <w:keepLines/>
              <w:spacing w:before="40" w:after="40"/>
              <w:jc w:val="right"/>
            </w:pPr>
            <w:r w:rsidRPr="00D15C8A">
              <w:t>1,419.4</w:t>
            </w:r>
          </w:p>
          <w:p w14:paraId="4F99AAF1" w14:textId="77777777" w:rsidR="003E0540" w:rsidRDefault="003E0540" w:rsidP="00C63FEC">
            <w:pPr>
              <w:keepNext/>
              <w:keepLines/>
              <w:spacing w:before="40" w:after="40"/>
              <w:jc w:val="right"/>
            </w:pPr>
            <w:r w:rsidRPr="00D15C8A">
              <w:t>120.0</w:t>
            </w:r>
          </w:p>
          <w:p w14:paraId="553FC2FB" w14:textId="77777777" w:rsidR="003E0540" w:rsidRDefault="003E0540" w:rsidP="00C63FEC">
            <w:pPr>
              <w:keepNext/>
              <w:keepLines/>
              <w:spacing w:before="40" w:after="40"/>
              <w:jc w:val="right"/>
            </w:pPr>
            <w:r w:rsidRPr="00730E10">
              <w:t>47.6</w:t>
            </w:r>
          </w:p>
          <w:p w14:paraId="0A27F273" w14:textId="77777777" w:rsidR="003E0540" w:rsidRDefault="003E0540" w:rsidP="00C63FEC">
            <w:pPr>
              <w:keepNext/>
              <w:keepLines/>
              <w:spacing w:before="40" w:after="40"/>
              <w:jc w:val="right"/>
            </w:pPr>
          </w:p>
          <w:p w14:paraId="398CE265" w14:textId="77777777" w:rsidR="003E0540" w:rsidRPr="00457392" w:rsidRDefault="003E0540" w:rsidP="00C63FEC">
            <w:pPr>
              <w:keepNext/>
              <w:keepLines/>
              <w:spacing w:before="40" w:after="40"/>
              <w:jc w:val="right"/>
            </w:pPr>
            <w:r w:rsidRPr="00730E10">
              <w:t>9.1</w:t>
            </w:r>
          </w:p>
        </w:tc>
        <w:tc>
          <w:tcPr>
            <w:tcW w:w="992" w:type="dxa"/>
            <w:tcBorders>
              <w:bottom w:val="single" w:sz="4" w:space="0" w:color="000080"/>
            </w:tcBorders>
          </w:tcPr>
          <w:p w14:paraId="6CD61481" w14:textId="77777777" w:rsidR="003E0540" w:rsidRDefault="003E0540" w:rsidP="00C63FEC">
            <w:pPr>
              <w:keepNext/>
              <w:keepLines/>
              <w:spacing w:before="40" w:after="40"/>
              <w:jc w:val="right"/>
            </w:pPr>
            <w:r w:rsidRPr="00D15C8A">
              <w:t>1,440.7</w:t>
            </w:r>
          </w:p>
          <w:p w14:paraId="6BDD9491" w14:textId="77777777" w:rsidR="003E0540" w:rsidRDefault="003E0540" w:rsidP="00C63FEC">
            <w:pPr>
              <w:keepNext/>
              <w:keepLines/>
              <w:spacing w:before="40" w:after="40"/>
              <w:jc w:val="right"/>
            </w:pPr>
            <w:r w:rsidRPr="00D15C8A">
              <w:t>121.8</w:t>
            </w:r>
          </w:p>
          <w:p w14:paraId="2E997AAF" w14:textId="6157200F" w:rsidR="003E0540" w:rsidRDefault="00115014" w:rsidP="00C63FEC">
            <w:pPr>
              <w:keepNext/>
              <w:keepLines/>
              <w:spacing w:before="40" w:after="40"/>
              <w:jc w:val="right"/>
            </w:pPr>
            <w:r>
              <w:t>t</w:t>
            </w:r>
            <w:r w:rsidR="008B5EF7">
              <w:t>bd</w:t>
            </w:r>
          </w:p>
          <w:p w14:paraId="510456BA" w14:textId="77777777" w:rsidR="003E0540" w:rsidRDefault="003E0540" w:rsidP="00C63FEC">
            <w:pPr>
              <w:keepNext/>
              <w:keepLines/>
              <w:spacing w:before="40" w:after="40"/>
              <w:jc w:val="right"/>
            </w:pPr>
          </w:p>
          <w:p w14:paraId="2E7FFE87" w14:textId="08D2F874" w:rsidR="003E0540" w:rsidRPr="00457392" w:rsidRDefault="008B5EF7" w:rsidP="00C63FEC">
            <w:pPr>
              <w:keepNext/>
              <w:keepLines/>
              <w:spacing w:before="40" w:after="40"/>
              <w:jc w:val="right"/>
            </w:pPr>
            <w:r>
              <w:t>tbd</w:t>
            </w:r>
          </w:p>
        </w:tc>
        <w:tc>
          <w:tcPr>
            <w:tcW w:w="993" w:type="dxa"/>
            <w:tcBorders>
              <w:bottom w:val="single" w:sz="4" w:space="0" w:color="000080"/>
            </w:tcBorders>
          </w:tcPr>
          <w:p w14:paraId="7F545C87" w14:textId="77777777" w:rsidR="003E0540" w:rsidRDefault="003E0540" w:rsidP="00C63FEC">
            <w:pPr>
              <w:keepNext/>
              <w:keepLines/>
              <w:spacing w:before="40" w:after="40"/>
              <w:jc w:val="right"/>
            </w:pPr>
            <w:r w:rsidRPr="00D15C8A">
              <w:t>1,462.3</w:t>
            </w:r>
          </w:p>
          <w:p w14:paraId="626E9EED" w14:textId="77777777" w:rsidR="003E0540" w:rsidRDefault="003E0540" w:rsidP="00C63FEC">
            <w:pPr>
              <w:keepNext/>
              <w:keepLines/>
              <w:spacing w:before="40" w:after="40"/>
              <w:jc w:val="right"/>
            </w:pPr>
            <w:r w:rsidRPr="00D15C8A">
              <w:t>123.6</w:t>
            </w:r>
          </w:p>
          <w:p w14:paraId="48D3DBEA" w14:textId="2C98C6E3" w:rsidR="003E0540" w:rsidRDefault="008B5EF7" w:rsidP="00C63FEC">
            <w:pPr>
              <w:keepNext/>
              <w:keepLines/>
              <w:spacing w:before="40" w:after="40"/>
              <w:jc w:val="right"/>
            </w:pPr>
            <w:r>
              <w:t>tbd</w:t>
            </w:r>
          </w:p>
          <w:p w14:paraId="02A8767B" w14:textId="77777777" w:rsidR="003E0540" w:rsidRDefault="003E0540" w:rsidP="00C63FEC">
            <w:pPr>
              <w:keepNext/>
              <w:keepLines/>
              <w:spacing w:before="40" w:after="40"/>
              <w:jc w:val="right"/>
            </w:pPr>
          </w:p>
          <w:p w14:paraId="13D5F154" w14:textId="655E6FF2" w:rsidR="003E0540" w:rsidRPr="00457392" w:rsidRDefault="008B5EF7" w:rsidP="00C63FEC">
            <w:pPr>
              <w:keepNext/>
              <w:keepLines/>
              <w:spacing w:before="40" w:after="40"/>
              <w:jc w:val="right"/>
            </w:pPr>
            <w:r>
              <w:t>tbd</w:t>
            </w:r>
          </w:p>
        </w:tc>
        <w:tc>
          <w:tcPr>
            <w:tcW w:w="973" w:type="dxa"/>
            <w:tcBorders>
              <w:bottom w:val="single" w:sz="4" w:space="0" w:color="000080"/>
            </w:tcBorders>
          </w:tcPr>
          <w:p w14:paraId="1197D02E" w14:textId="77777777" w:rsidR="003E0540" w:rsidRPr="00326699" w:rsidRDefault="003E0540" w:rsidP="00C63FEC">
            <w:pPr>
              <w:keepNext/>
              <w:keepLines/>
              <w:spacing w:before="40" w:after="40"/>
              <w:jc w:val="right"/>
              <w:rPr>
                <w:b/>
              </w:rPr>
            </w:pPr>
            <w:r w:rsidRPr="00326699">
              <w:rPr>
                <w:b/>
              </w:rPr>
              <w:t>7,099.8</w:t>
            </w:r>
          </w:p>
          <w:p w14:paraId="081A22B8" w14:textId="77777777" w:rsidR="003E0540" w:rsidRPr="00326699" w:rsidRDefault="003E0540" w:rsidP="00C63FEC">
            <w:pPr>
              <w:keepNext/>
              <w:keepLines/>
              <w:spacing w:before="40" w:after="40"/>
              <w:jc w:val="right"/>
              <w:rPr>
                <w:b/>
              </w:rPr>
            </w:pPr>
            <w:r w:rsidRPr="00326699">
              <w:rPr>
                <w:b/>
              </w:rPr>
              <w:t>600.3</w:t>
            </w:r>
          </w:p>
          <w:p w14:paraId="6DB2B48C" w14:textId="77777777" w:rsidR="003E0540" w:rsidRPr="00326699" w:rsidRDefault="003E0540" w:rsidP="00C63FEC">
            <w:pPr>
              <w:keepNext/>
              <w:keepLines/>
              <w:spacing w:before="40" w:after="40"/>
              <w:jc w:val="right"/>
              <w:rPr>
                <w:b/>
              </w:rPr>
            </w:pPr>
            <w:r w:rsidRPr="00326699">
              <w:rPr>
                <w:b/>
              </w:rPr>
              <w:t>124.8</w:t>
            </w:r>
          </w:p>
          <w:p w14:paraId="7BC5588A" w14:textId="77777777" w:rsidR="003E0540" w:rsidRPr="00326699" w:rsidRDefault="003E0540" w:rsidP="00C63FEC">
            <w:pPr>
              <w:keepNext/>
              <w:keepLines/>
              <w:spacing w:before="40" w:after="40"/>
              <w:jc w:val="right"/>
              <w:rPr>
                <w:b/>
              </w:rPr>
            </w:pPr>
          </w:p>
          <w:p w14:paraId="5CE2A5BC" w14:textId="77777777" w:rsidR="003E0540" w:rsidRPr="00326699" w:rsidRDefault="003E0540" w:rsidP="00C63FEC">
            <w:pPr>
              <w:keepNext/>
              <w:keepLines/>
              <w:spacing w:before="40" w:after="40"/>
              <w:jc w:val="right"/>
              <w:rPr>
                <w:b/>
              </w:rPr>
            </w:pPr>
            <w:r w:rsidRPr="00326699">
              <w:rPr>
                <w:b/>
              </w:rPr>
              <w:t>20.3</w:t>
            </w:r>
          </w:p>
        </w:tc>
      </w:tr>
      <w:tr w:rsidR="003E0540" w:rsidRPr="00457392" w14:paraId="57E9CB76" w14:textId="77777777" w:rsidTr="00C63FEC">
        <w:trPr>
          <w:cantSplit/>
        </w:trPr>
        <w:tc>
          <w:tcPr>
            <w:tcW w:w="3936" w:type="dxa"/>
          </w:tcPr>
          <w:p w14:paraId="6E903524" w14:textId="77777777" w:rsidR="003E0540" w:rsidRPr="00457392" w:rsidRDefault="003E0540" w:rsidP="00C63FEC">
            <w:pPr>
              <w:keepNext/>
              <w:keepLines/>
              <w:spacing w:before="40" w:after="40"/>
              <w:jc w:val="left"/>
            </w:pPr>
            <w:r w:rsidRPr="00457392">
              <w:t xml:space="preserve">Total Commonwealth contribution </w:t>
            </w:r>
          </w:p>
        </w:tc>
        <w:tc>
          <w:tcPr>
            <w:tcW w:w="992" w:type="dxa"/>
            <w:tcBorders>
              <w:top w:val="single" w:sz="4" w:space="0" w:color="000080"/>
              <w:bottom w:val="single" w:sz="4" w:space="0" w:color="000080"/>
            </w:tcBorders>
          </w:tcPr>
          <w:p w14:paraId="2D53938D" w14:textId="77777777" w:rsidR="003E0540" w:rsidRPr="00457392" w:rsidRDefault="003E0540" w:rsidP="00C63FEC">
            <w:pPr>
              <w:keepNext/>
              <w:keepLines/>
              <w:spacing w:before="40" w:after="40"/>
              <w:jc w:val="right"/>
            </w:pPr>
            <w:r w:rsidRPr="00D15C8A">
              <w:t>1,535.8</w:t>
            </w:r>
          </w:p>
        </w:tc>
        <w:tc>
          <w:tcPr>
            <w:tcW w:w="1134" w:type="dxa"/>
            <w:tcBorders>
              <w:top w:val="single" w:sz="4" w:space="0" w:color="000080"/>
              <w:bottom w:val="single" w:sz="4" w:space="0" w:color="000080"/>
            </w:tcBorders>
          </w:tcPr>
          <w:p w14:paraId="7A504A3B" w14:textId="77777777" w:rsidR="003E0540" w:rsidRPr="00457392" w:rsidRDefault="003E0540" w:rsidP="00C63FEC">
            <w:pPr>
              <w:keepNext/>
              <w:keepLines/>
              <w:spacing w:before="40" w:after="40"/>
              <w:jc w:val="right"/>
            </w:pPr>
            <w:r w:rsidRPr="00D15C8A">
              <w:t>1,564.9</w:t>
            </w:r>
          </w:p>
        </w:tc>
        <w:tc>
          <w:tcPr>
            <w:tcW w:w="992" w:type="dxa"/>
            <w:tcBorders>
              <w:top w:val="single" w:sz="4" w:space="0" w:color="000080"/>
              <w:bottom w:val="single" w:sz="4" w:space="0" w:color="000080"/>
            </w:tcBorders>
          </w:tcPr>
          <w:p w14:paraId="753CBA9B" w14:textId="77777777" w:rsidR="003E0540" w:rsidRPr="00457392" w:rsidRDefault="003E0540" w:rsidP="00C63FEC">
            <w:pPr>
              <w:keepNext/>
              <w:keepLines/>
              <w:spacing w:before="40" w:after="40"/>
              <w:jc w:val="right"/>
            </w:pPr>
            <w:r w:rsidRPr="00D15C8A">
              <w:t>1,596.0</w:t>
            </w:r>
          </w:p>
        </w:tc>
        <w:tc>
          <w:tcPr>
            <w:tcW w:w="992" w:type="dxa"/>
            <w:tcBorders>
              <w:top w:val="single" w:sz="4" w:space="0" w:color="000080"/>
              <w:bottom w:val="single" w:sz="4" w:space="0" w:color="000080"/>
            </w:tcBorders>
          </w:tcPr>
          <w:p w14:paraId="35CFD235" w14:textId="77777777" w:rsidR="003E0540" w:rsidRPr="00457392" w:rsidRDefault="003E0540" w:rsidP="00C63FEC">
            <w:pPr>
              <w:keepNext/>
              <w:keepLines/>
              <w:spacing w:before="40" w:after="40"/>
              <w:jc w:val="right"/>
            </w:pPr>
            <w:r w:rsidRPr="00D15C8A">
              <w:t>1,562.5</w:t>
            </w:r>
          </w:p>
        </w:tc>
        <w:tc>
          <w:tcPr>
            <w:tcW w:w="993" w:type="dxa"/>
            <w:tcBorders>
              <w:top w:val="single" w:sz="4" w:space="0" w:color="000080"/>
              <w:bottom w:val="single" w:sz="4" w:space="0" w:color="000080"/>
            </w:tcBorders>
          </w:tcPr>
          <w:p w14:paraId="00C00583" w14:textId="77777777" w:rsidR="003E0540" w:rsidRPr="00457392" w:rsidRDefault="003E0540" w:rsidP="00C63FEC">
            <w:pPr>
              <w:keepNext/>
              <w:keepLines/>
              <w:spacing w:before="40" w:after="40"/>
              <w:jc w:val="right"/>
            </w:pPr>
            <w:r w:rsidRPr="00D15C8A">
              <w:t>1,585.9</w:t>
            </w:r>
          </w:p>
        </w:tc>
        <w:tc>
          <w:tcPr>
            <w:tcW w:w="973" w:type="dxa"/>
            <w:tcBorders>
              <w:top w:val="single" w:sz="4" w:space="0" w:color="000080"/>
              <w:bottom w:val="single" w:sz="4" w:space="0" w:color="000080"/>
            </w:tcBorders>
          </w:tcPr>
          <w:p w14:paraId="61A0264A" w14:textId="77777777" w:rsidR="003E0540" w:rsidRPr="00326699" w:rsidRDefault="003E0540" w:rsidP="00C63FEC">
            <w:pPr>
              <w:keepNext/>
              <w:keepLines/>
              <w:spacing w:before="40" w:after="40"/>
              <w:jc w:val="right"/>
              <w:rPr>
                <w:b/>
              </w:rPr>
            </w:pPr>
            <w:r w:rsidRPr="00326699">
              <w:rPr>
                <w:b/>
              </w:rPr>
              <w:t>7,845.2</w:t>
            </w:r>
          </w:p>
        </w:tc>
      </w:tr>
      <w:tr w:rsidR="003E0540" w:rsidRPr="00457392" w14:paraId="3057C1A4" w14:textId="77777777" w:rsidTr="00C63FEC">
        <w:trPr>
          <w:cantSplit/>
        </w:trPr>
        <w:tc>
          <w:tcPr>
            <w:tcW w:w="3936" w:type="dxa"/>
            <w:tcBorders>
              <w:bottom w:val="single" w:sz="4" w:space="0" w:color="000080"/>
            </w:tcBorders>
          </w:tcPr>
          <w:p w14:paraId="3F2F465C" w14:textId="77777777" w:rsidR="003E0540" w:rsidRPr="000F54AD" w:rsidRDefault="003E0540" w:rsidP="00C63FEC">
            <w:pPr>
              <w:pStyle w:val="Normalnumbered"/>
              <w:keepLines/>
              <w:tabs>
                <w:tab w:val="clear" w:pos="360"/>
              </w:tabs>
              <w:spacing w:after="0"/>
              <w:ind w:left="0" w:firstLine="0"/>
              <w:jc w:val="left"/>
              <w:rPr>
                <w:rFonts w:ascii="Arial" w:hAnsi="Arial" w:cs="Arial"/>
                <w:sz w:val="16"/>
                <w:szCs w:val="16"/>
                <w:vertAlign w:val="superscript"/>
              </w:rPr>
            </w:pPr>
            <w:r w:rsidRPr="00457392">
              <w:t>Balance of non-Commonwealth contributions</w:t>
            </w:r>
            <w:r w:rsidRPr="00367ABF">
              <w:rPr>
                <w:rFonts w:ascii="Arial" w:hAnsi="Arial" w:cs="Arial"/>
                <w:sz w:val="16"/>
                <w:szCs w:val="16"/>
                <w:vertAlign w:val="superscript"/>
              </w:rPr>
              <w:t>#</w:t>
            </w:r>
            <w:r w:rsidRPr="00457392">
              <w:t xml:space="preserve"> </w:t>
            </w:r>
            <w:r w:rsidRPr="00457392">
              <w:br/>
              <w:t xml:space="preserve">(3) = (1) – (2) </w:t>
            </w:r>
          </w:p>
        </w:tc>
        <w:tc>
          <w:tcPr>
            <w:tcW w:w="992" w:type="dxa"/>
            <w:tcBorders>
              <w:top w:val="single" w:sz="4" w:space="0" w:color="000080"/>
              <w:bottom w:val="single" w:sz="4" w:space="0" w:color="000080"/>
            </w:tcBorders>
          </w:tcPr>
          <w:p w14:paraId="13AAFEC2" w14:textId="77777777" w:rsidR="003E0540" w:rsidRPr="00457392" w:rsidRDefault="003E0540" w:rsidP="00C63FEC">
            <w:pPr>
              <w:keepNext/>
              <w:keepLines/>
              <w:spacing w:before="40" w:after="40"/>
              <w:jc w:val="right"/>
            </w:pPr>
            <w:r w:rsidRPr="00730E10">
              <w:t>121.1</w:t>
            </w:r>
          </w:p>
        </w:tc>
        <w:tc>
          <w:tcPr>
            <w:tcW w:w="1134" w:type="dxa"/>
            <w:tcBorders>
              <w:top w:val="single" w:sz="4" w:space="0" w:color="000080"/>
              <w:bottom w:val="single" w:sz="4" w:space="0" w:color="000080"/>
            </w:tcBorders>
          </w:tcPr>
          <w:p w14:paraId="21FC08F5" w14:textId="77777777" w:rsidR="003E0540" w:rsidRPr="00457392" w:rsidRDefault="003E0540" w:rsidP="00C63FEC">
            <w:pPr>
              <w:keepNext/>
              <w:keepLines/>
              <w:spacing w:before="40" w:after="40"/>
              <w:jc w:val="right"/>
            </w:pPr>
            <w:r w:rsidRPr="00730E10">
              <w:t>125.0</w:t>
            </w:r>
          </w:p>
        </w:tc>
        <w:tc>
          <w:tcPr>
            <w:tcW w:w="992" w:type="dxa"/>
            <w:tcBorders>
              <w:top w:val="single" w:sz="4" w:space="0" w:color="000080"/>
              <w:bottom w:val="single" w:sz="4" w:space="0" w:color="000080"/>
            </w:tcBorders>
          </w:tcPr>
          <w:p w14:paraId="5CF0667C" w14:textId="77777777" w:rsidR="003E0540" w:rsidRPr="00457392" w:rsidRDefault="003E0540" w:rsidP="00C63FEC">
            <w:pPr>
              <w:keepNext/>
              <w:keepLines/>
              <w:spacing w:before="40" w:after="40"/>
              <w:jc w:val="right"/>
            </w:pPr>
            <w:r w:rsidRPr="00730E10">
              <w:t>129.1</w:t>
            </w:r>
          </w:p>
        </w:tc>
        <w:tc>
          <w:tcPr>
            <w:tcW w:w="992" w:type="dxa"/>
            <w:tcBorders>
              <w:top w:val="single" w:sz="4" w:space="0" w:color="000080"/>
              <w:bottom w:val="single" w:sz="4" w:space="0" w:color="000080"/>
            </w:tcBorders>
          </w:tcPr>
          <w:p w14:paraId="0D9887D4" w14:textId="77777777" w:rsidR="003E0540" w:rsidRPr="00457392" w:rsidRDefault="003E0540" w:rsidP="00C63FEC">
            <w:pPr>
              <w:keepNext/>
              <w:keepLines/>
              <w:spacing w:before="40" w:after="40"/>
              <w:jc w:val="right"/>
            </w:pPr>
            <w:r w:rsidRPr="004317F0">
              <w:t>121.8</w:t>
            </w:r>
          </w:p>
        </w:tc>
        <w:tc>
          <w:tcPr>
            <w:tcW w:w="993" w:type="dxa"/>
            <w:tcBorders>
              <w:top w:val="single" w:sz="4" w:space="0" w:color="000080"/>
              <w:bottom w:val="single" w:sz="4" w:space="0" w:color="000080"/>
            </w:tcBorders>
          </w:tcPr>
          <w:p w14:paraId="2F9F8F42" w14:textId="77777777" w:rsidR="003E0540" w:rsidRPr="00457392" w:rsidRDefault="003E0540" w:rsidP="00C63FEC">
            <w:pPr>
              <w:keepNext/>
              <w:keepLines/>
              <w:spacing w:before="40" w:after="40"/>
              <w:jc w:val="right"/>
            </w:pPr>
            <w:r w:rsidRPr="004317F0">
              <w:t>123.6</w:t>
            </w:r>
          </w:p>
        </w:tc>
        <w:tc>
          <w:tcPr>
            <w:tcW w:w="973" w:type="dxa"/>
            <w:tcBorders>
              <w:top w:val="single" w:sz="4" w:space="0" w:color="000080"/>
              <w:bottom w:val="single" w:sz="4" w:space="0" w:color="000080"/>
            </w:tcBorders>
          </w:tcPr>
          <w:p w14:paraId="17479625" w14:textId="77777777" w:rsidR="003E0540" w:rsidRPr="00326699" w:rsidRDefault="003E0540" w:rsidP="00C63FEC">
            <w:pPr>
              <w:keepNext/>
              <w:keepLines/>
              <w:spacing w:before="40" w:after="40"/>
              <w:jc w:val="right"/>
              <w:rPr>
                <w:b/>
              </w:rPr>
            </w:pPr>
            <w:r w:rsidRPr="00326699">
              <w:rPr>
                <w:b/>
              </w:rPr>
              <w:t>620.6</w:t>
            </w:r>
          </w:p>
        </w:tc>
      </w:tr>
    </w:tbl>
    <w:p w14:paraId="5C8F65AA" w14:textId="7C41CE57" w:rsidR="000F54AD" w:rsidRDefault="000F54AD" w:rsidP="00FF4AA9">
      <w:pPr>
        <w:pStyle w:val="Normalnumbered"/>
        <w:keepLines/>
        <w:tabs>
          <w:tab w:val="clear" w:pos="360"/>
          <w:tab w:val="left" w:pos="284"/>
        </w:tabs>
        <w:spacing w:after="0"/>
        <w:ind w:left="0" w:firstLine="0"/>
        <w:jc w:val="left"/>
        <w:rPr>
          <w:rFonts w:ascii="Arial" w:hAnsi="Arial" w:cs="Arial"/>
          <w:color w:val="auto"/>
          <w:sz w:val="16"/>
          <w:szCs w:val="16"/>
        </w:rPr>
      </w:pPr>
      <w:r w:rsidRPr="006B0F32">
        <w:rPr>
          <w:rFonts w:ascii="Arial" w:hAnsi="Arial" w:cs="Arial"/>
          <w:color w:val="auto"/>
          <w:sz w:val="16"/>
          <w:szCs w:val="16"/>
        </w:rPr>
        <w:t xml:space="preserve">* </w:t>
      </w:r>
      <w:r w:rsidR="00FF4AA9" w:rsidRPr="006B0F32">
        <w:rPr>
          <w:rFonts w:ascii="Arial" w:hAnsi="Arial" w:cs="Arial"/>
          <w:color w:val="auto"/>
          <w:sz w:val="16"/>
          <w:szCs w:val="16"/>
        </w:rPr>
        <w:tab/>
      </w:r>
      <w:r w:rsidRPr="006B0F32">
        <w:rPr>
          <w:rFonts w:ascii="Arial" w:hAnsi="Arial" w:cs="Arial"/>
          <w:color w:val="auto"/>
          <w:sz w:val="16"/>
          <w:szCs w:val="16"/>
        </w:rPr>
        <w:t xml:space="preserve">This is the total Commonwealth </w:t>
      </w:r>
      <w:r w:rsidR="0061008F" w:rsidRPr="006B0F32">
        <w:rPr>
          <w:rFonts w:ascii="Arial" w:hAnsi="Arial" w:cs="Arial"/>
          <w:color w:val="auto"/>
          <w:sz w:val="16"/>
          <w:szCs w:val="16"/>
        </w:rPr>
        <w:t>contribution</w:t>
      </w:r>
      <w:r w:rsidRPr="006B0F32">
        <w:rPr>
          <w:rFonts w:ascii="Arial" w:hAnsi="Arial" w:cs="Arial"/>
          <w:color w:val="auto"/>
          <w:sz w:val="16"/>
          <w:szCs w:val="16"/>
        </w:rPr>
        <w:t xml:space="preserve"> plus the State matched funding required under sub</w:t>
      </w:r>
      <w:r w:rsidRPr="006B0F32">
        <w:rPr>
          <w:rFonts w:ascii="Arial" w:hAnsi="Arial" w:cs="Arial"/>
          <w:color w:val="auto"/>
          <w:sz w:val="16"/>
          <w:szCs w:val="16"/>
        </w:rPr>
        <w:noBreakHyphen/>
        <w:t>clause 17(e).</w:t>
      </w:r>
    </w:p>
    <w:p w14:paraId="38145473" w14:textId="77777777" w:rsidR="00115014" w:rsidRPr="006B0F32" w:rsidRDefault="00115014" w:rsidP="00115014">
      <w:pPr>
        <w:pStyle w:val="Normalnumbered"/>
        <w:keepLines/>
        <w:tabs>
          <w:tab w:val="clear" w:pos="360"/>
          <w:tab w:val="left" w:pos="284"/>
        </w:tabs>
        <w:spacing w:after="0"/>
        <w:ind w:left="0" w:firstLine="0"/>
        <w:jc w:val="left"/>
        <w:rPr>
          <w:rFonts w:ascii="Arial" w:hAnsi="Arial" w:cs="Arial"/>
          <w:color w:val="auto"/>
          <w:sz w:val="16"/>
          <w:szCs w:val="16"/>
        </w:rPr>
      </w:pPr>
      <w:r w:rsidRPr="00186541">
        <w:rPr>
          <w:rFonts w:ascii="Arial" w:hAnsi="Arial" w:cs="Arial"/>
          <w:color w:val="auto"/>
          <w:sz w:val="16"/>
          <w:szCs w:val="16"/>
        </w:rPr>
        <w:t xml:space="preserve">** SACS funding beyond  2021-22 is subject to a future Government decision given that Commonwealth funding under the  National Partnership Agreement on Pay Equity for the Social and Community Services Sector is terminating.  </w:t>
      </w:r>
    </w:p>
    <w:p w14:paraId="57D7AED6" w14:textId="2D4669CF" w:rsidR="000F54AD" w:rsidRPr="006B0F32" w:rsidRDefault="000F54AD" w:rsidP="00FF4AA9">
      <w:pPr>
        <w:pStyle w:val="Normalnumbered"/>
        <w:keepLines/>
        <w:tabs>
          <w:tab w:val="clear" w:pos="360"/>
          <w:tab w:val="left" w:pos="284"/>
        </w:tabs>
        <w:spacing w:after="0"/>
        <w:ind w:left="0" w:firstLine="0"/>
        <w:jc w:val="left"/>
        <w:rPr>
          <w:rFonts w:ascii="Arial" w:hAnsi="Arial" w:cs="Arial"/>
          <w:color w:val="auto"/>
          <w:sz w:val="16"/>
          <w:szCs w:val="16"/>
          <w:vertAlign w:val="superscript"/>
        </w:rPr>
      </w:pPr>
      <w:r w:rsidRPr="006B0F32">
        <w:rPr>
          <w:rFonts w:ascii="Arial" w:hAnsi="Arial" w:cs="Arial"/>
          <w:color w:val="auto"/>
          <w:sz w:val="16"/>
          <w:szCs w:val="16"/>
          <w:vertAlign w:val="superscript"/>
        </w:rPr>
        <w:t>#</w:t>
      </w:r>
      <w:r w:rsidR="00FF4AA9" w:rsidRPr="006B0F32">
        <w:rPr>
          <w:rFonts w:ascii="Arial" w:hAnsi="Arial" w:cs="Arial"/>
          <w:color w:val="auto"/>
          <w:sz w:val="16"/>
          <w:szCs w:val="16"/>
        </w:rPr>
        <w:tab/>
      </w:r>
      <w:r w:rsidRPr="006B0F32">
        <w:rPr>
          <w:rFonts w:ascii="Arial" w:hAnsi="Arial" w:cs="Arial"/>
          <w:color w:val="auto"/>
          <w:sz w:val="16"/>
          <w:szCs w:val="16"/>
        </w:rPr>
        <w:t>This is the State matched funding required under sub</w:t>
      </w:r>
      <w:r w:rsidRPr="006B0F32">
        <w:rPr>
          <w:rFonts w:ascii="Arial" w:hAnsi="Arial" w:cs="Arial"/>
          <w:color w:val="auto"/>
          <w:sz w:val="16"/>
          <w:szCs w:val="16"/>
        </w:rPr>
        <w:noBreakHyphen/>
        <w:t>clause 17(e).</w:t>
      </w:r>
    </w:p>
    <w:p w14:paraId="450082F3" w14:textId="7B0E68D2" w:rsidR="00A30AC5" w:rsidRPr="006B0F32" w:rsidRDefault="00FF4AA9" w:rsidP="00FF4AA9">
      <w:pPr>
        <w:pStyle w:val="Normalnumbered"/>
        <w:keepLines/>
        <w:tabs>
          <w:tab w:val="clear" w:pos="360"/>
          <w:tab w:val="left" w:pos="284"/>
        </w:tabs>
        <w:spacing w:after="0"/>
        <w:ind w:left="284" w:hanging="284"/>
        <w:jc w:val="left"/>
        <w:rPr>
          <w:rFonts w:ascii="Arial" w:hAnsi="Arial" w:cs="Arial"/>
          <w:color w:val="auto"/>
          <w:sz w:val="16"/>
          <w:szCs w:val="16"/>
        </w:rPr>
      </w:pPr>
      <w:r w:rsidRPr="006B0F32">
        <w:rPr>
          <w:rFonts w:ascii="Arial" w:hAnsi="Arial" w:cs="Arial"/>
          <w:color w:val="auto"/>
          <w:sz w:val="16"/>
          <w:szCs w:val="16"/>
        </w:rPr>
        <w:t>(a)</w:t>
      </w:r>
      <w:r w:rsidRPr="006B0F32">
        <w:rPr>
          <w:rFonts w:ascii="Arial" w:hAnsi="Arial" w:cs="Arial"/>
          <w:color w:val="auto"/>
          <w:sz w:val="16"/>
          <w:szCs w:val="16"/>
        </w:rPr>
        <w:tab/>
      </w:r>
      <w:r w:rsidR="00A30AC5" w:rsidRPr="006B0F32">
        <w:rPr>
          <w:rFonts w:ascii="Arial" w:hAnsi="Arial" w:cs="Arial"/>
          <w:color w:val="auto"/>
          <w:sz w:val="16"/>
          <w:szCs w:val="16"/>
        </w:rPr>
        <w:t>Estimated financial contributions are based on 2018-19 Budget estimates and are subject to adjustment in accordance with Part 5 of this Agreement.</w:t>
      </w:r>
    </w:p>
    <w:p w14:paraId="3FAC7AD2" w14:textId="178A15D5" w:rsidR="00A30AC5" w:rsidRDefault="00FF4AA9" w:rsidP="00FF4AA9">
      <w:pPr>
        <w:pStyle w:val="Normalnumbered"/>
        <w:keepLines/>
        <w:tabs>
          <w:tab w:val="clear" w:pos="360"/>
          <w:tab w:val="left" w:pos="284"/>
        </w:tabs>
        <w:spacing w:after="0"/>
        <w:ind w:left="0" w:firstLine="0"/>
        <w:jc w:val="left"/>
        <w:rPr>
          <w:rFonts w:ascii="Arial" w:hAnsi="Arial" w:cs="Arial"/>
          <w:color w:val="auto"/>
          <w:sz w:val="16"/>
          <w:szCs w:val="16"/>
        </w:rPr>
      </w:pPr>
      <w:r w:rsidRPr="006B0F32">
        <w:rPr>
          <w:rFonts w:ascii="Arial" w:hAnsi="Arial" w:cs="Arial"/>
          <w:color w:val="auto"/>
          <w:sz w:val="16"/>
          <w:szCs w:val="16"/>
        </w:rPr>
        <w:t>(b)</w:t>
      </w:r>
      <w:r w:rsidRPr="006B0F32">
        <w:rPr>
          <w:rFonts w:ascii="Arial" w:hAnsi="Arial" w:cs="Arial"/>
          <w:color w:val="auto"/>
          <w:sz w:val="16"/>
          <w:szCs w:val="16"/>
        </w:rPr>
        <w:tab/>
      </w:r>
      <w:r w:rsidR="00A30AC5" w:rsidRPr="006B0F32">
        <w:rPr>
          <w:rFonts w:ascii="Arial" w:hAnsi="Arial" w:cs="Arial"/>
          <w:color w:val="auto"/>
          <w:sz w:val="16"/>
          <w:szCs w:val="16"/>
        </w:rPr>
        <w:t xml:space="preserve">Per capita shares </w:t>
      </w:r>
      <w:r w:rsidR="007A5BA9" w:rsidRPr="006B0F32">
        <w:rPr>
          <w:rFonts w:ascii="Arial" w:hAnsi="Arial" w:cs="Arial"/>
          <w:color w:val="auto"/>
          <w:sz w:val="16"/>
          <w:szCs w:val="16"/>
        </w:rPr>
        <w:t>may</w:t>
      </w:r>
      <w:r w:rsidR="00A30AC5" w:rsidRPr="006B0F32">
        <w:rPr>
          <w:rFonts w:ascii="Arial" w:hAnsi="Arial" w:cs="Arial"/>
          <w:color w:val="auto"/>
          <w:sz w:val="16"/>
          <w:szCs w:val="16"/>
        </w:rPr>
        <w:t xml:space="preserve"> not add to estimated total budget due to rounding.</w:t>
      </w:r>
    </w:p>
    <w:p w14:paraId="56F09C42" w14:textId="77777777" w:rsidR="00A30AC5" w:rsidRPr="006B0F32" w:rsidRDefault="00A30AC5" w:rsidP="00A30AC5">
      <w:pPr>
        <w:spacing w:after="0" w:line="240" w:lineRule="auto"/>
        <w:jc w:val="left"/>
        <w:rPr>
          <w:b/>
          <w:color w:val="auto"/>
        </w:rPr>
      </w:pPr>
      <w:r w:rsidRPr="006B0F32">
        <w:rPr>
          <w:b/>
          <w:color w:val="auto"/>
        </w:rPr>
        <w:br w:type="page"/>
      </w:r>
    </w:p>
    <w:p w14:paraId="67A7853D" w14:textId="77777777" w:rsidR="00A30AC5" w:rsidRPr="006B0F32" w:rsidRDefault="00A30AC5" w:rsidP="00A2491B">
      <w:pPr>
        <w:pStyle w:val="Normalnumbered"/>
        <w:keepNext/>
        <w:keepLines/>
        <w:tabs>
          <w:tab w:val="clear" w:pos="360"/>
        </w:tabs>
        <w:spacing w:after="120"/>
        <w:ind w:left="0" w:firstLine="0"/>
        <w:jc w:val="left"/>
        <w:rPr>
          <w:b/>
          <w:color w:val="auto"/>
        </w:rPr>
      </w:pPr>
      <w:r w:rsidRPr="006B0F32">
        <w:rPr>
          <w:b/>
          <w:color w:val="auto"/>
        </w:rPr>
        <w:lastRenderedPageBreak/>
        <w:t xml:space="preserve">Table 2: State allocations </w:t>
      </w:r>
    </w:p>
    <w:tbl>
      <w:tblPr>
        <w:tblW w:w="9856" w:type="dxa"/>
        <w:tblLook w:val="01E0" w:firstRow="1" w:lastRow="1" w:firstColumn="1" w:lastColumn="1" w:noHBand="0" w:noVBand="0"/>
      </w:tblPr>
      <w:tblGrid>
        <w:gridCol w:w="3936"/>
        <w:gridCol w:w="992"/>
        <w:gridCol w:w="992"/>
        <w:gridCol w:w="992"/>
        <w:gridCol w:w="993"/>
        <w:gridCol w:w="992"/>
        <w:gridCol w:w="959"/>
      </w:tblGrid>
      <w:tr w:rsidR="00A2491B" w14:paraId="08A4A90E" w14:textId="77777777" w:rsidTr="00C63FEC">
        <w:trPr>
          <w:cantSplit/>
        </w:trPr>
        <w:tc>
          <w:tcPr>
            <w:tcW w:w="3936" w:type="dxa"/>
            <w:tcBorders>
              <w:top w:val="single" w:sz="4" w:space="0" w:color="000080"/>
              <w:left w:val="nil"/>
              <w:bottom w:val="single" w:sz="4" w:space="0" w:color="auto"/>
              <w:right w:val="nil"/>
            </w:tcBorders>
            <w:hideMark/>
          </w:tcPr>
          <w:p w14:paraId="334ECB1A" w14:textId="77777777" w:rsidR="00A2491B" w:rsidRDefault="00A2491B" w:rsidP="00C63FEC">
            <w:pPr>
              <w:keepNext/>
              <w:keepLines/>
              <w:spacing w:before="40" w:after="40"/>
              <w:jc w:val="left"/>
              <w:rPr>
                <w:b/>
              </w:rPr>
            </w:pPr>
            <w:bookmarkStart w:id="3" w:name="top"/>
            <w:bookmarkEnd w:id="3"/>
            <w:r>
              <w:rPr>
                <w:b/>
              </w:rPr>
              <w:t>($ million)</w:t>
            </w:r>
            <w:r w:rsidRPr="00490870">
              <w:rPr>
                <w:b/>
                <w:vertAlign w:val="superscript"/>
              </w:rPr>
              <w:t xml:space="preserve"> </w:t>
            </w:r>
          </w:p>
        </w:tc>
        <w:tc>
          <w:tcPr>
            <w:tcW w:w="992" w:type="dxa"/>
            <w:tcBorders>
              <w:top w:val="single" w:sz="4" w:space="0" w:color="000080"/>
              <w:left w:val="nil"/>
              <w:bottom w:val="single" w:sz="4" w:space="0" w:color="auto"/>
              <w:right w:val="nil"/>
            </w:tcBorders>
            <w:hideMark/>
          </w:tcPr>
          <w:p w14:paraId="70D27C2F" w14:textId="77777777" w:rsidR="00A2491B" w:rsidRDefault="00A2491B" w:rsidP="00C63FEC">
            <w:pPr>
              <w:keepNext/>
              <w:keepLines/>
              <w:spacing w:before="40" w:after="40"/>
              <w:jc w:val="right"/>
            </w:pPr>
            <w:r>
              <w:t>2018-19</w:t>
            </w:r>
          </w:p>
        </w:tc>
        <w:tc>
          <w:tcPr>
            <w:tcW w:w="992" w:type="dxa"/>
            <w:tcBorders>
              <w:top w:val="single" w:sz="4" w:space="0" w:color="000080"/>
              <w:left w:val="nil"/>
              <w:bottom w:val="single" w:sz="4" w:space="0" w:color="auto"/>
              <w:right w:val="nil"/>
            </w:tcBorders>
            <w:hideMark/>
          </w:tcPr>
          <w:p w14:paraId="55F30BD0" w14:textId="77777777" w:rsidR="00A2491B" w:rsidRDefault="00A2491B" w:rsidP="00C63FEC">
            <w:pPr>
              <w:keepNext/>
              <w:keepLines/>
              <w:spacing w:before="40" w:after="40"/>
              <w:jc w:val="right"/>
            </w:pPr>
            <w:r>
              <w:t>2019-20</w:t>
            </w:r>
          </w:p>
        </w:tc>
        <w:tc>
          <w:tcPr>
            <w:tcW w:w="992" w:type="dxa"/>
            <w:tcBorders>
              <w:top w:val="single" w:sz="4" w:space="0" w:color="000080"/>
              <w:left w:val="nil"/>
              <w:bottom w:val="single" w:sz="4" w:space="0" w:color="auto"/>
              <w:right w:val="nil"/>
            </w:tcBorders>
            <w:hideMark/>
          </w:tcPr>
          <w:p w14:paraId="68190440" w14:textId="77777777" w:rsidR="00A2491B" w:rsidRDefault="00A2491B" w:rsidP="00C63FEC">
            <w:pPr>
              <w:keepNext/>
              <w:keepLines/>
              <w:spacing w:before="40" w:after="40"/>
              <w:jc w:val="right"/>
            </w:pPr>
            <w:r>
              <w:t>2020-21</w:t>
            </w:r>
          </w:p>
        </w:tc>
        <w:tc>
          <w:tcPr>
            <w:tcW w:w="993" w:type="dxa"/>
            <w:tcBorders>
              <w:top w:val="single" w:sz="4" w:space="0" w:color="000080"/>
              <w:left w:val="nil"/>
              <w:bottom w:val="single" w:sz="4" w:space="0" w:color="auto"/>
              <w:right w:val="nil"/>
            </w:tcBorders>
            <w:hideMark/>
          </w:tcPr>
          <w:p w14:paraId="22C4F55A" w14:textId="77777777" w:rsidR="00A2491B" w:rsidRDefault="00A2491B" w:rsidP="00C63FEC">
            <w:pPr>
              <w:keepNext/>
              <w:keepLines/>
              <w:spacing w:before="40" w:after="40"/>
              <w:jc w:val="right"/>
            </w:pPr>
            <w:r>
              <w:t>2021-22</w:t>
            </w:r>
          </w:p>
        </w:tc>
        <w:tc>
          <w:tcPr>
            <w:tcW w:w="992" w:type="dxa"/>
            <w:tcBorders>
              <w:top w:val="single" w:sz="4" w:space="0" w:color="000080"/>
              <w:left w:val="nil"/>
              <w:bottom w:val="single" w:sz="4" w:space="0" w:color="auto"/>
              <w:right w:val="nil"/>
            </w:tcBorders>
          </w:tcPr>
          <w:p w14:paraId="790538F6" w14:textId="77777777" w:rsidR="00A2491B" w:rsidRDefault="00A2491B" w:rsidP="00C63FEC">
            <w:pPr>
              <w:keepNext/>
              <w:keepLines/>
              <w:spacing w:before="40" w:after="40"/>
              <w:jc w:val="right"/>
            </w:pPr>
            <w:r>
              <w:t>2022-23</w:t>
            </w:r>
          </w:p>
        </w:tc>
        <w:tc>
          <w:tcPr>
            <w:tcW w:w="959" w:type="dxa"/>
            <w:tcBorders>
              <w:top w:val="single" w:sz="4" w:space="0" w:color="000080"/>
              <w:left w:val="nil"/>
              <w:bottom w:val="single" w:sz="4" w:space="0" w:color="auto"/>
              <w:right w:val="nil"/>
            </w:tcBorders>
            <w:hideMark/>
          </w:tcPr>
          <w:p w14:paraId="58672935" w14:textId="77777777" w:rsidR="00A2491B" w:rsidRPr="00030466" w:rsidRDefault="00A2491B" w:rsidP="00C63FEC">
            <w:pPr>
              <w:keepNext/>
              <w:keepLines/>
              <w:spacing w:before="40" w:after="40"/>
              <w:jc w:val="right"/>
              <w:rPr>
                <w:b/>
              </w:rPr>
            </w:pPr>
            <w:r w:rsidRPr="00030466">
              <w:rPr>
                <w:b/>
              </w:rPr>
              <w:t>Total</w:t>
            </w:r>
          </w:p>
        </w:tc>
      </w:tr>
      <w:tr w:rsidR="00A2491B" w:rsidRPr="001668E8" w14:paraId="70BDE329" w14:textId="77777777" w:rsidTr="00A2491B">
        <w:trPr>
          <w:trHeight w:val="454"/>
        </w:trPr>
        <w:tc>
          <w:tcPr>
            <w:tcW w:w="3936" w:type="dxa"/>
            <w:tcBorders>
              <w:top w:val="single" w:sz="4" w:space="0" w:color="auto"/>
              <w:bottom w:val="single" w:sz="4" w:space="0" w:color="auto"/>
            </w:tcBorders>
            <w:hideMark/>
          </w:tcPr>
          <w:p w14:paraId="2FF6268C" w14:textId="77777777" w:rsidR="00A2491B" w:rsidRDefault="00A2491B" w:rsidP="00C63FEC">
            <w:pPr>
              <w:keepNext/>
              <w:keepLines/>
              <w:spacing w:before="60" w:after="60" w:line="240" w:lineRule="auto"/>
              <w:jc w:val="left"/>
            </w:pPr>
            <w:r>
              <w:rPr>
                <w:b/>
                <w:i/>
              </w:rPr>
              <w:t>Estimated</w:t>
            </w:r>
            <w:r>
              <w:t xml:space="preserve"> National payment</w:t>
            </w:r>
          </w:p>
          <w:p w14:paraId="1131A600" w14:textId="77777777" w:rsidR="00A2491B" w:rsidRDefault="00A2491B" w:rsidP="00C63FEC">
            <w:pPr>
              <w:keepNext/>
              <w:keepLines/>
              <w:spacing w:before="60" w:after="60" w:line="240" w:lineRule="auto"/>
              <w:jc w:val="left"/>
            </w:pPr>
            <w:r>
              <w:tab/>
            </w:r>
            <w:r w:rsidRPr="00AA210B">
              <w:t>General</w:t>
            </w:r>
          </w:p>
          <w:p w14:paraId="38B9F902" w14:textId="77777777" w:rsidR="00A2491B" w:rsidRDefault="00A2491B" w:rsidP="00C63FEC">
            <w:pPr>
              <w:keepNext/>
              <w:keepLines/>
              <w:spacing w:before="60" w:after="60" w:line="240" w:lineRule="auto"/>
              <w:jc w:val="left"/>
            </w:pPr>
            <w:r>
              <w:tab/>
            </w:r>
            <w:r>
              <w:tab/>
              <w:t>New South Wales</w:t>
            </w:r>
          </w:p>
          <w:p w14:paraId="5192A59B" w14:textId="77777777" w:rsidR="00A2491B" w:rsidRDefault="00A2491B" w:rsidP="00C63FEC">
            <w:pPr>
              <w:keepNext/>
              <w:keepLines/>
              <w:spacing w:before="60" w:after="60" w:line="240" w:lineRule="auto"/>
              <w:jc w:val="left"/>
            </w:pPr>
            <w:r>
              <w:tab/>
            </w:r>
            <w:r>
              <w:tab/>
              <w:t>Victoria</w:t>
            </w:r>
          </w:p>
          <w:p w14:paraId="01E80A06" w14:textId="77777777" w:rsidR="00A2491B" w:rsidRDefault="00A2491B" w:rsidP="00C63FEC">
            <w:pPr>
              <w:keepNext/>
              <w:keepLines/>
              <w:spacing w:before="60" w:after="60" w:line="240" w:lineRule="auto"/>
              <w:jc w:val="left"/>
            </w:pPr>
            <w:r>
              <w:tab/>
            </w:r>
            <w:r>
              <w:tab/>
              <w:t>Queensland</w:t>
            </w:r>
          </w:p>
          <w:p w14:paraId="3DD52C12" w14:textId="77777777" w:rsidR="00A2491B" w:rsidRDefault="00A2491B" w:rsidP="00C63FEC">
            <w:pPr>
              <w:keepNext/>
              <w:keepLines/>
              <w:spacing w:before="60" w:after="60" w:line="240" w:lineRule="auto"/>
              <w:jc w:val="left"/>
            </w:pPr>
            <w:r>
              <w:tab/>
            </w:r>
            <w:r>
              <w:tab/>
              <w:t>Western Australia</w:t>
            </w:r>
          </w:p>
          <w:p w14:paraId="3608889B" w14:textId="77777777" w:rsidR="00A2491B" w:rsidRDefault="00A2491B" w:rsidP="00C63FEC">
            <w:pPr>
              <w:keepNext/>
              <w:keepLines/>
              <w:spacing w:before="60" w:after="60" w:line="240" w:lineRule="auto"/>
              <w:jc w:val="left"/>
            </w:pPr>
            <w:r>
              <w:tab/>
            </w:r>
            <w:r>
              <w:tab/>
              <w:t>South Australia</w:t>
            </w:r>
          </w:p>
          <w:p w14:paraId="006D7988" w14:textId="77777777" w:rsidR="00A2491B" w:rsidRDefault="00A2491B" w:rsidP="00C63FEC">
            <w:pPr>
              <w:keepNext/>
              <w:keepLines/>
              <w:spacing w:before="60" w:after="60" w:line="240" w:lineRule="auto"/>
              <w:jc w:val="left"/>
            </w:pPr>
            <w:r>
              <w:tab/>
            </w:r>
            <w:r>
              <w:tab/>
              <w:t>Tasmania</w:t>
            </w:r>
          </w:p>
          <w:p w14:paraId="02DBF402" w14:textId="77777777" w:rsidR="00A2491B" w:rsidRDefault="00A2491B" w:rsidP="00C63FEC">
            <w:pPr>
              <w:keepNext/>
              <w:keepLines/>
              <w:spacing w:before="60" w:after="60" w:line="240" w:lineRule="auto"/>
              <w:jc w:val="left"/>
            </w:pPr>
            <w:r>
              <w:tab/>
            </w:r>
            <w:r>
              <w:tab/>
              <w:t>ACT</w:t>
            </w:r>
          </w:p>
          <w:p w14:paraId="4B2C9A8A" w14:textId="77777777" w:rsidR="00A2491B" w:rsidRDefault="00A2491B" w:rsidP="00C63FEC">
            <w:pPr>
              <w:keepNext/>
              <w:keepLines/>
              <w:spacing w:before="60" w:after="60" w:line="240" w:lineRule="auto"/>
              <w:jc w:val="left"/>
            </w:pPr>
            <w:r>
              <w:tab/>
            </w:r>
            <w:r>
              <w:tab/>
              <w:t>NT</w:t>
            </w:r>
          </w:p>
          <w:p w14:paraId="09316CC0" w14:textId="7ED57CDC" w:rsidR="00A2491B" w:rsidRDefault="00A2491B" w:rsidP="00C63FEC">
            <w:pPr>
              <w:keepNext/>
              <w:keepLines/>
              <w:spacing w:before="60" w:after="60" w:line="240" w:lineRule="auto"/>
              <w:ind w:left="720"/>
              <w:jc w:val="left"/>
            </w:pPr>
            <w:r>
              <w:t>General (SACS)</w:t>
            </w:r>
            <w:r w:rsidR="00115014">
              <w:t>*</w:t>
            </w:r>
          </w:p>
          <w:p w14:paraId="4825A6FD" w14:textId="77777777" w:rsidR="00A2491B" w:rsidRDefault="00A2491B" w:rsidP="00C63FEC">
            <w:pPr>
              <w:keepNext/>
              <w:keepLines/>
              <w:spacing w:before="60" w:after="60" w:line="240" w:lineRule="auto"/>
              <w:jc w:val="left"/>
            </w:pPr>
            <w:r>
              <w:tab/>
            </w:r>
            <w:r>
              <w:tab/>
              <w:t>New South Wales</w:t>
            </w:r>
          </w:p>
          <w:p w14:paraId="67841C50" w14:textId="77777777" w:rsidR="00A2491B" w:rsidRDefault="00A2491B" w:rsidP="00C63FEC">
            <w:pPr>
              <w:keepNext/>
              <w:keepLines/>
              <w:spacing w:before="60" w:after="60" w:line="240" w:lineRule="auto"/>
              <w:jc w:val="left"/>
            </w:pPr>
            <w:r>
              <w:tab/>
            </w:r>
            <w:r>
              <w:tab/>
              <w:t>Victoria</w:t>
            </w:r>
          </w:p>
          <w:p w14:paraId="523F1230" w14:textId="77777777" w:rsidR="00A2491B" w:rsidRDefault="00A2491B" w:rsidP="00C63FEC">
            <w:pPr>
              <w:keepNext/>
              <w:keepLines/>
              <w:spacing w:before="60" w:after="60" w:line="240" w:lineRule="auto"/>
              <w:jc w:val="left"/>
            </w:pPr>
            <w:r>
              <w:tab/>
            </w:r>
            <w:r>
              <w:tab/>
              <w:t>Queensland</w:t>
            </w:r>
          </w:p>
          <w:p w14:paraId="58A98F35" w14:textId="77777777" w:rsidR="00A2491B" w:rsidRDefault="00A2491B" w:rsidP="00C63FEC">
            <w:pPr>
              <w:keepNext/>
              <w:keepLines/>
              <w:spacing w:before="60" w:after="60" w:line="240" w:lineRule="auto"/>
              <w:jc w:val="left"/>
            </w:pPr>
            <w:r>
              <w:tab/>
            </w:r>
            <w:r>
              <w:tab/>
              <w:t>Western Australia</w:t>
            </w:r>
          </w:p>
          <w:p w14:paraId="7BE7C0F0" w14:textId="77777777" w:rsidR="00A2491B" w:rsidRDefault="00A2491B" w:rsidP="00C63FEC">
            <w:pPr>
              <w:keepNext/>
              <w:keepLines/>
              <w:spacing w:before="60" w:after="60" w:line="240" w:lineRule="auto"/>
              <w:jc w:val="left"/>
            </w:pPr>
            <w:r>
              <w:tab/>
            </w:r>
            <w:r>
              <w:tab/>
              <w:t>South Australia</w:t>
            </w:r>
          </w:p>
          <w:p w14:paraId="04E1AB7B" w14:textId="77777777" w:rsidR="00A2491B" w:rsidRDefault="00A2491B" w:rsidP="00C63FEC">
            <w:pPr>
              <w:keepNext/>
              <w:keepLines/>
              <w:spacing w:before="60" w:after="60" w:line="240" w:lineRule="auto"/>
              <w:jc w:val="left"/>
            </w:pPr>
            <w:r>
              <w:tab/>
            </w:r>
            <w:r>
              <w:tab/>
              <w:t>Tasmania</w:t>
            </w:r>
          </w:p>
          <w:p w14:paraId="607C3D90" w14:textId="77777777" w:rsidR="00A2491B" w:rsidRDefault="00A2491B" w:rsidP="00C63FEC">
            <w:pPr>
              <w:keepNext/>
              <w:keepLines/>
              <w:spacing w:before="60" w:after="60" w:line="240" w:lineRule="auto"/>
              <w:jc w:val="left"/>
            </w:pPr>
            <w:r>
              <w:tab/>
            </w:r>
            <w:r>
              <w:tab/>
              <w:t>ACT</w:t>
            </w:r>
          </w:p>
          <w:p w14:paraId="195299C7" w14:textId="77777777" w:rsidR="00A2491B" w:rsidRDefault="00A2491B" w:rsidP="00C63FEC">
            <w:pPr>
              <w:keepNext/>
              <w:keepLines/>
              <w:spacing w:before="60" w:after="60" w:line="240" w:lineRule="auto"/>
              <w:jc w:val="left"/>
            </w:pPr>
            <w:r>
              <w:tab/>
            </w:r>
            <w:r>
              <w:tab/>
              <w:t>NT</w:t>
            </w:r>
          </w:p>
          <w:p w14:paraId="10E22051" w14:textId="77777777" w:rsidR="00A2491B" w:rsidRDefault="00A2491B" w:rsidP="00C63FEC">
            <w:pPr>
              <w:keepNext/>
              <w:keepLines/>
              <w:spacing w:before="60" w:after="60" w:line="240" w:lineRule="auto"/>
              <w:jc w:val="left"/>
            </w:pPr>
            <w:r>
              <w:tab/>
              <w:t>Homelessness</w:t>
            </w:r>
          </w:p>
          <w:p w14:paraId="4DFE7FAB" w14:textId="77777777" w:rsidR="00A2491B" w:rsidRDefault="00A2491B" w:rsidP="00C63FEC">
            <w:pPr>
              <w:keepNext/>
              <w:keepLines/>
              <w:spacing w:before="60" w:after="60" w:line="240" w:lineRule="auto"/>
              <w:jc w:val="left"/>
            </w:pPr>
            <w:r>
              <w:tab/>
            </w:r>
            <w:r>
              <w:tab/>
              <w:t>New South Wales</w:t>
            </w:r>
          </w:p>
          <w:p w14:paraId="37749E76" w14:textId="77777777" w:rsidR="00A2491B" w:rsidRDefault="00A2491B" w:rsidP="00C63FEC">
            <w:pPr>
              <w:keepNext/>
              <w:keepLines/>
              <w:spacing w:before="60" w:after="60" w:line="240" w:lineRule="auto"/>
              <w:jc w:val="left"/>
            </w:pPr>
            <w:r>
              <w:tab/>
            </w:r>
            <w:r>
              <w:tab/>
              <w:t>Victoria</w:t>
            </w:r>
          </w:p>
          <w:p w14:paraId="0FEFD875" w14:textId="77777777" w:rsidR="00A2491B" w:rsidRDefault="00A2491B" w:rsidP="00C63FEC">
            <w:pPr>
              <w:keepNext/>
              <w:keepLines/>
              <w:spacing w:before="60" w:after="60" w:line="240" w:lineRule="auto"/>
              <w:jc w:val="left"/>
            </w:pPr>
            <w:r>
              <w:tab/>
            </w:r>
            <w:r>
              <w:tab/>
              <w:t>Queensland</w:t>
            </w:r>
          </w:p>
          <w:p w14:paraId="7F4FADD5" w14:textId="77777777" w:rsidR="00A2491B" w:rsidRDefault="00A2491B" w:rsidP="00C63FEC">
            <w:pPr>
              <w:keepNext/>
              <w:keepLines/>
              <w:spacing w:before="60" w:after="60" w:line="240" w:lineRule="auto"/>
              <w:jc w:val="left"/>
            </w:pPr>
            <w:r>
              <w:tab/>
            </w:r>
            <w:r>
              <w:tab/>
              <w:t>Western Australia</w:t>
            </w:r>
          </w:p>
          <w:p w14:paraId="2ECCC076" w14:textId="77777777" w:rsidR="00A2491B" w:rsidRDefault="00A2491B" w:rsidP="00C63FEC">
            <w:pPr>
              <w:keepNext/>
              <w:keepLines/>
              <w:spacing w:before="60" w:after="60" w:line="240" w:lineRule="auto"/>
              <w:jc w:val="left"/>
            </w:pPr>
            <w:r>
              <w:tab/>
            </w:r>
            <w:r>
              <w:tab/>
              <w:t>South Australia</w:t>
            </w:r>
          </w:p>
          <w:p w14:paraId="000040EB" w14:textId="77777777" w:rsidR="00A2491B" w:rsidRDefault="00A2491B" w:rsidP="00C63FEC">
            <w:pPr>
              <w:keepNext/>
              <w:keepLines/>
              <w:spacing w:before="60" w:after="60" w:line="240" w:lineRule="auto"/>
              <w:jc w:val="left"/>
            </w:pPr>
            <w:r>
              <w:tab/>
            </w:r>
            <w:r>
              <w:tab/>
              <w:t>Tasmania</w:t>
            </w:r>
          </w:p>
          <w:p w14:paraId="24C726E1" w14:textId="77777777" w:rsidR="00A2491B" w:rsidRDefault="00A2491B" w:rsidP="00C63FEC">
            <w:pPr>
              <w:keepNext/>
              <w:keepLines/>
              <w:spacing w:before="60" w:after="60" w:line="240" w:lineRule="auto"/>
              <w:jc w:val="left"/>
            </w:pPr>
            <w:r>
              <w:tab/>
            </w:r>
            <w:r>
              <w:tab/>
              <w:t>ACT</w:t>
            </w:r>
          </w:p>
          <w:p w14:paraId="072B3F5D" w14:textId="77777777" w:rsidR="00A2491B" w:rsidRDefault="00A2491B" w:rsidP="00C63FEC">
            <w:pPr>
              <w:keepNext/>
              <w:keepLines/>
              <w:spacing w:before="60" w:after="60" w:line="240" w:lineRule="auto"/>
              <w:jc w:val="left"/>
            </w:pPr>
            <w:r>
              <w:tab/>
            </w:r>
            <w:r>
              <w:tab/>
              <w:t>NT</w:t>
            </w:r>
          </w:p>
          <w:p w14:paraId="212A87D6" w14:textId="0956294F" w:rsidR="00A2491B" w:rsidRDefault="00A2491B" w:rsidP="00C63FEC">
            <w:pPr>
              <w:keepNext/>
              <w:keepLines/>
              <w:spacing w:before="60" w:after="60" w:line="240" w:lineRule="auto"/>
              <w:ind w:left="720"/>
              <w:jc w:val="left"/>
            </w:pPr>
            <w:r>
              <w:t>Homelessness (SACS)</w:t>
            </w:r>
            <w:r w:rsidR="00115014">
              <w:t>*</w:t>
            </w:r>
          </w:p>
          <w:p w14:paraId="77A9E74B" w14:textId="77777777" w:rsidR="00A2491B" w:rsidRDefault="00A2491B" w:rsidP="00C63FEC">
            <w:pPr>
              <w:keepNext/>
              <w:keepLines/>
              <w:spacing w:before="60" w:after="60" w:line="240" w:lineRule="auto"/>
              <w:jc w:val="left"/>
            </w:pPr>
            <w:r>
              <w:tab/>
            </w:r>
            <w:r>
              <w:tab/>
              <w:t>New South Wales</w:t>
            </w:r>
          </w:p>
          <w:p w14:paraId="4C1B1E2F" w14:textId="77777777" w:rsidR="00A2491B" w:rsidRDefault="00A2491B" w:rsidP="00C63FEC">
            <w:pPr>
              <w:keepNext/>
              <w:keepLines/>
              <w:spacing w:before="60" w:after="60" w:line="240" w:lineRule="auto"/>
              <w:jc w:val="left"/>
            </w:pPr>
            <w:r>
              <w:tab/>
            </w:r>
            <w:r>
              <w:tab/>
              <w:t>Victoria</w:t>
            </w:r>
          </w:p>
          <w:p w14:paraId="4761C72B" w14:textId="77777777" w:rsidR="00A2491B" w:rsidRDefault="00A2491B" w:rsidP="00C63FEC">
            <w:pPr>
              <w:keepNext/>
              <w:keepLines/>
              <w:spacing w:before="60" w:after="60" w:line="240" w:lineRule="auto"/>
              <w:jc w:val="left"/>
            </w:pPr>
            <w:r>
              <w:tab/>
            </w:r>
            <w:r>
              <w:tab/>
              <w:t>Queensland</w:t>
            </w:r>
          </w:p>
          <w:p w14:paraId="0D228B26" w14:textId="77777777" w:rsidR="00A2491B" w:rsidRDefault="00A2491B" w:rsidP="00C63FEC">
            <w:pPr>
              <w:keepNext/>
              <w:keepLines/>
              <w:spacing w:before="60" w:after="60" w:line="240" w:lineRule="auto"/>
              <w:jc w:val="left"/>
            </w:pPr>
            <w:r>
              <w:tab/>
            </w:r>
            <w:r>
              <w:tab/>
              <w:t>Western Australia</w:t>
            </w:r>
          </w:p>
          <w:p w14:paraId="0140F212" w14:textId="77777777" w:rsidR="00A2491B" w:rsidRDefault="00A2491B" w:rsidP="00C63FEC">
            <w:pPr>
              <w:keepNext/>
              <w:keepLines/>
              <w:spacing w:before="60" w:after="60" w:line="240" w:lineRule="auto"/>
              <w:jc w:val="left"/>
            </w:pPr>
            <w:r>
              <w:tab/>
            </w:r>
            <w:r>
              <w:tab/>
              <w:t>South Australia</w:t>
            </w:r>
          </w:p>
          <w:p w14:paraId="33935809" w14:textId="77777777" w:rsidR="00A2491B" w:rsidRDefault="00A2491B" w:rsidP="00C63FEC">
            <w:pPr>
              <w:keepNext/>
              <w:keepLines/>
              <w:spacing w:before="60" w:after="60" w:line="240" w:lineRule="auto"/>
              <w:jc w:val="left"/>
            </w:pPr>
            <w:r>
              <w:tab/>
            </w:r>
            <w:r>
              <w:tab/>
              <w:t>Tasmania</w:t>
            </w:r>
          </w:p>
          <w:p w14:paraId="36A50D4A" w14:textId="77777777" w:rsidR="00A2491B" w:rsidRDefault="00A2491B" w:rsidP="00C63FEC">
            <w:pPr>
              <w:keepNext/>
              <w:keepLines/>
              <w:spacing w:before="60" w:after="60" w:line="240" w:lineRule="auto"/>
              <w:jc w:val="left"/>
            </w:pPr>
            <w:r>
              <w:tab/>
            </w:r>
            <w:r>
              <w:tab/>
              <w:t>ACT</w:t>
            </w:r>
          </w:p>
          <w:p w14:paraId="74FBA1D0" w14:textId="77777777" w:rsidR="00A2491B" w:rsidRDefault="00A2491B" w:rsidP="00C63FEC">
            <w:pPr>
              <w:keepNext/>
              <w:keepLines/>
              <w:spacing w:before="60" w:after="60" w:line="240" w:lineRule="auto"/>
              <w:jc w:val="left"/>
            </w:pPr>
            <w:r>
              <w:tab/>
            </w:r>
            <w:r>
              <w:tab/>
              <w:t>NT</w:t>
            </w:r>
            <w:r>
              <w:tab/>
            </w:r>
          </w:p>
        </w:tc>
        <w:tc>
          <w:tcPr>
            <w:tcW w:w="992" w:type="dxa"/>
            <w:tcBorders>
              <w:top w:val="single" w:sz="4" w:space="0" w:color="auto"/>
              <w:bottom w:val="single" w:sz="4" w:space="0" w:color="auto"/>
            </w:tcBorders>
          </w:tcPr>
          <w:p w14:paraId="747BAD8F" w14:textId="77777777" w:rsidR="00A2491B" w:rsidRPr="00FB371F" w:rsidRDefault="00A2491B" w:rsidP="00C63FEC">
            <w:pPr>
              <w:keepNext/>
              <w:keepLines/>
              <w:spacing w:before="60" w:after="60" w:line="240" w:lineRule="auto"/>
              <w:jc w:val="right"/>
            </w:pPr>
          </w:p>
          <w:p w14:paraId="47BE30AC" w14:textId="77777777" w:rsidR="00A2491B" w:rsidRPr="00FB371F" w:rsidRDefault="00A2491B" w:rsidP="00C63FEC">
            <w:pPr>
              <w:keepNext/>
              <w:keepLines/>
              <w:spacing w:before="60" w:after="60" w:line="240" w:lineRule="auto"/>
              <w:jc w:val="right"/>
            </w:pPr>
          </w:p>
          <w:p w14:paraId="665E1BB6" w14:textId="77777777" w:rsidR="00A2491B" w:rsidRPr="00FB371F" w:rsidRDefault="00A2491B" w:rsidP="00C63FEC">
            <w:pPr>
              <w:keepNext/>
              <w:keepLines/>
              <w:spacing w:before="60" w:after="60" w:line="240" w:lineRule="auto"/>
              <w:jc w:val="right"/>
            </w:pPr>
            <w:r w:rsidRPr="00FB371F">
              <w:t>441.1</w:t>
            </w:r>
          </w:p>
          <w:p w14:paraId="4359FE2B" w14:textId="77777777" w:rsidR="00A2491B" w:rsidRPr="00FB371F" w:rsidRDefault="00A2491B" w:rsidP="00C63FEC">
            <w:pPr>
              <w:keepNext/>
              <w:keepLines/>
              <w:spacing w:before="60" w:after="60" w:line="240" w:lineRule="auto"/>
              <w:jc w:val="right"/>
            </w:pPr>
            <w:r w:rsidRPr="00FB371F">
              <w:t>357.8</w:t>
            </w:r>
          </w:p>
          <w:p w14:paraId="6E78846C" w14:textId="77777777" w:rsidR="00A2491B" w:rsidRPr="00FB371F" w:rsidRDefault="00A2491B" w:rsidP="00C63FEC">
            <w:pPr>
              <w:keepNext/>
              <w:keepLines/>
              <w:spacing w:before="60" w:after="60" w:line="240" w:lineRule="auto"/>
              <w:jc w:val="right"/>
            </w:pPr>
            <w:r w:rsidRPr="00FB371F">
              <w:t>276.1</w:t>
            </w:r>
          </w:p>
          <w:p w14:paraId="207D040B" w14:textId="77777777" w:rsidR="00A2491B" w:rsidRPr="00FB371F" w:rsidRDefault="00A2491B" w:rsidP="00C63FEC">
            <w:pPr>
              <w:keepNext/>
              <w:keepLines/>
              <w:spacing w:before="60" w:after="60" w:line="240" w:lineRule="auto"/>
              <w:jc w:val="right"/>
            </w:pPr>
            <w:r w:rsidRPr="00FB371F">
              <w:t>143.4</w:t>
            </w:r>
          </w:p>
          <w:p w14:paraId="7710E78B" w14:textId="77777777" w:rsidR="00A2491B" w:rsidRPr="00FB371F" w:rsidRDefault="00A2491B" w:rsidP="00C63FEC">
            <w:pPr>
              <w:keepNext/>
              <w:keepLines/>
              <w:spacing w:before="60" w:after="60" w:line="240" w:lineRule="auto"/>
              <w:jc w:val="right"/>
            </w:pPr>
            <w:r w:rsidRPr="00FB371F">
              <w:t>95.4</w:t>
            </w:r>
          </w:p>
          <w:p w14:paraId="5E8FBF9F" w14:textId="77777777" w:rsidR="00A2491B" w:rsidRPr="00FB371F" w:rsidRDefault="00A2491B" w:rsidP="00C63FEC">
            <w:pPr>
              <w:keepNext/>
              <w:keepLines/>
              <w:spacing w:before="60" w:after="60" w:line="240" w:lineRule="auto"/>
              <w:jc w:val="right"/>
            </w:pPr>
            <w:r w:rsidRPr="00FB371F">
              <w:t>28.8</w:t>
            </w:r>
          </w:p>
          <w:p w14:paraId="4BB727D4" w14:textId="77777777" w:rsidR="00A2491B" w:rsidRPr="00FB371F" w:rsidRDefault="00A2491B" w:rsidP="00C63FEC">
            <w:pPr>
              <w:keepNext/>
              <w:keepLines/>
              <w:spacing w:before="60" w:after="60" w:line="240" w:lineRule="auto"/>
              <w:jc w:val="right"/>
            </w:pPr>
            <w:r w:rsidRPr="00FB371F">
              <w:t>23.0</w:t>
            </w:r>
          </w:p>
          <w:p w14:paraId="4C7FCD87" w14:textId="77777777" w:rsidR="00A2491B" w:rsidRDefault="00A2491B" w:rsidP="00C63FEC">
            <w:pPr>
              <w:keepNext/>
              <w:keepLines/>
              <w:spacing w:before="60" w:after="60" w:line="240" w:lineRule="auto"/>
              <w:jc w:val="right"/>
            </w:pPr>
            <w:r w:rsidRPr="00FB371F">
              <w:t>13.5</w:t>
            </w:r>
          </w:p>
          <w:p w14:paraId="5DFC81E4" w14:textId="77777777" w:rsidR="00A2491B" w:rsidRDefault="00A2491B" w:rsidP="00C63FEC">
            <w:pPr>
              <w:keepNext/>
              <w:keepLines/>
              <w:spacing w:before="60" w:after="60" w:line="240" w:lineRule="auto"/>
              <w:jc w:val="right"/>
            </w:pPr>
          </w:p>
          <w:p w14:paraId="3B0FFD77" w14:textId="77777777" w:rsidR="00A2491B" w:rsidRDefault="00A2491B" w:rsidP="00C63FEC">
            <w:pPr>
              <w:keepNext/>
              <w:keepLines/>
              <w:spacing w:before="60" w:after="60" w:line="240" w:lineRule="auto"/>
              <w:jc w:val="right"/>
            </w:pPr>
            <w:r>
              <w:t>4.7</w:t>
            </w:r>
          </w:p>
          <w:p w14:paraId="6F7B9ECF" w14:textId="77777777" w:rsidR="00A2491B" w:rsidRDefault="00A2491B" w:rsidP="00C63FEC">
            <w:pPr>
              <w:keepNext/>
              <w:keepLines/>
              <w:spacing w:before="60" w:after="60" w:line="240" w:lineRule="auto"/>
              <w:jc w:val="right"/>
            </w:pPr>
            <w:r>
              <w:t>13.7</w:t>
            </w:r>
          </w:p>
          <w:p w14:paraId="74887092" w14:textId="77777777" w:rsidR="00A2491B" w:rsidRDefault="00A2491B" w:rsidP="00C63FEC">
            <w:pPr>
              <w:keepNext/>
              <w:keepLines/>
              <w:spacing w:before="60" w:after="60" w:line="240" w:lineRule="auto"/>
              <w:jc w:val="right"/>
            </w:pPr>
            <w:r>
              <w:t>6.9</w:t>
            </w:r>
          </w:p>
          <w:p w14:paraId="3153772B" w14:textId="77777777" w:rsidR="00A2491B" w:rsidRDefault="00A2491B" w:rsidP="00C63FEC">
            <w:pPr>
              <w:keepNext/>
              <w:keepLines/>
              <w:spacing w:before="60" w:after="60" w:line="240" w:lineRule="auto"/>
              <w:jc w:val="right"/>
            </w:pPr>
            <w:r>
              <w:t>4.7</w:t>
            </w:r>
          </w:p>
          <w:p w14:paraId="6A0F7646" w14:textId="77777777" w:rsidR="00A2491B" w:rsidRDefault="00A2491B" w:rsidP="00C63FEC">
            <w:pPr>
              <w:keepNext/>
              <w:keepLines/>
              <w:spacing w:before="60" w:after="60" w:line="240" w:lineRule="auto"/>
              <w:jc w:val="right"/>
            </w:pPr>
            <w:r>
              <w:t>2.7</w:t>
            </w:r>
          </w:p>
          <w:p w14:paraId="6E394A79" w14:textId="77777777" w:rsidR="00A2491B" w:rsidRDefault="00A2491B" w:rsidP="00C63FEC">
            <w:pPr>
              <w:keepNext/>
              <w:keepLines/>
              <w:spacing w:before="60" w:after="60" w:line="240" w:lineRule="auto"/>
              <w:jc w:val="right"/>
            </w:pPr>
            <w:r>
              <w:t>1.2</w:t>
            </w:r>
          </w:p>
          <w:p w14:paraId="26EAE524" w14:textId="77777777" w:rsidR="00A2491B" w:rsidRDefault="00A2491B" w:rsidP="00C63FEC">
            <w:pPr>
              <w:keepNext/>
              <w:keepLines/>
              <w:spacing w:before="60" w:after="60" w:line="240" w:lineRule="auto"/>
              <w:jc w:val="right"/>
            </w:pPr>
            <w:r>
              <w:t>1.1</w:t>
            </w:r>
          </w:p>
          <w:p w14:paraId="1C65602F" w14:textId="77777777" w:rsidR="00A2491B" w:rsidRDefault="00A2491B" w:rsidP="00C63FEC">
            <w:pPr>
              <w:keepNext/>
              <w:keepLines/>
              <w:spacing w:before="60" w:after="60" w:line="240" w:lineRule="auto"/>
              <w:jc w:val="right"/>
            </w:pPr>
            <w:r>
              <w:t>0.6</w:t>
            </w:r>
          </w:p>
          <w:p w14:paraId="7827B733" w14:textId="77777777" w:rsidR="00A2491B" w:rsidRDefault="00A2491B" w:rsidP="00C63FEC">
            <w:pPr>
              <w:keepNext/>
              <w:keepLines/>
              <w:spacing w:before="60" w:after="60" w:line="240" w:lineRule="auto"/>
              <w:jc w:val="right"/>
            </w:pPr>
          </w:p>
          <w:p w14:paraId="26AC0E59" w14:textId="77777777" w:rsidR="00A2491B" w:rsidRDefault="00A2491B" w:rsidP="00C63FEC">
            <w:pPr>
              <w:keepNext/>
              <w:keepLines/>
              <w:spacing w:before="60" w:after="60" w:line="240" w:lineRule="auto"/>
              <w:jc w:val="right"/>
            </w:pPr>
            <w:r>
              <w:t>30.4</w:t>
            </w:r>
          </w:p>
          <w:p w14:paraId="31AF38AF" w14:textId="77777777" w:rsidR="00A2491B" w:rsidRDefault="00A2491B" w:rsidP="00C63FEC">
            <w:pPr>
              <w:keepNext/>
              <w:keepLines/>
              <w:spacing w:before="60" w:after="60" w:line="240" w:lineRule="auto"/>
              <w:jc w:val="right"/>
            </w:pPr>
            <w:r>
              <w:t>23.1</w:t>
            </w:r>
          </w:p>
          <w:p w14:paraId="2A1E6EF0" w14:textId="77777777" w:rsidR="00A2491B" w:rsidRDefault="00A2491B" w:rsidP="00C63FEC">
            <w:pPr>
              <w:keepNext/>
              <w:keepLines/>
              <w:spacing w:before="60" w:after="60" w:line="240" w:lineRule="auto"/>
              <w:jc w:val="right"/>
            </w:pPr>
            <w:r>
              <w:t>29.1</w:t>
            </w:r>
          </w:p>
          <w:p w14:paraId="6C92AD19" w14:textId="77777777" w:rsidR="00A2491B" w:rsidRDefault="00A2491B" w:rsidP="00C63FEC">
            <w:pPr>
              <w:keepNext/>
              <w:keepLines/>
              <w:spacing w:before="60" w:after="60" w:line="240" w:lineRule="auto"/>
              <w:jc w:val="right"/>
            </w:pPr>
            <w:r>
              <w:t>15.2</w:t>
            </w:r>
          </w:p>
          <w:p w14:paraId="520795F6" w14:textId="77777777" w:rsidR="00A2491B" w:rsidRDefault="00A2491B" w:rsidP="00C63FEC">
            <w:pPr>
              <w:keepNext/>
              <w:keepLines/>
              <w:spacing w:before="60" w:after="60" w:line="240" w:lineRule="auto"/>
              <w:jc w:val="right"/>
            </w:pPr>
            <w:r>
              <w:t>9.0</w:t>
            </w:r>
          </w:p>
          <w:p w14:paraId="0810DE34" w14:textId="77777777" w:rsidR="00A2491B" w:rsidRDefault="00A2491B" w:rsidP="00C63FEC">
            <w:pPr>
              <w:keepNext/>
              <w:keepLines/>
              <w:spacing w:before="60" w:after="60" w:line="240" w:lineRule="auto"/>
              <w:jc w:val="right"/>
            </w:pPr>
            <w:r>
              <w:t>2.8</w:t>
            </w:r>
          </w:p>
          <w:p w14:paraId="0A293095" w14:textId="77777777" w:rsidR="00A2491B" w:rsidRDefault="00A2491B" w:rsidP="00C63FEC">
            <w:pPr>
              <w:keepNext/>
              <w:keepLines/>
              <w:spacing w:before="60" w:after="60" w:line="240" w:lineRule="auto"/>
              <w:jc w:val="right"/>
            </w:pPr>
            <w:r>
              <w:t>1.5</w:t>
            </w:r>
          </w:p>
          <w:p w14:paraId="693986BD" w14:textId="77777777" w:rsidR="00A2491B" w:rsidRDefault="00A2491B" w:rsidP="00C63FEC">
            <w:pPr>
              <w:keepNext/>
              <w:keepLines/>
              <w:spacing w:before="60" w:after="60" w:line="240" w:lineRule="auto"/>
              <w:jc w:val="right"/>
            </w:pPr>
            <w:r>
              <w:t>5.4</w:t>
            </w:r>
          </w:p>
          <w:p w14:paraId="5EF2ECDB" w14:textId="77777777" w:rsidR="00A2491B" w:rsidRDefault="00A2491B" w:rsidP="00C63FEC">
            <w:pPr>
              <w:keepNext/>
              <w:keepLines/>
              <w:spacing w:before="60" w:after="60" w:line="240" w:lineRule="auto"/>
              <w:jc w:val="right"/>
            </w:pPr>
          </w:p>
          <w:p w14:paraId="2875727D" w14:textId="77777777" w:rsidR="00A2491B" w:rsidRDefault="00A2491B" w:rsidP="00C63FEC">
            <w:pPr>
              <w:keepNext/>
              <w:keepLines/>
              <w:spacing w:before="60" w:after="60" w:line="240" w:lineRule="auto"/>
              <w:jc w:val="right"/>
            </w:pPr>
            <w:r>
              <w:t>0.6</w:t>
            </w:r>
          </w:p>
          <w:p w14:paraId="3CB5F296" w14:textId="77777777" w:rsidR="00A2491B" w:rsidRDefault="00A2491B" w:rsidP="00C63FEC">
            <w:pPr>
              <w:keepNext/>
              <w:keepLines/>
              <w:spacing w:before="60" w:after="60" w:line="240" w:lineRule="auto"/>
              <w:jc w:val="right"/>
            </w:pPr>
            <w:r>
              <w:t>0.8</w:t>
            </w:r>
          </w:p>
          <w:p w14:paraId="2B2841C8" w14:textId="77777777" w:rsidR="00A2491B" w:rsidRDefault="00A2491B" w:rsidP="00C63FEC">
            <w:pPr>
              <w:keepNext/>
              <w:keepLines/>
              <w:spacing w:before="60" w:after="60" w:line="240" w:lineRule="auto"/>
              <w:jc w:val="right"/>
            </w:pPr>
            <w:r>
              <w:t>1.4</w:t>
            </w:r>
          </w:p>
          <w:p w14:paraId="42704E9A" w14:textId="77777777" w:rsidR="00A2491B" w:rsidRDefault="00A2491B" w:rsidP="00C63FEC">
            <w:pPr>
              <w:keepNext/>
              <w:keepLines/>
              <w:spacing w:before="60" w:after="60" w:line="240" w:lineRule="auto"/>
              <w:jc w:val="right"/>
            </w:pPr>
            <w:r>
              <w:t>0.9</w:t>
            </w:r>
          </w:p>
          <w:p w14:paraId="69844595" w14:textId="77777777" w:rsidR="00A2491B" w:rsidRDefault="00A2491B" w:rsidP="00C63FEC">
            <w:pPr>
              <w:keepNext/>
              <w:keepLines/>
              <w:spacing w:before="60" w:after="60" w:line="240" w:lineRule="auto"/>
              <w:jc w:val="right"/>
            </w:pPr>
            <w:r>
              <w:t>0.4</w:t>
            </w:r>
          </w:p>
          <w:p w14:paraId="126E4497" w14:textId="77777777" w:rsidR="00A2491B" w:rsidRDefault="00A2491B" w:rsidP="00C63FEC">
            <w:pPr>
              <w:keepNext/>
              <w:keepLines/>
              <w:spacing w:before="60" w:after="60" w:line="240" w:lineRule="auto"/>
              <w:jc w:val="right"/>
            </w:pPr>
            <w:r>
              <w:t>0.1</w:t>
            </w:r>
          </w:p>
          <w:p w14:paraId="2B4A1811" w14:textId="77777777" w:rsidR="00A2491B" w:rsidRDefault="00A2491B" w:rsidP="00C63FEC">
            <w:pPr>
              <w:keepNext/>
              <w:keepLines/>
              <w:spacing w:before="60" w:after="60" w:line="240" w:lineRule="auto"/>
              <w:jc w:val="right"/>
            </w:pPr>
            <w:r>
              <w:t>0.1</w:t>
            </w:r>
          </w:p>
          <w:p w14:paraId="548A1B64" w14:textId="77777777" w:rsidR="00A2491B" w:rsidRPr="00FB371F" w:rsidRDefault="00A2491B" w:rsidP="00C63FEC">
            <w:pPr>
              <w:keepNext/>
              <w:keepLines/>
              <w:spacing w:before="60" w:after="60" w:line="240" w:lineRule="auto"/>
              <w:jc w:val="right"/>
            </w:pPr>
            <w:r>
              <w:t>0.2</w:t>
            </w:r>
          </w:p>
        </w:tc>
        <w:tc>
          <w:tcPr>
            <w:tcW w:w="992" w:type="dxa"/>
            <w:tcBorders>
              <w:top w:val="single" w:sz="4" w:space="0" w:color="auto"/>
              <w:bottom w:val="single" w:sz="4" w:space="0" w:color="auto"/>
            </w:tcBorders>
          </w:tcPr>
          <w:p w14:paraId="5149B5A7" w14:textId="77777777" w:rsidR="00A2491B" w:rsidRPr="00FB371F" w:rsidRDefault="00A2491B" w:rsidP="00C63FEC">
            <w:pPr>
              <w:keepNext/>
              <w:keepLines/>
              <w:spacing w:before="60" w:after="60" w:line="240" w:lineRule="auto"/>
              <w:jc w:val="right"/>
            </w:pPr>
          </w:p>
          <w:p w14:paraId="13CA97D8" w14:textId="77777777" w:rsidR="00A2491B" w:rsidRPr="00FB371F" w:rsidRDefault="00A2491B" w:rsidP="00C63FEC">
            <w:pPr>
              <w:keepNext/>
              <w:keepLines/>
              <w:spacing w:before="60" w:after="60" w:line="240" w:lineRule="auto"/>
              <w:jc w:val="right"/>
            </w:pPr>
          </w:p>
          <w:p w14:paraId="5E2FFA94" w14:textId="77777777" w:rsidR="00A2491B" w:rsidRPr="00FB371F" w:rsidRDefault="00A2491B" w:rsidP="00C63FEC">
            <w:pPr>
              <w:keepNext/>
              <w:keepLines/>
              <w:spacing w:before="60" w:after="60" w:line="240" w:lineRule="auto"/>
              <w:jc w:val="right"/>
            </w:pPr>
            <w:r w:rsidRPr="00FB371F">
              <w:t>447.5</w:t>
            </w:r>
          </w:p>
          <w:p w14:paraId="71ACFA0C" w14:textId="77777777" w:rsidR="00A2491B" w:rsidRPr="00FB371F" w:rsidRDefault="00A2491B" w:rsidP="00C63FEC">
            <w:pPr>
              <w:keepNext/>
              <w:keepLines/>
              <w:spacing w:before="60" w:after="60" w:line="240" w:lineRule="auto"/>
              <w:jc w:val="right"/>
            </w:pPr>
            <w:r w:rsidRPr="00FB371F">
              <w:t>364.9</w:t>
            </w:r>
          </w:p>
          <w:p w14:paraId="140188FC" w14:textId="77777777" w:rsidR="00A2491B" w:rsidRPr="00FB371F" w:rsidRDefault="00A2491B" w:rsidP="00C63FEC">
            <w:pPr>
              <w:keepNext/>
              <w:keepLines/>
              <w:spacing w:before="60" w:after="60" w:line="240" w:lineRule="auto"/>
              <w:jc w:val="right"/>
            </w:pPr>
            <w:r w:rsidRPr="00FB371F">
              <w:t>279.8</w:t>
            </w:r>
          </w:p>
          <w:p w14:paraId="19F0F14F" w14:textId="77777777" w:rsidR="00A2491B" w:rsidRPr="00FB371F" w:rsidRDefault="00A2491B" w:rsidP="00C63FEC">
            <w:pPr>
              <w:keepNext/>
              <w:keepLines/>
              <w:spacing w:before="60" w:after="60" w:line="240" w:lineRule="auto"/>
              <w:jc w:val="right"/>
            </w:pPr>
            <w:r w:rsidRPr="00FB371F">
              <w:t>144.6</w:t>
            </w:r>
          </w:p>
          <w:p w14:paraId="4B661B4C" w14:textId="77777777" w:rsidR="00A2491B" w:rsidRPr="00FB371F" w:rsidRDefault="00A2491B" w:rsidP="00C63FEC">
            <w:pPr>
              <w:keepNext/>
              <w:keepLines/>
              <w:spacing w:before="60" w:after="60" w:line="240" w:lineRule="auto"/>
              <w:jc w:val="right"/>
            </w:pPr>
            <w:r w:rsidRPr="00FB371F">
              <w:t>95.9</w:t>
            </w:r>
          </w:p>
          <w:p w14:paraId="273203E9" w14:textId="77777777" w:rsidR="00A2491B" w:rsidRPr="00FB371F" w:rsidRDefault="00A2491B" w:rsidP="00C63FEC">
            <w:pPr>
              <w:keepNext/>
              <w:keepLines/>
              <w:spacing w:before="60" w:after="60" w:line="240" w:lineRule="auto"/>
              <w:jc w:val="right"/>
            </w:pPr>
            <w:r w:rsidRPr="00FB371F">
              <w:t>28.9</w:t>
            </w:r>
          </w:p>
          <w:p w14:paraId="44CCB831" w14:textId="77777777" w:rsidR="00A2491B" w:rsidRPr="00FB371F" w:rsidRDefault="00A2491B" w:rsidP="00C63FEC">
            <w:pPr>
              <w:keepNext/>
              <w:keepLines/>
              <w:spacing w:before="60" w:after="60" w:line="240" w:lineRule="auto"/>
              <w:jc w:val="right"/>
            </w:pPr>
            <w:r w:rsidRPr="00FB371F">
              <w:t>23.3</w:t>
            </w:r>
          </w:p>
          <w:p w14:paraId="7CC312A1" w14:textId="77777777" w:rsidR="00A2491B" w:rsidRDefault="00A2491B" w:rsidP="00C63FEC">
            <w:pPr>
              <w:keepNext/>
              <w:keepLines/>
              <w:spacing w:before="60" w:after="60" w:line="240" w:lineRule="auto"/>
              <w:jc w:val="right"/>
            </w:pPr>
            <w:r w:rsidRPr="00FB371F">
              <w:t>13.5</w:t>
            </w:r>
          </w:p>
          <w:p w14:paraId="62AE9ABB" w14:textId="77777777" w:rsidR="00A2491B" w:rsidRDefault="00A2491B" w:rsidP="00C63FEC">
            <w:pPr>
              <w:keepNext/>
              <w:keepLines/>
              <w:spacing w:before="60" w:after="60" w:line="240" w:lineRule="auto"/>
              <w:jc w:val="right"/>
            </w:pPr>
          </w:p>
          <w:p w14:paraId="5F72D584" w14:textId="77777777" w:rsidR="00A2491B" w:rsidRDefault="00A2491B" w:rsidP="00C63FEC">
            <w:pPr>
              <w:keepNext/>
              <w:keepLines/>
              <w:spacing w:before="60" w:after="60" w:line="240" w:lineRule="auto"/>
              <w:jc w:val="right"/>
            </w:pPr>
            <w:r>
              <w:t>5.5</w:t>
            </w:r>
          </w:p>
          <w:p w14:paraId="53762422" w14:textId="77777777" w:rsidR="00A2491B" w:rsidRDefault="00A2491B" w:rsidP="00C63FEC">
            <w:pPr>
              <w:keepNext/>
              <w:keepLines/>
              <w:spacing w:before="60" w:after="60" w:line="240" w:lineRule="auto"/>
              <w:jc w:val="right"/>
            </w:pPr>
            <w:r>
              <w:t>16.1</w:t>
            </w:r>
          </w:p>
          <w:p w14:paraId="76551DDD" w14:textId="77777777" w:rsidR="00A2491B" w:rsidRDefault="00A2491B" w:rsidP="00C63FEC">
            <w:pPr>
              <w:keepNext/>
              <w:keepLines/>
              <w:spacing w:before="60" w:after="60" w:line="240" w:lineRule="auto"/>
              <w:jc w:val="right"/>
            </w:pPr>
            <w:r>
              <w:t>7.7</w:t>
            </w:r>
          </w:p>
          <w:p w14:paraId="3A67AE9B" w14:textId="77777777" w:rsidR="00A2491B" w:rsidRDefault="00A2491B" w:rsidP="00C63FEC">
            <w:pPr>
              <w:keepNext/>
              <w:keepLines/>
              <w:spacing w:before="60" w:after="60" w:line="240" w:lineRule="auto"/>
              <w:jc w:val="right"/>
            </w:pPr>
            <w:r>
              <w:t>5.5</w:t>
            </w:r>
          </w:p>
          <w:p w14:paraId="36A24BCC" w14:textId="77777777" w:rsidR="00A2491B" w:rsidRDefault="00A2491B" w:rsidP="00C63FEC">
            <w:pPr>
              <w:keepNext/>
              <w:keepLines/>
              <w:spacing w:before="60" w:after="60" w:line="240" w:lineRule="auto"/>
              <w:jc w:val="right"/>
            </w:pPr>
            <w:r>
              <w:t>3.2</w:t>
            </w:r>
          </w:p>
          <w:p w14:paraId="0B42A2A3" w14:textId="77777777" w:rsidR="00A2491B" w:rsidRDefault="00A2491B" w:rsidP="00C63FEC">
            <w:pPr>
              <w:keepNext/>
              <w:keepLines/>
              <w:spacing w:before="60" w:after="60" w:line="240" w:lineRule="auto"/>
              <w:jc w:val="right"/>
            </w:pPr>
            <w:r>
              <w:t>1.4</w:t>
            </w:r>
          </w:p>
          <w:p w14:paraId="1665EC4F" w14:textId="77777777" w:rsidR="00A2491B" w:rsidRDefault="00A2491B" w:rsidP="00C63FEC">
            <w:pPr>
              <w:keepNext/>
              <w:keepLines/>
              <w:spacing w:before="60" w:after="60" w:line="240" w:lineRule="auto"/>
              <w:jc w:val="right"/>
            </w:pPr>
            <w:r>
              <w:t>1.4</w:t>
            </w:r>
          </w:p>
          <w:p w14:paraId="5F2742CD" w14:textId="77777777" w:rsidR="00A2491B" w:rsidRDefault="00A2491B" w:rsidP="00C63FEC">
            <w:pPr>
              <w:keepNext/>
              <w:keepLines/>
              <w:spacing w:before="60" w:after="60" w:line="240" w:lineRule="auto"/>
              <w:jc w:val="right"/>
            </w:pPr>
            <w:r>
              <w:t>0.7</w:t>
            </w:r>
          </w:p>
          <w:p w14:paraId="003AA3D8" w14:textId="77777777" w:rsidR="00A2491B" w:rsidRDefault="00A2491B" w:rsidP="00C63FEC">
            <w:pPr>
              <w:keepNext/>
              <w:keepLines/>
              <w:spacing w:before="60" w:after="60" w:line="240" w:lineRule="auto"/>
              <w:jc w:val="right"/>
            </w:pPr>
          </w:p>
          <w:p w14:paraId="64AC4220" w14:textId="77777777" w:rsidR="00A2491B" w:rsidRDefault="00A2491B" w:rsidP="00C63FEC">
            <w:pPr>
              <w:keepNext/>
              <w:keepLines/>
              <w:spacing w:before="60" w:after="60" w:line="240" w:lineRule="auto"/>
              <w:jc w:val="right"/>
            </w:pPr>
            <w:r>
              <w:t>30.9</w:t>
            </w:r>
          </w:p>
          <w:p w14:paraId="3F71A95B" w14:textId="77777777" w:rsidR="00A2491B" w:rsidRDefault="00A2491B" w:rsidP="00C63FEC">
            <w:pPr>
              <w:keepNext/>
              <w:keepLines/>
              <w:spacing w:before="60" w:after="60" w:line="240" w:lineRule="auto"/>
              <w:jc w:val="right"/>
            </w:pPr>
            <w:r>
              <w:t>23.4</w:t>
            </w:r>
          </w:p>
          <w:p w14:paraId="067AE739" w14:textId="77777777" w:rsidR="00A2491B" w:rsidRDefault="00A2491B" w:rsidP="00C63FEC">
            <w:pPr>
              <w:keepNext/>
              <w:keepLines/>
              <w:spacing w:before="60" w:after="60" w:line="240" w:lineRule="auto"/>
              <w:jc w:val="right"/>
            </w:pPr>
            <w:r>
              <w:t>29.5</w:t>
            </w:r>
          </w:p>
          <w:p w14:paraId="34051D0C" w14:textId="77777777" w:rsidR="00A2491B" w:rsidRDefault="00A2491B" w:rsidP="00C63FEC">
            <w:pPr>
              <w:keepNext/>
              <w:keepLines/>
              <w:spacing w:before="60" w:after="60" w:line="240" w:lineRule="auto"/>
              <w:jc w:val="right"/>
            </w:pPr>
            <w:r>
              <w:t>15.4</w:t>
            </w:r>
          </w:p>
          <w:p w14:paraId="433816B2" w14:textId="77777777" w:rsidR="00A2491B" w:rsidRDefault="00A2491B" w:rsidP="00C63FEC">
            <w:pPr>
              <w:keepNext/>
              <w:keepLines/>
              <w:spacing w:before="60" w:after="60" w:line="240" w:lineRule="auto"/>
              <w:jc w:val="right"/>
            </w:pPr>
            <w:r>
              <w:t>9.1</w:t>
            </w:r>
          </w:p>
          <w:p w14:paraId="59CB937D" w14:textId="77777777" w:rsidR="00A2491B" w:rsidRDefault="00A2491B" w:rsidP="00C63FEC">
            <w:pPr>
              <w:keepNext/>
              <w:keepLines/>
              <w:spacing w:before="60" w:after="60" w:line="240" w:lineRule="auto"/>
              <w:jc w:val="right"/>
            </w:pPr>
            <w:r>
              <w:t>2.9</w:t>
            </w:r>
          </w:p>
          <w:p w14:paraId="71E600AB" w14:textId="77777777" w:rsidR="00A2491B" w:rsidRDefault="00A2491B" w:rsidP="00C63FEC">
            <w:pPr>
              <w:keepNext/>
              <w:keepLines/>
              <w:spacing w:before="60" w:after="60" w:line="240" w:lineRule="auto"/>
              <w:jc w:val="right"/>
            </w:pPr>
            <w:r>
              <w:t>1.6</w:t>
            </w:r>
          </w:p>
          <w:p w14:paraId="1FB48D4B" w14:textId="77777777" w:rsidR="00A2491B" w:rsidRDefault="00A2491B" w:rsidP="00C63FEC">
            <w:pPr>
              <w:keepNext/>
              <w:keepLines/>
              <w:spacing w:before="60" w:after="60" w:line="240" w:lineRule="auto"/>
              <w:jc w:val="right"/>
            </w:pPr>
            <w:r>
              <w:t>5.5</w:t>
            </w:r>
          </w:p>
          <w:p w14:paraId="6C9D42BF" w14:textId="77777777" w:rsidR="00A2491B" w:rsidRDefault="00A2491B" w:rsidP="00C63FEC">
            <w:pPr>
              <w:keepNext/>
              <w:keepLines/>
              <w:spacing w:before="60" w:after="60" w:line="240" w:lineRule="auto"/>
              <w:jc w:val="right"/>
            </w:pPr>
          </w:p>
          <w:p w14:paraId="681684AF" w14:textId="77777777" w:rsidR="00A2491B" w:rsidRDefault="00A2491B" w:rsidP="00C63FEC">
            <w:pPr>
              <w:keepNext/>
              <w:keepLines/>
              <w:spacing w:before="60" w:after="60" w:line="240" w:lineRule="auto"/>
              <w:jc w:val="right"/>
            </w:pPr>
            <w:r>
              <w:t>0.9</w:t>
            </w:r>
          </w:p>
          <w:p w14:paraId="42ED0B9C" w14:textId="77777777" w:rsidR="00A2491B" w:rsidRDefault="00A2491B" w:rsidP="00C63FEC">
            <w:pPr>
              <w:keepNext/>
              <w:keepLines/>
              <w:spacing w:before="60" w:after="60" w:line="240" w:lineRule="auto"/>
              <w:jc w:val="right"/>
            </w:pPr>
            <w:r>
              <w:t>1.3</w:t>
            </w:r>
          </w:p>
          <w:p w14:paraId="1AE337F1" w14:textId="77777777" w:rsidR="00A2491B" w:rsidRDefault="00A2491B" w:rsidP="00C63FEC">
            <w:pPr>
              <w:keepNext/>
              <w:keepLines/>
              <w:spacing w:before="60" w:after="60" w:line="240" w:lineRule="auto"/>
              <w:jc w:val="right"/>
            </w:pPr>
            <w:r>
              <w:t>2.2</w:t>
            </w:r>
          </w:p>
          <w:p w14:paraId="19E5CAFB" w14:textId="77777777" w:rsidR="00A2491B" w:rsidRDefault="00A2491B" w:rsidP="00C63FEC">
            <w:pPr>
              <w:keepNext/>
              <w:keepLines/>
              <w:spacing w:before="60" w:after="60" w:line="240" w:lineRule="auto"/>
              <w:jc w:val="right"/>
            </w:pPr>
            <w:r>
              <w:t>1.4</w:t>
            </w:r>
          </w:p>
          <w:p w14:paraId="1FA8BC07" w14:textId="77777777" w:rsidR="00A2491B" w:rsidRDefault="00A2491B" w:rsidP="00C63FEC">
            <w:pPr>
              <w:keepNext/>
              <w:keepLines/>
              <w:spacing w:before="60" w:after="60" w:line="240" w:lineRule="auto"/>
              <w:jc w:val="right"/>
            </w:pPr>
            <w:r>
              <w:t>0.5</w:t>
            </w:r>
          </w:p>
          <w:p w14:paraId="27421EE7" w14:textId="77777777" w:rsidR="00A2491B" w:rsidRDefault="00A2491B" w:rsidP="00C63FEC">
            <w:pPr>
              <w:keepNext/>
              <w:keepLines/>
              <w:spacing w:before="60" w:after="60" w:line="240" w:lineRule="auto"/>
              <w:jc w:val="right"/>
            </w:pPr>
            <w:r>
              <w:t>0.2</w:t>
            </w:r>
          </w:p>
          <w:p w14:paraId="2EA84CE6" w14:textId="77777777" w:rsidR="00A2491B" w:rsidRDefault="00A2491B" w:rsidP="00C63FEC">
            <w:pPr>
              <w:keepNext/>
              <w:keepLines/>
              <w:spacing w:before="60" w:after="60" w:line="240" w:lineRule="auto"/>
              <w:jc w:val="right"/>
            </w:pPr>
            <w:r>
              <w:t>0.1</w:t>
            </w:r>
          </w:p>
          <w:p w14:paraId="099AEA40" w14:textId="77777777" w:rsidR="00A2491B" w:rsidRPr="00FB371F" w:rsidRDefault="00A2491B" w:rsidP="00C63FEC">
            <w:pPr>
              <w:keepNext/>
              <w:keepLines/>
              <w:spacing w:before="60" w:after="60" w:line="240" w:lineRule="auto"/>
              <w:jc w:val="right"/>
            </w:pPr>
            <w:r>
              <w:t>0.3</w:t>
            </w:r>
          </w:p>
        </w:tc>
        <w:tc>
          <w:tcPr>
            <w:tcW w:w="992" w:type="dxa"/>
            <w:tcBorders>
              <w:top w:val="single" w:sz="4" w:space="0" w:color="auto"/>
              <w:bottom w:val="single" w:sz="4" w:space="0" w:color="auto"/>
            </w:tcBorders>
          </w:tcPr>
          <w:p w14:paraId="171952CC" w14:textId="77777777" w:rsidR="00A2491B" w:rsidRPr="00FB371F" w:rsidRDefault="00A2491B" w:rsidP="00C63FEC">
            <w:pPr>
              <w:keepNext/>
              <w:keepLines/>
              <w:spacing w:before="60" w:after="60" w:line="240" w:lineRule="auto"/>
              <w:jc w:val="right"/>
            </w:pPr>
          </w:p>
          <w:p w14:paraId="418A22C4" w14:textId="77777777" w:rsidR="00A2491B" w:rsidRPr="00FB371F" w:rsidRDefault="00A2491B" w:rsidP="00C63FEC">
            <w:pPr>
              <w:keepNext/>
              <w:keepLines/>
              <w:spacing w:before="60" w:after="60" w:line="240" w:lineRule="auto"/>
              <w:jc w:val="right"/>
            </w:pPr>
          </w:p>
          <w:p w14:paraId="6B649E0E" w14:textId="77777777" w:rsidR="00A2491B" w:rsidRPr="00FB371F" w:rsidRDefault="00A2491B" w:rsidP="00C63FEC">
            <w:pPr>
              <w:keepNext/>
              <w:keepLines/>
              <w:spacing w:before="60" w:after="60" w:line="240" w:lineRule="auto"/>
              <w:jc w:val="right"/>
            </w:pPr>
            <w:r w:rsidRPr="00FB371F">
              <w:t>454.5</w:t>
            </w:r>
          </w:p>
          <w:p w14:paraId="0E106BA9" w14:textId="77777777" w:rsidR="00A2491B" w:rsidRPr="00FB371F" w:rsidRDefault="00A2491B" w:rsidP="00C63FEC">
            <w:pPr>
              <w:keepNext/>
              <w:keepLines/>
              <w:spacing w:before="60" w:after="60" w:line="240" w:lineRule="auto"/>
              <w:jc w:val="right"/>
            </w:pPr>
            <w:r w:rsidRPr="00FB371F">
              <w:t>372.5</w:t>
            </w:r>
          </w:p>
          <w:p w14:paraId="26FEED84" w14:textId="77777777" w:rsidR="00A2491B" w:rsidRPr="00FB371F" w:rsidRDefault="00A2491B" w:rsidP="00C63FEC">
            <w:pPr>
              <w:keepNext/>
              <w:keepLines/>
              <w:spacing w:before="60" w:after="60" w:line="240" w:lineRule="auto"/>
              <w:jc w:val="right"/>
            </w:pPr>
            <w:r w:rsidRPr="00FB371F">
              <w:t>283.8</w:t>
            </w:r>
          </w:p>
          <w:p w14:paraId="1CEAA07F" w14:textId="77777777" w:rsidR="00A2491B" w:rsidRPr="00FB371F" w:rsidRDefault="00A2491B" w:rsidP="00C63FEC">
            <w:pPr>
              <w:keepNext/>
              <w:keepLines/>
              <w:spacing w:before="60" w:after="60" w:line="240" w:lineRule="auto"/>
              <w:jc w:val="right"/>
            </w:pPr>
            <w:r w:rsidRPr="00FB371F">
              <w:t>146.0</w:t>
            </w:r>
          </w:p>
          <w:p w14:paraId="701BDCCF" w14:textId="77777777" w:rsidR="00A2491B" w:rsidRPr="00FB371F" w:rsidRDefault="00A2491B" w:rsidP="00C63FEC">
            <w:pPr>
              <w:keepNext/>
              <w:keepLines/>
              <w:spacing w:before="60" w:after="60" w:line="240" w:lineRule="auto"/>
              <w:jc w:val="right"/>
            </w:pPr>
            <w:r w:rsidRPr="00FB371F">
              <w:t>96.5</w:t>
            </w:r>
          </w:p>
          <w:p w14:paraId="77F2E5A2" w14:textId="77777777" w:rsidR="00A2491B" w:rsidRPr="00FB371F" w:rsidRDefault="00A2491B" w:rsidP="00C63FEC">
            <w:pPr>
              <w:keepNext/>
              <w:keepLines/>
              <w:spacing w:before="60" w:after="60" w:line="240" w:lineRule="auto"/>
              <w:jc w:val="right"/>
            </w:pPr>
            <w:r w:rsidRPr="00FB371F">
              <w:t>29.0</w:t>
            </w:r>
          </w:p>
          <w:p w14:paraId="3C608265" w14:textId="77777777" w:rsidR="00A2491B" w:rsidRPr="00FB371F" w:rsidRDefault="00A2491B" w:rsidP="00C63FEC">
            <w:pPr>
              <w:keepNext/>
              <w:keepLines/>
              <w:spacing w:before="60" w:after="60" w:line="240" w:lineRule="auto"/>
              <w:jc w:val="right"/>
            </w:pPr>
            <w:r w:rsidRPr="00FB371F">
              <w:t>23.7</w:t>
            </w:r>
          </w:p>
          <w:p w14:paraId="5D7730FC" w14:textId="77777777" w:rsidR="00A2491B" w:rsidRDefault="00A2491B" w:rsidP="00C63FEC">
            <w:pPr>
              <w:keepNext/>
              <w:keepLines/>
              <w:spacing w:before="60" w:after="60" w:line="240" w:lineRule="auto"/>
              <w:jc w:val="right"/>
            </w:pPr>
            <w:r w:rsidRPr="00FB371F">
              <w:t>13.5</w:t>
            </w:r>
          </w:p>
          <w:p w14:paraId="409F1AA6" w14:textId="77777777" w:rsidR="00A2491B" w:rsidRDefault="00A2491B" w:rsidP="00C63FEC">
            <w:pPr>
              <w:keepNext/>
              <w:keepLines/>
              <w:spacing w:before="60" w:after="60" w:line="240" w:lineRule="auto"/>
              <w:jc w:val="right"/>
            </w:pPr>
          </w:p>
          <w:p w14:paraId="32CE29BF" w14:textId="77777777" w:rsidR="00A2491B" w:rsidRDefault="00A2491B" w:rsidP="00C63FEC">
            <w:pPr>
              <w:keepNext/>
              <w:keepLines/>
              <w:spacing w:before="60" w:after="60" w:line="240" w:lineRule="auto"/>
              <w:jc w:val="right"/>
            </w:pPr>
            <w:r>
              <w:t>6.3</w:t>
            </w:r>
          </w:p>
          <w:p w14:paraId="2A245D41" w14:textId="77777777" w:rsidR="00A2491B" w:rsidRDefault="00A2491B" w:rsidP="00C63FEC">
            <w:pPr>
              <w:keepNext/>
              <w:keepLines/>
              <w:spacing w:before="60" w:after="60" w:line="240" w:lineRule="auto"/>
              <w:jc w:val="right"/>
            </w:pPr>
            <w:r>
              <w:t>18.6</w:t>
            </w:r>
          </w:p>
          <w:p w14:paraId="501A4A6C" w14:textId="77777777" w:rsidR="00A2491B" w:rsidRDefault="00A2491B" w:rsidP="00C63FEC">
            <w:pPr>
              <w:keepNext/>
              <w:keepLines/>
              <w:spacing w:before="60" w:after="60" w:line="240" w:lineRule="auto"/>
              <w:jc w:val="right"/>
            </w:pPr>
            <w:r>
              <w:t>8.5</w:t>
            </w:r>
          </w:p>
          <w:p w14:paraId="1BA5F9D6" w14:textId="77777777" w:rsidR="00A2491B" w:rsidRDefault="00A2491B" w:rsidP="00C63FEC">
            <w:pPr>
              <w:keepNext/>
              <w:keepLines/>
              <w:spacing w:before="60" w:after="60" w:line="240" w:lineRule="auto"/>
              <w:jc w:val="right"/>
            </w:pPr>
            <w:r>
              <w:t>6.4</w:t>
            </w:r>
          </w:p>
          <w:p w14:paraId="496E5019" w14:textId="77777777" w:rsidR="00A2491B" w:rsidRDefault="00A2491B" w:rsidP="00C63FEC">
            <w:pPr>
              <w:keepNext/>
              <w:keepLines/>
              <w:spacing w:before="60" w:after="60" w:line="240" w:lineRule="auto"/>
              <w:jc w:val="right"/>
            </w:pPr>
            <w:r>
              <w:t>3.7</w:t>
            </w:r>
          </w:p>
          <w:p w14:paraId="2803A241" w14:textId="77777777" w:rsidR="00A2491B" w:rsidRDefault="00A2491B" w:rsidP="00C63FEC">
            <w:pPr>
              <w:keepNext/>
              <w:keepLines/>
              <w:spacing w:before="60" w:after="60" w:line="240" w:lineRule="auto"/>
              <w:jc w:val="right"/>
            </w:pPr>
            <w:r>
              <w:t>1.6</w:t>
            </w:r>
          </w:p>
          <w:p w14:paraId="2E7462EB" w14:textId="77777777" w:rsidR="00A2491B" w:rsidRDefault="00A2491B" w:rsidP="00C63FEC">
            <w:pPr>
              <w:keepNext/>
              <w:keepLines/>
              <w:spacing w:before="60" w:after="60" w:line="240" w:lineRule="auto"/>
              <w:jc w:val="right"/>
            </w:pPr>
            <w:r>
              <w:t>1.6</w:t>
            </w:r>
          </w:p>
          <w:p w14:paraId="420399E7" w14:textId="77777777" w:rsidR="00A2491B" w:rsidRDefault="00A2491B" w:rsidP="00C63FEC">
            <w:pPr>
              <w:keepNext/>
              <w:keepLines/>
              <w:spacing w:before="60" w:after="60" w:line="240" w:lineRule="auto"/>
              <w:jc w:val="right"/>
            </w:pPr>
            <w:r>
              <w:t>0.8</w:t>
            </w:r>
          </w:p>
          <w:p w14:paraId="1F34062A" w14:textId="77777777" w:rsidR="00A2491B" w:rsidRDefault="00A2491B" w:rsidP="00C63FEC">
            <w:pPr>
              <w:keepNext/>
              <w:keepLines/>
              <w:spacing w:before="60" w:after="60" w:line="240" w:lineRule="auto"/>
              <w:jc w:val="right"/>
            </w:pPr>
          </w:p>
          <w:p w14:paraId="29DD4B88" w14:textId="77777777" w:rsidR="00A2491B" w:rsidRDefault="00A2491B" w:rsidP="00C63FEC">
            <w:pPr>
              <w:keepNext/>
              <w:keepLines/>
              <w:spacing w:before="60" w:after="60" w:line="240" w:lineRule="auto"/>
              <w:jc w:val="right"/>
            </w:pPr>
            <w:r>
              <w:t>31.3</w:t>
            </w:r>
          </w:p>
          <w:p w14:paraId="29A764D1" w14:textId="77777777" w:rsidR="00A2491B" w:rsidRDefault="00A2491B" w:rsidP="00C63FEC">
            <w:pPr>
              <w:keepNext/>
              <w:keepLines/>
              <w:spacing w:before="60" w:after="60" w:line="240" w:lineRule="auto"/>
              <w:jc w:val="right"/>
            </w:pPr>
            <w:r>
              <w:t>23.8</w:t>
            </w:r>
          </w:p>
          <w:p w14:paraId="15D3798C" w14:textId="77777777" w:rsidR="00A2491B" w:rsidRDefault="00A2491B" w:rsidP="00C63FEC">
            <w:pPr>
              <w:keepNext/>
              <w:keepLines/>
              <w:spacing w:before="60" w:after="60" w:line="240" w:lineRule="auto"/>
              <w:jc w:val="right"/>
            </w:pPr>
            <w:r>
              <w:t>30.0</w:t>
            </w:r>
          </w:p>
          <w:p w14:paraId="6CEABE9B" w14:textId="77777777" w:rsidR="00A2491B" w:rsidRDefault="00A2491B" w:rsidP="00C63FEC">
            <w:pPr>
              <w:keepNext/>
              <w:keepLines/>
              <w:spacing w:before="60" w:after="60" w:line="240" w:lineRule="auto"/>
              <w:jc w:val="right"/>
            </w:pPr>
            <w:r>
              <w:t>15.6</w:t>
            </w:r>
          </w:p>
          <w:p w14:paraId="049F3CD8" w14:textId="77777777" w:rsidR="00A2491B" w:rsidRDefault="00A2491B" w:rsidP="00C63FEC">
            <w:pPr>
              <w:keepNext/>
              <w:keepLines/>
              <w:spacing w:before="60" w:after="60" w:line="240" w:lineRule="auto"/>
              <w:jc w:val="right"/>
            </w:pPr>
            <w:r>
              <w:t>9.3</w:t>
            </w:r>
          </w:p>
          <w:p w14:paraId="6BEDD999" w14:textId="77777777" w:rsidR="00A2491B" w:rsidRDefault="00A2491B" w:rsidP="00C63FEC">
            <w:pPr>
              <w:keepNext/>
              <w:keepLines/>
              <w:spacing w:before="60" w:after="60" w:line="240" w:lineRule="auto"/>
              <w:jc w:val="right"/>
            </w:pPr>
            <w:r>
              <w:t>2.9</w:t>
            </w:r>
          </w:p>
          <w:p w14:paraId="1EC1A617" w14:textId="77777777" w:rsidR="00A2491B" w:rsidRDefault="00A2491B" w:rsidP="00C63FEC">
            <w:pPr>
              <w:keepNext/>
              <w:keepLines/>
              <w:spacing w:before="60" w:after="60" w:line="240" w:lineRule="auto"/>
              <w:jc w:val="right"/>
            </w:pPr>
            <w:r>
              <w:t>1.6</w:t>
            </w:r>
          </w:p>
          <w:p w14:paraId="060D7C3A" w14:textId="77777777" w:rsidR="00A2491B" w:rsidRDefault="00A2491B" w:rsidP="00C63FEC">
            <w:pPr>
              <w:keepNext/>
              <w:keepLines/>
              <w:spacing w:before="60" w:after="60" w:line="240" w:lineRule="auto"/>
              <w:jc w:val="right"/>
            </w:pPr>
            <w:r>
              <w:t>5.6</w:t>
            </w:r>
          </w:p>
          <w:p w14:paraId="4E637591" w14:textId="77777777" w:rsidR="00A2491B" w:rsidRDefault="00A2491B" w:rsidP="00C63FEC">
            <w:pPr>
              <w:keepNext/>
              <w:keepLines/>
              <w:spacing w:before="60" w:after="60" w:line="240" w:lineRule="auto"/>
              <w:jc w:val="right"/>
            </w:pPr>
          </w:p>
          <w:p w14:paraId="58A213DD" w14:textId="77777777" w:rsidR="00A2491B" w:rsidRDefault="00A2491B" w:rsidP="00C63FEC">
            <w:pPr>
              <w:keepNext/>
              <w:keepLines/>
              <w:spacing w:before="60" w:after="60" w:line="240" w:lineRule="auto"/>
              <w:jc w:val="right"/>
            </w:pPr>
            <w:r>
              <w:t>1.2</w:t>
            </w:r>
          </w:p>
          <w:p w14:paraId="5CE0FD78" w14:textId="77777777" w:rsidR="00A2491B" w:rsidRDefault="00A2491B" w:rsidP="00C63FEC">
            <w:pPr>
              <w:keepNext/>
              <w:keepLines/>
              <w:spacing w:before="60" w:after="60" w:line="240" w:lineRule="auto"/>
              <w:jc w:val="right"/>
            </w:pPr>
            <w:r>
              <w:t>1.7</w:t>
            </w:r>
          </w:p>
          <w:p w14:paraId="3E68CBEC" w14:textId="77777777" w:rsidR="00A2491B" w:rsidRDefault="00A2491B" w:rsidP="00C63FEC">
            <w:pPr>
              <w:keepNext/>
              <w:keepLines/>
              <w:spacing w:before="60" w:after="60" w:line="240" w:lineRule="auto"/>
              <w:jc w:val="right"/>
            </w:pPr>
            <w:r>
              <w:t>2.9</w:t>
            </w:r>
          </w:p>
          <w:p w14:paraId="5563E2B7" w14:textId="77777777" w:rsidR="00A2491B" w:rsidRDefault="00A2491B" w:rsidP="00C63FEC">
            <w:pPr>
              <w:keepNext/>
              <w:keepLines/>
              <w:spacing w:before="60" w:after="60" w:line="240" w:lineRule="auto"/>
              <w:jc w:val="right"/>
            </w:pPr>
            <w:r>
              <w:t>1.8</w:t>
            </w:r>
          </w:p>
          <w:p w14:paraId="73FD7958" w14:textId="77777777" w:rsidR="00A2491B" w:rsidRDefault="00A2491B" w:rsidP="00C63FEC">
            <w:pPr>
              <w:keepNext/>
              <w:keepLines/>
              <w:spacing w:before="60" w:after="60" w:line="240" w:lineRule="auto"/>
              <w:jc w:val="right"/>
            </w:pPr>
            <w:r>
              <w:t>0.7</w:t>
            </w:r>
          </w:p>
          <w:p w14:paraId="5E251044" w14:textId="77777777" w:rsidR="00A2491B" w:rsidRDefault="00A2491B" w:rsidP="00C63FEC">
            <w:pPr>
              <w:keepNext/>
              <w:keepLines/>
              <w:spacing w:before="60" w:after="60" w:line="240" w:lineRule="auto"/>
              <w:jc w:val="right"/>
            </w:pPr>
            <w:r>
              <w:t>0.2</w:t>
            </w:r>
          </w:p>
          <w:p w14:paraId="4EEDDEBD" w14:textId="77777777" w:rsidR="00A2491B" w:rsidRDefault="00A2491B" w:rsidP="00C63FEC">
            <w:pPr>
              <w:keepNext/>
              <w:keepLines/>
              <w:spacing w:before="60" w:after="60" w:line="240" w:lineRule="auto"/>
              <w:jc w:val="right"/>
            </w:pPr>
            <w:r>
              <w:t>0.1</w:t>
            </w:r>
          </w:p>
          <w:p w14:paraId="1686D0EE" w14:textId="77777777" w:rsidR="00A2491B" w:rsidRPr="00FB371F" w:rsidRDefault="00A2491B" w:rsidP="00C63FEC">
            <w:pPr>
              <w:keepNext/>
              <w:keepLines/>
              <w:spacing w:before="60" w:after="60" w:line="240" w:lineRule="auto"/>
              <w:jc w:val="right"/>
            </w:pPr>
            <w:r>
              <w:t>0.4</w:t>
            </w:r>
          </w:p>
        </w:tc>
        <w:tc>
          <w:tcPr>
            <w:tcW w:w="993" w:type="dxa"/>
            <w:tcBorders>
              <w:top w:val="single" w:sz="4" w:space="0" w:color="auto"/>
              <w:bottom w:val="single" w:sz="4" w:space="0" w:color="auto"/>
            </w:tcBorders>
          </w:tcPr>
          <w:p w14:paraId="4D09ECE3" w14:textId="77777777" w:rsidR="00A2491B" w:rsidRPr="00FB371F" w:rsidRDefault="00A2491B" w:rsidP="00C63FEC">
            <w:pPr>
              <w:keepNext/>
              <w:keepLines/>
              <w:spacing w:before="60" w:after="60" w:line="240" w:lineRule="auto"/>
              <w:jc w:val="right"/>
            </w:pPr>
          </w:p>
          <w:p w14:paraId="10D1A3AC" w14:textId="77777777" w:rsidR="00A2491B" w:rsidRPr="00FB371F" w:rsidRDefault="00A2491B" w:rsidP="00C63FEC">
            <w:pPr>
              <w:keepNext/>
              <w:keepLines/>
              <w:spacing w:before="60" w:after="60" w:line="240" w:lineRule="auto"/>
              <w:jc w:val="right"/>
            </w:pPr>
          </w:p>
          <w:p w14:paraId="5580C3D7" w14:textId="77777777" w:rsidR="00A2491B" w:rsidRPr="00FB371F" w:rsidRDefault="00A2491B" w:rsidP="00C63FEC">
            <w:pPr>
              <w:keepNext/>
              <w:keepLines/>
              <w:spacing w:before="60" w:after="60" w:line="240" w:lineRule="auto"/>
              <w:jc w:val="right"/>
            </w:pPr>
            <w:r w:rsidRPr="00FB371F">
              <w:t>461.5</w:t>
            </w:r>
          </w:p>
          <w:p w14:paraId="47E5FE73" w14:textId="77777777" w:rsidR="00A2491B" w:rsidRPr="00FB371F" w:rsidRDefault="00A2491B" w:rsidP="00C63FEC">
            <w:pPr>
              <w:keepNext/>
              <w:keepLines/>
              <w:spacing w:before="60" w:after="60" w:line="240" w:lineRule="auto"/>
              <w:jc w:val="right"/>
            </w:pPr>
            <w:r w:rsidRPr="00FB371F">
              <w:t>380.1</w:t>
            </w:r>
          </w:p>
          <w:p w14:paraId="5D5F5878" w14:textId="77777777" w:rsidR="00A2491B" w:rsidRPr="00FB371F" w:rsidRDefault="00A2491B" w:rsidP="00C63FEC">
            <w:pPr>
              <w:keepNext/>
              <w:keepLines/>
              <w:spacing w:before="60" w:after="60" w:line="240" w:lineRule="auto"/>
              <w:jc w:val="right"/>
            </w:pPr>
            <w:r w:rsidRPr="00FB371F">
              <w:t>287.8</w:t>
            </w:r>
          </w:p>
          <w:p w14:paraId="2DD1D381" w14:textId="77777777" w:rsidR="00A2491B" w:rsidRPr="00FB371F" w:rsidRDefault="00A2491B" w:rsidP="00C63FEC">
            <w:pPr>
              <w:keepNext/>
              <w:keepLines/>
              <w:spacing w:before="60" w:after="60" w:line="240" w:lineRule="auto"/>
              <w:jc w:val="right"/>
            </w:pPr>
            <w:r w:rsidRPr="00FB371F">
              <w:t>147.4</w:t>
            </w:r>
          </w:p>
          <w:p w14:paraId="65ABC285" w14:textId="77777777" w:rsidR="00A2491B" w:rsidRPr="00FB371F" w:rsidRDefault="00A2491B" w:rsidP="00C63FEC">
            <w:pPr>
              <w:keepNext/>
              <w:keepLines/>
              <w:spacing w:before="60" w:after="60" w:line="240" w:lineRule="auto"/>
              <w:jc w:val="right"/>
            </w:pPr>
            <w:r w:rsidRPr="00FB371F">
              <w:t>97.2</w:t>
            </w:r>
          </w:p>
          <w:p w14:paraId="09524D2C" w14:textId="77777777" w:rsidR="00A2491B" w:rsidRPr="00FB371F" w:rsidRDefault="00A2491B" w:rsidP="00C63FEC">
            <w:pPr>
              <w:keepNext/>
              <w:keepLines/>
              <w:spacing w:before="60" w:after="60" w:line="240" w:lineRule="auto"/>
              <w:jc w:val="right"/>
            </w:pPr>
            <w:r w:rsidRPr="00FB371F">
              <w:t>29.2</w:t>
            </w:r>
          </w:p>
          <w:p w14:paraId="35675731" w14:textId="77777777" w:rsidR="00A2491B" w:rsidRPr="00FB371F" w:rsidRDefault="00A2491B" w:rsidP="00C63FEC">
            <w:pPr>
              <w:keepNext/>
              <w:keepLines/>
              <w:spacing w:before="60" w:after="60" w:line="240" w:lineRule="auto"/>
              <w:jc w:val="right"/>
            </w:pPr>
            <w:r w:rsidRPr="00FB371F">
              <w:t>24.0</w:t>
            </w:r>
          </w:p>
          <w:p w14:paraId="5888D435" w14:textId="77777777" w:rsidR="00A2491B" w:rsidRDefault="00A2491B" w:rsidP="00C63FEC">
            <w:pPr>
              <w:keepNext/>
              <w:keepLines/>
              <w:spacing w:before="60" w:after="60" w:line="240" w:lineRule="auto"/>
              <w:jc w:val="right"/>
            </w:pPr>
            <w:r w:rsidRPr="00FB371F">
              <w:t>13.5</w:t>
            </w:r>
          </w:p>
          <w:p w14:paraId="1441D431" w14:textId="77777777" w:rsidR="00A2491B" w:rsidRDefault="00A2491B" w:rsidP="00C63FEC">
            <w:pPr>
              <w:keepNext/>
              <w:keepLines/>
              <w:spacing w:before="60" w:after="60" w:line="240" w:lineRule="auto"/>
              <w:jc w:val="right"/>
            </w:pPr>
          </w:p>
          <w:p w14:paraId="3C761499" w14:textId="25E0F3CE" w:rsidR="00A2491B" w:rsidRDefault="008B5EF7" w:rsidP="00C63FEC">
            <w:pPr>
              <w:keepNext/>
              <w:keepLines/>
              <w:spacing w:before="60" w:after="60" w:line="240" w:lineRule="auto"/>
              <w:jc w:val="right"/>
            </w:pPr>
            <w:r>
              <w:t>tbd</w:t>
            </w:r>
          </w:p>
          <w:p w14:paraId="1900FF49" w14:textId="1A5752F3" w:rsidR="00A2491B" w:rsidRDefault="008B5EF7" w:rsidP="00C63FEC">
            <w:pPr>
              <w:keepNext/>
              <w:keepLines/>
              <w:spacing w:before="60" w:after="60" w:line="240" w:lineRule="auto"/>
              <w:jc w:val="right"/>
            </w:pPr>
            <w:r>
              <w:t>tbd</w:t>
            </w:r>
          </w:p>
          <w:p w14:paraId="564E54DB" w14:textId="384E3F72" w:rsidR="00A2491B" w:rsidRDefault="008B5EF7" w:rsidP="00C63FEC">
            <w:pPr>
              <w:keepNext/>
              <w:keepLines/>
              <w:spacing w:before="60" w:after="60" w:line="240" w:lineRule="auto"/>
              <w:jc w:val="right"/>
            </w:pPr>
            <w:r>
              <w:t>tbd</w:t>
            </w:r>
          </w:p>
          <w:p w14:paraId="161A3E63" w14:textId="1C7119C0" w:rsidR="00A2491B" w:rsidRDefault="008B5EF7" w:rsidP="00C63FEC">
            <w:pPr>
              <w:keepNext/>
              <w:keepLines/>
              <w:spacing w:before="60" w:after="60" w:line="240" w:lineRule="auto"/>
              <w:jc w:val="right"/>
            </w:pPr>
            <w:r>
              <w:t>tbd</w:t>
            </w:r>
          </w:p>
          <w:p w14:paraId="07D813DD" w14:textId="47BE4867" w:rsidR="00A2491B" w:rsidRDefault="008B5EF7" w:rsidP="00C63FEC">
            <w:pPr>
              <w:keepNext/>
              <w:keepLines/>
              <w:spacing w:before="60" w:after="60" w:line="240" w:lineRule="auto"/>
              <w:jc w:val="right"/>
            </w:pPr>
            <w:r>
              <w:t>tbd</w:t>
            </w:r>
          </w:p>
          <w:p w14:paraId="077ECC19" w14:textId="381FEE60" w:rsidR="00A2491B" w:rsidRDefault="008B5EF7" w:rsidP="00C63FEC">
            <w:pPr>
              <w:keepNext/>
              <w:keepLines/>
              <w:spacing w:before="60" w:after="60" w:line="240" w:lineRule="auto"/>
              <w:jc w:val="right"/>
            </w:pPr>
            <w:r>
              <w:t>tbd</w:t>
            </w:r>
          </w:p>
          <w:p w14:paraId="26688126" w14:textId="616F4C04" w:rsidR="00A2491B" w:rsidRDefault="008B5EF7" w:rsidP="00C63FEC">
            <w:pPr>
              <w:keepNext/>
              <w:keepLines/>
              <w:spacing w:before="60" w:after="60" w:line="240" w:lineRule="auto"/>
              <w:jc w:val="right"/>
            </w:pPr>
            <w:r>
              <w:t>tbd</w:t>
            </w:r>
          </w:p>
          <w:p w14:paraId="122F4CC6" w14:textId="0FF6BFEA" w:rsidR="00A2491B" w:rsidRDefault="008B5EF7" w:rsidP="00C63FEC">
            <w:pPr>
              <w:keepNext/>
              <w:keepLines/>
              <w:spacing w:before="60" w:after="60" w:line="240" w:lineRule="auto"/>
              <w:jc w:val="right"/>
            </w:pPr>
            <w:r>
              <w:t>tbd</w:t>
            </w:r>
          </w:p>
          <w:p w14:paraId="3BA103B9" w14:textId="77777777" w:rsidR="00A2491B" w:rsidRDefault="00A2491B" w:rsidP="00C63FEC">
            <w:pPr>
              <w:keepNext/>
              <w:keepLines/>
              <w:spacing w:before="60" w:after="60" w:line="240" w:lineRule="auto"/>
              <w:jc w:val="right"/>
            </w:pPr>
          </w:p>
          <w:p w14:paraId="2B18A819" w14:textId="77777777" w:rsidR="00A2491B" w:rsidRDefault="00A2491B" w:rsidP="00C63FEC">
            <w:pPr>
              <w:keepNext/>
              <w:keepLines/>
              <w:spacing w:before="60" w:after="60" w:line="240" w:lineRule="auto"/>
              <w:jc w:val="right"/>
            </w:pPr>
            <w:r>
              <w:t>31.8</w:t>
            </w:r>
          </w:p>
          <w:p w14:paraId="6BF5A364" w14:textId="77777777" w:rsidR="00A2491B" w:rsidRDefault="00A2491B" w:rsidP="00C63FEC">
            <w:pPr>
              <w:keepNext/>
              <w:keepLines/>
              <w:spacing w:before="60" w:after="60" w:line="240" w:lineRule="auto"/>
              <w:jc w:val="right"/>
            </w:pPr>
            <w:r>
              <w:t>24.1</w:t>
            </w:r>
          </w:p>
          <w:p w14:paraId="498A2B23" w14:textId="77777777" w:rsidR="00A2491B" w:rsidRDefault="00A2491B" w:rsidP="00C63FEC">
            <w:pPr>
              <w:keepNext/>
              <w:keepLines/>
              <w:spacing w:before="60" w:after="60" w:line="240" w:lineRule="auto"/>
              <w:jc w:val="right"/>
            </w:pPr>
            <w:r>
              <w:t>30.4</w:t>
            </w:r>
          </w:p>
          <w:p w14:paraId="54A5C8A3" w14:textId="77777777" w:rsidR="00A2491B" w:rsidRDefault="00A2491B" w:rsidP="00C63FEC">
            <w:pPr>
              <w:keepNext/>
              <w:keepLines/>
              <w:spacing w:before="60" w:after="60" w:line="240" w:lineRule="auto"/>
              <w:jc w:val="right"/>
            </w:pPr>
            <w:r>
              <w:t>15.9</w:t>
            </w:r>
          </w:p>
          <w:p w14:paraId="770EF6C5" w14:textId="77777777" w:rsidR="00A2491B" w:rsidRDefault="00A2491B" w:rsidP="00C63FEC">
            <w:pPr>
              <w:keepNext/>
              <w:keepLines/>
              <w:spacing w:before="60" w:after="60" w:line="240" w:lineRule="auto"/>
              <w:jc w:val="right"/>
            </w:pPr>
            <w:r>
              <w:t>9.4</w:t>
            </w:r>
          </w:p>
          <w:p w14:paraId="141DD071" w14:textId="77777777" w:rsidR="00A2491B" w:rsidRDefault="00A2491B" w:rsidP="00C63FEC">
            <w:pPr>
              <w:keepNext/>
              <w:keepLines/>
              <w:spacing w:before="60" w:after="60" w:line="240" w:lineRule="auto"/>
              <w:jc w:val="right"/>
            </w:pPr>
            <w:r>
              <w:t>3.0</w:t>
            </w:r>
          </w:p>
          <w:p w14:paraId="56D22FAE" w14:textId="77777777" w:rsidR="00A2491B" w:rsidRDefault="00A2491B" w:rsidP="00C63FEC">
            <w:pPr>
              <w:keepNext/>
              <w:keepLines/>
              <w:spacing w:before="60" w:after="60" w:line="240" w:lineRule="auto"/>
              <w:jc w:val="right"/>
            </w:pPr>
            <w:r>
              <w:t>1.6</w:t>
            </w:r>
          </w:p>
          <w:p w14:paraId="587BFBA1" w14:textId="77777777" w:rsidR="00A2491B" w:rsidRDefault="00A2491B" w:rsidP="00C63FEC">
            <w:pPr>
              <w:keepNext/>
              <w:keepLines/>
              <w:spacing w:before="60" w:after="60" w:line="240" w:lineRule="auto"/>
              <w:jc w:val="right"/>
            </w:pPr>
            <w:r>
              <w:t>5.6</w:t>
            </w:r>
          </w:p>
          <w:p w14:paraId="27712C07" w14:textId="77777777" w:rsidR="00A2491B" w:rsidRDefault="00A2491B" w:rsidP="00C63FEC">
            <w:pPr>
              <w:keepNext/>
              <w:keepLines/>
              <w:spacing w:before="60" w:after="60" w:line="240" w:lineRule="auto"/>
              <w:jc w:val="right"/>
            </w:pPr>
          </w:p>
          <w:p w14:paraId="3BB2C888" w14:textId="4D20EF4A" w:rsidR="00A2491B" w:rsidRDefault="008B5EF7" w:rsidP="00C63FEC">
            <w:pPr>
              <w:keepNext/>
              <w:keepLines/>
              <w:spacing w:before="60" w:after="60" w:line="240" w:lineRule="auto"/>
              <w:jc w:val="right"/>
            </w:pPr>
            <w:r>
              <w:t>tbd</w:t>
            </w:r>
          </w:p>
          <w:p w14:paraId="54C3E7E4" w14:textId="567FBC94" w:rsidR="00A2491B" w:rsidRDefault="008B5EF7" w:rsidP="00C63FEC">
            <w:pPr>
              <w:keepNext/>
              <w:keepLines/>
              <w:spacing w:before="60" w:after="60" w:line="240" w:lineRule="auto"/>
              <w:jc w:val="right"/>
            </w:pPr>
            <w:r>
              <w:t>tbd</w:t>
            </w:r>
          </w:p>
          <w:p w14:paraId="7AA3F189" w14:textId="3419BC63" w:rsidR="00A2491B" w:rsidRDefault="008B5EF7" w:rsidP="00C63FEC">
            <w:pPr>
              <w:keepNext/>
              <w:keepLines/>
              <w:spacing w:before="60" w:after="60" w:line="240" w:lineRule="auto"/>
              <w:jc w:val="right"/>
            </w:pPr>
            <w:r>
              <w:t>tbd</w:t>
            </w:r>
          </w:p>
          <w:p w14:paraId="7E76218E" w14:textId="4983DB51" w:rsidR="00A2491B" w:rsidRDefault="008B5EF7" w:rsidP="00C63FEC">
            <w:pPr>
              <w:keepNext/>
              <w:keepLines/>
              <w:spacing w:before="60" w:after="60" w:line="240" w:lineRule="auto"/>
              <w:jc w:val="right"/>
            </w:pPr>
            <w:r>
              <w:t>tbd</w:t>
            </w:r>
          </w:p>
          <w:p w14:paraId="14F2507B" w14:textId="6F51E63C" w:rsidR="00A2491B" w:rsidRDefault="008B5EF7" w:rsidP="00C63FEC">
            <w:pPr>
              <w:keepNext/>
              <w:keepLines/>
              <w:spacing w:before="60" w:after="60" w:line="240" w:lineRule="auto"/>
              <w:jc w:val="right"/>
            </w:pPr>
            <w:r>
              <w:t>tbd</w:t>
            </w:r>
          </w:p>
          <w:p w14:paraId="2F0636F5" w14:textId="6D864D6C" w:rsidR="00A2491B" w:rsidRDefault="008B5EF7" w:rsidP="00C63FEC">
            <w:pPr>
              <w:keepNext/>
              <w:keepLines/>
              <w:spacing w:before="60" w:after="60" w:line="240" w:lineRule="auto"/>
              <w:jc w:val="right"/>
            </w:pPr>
            <w:r>
              <w:t>tbd</w:t>
            </w:r>
          </w:p>
          <w:p w14:paraId="1C77184B" w14:textId="78486CDE" w:rsidR="00A2491B" w:rsidRDefault="008B5EF7" w:rsidP="00C63FEC">
            <w:pPr>
              <w:keepNext/>
              <w:keepLines/>
              <w:spacing w:before="60" w:after="60" w:line="240" w:lineRule="auto"/>
              <w:jc w:val="right"/>
            </w:pPr>
            <w:r>
              <w:t>tbd</w:t>
            </w:r>
          </w:p>
          <w:p w14:paraId="1FEBAD12" w14:textId="41E0BB32" w:rsidR="00A2491B" w:rsidRPr="00FB371F" w:rsidRDefault="008B5EF7" w:rsidP="00C63FEC">
            <w:pPr>
              <w:keepNext/>
              <w:keepLines/>
              <w:spacing w:before="60" w:after="60" w:line="240" w:lineRule="auto"/>
              <w:jc w:val="right"/>
            </w:pPr>
            <w:r>
              <w:t>tbd</w:t>
            </w:r>
          </w:p>
        </w:tc>
        <w:tc>
          <w:tcPr>
            <w:tcW w:w="992" w:type="dxa"/>
            <w:tcBorders>
              <w:top w:val="single" w:sz="4" w:space="0" w:color="auto"/>
              <w:bottom w:val="single" w:sz="4" w:space="0" w:color="auto"/>
            </w:tcBorders>
          </w:tcPr>
          <w:p w14:paraId="2F5B4B61" w14:textId="77777777" w:rsidR="00A2491B" w:rsidRPr="00FB371F" w:rsidRDefault="00A2491B" w:rsidP="00C63FEC">
            <w:pPr>
              <w:keepNext/>
              <w:keepLines/>
              <w:spacing w:before="60" w:after="60" w:line="240" w:lineRule="auto"/>
              <w:jc w:val="right"/>
            </w:pPr>
          </w:p>
          <w:p w14:paraId="5C6798C9" w14:textId="77777777" w:rsidR="00A2491B" w:rsidRPr="00FB371F" w:rsidRDefault="00A2491B" w:rsidP="00C63FEC">
            <w:pPr>
              <w:keepNext/>
              <w:keepLines/>
              <w:spacing w:before="60" w:after="60" w:line="240" w:lineRule="auto"/>
              <w:jc w:val="right"/>
            </w:pPr>
          </w:p>
          <w:p w14:paraId="0D5D3AFA" w14:textId="77777777" w:rsidR="00A2491B" w:rsidRPr="00FB371F" w:rsidRDefault="00A2491B" w:rsidP="00C63FEC">
            <w:pPr>
              <w:keepNext/>
              <w:keepLines/>
              <w:spacing w:before="60" w:after="60" w:line="240" w:lineRule="auto"/>
              <w:jc w:val="right"/>
            </w:pPr>
            <w:r w:rsidRPr="00FB371F">
              <w:t>468.4</w:t>
            </w:r>
          </w:p>
          <w:p w14:paraId="4CAC4822" w14:textId="77777777" w:rsidR="00A2491B" w:rsidRPr="00FB371F" w:rsidRDefault="00A2491B" w:rsidP="00C63FEC">
            <w:pPr>
              <w:keepNext/>
              <w:keepLines/>
              <w:spacing w:before="60" w:after="60" w:line="240" w:lineRule="auto"/>
              <w:jc w:val="right"/>
            </w:pPr>
            <w:r w:rsidRPr="00FB371F">
              <w:t>385.8</w:t>
            </w:r>
          </w:p>
          <w:p w14:paraId="08582CDA" w14:textId="77777777" w:rsidR="00A2491B" w:rsidRPr="00FB371F" w:rsidRDefault="00A2491B" w:rsidP="00C63FEC">
            <w:pPr>
              <w:keepNext/>
              <w:keepLines/>
              <w:spacing w:before="60" w:after="60" w:line="240" w:lineRule="auto"/>
              <w:jc w:val="right"/>
            </w:pPr>
            <w:r w:rsidRPr="00FB371F">
              <w:t>292.1</w:t>
            </w:r>
          </w:p>
          <w:p w14:paraId="39BD5B45" w14:textId="77777777" w:rsidR="00A2491B" w:rsidRPr="00FB371F" w:rsidRDefault="00A2491B" w:rsidP="00C63FEC">
            <w:pPr>
              <w:keepNext/>
              <w:keepLines/>
              <w:spacing w:before="60" w:after="60" w:line="240" w:lineRule="auto"/>
              <w:jc w:val="right"/>
            </w:pPr>
            <w:r w:rsidRPr="00FB371F">
              <w:t>149.6</w:t>
            </w:r>
          </w:p>
          <w:p w14:paraId="3063491F" w14:textId="77777777" w:rsidR="00A2491B" w:rsidRPr="00FB371F" w:rsidRDefault="00A2491B" w:rsidP="00C63FEC">
            <w:pPr>
              <w:keepNext/>
              <w:keepLines/>
              <w:spacing w:before="60" w:after="60" w:line="240" w:lineRule="auto"/>
              <w:jc w:val="right"/>
            </w:pPr>
            <w:r w:rsidRPr="00FB371F">
              <w:t>98.6</w:t>
            </w:r>
          </w:p>
          <w:p w14:paraId="6BF9090B" w14:textId="77777777" w:rsidR="00A2491B" w:rsidRPr="00FB371F" w:rsidRDefault="00A2491B" w:rsidP="00C63FEC">
            <w:pPr>
              <w:keepNext/>
              <w:keepLines/>
              <w:spacing w:before="60" w:after="60" w:line="240" w:lineRule="auto"/>
              <w:jc w:val="right"/>
            </w:pPr>
            <w:r w:rsidRPr="00FB371F">
              <w:t>29.6</w:t>
            </w:r>
          </w:p>
          <w:p w14:paraId="4BDCE295" w14:textId="77777777" w:rsidR="00A2491B" w:rsidRPr="00FB371F" w:rsidRDefault="00A2491B" w:rsidP="00C63FEC">
            <w:pPr>
              <w:keepNext/>
              <w:keepLines/>
              <w:spacing w:before="60" w:after="60" w:line="240" w:lineRule="auto"/>
              <w:jc w:val="right"/>
            </w:pPr>
            <w:r w:rsidRPr="00FB371F">
              <w:t>24.4</w:t>
            </w:r>
          </w:p>
          <w:p w14:paraId="73ED4412" w14:textId="77777777" w:rsidR="00A2491B" w:rsidRDefault="00A2491B" w:rsidP="00C63FEC">
            <w:pPr>
              <w:keepNext/>
              <w:keepLines/>
              <w:spacing w:before="60" w:after="60" w:line="240" w:lineRule="auto"/>
              <w:jc w:val="right"/>
            </w:pPr>
            <w:r w:rsidRPr="00FB371F">
              <w:t>13.7</w:t>
            </w:r>
          </w:p>
          <w:p w14:paraId="70594D7D" w14:textId="77777777" w:rsidR="00A2491B" w:rsidRDefault="00A2491B" w:rsidP="00C63FEC">
            <w:pPr>
              <w:keepNext/>
              <w:keepLines/>
              <w:spacing w:before="60" w:after="60" w:line="240" w:lineRule="auto"/>
              <w:jc w:val="right"/>
            </w:pPr>
          </w:p>
          <w:p w14:paraId="2CFEA448" w14:textId="1DCF0135" w:rsidR="00A2491B" w:rsidRDefault="008B5EF7" w:rsidP="00C63FEC">
            <w:pPr>
              <w:keepNext/>
              <w:keepLines/>
              <w:spacing w:before="60" w:after="60" w:line="240" w:lineRule="auto"/>
              <w:jc w:val="right"/>
            </w:pPr>
            <w:r>
              <w:t>tbd</w:t>
            </w:r>
          </w:p>
          <w:p w14:paraId="3FF118FA" w14:textId="06417838" w:rsidR="00A2491B" w:rsidRDefault="008B5EF7" w:rsidP="00C63FEC">
            <w:pPr>
              <w:keepNext/>
              <w:keepLines/>
              <w:spacing w:before="60" w:after="60" w:line="240" w:lineRule="auto"/>
              <w:jc w:val="right"/>
            </w:pPr>
            <w:r>
              <w:t>tbd</w:t>
            </w:r>
          </w:p>
          <w:p w14:paraId="1F57F8DA" w14:textId="318BE4FC" w:rsidR="00A2491B" w:rsidRDefault="008B5EF7" w:rsidP="00C63FEC">
            <w:pPr>
              <w:keepNext/>
              <w:keepLines/>
              <w:spacing w:before="60" w:after="60" w:line="240" w:lineRule="auto"/>
              <w:jc w:val="right"/>
            </w:pPr>
            <w:r>
              <w:t>tbd</w:t>
            </w:r>
          </w:p>
          <w:p w14:paraId="0CF2885C" w14:textId="588D8168" w:rsidR="00A2491B" w:rsidRDefault="008B5EF7" w:rsidP="00C63FEC">
            <w:pPr>
              <w:keepNext/>
              <w:keepLines/>
              <w:spacing w:before="60" w:after="60" w:line="240" w:lineRule="auto"/>
              <w:jc w:val="right"/>
            </w:pPr>
            <w:r>
              <w:t>tbd</w:t>
            </w:r>
          </w:p>
          <w:p w14:paraId="4F65D7A2" w14:textId="71D333B8" w:rsidR="00A2491B" w:rsidRDefault="008B5EF7" w:rsidP="00C63FEC">
            <w:pPr>
              <w:keepNext/>
              <w:keepLines/>
              <w:spacing w:before="60" w:after="60" w:line="240" w:lineRule="auto"/>
              <w:jc w:val="right"/>
            </w:pPr>
            <w:r>
              <w:t>tbd</w:t>
            </w:r>
          </w:p>
          <w:p w14:paraId="110E541F" w14:textId="7EDA9E44" w:rsidR="00A2491B" w:rsidRDefault="008B5EF7" w:rsidP="00C63FEC">
            <w:pPr>
              <w:keepNext/>
              <w:keepLines/>
              <w:spacing w:before="60" w:after="60" w:line="240" w:lineRule="auto"/>
              <w:jc w:val="right"/>
            </w:pPr>
            <w:r>
              <w:t>tbd</w:t>
            </w:r>
          </w:p>
          <w:p w14:paraId="6DBDDCCF" w14:textId="2D25CCD5" w:rsidR="00A2491B" w:rsidRDefault="008B5EF7" w:rsidP="00C63FEC">
            <w:pPr>
              <w:keepNext/>
              <w:keepLines/>
              <w:spacing w:before="60" w:after="60" w:line="240" w:lineRule="auto"/>
              <w:jc w:val="right"/>
            </w:pPr>
            <w:r>
              <w:t>tbd</w:t>
            </w:r>
          </w:p>
          <w:p w14:paraId="27CCF034" w14:textId="020577DB" w:rsidR="00A2491B" w:rsidRDefault="00A2491B" w:rsidP="00C63FEC">
            <w:pPr>
              <w:keepNext/>
              <w:keepLines/>
              <w:spacing w:before="60" w:after="60" w:line="240" w:lineRule="auto"/>
              <w:jc w:val="right"/>
            </w:pPr>
            <w:r w:rsidDel="00923364">
              <w:t xml:space="preserve"> </w:t>
            </w:r>
            <w:r w:rsidR="008B5EF7">
              <w:t>tbd</w:t>
            </w:r>
          </w:p>
          <w:p w14:paraId="7C27D03B" w14:textId="77777777" w:rsidR="00A2491B" w:rsidRDefault="00A2491B" w:rsidP="00C63FEC">
            <w:pPr>
              <w:keepNext/>
              <w:keepLines/>
              <w:spacing w:before="60" w:after="60" w:line="240" w:lineRule="auto"/>
              <w:jc w:val="right"/>
            </w:pPr>
          </w:p>
          <w:p w14:paraId="1E6C635E" w14:textId="77777777" w:rsidR="00A2491B" w:rsidRDefault="00A2491B" w:rsidP="00C63FEC">
            <w:pPr>
              <w:keepNext/>
              <w:keepLines/>
              <w:spacing w:before="60" w:after="60" w:line="240" w:lineRule="auto"/>
              <w:jc w:val="right"/>
            </w:pPr>
            <w:r>
              <w:t>32.3</w:t>
            </w:r>
          </w:p>
          <w:p w14:paraId="3F2CD142" w14:textId="77777777" w:rsidR="00A2491B" w:rsidRDefault="00A2491B" w:rsidP="00C63FEC">
            <w:pPr>
              <w:keepNext/>
              <w:keepLines/>
              <w:spacing w:before="60" w:after="60" w:line="240" w:lineRule="auto"/>
              <w:jc w:val="right"/>
            </w:pPr>
            <w:r>
              <w:t>24.5</w:t>
            </w:r>
          </w:p>
          <w:p w14:paraId="3564AF16" w14:textId="77777777" w:rsidR="00A2491B" w:rsidRDefault="00A2491B" w:rsidP="00C63FEC">
            <w:pPr>
              <w:keepNext/>
              <w:keepLines/>
              <w:spacing w:before="60" w:after="60" w:line="240" w:lineRule="auto"/>
              <w:jc w:val="right"/>
            </w:pPr>
            <w:r>
              <w:t>30.9</w:t>
            </w:r>
          </w:p>
          <w:p w14:paraId="729DBE39" w14:textId="77777777" w:rsidR="00A2491B" w:rsidRDefault="00A2491B" w:rsidP="00C63FEC">
            <w:pPr>
              <w:keepNext/>
              <w:keepLines/>
              <w:spacing w:before="60" w:after="60" w:line="240" w:lineRule="auto"/>
              <w:jc w:val="right"/>
            </w:pPr>
            <w:r>
              <w:t>16.1</w:t>
            </w:r>
          </w:p>
          <w:p w14:paraId="28978BBE" w14:textId="77777777" w:rsidR="00A2491B" w:rsidRDefault="00A2491B" w:rsidP="00C63FEC">
            <w:pPr>
              <w:keepNext/>
              <w:keepLines/>
              <w:spacing w:before="60" w:after="60" w:line="240" w:lineRule="auto"/>
              <w:jc w:val="right"/>
            </w:pPr>
            <w:r>
              <w:t>9.5</w:t>
            </w:r>
          </w:p>
          <w:p w14:paraId="58D8B53D" w14:textId="77777777" w:rsidR="00A2491B" w:rsidRDefault="00A2491B" w:rsidP="00C63FEC">
            <w:pPr>
              <w:keepNext/>
              <w:keepLines/>
              <w:spacing w:before="60" w:after="60" w:line="240" w:lineRule="auto"/>
              <w:jc w:val="right"/>
            </w:pPr>
            <w:r>
              <w:t>3.0</w:t>
            </w:r>
          </w:p>
          <w:p w14:paraId="0CADCE5D" w14:textId="77777777" w:rsidR="00A2491B" w:rsidRDefault="00A2491B" w:rsidP="00C63FEC">
            <w:pPr>
              <w:keepNext/>
              <w:keepLines/>
              <w:spacing w:before="60" w:after="60" w:line="240" w:lineRule="auto"/>
              <w:jc w:val="right"/>
            </w:pPr>
            <w:r>
              <w:t>1.6</w:t>
            </w:r>
          </w:p>
          <w:p w14:paraId="02D27A2A" w14:textId="77777777" w:rsidR="00A2491B" w:rsidRDefault="00A2491B" w:rsidP="00C63FEC">
            <w:pPr>
              <w:keepNext/>
              <w:keepLines/>
              <w:spacing w:before="60" w:after="60" w:line="240" w:lineRule="auto"/>
              <w:jc w:val="right"/>
            </w:pPr>
            <w:r>
              <w:t>5.7</w:t>
            </w:r>
          </w:p>
          <w:p w14:paraId="5FA54F75" w14:textId="77777777" w:rsidR="00A2491B" w:rsidRDefault="00A2491B" w:rsidP="00C63FEC">
            <w:pPr>
              <w:keepNext/>
              <w:keepLines/>
              <w:spacing w:before="60" w:after="60" w:line="240" w:lineRule="auto"/>
              <w:jc w:val="right"/>
            </w:pPr>
          </w:p>
          <w:p w14:paraId="63E6302B" w14:textId="1FC8DA23" w:rsidR="00A2491B" w:rsidRDefault="008B5EF7" w:rsidP="00C63FEC">
            <w:pPr>
              <w:keepNext/>
              <w:keepLines/>
              <w:spacing w:before="60" w:after="60" w:line="240" w:lineRule="auto"/>
              <w:jc w:val="right"/>
            </w:pPr>
            <w:r>
              <w:t>tbd</w:t>
            </w:r>
          </w:p>
          <w:p w14:paraId="10D2CB59" w14:textId="7CE116EE" w:rsidR="00A2491B" w:rsidRDefault="008B5EF7" w:rsidP="00C63FEC">
            <w:pPr>
              <w:keepNext/>
              <w:keepLines/>
              <w:spacing w:before="60" w:after="60" w:line="240" w:lineRule="auto"/>
              <w:jc w:val="right"/>
            </w:pPr>
            <w:r>
              <w:t>tbd</w:t>
            </w:r>
          </w:p>
          <w:p w14:paraId="01CFD420" w14:textId="0C07B445" w:rsidR="00A2491B" w:rsidRDefault="008B5EF7" w:rsidP="00C63FEC">
            <w:pPr>
              <w:keepNext/>
              <w:keepLines/>
              <w:spacing w:before="60" w:after="60" w:line="240" w:lineRule="auto"/>
              <w:jc w:val="right"/>
            </w:pPr>
            <w:r>
              <w:t>tbd</w:t>
            </w:r>
          </w:p>
          <w:p w14:paraId="1D098B58" w14:textId="34A28FDD" w:rsidR="00A2491B" w:rsidRDefault="008B5EF7" w:rsidP="00C63FEC">
            <w:pPr>
              <w:keepNext/>
              <w:keepLines/>
              <w:spacing w:before="60" w:after="60" w:line="240" w:lineRule="auto"/>
              <w:jc w:val="right"/>
            </w:pPr>
            <w:r>
              <w:t>tbd</w:t>
            </w:r>
          </w:p>
          <w:p w14:paraId="12337FE6" w14:textId="2F93EB50" w:rsidR="00A2491B" w:rsidRDefault="008B5EF7" w:rsidP="00C63FEC">
            <w:pPr>
              <w:keepNext/>
              <w:keepLines/>
              <w:spacing w:before="60" w:after="60" w:line="240" w:lineRule="auto"/>
              <w:jc w:val="right"/>
            </w:pPr>
            <w:r>
              <w:t>tbd</w:t>
            </w:r>
          </w:p>
          <w:p w14:paraId="5CBE4543" w14:textId="7E2FE6CF" w:rsidR="00A2491B" w:rsidRDefault="008B5EF7" w:rsidP="00C63FEC">
            <w:pPr>
              <w:keepNext/>
              <w:keepLines/>
              <w:spacing w:before="60" w:after="60" w:line="240" w:lineRule="auto"/>
              <w:jc w:val="right"/>
            </w:pPr>
            <w:r>
              <w:t>tbd</w:t>
            </w:r>
          </w:p>
          <w:p w14:paraId="0A7409B6" w14:textId="3495C622" w:rsidR="00A2491B" w:rsidRDefault="008B5EF7" w:rsidP="00C63FEC">
            <w:pPr>
              <w:keepNext/>
              <w:keepLines/>
              <w:spacing w:before="60" w:after="60" w:line="240" w:lineRule="auto"/>
              <w:jc w:val="right"/>
            </w:pPr>
            <w:r>
              <w:t>tbd</w:t>
            </w:r>
          </w:p>
          <w:p w14:paraId="20A553F3" w14:textId="6BD642CB" w:rsidR="00A2491B" w:rsidRPr="00FB371F" w:rsidRDefault="008B5EF7" w:rsidP="00C63FEC">
            <w:pPr>
              <w:keepNext/>
              <w:keepLines/>
              <w:spacing w:before="60" w:after="60" w:line="240" w:lineRule="auto"/>
              <w:jc w:val="right"/>
            </w:pPr>
            <w:r>
              <w:t>tbd</w:t>
            </w:r>
          </w:p>
        </w:tc>
        <w:tc>
          <w:tcPr>
            <w:tcW w:w="959" w:type="dxa"/>
            <w:tcBorders>
              <w:top w:val="single" w:sz="4" w:space="0" w:color="auto"/>
              <w:bottom w:val="single" w:sz="4" w:space="0" w:color="auto"/>
            </w:tcBorders>
          </w:tcPr>
          <w:p w14:paraId="01925A09" w14:textId="77777777" w:rsidR="00A2491B" w:rsidRPr="001668E8" w:rsidRDefault="00A2491B" w:rsidP="00C63FEC">
            <w:pPr>
              <w:keepNext/>
              <w:keepLines/>
              <w:spacing w:before="60" w:after="60" w:line="240" w:lineRule="auto"/>
              <w:jc w:val="right"/>
              <w:rPr>
                <w:b/>
              </w:rPr>
            </w:pPr>
          </w:p>
          <w:p w14:paraId="6694CD0E" w14:textId="77777777" w:rsidR="00A2491B" w:rsidRPr="001668E8" w:rsidRDefault="00A2491B" w:rsidP="00C63FEC">
            <w:pPr>
              <w:keepNext/>
              <w:keepLines/>
              <w:spacing w:before="60" w:after="60" w:line="240" w:lineRule="auto"/>
              <w:jc w:val="right"/>
              <w:rPr>
                <w:b/>
              </w:rPr>
            </w:pPr>
          </w:p>
          <w:p w14:paraId="758B7E5B" w14:textId="77777777" w:rsidR="00A2491B" w:rsidRPr="001668E8" w:rsidRDefault="00A2491B" w:rsidP="00C63FEC">
            <w:pPr>
              <w:keepNext/>
              <w:keepLines/>
              <w:spacing w:before="60" w:after="60" w:line="240" w:lineRule="auto"/>
              <w:jc w:val="right"/>
              <w:rPr>
                <w:b/>
              </w:rPr>
            </w:pPr>
            <w:r w:rsidRPr="001668E8">
              <w:rPr>
                <w:b/>
              </w:rPr>
              <w:t>2,273.0</w:t>
            </w:r>
          </w:p>
          <w:p w14:paraId="037B606C" w14:textId="77777777" w:rsidR="00A2491B" w:rsidRPr="001668E8" w:rsidRDefault="00A2491B" w:rsidP="00C63FEC">
            <w:pPr>
              <w:keepNext/>
              <w:keepLines/>
              <w:spacing w:before="60" w:after="60" w:line="240" w:lineRule="auto"/>
              <w:jc w:val="right"/>
              <w:rPr>
                <w:b/>
              </w:rPr>
            </w:pPr>
            <w:r w:rsidRPr="001668E8">
              <w:rPr>
                <w:b/>
              </w:rPr>
              <w:t>1,861.1</w:t>
            </w:r>
          </w:p>
          <w:p w14:paraId="2F2ED059" w14:textId="77777777" w:rsidR="00A2491B" w:rsidRPr="001668E8" w:rsidRDefault="00A2491B" w:rsidP="00C63FEC">
            <w:pPr>
              <w:keepNext/>
              <w:keepLines/>
              <w:spacing w:before="60" w:after="60" w:line="240" w:lineRule="auto"/>
              <w:jc w:val="right"/>
              <w:rPr>
                <w:b/>
              </w:rPr>
            </w:pPr>
            <w:r w:rsidRPr="001668E8">
              <w:rPr>
                <w:b/>
              </w:rPr>
              <w:t>1,419.6</w:t>
            </w:r>
          </w:p>
          <w:p w14:paraId="31FBBA41" w14:textId="77777777" w:rsidR="00A2491B" w:rsidRPr="001668E8" w:rsidRDefault="00A2491B" w:rsidP="00C63FEC">
            <w:pPr>
              <w:keepNext/>
              <w:keepLines/>
              <w:spacing w:before="60" w:after="60" w:line="240" w:lineRule="auto"/>
              <w:jc w:val="right"/>
              <w:rPr>
                <w:b/>
              </w:rPr>
            </w:pPr>
            <w:r w:rsidRPr="001668E8">
              <w:rPr>
                <w:b/>
              </w:rPr>
              <w:t>730.9</w:t>
            </w:r>
          </w:p>
          <w:p w14:paraId="212513E0" w14:textId="77777777" w:rsidR="00A2491B" w:rsidRPr="001668E8" w:rsidRDefault="00A2491B" w:rsidP="00C63FEC">
            <w:pPr>
              <w:keepNext/>
              <w:keepLines/>
              <w:spacing w:before="60" w:after="60" w:line="240" w:lineRule="auto"/>
              <w:jc w:val="right"/>
              <w:rPr>
                <w:b/>
              </w:rPr>
            </w:pPr>
            <w:r w:rsidRPr="001668E8">
              <w:rPr>
                <w:b/>
              </w:rPr>
              <w:t>483.6</w:t>
            </w:r>
          </w:p>
          <w:p w14:paraId="26783E0F" w14:textId="77777777" w:rsidR="00A2491B" w:rsidRPr="001668E8" w:rsidRDefault="00A2491B" w:rsidP="00C63FEC">
            <w:pPr>
              <w:keepNext/>
              <w:keepLines/>
              <w:spacing w:before="60" w:after="60" w:line="240" w:lineRule="auto"/>
              <w:jc w:val="right"/>
              <w:rPr>
                <w:b/>
              </w:rPr>
            </w:pPr>
            <w:r w:rsidRPr="001668E8">
              <w:rPr>
                <w:b/>
              </w:rPr>
              <w:t>145.5</w:t>
            </w:r>
          </w:p>
          <w:p w14:paraId="6DF19C70" w14:textId="77777777" w:rsidR="00A2491B" w:rsidRPr="001668E8" w:rsidRDefault="00A2491B" w:rsidP="00C63FEC">
            <w:pPr>
              <w:keepNext/>
              <w:keepLines/>
              <w:spacing w:before="60" w:after="60" w:line="240" w:lineRule="auto"/>
              <w:jc w:val="right"/>
              <w:rPr>
                <w:b/>
              </w:rPr>
            </w:pPr>
            <w:r w:rsidRPr="001668E8">
              <w:rPr>
                <w:b/>
              </w:rPr>
              <w:t>118.4</w:t>
            </w:r>
          </w:p>
          <w:p w14:paraId="690B7078" w14:textId="77777777" w:rsidR="00A2491B" w:rsidRPr="001668E8" w:rsidRDefault="00A2491B" w:rsidP="00C63FEC">
            <w:pPr>
              <w:keepNext/>
              <w:keepLines/>
              <w:spacing w:before="60" w:after="60" w:line="240" w:lineRule="auto"/>
              <w:jc w:val="right"/>
              <w:rPr>
                <w:b/>
              </w:rPr>
            </w:pPr>
            <w:r w:rsidRPr="001668E8">
              <w:rPr>
                <w:b/>
              </w:rPr>
              <w:t>67.7</w:t>
            </w:r>
          </w:p>
          <w:p w14:paraId="76E68821" w14:textId="77777777" w:rsidR="00A2491B" w:rsidRPr="001668E8" w:rsidRDefault="00A2491B" w:rsidP="00C63FEC">
            <w:pPr>
              <w:keepNext/>
              <w:keepLines/>
              <w:spacing w:before="60" w:after="60" w:line="240" w:lineRule="auto"/>
              <w:jc w:val="right"/>
              <w:rPr>
                <w:b/>
              </w:rPr>
            </w:pPr>
          </w:p>
          <w:p w14:paraId="05014058" w14:textId="77777777" w:rsidR="00A2491B" w:rsidRPr="008821F2" w:rsidRDefault="00A2491B" w:rsidP="00C63FEC">
            <w:pPr>
              <w:keepNext/>
              <w:keepLines/>
              <w:spacing w:before="60" w:after="60" w:line="240" w:lineRule="auto"/>
              <w:jc w:val="right"/>
              <w:rPr>
                <w:b/>
              </w:rPr>
            </w:pPr>
            <w:r w:rsidRPr="008821F2">
              <w:rPr>
                <w:b/>
              </w:rPr>
              <w:t>16.5</w:t>
            </w:r>
          </w:p>
          <w:p w14:paraId="1C0E2818" w14:textId="77777777" w:rsidR="00A2491B" w:rsidRPr="008821F2" w:rsidRDefault="00A2491B" w:rsidP="00C63FEC">
            <w:pPr>
              <w:keepNext/>
              <w:keepLines/>
              <w:spacing w:before="60" w:after="60" w:line="240" w:lineRule="auto"/>
              <w:jc w:val="right"/>
              <w:rPr>
                <w:b/>
              </w:rPr>
            </w:pPr>
            <w:r w:rsidRPr="008821F2">
              <w:rPr>
                <w:b/>
              </w:rPr>
              <w:t>48.5</w:t>
            </w:r>
          </w:p>
          <w:p w14:paraId="6624D611" w14:textId="77777777" w:rsidR="00A2491B" w:rsidRPr="008821F2" w:rsidRDefault="00A2491B" w:rsidP="00C63FEC">
            <w:pPr>
              <w:keepNext/>
              <w:keepLines/>
              <w:spacing w:before="60" w:after="60" w:line="240" w:lineRule="auto"/>
              <w:jc w:val="right"/>
              <w:rPr>
                <w:b/>
              </w:rPr>
            </w:pPr>
            <w:r w:rsidRPr="008821F2">
              <w:rPr>
                <w:b/>
              </w:rPr>
              <w:t>23.2</w:t>
            </w:r>
          </w:p>
          <w:p w14:paraId="2E35309B" w14:textId="77777777" w:rsidR="00A2491B" w:rsidRPr="008821F2" w:rsidRDefault="00A2491B" w:rsidP="00C63FEC">
            <w:pPr>
              <w:keepNext/>
              <w:keepLines/>
              <w:spacing w:before="60" w:after="60" w:line="240" w:lineRule="auto"/>
              <w:jc w:val="right"/>
              <w:rPr>
                <w:b/>
              </w:rPr>
            </w:pPr>
            <w:r w:rsidRPr="008821F2">
              <w:rPr>
                <w:b/>
              </w:rPr>
              <w:t>16.7</w:t>
            </w:r>
          </w:p>
          <w:p w14:paraId="49966966" w14:textId="77777777" w:rsidR="00A2491B" w:rsidRPr="008821F2" w:rsidRDefault="00A2491B" w:rsidP="00C63FEC">
            <w:pPr>
              <w:keepNext/>
              <w:keepLines/>
              <w:spacing w:before="60" w:after="60" w:line="240" w:lineRule="auto"/>
              <w:jc w:val="right"/>
              <w:rPr>
                <w:b/>
              </w:rPr>
            </w:pPr>
            <w:r w:rsidRPr="008821F2">
              <w:rPr>
                <w:b/>
              </w:rPr>
              <w:t>9.6</w:t>
            </w:r>
          </w:p>
          <w:p w14:paraId="2A5645A6" w14:textId="77777777" w:rsidR="00A2491B" w:rsidRPr="008821F2" w:rsidRDefault="00A2491B" w:rsidP="00C63FEC">
            <w:pPr>
              <w:keepNext/>
              <w:keepLines/>
              <w:spacing w:before="60" w:after="60" w:line="240" w:lineRule="auto"/>
              <w:jc w:val="right"/>
              <w:rPr>
                <w:b/>
              </w:rPr>
            </w:pPr>
            <w:r w:rsidRPr="008821F2">
              <w:rPr>
                <w:b/>
              </w:rPr>
              <w:t>4.1</w:t>
            </w:r>
          </w:p>
          <w:p w14:paraId="4ABAB1BE" w14:textId="77777777" w:rsidR="00A2491B" w:rsidRPr="008821F2" w:rsidRDefault="00A2491B" w:rsidP="00C63FEC">
            <w:pPr>
              <w:keepNext/>
              <w:keepLines/>
              <w:spacing w:before="60" w:after="60" w:line="240" w:lineRule="auto"/>
              <w:jc w:val="right"/>
              <w:rPr>
                <w:b/>
              </w:rPr>
            </w:pPr>
            <w:r w:rsidRPr="008821F2">
              <w:rPr>
                <w:b/>
              </w:rPr>
              <w:t>4.1</w:t>
            </w:r>
          </w:p>
          <w:p w14:paraId="7741A7F4" w14:textId="77777777" w:rsidR="00A2491B" w:rsidRDefault="00A2491B" w:rsidP="00C63FEC">
            <w:pPr>
              <w:keepNext/>
              <w:keepLines/>
              <w:spacing w:before="60" w:after="60" w:line="240" w:lineRule="auto"/>
              <w:jc w:val="right"/>
              <w:rPr>
                <w:b/>
              </w:rPr>
            </w:pPr>
            <w:r w:rsidRPr="008821F2">
              <w:rPr>
                <w:b/>
              </w:rPr>
              <w:t>2.1</w:t>
            </w:r>
          </w:p>
          <w:p w14:paraId="2CD524FE" w14:textId="77777777" w:rsidR="00A2491B" w:rsidRDefault="00A2491B" w:rsidP="00C63FEC">
            <w:pPr>
              <w:keepNext/>
              <w:keepLines/>
              <w:spacing w:before="60" w:after="60" w:line="240" w:lineRule="auto"/>
              <w:jc w:val="right"/>
              <w:rPr>
                <w:b/>
              </w:rPr>
            </w:pPr>
          </w:p>
          <w:p w14:paraId="07F8E697" w14:textId="77777777" w:rsidR="00A2491B" w:rsidRPr="001668E8" w:rsidRDefault="00A2491B" w:rsidP="00C63FEC">
            <w:pPr>
              <w:keepNext/>
              <w:keepLines/>
              <w:spacing w:before="60" w:after="60" w:line="240" w:lineRule="auto"/>
              <w:jc w:val="right"/>
              <w:rPr>
                <w:b/>
              </w:rPr>
            </w:pPr>
            <w:r w:rsidRPr="001668E8">
              <w:rPr>
                <w:b/>
              </w:rPr>
              <w:t>156.7</w:t>
            </w:r>
          </w:p>
          <w:p w14:paraId="72B2D8D0" w14:textId="77777777" w:rsidR="00A2491B" w:rsidRPr="001668E8" w:rsidRDefault="00A2491B" w:rsidP="00C63FEC">
            <w:pPr>
              <w:keepNext/>
              <w:keepLines/>
              <w:spacing w:before="60" w:after="60" w:line="240" w:lineRule="auto"/>
              <w:jc w:val="right"/>
              <w:rPr>
                <w:b/>
              </w:rPr>
            </w:pPr>
            <w:r w:rsidRPr="001668E8">
              <w:rPr>
                <w:b/>
              </w:rPr>
              <w:t>119.0</w:t>
            </w:r>
          </w:p>
          <w:p w14:paraId="523498F9" w14:textId="77777777" w:rsidR="00A2491B" w:rsidRPr="001668E8" w:rsidRDefault="00A2491B" w:rsidP="00C63FEC">
            <w:pPr>
              <w:keepNext/>
              <w:keepLines/>
              <w:spacing w:before="60" w:after="60" w:line="240" w:lineRule="auto"/>
              <w:jc w:val="right"/>
              <w:rPr>
                <w:b/>
              </w:rPr>
            </w:pPr>
            <w:r w:rsidRPr="001668E8">
              <w:rPr>
                <w:b/>
              </w:rPr>
              <w:t>149.9</w:t>
            </w:r>
          </w:p>
          <w:p w14:paraId="46DD7A93" w14:textId="77777777" w:rsidR="00A2491B" w:rsidRPr="001668E8" w:rsidRDefault="00A2491B" w:rsidP="00C63FEC">
            <w:pPr>
              <w:keepNext/>
              <w:keepLines/>
              <w:spacing w:before="60" w:after="60" w:line="240" w:lineRule="auto"/>
              <w:jc w:val="right"/>
              <w:rPr>
                <w:b/>
              </w:rPr>
            </w:pPr>
            <w:r w:rsidRPr="001668E8">
              <w:rPr>
                <w:b/>
              </w:rPr>
              <w:t>78.1</w:t>
            </w:r>
          </w:p>
          <w:p w14:paraId="39B42561" w14:textId="77777777" w:rsidR="00A2491B" w:rsidRPr="001668E8" w:rsidRDefault="00A2491B" w:rsidP="00C63FEC">
            <w:pPr>
              <w:keepNext/>
              <w:keepLines/>
              <w:spacing w:before="60" w:after="60" w:line="240" w:lineRule="auto"/>
              <w:jc w:val="right"/>
              <w:rPr>
                <w:b/>
              </w:rPr>
            </w:pPr>
            <w:r w:rsidRPr="001668E8">
              <w:rPr>
                <w:b/>
              </w:rPr>
              <w:t>46.3</w:t>
            </w:r>
          </w:p>
          <w:p w14:paraId="4F0ADB1F" w14:textId="77777777" w:rsidR="00A2491B" w:rsidRPr="001668E8" w:rsidRDefault="00A2491B" w:rsidP="00C63FEC">
            <w:pPr>
              <w:keepNext/>
              <w:keepLines/>
              <w:spacing w:before="60" w:after="60" w:line="240" w:lineRule="auto"/>
              <w:jc w:val="right"/>
              <w:rPr>
                <w:b/>
              </w:rPr>
            </w:pPr>
            <w:r w:rsidRPr="001668E8">
              <w:rPr>
                <w:b/>
              </w:rPr>
              <w:t>14.6</w:t>
            </w:r>
          </w:p>
          <w:p w14:paraId="6E8508C7" w14:textId="77777777" w:rsidR="00A2491B" w:rsidRPr="001668E8" w:rsidRDefault="00A2491B" w:rsidP="00C63FEC">
            <w:pPr>
              <w:keepNext/>
              <w:keepLines/>
              <w:spacing w:before="60" w:after="60" w:line="240" w:lineRule="auto"/>
              <w:jc w:val="right"/>
              <w:rPr>
                <w:b/>
              </w:rPr>
            </w:pPr>
            <w:r w:rsidRPr="001668E8">
              <w:rPr>
                <w:b/>
              </w:rPr>
              <w:t>7.9</w:t>
            </w:r>
          </w:p>
          <w:p w14:paraId="00AEB64E" w14:textId="77777777" w:rsidR="00A2491B" w:rsidRPr="001668E8" w:rsidRDefault="00A2491B" w:rsidP="00C63FEC">
            <w:pPr>
              <w:keepNext/>
              <w:keepLines/>
              <w:spacing w:before="60" w:after="60" w:line="240" w:lineRule="auto"/>
              <w:jc w:val="right"/>
              <w:rPr>
                <w:b/>
              </w:rPr>
            </w:pPr>
            <w:r w:rsidRPr="001668E8">
              <w:rPr>
                <w:b/>
              </w:rPr>
              <w:t>27.8</w:t>
            </w:r>
          </w:p>
          <w:p w14:paraId="49947320" w14:textId="77777777" w:rsidR="00A2491B" w:rsidRDefault="00A2491B" w:rsidP="00C63FEC">
            <w:pPr>
              <w:keepNext/>
              <w:keepLines/>
              <w:spacing w:before="60" w:after="60" w:line="240" w:lineRule="auto"/>
              <w:jc w:val="right"/>
              <w:rPr>
                <w:b/>
              </w:rPr>
            </w:pPr>
          </w:p>
          <w:p w14:paraId="5F117395" w14:textId="77777777" w:rsidR="00A2491B" w:rsidRPr="00FE197D" w:rsidRDefault="00A2491B" w:rsidP="00C63FEC">
            <w:pPr>
              <w:keepNext/>
              <w:keepLines/>
              <w:spacing w:before="60" w:after="60" w:line="240" w:lineRule="auto"/>
              <w:jc w:val="right"/>
              <w:rPr>
                <w:b/>
              </w:rPr>
            </w:pPr>
            <w:r w:rsidRPr="00FE197D">
              <w:rPr>
                <w:b/>
              </w:rPr>
              <w:t>2.6</w:t>
            </w:r>
          </w:p>
          <w:p w14:paraId="3B8C0215" w14:textId="77777777" w:rsidR="00A2491B" w:rsidRPr="00FE197D" w:rsidRDefault="00A2491B" w:rsidP="00C63FEC">
            <w:pPr>
              <w:keepNext/>
              <w:keepLines/>
              <w:spacing w:before="60" w:after="60" w:line="240" w:lineRule="auto"/>
              <w:jc w:val="right"/>
              <w:rPr>
                <w:b/>
              </w:rPr>
            </w:pPr>
            <w:r w:rsidRPr="00FE197D">
              <w:rPr>
                <w:b/>
              </w:rPr>
              <w:t>3.8</w:t>
            </w:r>
          </w:p>
          <w:p w14:paraId="0538A923" w14:textId="77777777" w:rsidR="00A2491B" w:rsidRPr="00FE197D" w:rsidRDefault="00A2491B" w:rsidP="00C63FEC">
            <w:pPr>
              <w:keepNext/>
              <w:keepLines/>
              <w:spacing w:before="60" w:after="60" w:line="240" w:lineRule="auto"/>
              <w:jc w:val="right"/>
              <w:rPr>
                <w:b/>
              </w:rPr>
            </w:pPr>
            <w:r w:rsidRPr="00FE197D">
              <w:rPr>
                <w:b/>
              </w:rPr>
              <w:t>6.5</w:t>
            </w:r>
          </w:p>
          <w:p w14:paraId="69BD5E75" w14:textId="77777777" w:rsidR="00A2491B" w:rsidRPr="00FE197D" w:rsidRDefault="00A2491B" w:rsidP="00C63FEC">
            <w:pPr>
              <w:keepNext/>
              <w:keepLines/>
              <w:spacing w:before="60" w:after="60" w:line="240" w:lineRule="auto"/>
              <w:jc w:val="right"/>
              <w:rPr>
                <w:b/>
              </w:rPr>
            </w:pPr>
            <w:r w:rsidRPr="00FE197D">
              <w:rPr>
                <w:b/>
              </w:rPr>
              <w:t>4.1</w:t>
            </w:r>
          </w:p>
          <w:p w14:paraId="20DD97EE" w14:textId="77777777" w:rsidR="00A2491B" w:rsidRPr="00FE197D" w:rsidRDefault="00A2491B" w:rsidP="00C63FEC">
            <w:pPr>
              <w:keepNext/>
              <w:keepLines/>
              <w:spacing w:before="60" w:after="60" w:line="240" w:lineRule="auto"/>
              <w:jc w:val="right"/>
              <w:rPr>
                <w:b/>
              </w:rPr>
            </w:pPr>
            <w:r w:rsidRPr="00FE197D">
              <w:rPr>
                <w:b/>
              </w:rPr>
              <w:t>1.6</w:t>
            </w:r>
          </w:p>
          <w:p w14:paraId="701A4EBD" w14:textId="77777777" w:rsidR="00A2491B" w:rsidRPr="00FE197D" w:rsidRDefault="00A2491B" w:rsidP="00C63FEC">
            <w:pPr>
              <w:keepNext/>
              <w:keepLines/>
              <w:spacing w:before="60" w:after="60" w:line="240" w:lineRule="auto"/>
              <w:jc w:val="right"/>
              <w:rPr>
                <w:b/>
              </w:rPr>
            </w:pPr>
            <w:r w:rsidRPr="00FE197D">
              <w:rPr>
                <w:b/>
              </w:rPr>
              <w:t>0.5</w:t>
            </w:r>
          </w:p>
          <w:p w14:paraId="3C4B9B3A" w14:textId="77777777" w:rsidR="00A2491B" w:rsidRPr="00FE197D" w:rsidRDefault="00A2491B" w:rsidP="00C63FEC">
            <w:pPr>
              <w:keepNext/>
              <w:keepLines/>
              <w:spacing w:before="60" w:after="60" w:line="240" w:lineRule="auto"/>
              <w:jc w:val="right"/>
              <w:rPr>
                <w:b/>
              </w:rPr>
            </w:pPr>
            <w:r w:rsidRPr="00FE197D">
              <w:rPr>
                <w:b/>
              </w:rPr>
              <w:t>0.3</w:t>
            </w:r>
          </w:p>
          <w:p w14:paraId="3B8ECF92" w14:textId="77777777" w:rsidR="00A2491B" w:rsidRPr="001668E8" w:rsidRDefault="00A2491B" w:rsidP="00C63FEC">
            <w:pPr>
              <w:keepNext/>
              <w:keepLines/>
              <w:spacing w:before="60" w:after="60" w:line="240" w:lineRule="auto"/>
              <w:jc w:val="right"/>
              <w:rPr>
                <w:b/>
              </w:rPr>
            </w:pPr>
            <w:r w:rsidRPr="00FE197D">
              <w:rPr>
                <w:b/>
              </w:rPr>
              <w:t>0.9</w:t>
            </w:r>
          </w:p>
        </w:tc>
      </w:tr>
    </w:tbl>
    <w:p w14:paraId="62D9B0AA" w14:textId="523D0697" w:rsidR="00217674" w:rsidRPr="006B0F32" w:rsidRDefault="00FF4AA9" w:rsidP="00A2491B">
      <w:pPr>
        <w:pStyle w:val="Normalnumbered"/>
        <w:keepLines/>
        <w:tabs>
          <w:tab w:val="clear" w:pos="360"/>
          <w:tab w:val="left" w:pos="284"/>
        </w:tabs>
        <w:spacing w:after="0" w:line="180" w:lineRule="exact"/>
        <w:ind w:left="284" w:hanging="284"/>
        <w:jc w:val="left"/>
        <w:rPr>
          <w:rFonts w:ascii="Arial" w:hAnsi="Arial" w:cs="Arial"/>
          <w:color w:val="auto"/>
          <w:sz w:val="16"/>
          <w:szCs w:val="16"/>
        </w:rPr>
      </w:pPr>
      <w:r w:rsidRPr="006B0F32">
        <w:rPr>
          <w:rFonts w:ascii="Arial" w:hAnsi="Arial"/>
          <w:color w:val="auto"/>
          <w:sz w:val="16"/>
        </w:rPr>
        <w:t>(a)</w:t>
      </w:r>
      <w:r w:rsidRPr="006B0F32">
        <w:rPr>
          <w:rFonts w:ascii="Arial" w:hAnsi="Arial"/>
          <w:color w:val="auto"/>
          <w:sz w:val="16"/>
        </w:rPr>
        <w:tab/>
      </w:r>
      <w:r w:rsidR="00217674" w:rsidRPr="006B0F32">
        <w:rPr>
          <w:rFonts w:ascii="Arial" w:hAnsi="Arial" w:cs="Arial"/>
          <w:color w:val="auto"/>
          <w:sz w:val="16"/>
          <w:szCs w:val="16"/>
        </w:rPr>
        <w:t>Estimated financial contributions are based on 2018-19 Budget estimates and are subject to adjustment in accordance with Part 5 of this Agreement.</w:t>
      </w:r>
    </w:p>
    <w:p w14:paraId="52D2B2FF" w14:textId="77777777" w:rsidR="00A2491B" w:rsidRDefault="00217674" w:rsidP="00A2491B">
      <w:pPr>
        <w:pStyle w:val="Normalnumbered"/>
        <w:keepLines/>
        <w:tabs>
          <w:tab w:val="clear" w:pos="360"/>
          <w:tab w:val="left" w:pos="284"/>
        </w:tabs>
        <w:spacing w:after="0" w:line="180" w:lineRule="exact"/>
        <w:ind w:left="284" w:hanging="284"/>
        <w:jc w:val="left"/>
        <w:rPr>
          <w:rFonts w:ascii="Arial" w:hAnsi="Arial"/>
          <w:color w:val="auto"/>
          <w:sz w:val="16"/>
        </w:rPr>
      </w:pPr>
      <w:r w:rsidRPr="006B0F32">
        <w:rPr>
          <w:rFonts w:ascii="Arial" w:hAnsi="Arial" w:cs="Arial"/>
          <w:color w:val="auto"/>
          <w:sz w:val="16"/>
          <w:szCs w:val="16"/>
        </w:rPr>
        <w:t>(b)</w:t>
      </w:r>
      <w:r w:rsidRPr="006B0F32">
        <w:rPr>
          <w:rFonts w:ascii="Arial" w:hAnsi="Arial" w:cs="Arial"/>
          <w:color w:val="auto"/>
          <w:sz w:val="16"/>
          <w:szCs w:val="16"/>
        </w:rPr>
        <w:tab/>
        <w:t>Per capita</w:t>
      </w:r>
      <w:r w:rsidRPr="006B0F32">
        <w:rPr>
          <w:rFonts w:ascii="Arial" w:hAnsi="Arial"/>
          <w:color w:val="auto"/>
          <w:sz w:val="16"/>
        </w:rPr>
        <w:t xml:space="preserve"> shares may not add to estimated total budget due to rounding.</w:t>
      </w:r>
    </w:p>
    <w:p w14:paraId="6413AB31" w14:textId="0FBDC905" w:rsidR="00A2491B" w:rsidRPr="006B0F32" w:rsidRDefault="00115014" w:rsidP="00A2491B">
      <w:pPr>
        <w:pStyle w:val="Normalnumbered"/>
        <w:keepLines/>
        <w:tabs>
          <w:tab w:val="clear" w:pos="360"/>
          <w:tab w:val="left" w:pos="284"/>
        </w:tabs>
        <w:spacing w:after="0" w:line="180" w:lineRule="exact"/>
        <w:ind w:left="0" w:firstLine="0"/>
        <w:jc w:val="left"/>
        <w:rPr>
          <w:rFonts w:ascii="Arial" w:hAnsi="Arial" w:cs="Arial"/>
          <w:color w:val="auto"/>
          <w:sz w:val="16"/>
          <w:szCs w:val="16"/>
        </w:rPr>
      </w:pPr>
      <w:r>
        <w:rPr>
          <w:rFonts w:ascii="Arial" w:hAnsi="Arial" w:cs="Arial"/>
          <w:sz w:val="16"/>
          <w:szCs w:val="16"/>
        </w:rPr>
        <w:t>*</w:t>
      </w:r>
      <w:r w:rsidR="00A2491B" w:rsidRPr="003E0540">
        <w:rPr>
          <w:rFonts w:ascii="Arial" w:hAnsi="Arial" w:cs="Arial"/>
          <w:sz w:val="16"/>
          <w:szCs w:val="16"/>
        </w:rPr>
        <w:t xml:space="preserve"> SACS funding beyond  2021-22 is subject to a future Government decision given that Commonwealth funding under the  National Partnership Agreement on Pay Equity for the Social and Community Services Sector is terminating.  </w:t>
      </w:r>
    </w:p>
    <w:p w14:paraId="34435EA7" w14:textId="16C6D288" w:rsidR="00814667" w:rsidRPr="00EF45D2" w:rsidRDefault="003A2157" w:rsidP="00A41994">
      <w:pPr>
        <w:pStyle w:val="Heading1"/>
      </w:pPr>
      <w:r w:rsidRPr="00EF45D2">
        <w:lastRenderedPageBreak/>
        <w:t xml:space="preserve">Part </w:t>
      </w:r>
      <w:r w:rsidR="000B4080" w:rsidRPr="00EF45D2">
        <w:t>6</w:t>
      </w:r>
      <w:r w:rsidR="00814667" w:rsidRPr="00EF45D2">
        <w:t xml:space="preserve"> — governance arrangements</w:t>
      </w:r>
    </w:p>
    <w:p w14:paraId="1792F8DF" w14:textId="77777777" w:rsidR="00BC4728" w:rsidRPr="00EF45D2" w:rsidRDefault="00BC4728" w:rsidP="00BC4728">
      <w:pPr>
        <w:pStyle w:val="Heading2"/>
      </w:pPr>
      <w:r w:rsidRPr="00EF45D2">
        <w:t>Enforceability of the Agreement</w:t>
      </w:r>
    </w:p>
    <w:p w14:paraId="7C62526F" w14:textId="5394A6BB" w:rsidR="00BC4728" w:rsidRPr="00EF45D2" w:rsidRDefault="00BC4728" w:rsidP="00A41994">
      <w:pPr>
        <w:pStyle w:val="Normalnumbered"/>
        <w:numPr>
          <w:ilvl w:val="0"/>
          <w:numId w:val="9"/>
        </w:numPr>
        <w:spacing w:line="240" w:lineRule="auto"/>
        <w:jc w:val="left"/>
      </w:pPr>
      <w:r w:rsidRPr="00EF45D2">
        <w:rPr>
          <w:szCs w:val="23"/>
        </w:rPr>
        <w:t xml:space="preserve">The </w:t>
      </w:r>
      <w:r w:rsidR="0049007C">
        <w:rPr>
          <w:szCs w:val="23"/>
        </w:rPr>
        <w:t xml:space="preserve">provisions of this Agreement </w:t>
      </w:r>
      <w:r w:rsidR="00E90483">
        <w:rPr>
          <w:szCs w:val="23"/>
        </w:rPr>
        <w:t>as they relate to</w:t>
      </w:r>
      <w:r w:rsidR="0049007C">
        <w:rPr>
          <w:szCs w:val="23"/>
        </w:rPr>
        <w:t xml:space="preserve"> the FFR Act are legally enforceable. All other provisions are not </w:t>
      </w:r>
      <w:r w:rsidR="00E90483">
        <w:rPr>
          <w:szCs w:val="23"/>
        </w:rPr>
        <w:t xml:space="preserve">intended to be </w:t>
      </w:r>
      <w:r w:rsidR="0049007C">
        <w:rPr>
          <w:szCs w:val="23"/>
        </w:rPr>
        <w:t xml:space="preserve">legally enforceable.  </w:t>
      </w:r>
      <w:r w:rsidRPr="00EF45D2">
        <w:rPr>
          <w:szCs w:val="23"/>
        </w:rPr>
        <w:t xml:space="preserve">However, </w:t>
      </w:r>
      <w:r w:rsidR="00E90483">
        <w:rPr>
          <w:szCs w:val="23"/>
        </w:rPr>
        <w:t>this</w:t>
      </w:r>
      <w:r w:rsidR="00E90483" w:rsidRPr="00EF45D2">
        <w:rPr>
          <w:szCs w:val="23"/>
        </w:rPr>
        <w:t xml:space="preserve"> </w:t>
      </w:r>
      <w:r w:rsidRPr="00EF45D2">
        <w:rPr>
          <w:szCs w:val="23"/>
        </w:rPr>
        <w:t>does not lessen the Parties’ commitment to this Agreement.</w:t>
      </w:r>
    </w:p>
    <w:p w14:paraId="63015AD7" w14:textId="77777777" w:rsidR="002A65E4" w:rsidRPr="00EF45D2" w:rsidRDefault="002A65E4" w:rsidP="002A65E4">
      <w:pPr>
        <w:pStyle w:val="Heading2"/>
      </w:pPr>
      <w:r w:rsidRPr="00EF45D2">
        <w:t>Review of the Agreement</w:t>
      </w:r>
    </w:p>
    <w:p w14:paraId="4606E750" w14:textId="2B5D79FE" w:rsidR="00A50B8F" w:rsidRPr="00EF45D2" w:rsidRDefault="00A50B8F" w:rsidP="00A41994">
      <w:pPr>
        <w:pStyle w:val="Normalnumbered"/>
        <w:numPr>
          <w:ilvl w:val="0"/>
          <w:numId w:val="9"/>
        </w:numPr>
        <w:spacing w:line="240" w:lineRule="auto"/>
        <w:jc w:val="left"/>
        <w:rPr>
          <w:color w:val="auto"/>
        </w:rPr>
      </w:pPr>
      <w:r w:rsidRPr="00EF45D2">
        <w:t>This Agreement is intended to provide funding to support the delivery of housing and homeless</w:t>
      </w:r>
      <w:r w:rsidR="00360AEB" w:rsidRPr="00EF45D2">
        <w:t>ness</w:t>
      </w:r>
      <w:r w:rsidRPr="00EF45D2">
        <w:t xml:space="preserve"> services, projects</w:t>
      </w:r>
      <w:r w:rsidR="00732E49">
        <w:t>,</w:t>
      </w:r>
      <w:r w:rsidRPr="00EF45D2">
        <w:t xml:space="preserve"> reforms</w:t>
      </w:r>
      <w:r w:rsidR="00732E49">
        <w:t xml:space="preserve"> or initiatives</w:t>
      </w:r>
      <w:r w:rsidRPr="00EF45D2">
        <w:t xml:space="preserve">, the achievement of which is to be measured using the </w:t>
      </w:r>
      <w:r w:rsidR="00D679E8">
        <w:t>o</w:t>
      </w:r>
      <w:r w:rsidR="00611243">
        <w:t xml:space="preserve">utcomes </w:t>
      </w:r>
      <w:r w:rsidR="00B37E5D">
        <w:t xml:space="preserve">and </w:t>
      </w:r>
      <w:r w:rsidR="00D679E8">
        <w:t>p</w:t>
      </w:r>
      <w:r w:rsidR="00B37E5D">
        <w:t xml:space="preserve">erformance </w:t>
      </w:r>
      <w:r w:rsidR="00D679E8">
        <w:t>i</w:t>
      </w:r>
      <w:r w:rsidR="00B37E5D">
        <w:t xml:space="preserve">ndicators </w:t>
      </w:r>
      <w:r w:rsidR="00611243">
        <w:t xml:space="preserve">outlined in </w:t>
      </w:r>
      <w:r w:rsidRPr="00EF45D2">
        <w:t>this Agreement.</w:t>
      </w:r>
    </w:p>
    <w:p w14:paraId="11E4AF8C" w14:textId="360032EA" w:rsidR="002A65E4" w:rsidRPr="00B37E5D" w:rsidRDefault="00601508" w:rsidP="00601508">
      <w:pPr>
        <w:pStyle w:val="Normalnumbered"/>
        <w:numPr>
          <w:ilvl w:val="0"/>
          <w:numId w:val="9"/>
        </w:numPr>
        <w:spacing w:line="240" w:lineRule="auto"/>
        <w:jc w:val="left"/>
        <w:rPr>
          <w:color w:val="auto"/>
        </w:rPr>
      </w:pPr>
      <w:r w:rsidRPr="006B0F32">
        <w:t xml:space="preserve">As part of its reviews of nationally significant sector-wide agreements between the Commonwealth and States and Territories, </w:t>
      </w:r>
      <w:r>
        <w:t>t</w:t>
      </w:r>
      <w:r w:rsidR="0036703D" w:rsidRPr="00EF45D2">
        <w:t xml:space="preserve">he Productivity Commission will review </w:t>
      </w:r>
      <w:r w:rsidR="002A65E4" w:rsidRPr="00EF45D2">
        <w:t>the Agreement</w:t>
      </w:r>
      <w:r w:rsidR="006140EA" w:rsidRPr="00EF45D2">
        <w:t xml:space="preserve">. This </w:t>
      </w:r>
      <w:r w:rsidR="00D679E8">
        <w:t>r</w:t>
      </w:r>
      <w:r w:rsidR="009770F4" w:rsidRPr="00EF45D2">
        <w:t xml:space="preserve">eview </w:t>
      </w:r>
      <w:r w:rsidR="006140EA" w:rsidRPr="00EF45D2">
        <w:t xml:space="preserve">will be </w:t>
      </w:r>
      <w:r w:rsidR="002A65E4" w:rsidRPr="00EF45D2">
        <w:t>completed</w:t>
      </w:r>
      <w:r w:rsidR="00A50B8F" w:rsidRPr="00EF45D2">
        <w:t xml:space="preserve"> </w:t>
      </w:r>
      <w:r w:rsidR="00903A3C">
        <w:t>at least</w:t>
      </w:r>
      <w:r w:rsidR="00903A3C" w:rsidRPr="00EF45D2">
        <w:t xml:space="preserve"> </w:t>
      </w:r>
      <w:r w:rsidR="009770F4" w:rsidRPr="00EF45D2">
        <w:t xml:space="preserve">12 </w:t>
      </w:r>
      <w:r w:rsidR="00844B4E" w:rsidRPr="00EF45D2">
        <w:t>months</w:t>
      </w:r>
      <w:r w:rsidR="00A50B8F" w:rsidRPr="00EF45D2">
        <w:t xml:space="preserve"> prior to 30 June 2023</w:t>
      </w:r>
      <w:r w:rsidR="002A65E4" w:rsidRPr="00EF45D2">
        <w:t xml:space="preserve">, and </w:t>
      </w:r>
      <w:r w:rsidR="002553D1" w:rsidRPr="006B0F32">
        <w:t>periodically</w:t>
      </w:r>
      <w:r w:rsidR="002A65E4" w:rsidRPr="006B0F32">
        <w:t xml:space="preserve"> </w:t>
      </w:r>
      <w:r w:rsidR="002A65E4" w:rsidRPr="00EF45D2">
        <w:t>thereafter.</w:t>
      </w:r>
    </w:p>
    <w:p w14:paraId="49F8730B" w14:textId="2217BB04" w:rsidR="00911BCD" w:rsidRPr="00EF45D2" w:rsidRDefault="00D831A3" w:rsidP="00A41994">
      <w:pPr>
        <w:pStyle w:val="Normalnumbered"/>
        <w:numPr>
          <w:ilvl w:val="0"/>
          <w:numId w:val="9"/>
        </w:numPr>
        <w:spacing w:line="240" w:lineRule="auto"/>
        <w:jc w:val="left"/>
        <w:rPr>
          <w:color w:val="auto"/>
        </w:rPr>
      </w:pPr>
      <w:r>
        <w:rPr>
          <w:color w:val="auto"/>
        </w:rPr>
        <w:t xml:space="preserve">The terms of reference of this </w:t>
      </w:r>
      <w:r w:rsidR="00D679E8">
        <w:rPr>
          <w:color w:val="auto"/>
        </w:rPr>
        <w:t>r</w:t>
      </w:r>
      <w:r>
        <w:rPr>
          <w:color w:val="auto"/>
        </w:rPr>
        <w:t xml:space="preserve">eview will be developed by the Commonwealth, in consultation with States. </w:t>
      </w:r>
    </w:p>
    <w:p w14:paraId="0D2F4C47" w14:textId="77777777" w:rsidR="00814667" w:rsidRPr="00EF45D2" w:rsidRDefault="00814667">
      <w:pPr>
        <w:pStyle w:val="Heading2"/>
      </w:pPr>
      <w:r w:rsidRPr="00EF45D2">
        <w:t>Variation of the Agreement</w:t>
      </w:r>
    </w:p>
    <w:p w14:paraId="55A3399A" w14:textId="0EF4E6FA" w:rsidR="00526BE6" w:rsidRPr="00EF45D2" w:rsidRDefault="00607B03" w:rsidP="00526BE6">
      <w:pPr>
        <w:pStyle w:val="Normalnumbered"/>
        <w:numPr>
          <w:ilvl w:val="0"/>
          <w:numId w:val="9"/>
        </w:numPr>
        <w:jc w:val="left"/>
      </w:pPr>
      <w:r w:rsidRPr="00EF45D2">
        <w:t>The A</w:t>
      </w:r>
      <w:r w:rsidR="00814667" w:rsidRPr="00EF45D2">
        <w:t>greement may be amended at any time by agreement in writing by all</w:t>
      </w:r>
      <w:r w:rsidR="00A3731B" w:rsidRPr="00EF45D2">
        <w:t xml:space="preserve"> </w:t>
      </w:r>
      <w:r w:rsidR="00814667" w:rsidRPr="00EF45D2">
        <w:t>the Parties.</w:t>
      </w:r>
    </w:p>
    <w:p w14:paraId="3E75B126" w14:textId="7A52C0DB" w:rsidR="00275965" w:rsidRPr="00ED4D09" w:rsidRDefault="00141D2F" w:rsidP="00275965">
      <w:pPr>
        <w:pStyle w:val="Normalnumbered"/>
        <w:numPr>
          <w:ilvl w:val="0"/>
          <w:numId w:val="9"/>
        </w:numPr>
        <w:jc w:val="left"/>
      </w:pPr>
      <w:r>
        <w:t xml:space="preserve">Bilateral </w:t>
      </w:r>
      <w:r w:rsidR="00901179">
        <w:t>s</w:t>
      </w:r>
      <w:r w:rsidR="00855E85">
        <w:t>chedules</w:t>
      </w:r>
      <w:r w:rsidR="00360AEB" w:rsidRPr="00EF45D2">
        <w:t xml:space="preserve"> under </w:t>
      </w:r>
      <w:r w:rsidR="00292587" w:rsidRPr="00EF45D2">
        <w:t xml:space="preserve">this Agreement that have no impact on other Parties may be amended at any time by agreement in writing </w:t>
      </w:r>
      <w:r w:rsidR="000A7386" w:rsidRPr="006B0F32">
        <w:t>between the relevant Parties</w:t>
      </w:r>
      <w:r w:rsidR="00292587" w:rsidRPr="00ED4D09">
        <w:t>.</w:t>
      </w:r>
    </w:p>
    <w:p w14:paraId="69DD20F5" w14:textId="4F740BEF" w:rsidR="00CA4CE6" w:rsidRDefault="00CA4CE6" w:rsidP="00CA4CE6">
      <w:pPr>
        <w:pStyle w:val="Normalnumbered"/>
        <w:numPr>
          <w:ilvl w:val="0"/>
          <w:numId w:val="9"/>
        </w:numPr>
        <w:jc w:val="left"/>
      </w:pPr>
      <w:r>
        <w:t xml:space="preserve">A Party to the Agreement may terminate their participation in the Agreement at any time by </w:t>
      </w:r>
      <w:r w:rsidR="00550C12">
        <w:t xml:space="preserve">giving 12 months’ notice of intention to do so, in writing, </w:t>
      </w:r>
      <w:r w:rsidR="00901179">
        <w:t xml:space="preserve">to </w:t>
      </w:r>
      <w:r>
        <w:t>all the other Parties.</w:t>
      </w:r>
    </w:p>
    <w:p w14:paraId="0609E033" w14:textId="3B2ACC01" w:rsidR="009526E4" w:rsidRPr="00EF45D2" w:rsidRDefault="009526E4" w:rsidP="0036119D">
      <w:pPr>
        <w:pStyle w:val="Heading2"/>
      </w:pPr>
      <w:r w:rsidRPr="00EF45D2">
        <w:t>Delegations</w:t>
      </w:r>
    </w:p>
    <w:p w14:paraId="43EAB23C" w14:textId="6CD974F2" w:rsidR="00C0388C" w:rsidRPr="006B0F32" w:rsidRDefault="00C0388C" w:rsidP="000F54AD">
      <w:pPr>
        <w:pStyle w:val="Normalnumbered"/>
        <w:numPr>
          <w:ilvl w:val="0"/>
          <w:numId w:val="9"/>
        </w:numPr>
        <w:jc w:val="left"/>
      </w:pPr>
      <w:r w:rsidRPr="00ED4D09">
        <w:t xml:space="preserve">The </w:t>
      </w:r>
      <w:r w:rsidR="000F54AD" w:rsidRPr="006B0F32">
        <w:t xml:space="preserve">Commonwealth Treasurer, or the </w:t>
      </w:r>
      <w:r w:rsidR="00DF2AB5" w:rsidRPr="00ED4D09">
        <w:t xml:space="preserve">relevant </w:t>
      </w:r>
      <w:r w:rsidRPr="00ED4D09">
        <w:t xml:space="preserve">Commonwealth </w:t>
      </w:r>
      <w:r w:rsidR="006E1D8C" w:rsidRPr="00ED4D09">
        <w:t>Minister</w:t>
      </w:r>
      <w:r w:rsidR="000F7757">
        <w:t xml:space="preserve"> </w:t>
      </w:r>
      <w:r w:rsidR="000F7757" w:rsidRPr="006B0F32">
        <w:t>with portfolio responsibility for housing and homelessness</w:t>
      </w:r>
      <w:r w:rsidR="003B1AB5" w:rsidRPr="006B0F32">
        <w:t xml:space="preserve"> in consultation with the Commonwealth Treasurer</w:t>
      </w:r>
      <w:r w:rsidR="003B1AB5" w:rsidRPr="000F7757">
        <w:t>,</w:t>
      </w:r>
      <w:r w:rsidRPr="000F7757">
        <w:t xml:space="preserve"> </w:t>
      </w:r>
      <w:r w:rsidR="007C3AD8">
        <w:t>is</w:t>
      </w:r>
      <w:r w:rsidR="000F54AD" w:rsidRPr="000F7757">
        <w:t xml:space="preserve"> </w:t>
      </w:r>
      <w:r w:rsidRPr="000F7757">
        <w:t>authorised to</w:t>
      </w:r>
      <w:r w:rsidR="00467445">
        <w:t xml:space="preserve"> </w:t>
      </w:r>
      <w:r w:rsidRPr="000F7757">
        <w:t xml:space="preserve">agree and amend </w:t>
      </w:r>
      <w:r w:rsidR="007B073F" w:rsidRPr="000F7757">
        <w:t>schedule</w:t>
      </w:r>
      <w:r w:rsidR="00830009" w:rsidRPr="000F7757">
        <w:t>s</w:t>
      </w:r>
      <w:r w:rsidR="00360AEB" w:rsidRPr="000F7757">
        <w:t xml:space="preserve"> under </w:t>
      </w:r>
      <w:r w:rsidRPr="000F7757">
        <w:t xml:space="preserve">this Agreement and to certify that </w:t>
      </w:r>
      <w:r w:rsidR="004D4561" w:rsidRPr="000F7757">
        <w:t xml:space="preserve">outputs under </w:t>
      </w:r>
      <w:r w:rsidR="00141D2F" w:rsidRPr="000F7757">
        <w:t>this</w:t>
      </w:r>
      <w:r w:rsidR="00524B12" w:rsidRPr="000205AF">
        <w:t xml:space="preserve"> Agreement </w:t>
      </w:r>
      <w:r w:rsidRPr="000205AF">
        <w:t>have been achieved.</w:t>
      </w:r>
    </w:p>
    <w:p w14:paraId="1DC479FF" w14:textId="1CE36B4B" w:rsidR="00C0388C" w:rsidRPr="000F7757" w:rsidRDefault="000F7757" w:rsidP="00A41994">
      <w:pPr>
        <w:pStyle w:val="Normalnumbered"/>
        <w:numPr>
          <w:ilvl w:val="0"/>
          <w:numId w:val="9"/>
        </w:numPr>
        <w:jc w:val="left"/>
      </w:pPr>
      <w:r w:rsidRPr="000F7757">
        <w:t xml:space="preserve">Respective </w:t>
      </w:r>
      <w:r w:rsidR="00C0388C" w:rsidRPr="000F7757">
        <w:t xml:space="preserve">State and Territory </w:t>
      </w:r>
      <w:r w:rsidR="006E1D8C" w:rsidRPr="000F7757">
        <w:t>M</w:t>
      </w:r>
      <w:r w:rsidR="00C0388C" w:rsidRPr="000F7757">
        <w:t xml:space="preserve">inisters </w:t>
      </w:r>
      <w:r w:rsidRPr="006B0F32">
        <w:t xml:space="preserve">with portfolio responsibility for housing and homelessness </w:t>
      </w:r>
      <w:r w:rsidR="00C0388C" w:rsidRPr="000F7757">
        <w:t xml:space="preserve">are authorised to agree and amend </w:t>
      </w:r>
      <w:r w:rsidR="007B073F" w:rsidRPr="000F7757">
        <w:t>schedule</w:t>
      </w:r>
      <w:r w:rsidR="00830009" w:rsidRPr="000F7757">
        <w:t>s</w:t>
      </w:r>
      <w:r w:rsidR="00360AEB" w:rsidRPr="000F7757">
        <w:t xml:space="preserve"> </w:t>
      </w:r>
      <w:r w:rsidR="00C0388C" w:rsidRPr="000F7757">
        <w:t>to this Agreement.</w:t>
      </w:r>
    </w:p>
    <w:p w14:paraId="1588E915" w14:textId="5B97CE99" w:rsidR="009526E4" w:rsidRPr="00EF45D2" w:rsidRDefault="009526E4" w:rsidP="00A41994">
      <w:pPr>
        <w:pStyle w:val="Normalnumbered"/>
        <w:numPr>
          <w:ilvl w:val="0"/>
          <w:numId w:val="9"/>
        </w:numPr>
        <w:jc w:val="left"/>
      </w:pPr>
      <w:r w:rsidRPr="000F7757">
        <w:t xml:space="preserve">The </w:t>
      </w:r>
      <w:r w:rsidR="000F7757" w:rsidRPr="000F7757">
        <w:t xml:space="preserve">relevant </w:t>
      </w:r>
      <w:r w:rsidRPr="000F7757">
        <w:t>Commonwealth Minister may</w:t>
      </w:r>
      <w:r w:rsidR="003B1AB5" w:rsidRPr="000F7757">
        <w:t xml:space="preserve">, </w:t>
      </w:r>
      <w:r w:rsidR="003B1AB5" w:rsidRPr="006B0F32">
        <w:t>in consultation with the Commonwealth Treasurer</w:t>
      </w:r>
      <w:r w:rsidR="003B1AB5" w:rsidRPr="000F7757">
        <w:t>,</w:t>
      </w:r>
      <w:r w:rsidRPr="000F7757">
        <w:t xml:space="preserve"> delegate the assessment of </w:t>
      </w:r>
      <w:r w:rsidR="00F0459C" w:rsidRPr="006B0F32">
        <w:t xml:space="preserve">delivery </w:t>
      </w:r>
      <w:r w:rsidR="00115A97" w:rsidRPr="000205AF">
        <w:t>against</w:t>
      </w:r>
      <w:r w:rsidR="00C0388C" w:rsidRPr="000205AF">
        <w:t xml:space="preserve"> </w:t>
      </w:r>
      <w:r w:rsidR="00903A3C" w:rsidRPr="000205AF">
        <w:t>outputs</w:t>
      </w:r>
      <w:r w:rsidRPr="000205AF">
        <w:t xml:space="preserve"> and the authorisation of related payments to senior Commonwealth</w:t>
      </w:r>
      <w:r w:rsidRPr="00EF45D2">
        <w:t xml:space="preserve"> officials, having regard to the financial and policy risks associated with those payments.</w:t>
      </w:r>
    </w:p>
    <w:p w14:paraId="40627C02" w14:textId="77777777" w:rsidR="0036119D" w:rsidRPr="00EF45D2" w:rsidRDefault="0036119D" w:rsidP="0036119D">
      <w:pPr>
        <w:pStyle w:val="Heading2"/>
      </w:pPr>
      <w:r w:rsidRPr="00EF45D2">
        <w:t>Dispute resolution</w:t>
      </w:r>
    </w:p>
    <w:p w14:paraId="1D3C271B" w14:textId="77777777" w:rsidR="0036119D" w:rsidRPr="00EF45D2" w:rsidRDefault="0036119D" w:rsidP="00A41994">
      <w:pPr>
        <w:pStyle w:val="Normalnumbered"/>
        <w:numPr>
          <w:ilvl w:val="0"/>
          <w:numId w:val="9"/>
        </w:numPr>
        <w:jc w:val="left"/>
      </w:pPr>
      <w:r w:rsidRPr="00EF45D2">
        <w:t>Any</w:t>
      </w:r>
      <w:r w:rsidR="00532161" w:rsidRPr="00EF45D2">
        <w:t xml:space="preserve"> </w:t>
      </w:r>
      <w:r w:rsidRPr="00EF45D2">
        <w:t>Party may give notice to other Parties</w:t>
      </w:r>
      <w:r w:rsidR="00532161" w:rsidRPr="00EF45D2">
        <w:t xml:space="preserve"> </w:t>
      </w:r>
      <w:r w:rsidRPr="00EF45D2">
        <w:t>of a dispute under this Agreement.</w:t>
      </w:r>
    </w:p>
    <w:p w14:paraId="27B4EA23" w14:textId="77777777" w:rsidR="0036119D" w:rsidRPr="00EF45D2" w:rsidRDefault="0036119D">
      <w:pPr>
        <w:pStyle w:val="Normalnumbered"/>
        <w:numPr>
          <w:ilvl w:val="0"/>
          <w:numId w:val="9"/>
        </w:numPr>
        <w:jc w:val="left"/>
      </w:pPr>
      <w:r w:rsidRPr="00EF45D2">
        <w:t>Officials of relevant</w:t>
      </w:r>
      <w:r w:rsidR="002B1C50" w:rsidRPr="00EF45D2">
        <w:rPr>
          <w:i/>
        </w:rPr>
        <w:t xml:space="preserve"> </w:t>
      </w:r>
      <w:r w:rsidRPr="00EF45D2">
        <w:t>Parties will attempt to resolve any dispute in the first instance.</w:t>
      </w:r>
    </w:p>
    <w:p w14:paraId="03DCF656" w14:textId="7B007142" w:rsidR="000A4AF0" w:rsidRPr="009E78AD" w:rsidRDefault="0036119D" w:rsidP="000A4AF0">
      <w:pPr>
        <w:pStyle w:val="Normalnumbered"/>
        <w:numPr>
          <w:ilvl w:val="0"/>
          <w:numId w:val="9"/>
        </w:numPr>
        <w:jc w:val="left"/>
      </w:pPr>
      <w:r w:rsidRPr="00EF45D2">
        <w:t xml:space="preserve">If a dispute cannot be resolved by officials, </w:t>
      </w:r>
      <w:r w:rsidR="003F260B">
        <w:t>the matter</w:t>
      </w:r>
      <w:r w:rsidR="003F260B" w:rsidRPr="00EF45D2">
        <w:t xml:space="preserve"> </w:t>
      </w:r>
      <w:r w:rsidRPr="00EF45D2">
        <w:t xml:space="preserve">may be </w:t>
      </w:r>
      <w:r w:rsidRPr="009E78AD">
        <w:t>escalated to the relevant Ministers.</w:t>
      </w:r>
    </w:p>
    <w:p w14:paraId="7D3E6721" w14:textId="1C3066FD" w:rsidR="000A4AF0" w:rsidRDefault="000A4AF0" w:rsidP="0055250E">
      <w:pPr>
        <w:pStyle w:val="Heading2"/>
      </w:pPr>
      <w:r>
        <w:lastRenderedPageBreak/>
        <w:t>Interpretation</w:t>
      </w:r>
    </w:p>
    <w:p w14:paraId="3662D22D" w14:textId="16BF8EC4" w:rsidR="00E90483" w:rsidRPr="006B0F32" w:rsidRDefault="00E90483" w:rsidP="0055250E">
      <w:pPr>
        <w:pStyle w:val="FootnoteText"/>
        <w:numPr>
          <w:ilvl w:val="0"/>
          <w:numId w:val="9"/>
        </w:numPr>
        <w:tabs>
          <w:tab w:val="clear" w:pos="284"/>
          <w:tab w:val="left" w:pos="142"/>
        </w:tabs>
        <w:spacing w:after="240"/>
        <w:rPr>
          <w:color w:val="auto"/>
          <w:sz w:val="23"/>
        </w:rPr>
      </w:pPr>
      <w:r>
        <w:rPr>
          <w:sz w:val="23"/>
        </w:rPr>
        <w:t xml:space="preserve">For the </w:t>
      </w:r>
      <w:r w:rsidRPr="006B0F32">
        <w:rPr>
          <w:color w:val="auto"/>
          <w:sz w:val="23"/>
        </w:rPr>
        <w:t>purposes of this Agreement</w:t>
      </w:r>
    </w:p>
    <w:p w14:paraId="121EE5F1" w14:textId="1036138D" w:rsidR="004456D6" w:rsidRPr="006B0F32" w:rsidRDefault="004456D6" w:rsidP="004456D6">
      <w:pPr>
        <w:pStyle w:val="Normalnumbered"/>
        <w:numPr>
          <w:ilvl w:val="1"/>
          <w:numId w:val="9"/>
        </w:numPr>
        <w:tabs>
          <w:tab w:val="clear" w:pos="1440"/>
          <w:tab w:val="num" w:pos="1134"/>
        </w:tabs>
        <w:ind w:left="1134" w:hanging="567"/>
        <w:jc w:val="left"/>
        <w:rPr>
          <w:color w:val="auto"/>
        </w:rPr>
      </w:pPr>
      <w:r w:rsidRPr="006B0F32">
        <w:rPr>
          <w:b/>
          <w:color w:val="auto"/>
        </w:rPr>
        <w:t xml:space="preserve">Housing spectrum </w:t>
      </w:r>
      <w:r w:rsidRPr="006B0F32">
        <w:rPr>
          <w:color w:val="auto"/>
        </w:rPr>
        <w:t xml:space="preserve">refers to a range of housing tenures: home ownership, private rental market, affordable rental (sub-market, usually community housing), public housing (government provided), crisis accommodation and homelessness. The concept assumes that some people may move up and down the </w:t>
      </w:r>
      <w:r w:rsidR="00AE7557" w:rsidRPr="006B0F32">
        <w:rPr>
          <w:color w:val="auto"/>
        </w:rPr>
        <w:t>spectrum</w:t>
      </w:r>
      <w:r w:rsidRPr="006B0F32">
        <w:rPr>
          <w:color w:val="auto"/>
        </w:rPr>
        <w:t xml:space="preserve"> and that the level of support required (and provided) by governments varies significantly across the spectrum. </w:t>
      </w:r>
    </w:p>
    <w:p w14:paraId="36FD0133" w14:textId="4BFEA1C7" w:rsidR="004456D6" w:rsidRPr="006B0F32" w:rsidRDefault="004456D6" w:rsidP="004456D6">
      <w:pPr>
        <w:pStyle w:val="Normalnumbered"/>
        <w:numPr>
          <w:ilvl w:val="1"/>
          <w:numId w:val="9"/>
        </w:numPr>
        <w:tabs>
          <w:tab w:val="clear" w:pos="1440"/>
          <w:tab w:val="num" w:pos="1134"/>
        </w:tabs>
        <w:ind w:left="1134" w:hanging="567"/>
        <w:jc w:val="left"/>
        <w:rPr>
          <w:color w:val="auto"/>
        </w:rPr>
      </w:pPr>
      <w:r w:rsidRPr="006B0F32">
        <w:rPr>
          <w:b/>
          <w:color w:val="auto"/>
        </w:rPr>
        <w:t>Housing priority policy areas</w:t>
      </w:r>
      <w:r w:rsidRPr="006B0F32">
        <w:rPr>
          <w:color w:val="auto"/>
        </w:rPr>
        <w:t xml:space="preserve"> set out in </w:t>
      </w:r>
      <w:r w:rsidR="00314BC3" w:rsidRPr="006B0F32">
        <w:rPr>
          <w:color w:val="auto"/>
        </w:rPr>
        <w:t xml:space="preserve">Schedule </w:t>
      </w:r>
      <w:r w:rsidRPr="006B0F32">
        <w:rPr>
          <w:color w:val="auto"/>
        </w:rPr>
        <w:t xml:space="preserve">A are agreed national priorities which collectively contribute to achieving national outcomes. States may nominate additional areas of focus in their bilateral schedule. </w:t>
      </w:r>
    </w:p>
    <w:p w14:paraId="68FC2853" w14:textId="1681E7EA" w:rsidR="00624D23" w:rsidRPr="00314BC3" w:rsidRDefault="00624D23" w:rsidP="004456D6">
      <w:pPr>
        <w:pStyle w:val="Normalnumbered"/>
        <w:numPr>
          <w:ilvl w:val="1"/>
          <w:numId w:val="9"/>
        </w:numPr>
        <w:tabs>
          <w:tab w:val="clear" w:pos="1440"/>
          <w:tab w:val="num" w:pos="1134"/>
        </w:tabs>
        <w:ind w:left="1134" w:hanging="567"/>
        <w:jc w:val="left"/>
      </w:pPr>
      <w:r w:rsidRPr="006B0F32">
        <w:rPr>
          <w:b/>
          <w:color w:val="auto"/>
        </w:rPr>
        <w:t xml:space="preserve">Homelessness </w:t>
      </w:r>
      <w:r w:rsidR="003220CA" w:rsidRPr="006B0F32">
        <w:rPr>
          <w:b/>
          <w:color w:val="auto"/>
        </w:rPr>
        <w:t>p</w:t>
      </w:r>
      <w:r w:rsidRPr="006B0F32">
        <w:rPr>
          <w:b/>
          <w:color w:val="auto"/>
        </w:rPr>
        <w:t xml:space="preserve">riority </w:t>
      </w:r>
      <w:r w:rsidR="003220CA" w:rsidRPr="006B0F32">
        <w:rPr>
          <w:b/>
          <w:color w:val="auto"/>
        </w:rPr>
        <w:t>p</w:t>
      </w:r>
      <w:r w:rsidRPr="006B0F32">
        <w:rPr>
          <w:b/>
          <w:color w:val="auto"/>
        </w:rPr>
        <w:t xml:space="preserve">olicy </w:t>
      </w:r>
      <w:r w:rsidR="003220CA" w:rsidRPr="006B0F32">
        <w:rPr>
          <w:b/>
          <w:color w:val="auto"/>
        </w:rPr>
        <w:t>r</w:t>
      </w:r>
      <w:r w:rsidRPr="006B0F32">
        <w:rPr>
          <w:b/>
          <w:color w:val="auto"/>
        </w:rPr>
        <w:t xml:space="preserve">eform </w:t>
      </w:r>
      <w:r w:rsidR="003220CA" w:rsidRPr="006B0F32">
        <w:rPr>
          <w:b/>
          <w:color w:val="auto"/>
        </w:rPr>
        <w:t>a</w:t>
      </w:r>
      <w:r w:rsidRPr="006B0F32">
        <w:rPr>
          <w:b/>
          <w:color w:val="auto"/>
        </w:rPr>
        <w:t>reas</w:t>
      </w:r>
      <w:r w:rsidRPr="006B0F32">
        <w:rPr>
          <w:color w:val="auto"/>
        </w:rPr>
        <w:t xml:space="preserve"> set out in </w:t>
      </w:r>
      <w:r w:rsidR="007B073F" w:rsidRPr="006B0F32">
        <w:rPr>
          <w:color w:val="auto"/>
        </w:rPr>
        <w:t>Schedule</w:t>
      </w:r>
      <w:r w:rsidRPr="006B0F32">
        <w:rPr>
          <w:color w:val="auto"/>
        </w:rPr>
        <w:t xml:space="preserve"> </w:t>
      </w:r>
      <w:r w:rsidR="00153A82" w:rsidRPr="006B0F32">
        <w:rPr>
          <w:color w:val="auto"/>
        </w:rPr>
        <w:t>B</w:t>
      </w:r>
      <w:r w:rsidRPr="006B0F32">
        <w:rPr>
          <w:color w:val="auto"/>
        </w:rPr>
        <w:t xml:space="preserve"> are agreed national priorities for reform which contribute </w:t>
      </w:r>
      <w:r w:rsidRPr="00314BC3">
        <w:t>to achieving national outcomes.</w:t>
      </w:r>
      <w:r w:rsidR="001677E6" w:rsidRPr="00314BC3">
        <w:t xml:space="preserve"> States may nominate additional areas for inclusion in their bilateral </w:t>
      </w:r>
      <w:r w:rsidR="007B073F" w:rsidRPr="009E22CB">
        <w:t>schedule</w:t>
      </w:r>
      <w:r w:rsidR="001677E6" w:rsidRPr="00314BC3">
        <w:t xml:space="preserve">s. </w:t>
      </w:r>
      <w:r w:rsidRPr="00314BC3">
        <w:t xml:space="preserve"> </w:t>
      </w:r>
    </w:p>
    <w:p w14:paraId="0DA94490" w14:textId="7F90EB6A" w:rsidR="00700192" w:rsidRDefault="00BC4D6A" w:rsidP="009D6AF2">
      <w:pPr>
        <w:pStyle w:val="Normalnumbered"/>
        <w:numPr>
          <w:ilvl w:val="1"/>
          <w:numId w:val="9"/>
        </w:numPr>
        <w:tabs>
          <w:tab w:val="clear" w:pos="1440"/>
          <w:tab w:val="num" w:pos="1134"/>
        </w:tabs>
        <w:spacing w:after="0" w:line="240" w:lineRule="auto"/>
        <w:ind w:left="1134" w:hanging="567"/>
        <w:jc w:val="left"/>
      </w:pPr>
      <w:r w:rsidRPr="00314BC3">
        <w:rPr>
          <w:b/>
        </w:rPr>
        <w:t xml:space="preserve">Priority </w:t>
      </w:r>
      <w:r w:rsidR="003220CA" w:rsidRPr="00314BC3">
        <w:rPr>
          <w:b/>
        </w:rPr>
        <w:t>h</w:t>
      </w:r>
      <w:r w:rsidRPr="00314BC3">
        <w:rPr>
          <w:b/>
        </w:rPr>
        <w:t xml:space="preserve">omelessness </w:t>
      </w:r>
      <w:r w:rsidR="003220CA" w:rsidRPr="00314BC3">
        <w:rPr>
          <w:b/>
        </w:rPr>
        <w:t>c</w:t>
      </w:r>
      <w:r w:rsidRPr="00314BC3">
        <w:rPr>
          <w:b/>
        </w:rPr>
        <w:t>ohorts</w:t>
      </w:r>
      <w:r w:rsidRPr="00314BC3">
        <w:t xml:space="preserve"> set out in </w:t>
      </w:r>
      <w:r w:rsidR="007B073F" w:rsidRPr="009E22CB">
        <w:t>Schedule</w:t>
      </w:r>
      <w:r w:rsidRPr="00314BC3">
        <w:t xml:space="preserve"> </w:t>
      </w:r>
      <w:r w:rsidR="00E702E2" w:rsidRPr="00314BC3">
        <w:t>B</w:t>
      </w:r>
      <w:r w:rsidRPr="00314BC3">
        <w:t xml:space="preserve"> are agreed national priorities which collectively contribute to achieving national outcomes. States may nominate additional priority cohorts for inclusion in their </w:t>
      </w:r>
      <w:r w:rsidRPr="00895FF0">
        <w:t xml:space="preserve">bilateral </w:t>
      </w:r>
      <w:r w:rsidR="007B073F" w:rsidRPr="009E22CB">
        <w:t>schedule</w:t>
      </w:r>
      <w:r w:rsidRPr="00314BC3">
        <w:t>s.</w:t>
      </w:r>
      <w:r w:rsidR="00700192">
        <w:br w:type="page"/>
      </w:r>
    </w:p>
    <w:p w14:paraId="789F98EF" w14:textId="77777777" w:rsidR="00814667" w:rsidRPr="00EF45D2" w:rsidRDefault="00814667">
      <w:pPr>
        <w:rPr>
          <w:lang w:val="en-GB"/>
        </w:rPr>
      </w:pPr>
      <w:r w:rsidRPr="00EF45D2">
        <w:rPr>
          <w:lang w:val="en-GB"/>
        </w:rPr>
        <w:lastRenderedPageBreak/>
        <w:t xml:space="preserve">The </w:t>
      </w:r>
      <w:r w:rsidRPr="00EF45D2">
        <w:rPr>
          <w:sz w:val="24"/>
          <w:szCs w:val="24"/>
        </w:rPr>
        <w:t>Parties</w:t>
      </w:r>
      <w:r w:rsidRPr="00EF45D2">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814667" w:rsidRPr="00EF45D2" w14:paraId="5D5C590D" w14:textId="77777777">
        <w:trPr>
          <w:cantSplit/>
          <w:jc w:val="center"/>
        </w:trPr>
        <w:tc>
          <w:tcPr>
            <w:tcW w:w="4536" w:type="dxa"/>
          </w:tcPr>
          <w:p w14:paraId="1DBAFC71" w14:textId="77777777" w:rsidR="00814667" w:rsidRPr="00EF45D2" w:rsidRDefault="00814667">
            <w:pPr>
              <w:pStyle w:val="Signed"/>
            </w:pPr>
            <w:r w:rsidRPr="00EF45D2">
              <w:rPr>
                <w:rStyle w:val="SignedBold"/>
              </w:rPr>
              <w:t>Signed</w:t>
            </w:r>
            <w:r w:rsidRPr="00EF45D2">
              <w:t xml:space="preserve"> for and on behalf of the Commonwealth of Australia by</w:t>
            </w:r>
          </w:p>
          <w:p w14:paraId="29733905" w14:textId="77777777" w:rsidR="00814667" w:rsidRPr="00EF45D2" w:rsidRDefault="00814667">
            <w:pPr>
              <w:pStyle w:val="LineForSignature"/>
            </w:pPr>
            <w:r w:rsidRPr="00EF45D2">
              <w:tab/>
            </w:r>
          </w:p>
          <w:p w14:paraId="445F309C" w14:textId="3776EF6F" w:rsidR="00814667" w:rsidRPr="00EF45D2" w:rsidRDefault="00814667">
            <w:pPr>
              <w:pStyle w:val="SingleParagraph"/>
              <w:rPr>
                <w:rStyle w:val="Bold"/>
              </w:rPr>
            </w:pPr>
            <w:r w:rsidRPr="00EF45D2">
              <w:rPr>
                <w:rStyle w:val="Bold"/>
              </w:rPr>
              <w:t xml:space="preserve">The Honourable </w:t>
            </w:r>
            <w:r w:rsidR="00126B85" w:rsidRPr="00126B85">
              <w:rPr>
                <w:rStyle w:val="Bold"/>
              </w:rPr>
              <w:t>Malcolm Turnbull</w:t>
            </w:r>
            <w:r w:rsidR="0099742A" w:rsidRPr="00EF45D2">
              <w:rPr>
                <w:rStyle w:val="Bold"/>
              </w:rPr>
              <w:t xml:space="preserve"> </w:t>
            </w:r>
            <w:r w:rsidRPr="00EF45D2">
              <w:rPr>
                <w:rStyle w:val="Bold"/>
              </w:rPr>
              <w:t>MP</w:t>
            </w:r>
          </w:p>
          <w:p w14:paraId="12D8A891" w14:textId="6F9D0EF0" w:rsidR="00814667" w:rsidRPr="00EF45D2" w:rsidRDefault="00421EB2">
            <w:pPr>
              <w:pStyle w:val="Position"/>
              <w:rPr>
                <w:lang w:val="en-GB"/>
              </w:rPr>
            </w:pPr>
            <w:r>
              <w:rPr>
                <w:lang w:val="en-GB"/>
              </w:rPr>
              <w:t xml:space="preserve">Prime </w:t>
            </w:r>
            <w:r w:rsidR="0099742A" w:rsidRPr="00EF45D2">
              <w:rPr>
                <w:lang w:val="en-GB"/>
              </w:rPr>
              <w:t xml:space="preserve">Minister </w:t>
            </w:r>
          </w:p>
          <w:p w14:paraId="1CC778A0" w14:textId="77777777" w:rsidR="00814667" w:rsidRPr="00EF45D2" w:rsidRDefault="006679C0">
            <w:pPr>
              <w:pStyle w:val="SingleParagraph"/>
              <w:tabs>
                <w:tab w:val="num" w:pos="1134"/>
              </w:tabs>
              <w:spacing w:after="240"/>
              <w:ind w:left="1134" w:hanging="567"/>
              <w:rPr>
                <w:b/>
                <w:lang w:val="en-GB"/>
              </w:rPr>
            </w:pPr>
            <w:r w:rsidRPr="00EF45D2">
              <w:rPr>
                <w:lang w:val="en-GB"/>
              </w:rPr>
              <w:t>[Day]  [</w:t>
            </w:r>
            <w:r w:rsidR="001B1CA3" w:rsidRPr="00EF45D2">
              <w:rPr>
                <w:lang w:val="en-GB"/>
              </w:rPr>
              <w:t>Month</w:t>
            </w:r>
            <w:r w:rsidRPr="00EF45D2">
              <w:rPr>
                <w:lang w:val="en-GB"/>
              </w:rPr>
              <w:t>]</w:t>
            </w:r>
            <w:r w:rsidR="001B1CA3" w:rsidRPr="00EF45D2">
              <w:rPr>
                <w:lang w:val="en-GB"/>
              </w:rPr>
              <w:t xml:space="preserve"> </w:t>
            </w:r>
            <w:r w:rsidRPr="00EF45D2">
              <w:rPr>
                <w:lang w:val="en-GB"/>
              </w:rPr>
              <w:t xml:space="preserve"> [Year]</w:t>
            </w:r>
          </w:p>
        </w:tc>
        <w:tc>
          <w:tcPr>
            <w:tcW w:w="284" w:type="dxa"/>
            <w:tcMar>
              <w:left w:w="0" w:type="dxa"/>
              <w:right w:w="0" w:type="dxa"/>
            </w:tcMar>
          </w:tcPr>
          <w:p w14:paraId="2B6B6393" w14:textId="77777777" w:rsidR="00814667" w:rsidRPr="00EF45D2" w:rsidRDefault="00814667">
            <w:pPr>
              <w:rPr>
                <w:rFonts w:ascii="Book Antiqua" w:hAnsi="Book Antiqua"/>
                <w:lang w:val="en-GB"/>
              </w:rPr>
            </w:pPr>
          </w:p>
        </w:tc>
        <w:tc>
          <w:tcPr>
            <w:tcW w:w="4536" w:type="dxa"/>
          </w:tcPr>
          <w:p w14:paraId="51D7C2E3" w14:textId="77777777" w:rsidR="00814667" w:rsidRPr="00EF45D2" w:rsidRDefault="00814667">
            <w:pPr>
              <w:rPr>
                <w:rFonts w:ascii="Book Antiqua" w:hAnsi="Book Antiqua"/>
                <w:lang w:val="en-GB"/>
              </w:rPr>
            </w:pPr>
          </w:p>
        </w:tc>
      </w:tr>
      <w:tr w:rsidR="00814667" w:rsidRPr="00EF45D2" w14:paraId="43483211" w14:textId="77777777">
        <w:trPr>
          <w:cantSplit/>
          <w:jc w:val="center"/>
        </w:trPr>
        <w:tc>
          <w:tcPr>
            <w:tcW w:w="4536" w:type="dxa"/>
          </w:tcPr>
          <w:p w14:paraId="3AD138B7" w14:textId="77777777" w:rsidR="00814667" w:rsidRPr="00EF45D2" w:rsidRDefault="00814667">
            <w:pPr>
              <w:pStyle w:val="SingleParagraph"/>
              <w:rPr>
                <w:rFonts w:ascii="Book Antiqua" w:hAnsi="Book Antiqua"/>
                <w:lang w:val="en-GB"/>
              </w:rPr>
            </w:pPr>
          </w:p>
        </w:tc>
        <w:tc>
          <w:tcPr>
            <w:tcW w:w="284" w:type="dxa"/>
            <w:tcMar>
              <w:left w:w="0" w:type="dxa"/>
              <w:right w:w="0" w:type="dxa"/>
            </w:tcMar>
          </w:tcPr>
          <w:p w14:paraId="07799B07" w14:textId="77777777" w:rsidR="00814667" w:rsidRPr="00EF45D2" w:rsidRDefault="00814667">
            <w:pPr>
              <w:pStyle w:val="SingleParagraph"/>
              <w:rPr>
                <w:rFonts w:ascii="Book Antiqua" w:hAnsi="Book Antiqua"/>
                <w:lang w:val="en-GB"/>
              </w:rPr>
            </w:pPr>
          </w:p>
        </w:tc>
        <w:tc>
          <w:tcPr>
            <w:tcW w:w="4536" w:type="dxa"/>
          </w:tcPr>
          <w:p w14:paraId="5F3D0726" w14:textId="77777777" w:rsidR="00814667" w:rsidRPr="00EF45D2" w:rsidRDefault="00814667">
            <w:pPr>
              <w:pStyle w:val="SingleParagraph"/>
              <w:rPr>
                <w:rFonts w:ascii="Book Antiqua" w:hAnsi="Book Antiqua"/>
                <w:lang w:val="en-GB"/>
              </w:rPr>
            </w:pPr>
          </w:p>
        </w:tc>
      </w:tr>
      <w:tr w:rsidR="00814667" w:rsidRPr="00EF45D2" w14:paraId="56C37465" w14:textId="77777777">
        <w:trPr>
          <w:cantSplit/>
          <w:jc w:val="center"/>
        </w:trPr>
        <w:tc>
          <w:tcPr>
            <w:tcW w:w="4536" w:type="dxa"/>
          </w:tcPr>
          <w:p w14:paraId="43B59A48" w14:textId="77777777" w:rsidR="00814667" w:rsidRPr="00EF45D2" w:rsidRDefault="00814667">
            <w:pPr>
              <w:pStyle w:val="Signed"/>
            </w:pPr>
            <w:r w:rsidRPr="00EF45D2">
              <w:rPr>
                <w:rStyle w:val="SignedBold"/>
              </w:rPr>
              <w:t>Signed</w:t>
            </w:r>
            <w:r w:rsidRPr="00EF45D2">
              <w:t xml:space="preserve"> for and on behalf of the </w:t>
            </w:r>
            <w:r w:rsidRPr="00EF45D2">
              <w:br/>
              <w:t>State of New South Wales by</w:t>
            </w:r>
          </w:p>
          <w:p w14:paraId="28EC8969" w14:textId="77777777" w:rsidR="00814667" w:rsidRPr="00EF45D2" w:rsidRDefault="00814667">
            <w:pPr>
              <w:pStyle w:val="LineForSignature"/>
            </w:pPr>
            <w:r w:rsidRPr="00EF45D2">
              <w:tab/>
            </w:r>
          </w:p>
          <w:p w14:paraId="15603F0A" w14:textId="60550CC9" w:rsidR="00814667" w:rsidRPr="00EF45D2" w:rsidRDefault="00814667">
            <w:pPr>
              <w:pStyle w:val="SingleParagraph"/>
              <w:rPr>
                <w:rStyle w:val="Bold"/>
              </w:rPr>
            </w:pPr>
            <w:r w:rsidRPr="00EF45D2">
              <w:rPr>
                <w:rStyle w:val="Bold"/>
              </w:rPr>
              <w:t xml:space="preserve">The Honourable </w:t>
            </w:r>
            <w:r w:rsidR="00126B85" w:rsidRPr="00126B85">
              <w:rPr>
                <w:rStyle w:val="Bold"/>
              </w:rPr>
              <w:t>Gladys Berejiklian</w:t>
            </w:r>
            <w:r w:rsidR="0099742A" w:rsidRPr="00EF45D2">
              <w:rPr>
                <w:rStyle w:val="Bold"/>
              </w:rPr>
              <w:t xml:space="preserve"> </w:t>
            </w:r>
            <w:r w:rsidRPr="00EF45D2">
              <w:rPr>
                <w:rStyle w:val="Bold"/>
              </w:rPr>
              <w:t>MP</w:t>
            </w:r>
          </w:p>
          <w:p w14:paraId="285F1776" w14:textId="7752FC27" w:rsidR="00542A8C" w:rsidRPr="00EF45D2" w:rsidRDefault="00421EB2" w:rsidP="00542A8C">
            <w:pPr>
              <w:pStyle w:val="Position"/>
              <w:rPr>
                <w:lang w:val="en-GB"/>
              </w:rPr>
            </w:pPr>
            <w:r>
              <w:rPr>
                <w:lang w:val="en-GB"/>
              </w:rPr>
              <w:t>Premier</w:t>
            </w:r>
            <w:r w:rsidR="00542A8C" w:rsidRPr="00EF45D2">
              <w:rPr>
                <w:lang w:val="en-GB"/>
              </w:rPr>
              <w:t xml:space="preserve"> </w:t>
            </w:r>
          </w:p>
          <w:p w14:paraId="6313BF84" w14:textId="77777777" w:rsidR="00814667" w:rsidRPr="00EF45D2" w:rsidRDefault="00542A8C">
            <w:pPr>
              <w:pStyle w:val="SingleParagraph"/>
              <w:tabs>
                <w:tab w:val="num" w:pos="1134"/>
              </w:tabs>
              <w:spacing w:after="240"/>
              <w:ind w:left="1134" w:hanging="567"/>
              <w:rPr>
                <w:szCs w:val="22"/>
                <w:lang w:val="en-GB"/>
              </w:rPr>
            </w:pPr>
            <w:r w:rsidRPr="00EF45D2" w:rsidDel="00542A8C">
              <w:rPr>
                <w:bCs/>
                <w:lang w:val="en-GB"/>
              </w:rPr>
              <w:t xml:space="preserve"> </w:t>
            </w:r>
            <w:r w:rsidR="006679C0" w:rsidRPr="00EF45D2">
              <w:rPr>
                <w:lang w:val="en-GB"/>
              </w:rPr>
              <w:t>[Day]  [Month]  [Year]</w:t>
            </w:r>
          </w:p>
        </w:tc>
        <w:tc>
          <w:tcPr>
            <w:tcW w:w="284" w:type="dxa"/>
            <w:tcMar>
              <w:left w:w="0" w:type="dxa"/>
              <w:right w:w="0" w:type="dxa"/>
            </w:tcMar>
          </w:tcPr>
          <w:p w14:paraId="07A706E5" w14:textId="77777777" w:rsidR="00814667" w:rsidRPr="00EF45D2" w:rsidRDefault="00814667">
            <w:pPr>
              <w:rPr>
                <w:rFonts w:ascii="Book Antiqua" w:hAnsi="Book Antiqua"/>
                <w:lang w:val="en-GB"/>
              </w:rPr>
            </w:pPr>
          </w:p>
        </w:tc>
        <w:tc>
          <w:tcPr>
            <w:tcW w:w="4536" w:type="dxa"/>
          </w:tcPr>
          <w:p w14:paraId="2DC02DCC" w14:textId="77777777" w:rsidR="00814667" w:rsidRPr="00EF45D2" w:rsidRDefault="00814667">
            <w:pPr>
              <w:pStyle w:val="Signed"/>
            </w:pPr>
            <w:r w:rsidRPr="00EF45D2">
              <w:rPr>
                <w:rStyle w:val="SignedBold"/>
              </w:rPr>
              <w:t>Signed</w:t>
            </w:r>
            <w:r w:rsidRPr="00EF45D2">
              <w:t xml:space="preserve"> for and on behalf of the</w:t>
            </w:r>
            <w:r w:rsidRPr="00EF45D2">
              <w:br/>
              <w:t>State of Victoria by</w:t>
            </w:r>
          </w:p>
          <w:p w14:paraId="40A9C433" w14:textId="77777777" w:rsidR="00814667" w:rsidRPr="00EF45D2" w:rsidRDefault="00814667">
            <w:pPr>
              <w:pStyle w:val="LineForSignature"/>
            </w:pPr>
            <w:r w:rsidRPr="00EF45D2">
              <w:tab/>
            </w:r>
          </w:p>
          <w:p w14:paraId="4BD8B13E" w14:textId="5691D5FD" w:rsidR="00814667" w:rsidRPr="00EF45D2" w:rsidRDefault="00814667">
            <w:pPr>
              <w:pStyle w:val="SingleParagraph"/>
              <w:rPr>
                <w:rStyle w:val="Bold"/>
              </w:rPr>
            </w:pPr>
            <w:r w:rsidRPr="00EF45D2">
              <w:rPr>
                <w:rStyle w:val="Bold"/>
              </w:rPr>
              <w:t xml:space="preserve">The Honourable </w:t>
            </w:r>
            <w:r w:rsidR="00126B85" w:rsidRPr="00126B85">
              <w:rPr>
                <w:rStyle w:val="Bold"/>
              </w:rPr>
              <w:t>Daniel Andrews</w:t>
            </w:r>
            <w:r w:rsidR="0099742A" w:rsidRPr="00EF45D2">
              <w:rPr>
                <w:rStyle w:val="Bold"/>
              </w:rPr>
              <w:t xml:space="preserve"> </w:t>
            </w:r>
            <w:r w:rsidRPr="00EF45D2">
              <w:rPr>
                <w:rStyle w:val="Bold"/>
              </w:rPr>
              <w:t>MP</w:t>
            </w:r>
          </w:p>
          <w:p w14:paraId="531473C2" w14:textId="45A064D2" w:rsidR="00542A8C" w:rsidRPr="00EF45D2" w:rsidRDefault="00421EB2" w:rsidP="00542A8C">
            <w:pPr>
              <w:pStyle w:val="Position"/>
              <w:rPr>
                <w:lang w:val="en-GB"/>
              </w:rPr>
            </w:pPr>
            <w:r>
              <w:rPr>
                <w:lang w:val="en-GB"/>
              </w:rPr>
              <w:t>Premier</w:t>
            </w:r>
            <w:r w:rsidR="00542A8C" w:rsidRPr="00EF45D2">
              <w:rPr>
                <w:lang w:val="en-GB"/>
              </w:rPr>
              <w:t xml:space="preserve"> </w:t>
            </w:r>
          </w:p>
          <w:p w14:paraId="52A9CA51" w14:textId="77777777" w:rsidR="00814667" w:rsidRPr="00EF45D2" w:rsidRDefault="00542A8C">
            <w:pPr>
              <w:pStyle w:val="SingleParagraph"/>
              <w:tabs>
                <w:tab w:val="num" w:pos="1134"/>
              </w:tabs>
              <w:spacing w:after="240"/>
              <w:ind w:left="1134" w:hanging="567"/>
              <w:rPr>
                <w:lang w:val="en-GB"/>
              </w:rPr>
            </w:pPr>
            <w:r w:rsidRPr="00EF45D2" w:rsidDel="00542A8C">
              <w:rPr>
                <w:bCs/>
                <w:lang w:val="en-GB"/>
              </w:rPr>
              <w:t xml:space="preserve"> </w:t>
            </w:r>
            <w:r w:rsidR="006679C0" w:rsidRPr="00EF45D2">
              <w:rPr>
                <w:lang w:val="en-GB"/>
              </w:rPr>
              <w:t>[Day]  [Month]  [Year]</w:t>
            </w:r>
          </w:p>
        </w:tc>
      </w:tr>
      <w:tr w:rsidR="00814667" w:rsidRPr="00EF45D2" w14:paraId="48D6AF45" w14:textId="77777777">
        <w:trPr>
          <w:cantSplit/>
          <w:jc w:val="center"/>
        </w:trPr>
        <w:tc>
          <w:tcPr>
            <w:tcW w:w="4536" w:type="dxa"/>
          </w:tcPr>
          <w:p w14:paraId="235520E8" w14:textId="77777777" w:rsidR="00814667" w:rsidRPr="00EF45D2" w:rsidRDefault="00814667">
            <w:pPr>
              <w:pStyle w:val="SingleParagraph"/>
              <w:rPr>
                <w:rFonts w:ascii="Book Antiqua" w:hAnsi="Book Antiqua"/>
                <w:lang w:val="en-GB"/>
              </w:rPr>
            </w:pPr>
          </w:p>
        </w:tc>
        <w:tc>
          <w:tcPr>
            <w:tcW w:w="284" w:type="dxa"/>
            <w:tcMar>
              <w:left w:w="0" w:type="dxa"/>
              <w:right w:w="0" w:type="dxa"/>
            </w:tcMar>
          </w:tcPr>
          <w:p w14:paraId="13DC326F" w14:textId="77777777" w:rsidR="00814667" w:rsidRPr="00EF45D2" w:rsidRDefault="00814667">
            <w:pPr>
              <w:pStyle w:val="SingleParagraph"/>
              <w:rPr>
                <w:rFonts w:ascii="Book Antiqua" w:hAnsi="Book Antiqua"/>
                <w:lang w:val="en-GB"/>
              </w:rPr>
            </w:pPr>
          </w:p>
        </w:tc>
        <w:tc>
          <w:tcPr>
            <w:tcW w:w="4536" w:type="dxa"/>
          </w:tcPr>
          <w:p w14:paraId="0187911D" w14:textId="77777777" w:rsidR="00814667" w:rsidRPr="00EF45D2" w:rsidRDefault="00814667">
            <w:pPr>
              <w:pStyle w:val="SingleParagraph"/>
              <w:rPr>
                <w:rFonts w:ascii="Book Antiqua" w:hAnsi="Book Antiqua"/>
                <w:lang w:val="en-GB"/>
              </w:rPr>
            </w:pPr>
          </w:p>
        </w:tc>
      </w:tr>
      <w:tr w:rsidR="00814667" w:rsidRPr="00EF45D2" w14:paraId="12055337" w14:textId="77777777">
        <w:trPr>
          <w:cantSplit/>
          <w:jc w:val="center"/>
        </w:trPr>
        <w:tc>
          <w:tcPr>
            <w:tcW w:w="4536" w:type="dxa"/>
          </w:tcPr>
          <w:p w14:paraId="6F0ECA93" w14:textId="77777777" w:rsidR="00814667" w:rsidRPr="00EF45D2" w:rsidRDefault="00814667">
            <w:pPr>
              <w:pStyle w:val="Signed"/>
            </w:pPr>
            <w:r w:rsidRPr="00EF45D2">
              <w:rPr>
                <w:rStyle w:val="SignedBold"/>
              </w:rPr>
              <w:t>Signed</w:t>
            </w:r>
            <w:r w:rsidRPr="00EF45D2">
              <w:t xml:space="preserve"> for and on behalf of the</w:t>
            </w:r>
            <w:r w:rsidRPr="00EF45D2">
              <w:br/>
              <w:t>State of Queensland by</w:t>
            </w:r>
          </w:p>
          <w:p w14:paraId="257E4CE9" w14:textId="77777777" w:rsidR="00814667" w:rsidRPr="00EF45D2" w:rsidRDefault="00814667">
            <w:pPr>
              <w:pStyle w:val="LineForSignature"/>
            </w:pPr>
            <w:r w:rsidRPr="00EF45D2">
              <w:tab/>
            </w:r>
          </w:p>
          <w:p w14:paraId="79594282" w14:textId="519E8E5E" w:rsidR="00814667" w:rsidRPr="00EF45D2" w:rsidRDefault="00814667">
            <w:pPr>
              <w:pStyle w:val="SingleParagraph"/>
              <w:rPr>
                <w:b/>
              </w:rPr>
            </w:pPr>
            <w:r w:rsidRPr="00EF45D2">
              <w:rPr>
                <w:b/>
              </w:rPr>
              <w:t xml:space="preserve">The Honourable </w:t>
            </w:r>
            <w:r w:rsidR="00126B85" w:rsidRPr="00126B85">
              <w:rPr>
                <w:b/>
              </w:rPr>
              <w:t>Annastacia Palaszczuk</w:t>
            </w:r>
            <w:r w:rsidR="0099742A" w:rsidRPr="00EF45D2">
              <w:rPr>
                <w:rStyle w:val="Bold"/>
              </w:rPr>
              <w:t xml:space="preserve"> </w:t>
            </w:r>
            <w:r w:rsidRPr="00EF45D2">
              <w:rPr>
                <w:b/>
              </w:rPr>
              <w:t>MP</w:t>
            </w:r>
          </w:p>
          <w:p w14:paraId="70597A72" w14:textId="3548A17C" w:rsidR="00542A8C" w:rsidRPr="00EF45D2" w:rsidRDefault="00421EB2" w:rsidP="00542A8C">
            <w:pPr>
              <w:pStyle w:val="Position"/>
              <w:rPr>
                <w:lang w:val="en-GB"/>
              </w:rPr>
            </w:pPr>
            <w:r>
              <w:rPr>
                <w:lang w:val="en-GB"/>
              </w:rPr>
              <w:t>Premier</w:t>
            </w:r>
          </w:p>
          <w:p w14:paraId="33BB65F8" w14:textId="77777777" w:rsidR="00814667" w:rsidRPr="00EF45D2" w:rsidRDefault="00542A8C">
            <w:pPr>
              <w:pStyle w:val="SingleParagraph"/>
              <w:tabs>
                <w:tab w:val="num" w:pos="1134"/>
              </w:tabs>
              <w:spacing w:after="240"/>
              <w:ind w:left="1134" w:hanging="567"/>
              <w:rPr>
                <w:lang w:val="en-GB"/>
              </w:rPr>
            </w:pPr>
            <w:r w:rsidRPr="00EF45D2" w:rsidDel="00542A8C">
              <w:rPr>
                <w:bCs/>
                <w:lang w:val="en-GB"/>
              </w:rPr>
              <w:t xml:space="preserve"> </w:t>
            </w:r>
            <w:r w:rsidR="006679C0" w:rsidRPr="00EF45D2">
              <w:rPr>
                <w:lang w:val="en-GB"/>
              </w:rPr>
              <w:t>[Day]  [Month]  [Year]</w:t>
            </w:r>
          </w:p>
        </w:tc>
        <w:tc>
          <w:tcPr>
            <w:tcW w:w="284" w:type="dxa"/>
            <w:tcMar>
              <w:left w:w="0" w:type="dxa"/>
              <w:right w:w="0" w:type="dxa"/>
            </w:tcMar>
          </w:tcPr>
          <w:p w14:paraId="3743ACFE" w14:textId="77777777" w:rsidR="00814667" w:rsidRPr="00EF45D2" w:rsidRDefault="00814667">
            <w:pPr>
              <w:rPr>
                <w:rFonts w:ascii="Book Antiqua" w:hAnsi="Book Antiqua"/>
                <w:lang w:val="en-GB"/>
              </w:rPr>
            </w:pPr>
          </w:p>
        </w:tc>
        <w:tc>
          <w:tcPr>
            <w:tcW w:w="4536" w:type="dxa"/>
          </w:tcPr>
          <w:p w14:paraId="3A505435" w14:textId="77777777" w:rsidR="00814667" w:rsidRPr="00EF45D2" w:rsidRDefault="00814667">
            <w:pPr>
              <w:pStyle w:val="Signed"/>
            </w:pPr>
            <w:r w:rsidRPr="00EF45D2">
              <w:rPr>
                <w:rStyle w:val="SignedBold"/>
              </w:rPr>
              <w:t>Signed</w:t>
            </w:r>
            <w:r w:rsidRPr="00EF45D2">
              <w:t xml:space="preserve"> for and on behalf of the</w:t>
            </w:r>
            <w:r w:rsidRPr="00EF45D2">
              <w:br/>
              <w:t>State of Western Australia by</w:t>
            </w:r>
          </w:p>
          <w:p w14:paraId="36BB371E" w14:textId="77777777" w:rsidR="00814667" w:rsidRPr="00EF45D2" w:rsidRDefault="00814667">
            <w:pPr>
              <w:pStyle w:val="LineForSignature"/>
            </w:pPr>
            <w:r w:rsidRPr="00EF45D2">
              <w:tab/>
            </w:r>
          </w:p>
          <w:p w14:paraId="473E46C6" w14:textId="4AEF664B" w:rsidR="00814667" w:rsidRPr="00EF45D2" w:rsidRDefault="00814667">
            <w:pPr>
              <w:pStyle w:val="SingleParagraph"/>
              <w:rPr>
                <w:rStyle w:val="Bold"/>
              </w:rPr>
            </w:pPr>
            <w:r w:rsidRPr="00EF45D2">
              <w:rPr>
                <w:rStyle w:val="Bold"/>
              </w:rPr>
              <w:t xml:space="preserve">The Honourable </w:t>
            </w:r>
            <w:r w:rsidR="00126B85" w:rsidRPr="00126B85">
              <w:rPr>
                <w:rStyle w:val="Bold"/>
              </w:rPr>
              <w:t>Mark McGowan MLA</w:t>
            </w:r>
          </w:p>
          <w:p w14:paraId="3B2E01B5" w14:textId="3E67D9AE" w:rsidR="00542A8C" w:rsidRPr="00EF45D2" w:rsidRDefault="00421EB2" w:rsidP="00542A8C">
            <w:pPr>
              <w:pStyle w:val="Position"/>
              <w:rPr>
                <w:lang w:val="en-GB"/>
              </w:rPr>
            </w:pPr>
            <w:r>
              <w:rPr>
                <w:lang w:val="en-GB"/>
              </w:rPr>
              <w:t>Premier</w:t>
            </w:r>
            <w:r w:rsidR="00542A8C" w:rsidRPr="00EF45D2">
              <w:rPr>
                <w:lang w:val="en-GB"/>
              </w:rPr>
              <w:t xml:space="preserve"> </w:t>
            </w:r>
          </w:p>
          <w:p w14:paraId="6F04462E" w14:textId="77777777" w:rsidR="00814667" w:rsidRPr="00EF45D2" w:rsidRDefault="00542A8C">
            <w:pPr>
              <w:pStyle w:val="SingleParagraph"/>
              <w:tabs>
                <w:tab w:val="num" w:pos="1134"/>
              </w:tabs>
              <w:spacing w:after="240"/>
              <w:ind w:left="1134" w:hanging="567"/>
              <w:rPr>
                <w:lang w:val="en-GB"/>
              </w:rPr>
            </w:pPr>
            <w:r w:rsidRPr="00EF45D2" w:rsidDel="00542A8C">
              <w:rPr>
                <w:lang w:val="en-GB"/>
              </w:rPr>
              <w:t xml:space="preserve"> </w:t>
            </w:r>
            <w:r w:rsidR="006679C0" w:rsidRPr="00EF45D2">
              <w:rPr>
                <w:lang w:val="en-GB"/>
              </w:rPr>
              <w:t>[Day]  [Month]  [Year]</w:t>
            </w:r>
          </w:p>
        </w:tc>
      </w:tr>
      <w:tr w:rsidR="00814667" w:rsidRPr="00EF45D2" w14:paraId="5B18D36A" w14:textId="77777777">
        <w:trPr>
          <w:cantSplit/>
          <w:jc w:val="center"/>
        </w:trPr>
        <w:tc>
          <w:tcPr>
            <w:tcW w:w="4536" w:type="dxa"/>
          </w:tcPr>
          <w:p w14:paraId="71562C3C" w14:textId="77777777" w:rsidR="00814667" w:rsidRPr="00EF45D2" w:rsidRDefault="00814667">
            <w:pPr>
              <w:pStyle w:val="SingleParagraph"/>
              <w:rPr>
                <w:rFonts w:ascii="Book Antiqua" w:hAnsi="Book Antiqua"/>
                <w:lang w:val="en-GB"/>
              </w:rPr>
            </w:pPr>
          </w:p>
        </w:tc>
        <w:tc>
          <w:tcPr>
            <w:tcW w:w="284" w:type="dxa"/>
            <w:tcMar>
              <w:left w:w="0" w:type="dxa"/>
              <w:right w:w="0" w:type="dxa"/>
            </w:tcMar>
          </w:tcPr>
          <w:p w14:paraId="11EBF009" w14:textId="77777777" w:rsidR="00814667" w:rsidRPr="00EF45D2" w:rsidRDefault="00814667">
            <w:pPr>
              <w:pStyle w:val="SingleParagraph"/>
              <w:rPr>
                <w:rFonts w:ascii="Book Antiqua" w:hAnsi="Book Antiqua"/>
                <w:lang w:val="en-GB"/>
              </w:rPr>
            </w:pPr>
          </w:p>
        </w:tc>
        <w:tc>
          <w:tcPr>
            <w:tcW w:w="4536" w:type="dxa"/>
          </w:tcPr>
          <w:p w14:paraId="236454E0" w14:textId="77777777" w:rsidR="00814667" w:rsidRPr="00EF45D2" w:rsidRDefault="00814667">
            <w:pPr>
              <w:pStyle w:val="SingleParagraph"/>
              <w:rPr>
                <w:rFonts w:ascii="Book Antiqua" w:hAnsi="Book Antiqua"/>
                <w:lang w:val="en-GB"/>
              </w:rPr>
            </w:pPr>
          </w:p>
        </w:tc>
      </w:tr>
      <w:tr w:rsidR="00814667" w:rsidRPr="00EF45D2" w14:paraId="22906655" w14:textId="77777777">
        <w:trPr>
          <w:cantSplit/>
          <w:trHeight w:val="143"/>
          <w:jc w:val="center"/>
        </w:trPr>
        <w:tc>
          <w:tcPr>
            <w:tcW w:w="4536" w:type="dxa"/>
          </w:tcPr>
          <w:p w14:paraId="627372A1" w14:textId="77777777" w:rsidR="00814667" w:rsidRPr="00EF45D2" w:rsidRDefault="00814667">
            <w:pPr>
              <w:pStyle w:val="Signed"/>
            </w:pPr>
            <w:r w:rsidRPr="00EF45D2">
              <w:rPr>
                <w:rStyle w:val="SignedBold"/>
              </w:rPr>
              <w:t>Signed</w:t>
            </w:r>
            <w:r w:rsidRPr="00EF45D2">
              <w:t xml:space="preserve"> for and on behalf of the</w:t>
            </w:r>
            <w:r w:rsidRPr="00EF45D2">
              <w:br/>
              <w:t>State of South Australia by</w:t>
            </w:r>
          </w:p>
          <w:p w14:paraId="020184A0" w14:textId="77777777" w:rsidR="00814667" w:rsidRPr="00EF45D2" w:rsidRDefault="00814667">
            <w:pPr>
              <w:pStyle w:val="LineForSignature"/>
            </w:pPr>
            <w:r w:rsidRPr="00EF45D2">
              <w:tab/>
            </w:r>
          </w:p>
          <w:p w14:paraId="0F49A474" w14:textId="693F1EF4" w:rsidR="00814667" w:rsidRPr="00EF45D2" w:rsidRDefault="00814667">
            <w:pPr>
              <w:pStyle w:val="SingleParagraph"/>
              <w:rPr>
                <w:rStyle w:val="Bold"/>
              </w:rPr>
            </w:pPr>
            <w:r w:rsidRPr="00EF45D2">
              <w:rPr>
                <w:rStyle w:val="Bold"/>
              </w:rPr>
              <w:t xml:space="preserve">The Honourable </w:t>
            </w:r>
            <w:r w:rsidR="005F6389" w:rsidRPr="005F6389">
              <w:rPr>
                <w:rStyle w:val="Bold"/>
              </w:rPr>
              <w:t>Steven Marshall</w:t>
            </w:r>
            <w:r w:rsidRPr="00EF45D2">
              <w:rPr>
                <w:rStyle w:val="Bold"/>
              </w:rPr>
              <w:t xml:space="preserve"> MP</w:t>
            </w:r>
          </w:p>
          <w:p w14:paraId="17369DB5" w14:textId="3116B490" w:rsidR="00542A8C" w:rsidRPr="00EF45D2" w:rsidRDefault="00421EB2" w:rsidP="00542A8C">
            <w:pPr>
              <w:pStyle w:val="Position"/>
              <w:rPr>
                <w:lang w:val="en-GB"/>
              </w:rPr>
            </w:pPr>
            <w:r>
              <w:rPr>
                <w:lang w:val="en-GB"/>
              </w:rPr>
              <w:t>Premier</w:t>
            </w:r>
            <w:r w:rsidR="00542A8C" w:rsidRPr="00EF45D2">
              <w:rPr>
                <w:lang w:val="en-GB"/>
              </w:rPr>
              <w:t xml:space="preserve"> </w:t>
            </w:r>
          </w:p>
          <w:p w14:paraId="254CEFA3" w14:textId="77777777" w:rsidR="00814667" w:rsidRPr="00EF45D2" w:rsidRDefault="00542A8C">
            <w:pPr>
              <w:pStyle w:val="SingleParagraph"/>
              <w:tabs>
                <w:tab w:val="num" w:pos="1134"/>
              </w:tabs>
              <w:spacing w:after="240"/>
              <w:ind w:left="1134" w:hanging="567"/>
              <w:rPr>
                <w:lang w:val="en-GB"/>
              </w:rPr>
            </w:pPr>
            <w:r w:rsidRPr="00EF45D2" w:rsidDel="00542A8C">
              <w:rPr>
                <w:bCs/>
                <w:lang w:val="en-GB"/>
              </w:rPr>
              <w:t xml:space="preserve"> </w:t>
            </w:r>
            <w:r w:rsidR="006679C0" w:rsidRPr="00EF45D2">
              <w:rPr>
                <w:lang w:val="en-GB"/>
              </w:rPr>
              <w:t>[Day]  [Month]  [Year]</w:t>
            </w:r>
          </w:p>
        </w:tc>
        <w:tc>
          <w:tcPr>
            <w:tcW w:w="284" w:type="dxa"/>
            <w:tcMar>
              <w:left w:w="0" w:type="dxa"/>
              <w:right w:w="0" w:type="dxa"/>
            </w:tcMar>
          </w:tcPr>
          <w:p w14:paraId="1392139D" w14:textId="77777777" w:rsidR="00814667" w:rsidRPr="00EF45D2" w:rsidRDefault="00814667">
            <w:pPr>
              <w:rPr>
                <w:rFonts w:ascii="Book Antiqua" w:hAnsi="Book Antiqua"/>
                <w:lang w:val="en-GB"/>
              </w:rPr>
            </w:pPr>
          </w:p>
        </w:tc>
        <w:tc>
          <w:tcPr>
            <w:tcW w:w="4536" w:type="dxa"/>
          </w:tcPr>
          <w:p w14:paraId="660727E1" w14:textId="77777777" w:rsidR="00814667" w:rsidRPr="00EF45D2" w:rsidRDefault="00814667">
            <w:pPr>
              <w:pStyle w:val="Signed"/>
            </w:pPr>
            <w:r w:rsidRPr="00EF45D2">
              <w:rPr>
                <w:rStyle w:val="SignedBold"/>
              </w:rPr>
              <w:t>Signed</w:t>
            </w:r>
            <w:r w:rsidRPr="00EF45D2">
              <w:t xml:space="preserve"> for and on behalf of the</w:t>
            </w:r>
            <w:r w:rsidRPr="00EF45D2">
              <w:br/>
              <w:t>State of Tasmania by</w:t>
            </w:r>
          </w:p>
          <w:p w14:paraId="3B91C545" w14:textId="77777777" w:rsidR="00814667" w:rsidRPr="00EF45D2" w:rsidRDefault="00814667">
            <w:pPr>
              <w:pStyle w:val="LineForSignature"/>
            </w:pPr>
            <w:r w:rsidRPr="00EF45D2">
              <w:tab/>
            </w:r>
          </w:p>
          <w:p w14:paraId="6249BC6F" w14:textId="0FC51647" w:rsidR="00814667" w:rsidRPr="00EF45D2" w:rsidRDefault="00814667">
            <w:pPr>
              <w:pStyle w:val="SingleParagraph"/>
              <w:rPr>
                <w:rStyle w:val="Bold"/>
              </w:rPr>
            </w:pPr>
            <w:r w:rsidRPr="00EF45D2">
              <w:rPr>
                <w:rStyle w:val="Bold"/>
              </w:rPr>
              <w:t xml:space="preserve">The Honourable </w:t>
            </w:r>
            <w:r w:rsidR="005F6389" w:rsidRPr="005F6389">
              <w:rPr>
                <w:rStyle w:val="Bold"/>
              </w:rPr>
              <w:t>Will Hodgman</w:t>
            </w:r>
            <w:r w:rsidR="0099742A" w:rsidRPr="00EF45D2">
              <w:rPr>
                <w:rStyle w:val="Bold"/>
              </w:rPr>
              <w:t xml:space="preserve"> </w:t>
            </w:r>
            <w:r w:rsidRPr="00EF45D2">
              <w:rPr>
                <w:rStyle w:val="Bold"/>
              </w:rPr>
              <w:t>MP</w:t>
            </w:r>
          </w:p>
          <w:p w14:paraId="41CEDC65" w14:textId="4F19D5AC" w:rsidR="00542A8C" w:rsidRPr="00EF45D2" w:rsidRDefault="00421EB2" w:rsidP="00542A8C">
            <w:pPr>
              <w:pStyle w:val="Position"/>
              <w:rPr>
                <w:lang w:val="en-GB"/>
              </w:rPr>
            </w:pPr>
            <w:r>
              <w:rPr>
                <w:lang w:val="en-GB"/>
              </w:rPr>
              <w:t>Premier</w:t>
            </w:r>
            <w:r w:rsidR="00542A8C" w:rsidRPr="00EF45D2">
              <w:rPr>
                <w:lang w:val="en-GB"/>
              </w:rPr>
              <w:t xml:space="preserve"> </w:t>
            </w:r>
          </w:p>
          <w:p w14:paraId="37E9E203" w14:textId="77777777" w:rsidR="00814667" w:rsidRPr="00EF45D2" w:rsidRDefault="00542A8C">
            <w:pPr>
              <w:pStyle w:val="SingleParagraph"/>
              <w:tabs>
                <w:tab w:val="num" w:pos="1134"/>
              </w:tabs>
              <w:spacing w:after="240"/>
              <w:ind w:left="1134" w:hanging="567"/>
              <w:rPr>
                <w:lang w:val="en-GB"/>
              </w:rPr>
            </w:pPr>
            <w:r w:rsidRPr="00EF45D2" w:rsidDel="00542A8C">
              <w:rPr>
                <w:bCs/>
                <w:lang w:val="en-GB"/>
              </w:rPr>
              <w:t xml:space="preserve"> </w:t>
            </w:r>
            <w:r w:rsidR="006679C0" w:rsidRPr="00EF45D2">
              <w:rPr>
                <w:lang w:val="en-GB"/>
              </w:rPr>
              <w:t>[Day]  [Month]  [Year]</w:t>
            </w:r>
          </w:p>
        </w:tc>
      </w:tr>
      <w:tr w:rsidR="00814667" w:rsidRPr="00EF45D2" w14:paraId="615B5E0D" w14:textId="77777777">
        <w:trPr>
          <w:cantSplit/>
          <w:jc w:val="center"/>
        </w:trPr>
        <w:tc>
          <w:tcPr>
            <w:tcW w:w="4536" w:type="dxa"/>
          </w:tcPr>
          <w:p w14:paraId="18B28B2C" w14:textId="77777777" w:rsidR="00814667" w:rsidRPr="00EF45D2" w:rsidRDefault="00814667">
            <w:pPr>
              <w:pStyle w:val="SingleParagraph"/>
              <w:rPr>
                <w:rFonts w:ascii="Book Antiqua" w:hAnsi="Book Antiqua"/>
                <w:lang w:val="en-GB"/>
              </w:rPr>
            </w:pPr>
          </w:p>
        </w:tc>
        <w:tc>
          <w:tcPr>
            <w:tcW w:w="284" w:type="dxa"/>
            <w:tcMar>
              <w:left w:w="0" w:type="dxa"/>
              <w:right w:w="0" w:type="dxa"/>
            </w:tcMar>
          </w:tcPr>
          <w:p w14:paraId="1491C49E" w14:textId="77777777" w:rsidR="00814667" w:rsidRPr="00EF45D2" w:rsidRDefault="00814667">
            <w:pPr>
              <w:pStyle w:val="SingleParagraph"/>
              <w:rPr>
                <w:rFonts w:ascii="Book Antiqua" w:hAnsi="Book Antiqua"/>
                <w:lang w:val="en-GB"/>
              </w:rPr>
            </w:pPr>
          </w:p>
        </w:tc>
        <w:tc>
          <w:tcPr>
            <w:tcW w:w="4536" w:type="dxa"/>
          </w:tcPr>
          <w:p w14:paraId="3730ACA1" w14:textId="77777777" w:rsidR="00814667" w:rsidRPr="00EF45D2" w:rsidRDefault="00814667">
            <w:pPr>
              <w:pStyle w:val="SingleParagraph"/>
              <w:rPr>
                <w:rFonts w:ascii="Book Antiqua" w:hAnsi="Book Antiqua"/>
                <w:lang w:val="en-GB"/>
              </w:rPr>
            </w:pPr>
          </w:p>
        </w:tc>
      </w:tr>
      <w:tr w:rsidR="00814667" w:rsidRPr="00A50751" w14:paraId="4A74839E" w14:textId="77777777">
        <w:trPr>
          <w:cantSplit/>
          <w:jc w:val="center"/>
        </w:trPr>
        <w:tc>
          <w:tcPr>
            <w:tcW w:w="4536" w:type="dxa"/>
          </w:tcPr>
          <w:p w14:paraId="0933F018" w14:textId="77777777" w:rsidR="00814667" w:rsidRPr="00EF45D2" w:rsidRDefault="00814667">
            <w:pPr>
              <w:pStyle w:val="Signed"/>
            </w:pPr>
            <w:r w:rsidRPr="00EF45D2">
              <w:rPr>
                <w:rStyle w:val="SignedBold"/>
              </w:rPr>
              <w:t>Signed</w:t>
            </w:r>
            <w:r w:rsidRPr="00EF45D2">
              <w:rPr>
                <w:i w:val="0"/>
              </w:rPr>
              <w:t xml:space="preserve"> </w:t>
            </w:r>
            <w:r w:rsidR="008148E2" w:rsidRPr="00EF45D2">
              <w:t xml:space="preserve">for and on behalf of the </w:t>
            </w:r>
            <w:r w:rsidRPr="00EF45D2">
              <w:t>Australian Capital Territory by</w:t>
            </w:r>
          </w:p>
          <w:p w14:paraId="288E7441" w14:textId="77777777" w:rsidR="00814667" w:rsidRPr="00EF45D2" w:rsidRDefault="00814667">
            <w:pPr>
              <w:pStyle w:val="LineForSignature"/>
            </w:pPr>
            <w:r w:rsidRPr="00EF45D2">
              <w:tab/>
            </w:r>
          </w:p>
          <w:p w14:paraId="7C0EA98B" w14:textId="469E9A39" w:rsidR="00814667" w:rsidRPr="00EF45D2" w:rsidRDefault="00760623">
            <w:pPr>
              <w:pStyle w:val="SingleParagraph"/>
              <w:rPr>
                <w:rStyle w:val="Bold"/>
              </w:rPr>
            </w:pPr>
            <w:r w:rsidRPr="00760623">
              <w:rPr>
                <w:rStyle w:val="Bold"/>
              </w:rPr>
              <w:t>Andrew Barr</w:t>
            </w:r>
            <w:r>
              <w:rPr>
                <w:rStyle w:val="Bold"/>
              </w:rPr>
              <w:t xml:space="preserve"> </w:t>
            </w:r>
            <w:r w:rsidR="00814667" w:rsidRPr="00EF45D2">
              <w:rPr>
                <w:rStyle w:val="Bold"/>
              </w:rPr>
              <w:t>MLA</w:t>
            </w:r>
          </w:p>
          <w:p w14:paraId="598B21B8" w14:textId="2D270DC3" w:rsidR="00542A8C" w:rsidRPr="00EF45D2" w:rsidRDefault="00421EB2" w:rsidP="00542A8C">
            <w:pPr>
              <w:pStyle w:val="Position"/>
              <w:rPr>
                <w:lang w:val="en-GB"/>
              </w:rPr>
            </w:pPr>
            <w:r>
              <w:rPr>
                <w:lang w:val="en-GB"/>
              </w:rPr>
              <w:t xml:space="preserve">Chief </w:t>
            </w:r>
            <w:r w:rsidR="00542A8C" w:rsidRPr="00EF45D2">
              <w:rPr>
                <w:lang w:val="en-GB"/>
              </w:rPr>
              <w:t xml:space="preserve">Minister </w:t>
            </w:r>
          </w:p>
          <w:p w14:paraId="49998328" w14:textId="77777777" w:rsidR="00814667" w:rsidRPr="00EF45D2" w:rsidRDefault="00542A8C">
            <w:pPr>
              <w:pStyle w:val="SingleParagraph"/>
              <w:tabs>
                <w:tab w:val="num" w:pos="1134"/>
              </w:tabs>
              <w:spacing w:after="240"/>
              <w:ind w:left="1134" w:hanging="567"/>
              <w:rPr>
                <w:szCs w:val="22"/>
                <w:lang w:val="en-GB"/>
              </w:rPr>
            </w:pPr>
            <w:r w:rsidRPr="00EF45D2" w:rsidDel="00542A8C">
              <w:rPr>
                <w:lang w:val="en-GB"/>
              </w:rPr>
              <w:t xml:space="preserve"> </w:t>
            </w:r>
            <w:r w:rsidR="006679C0" w:rsidRPr="00EF45D2">
              <w:rPr>
                <w:lang w:val="en-GB"/>
              </w:rPr>
              <w:t>[Day]  [Month]  [Year]</w:t>
            </w:r>
          </w:p>
        </w:tc>
        <w:tc>
          <w:tcPr>
            <w:tcW w:w="284" w:type="dxa"/>
            <w:tcMar>
              <w:left w:w="0" w:type="dxa"/>
              <w:right w:w="0" w:type="dxa"/>
            </w:tcMar>
          </w:tcPr>
          <w:p w14:paraId="21498447" w14:textId="77777777" w:rsidR="00814667" w:rsidRPr="00EF45D2" w:rsidRDefault="00814667">
            <w:pPr>
              <w:rPr>
                <w:rFonts w:ascii="Book Antiqua" w:hAnsi="Book Antiqua"/>
                <w:lang w:val="en-GB"/>
              </w:rPr>
            </w:pPr>
          </w:p>
        </w:tc>
        <w:tc>
          <w:tcPr>
            <w:tcW w:w="4536" w:type="dxa"/>
          </w:tcPr>
          <w:p w14:paraId="1C645D1B" w14:textId="77777777" w:rsidR="00814667" w:rsidRPr="00EF45D2" w:rsidRDefault="00814667">
            <w:pPr>
              <w:pStyle w:val="Signed"/>
            </w:pPr>
            <w:r w:rsidRPr="00EF45D2">
              <w:rPr>
                <w:rStyle w:val="SignedBold"/>
              </w:rPr>
              <w:t>Signed</w:t>
            </w:r>
            <w:r w:rsidRPr="00EF45D2">
              <w:rPr>
                <w:i w:val="0"/>
              </w:rPr>
              <w:t xml:space="preserve"> </w:t>
            </w:r>
            <w:r w:rsidR="008148E2" w:rsidRPr="00EF45D2">
              <w:t xml:space="preserve">for and on behalf of the </w:t>
            </w:r>
            <w:r w:rsidRPr="00EF45D2">
              <w:t>Northern Territory by</w:t>
            </w:r>
          </w:p>
          <w:p w14:paraId="515488F5" w14:textId="77777777" w:rsidR="00814667" w:rsidRPr="00EF45D2" w:rsidRDefault="00814667">
            <w:pPr>
              <w:pStyle w:val="LineForSignature"/>
            </w:pPr>
            <w:r w:rsidRPr="00EF45D2">
              <w:tab/>
            </w:r>
          </w:p>
          <w:p w14:paraId="33170907" w14:textId="27C2A91A" w:rsidR="00814667" w:rsidRPr="00EF45D2" w:rsidRDefault="00814667">
            <w:pPr>
              <w:pStyle w:val="SingleParagraph"/>
              <w:rPr>
                <w:rStyle w:val="Bold"/>
              </w:rPr>
            </w:pPr>
            <w:r w:rsidRPr="00EF45D2">
              <w:rPr>
                <w:rStyle w:val="Bold"/>
              </w:rPr>
              <w:t xml:space="preserve">The Honourable </w:t>
            </w:r>
            <w:r w:rsidR="00760623" w:rsidRPr="00760623">
              <w:rPr>
                <w:rStyle w:val="Bold"/>
              </w:rPr>
              <w:t>Michael Gunner</w:t>
            </w:r>
            <w:r w:rsidR="0099742A" w:rsidRPr="00EF45D2">
              <w:rPr>
                <w:rStyle w:val="Bold"/>
              </w:rPr>
              <w:t xml:space="preserve"> </w:t>
            </w:r>
            <w:r w:rsidRPr="00EF45D2">
              <w:rPr>
                <w:rStyle w:val="Bold"/>
              </w:rPr>
              <w:t>MLA</w:t>
            </w:r>
          </w:p>
          <w:p w14:paraId="15C22C36" w14:textId="4E47C95B" w:rsidR="00542A8C" w:rsidRPr="00EF45D2" w:rsidRDefault="00421EB2" w:rsidP="00542A8C">
            <w:pPr>
              <w:pStyle w:val="Position"/>
              <w:rPr>
                <w:lang w:val="en-GB"/>
              </w:rPr>
            </w:pPr>
            <w:r>
              <w:rPr>
                <w:lang w:val="en-GB"/>
              </w:rPr>
              <w:t xml:space="preserve">Chief </w:t>
            </w:r>
            <w:r w:rsidR="00542A8C" w:rsidRPr="00EF45D2">
              <w:rPr>
                <w:lang w:val="en-GB"/>
              </w:rPr>
              <w:t xml:space="preserve">Minister </w:t>
            </w:r>
          </w:p>
          <w:p w14:paraId="5526BEDA" w14:textId="77777777" w:rsidR="00814667" w:rsidRPr="00A50751" w:rsidRDefault="00542A8C">
            <w:pPr>
              <w:pStyle w:val="SingleParagraph"/>
              <w:tabs>
                <w:tab w:val="num" w:pos="1134"/>
              </w:tabs>
              <w:spacing w:after="240"/>
              <w:ind w:left="1134" w:hanging="567"/>
              <w:rPr>
                <w:lang w:val="en-GB"/>
              </w:rPr>
            </w:pPr>
            <w:r w:rsidRPr="00EF45D2" w:rsidDel="00542A8C">
              <w:rPr>
                <w:bCs/>
                <w:lang w:val="en-GB"/>
              </w:rPr>
              <w:t xml:space="preserve"> </w:t>
            </w:r>
            <w:r w:rsidR="006679C0" w:rsidRPr="00EF45D2">
              <w:rPr>
                <w:lang w:val="en-GB"/>
              </w:rPr>
              <w:t>[Day]  [Month]  [Year]</w:t>
            </w:r>
          </w:p>
        </w:tc>
      </w:tr>
    </w:tbl>
    <w:p w14:paraId="72EA16BE" w14:textId="77777777" w:rsidR="008843EE" w:rsidRDefault="008843EE" w:rsidP="0020144E"/>
    <w:p w14:paraId="19772CAC" w14:textId="77777777" w:rsidR="009E6954" w:rsidRDefault="009E6954" w:rsidP="0020144E"/>
    <w:p w14:paraId="6F7F1610" w14:textId="6CC2B860" w:rsidR="00B85874" w:rsidRDefault="00B85874">
      <w:pPr>
        <w:spacing w:after="0" w:line="240" w:lineRule="auto"/>
        <w:jc w:val="left"/>
      </w:pPr>
    </w:p>
    <w:p w14:paraId="6770EB3E" w14:textId="2733271A" w:rsidR="00B85874" w:rsidRPr="00BA2C43" w:rsidRDefault="00B85874" w:rsidP="00B85874">
      <w:pPr>
        <w:pStyle w:val="Heading2"/>
        <w:jc w:val="right"/>
      </w:pPr>
      <w:r w:rsidRPr="00BA2C43">
        <w:t xml:space="preserve">SCHEDULE </w:t>
      </w:r>
      <w:r w:rsidR="006D2002">
        <w:t>A</w:t>
      </w:r>
    </w:p>
    <w:p w14:paraId="71FDA6A7" w14:textId="68BC963E" w:rsidR="00B85874" w:rsidRDefault="003E305B" w:rsidP="00B85874">
      <w:pPr>
        <w:pStyle w:val="Heading1"/>
      </w:pPr>
      <w:r>
        <w:t xml:space="preserve">Housing </w:t>
      </w:r>
      <w:r w:rsidR="001146C3">
        <w:t xml:space="preserve">priority policy areas </w:t>
      </w:r>
    </w:p>
    <w:p w14:paraId="598CDA06" w14:textId="1457C17D" w:rsidR="00744E3A" w:rsidRPr="006B0F32" w:rsidRDefault="00744E3A" w:rsidP="001D58A9">
      <w:pPr>
        <w:pStyle w:val="FootnoteText"/>
        <w:numPr>
          <w:ilvl w:val="0"/>
          <w:numId w:val="105"/>
        </w:numPr>
        <w:tabs>
          <w:tab w:val="clear" w:pos="284"/>
          <w:tab w:val="left" w:pos="142"/>
        </w:tabs>
        <w:spacing w:after="240"/>
        <w:rPr>
          <w:color w:val="auto"/>
          <w:sz w:val="23"/>
        </w:rPr>
      </w:pPr>
      <w:r w:rsidRPr="006B0F32">
        <w:rPr>
          <w:color w:val="auto"/>
          <w:sz w:val="23"/>
        </w:rPr>
        <w:t xml:space="preserve">The following are </w:t>
      </w:r>
      <w:r w:rsidRPr="006B0F32">
        <w:rPr>
          <w:b/>
          <w:color w:val="auto"/>
          <w:sz w:val="23"/>
        </w:rPr>
        <w:t>housing priority policy areas</w:t>
      </w:r>
      <w:r w:rsidRPr="006B0F32">
        <w:rPr>
          <w:color w:val="auto"/>
          <w:sz w:val="23"/>
        </w:rPr>
        <w:t xml:space="preserve"> which should be incorporated into the State’s housing strategies where appropriate to </w:t>
      </w:r>
      <w:r w:rsidR="00FF4AA9" w:rsidRPr="006B0F32">
        <w:rPr>
          <w:color w:val="auto"/>
          <w:sz w:val="23"/>
        </w:rPr>
        <w:t>its</w:t>
      </w:r>
      <w:r w:rsidRPr="006B0F32">
        <w:rPr>
          <w:color w:val="auto"/>
          <w:sz w:val="23"/>
        </w:rPr>
        <w:t xml:space="preserve"> needs.</w:t>
      </w:r>
      <w:r w:rsidR="00C50CAD" w:rsidRPr="006B0F32">
        <w:rPr>
          <w:color w:val="auto"/>
          <w:sz w:val="23"/>
          <w:szCs w:val="23"/>
        </w:rPr>
        <w:t xml:space="preserve"> This acknowledges that each State’s housing </w:t>
      </w:r>
      <w:r w:rsidR="001D6FD7" w:rsidRPr="006B0F32">
        <w:rPr>
          <w:color w:val="auto"/>
          <w:sz w:val="23"/>
          <w:szCs w:val="23"/>
        </w:rPr>
        <w:t>priorities and needs are</w:t>
      </w:r>
      <w:r w:rsidR="00C50CAD" w:rsidRPr="006B0F32">
        <w:rPr>
          <w:color w:val="auto"/>
          <w:sz w:val="23"/>
          <w:szCs w:val="23"/>
        </w:rPr>
        <w:t xml:space="preserve"> unique</w:t>
      </w:r>
      <w:r w:rsidR="000F54AD" w:rsidRPr="006B0F32">
        <w:rPr>
          <w:color w:val="auto"/>
          <w:sz w:val="23"/>
          <w:szCs w:val="23"/>
        </w:rPr>
        <w:t xml:space="preserve"> and may change over time</w:t>
      </w:r>
      <w:r w:rsidR="00C50CAD" w:rsidRPr="006B0F32">
        <w:rPr>
          <w:color w:val="auto"/>
          <w:sz w:val="23"/>
          <w:szCs w:val="23"/>
        </w:rPr>
        <w:t xml:space="preserve">. </w:t>
      </w:r>
    </w:p>
    <w:p w14:paraId="2AEF3B8C" w14:textId="030CBD2F" w:rsidR="00B85874" w:rsidRDefault="00A9199A" w:rsidP="00B85874">
      <w:pPr>
        <w:pStyle w:val="Heading2"/>
      </w:pPr>
      <w:r>
        <w:t xml:space="preserve">National housing </w:t>
      </w:r>
      <w:r w:rsidR="00B85874">
        <w:t>priority policy areas</w:t>
      </w:r>
    </w:p>
    <w:p w14:paraId="3998795C" w14:textId="6E978383" w:rsidR="00B85874" w:rsidRPr="00895FF0" w:rsidRDefault="00B85874" w:rsidP="00895FF0">
      <w:pPr>
        <w:pStyle w:val="FootnoteText"/>
        <w:numPr>
          <w:ilvl w:val="0"/>
          <w:numId w:val="105"/>
        </w:numPr>
        <w:tabs>
          <w:tab w:val="clear" w:pos="284"/>
          <w:tab w:val="left" w:pos="142"/>
        </w:tabs>
        <w:spacing w:after="240"/>
        <w:rPr>
          <w:sz w:val="23"/>
          <w:szCs w:val="23"/>
        </w:rPr>
      </w:pPr>
      <w:r w:rsidRPr="00895FF0">
        <w:rPr>
          <w:sz w:val="23"/>
          <w:szCs w:val="23"/>
        </w:rPr>
        <w:t xml:space="preserve">The following </w:t>
      </w:r>
      <w:r w:rsidR="00AE4931" w:rsidRPr="00895FF0">
        <w:rPr>
          <w:sz w:val="23"/>
          <w:szCs w:val="23"/>
        </w:rPr>
        <w:t>are national</w:t>
      </w:r>
      <w:r w:rsidRPr="00895FF0">
        <w:rPr>
          <w:b/>
          <w:sz w:val="23"/>
          <w:szCs w:val="23"/>
        </w:rPr>
        <w:t xml:space="preserve"> </w:t>
      </w:r>
      <w:r w:rsidR="003220CA" w:rsidRPr="00895FF0">
        <w:rPr>
          <w:b/>
          <w:sz w:val="23"/>
          <w:szCs w:val="23"/>
        </w:rPr>
        <w:t xml:space="preserve">housing </w:t>
      </w:r>
      <w:r w:rsidRPr="00895FF0">
        <w:rPr>
          <w:b/>
          <w:sz w:val="23"/>
          <w:szCs w:val="23"/>
        </w:rPr>
        <w:t xml:space="preserve">priority policy areas: </w:t>
      </w:r>
    </w:p>
    <w:p w14:paraId="29749F3B" w14:textId="38B016EA" w:rsidR="00B85874" w:rsidRDefault="00B85874" w:rsidP="00895FF0">
      <w:pPr>
        <w:pStyle w:val="Normalnumbered"/>
        <w:numPr>
          <w:ilvl w:val="0"/>
          <w:numId w:val="43"/>
        </w:numPr>
        <w:tabs>
          <w:tab w:val="left" w:pos="1134"/>
        </w:tabs>
        <w:ind w:left="1134" w:hanging="567"/>
        <w:jc w:val="left"/>
      </w:pPr>
      <w:r w:rsidRPr="00EF45D2">
        <w:rPr>
          <w:b/>
        </w:rPr>
        <w:t xml:space="preserve">social housing </w:t>
      </w:r>
      <w:r w:rsidRPr="00EF45D2">
        <w:t>that is:</w:t>
      </w:r>
    </w:p>
    <w:p w14:paraId="7A0D67FB" w14:textId="4BE44B10" w:rsidR="00B85874" w:rsidRDefault="00B85874" w:rsidP="009A1877">
      <w:pPr>
        <w:pStyle w:val="Normalnumbered"/>
        <w:numPr>
          <w:ilvl w:val="3"/>
          <w:numId w:val="46"/>
        </w:numPr>
        <w:tabs>
          <w:tab w:val="clear" w:pos="2880"/>
          <w:tab w:val="num" w:pos="1985"/>
        </w:tabs>
        <w:ind w:left="1985" w:hanging="425"/>
        <w:jc w:val="left"/>
      </w:pPr>
      <w:r w:rsidRPr="00EF45D2">
        <w:t>utilised efficiently and effectively</w:t>
      </w:r>
      <w:r w:rsidR="00600B61">
        <w:t xml:space="preserve"> (may include redevelopment and stock transfers)</w:t>
      </w:r>
      <w:r w:rsidR="00F933AB">
        <w:t>;</w:t>
      </w:r>
    </w:p>
    <w:p w14:paraId="6F5B084F" w14:textId="5F733B3F" w:rsidR="00B85874" w:rsidRPr="00EF45D2" w:rsidRDefault="00B85874" w:rsidP="009A1877">
      <w:pPr>
        <w:pStyle w:val="Normalnumbered"/>
        <w:numPr>
          <w:ilvl w:val="3"/>
          <w:numId w:val="46"/>
        </w:numPr>
        <w:tabs>
          <w:tab w:val="clear" w:pos="2880"/>
          <w:tab w:val="num" w:pos="1985"/>
        </w:tabs>
        <w:ind w:left="1985" w:hanging="425"/>
        <w:jc w:val="left"/>
      </w:pPr>
      <w:r>
        <w:t>responsive</w:t>
      </w:r>
      <w:r w:rsidRPr="00EF45D2">
        <w:t xml:space="preserve"> to the needs of tenants</w:t>
      </w:r>
      <w:r w:rsidR="00600B61">
        <w:t xml:space="preserve"> (may include redevelopment and stock transfers)</w:t>
      </w:r>
      <w:r w:rsidRPr="00EF45D2">
        <w:t xml:space="preserve">; </w:t>
      </w:r>
    </w:p>
    <w:p w14:paraId="125AAFC5" w14:textId="08F8E8BF" w:rsidR="00B85874" w:rsidRPr="00EF45D2" w:rsidRDefault="00B85874" w:rsidP="009A1877">
      <w:pPr>
        <w:pStyle w:val="Normalnumbered"/>
        <w:numPr>
          <w:ilvl w:val="3"/>
          <w:numId w:val="46"/>
        </w:numPr>
        <w:tabs>
          <w:tab w:val="clear" w:pos="2880"/>
          <w:tab w:val="num" w:pos="1985"/>
        </w:tabs>
        <w:ind w:left="1985" w:hanging="425"/>
        <w:jc w:val="left"/>
      </w:pPr>
      <w:r w:rsidRPr="00EF45D2">
        <w:t>appropriately renewed and maintained</w:t>
      </w:r>
      <w:r w:rsidR="00600B61">
        <w:t xml:space="preserve"> (may include redevelopment and new construction)</w:t>
      </w:r>
      <w:r w:rsidRPr="00EF45D2">
        <w:t>;</w:t>
      </w:r>
      <w:r w:rsidR="00C32C6E">
        <w:t xml:space="preserve"> and</w:t>
      </w:r>
    </w:p>
    <w:p w14:paraId="3C15CFCA" w14:textId="25DCC44F" w:rsidR="00B85874" w:rsidRDefault="00AC1FCC" w:rsidP="009A1877">
      <w:pPr>
        <w:pStyle w:val="Normalnumbered"/>
        <w:numPr>
          <w:ilvl w:val="3"/>
          <w:numId w:val="46"/>
        </w:numPr>
        <w:tabs>
          <w:tab w:val="clear" w:pos="2880"/>
          <w:tab w:val="num" w:pos="1985"/>
        </w:tabs>
        <w:ind w:left="1985" w:hanging="425"/>
        <w:jc w:val="left"/>
      </w:pPr>
      <w:r>
        <w:t>responsive to</w:t>
      </w:r>
      <w:r w:rsidR="00B85874" w:rsidRPr="00EF45D2">
        <w:t xml:space="preserve"> demand</w:t>
      </w:r>
      <w:r w:rsidR="00600B61">
        <w:t xml:space="preserve"> (may include new construction and re-development)</w:t>
      </w:r>
      <w:r w:rsidR="00B85874">
        <w:t>;</w:t>
      </w:r>
    </w:p>
    <w:p w14:paraId="178B8F0C" w14:textId="566BE194" w:rsidR="00B85874" w:rsidRPr="00EF45D2" w:rsidRDefault="00B85874" w:rsidP="00895FF0">
      <w:pPr>
        <w:pStyle w:val="Normalnumbered"/>
        <w:numPr>
          <w:ilvl w:val="0"/>
          <w:numId w:val="43"/>
        </w:numPr>
        <w:tabs>
          <w:tab w:val="left" w:pos="1134"/>
        </w:tabs>
        <w:ind w:left="1134" w:hanging="567"/>
        <w:jc w:val="left"/>
      </w:pPr>
      <w:r w:rsidRPr="00600B61">
        <w:rPr>
          <w:b/>
        </w:rPr>
        <w:t>community housing support</w:t>
      </w:r>
      <w:r w:rsidRPr="00F76BE5">
        <w:t xml:space="preserve"> </w:t>
      </w:r>
      <w:r>
        <w:t xml:space="preserve">that </w:t>
      </w:r>
      <w:r w:rsidRPr="00EF45D2">
        <w:t>improves the viability and encourages growth</w:t>
      </w:r>
      <w:r>
        <w:t xml:space="preserve"> of the sector</w:t>
      </w:r>
      <w:r w:rsidR="00600B61">
        <w:t xml:space="preserve"> (may include redevelopment and stock transfers)</w:t>
      </w:r>
      <w:r w:rsidRPr="00EF45D2">
        <w:t>;</w:t>
      </w:r>
    </w:p>
    <w:p w14:paraId="5FFB79F4" w14:textId="569A4C51" w:rsidR="00B85874" w:rsidRPr="006B0F32" w:rsidRDefault="00B85874" w:rsidP="00895FF0">
      <w:pPr>
        <w:pStyle w:val="Normalnumbered"/>
        <w:numPr>
          <w:ilvl w:val="0"/>
          <w:numId w:val="43"/>
        </w:numPr>
        <w:tabs>
          <w:tab w:val="left" w:pos="1134"/>
        </w:tabs>
        <w:ind w:left="1134" w:hanging="567"/>
        <w:jc w:val="left"/>
        <w:rPr>
          <w:color w:val="auto"/>
        </w:rPr>
      </w:pPr>
      <w:r w:rsidRPr="00EF45D2">
        <w:rPr>
          <w:b/>
        </w:rPr>
        <w:t>affordable housing</w:t>
      </w:r>
      <w:r w:rsidRPr="00EF45D2">
        <w:t xml:space="preserve"> </w:t>
      </w:r>
      <w:r w:rsidR="00600B61">
        <w:t>(may include stock transfers a</w:t>
      </w:r>
      <w:r w:rsidR="00600B61" w:rsidRPr="006B0F32">
        <w:rPr>
          <w:color w:val="auto"/>
        </w:rPr>
        <w:t xml:space="preserve">nd </w:t>
      </w:r>
      <w:r w:rsidRPr="006B0F32">
        <w:rPr>
          <w:color w:val="auto"/>
        </w:rPr>
        <w:t>incentives to increase supply</w:t>
      </w:r>
      <w:r w:rsidR="00600B61" w:rsidRPr="006B0F32">
        <w:rPr>
          <w:color w:val="auto"/>
        </w:rPr>
        <w:t>)</w:t>
      </w:r>
      <w:r w:rsidRPr="006B0F32">
        <w:rPr>
          <w:color w:val="auto"/>
        </w:rPr>
        <w:t>;</w:t>
      </w:r>
    </w:p>
    <w:p w14:paraId="4D826121" w14:textId="58E0E1D6" w:rsidR="00B85874" w:rsidRPr="006B0F32" w:rsidRDefault="00B85874" w:rsidP="00895FF0">
      <w:pPr>
        <w:pStyle w:val="Normalnumbered"/>
        <w:numPr>
          <w:ilvl w:val="0"/>
          <w:numId w:val="43"/>
        </w:numPr>
        <w:tabs>
          <w:tab w:val="left" w:pos="1134"/>
        </w:tabs>
        <w:ind w:left="1134" w:hanging="567"/>
        <w:jc w:val="left"/>
        <w:rPr>
          <w:color w:val="auto"/>
        </w:rPr>
      </w:pPr>
      <w:r w:rsidRPr="006B0F32">
        <w:rPr>
          <w:b/>
          <w:color w:val="auto"/>
        </w:rPr>
        <w:t xml:space="preserve">tenancy reform </w:t>
      </w:r>
      <w:r w:rsidRPr="006B0F32">
        <w:rPr>
          <w:color w:val="auto"/>
        </w:rPr>
        <w:t xml:space="preserve">that encourages </w:t>
      </w:r>
      <w:r w:rsidR="00E10608" w:rsidRPr="006B0F32">
        <w:rPr>
          <w:color w:val="auto"/>
        </w:rPr>
        <w:t>security of tenure</w:t>
      </w:r>
      <w:r w:rsidR="00F0459C" w:rsidRPr="006B0F32">
        <w:rPr>
          <w:color w:val="auto"/>
        </w:rPr>
        <w:t xml:space="preserve"> in the private rental market</w:t>
      </w:r>
      <w:r w:rsidRPr="006B0F32">
        <w:rPr>
          <w:color w:val="auto"/>
        </w:rPr>
        <w:t>;</w:t>
      </w:r>
      <w:r w:rsidR="0025660B" w:rsidRPr="006B0F32">
        <w:rPr>
          <w:color w:val="auto"/>
        </w:rPr>
        <w:t xml:space="preserve"> </w:t>
      </w:r>
    </w:p>
    <w:p w14:paraId="1DD50083" w14:textId="5A311280" w:rsidR="00B85874" w:rsidRPr="006B0F32" w:rsidRDefault="00B85874" w:rsidP="00895FF0">
      <w:pPr>
        <w:pStyle w:val="Normalnumbered"/>
        <w:numPr>
          <w:ilvl w:val="0"/>
          <w:numId w:val="43"/>
        </w:numPr>
        <w:tabs>
          <w:tab w:val="left" w:pos="1134"/>
        </w:tabs>
        <w:ind w:left="1134" w:hanging="567"/>
        <w:jc w:val="left"/>
        <w:rPr>
          <w:color w:val="auto"/>
        </w:rPr>
      </w:pPr>
      <w:r w:rsidRPr="006B0F32">
        <w:rPr>
          <w:b/>
          <w:color w:val="auto"/>
        </w:rPr>
        <w:t>home ownership</w:t>
      </w:r>
      <w:r w:rsidRPr="006B0F32">
        <w:rPr>
          <w:color w:val="auto"/>
        </w:rPr>
        <w:t xml:space="preserve"> including support for first home buyers;</w:t>
      </w:r>
      <w:r w:rsidR="00F0459C" w:rsidRPr="006B0F32">
        <w:rPr>
          <w:color w:val="auto"/>
        </w:rPr>
        <w:t xml:space="preserve"> and</w:t>
      </w:r>
    </w:p>
    <w:p w14:paraId="0F816D0C" w14:textId="2B796CFC" w:rsidR="00B85874" w:rsidRPr="006B0F32" w:rsidRDefault="00B85874" w:rsidP="00895FF0">
      <w:pPr>
        <w:pStyle w:val="Normalnumbered"/>
        <w:numPr>
          <w:ilvl w:val="0"/>
          <w:numId w:val="43"/>
        </w:numPr>
        <w:tabs>
          <w:tab w:val="left" w:pos="1134"/>
        </w:tabs>
        <w:ind w:left="1134" w:hanging="567"/>
        <w:jc w:val="left"/>
        <w:rPr>
          <w:color w:val="auto"/>
        </w:rPr>
      </w:pPr>
      <w:r w:rsidRPr="006B0F32">
        <w:rPr>
          <w:b/>
          <w:color w:val="auto"/>
        </w:rPr>
        <w:t>planning and zoning reform</w:t>
      </w:r>
      <w:r w:rsidR="00F0459C" w:rsidRPr="006B0F32">
        <w:rPr>
          <w:b/>
          <w:color w:val="auto"/>
        </w:rPr>
        <w:t xml:space="preserve"> and </w:t>
      </w:r>
      <w:r w:rsidR="008E24CB" w:rsidRPr="006B0F32">
        <w:rPr>
          <w:b/>
          <w:color w:val="auto"/>
        </w:rPr>
        <w:t>initiatives</w:t>
      </w:r>
      <w:r w:rsidRPr="006B0F32">
        <w:rPr>
          <w:color w:val="auto"/>
        </w:rPr>
        <w:t>, including consideration of inclusionary zoning</w:t>
      </w:r>
      <w:r w:rsidR="00F0459C" w:rsidRPr="006B0F32">
        <w:rPr>
          <w:color w:val="auto"/>
        </w:rPr>
        <w:t xml:space="preserve"> and land release </w:t>
      </w:r>
      <w:r w:rsidR="00744E3A" w:rsidRPr="006B0F32">
        <w:rPr>
          <w:color w:val="auto"/>
        </w:rPr>
        <w:t>strategies</w:t>
      </w:r>
      <w:r w:rsidR="00F0459C" w:rsidRPr="006B0F32">
        <w:rPr>
          <w:color w:val="auto"/>
        </w:rPr>
        <w:t>.</w:t>
      </w:r>
      <w:r w:rsidRPr="006B0F32">
        <w:rPr>
          <w:color w:val="auto"/>
        </w:rPr>
        <w:t xml:space="preserve"> </w:t>
      </w:r>
    </w:p>
    <w:p w14:paraId="6F16EDDB" w14:textId="2CE93678" w:rsidR="00B85874" w:rsidRDefault="00B85874" w:rsidP="00B85874">
      <w:pPr>
        <w:pStyle w:val="Heading2"/>
      </w:pPr>
      <w:r>
        <w:t>State-</w:t>
      </w:r>
      <w:r w:rsidR="00A9199A">
        <w:t xml:space="preserve">specific housing </w:t>
      </w:r>
      <w:r>
        <w:t xml:space="preserve">priority policy areas  </w:t>
      </w:r>
    </w:p>
    <w:p w14:paraId="552C7C06" w14:textId="4B789CDB" w:rsidR="00A9199A" w:rsidRPr="00895FF0" w:rsidRDefault="00B85874" w:rsidP="00895FF0">
      <w:pPr>
        <w:pStyle w:val="FootnoteText"/>
        <w:numPr>
          <w:ilvl w:val="0"/>
          <w:numId w:val="105"/>
        </w:numPr>
        <w:tabs>
          <w:tab w:val="clear" w:pos="284"/>
          <w:tab w:val="left" w:pos="142"/>
        </w:tabs>
        <w:spacing w:after="240"/>
        <w:rPr>
          <w:sz w:val="23"/>
          <w:szCs w:val="23"/>
        </w:rPr>
      </w:pPr>
      <w:r w:rsidRPr="00895FF0">
        <w:rPr>
          <w:sz w:val="23"/>
          <w:szCs w:val="23"/>
        </w:rPr>
        <w:t>In</w:t>
      </w:r>
      <w:r w:rsidRPr="00314BC3">
        <w:rPr>
          <w:sz w:val="23"/>
          <w:szCs w:val="23"/>
        </w:rPr>
        <w:t xml:space="preserve"> </w:t>
      </w:r>
      <w:r w:rsidRPr="00895FF0">
        <w:rPr>
          <w:sz w:val="23"/>
          <w:szCs w:val="23"/>
        </w:rPr>
        <w:t xml:space="preserve">addition to the national areas, </w:t>
      </w:r>
      <w:r w:rsidR="00A9199A" w:rsidRPr="00895FF0">
        <w:rPr>
          <w:sz w:val="23"/>
          <w:szCs w:val="23"/>
        </w:rPr>
        <w:t xml:space="preserve">States may identify </w:t>
      </w:r>
      <w:r w:rsidRPr="00895FF0">
        <w:rPr>
          <w:sz w:val="23"/>
          <w:szCs w:val="23"/>
        </w:rPr>
        <w:t>other</w:t>
      </w:r>
      <w:r w:rsidR="003220CA" w:rsidRPr="00895FF0">
        <w:rPr>
          <w:sz w:val="23"/>
          <w:szCs w:val="23"/>
        </w:rPr>
        <w:t xml:space="preserve"> </w:t>
      </w:r>
      <w:r w:rsidR="003220CA" w:rsidRPr="00895FF0">
        <w:rPr>
          <w:b/>
          <w:sz w:val="23"/>
          <w:szCs w:val="23"/>
        </w:rPr>
        <w:t>housing</w:t>
      </w:r>
      <w:r w:rsidRPr="00895FF0">
        <w:rPr>
          <w:b/>
          <w:sz w:val="23"/>
          <w:szCs w:val="23"/>
        </w:rPr>
        <w:t xml:space="preserve"> priority policy area</w:t>
      </w:r>
      <w:r w:rsidR="00717E21" w:rsidRPr="00895FF0">
        <w:rPr>
          <w:b/>
          <w:sz w:val="23"/>
          <w:szCs w:val="23"/>
        </w:rPr>
        <w:t>s</w:t>
      </w:r>
      <w:r w:rsidR="00717E21" w:rsidRPr="00895FF0">
        <w:rPr>
          <w:sz w:val="23"/>
          <w:szCs w:val="23"/>
        </w:rPr>
        <w:t xml:space="preserve"> in their respective </w:t>
      </w:r>
      <w:r w:rsidRPr="00895FF0">
        <w:rPr>
          <w:sz w:val="23"/>
          <w:szCs w:val="23"/>
        </w:rPr>
        <w:t xml:space="preserve">bilateral schedule. </w:t>
      </w:r>
    </w:p>
    <w:p w14:paraId="14211B7A" w14:textId="77777777" w:rsidR="00A9199A" w:rsidRDefault="00A9199A">
      <w:pPr>
        <w:spacing w:after="0" w:line="240" w:lineRule="auto"/>
        <w:jc w:val="left"/>
      </w:pPr>
    </w:p>
    <w:p w14:paraId="2B9D742C" w14:textId="4FB91009" w:rsidR="0062761C" w:rsidRDefault="0062761C">
      <w:pPr>
        <w:spacing w:after="0" w:line="240" w:lineRule="auto"/>
        <w:jc w:val="left"/>
      </w:pPr>
      <w:r>
        <w:br w:type="page"/>
      </w:r>
    </w:p>
    <w:p w14:paraId="304656E9" w14:textId="1742581C" w:rsidR="0062761C" w:rsidRPr="00BA2C43" w:rsidRDefault="0062761C" w:rsidP="0062761C">
      <w:pPr>
        <w:pStyle w:val="Heading2"/>
        <w:jc w:val="right"/>
      </w:pPr>
      <w:r w:rsidRPr="00BA2C43">
        <w:lastRenderedPageBreak/>
        <w:t xml:space="preserve">SCHEDULE </w:t>
      </w:r>
      <w:r w:rsidR="006D2002">
        <w:t>B</w:t>
      </w:r>
    </w:p>
    <w:p w14:paraId="1580E7F6" w14:textId="7705FB44" w:rsidR="0062761C" w:rsidRDefault="003E305B" w:rsidP="0062761C">
      <w:pPr>
        <w:pStyle w:val="Heading1"/>
      </w:pPr>
      <w:r>
        <w:t>h</w:t>
      </w:r>
      <w:r w:rsidR="00BC4D6A">
        <w:t xml:space="preserve">omelessness </w:t>
      </w:r>
      <w:r w:rsidR="001146C3">
        <w:t xml:space="preserve">priority cohorts and reform areas </w:t>
      </w:r>
    </w:p>
    <w:p w14:paraId="55C767DE" w14:textId="2B9FA98D" w:rsidR="00744E3A" w:rsidRPr="006B0F32" w:rsidRDefault="00744E3A" w:rsidP="00E76FEA">
      <w:pPr>
        <w:pStyle w:val="FootnoteText"/>
        <w:numPr>
          <w:ilvl w:val="0"/>
          <w:numId w:val="107"/>
        </w:numPr>
        <w:tabs>
          <w:tab w:val="clear" w:pos="284"/>
          <w:tab w:val="left" w:pos="142"/>
        </w:tabs>
        <w:spacing w:after="240"/>
        <w:rPr>
          <w:color w:val="auto"/>
          <w:sz w:val="23"/>
          <w:szCs w:val="23"/>
        </w:rPr>
      </w:pPr>
      <w:r w:rsidRPr="006B0F32">
        <w:rPr>
          <w:color w:val="auto"/>
          <w:sz w:val="23"/>
          <w:szCs w:val="23"/>
        </w:rPr>
        <w:t xml:space="preserve">The following are </w:t>
      </w:r>
      <w:r w:rsidRPr="006B0F32">
        <w:rPr>
          <w:b/>
          <w:color w:val="auto"/>
          <w:sz w:val="23"/>
          <w:szCs w:val="23"/>
        </w:rPr>
        <w:t>homelessness priority cohorts</w:t>
      </w:r>
      <w:r w:rsidRPr="006B0F32">
        <w:rPr>
          <w:color w:val="auto"/>
          <w:sz w:val="23"/>
          <w:szCs w:val="23"/>
        </w:rPr>
        <w:t xml:space="preserve"> and </w:t>
      </w:r>
      <w:r w:rsidRPr="006B0F32">
        <w:rPr>
          <w:b/>
          <w:color w:val="auto"/>
          <w:sz w:val="23"/>
          <w:szCs w:val="23"/>
        </w:rPr>
        <w:t>homelessness priority policy areas</w:t>
      </w:r>
      <w:r w:rsidRPr="006B0F32">
        <w:rPr>
          <w:color w:val="auto"/>
          <w:sz w:val="23"/>
          <w:szCs w:val="23"/>
        </w:rPr>
        <w:t xml:space="preserve">. </w:t>
      </w:r>
      <w:r w:rsidRPr="006B0F32">
        <w:rPr>
          <w:b/>
          <w:color w:val="auto"/>
          <w:sz w:val="23"/>
          <w:szCs w:val="23"/>
        </w:rPr>
        <w:t xml:space="preserve">Homelessness priority cohorts </w:t>
      </w:r>
      <w:r w:rsidRPr="006B0F32">
        <w:rPr>
          <w:color w:val="auto"/>
          <w:sz w:val="23"/>
          <w:szCs w:val="23"/>
        </w:rPr>
        <w:t>must be addressed in the State’s homelessness strategy</w:t>
      </w:r>
      <w:r w:rsidR="00E76FEA" w:rsidRPr="006B0F32">
        <w:rPr>
          <w:color w:val="auto"/>
          <w:sz w:val="23"/>
          <w:szCs w:val="23"/>
        </w:rPr>
        <w:t xml:space="preserve"> as required by sub</w:t>
      </w:r>
      <w:r w:rsidR="00E76FEA" w:rsidRPr="006B0F32">
        <w:rPr>
          <w:color w:val="auto"/>
          <w:sz w:val="23"/>
          <w:szCs w:val="23"/>
        </w:rPr>
        <w:noBreakHyphen/>
        <w:t>section 15C(6) of the FFR Act</w:t>
      </w:r>
      <w:r w:rsidRPr="006B0F32">
        <w:rPr>
          <w:color w:val="auto"/>
          <w:sz w:val="23"/>
          <w:szCs w:val="23"/>
        </w:rPr>
        <w:t xml:space="preserve">. Homelessness strategies would be considered to address priority cohorts if general homelessness reforms and </w:t>
      </w:r>
      <w:r w:rsidR="008E24CB" w:rsidRPr="006B0F32">
        <w:rPr>
          <w:color w:val="auto"/>
          <w:sz w:val="23"/>
          <w:szCs w:val="23"/>
        </w:rPr>
        <w:t>initiatives</w:t>
      </w:r>
      <w:r w:rsidRPr="006B0F32">
        <w:rPr>
          <w:color w:val="auto"/>
          <w:sz w:val="23"/>
          <w:szCs w:val="23"/>
        </w:rPr>
        <w:t xml:space="preserve"> meet the needs of these cohorts, so long as consideration is given by the relevant State to the prevalence and needs of that cohort in coming to that view. </w:t>
      </w:r>
      <w:r w:rsidRPr="006B0F32">
        <w:rPr>
          <w:b/>
          <w:color w:val="auto"/>
          <w:sz w:val="23"/>
          <w:szCs w:val="23"/>
        </w:rPr>
        <w:t>Homelessness priority policy areas</w:t>
      </w:r>
      <w:r w:rsidRPr="006B0F32">
        <w:rPr>
          <w:color w:val="auto"/>
          <w:sz w:val="23"/>
          <w:szCs w:val="23"/>
        </w:rPr>
        <w:t xml:space="preserve"> should be incorporated into the State’s </w:t>
      </w:r>
      <w:r w:rsidR="00182269">
        <w:rPr>
          <w:color w:val="auto"/>
          <w:sz w:val="23"/>
          <w:szCs w:val="23"/>
        </w:rPr>
        <w:t xml:space="preserve">homelessness </w:t>
      </w:r>
      <w:r w:rsidRPr="006B0F32">
        <w:rPr>
          <w:color w:val="auto"/>
          <w:sz w:val="23"/>
          <w:szCs w:val="23"/>
        </w:rPr>
        <w:t xml:space="preserve">strategies where appropriate to </w:t>
      </w:r>
      <w:r w:rsidR="00FF4AA9" w:rsidRPr="006B0F32">
        <w:rPr>
          <w:color w:val="auto"/>
          <w:sz w:val="23"/>
          <w:szCs w:val="23"/>
        </w:rPr>
        <w:t>its</w:t>
      </w:r>
      <w:r w:rsidRPr="006B0F32">
        <w:rPr>
          <w:color w:val="auto"/>
          <w:sz w:val="23"/>
          <w:szCs w:val="23"/>
        </w:rPr>
        <w:t xml:space="preserve"> needs. </w:t>
      </w:r>
      <w:r w:rsidR="001D6FD7" w:rsidRPr="006B0F32">
        <w:rPr>
          <w:color w:val="auto"/>
          <w:sz w:val="23"/>
          <w:szCs w:val="23"/>
        </w:rPr>
        <w:t xml:space="preserve">This acknowledges that each State’s </w:t>
      </w:r>
      <w:r w:rsidR="00182269">
        <w:rPr>
          <w:color w:val="auto"/>
          <w:sz w:val="23"/>
          <w:szCs w:val="23"/>
        </w:rPr>
        <w:t>homelesness</w:t>
      </w:r>
      <w:r w:rsidR="00182269" w:rsidRPr="006B0F32">
        <w:rPr>
          <w:color w:val="auto"/>
          <w:sz w:val="23"/>
          <w:szCs w:val="23"/>
        </w:rPr>
        <w:t xml:space="preserve"> </w:t>
      </w:r>
      <w:r w:rsidR="001D6FD7" w:rsidRPr="006B0F32">
        <w:rPr>
          <w:color w:val="auto"/>
          <w:sz w:val="23"/>
          <w:szCs w:val="23"/>
        </w:rPr>
        <w:t>priorities and needs are unique</w:t>
      </w:r>
      <w:r w:rsidR="00E76FEA" w:rsidRPr="006B0F32">
        <w:rPr>
          <w:color w:val="auto"/>
          <w:sz w:val="23"/>
          <w:szCs w:val="23"/>
        </w:rPr>
        <w:t xml:space="preserve"> and may change over time</w:t>
      </w:r>
      <w:r w:rsidR="001D6FD7" w:rsidRPr="006B0F32">
        <w:rPr>
          <w:color w:val="auto"/>
          <w:sz w:val="23"/>
          <w:szCs w:val="23"/>
        </w:rPr>
        <w:t>.</w:t>
      </w:r>
    </w:p>
    <w:p w14:paraId="0D4F8E81" w14:textId="7DE1D0C0" w:rsidR="0062761C" w:rsidRDefault="0062761C" w:rsidP="0062761C">
      <w:pPr>
        <w:pStyle w:val="Heading2"/>
      </w:pPr>
      <w:r>
        <w:t xml:space="preserve">National priority </w:t>
      </w:r>
      <w:r w:rsidR="00BC4D6A">
        <w:t xml:space="preserve">homelessness </w:t>
      </w:r>
      <w:r>
        <w:t xml:space="preserve">cohorts  </w:t>
      </w:r>
    </w:p>
    <w:p w14:paraId="401A9EF0" w14:textId="4491A8AE" w:rsidR="0062761C" w:rsidRPr="00895FF0" w:rsidRDefault="0062761C" w:rsidP="00895FF0">
      <w:pPr>
        <w:pStyle w:val="FootnoteText"/>
        <w:numPr>
          <w:ilvl w:val="0"/>
          <w:numId w:val="107"/>
        </w:numPr>
        <w:tabs>
          <w:tab w:val="clear" w:pos="284"/>
          <w:tab w:val="left" w:pos="142"/>
        </w:tabs>
        <w:spacing w:after="240"/>
        <w:rPr>
          <w:sz w:val="23"/>
          <w:szCs w:val="23"/>
        </w:rPr>
      </w:pPr>
      <w:r w:rsidRPr="00895FF0">
        <w:rPr>
          <w:sz w:val="23"/>
          <w:szCs w:val="23"/>
        </w:rPr>
        <w:t xml:space="preserve">The following are national </w:t>
      </w:r>
      <w:r w:rsidRPr="00895FF0">
        <w:rPr>
          <w:b/>
          <w:sz w:val="23"/>
          <w:szCs w:val="23"/>
        </w:rPr>
        <w:t xml:space="preserve">priority </w:t>
      </w:r>
      <w:r w:rsidR="00BC4D6A" w:rsidRPr="00895FF0">
        <w:rPr>
          <w:b/>
          <w:sz w:val="23"/>
          <w:szCs w:val="23"/>
        </w:rPr>
        <w:t xml:space="preserve">homelessness </w:t>
      </w:r>
      <w:r w:rsidRPr="00895FF0">
        <w:rPr>
          <w:b/>
          <w:sz w:val="23"/>
          <w:szCs w:val="23"/>
        </w:rPr>
        <w:t xml:space="preserve">cohorts: </w:t>
      </w:r>
    </w:p>
    <w:p w14:paraId="0A187275" w14:textId="77777777" w:rsidR="00DB4217" w:rsidRPr="00DB4217" w:rsidRDefault="00DB4217" w:rsidP="00895FF0">
      <w:pPr>
        <w:pStyle w:val="Normalnumbered"/>
        <w:numPr>
          <w:ilvl w:val="0"/>
          <w:numId w:val="108"/>
        </w:numPr>
        <w:tabs>
          <w:tab w:val="left" w:pos="1134"/>
        </w:tabs>
        <w:ind w:left="1134" w:hanging="567"/>
        <w:jc w:val="left"/>
      </w:pPr>
      <w:r w:rsidRPr="00DB4217">
        <w:t>w</w:t>
      </w:r>
      <w:r w:rsidRPr="00B07A1B">
        <w:t>omen and children</w:t>
      </w:r>
      <w:r w:rsidRPr="0032765B">
        <w:t xml:space="preserve"> </w:t>
      </w:r>
      <w:r w:rsidRPr="00457392">
        <w:t>affected by family and domestic violence;</w:t>
      </w:r>
    </w:p>
    <w:p w14:paraId="66EBA647" w14:textId="77777777" w:rsidR="00DB4217" w:rsidRPr="00DB4217" w:rsidRDefault="00DB4217" w:rsidP="00895FF0">
      <w:pPr>
        <w:pStyle w:val="Normalnumbered"/>
        <w:numPr>
          <w:ilvl w:val="0"/>
          <w:numId w:val="108"/>
        </w:numPr>
        <w:tabs>
          <w:tab w:val="left" w:pos="1134"/>
        </w:tabs>
        <w:ind w:left="1134" w:hanging="567"/>
        <w:jc w:val="left"/>
      </w:pPr>
      <w:r w:rsidRPr="00457392">
        <w:t>children and young people;</w:t>
      </w:r>
    </w:p>
    <w:p w14:paraId="7956DF56" w14:textId="77777777" w:rsidR="00DB4217" w:rsidRPr="00DB4217" w:rsidRDefault="00DB4217" w:rsidP="00895FF0">
      <w:pPr>
        <w:pStyle w:val="Normalnumbered"/>
        <w:numPr>
          <w:ilvl w:val="0"/>
          <w:numId w:val="108"/>
        </w:numPr>
        <w:tabs>
          <w:tab w:val="left" w:pos="1134"/>
        </w:tabs>
        <w:ind w:left="1134" w:hanging="567"/>
        <w:jc w:val="left"/>
      </w:pPr>
      <w:r w:rsidRPr="00457392">
        <w:t>Indigenous Australians;</w:t>
      </w:r>
    </w:p>
    <w:p w14:paraId="14C2D583" w14:textId="77777777" w:rsidR="00DB4217" w:rsidRPr="00DB4217" w:rsidRDefault="00DB4217" w:rsidP="00895FF0">
      <w:pPr>
        <w:pStyle w:val="Normalnumbered"/>
        <w:numPr>
          <w:ilvl w:val="0"/>
          <w:numId w:val="108"/>
        </w:numPr>
        <w:tabs>
          <w:tab w:val="left" w:pos="1134"/>
        </w:tabs>
        <w:ind w:left="1134" w:hanging="567"/>
        <w:jc w:val="left"/>
      </w:pPr>
      <w:r w:rsidRPr="00457392">
        <w:t>people experiencing repeat homelessness;</w:t>
      </w:r>
    </w:p>
    <w:p w14:paraId="1185D264" w14:textId="7EA7A49B" w:rsidR="00DB4217" w:rsidRDefault="00DB4217" w:rsidP="00895FF0">
      <w:pPr>
        <w:pStyle w:val="Normalnumbered"/>
        <w:numPr>
          <w:ilvl w:val="0"/>
          <w:numId w:val="108"/>
        </w:numPr>
        <w:tabs>
          <w:tab w:val="left" w:pos="1134"/>
        </w:tabs>
        <w:ind w:left="1134" w:hanging="567"/>
        <w:jc w:val="left"/>
      </w:pPr>
      <w:r w:rsidRPr="00457392">
        <w:t>people exiting institutions and care into homelessness; and</w:t>
      </w:r>
    </w:p>
    <w:p w14:paraId="5D3B7F8B" w14:textId="771B159A" w:rsidR="00DB4217" w:rsidRDefault="00600B61" w:rsidP="00895FF0">
      <w:pPr>
        <w:pStyle w:val="Normalnumbered"/>
        <w:numPr>
          <w:ilvl w:val="0"/>
          <w:numId w:val="108"/>
        </w:numPr>
        <w:tabs>
          <w:tab w:val="left" w:pos="1134"/>
        </w:tabs>
        <w:ind w:left="1134" w:hanging="567"/>
        <w:jc w:val="left"/>
      </w:pPr>
      <w:r w:rsidRPr="00B84674">
        <w:t>older people</w:t>
      </w:r>
      <w:r>
        <w:t>.</w:t>
      </w:r>
    </w:p>
    <w:p w14:paraId="1522DF47" w14:textId="00CECABB" w:rsidR="0062761C" w:rsidRDefault="0062761C" w:rsidP="0062761C">
      <w:pPr>
        <w:pStyle w:val="Heading2"/>
      </w:pPr>
      <w:r>
        <w:t xml:space="preserve">State-specific priority </w:t>
      </w:r>
      <w:r w:rsidR="00BC4D6A">
        <w:t xml:space="preserve">homelessness </w:t>
      </w:r>
      <w:r>
        <w:t xml:space="preserve">cohorts  </w:t>
      </w:r>
    </w:p>
    <w:p w14:paraId="5A27458D" w14:textId="4D360E34" w:rsidR="0062761C" w:rsidRPr="00B36D25" w:rsidRDefault="00717E21" w:rsidP="00895FF0">
      <w:pPr>
        <w:pStyle w:val="FootnoteText"/>
        <w:numPr>
          <w:ilvl w:val="0"/>
          <w:numId w:val="107"/>
        </w:numPr>
        <w:tabs>
          <w:tab w:val="clear" w:pos="284"/>
          <w:tab w:val="left" w:pos="142"/>
        </w:tabs>
        <w:spacing w:after="240"/>
        <w:rPr>
          <w:sz w:val="23"/>
          <w:szCs w:val="23"/>
        </w:rPr>
      </w:pPr>
      <w:r w:rsidRPr="00895FF0">
        <w:rPr>
          <w:sz w:val="23"/>
          <w:szCs w:val="23"/>
        </w:rPr>
        <w:t xml:space="preserve">In addition to the national priority homelessness cohorts, States may identify other </w:t>
      </w:r>
      <w:r w:rsidRPr="00895FF0">
        <w:rPr>
          <w:b/>
          <w:sz w:val="23"/>
          <w:szCs w:val="23"/>
        </w:rPr>
        <w:t>priority homelessness cohorts</w:t>
      </w:r>
      <w:r w:rsidRPr="00895FF0">
        <w:rPr>
          <w:sz w:val="23"/>
          <w:szCs w:val="23"/>
        </w:rPr>
        <w:t xml:space="preserve"> in their respective bilateral </w:t>
      </w:r>
      <w:r w:rsidR="007B073F" w:rsidRPr="00895FF0">
        <w:rPr>
          <w:sz w:val="23"/>
          <w:szCs w:val="23"/>
        </w:rPr>
        <w:t>schedule</w:t>
      </w:r>
      <w:r w:rsidRPr="00895FF0">
        <w:rPr>
          <w:sz w:val="23"/>
          <w:szCs w:val="23"/>
        </w:rPr>
        <w:t xml:space="preserve">. </w:t>
      </w:r>
      <w:r w:rsidR="0062761C" w:rsidRPr="00895FF0">
        <w:rPr>
          <w:sz w:val="23"/>
          <w:szCs w:val="23"/>
        </w:rPr>
        <w:t xml:space="preserve"> </w:t>
      </w:r>
    </w:p>
    <w:p w14:paraId="7FF1D18A" w14:textId="31BF2046" w:rsidR="00624D23" w:rsidRDefault="00624D23" w:rsidP="00624D23">
      <w:pPr>
        <w:pStyle w:val="Heading2"/>
      </w:pPr>
      <w:r>
        <w:t xml:space="preserve">Homelessness priority policy reform areas </w:t>
      </w:r>
    </w:p>
    <w:p w14:paraId="7B009483" w14:textId="77777777" w:rsidR="00624D23" w:rsidRPr="00895FF0" w:rsidRDefault="00624D23" w:rsidP="00895FF0">
      <w:pPr>
        <w:pStyle w:val="FootnoteText"/>
        <w:numPr>
          <w:ilvl w:val="0"/>
          <w:numId w:val="107"/>
        </w:numPr>
        <w:tabs>
          <w:tab w:val="clear" w:pos="284"/>
          <w:tab w:val="left" w:pos="142"/>
        </w:tabs>
        <w:spacing w:after="240"/>
        <w:rPr>
          <w:sz w:val="23"/>
          <w:szCs w:val="23"/>
        </w:rPr>
      </w:pPr>
      <w:r w:rsidRPr="00895FF0">
        <w:rPr>
          <w:sz w:val="23"/>
          <w:szCs w:val="23"/>
        </w:rPr>
        <w:t xml:space="preserve">The following are </w:t>
      </w:r>
      <w:r w:rsidRPr="00895FF0">
        <w:rPr>
          <w:b/>
          <w:sz w:val="23"/>
          <w:szCs w:val="23"/>
        </w:rPr>
        <w:t xml:space="preserve">homelessness priority policy reform areas: </w:t>
      </w:r>
    </w:p>
    <w:p w14:paraId="604E6FAE" w14:textId="349E262C" w:rsidR="00624D23" w:rsidRPr="00895FF0" w:rsidRDefault="00624D23" w:rsidP="00895FF0">
      <w:pPr>
        <w:pStyle w:val="Normalnumbered"/>
        <w:numPr>
          <w:ilvl w:val="0"/>
          <w:numId w:val="109"/>
        </w:numPr>
        <w:tabs>
          <w:tab w:val="left" w:pos="1134"/>
        </w:tabs>
        <w:ind w:left="1134" w:hanging="567"/>
        <w:jc w:val="left"/>
        <w:rPr>
          <w:szCs w:val="23"/>
        </w:rPr>
      </w:pPr>
      <w:r w:rsidRPr="00895FF0">
        <w:rPr>
          <w:b/>
          <w:szCs w:val="23"/>
        </w:rPr>
        <w:t>Achieving better outcomes for people</w:t>
      </w:r>
      <w:r w:rsidR="00717E21" w:rsidRPr="00895FF0">
        <w:rPr>
          <w:szCs w:val="23"/>
        </w:rPr>
        <w:t xml:space="preserve">, </w:t>
      </w:r>
      <w:r w:rsidRPr="00895FF0">
        <w:rPr>
          <w:szCs w:val="23"/>
        </w:rPr>
        <w:t>set</w:t>
      </w:r>
      <w:r w:rsidR="00717E21" w:rsidRPr="00895FF0">
        <w:rPr>
          <w:szCs w:val="23"/>
        </w:rPr>
        <w:t xml:space="preserve">ting </w:t>
      </w:r>
      <w:r w:rsidRPr="00895FF0">
        <w:rPr>
          <w:szCs w:val="23"/>
        </w:rPr>
        <w:t xml:space="preserve">out </w:t>
      </w:r>
      <w:r w:rsidR="00C142AE" w:rsidRPr="00895FF0">
        <w:rPr>
          <w:szCs w:val="23"/>
        </w:rPr>
        <w:t xml:space="preserve">how </w:t>
      </w:r>
      <w:r w:rsidRPr="00895FF0">
        <w:rPr>
          <w:szCs w:val="23"/>
        </w:rPr>
        <w:t xml:space="preserve">the desired outcomes </w:t>
      </w:r>
      <w:r w:rsidR="00C142AE" w:rsidRPr="00895FF0">
        <w:rPr>
          <w:szCs w:val="23"/>
        </w:rPr>
        <w:t>for individuals</w:t>
      </w:r>
      <w:r w:rsidRPr="00895FF0">
        <w:rPr>
          <w:szCs w:val="23"/>
        </w:rPr>
        <w:t xml:space="preserve"> will be measured (may include a focus on priority groups, economic and social participation);</w:t>
      </w:r>
    </w:p>
    <w:p w14:paraId="3C1F5D6C" w14:textId="2EB15351" w:rsidR="00624D23" w:rsidRPr="00895FF0" w:rsidRDefault="00624D23" w:rsidP="00895FF0">
      <w:pPr>
        <w:pStyle w:val="Normalnumbered"/>
        <w:numPr>
          <w:ilvl w:val="0"/>
          <w:numId w:val="109"/>
        </w:numPr>
        <w:tabs>
          <w:tab w:val="left" w:pos="1134"/>
        </w:tabs>
        <w:ind w:left="1134" w:hanging="567"/>
        <w:jc w:val="left"/>
        <w:rPr>
          <w:szCs w:val="23"/>
        </w:rPr>
      </w:pPr>
      <w:r w:rsidRPr="00895FF0">
        <w:rPr>
          <w:b/>
          <w:szCs w:val="23"/>
        </w:rPr>
        <w:t>Early intervention and prevention</w:t>
      </w:r>
      <w:r w:rsidRPr="00895FF0">
        <w:rPr>
          <w:szCs w:val="23"/>
        </w:rPr>
        <w:t>, including through mainstream services</w:t>
      </w:r>
      <w:r w:rsidR="00717E21" w:rsidRPr="00895FF0">
        <w:rPr>
          <w:szCs w:val="23"/>
        </w:rPr>
        <w:t xml:space="preserve">, setting </w:t>
      </w:r>
      <w:r w:rsidRPr="00895FF0">
        <w:rPr>
          <w:szCs w:val="23"/>
        </w:rPr>
        <w:t>out actions being taken through homelessness services and mainstream services (may include a focus on particular client groups or services)</w:t>
      </w:r>
      <w:r w:rsidR="00717E21" w:rsidRPr="00895FF0">
        <w:rPr>
          <w:szCs w:val="23"/>
        </w:rPr>
        <w:t xml:space="preserve">; and </w:t>
      </w:r>
    </w:p>
    <w:p w14:paraId="529F8C90" w14:textId="3FAC95C4" w:rsidR="00624D23" w:rsidRDefault="00624D23" w:rsidP="00895FF0">
      <w:pPr>
        <w:pStyle w:val="Normalnumbered"/>
        <w:numPr>
          <w:ilvl w:val="0"/>
          <w:numId w:val="109"/>
        </w:numPr>
        <w:tabs>
          <w:tab w:val="left" w:pos="1134"/>
        </w:tabs>
        <w:ind w:left="1134" w:hanging="567"/>
        <w:jc w:val="left"/>
      </w:pPr>
      <w:r w:rsidRPr="00895FF0">
        <w:rPr>
          <w:b/>
          <w:szCs w:val="23"/>
        </w:rPr>
        <w:t>Commitment to service program and design</w:t>
      </w:r>
      <w:r w:rsidR="00717E21" w:rsidRPr="00895FF0">
        <w:rPr>
          <w:szCs w:val="23"/>
        </w:rPr>
        <w:t>,</w:t>
      </w:r>
      <w:r w:rsidRPr="00895FF0">
        <w:rPr>
          <w:szCs w:val="23"/>
        </w:rPr>
        <w:t xml:space="preserve"> that is evidence and research</w:t>
      </w:r>
      <w:r w:rsidR="00A9199A" w:rsidRPr="00895FF0">
        <w:rPr>
          <w:szCs w:val="23"/>
        </w:rPr>
        <w:t>-</w:t>
      </w:r>
      <w:r w:rsidRPr="00895FF0">
        <w:rPr>
          <w:szCs w:val="23"/>
        </w:rPr>
        <w:t>based</w:t>
      </w:r>
      <w:r w:rsidR="00717E21" w:rsidRPr="00895FF0">
        <w:rPr>
          <w:szCs w:val="23"/>
        </w:rPr>
        <w:t>,</w:t>
      </w:r>
      <w:r w:rsidRPr="00895FF0">
        <w:rPr>
          <w:szCs w:val="23"/>
        </w:rPr>
        <w:t xml:space="preserve"> that shows what evidence and research was used to design responses to homelessness and how responses/strategies will be evaluated.</w:t>
      </w:r>
    </w:p>
    <w:p w14:paraId="5A51C01E" w14:textId="4DC6B90A" w:rsidR="00C407A2" w:rsidRDefault="00C407A2">
      <w:pPr>
        <w:spacing w:after="0" w:line="240" w:lineRule="auto"/>
        <w:jc w:val="left"/>
      </w:pPr>
      <w:r>
        <w:br w:type="page"/>
      </w:r>
    </w:p>
    <w:p w14:paraId="72645F59" w14:textId="5EAC425C" w:rsidR="0058546F" w:rsidRPr="0058546F" w:rsidRDefault="00E5760F" w:rsidP="0058546F">
      <w:pPr>
        <w:pStyle w:val="Heading2"/>
        <w:jc w:val="right"/>
      </w:pPr>
      <w:r w:rsidRPr="0058546F">
        <w:lastRenderedPageBreak/>
        <w:t xml:space="preserve">SCHEDULE C </w:t>
      </w:r>
    </w:p>
    <w:p w14:paraId="2F3B18CC" w14:textId="0FAACE4C" w:rsidR="00E5760F" w:rsidRPr="0058546F" w:rsidRDefault="00E5760F" w:rsidP="0058546F">
      <w:pPr>
        <w:pStyle w:val="Heading1"/>
      </w:pPr>
      <w:r w:rsidRPr="0058546F">
        <w:t>DATA IMPROVEMENT</w:t>
      </w:r>
    </w:p>
    <w:p w14:paraId="09331A83" w14:textId="77777777" w:rsidR="00E5760F" w:rsidRPr="0058546F" w:rsidRDefault="00E5760F" w:rsidP="0058546F">
      <w:pPr>
        <w:pStyle w:val="Heading2"/>
      </w:pPr>
      <w:r w:rsidRPr="0058546F">
        <w:t>Preliminaries</w:t>
      </w:r>
    </w:p>
    <w:p w14:paraId="088CC33F" w14:textId="7168112B" w:rsidR="00E5760F" w:rsidRPr="0058546F" w:rsidRDefault="00E5760F" w:rsidP="00E5760F">
      <w:pPr>
        <w:numPr>
          <w:ilvl w:val="0"/>
          <w:numId w:val="101"/>
        </w:numPr>
        <w:spacing w:after="200" w:line="276" w:lineRule="auto"/>
        <w:jc w:val="left"/>
        <w:rPr>
          <w:color w:val="auto"/>
          <w:szCs w:val="23"/>
        </w:rPr>
      </w:pPr>
      <w:r w:rsidRPr="0058546F">
        <w:rPr>
          <w:color w:val="auto"/>
        </w:rPr>
        <w:t>This</w:t>
      </w:r>
      <w:r w:rsidR="009E5F68" w:rsidRPr="0058546F">
        <w:rPr>
          <w:color w:val="auto"/>
          <w:szCs w:val="23"/>
        </w:rPr>
        <w:t xml:space="preserve"> s</w:t>
      </w:r>
      <w:r w:rsidRPr="0058546F">
        <w:rPr>
          <w:color w:val="auto"/>
          <w:szCs w:val="23"/>
        </w:rPr>
        <w:t xml:space="preserve">chedule outlines how the Commonwealth, States and other members will contribute to the development and implementation of an improved, nationally consistent housing and homelessness data set, and its collection and reporting. </w:t>
      </w:r>
    </w:p>
    <w:p w14:paraId="1B2B0F72" w14:textId="77777777" w:rsidR="00E5760F" w:rsidRPr="0058546F" w:rsidRDefault="00E5760F" w:rsidP="00E5760F">
      <w:pPr>
        <w:numPr>
          <w:ilvl w:val="0"/>
          <w:numId w:val="101"/>
        </w:numPr>
        <w:spacing w:after="200" w:line="276" w:lineRule="auto"/>
        <w:jc w:val="left"/>
        <w:rPr>
          <w:color w:val="auto"/>
          <w:szCs w:val="23"/>
        </w:rPr>
      </w:pPr>
      <w:r w:rsidRPr="0058546F">
        <w:rPr>
          <w:color w:val="auto"/>
          <w:szCs w:val="23"/>
        </w:rPr>
        <w:t>This improved and nationally consistent data will initially serve three purposes. It will:</w:t>
      </w:r>
    </w:p>
    <w:p w14:paraId="5DFC4DCC" w14:textId="7B932680" w:rsidR="00E5760F" w:rsidRPr="0058546F" w:rsidRDefault="00E5760F" w:rsidP="00E5760F">
      <w:pPr>
        <w:numPr>
          <w:ilvl w:val="0"/>
          <w:numId w:val="102"/>
        </w:numPr>
        <w:spacing w:after="200" w:line="276" w:lineRule="auto"/>
        <w:jc w:val="left"/>
        <w:rPr>
          <w:color w:val="auto"/>
        </w:rPr>
      </w:pPr>
      <w:r w:rsidRPr="0058546F">
        <w:rPr>
          <w:color w:val="auto"/>
        </w:rPr>
        <w:t xml:space="preserve">facilitate the reporting on national and jurisdictional housing and homelessness outcomes, under </w:t>
      </w:r>
      <w:r w:rsidR="009E5F68" w:rsidRPr="0058546F">
        <w:rPr>
          <w:color w:val="auto"/>
        </w:rPr>
        <w:t>this</w:t>
      </w:r>
      <w:r w:rsidRPr="0058546F">
        <w:rPr>
          <w:color w:val="auto"/>
        </w:rPr>
        <w:t xml:space="preserve"> Agreement;</w:t>
      </w:r>
    </w:p>
    <w:p w14:paraId="33416C98" w14:textId="77777777" w:rsidR="00E5760F" w:rsidRPr="0058546F" w:rsidRDefault="00E5760F" w:rsidP="00E5760F">
      <w:pPr>
        <w:numPr>
          <w:ilvl w:val="0"/>
          <w:numId w:val="102"/>
        </w:numPr>
        <w:spacing w:after="200" w:line="276" w:lineRule="auto"/>
        <w:jc w:val="left"/>
        <w:rPr>
          <w:color w:val="auto"/>
        </w:rPr>
      </w:pPr>
      <w:r w:rsidRPr="0058546F">
        <w:rPr>
          <w:color w:val="auto"/>
        </w:rPr>
        <w:t>contribute to a publicly available national dashboard of housing and homelessness data; and</w:t>
      </w:r>
    </w:p>
    <w:p w14:paraId="6FEFC2C1" w14:textId="77777777" w:rsidR="00E5760F" w:rsidRPr="0058546F" w:rsidRDefault="00E5760F" w:rsidP="00E5760F">
      <w:pPr>
        <w:numPr>
          <w:ilvl w:val="0"/>
          <w:numId w:val="102"/>
        </w:numPr>
        <w:spacing w:after="200" w:line="276" w:lineRule="auto"/>
        <w:jc w:val="left"/>
        <w:rPr>
          <w:color w:val="auto"/>
        </w:rPr>
      </w:pPr>
      <w:r w:rsidRPr="0058546F">
        <w:rPr>
          <w:color w:val="auto"/>
        </w:rPr>
        <w:t>support future housing and homelessness research, policy and policy evaluation.</w:t>
      </w:r>
    </w:p>
    <w:p w14:paraId="5C0F6783" w14:textId="2844453F" w:rsidR="00E5760F" w:rsidRPr="0058546F" w:rsidRDefault="009E5F68" w:rsidP="00E5760F">
      <w:pPr>
        <w:numPr>
          <w:ilvl w:val="0"/>
          <w:numId w:val="101"/>
        </w:numPr>
        <w:spacing w:after="200" w:line="276" w:lineRule="auto"/>
        <w:jc w:val="left"/>
        <w:rPr>
          <w:color w:val="auto"/>
          <w:szCs w:val="23"/>
        </w:rPr>
      </w:pPr>
      <w:r w:rsidRPr="0058546F">
        <w:rPr>
          <w:color w:val="auto"/>
          <w:szCs w:val="23"/>
        </w:rPr>
        <w:t>This s</w:t>
      </w:r>
      <w:r w:rsidR="00E5760F" w:rsidRPr="0058546F">
        <w:rPr>
          <w:color w:val="auto"/>
          <w:szCs w:val="23"/>
        </w:rPr>
        <w:t>chedule provides for the establishment of a working group to pursue these improvements, the scope of this group’s activities, its deliverables, governance and timelines for the completion of its work program.</w:t>
      </w:r>
    </w:p>
    <w:p w14:paraId="5603011A" w14:textId="4102D383" w:rsidR="00E5760F" w:rsidRPr="0058546F" w:rsidRDefault="009E5F68" w:rsidP="00E5760F">
      <w:pPr>
        <w:numPr>
          <w:ilvl w:val="0"/>
          <w:numId w:val="101"/>
        </w:numPr>
        <w:spacing w:after="200" w:line="276" w:lineRule="auto"/>
        <w:jc w:val="left"/>
        <w:rPr>
          <w:color w:val="auto"/>
          <w:szCs w:val="23"/>
        </w:rPr>
      </w:pPr>
      <w:r w:rsidRPr="0058546F">
        <w:rPr>
          <w:color w:val="auto"/>
          <w:szCs w:val="23"/>
        </w:rPr>
        <w:t>The activities listed in this s</w:t>
      </w:r>
      <w:r w:rsidR="00E5760F" w:rsidRPr="0058546F">
        <w:rPr>
          <w:color w:val="auto"/>
          <w:szCs w:val="23"/>
        </w:rPr>
        <w:t>chedule constitute an output of the Agreement, per sub</w:t>
      </w:r>
      <w:r w:rsidR="00E5760F" w:rsidRPr="0058546F">
        <w:rPr>
          <w:color w:val="auto"/>
          <w:szCs w:val="23"/>
        </w:rPr>
        <w:noBreakHyphen/>
        <w:t xml:space="preserve">clause 17(d) of this Agreement. </w:t>
      </w:r>
    </w:p>
    <w:p w14:paraId="4C4E2D98" w14:textId="77777777" w:rsidR="00E5760F" w:rsidRPr="0058546F" w:rsidRDefault="00E5760F" w:rsidP="0058546F">
      <w:pPr>
        <w:pStyle w:val="Heading2"/>
      </w:pPr>
      <w:bookmarkStart w:id="4" w:name="_Toc504492473"/>
      <w:r w:rsidRPr="0058546F">
        <w:t>The Housing and Homelessness Data Working Group</w:t>
      </w:r>
      <w:bookmarkEnd w:id="4"/>
    </w:p>
    <w:p w14:paraId="6E37F051" w14:textId="33BD9D0A" w:rsidR="00E5760F" w:rsidRPr="0058546F" w:rsidRDefault="009E5F68" w:rsidP="00E5760F">
      <w:pPr>
        <w:numPr>
          <w:ilvl w:val="0"/>
          <w:numId w:val="101"/>
        </w:numPr>
        <w:spacing w:after="200" w:line="276" w:lineRule="auto"/>
        <w:jc w:val="left"/>
        <w:rPr>
          <w:color w:val="auto"/>
          <w:szCs w:val="23"/>
        </w:rPr>
      </w:pPr>
      <w:r w:rsidRPr="0058546F">
        <w:rPr>
          <w:color w:val="auto"/>
          <w:szCs w:val="23"/>
        </w:rPr>
        <w:t>This s</w:t>
      </w:r>
      <w:r w:rsidR="00E5760F" w:rsidRPr="0058546F">
        <w:rPr>
          <w:color w:val="auto"/>
          <w:szCs w:val="23"/>
        </w:rPr>
        <w:t>chedule establishes the Housing and Homelessness Data Working Group (the Working Group): an advisory body that will develop</w:t>
      </w:r>
      <w:r w:rsidR="009F51D6" w:rsidRPr="0058546F">
        <w:rPr>
          <w:color w:val="auto"/>
          <w:szCs w:val="23"/>
        </w:rPr>
        <w:t xml:space="preserve"> and support States and other members to implement</w:t>
      </w:r>
      <w:r w:rsidR="00E5760F" w:rsidRPr="0058546F">
        <w:rPr>
          <w:color w:val="auto"/>
          <w:szCs w:val="23"/>
        </w:rPr>
        <w:t xml:space="preserve"> a Housing and Homelessness Data Improvement Plan (the Plan). </w:t>
      </w:r>
    </w:p>
    <w:p w14:paraId="7370F16E" w14:textId="005ECC6D" w:rsidR="009F51D6" w:rsidRPr="0058546F" w:rsidRDefault="00E5760F" w:rsidP="001F51A4">
      <w:pPr>
        <w:numPr>
          <w:ilvl w:val="0"/>
          <w:numId w:val="101"/>
        </w:numPr>
        <w:spacing w:after="200" w:line="276" w:lineRule="auto"/>
        <w:jc w:val="left"/>
        <w:rPr>
          <w:color w:val="auto"/>
          <w:szCs w:val="23"/>
        </w:rPr>
      </w:pPr>
      <w:r w:rsidRPr="0058546F">
        <w:rPr>
          <w:rFonts w:eastAsia="Calibri"/>
          <w:color w:val="auto"/>
          <w:szCs w:val="23"/>
          <w:lang w:eastAsia="en-US"/>
        </w:rPr>
        <w:t xml:space="preserve">The purpose of the Plan is to </w:t>
      </w:r>
      <w:r w:rsidRPr="0058546F">
        <w:rPr>
          <w:color w:val="auto"/>
          <w:szCs w:val="23"/>
        </w:rPr>
        <w:t xml:space="preserve">improve and develop the evidence base and data to inform future policy, research and evaluation, and form the basis of a new schedule to </w:t>
      </w:r>
      <w:r w:rsidR="009E5F68" w:rsidRPr="0058546F">
        <w:rPr>
          <w:color w:val="auto"/>
          <w:szCs w:val="23"/>
        </w:rPr>
        <w:t>this</w:t>
      </w:r>
      <w:r w:rsidRPr="0058546F">
        <w:rPr>
          <w:color w:val="auto"/>
          <w:szCs w:val="23"/>
        </w:rPr>
        <w:t xml:space="preserve"> Agreement.</w:t>
      </w:r>
      <w:r w:rsidR="009F51D6" w:rsidRPr="0058546F">
        <w:rPr>
          <w:color w:val="auto"/>
          <w:szCs w:val="23"/>
        </w:rPr>
        <w:t xml:space="preserve"> </w:t>
      </w:r>
    </w:p>
    <w:p w14:paraId="3E6BF1E5" w14:textId="219870D9" w:rsidR="009F51D6" w:rsidRPr="0058546F" w:rsidRDefault="009F51D6" w:rsidP="009F51D6">
      <w:pPr>
        <w:numPr>
          <w:ilvl w:val="0"/>
          <w:numId w:val="101"/>
        </w:numPr>
        <w:spacing w:after="200" w:line="276" w:lineRule="auto"/>
        <w:jc w:val="left"/>
        <w:rPr>
          <w:color w:val="auto"/>
          <w:szCs w:val="23"/>
        </w:rPr>
      </w:pPr>
      <w:r w:rsidRPr="0058546F">
        <w:rPr>
          <w:color w:val="auto"/>
          <w:szCs w:val="23"/>
        </w:rPr>
        <w:t xml:space="preserve">The Plan will provide for new data resources, improvements to existing data sets, </w:t>
      </w:r>
      <w:r w:rsidR="009B7B8B" w:rsidRPr="0058546F">
        <w:rPr>
          <w:color w:val="auto"/>
          <w:szCs w:val="23"/>
        </w:rPr>
        <w:t xml:space="preserve">linkages between Commonwealth and State datasets, </w:t>
      </w:r>
      <w:r w:rsidR="001F51A4" w:rsidRPr="0058546F">
        <w:rPr>
          <w:color w:val="auto"/>
          <w:szCs w:val="23"/>
        </w:rPr>
        <w:t>as well as</w:t>
      </w:r>
      <w:r w:rsidR="009B7B8B" w:rsidRPr="0058546F">
        <w:rPr>
          <w:color w:val="auto"/>
          <w:szCs w:val="23"/>
        </w:rPr>
        <w:t xml:space="preserve"> </w:t>
      </w:r>
      <w:r w:rsidRPr="0058546F">
        <w:rPr>
          <w:color w:val="auto"/>
          <w:szCs w:val="23"/>
        </w:rPr>
        <w:t xml:space="preserve">additional </w:t>
      </w:r>
      <w:r w:rsidR="009B7B8B" w:rsidRPr="0058546F">
        <w:rPr>
          <w:color w:val="auto"/>
          <w:szCs w:val="23"/>
        </w:rPr>
        <w:t xml:space="preserve">or improved </w:t>
      </w:r>
      <w:r w:rsidRPr="0058546F">
        <w:rPr>
          <w:color w:val="auto"/>
          <w:szCs w:val="23"/>
        </w:rPr>
        <w:t xml:space="preserve">performance indicators. The scope of the Working Group’s activities in developing this Plan is outlined in </w:t>
      </w:r>
      <w:r w:rsidR="007B073F" w:rsidRPr="0058546F">
        <w:rPr>
          <w:color w:val="auto"/>
          <w:szCs w:val="23"/>
        </w:rPr>
        <w:t>clause</w:t>
      </w:r>
      <w:r w:rsidRPr="0058546F">
        <w:rPr>
          <w:color w:val="auto"/>
          <w:szCs w:val="23"/>
        </w:rPr>
        <w:t>s C1</w:t>
      </w:r>
      <w:r w:rsidR="009E5F68" w:rsidRPr="0058546F">
        <w:rPr>
          <w:color w:val="auto"/>
          <w:szCs w:val="23"/>
        </w:rPr>
        <w:t>7</w:t>
      </w:r>
      <w:r w:rsidRPr="0058546F">
        <w:rPr>
          <w:color w:val="auto"/>
          <w:szCs w:val="23"/>
        </w:rPr>
        <w:t xml:space="preserve"> to C</w:t>
      </w:r>
      <w:r w:rsidR="009E5F68" w:rsidRPr="0058546F">
        <w:rPr>
          <w:color w:val="auto"/>
          <w:szCs w:val="23"/>
        </w:rPr>
        <w:t>19</w:t>
      </w:r>
      <w:r w:rsidRPr="0058546F">
        <w:rPr>
          <w:color w:val="auto"/>
          <w:szCs w:val="23"/>
        </w:rPr>
        <w:t xml:space="preserve">. </w:t>
      </w:r>
    </w:p>
    <w:p w14:paraId="0FD42FDE" w14:textId="19D37B81" w:rsidR="00E5760F" w:rsidRPr="0058546F" w:rsidRDefault="00E5760F" w:rsidP="009F51D6">
      <w:pPr>
        <w:numPr>
          <w:ilvl w:val="0"/>
          <w:numId w:val="101"/>
        </w:numPr>
        <w:spacing w:after="200" w:line="276" w:lineRule="auto"/>
        <w:jc w:val="left"/>
        <w:rPr>
          <w:color w:val="auto"/>
          <w:szCs w:val="23"/>
        </w:rPr>
      </w:pPr>
      <w:r w:rsidRPr="0058546F">
        <w:rPr>
          <w:color w:val="auto"/>
          <w:szCs w:val="23"/>
        </w:rPr>
        <w:t xml:space="preserve">The Plan will set out: </w:t>
      </w:r>
    </w:p>
    <w:p w14:paraId="5A3D1B9B" w14:textId="3A718113" w:rsidR="00E5760F" w:rsidRPr="0058546F" w:rsidRDefault="00E5760F" w:rsidP="00E5760F">
      <w:pPr>
        <w:numPr>
          <w:ilvl w:val="0"/>
          <w:numId w:val="103"/>
        </w:numPr>
        <w:spacing w:after="200" w:line="276" w:lineRule="auto"/>
        <w:jc w:val="left"/>
        <w:rPr>
          <w:color w:val="auto"/>
        </w:rPr>
      </w:pPr>
      <w:r w:rsidRPr="0058546F">
        <w:rPr>
          <w:rFonts w:eastAsia="Calibri"/>
          <w:color w:val="auto"/>
          <w:szCs w:val="23"/>
          <w:lang w:eastAsia="en-US"/>
        </w:rPr>
        <w:t xml:space="preserve">data </w:t>
      </w:r>
      <w:r w:rsidRPr="0058546F">
        <w:rPr>
          <w:color w:val="auto"/>
        </w:rPr>
        <w:t>improvements;</w:t>
      </w:r>
    </w:p>
    <w:p w14:paraId="7558FFD8" w14:textId="08F6F751" w:rsidR="00E5760F" w:rsidRPr="0058546F" w:rsidRDefault="009F51D6" w:rsidP="00E5760F">
      <w:pPr>
        <w:numPr>
          <w:ilvl w:val="0"/>
          <w:numId w:val="103"/>
        </w:numPr>
        <w:spacing w:after="200" w:line="276" w:lineRule="auto"/>
        <w:jc w:val="left"/>
        <w:rPr>
          <w:color w:val="auto"/>
        </w:rPr>
      </w:pPr>
      <w:r w:rsidRPr="0058546F">
        <w:rPr>
          <w:color w:val="auto"/>
        </w:rPr>
        <w:t>practical</w:t>
      </w:r>
      <w:r w:rsidR="00E5760F" w:rsidRPr="0058546F">
        <w:rPr>
          <w:color w:val="auto"/>
        </w:rPr>
        <w:t xml:space="preserve"> timelines for completing the data improvement activities;</w:t>
      </w:r>
    </w:p>
    <w:p w14:paraId="725BE8F1" w14:textId="77777777" w:rsidR="00E5760F" w:rsidRPr="0058546F" w:rsidRDefault="00E5760F" w:rsidP="00E5760F">
      <w:pPr>
        <w:numPr>
          <w:ilvl w:val="0"/>
          <w:numId w:val="103"/>
        </w:numPr>
        <w:spacing w:after="200" w:line="276" w:lineRule="auto"/>
        <w:jc w:val="left"/>
        <w:rPr>
          <w:color w:val="auto"/>
        </w:rPr>
      </w:pPr>
      <w:r w:rsidRPr="0058546F">
        <w:rPr>
          <w:color w:val="auto"/>
        </w:rPr>
        <w:t xml:space="preserve">expected costs of improvement and implementation; and </w:t>
      </w:r>
    </w:p>
    <w:p w14:paraId="4B045FE9" w14:textId="02D82877" w:rsidR="00E5760F" w:rsidRPr="0058546F" w:rsidRDefault="00E5760F" w:rsidP="00E5760F">
      <w:pPr>
        <w:numPr>
          <w:ilvl w:val="0"/>
          <w:numId w:val="103"/>
        </w:numPr>
        <w:spacing w:after="200" w:line="276" w:lineRule="auto"/>
        <w:jc w:val="left"/>
        <w:rPr>
          <w:color w:val="auto"/>
        </w:rPr>
      </w:pPr>
      <w:r w:rsidRPr="0058546F">
        <w:rPr>
          <w:color w:val="auto"/>
        </w:rPr>
        <w:t xml:space="preserve">the </w:t>
      </w:r>
      <w:r w:rsidR="00FC7358" w:rsidRPr="0058546F">
        <w:rPr>
          <w:color w:val="auto"/>
        </w:rPr>
        <w:t>P</w:t>
      </w:r>
      <w:r w:rsidRPr="0058546F">
        <w:rPr>
          <w:color w:val="auto"/>
        </w:rPr>
        <w:t xml:space="preserve">arties or agencies that will carry out the work. </w:t>
      </w:r>
    </w:p>
    <w:p w14:paraId="01E038F4" w14:textId="1EE62772" w:rsidR="00E5760F" w:rsidRPr="0058546F" w:rsidRDefault="00E5760F" w:rsidP="00E5760F">
      <w:pPr>
        <w:numPr>
          <w:ilvl w:val="0"/>
          <w:numId w:val="101"/>
        </w:numPr>
        <w:spacing w:after="200" w:line="276" w:lineRule="auto"/>
        <w:jc w:val="left"/>
        <w:rPr>
          <w:color w:val="auto"/>
          <w:szCs w:val="23"/>
        </w:rPr>
      </w:pPr>
      <w:r w:rsidRPr="0058546F">
        <w:rPr>
          <w:color w:val="auto"/>
          <w:szCs w:val="23"/>
        </w:rPr>
        <w:lastRenderedPageBreak/>
        <w:t xml:space="preserve">The Working Group will be responsible for progressing the Plan through the governance processes outlined in </w:t>
      </w:r>
      <w:r w:rsidR="007B073F" w:rsidRPr="0058546F">
        <w:rPr>
          <w:color w:val="auto"/>
          <w:szCs w:val="23"/>
        </w:rPr>
        <w:t>clause</w:t>
      </w:r>
      <w:r w:rsidRPr="0058546F">
        <w:rPr>
          <w:color w:val="auto"/>
          <w:szCs w:val="23"/>
        </w:rPr>
        <w:t>s C1</w:t>
      </w:r>
      <w:r w:rsidR="00AC06AD" w:rsidRPr="0058546F">
        <w:rPr>
          <w:color w:val="auto"/>
          <w:szCs w:val="23"/>
        </w:rPr>
        <w:t>3</w:t>
      </w:r>
      <w:r w:rsidRPr="0058546F">
        <w:rPr>
          <w:color w:val="auto"/>
          <w:szCs w:val="23"/>
        </w:rPr>
        <w:t xml:space="preserve"> to C1</w:t>
      </w:r>
      <w:r w:rsidR="00AC06AD" w:rsidRPr="0058546F">
        <w:rPr>
          <w:color w:val="auto"/>
          <w:szCs w:val="23"/>
        </w:rPr>
        <w:t>5</w:t>
      </w:r>
      <w:r w:rsidRPr="0058546F">
        <w:rPr>
          <w:color w:val="auto"/>
          <w:szCs w:val="23"/>
        </w:rPr>
        <w:t xml:space="preserve">. </w:t>
      </w:r>
    </w:p>
    <w:p w14:paraId="11F58AD0" w14:textId="77777777" w:rsidR="00E5760F" w:rsidRPr="0058546F" w:rsidRDefault="00E5760F" w:rsidP="00E5760F">
      <w:pPr>
        <w:numPr>
          <w:ilvl w:val="0"/>
          <w:numId w:val="101"/>
        </w:numPr>
        <w:spacing w:after="200" w:line="276" w:lineRule="auto"/>
        <w:jc w:val="left"/>
        <w:rPr>
          <w:color w:val="auto"/>
          <w:szCs w:val="23"/>
        </w:rPr>
      </w:pPr>
      <w:r w:rsidRPr="0058546F">
        <w:rPr>
          <w:color w:val="auto"/>
          <w:szCs w:val="23"/>
        </w:rPr>
        <w:t xml:space="preserve">The Working Group will be responsible for </w:t>
      </w:r>
      <w:r w:rsidRPr="0058546F">
        <w:rPr>
          <w:color w:val="auto"/>
        </w:rPr>
        <w:t>monitoring and publicly reporting on progress towards completing the relevant data improvement activities.</w:t>
      </w:r>
      <w:r w:rsidRPr="0058546F">
        <w:rPr>
          <w:color w:val="auto"/>
          <w:szCs w:val="23"/>
        </w:rPr>
        <w:t xml:space="preserve"> </w:t>
      </w:r>
    </w:p>
    <w:p w14:paraId="13DAFA73" w14:textId="77777777" w:rsidR="00E5760F" w:rsidRPr="009B6A0D" w:rsidRDefault="00E5760F" w:rsidP="009B6A0D">
      <w:pPr>
        <w:pStyle w:val="Heading3"/>
      </w:pPr>
      <w:r w:rsidRPr="009B6A0D">
        <w:t xml:space="preserve">Deliverables and timelines </w:t>
      </w:r>
    </w:p>
    <w:p w14:paraId="52C6D0B0" w14:textId="77777777" w:rsidR="00E5760F" w:rsidRPr="0058546F" w:rsidRDefault="00E5760F" w:rsidP="00E5760F">
      <w:pPr>
        <w:keepNext/>
        <w:numPr>
          <w:ilvl w:val="0"/>
          <w:numId w:val="101"/>
        </w:numPr>
        <w:spacing w:after="200" w:line="276" w:lineRule="auto"/>
        <w:jc w:val="left"/>
        <w:rPr>
          <w:color w:val="auto"/>
          <w:szCs w:val="23"/>
        </w:rPr>
      </w:pPr>
      <w:r w:rsidRPr="0058546F">
        <w:rPr>
          <w:color w:val="auto"/>
          <w:szCs w:val="23"/>
        </w:rPr>
        <w:t xml:space="preserve">The following constitute the deliverables and respective timelines for the Working Group: </w:t>
      </w:r>
    </w:p>
    <w:tbl>
      <w:tblPr>
        <w:tblStyle w:val="TableGrid1"/>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4641"/>
      </w:tblGrid>
      <w:tr w:rsidR="00E5760F" w:rsidRPr="0058546F" w14:paraId="370553A4" w14:textId="77777777" w:rsidTr="005C51FC">
        <w:tc>
          <w:tcPr>
            <w:tcW w:w="4646" w:type="dxa"/>
            <w:tcBorders>
              <w:top w:val="single" w:sz="4" w:space="0" w:color="auto"/>
              <w:left w:val="single" w:sz="4" w:space="0" w:color="auto"/>
              <w:bottom w:val="single" w:sz="4" w:space="0" w:color="auto"/>
              <w:right w:val="single" w:sz="4" w:space="0" w:color="auto"/>
            </w:tcBorders>
            <w:hideMark/>
          </w:tcPr>
          <w:p w14:paraId="3040D1A5" w14:textId="77777777" w:rsidR="00E5760F" w:rsidRPr="0058546F" w:rsidRDefault="00E5760F" w:rsidP="00E5760F">
            <w:pPr>
              <w:keepNext/>
              <w:ind w:left="567" w:hanging="567"/>
              <w:jc w:val="left"/>
              <w:rPr>
                <w:b/>
                <w:color w:val="auto"/>
                <w:szCs w:val="23"/>
              </w:rPr>
            </w:pPr>
            <w:r w:rsidRPr="0058546F">
              <w:rPr>
                <w:b/>
                <w:color w:val="auto"/>
                <w:szCs w:val="23"/>
              </w:rPr>
              <w:t>Deliverable</w:t>
            </w:r>
          </w:p>
        </w:tc>
        <w:tc>
          <w:tcPr>
            <w:tcW w:w="4641" w:type="dxa"/>
            <w:tcBorders>
              <w:top w:val="single" w:sz="4" w:space="0" w:color="auto"/>
              <w:left w:val="single" w:sz="4" w:space="0" w:color="auto"/>
              <w:bottom w:val="single" w:sz="4" w:space="0" w:color="auto"/>
              <w:right w:val="single" w:sz="4" w:space="0" w:color="auto"/>
            </w:tcBorders>
            <w:hideMark/>
          </w:tcPr>
          <w:p w14:paraId="41B77B63" w14:textId="77777777" w:rsidR="00E5760F" w:rsidRPr="0058546F" w:rsidRDefault="00E5760F" w:rsidP="00E5760F">
            <w:pPr>
              <w:rPr>
                <w:b/>
                <w:color w:val="auto"/>
                <w:szCs w:val="23"/>
              </w:rPr>
            </w:pPr>
            <w:r w:rsidRPr="0058546F">
              <w:rPr>
                <w:b/>
                <w:color w:val="auto"/>
                <w:szCs w:val="23"/>
              </w:rPr>
              <w:t xml:space="preserve">Indicative timeline  </w:t>
            </w:r>
          </w:p>
        </w:tc>
      </w:tr>
      <w:tr w:rsidR="00E5760F" w:rsidRPr="0058546F" w14:paraId="7BB85768" w14:textId="77777777" w:rsidTr="005C51FC">
        <w:tc>
          <w:tcPr>
            <w:tcW w:w="4646" w:type="dxa"/>
            <w:tcBorders>
              <w:top w:val="single" w:sz="4" w:space="0" w:color="auto"/>
              <w:left w:val="single" w:sz="4" w:space="0" w:color="auto"/>
              <w:bottom w:val="single" w:sz="4" w:space="0" w:color="auto"/>
              <w:right w:val="single" w:sz="4" w:space="0" w:color="auto"/>
            </w:tcBorders>
            <w:hideMark/>
          </w:tcPr>
          <w:p w14:paraId="626689C7" w14:textId="77777777" w:rsidR="00E5760F" w:rsidRPr="0058546F" w:rsidRDefault="00E5760F" w:rsidP="00E5760F">
            <w:pPr>
              <w:jc w:val="left"/>
              <w:rPr>
                <w:color w:val="auto"/>
                <w:szCs w:val="23"/>
              </w:rPr>
            </w:pPr>
            <w:r w:rsidRPr="0058546F">
              <w:rPr>
                <w:b/>
                <w:i/>
                <w:color w:val="auto"/>
                <w:szCs w:val="23"/>
              </w:rPr>
              <w:t xml:space="preserve">Establishment </w:t>
            </w:r>
            <w:r w:rsidRPr="0058546F">
              <w:rPr>
                <w:color w:val="auto"/>
                <w:szCs w:val="23"/>
              </w:rPr>
              <w:t>of the Working Group.</w:t>
            </w:r>
          </w:p>
        </w:tc>
        <w:tc>
          <w:tcPr>
            <w:tcW w:w="4641" w:type="dxa"/>
            <w:tcBorders>
              <w:top w:val="single" w:sz="4" w:space="0" w:color="auto"/>
              <w:left w:val="single" w:sz="4" w:space="0" w:color="auto"/>
              <w:bottom w:val="single" w:sz="4" w:space="0" w:color="auto"/>
              <w:right w:val="single" w:sz="4" w:space="0" w:color="auto"/>
            </w:tcBorders>
            <w:hideMark/>
          </w:tcPr>
          <w:p w14:paraId="12C070E9" w14:textId="77777777" w:rsidR="00E5760F" w:rsidRPr="0058546F" w:rsidRDefault="00E5760F" w:rsidP="00E5760F">
            <w:pPr>
              <w:jc w:val="left"/>
              <w:rPr>
                <w:i/>
                <w:color w:val="auto"/>
                <w:szCs w:val="23"/>
              </w:rPr>
            </w:pPr>
            <w:r w:rsidRPr="0058546F">
              <w:rPr>
                <w:color w:val="auto"/>
                <w:szCs w:val="23"/>
              </w:rPr>
              <w:t>Upon commencement of the Agreement.</w:t>
            </w:r>
          </w:p>
        </w:tc>
      </w:tr>
      <w:tr w:rsidR="00E5760F" w:rsidRPr="0058546F" w14:paraId="2E52D35A" w14:textId="77777777" w:rsidTr="005C51FC">
        <w:tc>
          <w:tcPr>
            <w:tcW w:w="4646" w:type="dxa"/>
            <w:tcBorders>
              <w:top w:val="single" w:sz="4" w:space="0" w:color="auto"/>
              <w:left w:val="single" w:sz="4" w:space="0" w:color="auto"/>
              <w:bottom w:val="single" w:sz="4" w:space="0" w:color="auto"/>
              <w:right w:val="single" w:sz="4" w:space="0" w:color="auto"/>
            </w:tcBorders>
            <w:hideMark/>
          </w:tcPr>
          <w:p w14:paraId="69FE3CE5" w14:textId="77777777" w:rsidR="00E5760F" w:rsidRPr="0058546F" w:rsidRDefault="00E5760F" w:rsidP="00E5760F">
            <w:pPr>
              <w:jc w:val="left"/>
              <w:rPr>
                <w:color w:val="auto"/>
                <w:szCs w:val="23"/>
              </w:rPr>
            </w:pPr>
            <w:r w:rsidRPr="0058546F">
              <w:rPr>
                <w:b/>
                <w:i/>
                <w:color w:val="auto"/>
                <w:szCs w:val="23"/>
              </w:rPr>
              <w:t xml:space="preserve">Terms of Reference </w:t>
            </w:r>
            <w:r w:rsidRPr="0058546F">
              <w:rPr>
                <w:color w:val="auto"/>
                <w:szCs w:val="23"/>
              </w:rPr>
              <w:t>developed by the Working Group and endorsed by the Housing and Homelessness Senior Officials’ Network (HHSON) and the Heads of Treasuries Deputies.</w:t>
            </w:r>
          </w:p>
        </w:tc>
        <w:tc>
          <w:tcPr>
            <w:tcW w:w="4641" w:type="dxa"/>
            <w:tcBorders>
              <w:top w:val="single" w:sz="4" w:space="0" w:color="auto"/>
              <w:left w:val="single" w:sz="4" w:space="0" w:color="auto"/>
              <w:bottom w:val="single" w:sz="4" w:space="0" w:color="auto"/>
              <w:right w:val="single" w:sz="4" w:space="0" w:color="auto"/>
            </w:tcBorders>
            <w:hideMark/>
          </w:tcPr>
          <w:p w14:paraId="597310A8" w14:textId="41042091" w:rsidR="00E5760F" w:rsidRPr="0058546F" w:rsidRDefault="00E5760F" w:rsidP="00E5760F">
            <w:pPr>
              <w:jc w:val="left"/>
              <w:rPr>
                <w:color w:val="auto"/>
                <w:szCs w:val="23"/>
              </w:rPr>
            </w:pPr>
            <w:r w:rsidRPr="0058546F">
              <w:rPr>
                <w:color w:val="auto"/>
                <w:szCs w:val="23"/>
              </w:rPr>
              <w:t>By 31 July 2018</w:t>
            </w:r>
            <w:r w:rsidR="00432AB9" w:rsidRPr="0058546F">
              <w:rPr>
                <w:color w:val="auto"/>
                <w:szCs w:val="23"/>
              </w:rPr>
              <w:t>, or within a calendar month of establishment, whichever is the later</w:t>
            </w:r>
            <w:r w:rsidRPr="0058546F">
              <w:rPr>
                <w:color w:val="auto"/>
                <w:szCs w:val="23"/>
              </w:rPr>
              <w:t xml:space="preserve">. </w:t>
            </w:r>
          </w:p>
        </w:tc>
      </w:tr>
      <w:tr w:rsidR="00E5760F" w:rsidRPr="0058546F" w14:paraId="6873EC6C" w14:textId="77777777" w:rsidTr="005C51FC">
        <w:tc>
          <w:tcPr>
            <w:tcW w:w="4646" w:type="dxa"/>
            <w:tcBorders>
              <w:top w:val="single" w:sz="4" w:space="0" w:color="auto"/>
              <w:left w:val="single" w:sz="4" w:space="0" w:color="auto"/>
              <w:bottom w:val="single" w:sz="4" w:space="0" w:color="auto"/>
              <w:right w:val="single" w:sz="4" w:space="0" w:color="auto"/>
            </w:tcBorders>
            <w:hideMark/>
          </w:tcPr>
          <w:p w14:paraId="3A82E0C3" w14:textId="7E8400ED" w:rsidR="00E5760F" w:rsidRPr="0058546F" w:rsidRDefault="00E5760F" w:rsidP="00F25E6F">
            <w:pPr>
              <w:jc w:val="left"/>
              <w:rPr>
                <w:b/>
                <w:i/>
                <w:color w:val="auto"/>
              </w:rPr>
            </w:pPr>
            <w:r w:rsidRPr="0058546F">
              <w:rPr>
                <w:b/>
                <w:i/>
                <w:color w:val="auto"/>
                <w:szCs w:val="23"/>
              </w:rPr>
              <w:t>Development</w:t>
            </w:r>
            <w:r w:rsidRPr="0058546F">
              <w:rPr>
                <w:color w:val="auto"/>
                <w:szCs w:val="23"/>
              </w:rPr>
              <w:t xml:space="preserve"> of a new Data Improvement Plan for the period </w:t>
            </w:r>
            <w:r w:rsidR="00F25E6F" w:rsidRPr="0058546F">
              <w:rPr>
                <w:color w:val="auto"/>
                <w:szCs w:val="23"/>
              </w:rPr>
              <w:t>2019-</w:t>
            </w:r>
            <w:r w:rsidRPr="0058546F">
              <w:rPr>
                <w:color w:val="auto"/>
                <w:szCs w:val="23"/>
              </w:rPr>
              <w:t>2023.</w:t>
            </w:r>
          </w:p>
        </w:tc>
        <w:tc>
          <w:tcPr>
            <w:tcW w:w="4641" w:type="dxa"/>
            <w:tcBorders>
              <w:top w:val="single" w:sz="4" w:space="0" w:color="auto"/>
              <w:left w:val="single" w:sz="4" w:space="0" w:color="auto"/>
              <w:bottom w:val="single" w:sz="4" w:space="0" w:color="auto"/>
              <w:right w:val="single" w:sz="4" w:space="0" w:color="auto"/>
            </w:tcBorders>
            <w:hideMark/>
          </w:tcPr>
          <w:p w14:paraId="49F5741A" w14:textId="77777777" w:rsidR="00E5760F" w:rsidRPr="0058546F" w:rsidRDefault="00E5760F" w:rsidP="00E5760F">
            <w:pPr>
              <w:jc w:val="left"/>
              <w:rPr>
                <w:color w:val="auto"/>
                <w:szCs w:val="23"/>
              </w:rPr>
            </w:pPr>
            <w:r w:rsidRPr="0058546F">
              <w:rPr>
                <w:color w:val="auto"/>
                <w:szCs w:val="23"/>
              </w:rPr>
              <w:t>1 August 2018 – 31 March 2019.</w:t>
            </w:r>
          </w:p>
        </w:tc>
      </w:tr>
      <w:tr w:rsidR="00E5760F" w:rsidRPr="0058546F" w14:paraId="15A9DF51" w14:textId="77777777" w:rsidTr="005C51FC">
        <w:tc>
          <w:tcPr>
            <w:tcW w:w="4646" w:type="dxa"/>
            <w:tcBorders>
              <w:top w:val="single" w:sz="4" w:space="0" w:color="auto"/>
              <w:left w:val="single" w:sz="4" w:space="0" w:color="auto"/>
              <w:bottom w:val="single" w:sz="4" w:space="0" w:color="auto"/>
              <w:right w:val="single" w:sz="4" w:space="0" w:color="auto"/>
            </w:tcBorders>
            <w:hideMark/>
          </w:tcPr>
          <w:p w14:paraId="4241E96A" w14:textId="77777777" w:rsidR="00E5760F" w:rsidRPr="0058546F" w:rsidRDefault="00E5760F" w:rsidP="00E5760F">
            <w:pPr>
              <w:jc w:val="left"/>
              <w:rPr>
                <w:color w:val="auto"/>
              </w:rPr>
            </w:pPr>
            <w:r w:rsidRPr="0058546F">
              <w:rPr>
                <w:b/>
                <w:i/>
                <w:color w:val="auto"/>
              </w:rPr>
              <w:t>Endorsement</w:t>
            </w:r>
            <w:r w:rsidRPr="0058546F">
              <w:rPr>
                <w:color w:val="auto"/>
              </w:rPr>
              <w:t xml:space="preserve"> by Housing and Homelessness Minister and the Council on Federal Financial Relations of the Plan. </w:t>
            </w:r>
          </w:p>
        </w:tc>
        <w:tc>
          <w:tcPr>
            <w:tcW w:w="4641" w:type="dxa"/>
            <w:tcBorders>
              <w:top w:val="single" w:sz="4" w:space="0" w:color="auto"/>
              <w:left w:val="single" w:sz="4" w:space="0" w:color="auto"/>
              <w:bottom w:val="single" w:sz="4" w:space="0" w:color="auto"/>
              <w:right w:val="single" w:sz="4" w:space="0" w:color="auto"/>
            </w:tcBorders>
            <w:hideMark/>
          </w:tcPr>
          <w:p w14:paraId="75A45CD9" w14:textId="77777777" w:rsidR="00E5760F" w:rsidRPr="0058546F" w:rsidRDefault="00E5760F" w:rsidP="00E5760F">
            <w:pPr>
              <w:jc w:val="left"/>
              <w:rPr>
                <w:color w:val="auto"/>
              </w:rPr>
            </w:pPr>
            <w:r w:rsidRPr="0058546F">
              <w:rPr>
                <w:color w:val="auto"/>
                <w:szCs w:val="23"/>
              </w:rPr>
              <w:t xml:space="preserve">By </w:t>
            </w:r>
            <w:r w:rsidRPr="0058546F">
              <w:rPr>
                <w:color w:val="auto"/>
              </w:rPr>
              <w:t xml:space="preserve">31 March 2019. </w:t>
            </w:r>
          </w:p>
          <w:p w14:paraId="3D8AECC4" w14:textId="77777777" w:rsidR="00E5760F" w:rsidRPr="0058546F" w:rsidRDefault="00E5760F" w:rsidP="00E5760F">
            <w:pPr>
              <w:jc w:val="left"/>
              <w:rPr>
                <w:color w:val="auto"/>
              </w:rPr>
            </w:pPr>
            <w:r w:rsidRPr="0058546F">
              <w:rPr>
                <w:color w:val="auto"/>
              </w:rPr>
              <w:t>HHSON and Heads of Treasuries Deputies may agree to extend this timeline.</w:t>
            </w:r>
          </w:p>
        </w:tc>
      </w:tr>
      <w:tr w:rsidR="00E5760F" w:rsidRPr="0058546F" w14:paraId="498DC203" w14:textId="77777777" w:rsidTr="005C51FC">
        <w:tc>
          <w:tcPr>
            <w:tcW w:w="4646" w:type="dxa"/>
            <w:tcBorders>
              <w:top w:val="single" w:sz="4" w:space="0" w:color="auto"/>
              <w:left w:val="single" w:sz="4" w:space="0" w:color="auto"/>
              <w:bottom w:val="single" w:sz="4" w:space="0" w:color="auto"/>
              <w:right w:val="single" w:sz="4" w:space="0" w:color="auto"/>
            </w:tcBorders>
            <w:hideMark/>
          </w:tcPr>
          <w:p w14:paraId="30E8DE2C" w14:textId="563B34B5" w:rsidR="00E5760F" w:rsidRPr="0058546F" w:rsidRDefault="00E5760F" w:rsidP="00E5760F">
            <w:pPr>
              <w:jc w:val="left"/>
              <w:rPr>
                <w:color w:val="auto"/>
                <w:szCs w:val="23"/>
              </w:rPr>
            </w:pPr>
            <w:r w:rsidRPr="0058546F">
              <w:rPr>
                <w:b/>
                <w:i/>
                <w:color w:val="auto"/>
                <w:szCs w:val="23"/>
              </w:rPr>
              <w:t xml:space="preserve">Schedule </w:t>
            </w:r>
            <w:r w:rsidRPr="0058546F">
              <w:rPr>
                <w:color w:val="auto"/>
                <w:szCs w:val="23"/>
              </w:rPr>
              <w:t>outlining agreed data improvements</w:t>
            </w:r>
            <w:r w:rsidRPr="0058546F">
              <w:rPr>
                <w:b/>
                <w:i/>
                <w:color w:val="auto"/>
                <w:szCs w:val="23"/>
              </w:rPr>
              <w:t xml:space="preserve"> </w:t>
            </w:r>
            <w:r w:rsidRPr="0058546F">
              <w:rPr>
                <w:color w:val="auto"/>
                <w:szCs w:val="23"/>
              </w:rPr>
              <w:t>added to the Agreement by the Commonwealth and agreed to by all relevant Parties.</w:t>
            </w:r>
          </w:p>
        </w:tc>
        <w:tc>
          <w:tcPr>
            <w:tcW w:w="4641" w:type="dxa"/>
            <w:tcBorders>
              <w:top w:val="single" w:sz="4" w:space="0" w:color="auto"/>
              <w:left w:val="single" w:sz="4" w:space="0" w:color="auto"/>
              <w:bottom w:val="single" w:sz="4" w:space="0" w:color="auto"/>
              <w:right w:val="single" w:sz="4" w:space="0" w:color="auto"/>
            </w:tcBorders>
            <w:hideMark/>
          </w:tcPr>
          <w:p w14:paraId="70A01D37" w14:textId="77777777" w:rsidR="00E5760F" w:rsidRPr="0058546F" w:rsidRDefault="00E5760F" w:rsidP="00E5760F">
            <w:pPr>
              <w:jc w:val="left"/>
              <w:rPr>
                <w:color w:val="auto"/>
                <w:szCs w:val="23"/>
              </w:rPr>
            </w:pPr>
            <w:r w:rsidRPr="0058546F">
              <w:rPr>
                <w:color w:val="auto"/>
                <w:szCs w:val="23"/>
              </w:rPr>
              <w:t>By 30 June 2019.</w:t>
            </w:r>
          </w:p>
        </w:tc>
      </w:tr>
      <w:tr w:rsidR="00E5760F" w:rsidRPr="0058546F" w14:paraId="05BA3988" w14:textId="77777777" w:rsidTr="005C51FC">
        <w:tc>
          <w:tcPr>
            <w:tcW w:w="4646" w:type="dxa"/>
            <w:tcBorders>
              <w:top w:val="single" w:sz="4" w:space="0" w:color="auto"/>
              <w:left w:val="single" w:sz="4" w:space="0" w:color="auto"/>
              <w:bottom w:val="single" w:sz="4" w:space="0" w:color="auto"/>
              <w:right w:val="single" w:sz="4" w:space="0" w:color="auto"/>
            </w:tcBorders>
            <w:hideMark/>
          </w:tcPr>
          <w:p w14:paraId="5E58D0AB" w14:textId="77777777" w:rsidR="00E5760F" w:rsidRPr="0058546F" w:rsidRDefault="00E5760F" w:rsidP="00E5760F">
            <w:pPr>
              <w:jc w:val="left"/>
              <w:rPr>
                <w:color w:val="auto"/>
                <w:szCs w:val="23"/>
              </w:rPr>
            </w:pPr>
            <w:r w:rsidRPr="0058546F">
              <w:rPr>
                <w:b/>
                <w:i/>
                <w:color w:val="auto"/>
                <w:szCs w:val="23"/>
              </w:rPr>
              <w:t>Report</w:t>
            </w:r>
            <w:r w:rsidRPr="0058546F">
              <w:rPr>
                <w:color w:val="auto"/>
                <w:szCs w:val="23"/>
              </w:rPr>
              <w:t xml:space="preserve"> by Working Group on implementation of data improvement activities to HHSON, Heads of Treasuries Deputies and Housing and Homelessness Ministers.</w:t>
            </w:r>
          </w:p>
        </w:tc>
        <w:tc>
          <w:tcPr>
            <w:tcW w:w="4641" w:type="dxa"/>
            <w:tcBorders>
              <w:top w:val="single" w:sz="4" w:space="0" w:color="auto"/>
              <w:left w:val="single" w:sz="4" w:space="0" w:color="auto"/>
              <w:bottom w:val="single" w:sz="4" w:space="0" w:color="auto"/>
              <w:right w:val="single" w:sz="4" w:space="0" w:color="auto"/>
            </w:tcBorders>
            <w:hideMark/>
          </w:tcPr>
          <w:p w14:paraId="104A1953" w14:textId="77777777" w:rsidR="00E5760F" w:rsidRPr="0058546F" w:rsidRDefault="00E5760F" w:rsidP="00E5760F">
            <w:pPr>
              <w:jc w:val="left"/>
              <w:rPr>
                <w:color w:val="auto"/>
                <w:szCs w:val="23"/>
              </w:rPr>
            </w:pPr>
            <w:r w:rsidRPr="0058546F">
              <w:rPr>
                <w:color w:val="auto"/>
                <w:szCs w:val="23"/>
              </w:rPr>
              <w:t>Last quarter of 2020.</w:t>
            </w:r>
          </w:p>
        </w:tc>
      </w:tr>
      <w:tr w:rsidR="00E5760F" w:rsidRPr="0058546F" w14:paraId="4F54E12D" w14:textId="77777777" w:rsidTr="005C51FC">
        <w:tc>
          <w:tcPr>
            <w:tcW w:w="4646" w:type="dxa"/>
            <w:tcBorders>
              <w:top w:val="single" w:sz="4" w:space="0" w:color="auto"/>
              <w:left w:val="single" w:sz="4" w:space="0" w:color="auto"/>
              <w:bottom w:val="single" w:sz="4" w:space="0" w:color="auto"/>
              <w:right w:val="single" w:sz="4" w:space="0" w:color="auto"/>
            </w:tcBorders>
            <w:hideMark/>
          </w:tcPr>
          <w:p w14:paraId="543DC89B" w14:textId="77777777" w:rsidR="00E5760F" w:rsidRPr="0058546F" w:rsidRDefault="00E5760F" w:rsidP="00E5760F">
            <w:pPr>
              <w:jc w:val="left"/>
              <w:rPr>
                <w:color w:val="auto"/>
                <w:szCs w:val="23"/>
              </w:rPr>
            </w:pPr>
            <w:r w:rsidRPr="0058546F">
              <w:rPr>
                <w:b/>
                <w:i/>
                <w:color w:val="auto"/>
                <w:szCs w:val="23"/>
              </w:rPr>
              <w:t>Report</w:t>
            </w:r>
            <w:r w:rsidRPr="0058546F">
              <w:rPr>
                <w:color w:val="auto"/>
                <w:szCs w:val="23"/>
              </w:rPr>
              <w:t xml:space="preserve"> by Working Group on implementation of data improvement activities to HHSON, Heads of Treasuries Deputies and Housing and Homelessness Ministers.</w:t>
            </w:r>
          </w:p>
        </w:tc>
        <w:tc>
          <w:tcPr>
            <w:tcW w:w="4641" w:type="dxa"/>
            <w:tcBorders>
              <w:top w:val="single" w:sz="4" w:space="0" w:color="auto"/>
              <w:left w:val="single" w:sz="4" w:space="0" w:color="auto"/>
              <w:bottom w:val="single" w:sz="4" w:space="0" w:color="auto"/>
              <w:right w:val="single" w:sz="4" w:space="0" w:color="auto"/>
            </w:tcBorders>
            <w:hideMark/>
          </w:tcPr>
          <w:p w14:paraId="6145D6F8" w14:textId="77777777" w:rsidR="00E5760F" w:rsidRPr="0058546F" w:rsidRDefault="00E5760F" w:rsidP="00E5760F">
            <w:pPr>
              <w:jc w:val="left"/>
              <w:rPr>
                <w:color w:val="auto"/>
                <w:szCs w:val="23"/>
              </w:rPr>
            </w:pPr>
            <w:r w:rsidRPr="0058546F">
              <w:rPr>
                <w:color w:val="auto"/>
                <w:szCs w:val="23"/>
              </w:rPr>
              <w:t>Last quarter of 2021.</w:t>
            </w:r>
          </w:p>
        </w:tc>
      </w:tr>
      <w:tr w:rsidR="00E5760F" w:rsidRPr="0058546F" w14:paraId="05A361D3" w14:textId="77777777" w:rsidTr="005C51FC">
        <w:tc>
          <w:tcPr>
            <w:tcW w:w="4646" w:type="dxa"/>
            <w:tcBorders>
              <w:top w:val="single" w:sz="4" w:space="0" w:color="auto"/>
              <w:left w:val="single" w:sz="4" w:space="0" w:color="auto"/>
              <w:bottom w:val="single" w:sz="4" w:space="0" w:color="auto"/>
              <w:right w:val="single" w:sz="4" w:space="0" w:color="auto"/>
            </w:tcBorders>
            <w:hideMark/>
          </w:tcPr>
          <w:p w14:paraId="064F6992" w14:textId="77777777" w:rsidR="00E5760F" w:rsidRPr="0058546F" w:rsidRDefault="00E5760F" w:rsidP="00E5760F">
            <w:pPr>
              <w:jc w:val="left"/>
              <w:rPr>
                <w:color w:val="auto"/>
                <w:szCs w:val="23"/>
              </w:rPr>
            </w:pPr>
            <w:r w:rsidRPr="0058546F">
              <w:rPr>
                <w:b/>
                <w:i/>
                <w:color w:val="auto"/>
                <w:szCs w:val="23"/>
              </w:rPr>
              <w:t>Report</w:t>
            </w:r>
            <w:r w:rsidRPr="0058546F">
              <w:rPr>
                <w:color w:val="auto"/>
                <w:szCs w:val="23"/>
              </w:rPr>
              <w:t xml:space="preserve"> by Working Group on implementation of data improvement activities to HHSON, Heads of Treasuries Deputies and Housing and Homelessness Ministers.</w:t>
            </w:r>
          </w:p>
        </w:tc>
        <w:tc>
          <w:tcPr>
            <w:tcW w:w="4641" w:type="dxa"/>
            <w:tcBorders>
              <w:top w:val="single" w:sz="4" w:space="0" w:color="auto"/>
              <w:left w:val="single" w:sz="4" w:space="0" w:color="auto"/>
              <w:bottom w:val="single" w:sz="4" w:space="0" w:color="auto"/>
              <w:right w:val="single" w:sz="4" w:space="0" w:color="auto"/>
            </w:tcBorders>
            <w:hideMark/>
          </w:tcPr>
          <w:p w14:paraId="2F91C0EF" w14:textId="77777777" w:rsidR="00E5760F" w:rsidRPr="0058546F" w:rsidRDefault="00E5760F" w:rsidP="00E5760F">
            <w:pPr>
              <w:jc w:val="left"/>
              <w:rPr>
                <w:color w:val="auto"/>
                <w:szCs w:val="23"/>
              </w:rPr>
            </w:pPr>
            <w:r w:rsidRPr="0058546F">
              <w:rPr>
                <w:color w:val="auto"/>
                <w:szCs w:val="23"/>
              </w:rPr>
              <w:t>By the last quarter of 2022.</w:t>
            </w:r>
          </w:p>
        </w:tc>
      </w:tr>
      <w:tr w:rsidR="00E5760F" w:rsidRPr="0058546F" w14:paraId="7AA428FE" w14:textId="77777777" w:rsidTr="005C51FC">
        <w:tc>
          <w:tcPr>
            <w:tcW w:w="4646" w:type="dxa"/>
            <w:tcBorders>
              <w:top w:val="single" w:sz="4" w:space="0" w:color="auto"/>
              <w:left w:val="single" w:sz="4" w:space="0" w:color="auto"/>
              <w:bottom w:val="single" w:sz="4" w:space="0" w:color="auto"/>
              <w:right w:val="single" w:sz="4" w:space="0" w:color="auto"/>
            </w:tcBorders>
            <w:hideMark/>
          </w:tcPr>
          <w:p w14:paraId="67EC9CB0" w14:textId="77777777" w:rsidR="00E5760F" w:rsidRPr="0058546F" w:rsidRDefault="00E5760F" w:rsidP="00E5760F">
            <w:pPr>
              <w:jc w:val="left"/>
              <w:rPr>
                <w:color w:val="auto"/>
                <w:szCs w:val="23"/>
              </w:rPr>
            </w:pPr>
            <w:r w:rsidRPr="0058546F">
              <w:rPr>
                <w:b/>
                <w:i/>
                <w:color w:val="auto"/>
                <w:szCs w:val="23"/>
              </w:rPr>
              <w:t>Development</w:t>
            </w:r>
            <w:r w:rsidRPr="0058546F">
              <w:rPr>
                <w:color w:val="auto"/>
                <w:szCs w:val="23"/>
              </w:rPr>
              <w:t xml:space="preserve"> of a new Data Improvement Plan for the period 2023-2028.</w:t>
            </w:r>
          </w:p>
        </w:tc>
        <w:tc>
          <w:tcPr>
            <w:tcW w:w="4641" w:type="dxa"/>
            <w:tcBorders>
              <w:top w:val="single" w:sz="4" w:space="0" w:color="auto"/>
              <w:left w:val="single" w:sz="4" w:space="0" w:color="auto"/>
              <w:bottom w:val="single" w:sz="4" w:space="0" w:color="auto"/>
              <w:right w:val="single" w:sz="4" w:space="0" w:color="auto"/>
            </w:tcBorders>
            <w:hideMark/>
          </w:tcPr>
          <w:p w14:paraId="7B43FF40" w14:textId="77777777" w:rsidR="00E5760F" w:rsidRPr="0058546F" w:rsidRDefault="00E5760F" w:rsidP="00E5760F">
            <w:pPr>
              <w:jc w:val="left"/>
              <w:rPr>
                <w:color w:val="auto"/>
                <w:szCs w:val="23"/>
              </w:rPr>
            </w:pPr>
            <w:r w:rsidRPr="0058546F">
              <w:rPr>
                <w:color w:val="auto"/>
                <w:szCs w:val="23"/>
              </w:rPr>
              <w:t>Mid 2022 – 31 March 2023.</w:t>
            </w:r>
          </w:p>
        </w:tc>
      </w:tr>
      <w:tr w:rsidR="00E5760F" w:rsidRPr="0058546F" w14:paraId="2636E07E" w14:textId="77777777" w:rsidTr="005C51FC">
        <w:tc>
          <w:tcPr>
            <w:tcW w:w="4646" w:type="dxa"/>
            <w:tcBorders>
              <w:top w:val="single" w:sz="4" w:space="0" w:color="auto"/>
              <w:left w:val="single" w:sz="4" w:space="0" w:color="auto"/>
              <w:bottom w:val="single" w:sz="4" w:space="0" w:color="auto"/>
              <w:right w:val="single" w:sz="4" w:space="0" w:color="auto"/>
            </w:tcBorders>
            <w:hideMark/>
          </w:tcPr>
          <w:p w14:paraId="06C583F3" w14:textId="77777777" w:rsidR="00E5760F" w:rsidRPr="0058546F" w:rsidRDefault="00E5760F" w:rsidP="00E5760F">
            <w:pPr>
              <w:jc w:val="left"/>
              <w:rPr>
                <w:color w:val="auto"/>
                <w:szCs w:val="23"/>
              </w:rPr>
            </w:pPr>
            <w:r w:rsidRPr="0058546F">
              <w:rPr>
                <w:b/>
                <w:i/>
                <w:color w:val="auto"/>
                <w:szCs w:val="23"/>
              </w:rPr>
              <w:lastRenderedPageBreak/>
              <w:t>Report</w:t>
            </w:r>
            <w:r w:rsidRPr="0058546F">
              <w:rPr>
                <w:color w:val="auto"/>
                <w:szCs w:val="23"/>
              </w:rPr>
              <w:t xml:space="preserve"> by Working Group on implementation of data improvement activities for the period 2019-2023 to HHSON, Heads of Treasuries Deputies and Housing and Homelessness Ministers.</w:t>
            </w:r>
          </w:p>
        </w:tc>
        <w:tc>
          <w:tcPr>
            <w:tcW w:w="4641" w:type="dxa"/>
            <w:tcBorders>
              <w:top w:val="single" w:sz="4" w:space="0" w:color="auto"/>
              <w:left w:val="single" w:sz="4" w:space="0" w:color="auto"/>
              <w:bottom w:val="single" w:sz="4" w:space="0" w:color="auto"/>
              <w:right w:val="single" w:sz="4" w:space="0" w:color="auto"/>
            </w:tcBorders>
            <w:hideMark/>
          </w:tcPr>
          <w:p w14:paraId="6263B580" w14:textId="77777777" w:rsidR="00E5760F" w:rsidRPr="0058546F" w:rsidRDefault="00E5760F" w:rsidP="00E5760F">
            <w:pPr>
              <w:jc w:val="left"/>
              <w:rPr>
                <w:color w:val="auto"/>
                <w:szCs w:val="23"/>
              </w:rPr>
            </w:pPr>
            <w:r w:rsidRPr="0058546F">
              <w:rPr>
                <w:color w:val="auto"/>
                <w:szCs w:val="23"/>
              </w:rPr>
              <w:t>By the last quarter of 2023.</w:t>
            </w:r>
          </w:p>
        </w:tc>
      </w:tr>
    </w:tbl>
    <w:p w14:paraId="224F1851" w14:textId="77777777" w:rsidR="00E5760F" w:rsidRPr="0058546F" w:rsidRDefault="00E5760F" w:rsidP="00E5760F">
      <w:pPr>
        <w:ind w:left="567"/>
        <w:jc w:val="left"/>
        <w:rPr>
          <w:color w:val="auto"/>
          <w:szCs w:val="23"/>
        </w:rPr>
      </w:pPr>
    </w:p>
    <w:p w14:paraId="4F64AD66" w14:textId="757657DD" w:rsidR="00E5760F" w:rsidRPr="0058546F" w:rsidRDefault="00E5760F" w:rsidP="00E5760F">
      <w:pPr>
        <w:numPr>
          <w:ilvl w:val="0"/>
          <w:numId w:val="101"/>
        </w:numPr>
        <w:spacing w:after="200" w:line="276" w:lineRule="auto"/>
        <w:jc w:val="left"/>
        <w:rPr>
          <w:color w:val="auto"/>
          <w:szCs w:val="23"/>
        </w:rPr>
      </w:pPr>
      <w:r w:rsidRPr="0058546F">
        <w:rPr>
          <w:color w:val="auto"/>
          <w:szCs w:val="23"/>
        </w:rPr>
        <w:t xml:space="preserve">The deliverables and indicative timelines for the Working Group will be updated as part of the review set out in </w:t>
      </w:r>
      <w:r w:rsidR="007B073F" w:rsidRPr="0058546F">
        <w:rPr>
          <w:color w:val="auto"/>
          <w:szCs w:val="23"/>
        </w:rPr>
        <w:t>clause</w:t>
      </w:r>
      <w:r w:rsidRPr="0058546F">
        <w:rPr>
          <w:color w:val="auto"/>
          <w:szCs w:val="23"/>
        </w:rPr>
        <w:t xml:space="preserve"> </w:t>
      </w:r>
      <w:r w:rsidR="005C2A19" w:rsidRPr="0058546F">
        <w:rPr>
          <w:color w:val="auto"/>
          <w:szCs w:val="23"/>
        </w:rPr>
        <w:t>C</w:t>
      </w:r>
      <w:r w:rsidRPr="0058546F">
        <w:rPr>
          <w:color w:val="auto"/>
          <w:szCs w:val="23"/>
        </w:rPr>
        <w:t>3</w:t>
      </w:r>
      <w:r w:rsidR="008A0C17" w:rsidRPr="0058546F">
        <w:rPr>
          <w:color w:val="auto"/>
          <w:szCs w:val="23"/>
        </w:rPr>
        <w:t>0</w:t>
      </w:r>
      <w:r w:rsidRPr="0058546F">
        <w:rPr>
          <w:color w:val="auto"/>
          <w:szCs w:val="23"/>
        </w:rPr>
        <w:t xml:space="preserve">. </w:t>
      </w:r>
    </w:p>
    <w:p w14:paraId="645CF0F4" w14:textId="77777777" w:rsidR="00E5760F" w:rsidRPr="009B6A0D" w:rsidRDefault="00E5760F" w:rsidP="009B6A0D">
      <w:pPr>
        <w:pStyle w:val="Heading3"/>
      </w:pPr>
      <w:r w:rsidRPr="009B6A0D">
        <w:t>Governance and Reporting</w:t>
      </w:r>
    </w:p>
    <w:p w14:paraId="5C94A4BE" w14:textId="77777777" w:rsidR="00E5760F" w:rsidRPr="0058546F" w:rsidRDefault="00E5760F" w:rsidP="00E5760F">
      <w:pPr>
        <w:numPr>
          <w:ilvl w:val="0"/>
          <w:numId w:val="101"/>
        </w:numPr>
        <w:spacing w:after="200" w:line="276" w:lineRule="auto"/>
        <w:jc w:val="left"/>
        <w:rPr>
          <w:color w:val="auto"/>
          <w:szCs w:val="23"/>
        </w:rPr>
      </w:pPr>
      <w:r w:rsidRPr="0058546F">
        <w:rPr>
          <w:color w:val="auto"/>
          <w:szCs w:val="23"/>
        </w:rPr>
        <w:t>The Working Group’s proposed Plan will be submitted to the Council on Federal Financial Relations for endorsement, subject to approval through the HHSON, Heads of Treasuries Deputies and Housing and Homelessness Ministers.</w:t>
      </w:r>
    </w:p>
    <w:p w14:paraId="4D8100A3" w14:textId="039E0378" w:rsidR="00E5760F" w:rsidRPr="0058546F" w:rsidRDefault="00E5760F" w:rsidP="00E5760F">
      <w:pPr>
        <w:numPr>
          <w:ilvl w:val="0"/>
          <w:numId w:val="101"/>
        </w:numPr>
        <w:spacing w:after="200" w:line="276" w:lineRule="auto"/>
        <w:jc w:val="left"/>
        <w:rPr>
          <w:color w:val="auto"/>
          <w:szCs w:val="23"/>
        </w:rPr>
      </w:pPr>
      <w:r w:rsidRPr="0058546F">
        <w:rPr>
          <w:color w:val="auto"/>
          <w:szCs w:val="23"/>
        </w:rPr>
        <w:t>Once endorsed the Commonwealth will incorporate this Plan into a new schedule to the Agreement.</w:t>
      </w:r>
    </w:p>
    <w:p w14:paraId="69025177" w14:textId="77777777" w:rsidR="00E5760F" w:rsidRPr="0058546F" w:rsidRDefault="00E5760F" w:rsidP="00E5760F">
      <w:pPr>
        <w:numPr>
          <w:ilvl w:val="0"/>
          <w:numId w:val="101"/>
        </w:numPr>
        <w:spacing w:after="200" w:line="276" w:lineRule="auto"/>
        <w:jc w:val="left"/>
        <w:rPr>
          <w:color w:val="auto"/>
          <w:szCs w:val="23"/>
        </w:rPr>
      </w:pPr>
      <w:r w:rsidRPr="0058546F">
        <w:rPr>
          <w:color w:val="auto"/>
          <w:szCs w:val="23"/>
        </w:rPr>
        <w:t xml:space="preserve">The Working Group will report annually to the HHSON and Heads of Treasuries Deputies on the progress towards implementing data improvement activities specified in the Plan. </w:t>
      </w:r>
    </w:p>
    <w:p w14:paraId="18FC43C9" w14:textId="6A609D3C" w:rsidR="00E5760F" w:rsidRPr="009B6A0D" w:rsidRDefault="00E5760F" w:rsidP="009B6A0D">
      <w:pPr>
        <w:pStyle w:val="Heading3"/>
      </w:pPr>
      <w:r w:rsidRPr="009B6A0D">
        <w:t>Funding</w:t>
      </w:r>
    </w:p>
    <w:p w14:paraId="20C12BAC" w14:textId="77777777" w:rsidR="00E5760F" w:rsidRPr="0058546F" w:rsidRDefault="00E5760F" w:rsidP="00E5760F">
      <w:pPr>
        <w:numPr>
          <w:ilvl w:val="0"/>
          <w:numId w:val="101"/>
        </w:numPr>
        <w:spacing w:after="200" w:line="276" w:lineRule="auto"/>
        <w:jc w:val="left"/>
        <w:rPr>
          <w:color w:val="auto"/>
          <w:szCs w:val="23"/>
        </w:rPr>
      </w:pPr>
      <w:r w:rsidRPr="0058546F">
        <w:rPr>
          <w:color w:val="auto"/>
          <w:szCs w:val="23"/>
        </w:rPr>
        <w:t>The costs associated with specific data improvements will be borne by the jurisdictions or members responsible for the activities, unless otherwise agreed by the relevant Ministers.</w:t>
      </w:r>
    </w:p>
    <w:p w14:paraId="2DB51B0F" w14:textId="77777777" w:rsidR="00E5760F" w:rsidRPr="009B6A0D" w:rsidRDefault="00E5760F" w:rsidP="009B6A0D">
      <w:pPr>
        <w:pStyle w:val="Heading3"/>
      </w:pPr>
      <w:bookmarkStart w:id="5" w:name="_Toc504490434"/>
      <w:bookmarkStart w:id="6" w:name="_Toc504490451"/>
      <w:bookmarkStart w:id="7" w:name="_Toc504492455"/>
      <w:bookmarkStart w:id="8" w:name="_Toc504492474"/>
      <w:bookmarkStart w:id="9" w:name="_Toc503865373"/>
      <w:bookmarkStart w:id="10" w:name="_Toc503865655"/>
      <w:bookmarkStart w:id="11" w:name="_Toc503865671"/>
      <w:bookmarkStart w:id="12" w:name="_Toc503865681"/>
      <w:bookmarkStart w:id="13" w:name="_Toc504492475"/>
      <w:bookmarkEnd w:id="5"/>
      <w:bookmarkEnd w:id="6"/>
      <w:bookmarkEnd w:id="7"/>
      <w:bookmarkEnd w:id="8"/>
      <w:bookmarkEnd w:id="9"/>
      <w:bookmarkEnd w:id="10"/>
      <w:bookmarkEnd w:id="11"/>
      <w:bookmarkEnd w:id="12"/>
      <w:r w:rsidRPr="009B6A0D">
        <w:t>Scope of Activities</w:t>
      </w:r>
      <w:bookmarkEnd w:id="13"/>
    </w:p>
    <w:p w14:paraId="17DBE36C" w14:textId="77777777" w:rsidR="00E5760F" w:rsidRPr="0058546F" w:rsidRDefault="00E5760F" w:rsidP="00E5760F">
      <w:pPr>
        <w:numPr>
          <w:ilvl w:val="0"/>
          <w:numId w:val="101"/>
        </w:numPr>
        <w:spacing w:after="200" w:line="276" w:lineRule="auto"/>
        <w:jc w:val="left"/>
        <w:rPr>
          <w:color w:val="auto"/>
          <w:szCs w:val="23"/>
        </w:rPr>
      </w:pPr>
      <w:r w:rsidRPr="0058546F">
        <w:rPr>
          <w:color w:val="auto"/>
          <w:szCs w:val="23"/>
        </w:rPr>
        <w:t xml:space="preserve">The Working Group will recommend and support implementation of data improvements that contribute to appropriate, nationally consistent and comparable data to support the Agreement and inform future housing and homelessness policy and research. </w:t>
      </w:r>
    </w:p>
    <w:p w14:paraId="69B058F5" w14:textId="77777777" w:rsidR="00E5760F" w:rsidRPr="0058546F" w:rsidRDefault="00E5760F" w:rsidP="00E5760F">
      <w:pPr>
        <w:keepNext/>
        <w:numPr>
          <w:ilvl w:val="0"/>
          <w:numId w:val="101"/>
        </w:numPr>
        <w:spacing w:after="200" w:line="276" w:lineRule="auto"/>
        <w:jc w:val="left"/>
        <w:rPr>
          <w:color w:val="auto"/>
          <w:szCs w:val="23"/>
        </w:rPr>
      </w:pPr>
      <w:r w:rsidRPr="0058546F">
        <w:rPr>
          <w:color w:val="auto"/>
          <w:szCs w:val="23"/>
        </w:rPr>
        <w:t>The Working Group’s activities will include, but not be limited to, the following activities:</w:t>
      </w:r>
    </w:p>
    <w:p w14:paraId="2D51AE15" w14:textId="51018A0B" w:rsidR="00E5760F" w:rsidRPr="0058546F" w:rsidRDefault="00E5760F" w:rsidP="00E5760F">
      <w:pPr>
        <w:numPr>
          <w:ilvl w:val="1"/>
          <w:numId w:val="101"/>
        </w:numPr>
        <w:spacing w:after="200" w:line="276" w:lineRule="auto"/>
        <w:jc w:val="left"/>
        <w:rPr>
          <w:color w:val="auto"/>
          <w:szCs w:val="23"/>
        </w:rPr>
      </w:pPr>
      <w:r w:rsidRPr="0058546F">
        <w:rPr>
          <w:color w:val="auto"/>
          <w:szCs w:val="23"/>
        </w:rPr>
        <w:t xml:space="preserve">identifying the data and data improvements required (including potential new data) to support assessment of </w:t>
      </w:r>
      <w:r w:rsidR="00F25E6F" w:rsidRPr="0058546F">
        <w:rPr>
          <w:color w:val="auto"/>
          <w:szCs w:val="23"/>
        </w:rPr>
        <w:t xml:space="preserve">progress towards achieving outcomes </w:t>
      </w:r>
      <w:r w:rsidRPr="0058546F">
        <w:rPr>
          <w:color w:val="auto"/>
          <w:szCs w:val="23"/>
        </w:rPr>
        <w:t>under the Agreement or, more broadly, improved housing</w:t>
      </w:r>
      <w:r w:rsidR="00F25E6F" w:rsidRPr="0058546F">
        <w:rPr>
          <w:color w:val="auto"/>
          <w:szCs w:val="23"/>
        </w:rPr>
        <w:t>,</w:t>
      </w:r>
      <w:r w:rsidRPr="0058546F">
        <w:rPr>
          <w:color w:val="auto"/>
          <w:szCs w:val="23"/>
        </w:rPr>
        <w:t xml:space="preserve"> homelessness </w:t>
      </w:r>
      <w:r w:rsidR="00F25E6F" w:rsidRPr="0058546F">
        <w:rPr>
          <w:color w:val="auto"/>
          <w:szCs w:val="23"/>
        </w:rPr>
        <w:t xml:space="preserve">and housing affordability </w:t>
      </w:r>
      <w:r w:rsidRPr="0058546F">
        <w:rPr>
          <w:color w:val="auto"/>
          <w:szCs w:val="23"/>
        </w:rPr>
        <w:t xml:space="preserve">research and policy, including:  </w:t>
      </w:r>
    </w:p>
    <w:p w14:paraId="319037DE" w14:textId="48546CA0" w:rsidR="00E5760F" w:rsidRPr="0058546F" w:rsidRDefault="00E5760F" w:rsidP="00E5760F">
      <w:pPr>
        <w:numPr>
          <w:ilvl w:val="2"/>
          <w:numId w:val="101"/>
        </w:numPr>
        <w:spacing w:after="200" w:line="276" w:lineRule="auto"/>
        <w:jc w:val="left"/>
        <w:rPr>
          <w:color w:val="auto"/>
          <w:szCs w:val="23"/>
        </w:rPr>
      </w:pPr>
      <w:r w:rsidRPr="0058546F">
        <w:rPr>
          <w:color w:val="auto"/>
          <w:szCs w:val="23"/>
        </w:rPr>
        <w:t>identifying key housing</w:t>
      </w:r>
      <w:r w:rsidR="00F25E6F" w:rsidRPr="0058546F">
        <w:rPr>
          <w:color w:val="auto"/>
          <w:szCs w:val="23"/>
        </w:rPr>
        <w:t>,</w:t>
      </w:r>
      <w:r w:rsidRPr="0058546F">
        <w:rPr>
          <w:color w:val="auto"/>
          <w:szCs w:val="23"/>
        </w:rPr>
        <w:t xml:space="preserve"> homelessness </w:t>
      </w:r>
      <w:r w:rsidR="00F25E6F" w:rsidRPr="0058546F">
        <w:rPr>
          <w:color w:val="auto"/>
          <w:szCs w:val="23"/>
        </w:rPr>
        <w:t xml:space="preserve">and housing affordability </w:t>
      </w:r>
      <w:r w:rsidRPr="0058546F">
        <w:rPr>
          <w:color w:val="auto"/>
          <w:szCs w:val="23"/>
        </w:rPr>
        <w:t>data that can be used to report on  housing</w:t>
      </w:r>
      <w:r w:rsidR="00F25E6F" w:rsidRPr="0058546F">
        <w:rPr>
          <w:color w:val="auto"/>
          <w:szCs w:val="23"/>
        </w:rPr>
        <w:t>,</w:t>
      </w:r>
      <w:r w:rsidRPr="0058546F">
        <w:rPr>
          <w:color w:val="auto"/>
          <w:szCs w:val="23"/>
        </w:rPr>
        <w:t xml:space="preserve"> homelessness</w:t>
      </w:r>
      <w:r w:rsidR="00F25E6F" w:rsidRPr="0058546F">
        <w:rPr>
          <w:color w:val="auto"/>
          <w:szCs w:val="23"/>
        </w:rPr>
        <w:t xml:space="preserve"> and housing affordability</w:t>
      </w:r>
      <w:r w:rsidRPr="0058546F">
        <w:rPr>
          <w:color w:val="auto"/>
          <w:szCs w:val="23"/>
        </w:rPr>
        <w:t xml:space="preserve"> outcomes in </w:t>
      </w:r>
      <w:r w:rsidR="009E5F68" w:rsidRPr="0058546F">
        <w:rPr>
          <w:color w:val="auto"/>
          <w:szCs w:val="23"/>
        </w:rPr>
        <w:t>this</w:t>
      </w:r>
      <w:r w:rsidRPr="0058546F">
        <w:rPr>
          <w:color w:val="auto"/>
          <w:szCs w:val="23"/>
        </w:rPr>
        <w:t xml:space="preserve"> Agreement;</w:t>
      </w:r>
    </w:p>
    <w:p w14:paraId="0379F21C" w14:textId="126ACD67" w:rsidR="00E5760F" w:rsidRPr="0058546F" w:rsidRDefault="00E5760F" w:rsidP="009E22CB">
      <w:pPr>
        <w:numPr>
          <w:ilvl w:val="2"/>
          <w:numId w:val="101"/>
        </w:numPr>
        <w:spacing w:after="200" w:line="276" w:lineRule="auto"/>
        <w:jc w:val="left"/>
        <w:rPr>
          <w:color w:val="auto"/>
          <w:szCs w:val="23"/>
        </w:rPr>
      </w:pPr>
      <w:r w:rsidRPr="0058546F">
        <w:rPr>
          <w:color w:val="auto"/>
          <w:szCs w:val="23"/>
        </w:rPr>
        <w:t>identifying any data gaps, inconsistencies or limitations in the key data to establish what improvements can be made;</w:t>
      </w:r>
    </w:p>
    <w:p w14:paraId="7849C5E7" w14:textId="77777777" w:rsidR="00E5760F" w:rsidRPr="0058546F" w:rsidRDefault="00E5760F" w:rsidP="00E5760F">
      <w:pPr>
        <w:numPr>
          <w:ilvl w:val="2"/>
          <w:numId w:val="101"/>
        </w:numPr>
        <w:spacing w:after="200" w:line="276" w:lineRule="auto"/>
        <w:jc w:val="left"/>
        <w:rPr>
          <w:color w:val="auto"/>
          <w:szCs w:val="23"/>
        </w:rPr>
      </w:pPr>
      <w:r w:rsidRPr="0058546F">
        <w:rPr>
          <w:color w:val="auto"/>
          <w:szCs w:val="23"/>
        </w:rPr>
        <w:t>identifying changes to collection and reporting of data, and seeking external advice where necessary to identify potential system upgrades;</w:t>
      </w:r>
    </w:p>
    <w:p w14:paraId="413A35CA" w14:textId="77777777" w:rsidR="00E5760F" w:rsidRPr="0058546F" w:rsidRDefault="00E5760F" w:rsidP="00E5760F">
      <w:pPr>
        <w:numPr>
          <w:ilvl w:val="2"/>
          <w:numId w:val="101"/>
        </w:numPr>
        <w:spacing w:after="200" w:line="276" w:lineRule="auto"/>
        <w:jc w:val="left"/>
        <w:rPr>
          <w:color w:val="auto"/>
          <w:szCs w:val="23"/>
        </w:rPr>
      </w:pPr>
      <w:r w:rsidRPr="0058546F">
        <w:rPr>
          <w:color w:val="auto"/>
          <w:szCs w:val="23"/>
        </w:rPr>
        <w:lastRenderedPageBreak/>
        <w:t>investigating potential data integration or new access arrangements for existing data that could enhance research and evaluation;</w:t>
      </w:r>
    </w:p>
    <w:p w14:paraId="712E5E6C" w14:textId="77777777" w:rsidR="00E5760F" w:rsidRPr="0058546F" w:rsidRDefault="00E5760F" w:rsidP="00E5760F">
      <w:pPr>
        <w:numPr>
          <w:ilvl w:val="2"/>
          <w:numId w:val="101"/>
        </w:numPr>
        <w:spacing w:after="200" w:line="276" w:lineRule="auto"/>
        <w:jc w:val="left"/>
        <w:rPr>
          <w:color w:val="auto"/>
          <w:szCs w:val="23"/>
        </w:rPr>
      </w:pPr>
      <w:r w:rsidRPr="0058546F">
        <w:rPr>
          <w:color w:val="auto"/>
          <w:szCs w:val="23"/>
        </w:rPr>
        <w:t>consideration of the anticipated impact on service providers in meeting the proposed data  improvement and collection requirements;</w:t>
      </w:r>
    </w:p>
    <w:p w14:paraId="0C739B62" w14:textId="69A7F557" w:rsidR="00E5760F" w:rsidRPr="0058546F" w:rsidRDefault="00E5760F" w:rsidP="00F25E6F">
      <w:pPr>
        <w:numPr>
          <w:ilvl w:val="2"/>
          <w:numId w:val="101"/>
        </w:numPr>
        <w:spacing w:after="200" w:line="276" w:lineRule="auto"/>
        <w:jc w:val="left"/>
        <w:rPr>
          <w:color w:val="auto"/>
          <w:szCs w:val="23"/>
        </w:rPr>
      </w:pPr>
      <w:r w:rsidRPr="0058546F">
        <w:rPr>
          <w:color w:val="auto"/>
          <w:szCs w:val="23"/>
        </w:rPr>
        <w:t>identifying host arrangements for any new collection and how the data will be presented; and</w:t>
      </w:r>
    </w:p>
    <w:p w14:paraId="4A1CAB7C" w14:textId="4C2A0D1B" w:rsidR="00E5760F" w:rsidRPr="0058546F" w:rsidRDefault="00E5760F" w:rsidP="00E5760F">
      <w:pPr>
        <w:numPr>
          <w:ilvl w:val="1"/>
          <w:numId w:val="101"/>
        </w:numPr>
        <w:spacing w:after="200" w:line="276" w:lineRule="auto"/>
        <w:jc w:val="left"/>
        <w:rPr>
          <w:color w:val="auto"/>
          <w:szCs w:val="23"/>
        </w:rPr>
      </w:pPr>
      <w:r w:rsidRPr="0058546F">
        <w:rPr>
          <w:color w:val="auto"/>
          <w:szCs w:val="23"/>
        </w:rPr>
        <w:t xml:space="preserve">investigating whether additional indicators or benchmarks might complement the outcomes framework in the Agreement as provided by </w:t>
      </w:r>
      <w:r w:rsidR="007B073F" w:rsidRPr="0058546F">
        <w:rPr>
          <w:color w:val="auto"/>
          <w:szCs w:val="23"/>
        </w:rPr>
        <w:t>clause</w:t>
      </w:r>
      <w:r w:rsidR="00BC646E" w:rsidRPr="0058546F">
        <w:rPr>
          <w:color w:val="auto"/>
          <w:szCs w:val="23"/>
        </w:rPr>
        <w:t>s</w:t>
      </w:r>
      <w:r w:rsidRPr="0058546F">
        <w:rPr>
          <w:color w:val="auto"/>
          <w:szCs w:val="23"/>
        </w:rPr>
        <w:t xml:space="preserve"> 3</w:t>
      </w:r>
      <w:r w:rsidR="00BC646E" w:rsidRPr="0058546F">
        <w:rPr>
          <w:color w:val="auto"/>
          <w:szCs w:val="23"/>
        </w:rPr>
        <w:t>3 and 35</w:t>
      </w:r>
      <w:r w:rsidRPr="0058546F">
        <w:rPr>
          <w:color w:val="auto"/>
          <w:szCs w:val="23"/>
        </w:rPr>
        <w:t xml:space="preserve"> of </w:t>
      </w:r>
      <w:r w:rsidR="009E5F68" w:rsidRPr="0058546F">
        <w:rPr>
          <w:color w:val="auto"/>
          <w:szCs w:val="23"/>
        </w:rPr>
        <w:t>this</w:t>
      </w:r>
      <w:r w:rsidRPr="0058546F">
        <w:rPr>
          <w:color w:val="auto"/>
          <w:szCs w:val="23"/>
        </w:rPr>
        <w:t xml:space="preserve"> Agreement.</w:t>
      </w:r>
    </w:p>
    <w:p w14:paraId="48EB8651" w14:textId="4E87EF14" w:rsidR="00E5760F" w:rsidRPr="0058546F" w:rsidRDefault="00E5760F" w:rsidP="00E5760F">
      <w:pPr>
        <w:numPr>
          <w:ilvl w:val="0"/>
          <w:numId w:val="101"/>
        </w:numPr>
        <w:spacing w:after="200" w:line="276" w:lineRule="auto"/>
        <w:jc w:val="left"/>
        <w:rPr>
          <w:color w:val="auto"/>
          <w:szCs w:val="23"/>
        </w:rPr>
      </w:pPr>
      <w:r w:rsidRPr="0058546F">
        <w:rPr>
          <w:color w:val="auto"/>
          <w:szCs w:val="23"/>
        </w:rPr>
        <w:t xml:space="preserve">Where appropriate, the Working Group should draw on existing </w:t>
      </w:r>
      <w:r w:rsidR="00F25E6F" w:rsidRPr="0058546F">
        <w:rPr>
          <w:color w:val="auto"/>
          <w:szCs w:val="23"/>
        </w:rPr>
        <w:t>data collections</w:t>
      </w:r>
      <w:r w:rsidRPr="0058546F">
        <w:rPr>
          <w:color w:val="auto"/>
          <w:szCs w:val="23"/>
        </w:rPr>
        <w:t xml:space="preserve"> and reports, for example the Specialist Homelessness Services Collection and the Report on Government Services, recognising that adjustments to existing data may be required. </w:t>
      </w:r>
    </w:p>
    <w:p w14:paraId="0E8CBC34" w14:textId="77777777" w:rsidR="00E5760F" w:rsidRPr="009B6A0D" w:rsidRDefault="00E5760F" w:rsidP="009B6A0D">
      <w:pPr>
        <w:pStyle w:val="Heading3"/>
      </w:pPr>
      <w:bookmarkStart w:id="14" w:name="_Toc504492477"/>
      <w:r w:rsidRPr="009B6A0D">
        <w:t>Membership</w:t>
      </w:r>
      <w:bookmarkEnd w:id="14"/>
    </w:p>
    <w:p w14:paraId="481CC426" w14:textId="210524A9" w:rsidR="00E5760F" w:rsidRPr="0058546F" w:rsidRDefault="00E5760F" w:rsidP="00E5760F">
      <w:pPr>
        <w:numPr>
          <w:ilvl w:val="0"/>
          <w:numId w:val="101"/>
        </w:numPr>
        <w:spacing w:after="200" w:line="276" w:lineRule="auto"/>
        <w:jc w:val="left"/>
        <w:rPr>
          <w:color w:val="auto"/>
          <w:szCs w:val="23"/>
        </w:rPr>
      </w:pPr>
      <w:r w:rsidRPr="0058546F">
        <w:rPr>
          <w:color w:val="auto"/>
          <w:szCs w:val="23"/>
        </w:rPr>
        <w:t>Pursuant to sub</w:t>
      </w:r>
      <w:r w:rsidRPr="0058546F">
        <w:rPr>
          <w:color w:val="auto"/>
          <w:szCs w:val="23"/>
        </w:rPr>
        <w:noBreakHyphen/>
      </w:r>
      <w:r w:rsidR="007B073F" w:rsidRPr="0058546F">
        <w:rPr>
          <w:color w:val="auto"/>
          <w:szCs w:val="23"/>
        </w:rPr>
        <w:t>clause</w:t>
      </w:r>
      <w:r w:rsidRPr="0058546F">
        <w:rPr>
          <w:color w:val="auto"/>
          <w:szCs w:val="23"/>
        </w:rPr>
        <w:t xml:space="preserve"> 23(c) of the Agreement, the Commonwealth will lead the Working Group and provide secretariat support. A Chair from a relevant Commonwealth Department will be appointed by the Commonwealth.</w:t>
      </w:r>
    </w:p>
    <w:p w14:paraId="129DB48F" w14:textId="77777777" w:rsidR="00E5760F" w:rsidRPr="0058546F" w:rsidRDefault="00E5760F" w:rsidP="00E5760F">
      <w:pPr>
        <w:numPr>
          <w:ilvl w:val="0"/>
          <w:numId w:val="101"/>
        </w:numPr>
        <w:spacing w:after="200" w:line="276" w:lineRule="auto"/>
        <w:jc w:val="left"/>
        <w:rPr>
          <w:color w:val="auto"/>
          <w:szCs w:val="23"/>
        </w:rPr>
      </w:pPr>
      <w:r w:rsidRPr="0058546F">
        <w:rPr>
          <w:color w:val="auto"/>
          <w:szCs w:val="23"/>
        </w:rPr>
        <w:t xml:space="preserve">The Working Group will comprise officials with a mix of data and policy expertise from Commonwealth and State Departments with responsibility for housing and homelessness, assisted by expert advisors from Commonwealth data collection agencies. </w:t>
      </w:r>
    </w:p>
    <w:p w14:paraId="472481C1" w14:textId="77777777" w:rsidR="00E5760F" w:rsidRPr="0058546F" w:rsidRDefault="00E5760F" w:rsidP="00E5760F">
      <w:pPr>
        <w:numPr>
          <w:ilvl w:val="0"/>
          <w:numId w:val="101"/>
        </w:numPr>
        <w:spacing w:after="200" w:line="276" w:lineRule="auto"/>
        <w:jc w:val="left"/>
        <w:rPr>
          <w:color w:val="auto"/>
          <w:szCs w:val="23"/>
        </w:rPr>
      </w:pPr>
      <w:r w:rsidRPr="0058546F">
        <w:rPr>
          <w:color w:val="auto"/>
          <w:szCs w:val="23"/>
        </w:rPr>
        <w:t>A Deputy Chair may be appointed by the Working Group members as necessary depending on the Working Group’s needs.</w:t>
      </w:r>
    </w:p>
    <w:p w14:paraId="5E929E9B" w14:textId="5D1F0C66" w:rsidR="00E5760F" w:rsidRPr="0058546F" w:rsidRDefault="00E5760F" w:rsidP="00E5760F">
      <w:pPr>
        <w:numPr>
          <w:ilvl w:val="0"/>
          <w:numId w:val="101"/>
        </w:numPr>
        <w:spacing w:after="200" w:line="276" w:lineRule="auto"/>
        <w:jc w:val="left"/>
        <w:rPr>
          <w:color w:val="auto"/>
          <w:szCs w:val="23"/>
        </w:rPr>
      </w:pPr>
      <w:r w:rsidRPr="0058546F">
        <w:rPr>
          <w:color w:val="auto"/>
          <w:szCs w:val="23"/>
        </w:rPr>
        <w:t xml:space="preserve">The </w:t>
      </w:r>
      <w:r w:rsidR="00FC7358" w:rsidRPr="0058546F">
        <w:rPr>
          <w:color w:val="auto"/>
          <w:szCs w:val="23"/>
        </w:rPr>
        <w:t>P</w:t>
      </w:r>
      <w:r w:rsidRPr="0058546F">
        <w:rPr>
          <w:color w:val="auto"/>
          <w:szCs w:val="23"/>
        </w:rPr>
        <w:t xml:space="preserve">arties set out in </w:t>
      </w:r>
      <w:r w:rsidR="007B073F" w:rsidRPr="0058546F">
        <w:rPr>
          <w:color w:val="auto"/>
          <w:szCs w:val="23"/>
        </w:rPr>
        <w:t>clause</w:t>
      </w:r>
      <w:r w:rsidRPr="0058546F">
        <w:rPr>
          <w:color w:val="auto"/>
          <w:szCs w:val="23"/>
        </w:rPr>
        <w:t xml:space="preserve"> </w:t>
      </w:r>
      <w:r w:rsidR="003E5042" w:rsidRPr="0058546F">
        <w:rPr>
          <w:color w:val="auto"/>
          <w:szCs w:val="23"/>
        </w:rPr>
        <w:t>C</w:t>
      </w:r>
      <w:r w:rsidRPr="0058546F">
        <w:rPr>
          <w:color w:val="auto"/>
          <w:szCs w:val="23"/>
        </w:rPr>
        <w:t>2</w:t>
      </w:r>
      <w:r w:rsidR="003E5042" w:rsidRPr="0058546F">
        <w:rPr>
          <w:color w:val="auto"/>
          <w:szCs w:val="23"/>
        </w:rPr>
        <w:t>4</w:t>
      </w:r>
      <w:r w:rsidRPr="0058546F">
        <w:rPr>
          <w:color w:val="auto"/>
          <w:szCs w:val="23"/>
        </w:rPr>
        <w:t xml:space="preserve"> should nominate representatives, noting the need to balance expertise and agility of the Working Group. The Secretariat should be promptly advised of details of representatives by each organisation. </w:t>
      </w:r>
    </w:p>
    <w:p w14:paraId="39DB83D0" w14:textId="77777777" w:rsidR="00E5760F" w:rsidRPr="009B6A0D" w:rsidRDefault="00E5760F" w:rsidP="009B6A0D">
      <w:pPr>
        <w:pStyle w:val="Heading3"/>
        <w:rPr>
          <w:b w:val="0"/>
          <w:i/>
        </w:rPr>
      </w:pPr>
      <w:r w:rsidRPr="009B6A0D">
        <w:rPr>
          <w:b w:val="0"/>
          <w:i/>
        </w:rPr>
        <w:t xml:space="preserve">Members </w:t>
      </w:r>
    </w:p>
    <w:p w14:paraId="355CA4CB" w14:textId="76022025" w:rsidR="00E5760F" w:rsidRPr="0058546F" w:rsidRDefault="00E5760F" w:rsidP="00E5760F">
      <w:pPr>
        <w:numPr>
          <w:ilvl w:val="0"/>
          <w:numId w:val="101"/>
        </w:numPr>
        <w:spacing w:after="200" w:line="276" w:lineRule="auto"/>
        <w:jc w:val="left"/>
        <w:rPr>
          <w:color w:val="auto"/>
          <w:szCs w:val="23"/>
        </w:rPr>
      </w:pPr>
      <w:r w:rsidRPr="0058546F">
        <w:rPr>
          <w:color w:val="auto"/>
          <w:szCs w:val="23"/>
        </w:rPr>
        <w:t xml:space="preserve">Members </w:t>
      </w:r>
      <w:r w:rsidR="003E5042" w:rsidRPr="0058546F">
        <w:rPr>
          <w:color w:val="auto"/>
          <w:szCs w:val="23"/>
        </w:rPr>
        <w:t xml:space="preserve">may </w:t>
      </w:r>
      <w:r w:rsidRPr="0058546F">
        <w:rPr>
          <w:color w:val="auto"/>
          <w:szCs w:val="23"/>
        </w:rPr>
        <w:t>include representatives from:</w:t>
      </w:r>
    </w:p>
    <w:p w14:paraId="3E2ADE9B" w14:textId="77777777" w:rsidR="00E5760F" w:rsidRPr="0058546F" w:rsidRDefault="00E5760F" w:rsidP="00E5760F">
      <w:pPr>
        <w:numPr>
          <w:ilvl w:val="1"/>
          <w:numId w:val="101"/>
        </w:numPr>
        <w:spacing w:after="200" w:line="276" w:lineRule="auto"/>
        <w:jc w:val="left"/>
        <w:rPr>
          <w:color w:val="auto"/>
          <w:szCs w:val="23"/>
        </w:rPr>
      </w:pPr>
      <w:r w:rsidRPr="0058546F">
        <w:rPr>
          <w:color w:val="auto"/>
          <w:szCs w:val="23"/>
        </w:rPr>
        <w:t xml:space="preserve">each State; </w:t>
      </w:r>
    </w:p>
    <w:p w14:paraId="0DAAB881" w14:textId="77777777" w:rsidR="00E5760F" w:rsidRPr="0058546F" w:rsidRDefault="00E5760F" w:rsidP="00E5760F">
      <w:pPr>
        <w:numPr>
          <w:ilvl w:val="1"/>
          <w:numId w:val="101"/>
        </w:numPr>
        <w:spacing w:after="200" w:line="276" w:lineRule="auto"/>
        <w:jc w:val="left"/>
        <w:rPr>
          <w:color w:val="auto"/>
          <w:szCs w:val="23"/>
        </w:rPr>
      </w:pPr>
      <w:r w:rsidRPr="0058546F">
        <w:rPr>
          <w:color w:val="auto"/>
          <w:szCs w:val="23"/>
        </w:rPr>
        <w:t>Commonwealth Department of Social Services;</w:t>
      </w:r>
    </w:p>
    <w:p w14:paraId="6974D852" w14:textId="77777777" w:rsidR="00E5760F" w:rsidRPr="0058546F" w:rsidRDefault="00E5760F" w:rsidP="00E5760F">
      <w:pPr>
        <w:numPr>
          <w:ilvl w:val="1"/>
          <w:numId w:val="101"/>
        </w:numPr>
        <w:spacing w:after="200" w:line="276" w:lineRule="auto"/>
        <w:jc w:val="left"/>
        <w:rPr>
          <w:color w:val="auto"/>
          <w:szCs w:val="23"/>
        </w:rPr>
      </w:pPr>
      <w:r w:rsidRPr="0058546F">
        <w:rPr>
          <w:color w:val="auto"/>
          <w:szCs w:val="23"/>
        </w:rPr>
        <w:t>Commonwealth Department of Treasury;</w:t>
      </w:r>
    </w:p>
    <w:p w14:paraId="429BA91E" w14:textId="4A9831F0" w:rsidR="00E5760F" w:rsidRPr="0058546F" w:rsidRDefault="00E5760F" w:rsidP="00E5760F">
      <w:pPr>
        <w:numPr>
          <w:ilvl w:val="1"/>
          <w:numId w:val="101"/>
        </w:numPr>
        <w:spacing w:after="200" w:line="276" w:lineRule="auto"/>
        <w:jc w:val="left"/>
        <w:rPr>
          <w:color w:val="auto"/>
          <w:szCs w:val="23"/>
        </w:rPr>
      </w:pPr>
      <w:r w:rsidRPr="0058546F">
        <w:rPr>
          <w:color w:val="auto"/>
          <w:szCs w:val="23"/>
        </w:rPr>
        <w:t xml:space="preserve">Australian Institute of Health and Welfare; </w:t>
      </w:r>
    </w:p>
    <w:p w14:paraId="10CAF049" w14:textId="039E5446" w:rsidR="00F25E6F" w:rsidRPr="0058546F" w:rsidRDefault="00E5760F" w:rsidP="003E5042">
      <w:pPr>
        <w:numPr>
          <w:ilvl w:val="1"/>
          <w:numId w:val="101"/>
        </w:numPr>
        <w:spacing w:after="200" w:line="276" w:lineRule="auto"/>
        <w:jc w:val="left"/>
        <w:rPr>
          <w:color w:val="auto"/>
          <w:szCs w:val="23"/>
        </w:rPr>
      </w:pPr>
      <w:r w:rsidRPr="0058546F">
        <w:rPr>
          <w:color w:val="auto"/>
          <w:szCs w:val="23"/>
        </w:rPr>
        <w:t>Australian Bureau of Statistics</w:t>
      </w:r>
      <w:r w:rsidR="00F25E6F" w:rsidRPr="0058546F">
        <w:rPr>
          <w:color w:val="auto"/>
          <w:szCs w:val="23"/>
        </w:rPr>
        <w:t xml:space="preserve">; and </w:t>
      </w:r>
    </w:p>
    <w:p w14:paraId="68B3A9E1" w14:textId="0445B56E" w:rsidR="00E5760F" w:rsidRPr="0058546F" w:rsidRDefault="00F25E6F" w:rsidP="00F25E6F">
      <w:pPr>
        <w:numPr>
          <w:ilvl w:val="1"/>
          <w:numId w:val="101"/>
        </w:numPr>
        <w:spacing w:after="200" w:line="276" w:lineRule="auto"/>
        <w:jc w:val="left"/>
        <w:rPr>
          <w:color w:val="auto"/>
          <w:szCs w:val="23"/>
        </w:rPr>
      </w:pPr>
      <w:r w:rsidRPr="0058546F">
        <w:rPr>
          <w:color w:val="auto"/>
          <w:szCs w:val="23"/>
        </w:rPr>
        <w:t xml:space="preserve">Australian Housing and Urban Research Institute. </w:t>
      </w:r>
    </w:p>
    <w:p w14:paraId="4F890F9A" w14:textId="2C9E0FB8" w:rsidR="00E5760F" w:rsidRPr="009B6A0D" w:rsidRDefault="009E5F68" w:rsidP="009B6A0D">
      <w:pPr>
        <w:pStyle w:val="Heading3"/>
        <w:rPr>
          <w:b w:val="0"/>
          <w:i/>
        </w:rPr>
      </w:pPr>
      <w:r w:rsidRPr="009B6A0D">
        <w:rPr>
          <w:b w:val="0"/>
          <w:i/>
        </w:rPr>
        <w:lastRenderedPageBreak/>
        <w:t>State</w:t>
      </w:r>
      <w:r w:rsidR="00E5760F" w:rsidRPr="009B6A0D">
        <w:rPr>
          <w:b w:val="0"/>
          <w:i/>
        </w:rPr>
        <w:t xml:space="preserve"> members </w:t>
      </w:r>
    </w:p>
    <w:p w14:paraId="5828723E" w14:textId="7F5B9B85" w:rsidR="00E5760F" w:rsidRPr="0058546F" w:rsidRDefault="00E5760F" w:rsidP="00E5760F">
      <w:pPr>
        <w:numPr>
          <w:ilvl w:val="0"/>
          <w:numId w:val="101"/>
        </w:numPr>
        <w:spacing w:after="200" w:line="276" w:lineRule="auto"/>
        <w:jc w:val="left"/>
        <w:rPr>
          <w:color w:val="auto"/>
          <w:szCs w:val="23"/>
        </w:rPr>
      </w:pPr>
      <w:r w:rsidRPr="0058546F">
        <w:rPr>
          <w:color w:val="auto"/>
          <w:szCs w:val="23"/>
        </w:rPr>
        <w:t>States should aspire to nominate</w:t>
      </w:r>
      <w:r w:rsidR="00810506" w:rsidRPr="0058546F">
        <w:rPr>
          <w:color w:val="auto"/>
          <w:szCs w:val="23"/>
        </w:rPr>
        <w:t xml:space="preserve"> up to two</w:t>
      </w:r>
      <w:r w:rsidRPr="0058546F">
        <w:rPr>
          <w:color w:val="auto"/>
          <w:szCs w:val="23"/>
        </w:rPr>
        <w:t xml:space="preserve"> members who have the authority to make recommendations on behalf of their jurisdictions across the full range of responsibilities of the Working Group and the housing spectrum. </w:t>
      </w:r>
    </w:p>
    <w:p w14:paraId="5E0A5037" w14:textId="77777777" w:rsidR="00E5760F" w:rsidRPr="009B6A0D" w:rsidRDefault="00E5760F" w:rsidP="009B6A0D">
      <w:pPr>
        <w:pStyle w:val="Heading3"/>
        <w:rPr>
          <w:b w:val="0"/>
          <w:i/>
        </w:rPr>
      </w:pPr>
      <w:r w:rsidRPr="009B6A0D">
        <w:rPr>
          <w:b w:val="0"/>
          <w:i/>
        </w:rPr>
        <w:t xml:space="preserve">Expert advisors </w:t>
      </w:r>
    </w:p>
    <w:p w14:paraId="4CB426C5" w14:textId="7EADC1FF" w:rsidR="00E5760F" w:rsidRPr="0058546F" w:rsidRDefault="00E5760F" w:rsidP="00E5760F">
      <w:pPr>
        <w:numPr>
          <w:ilvl w:val="0"/>
          <w:numId w:val="101"/>
        </w:numPr>
        <w:spacing w:after="200" w:line="276" w:lineRule="auto"/>
        <w:jc w:val="left"/>
        <w:rPr>
          <w:color w:val="auto"/>
          <w:szCs w:val="23"/>
        </w:rPr>
      </w:pPr>
      <w:r w:rsidRPr="0058546F">
        <w:rPr>
          <w:color w:val="auto"/>
          <w:szCs w:val="23"/>
        </w:rPr>
        <w:t xml:space="preserve">Expert advisors may be requested to provide expert advice to the Working Group on potential data activities. They will have observer status in Working Group meetings. </w:t>
      </w:r>
    </w:p>
    <w:p w14:paraId="71E287F9" w14:textId="39C795E1" w:rsidR="00E5760F" w:rsidRPr="0058546F" w:rsidRDefault="00E5760F" w:rsidP="009E22CB">
      <w:pPr>
        <w:numPr>
          <w:ilvl w:val="0"/>
          <w:numId w:val="101"/>
        </w:numPr>
        <w:spacing w:after="200" w:line="276" w:lineRule="auto"/>
        <w:jc w:val="left"/>
        <w:rPr>
          <w:color w:val="auto"/>
          <w:szCs w:val="23"/>
        </w:rPr>
      </w:pPr>
      <w:r w:rsidRPr="0058546F">
        <w:rPr>
          <w:color w:val="auto"/>
          <w:szCs w:val="23"/>
        </w:rPr>
        <w:t>Expert advisors may include</w:t>
      </w:r>
      <w:r w:rsidR="003E5042" w:rsidRPr="0058546F">
        <w:rPr>
          <w:color w:val="auto"/>
          <w:szCs w:val="23"/>
        </w:rPr>
        <w:t xml:space="preserve"> the </w:t>
      </w:r>
      <w:r w:rsidR="003A13D1" w:rsidRPr="0058546F">
        <w:rPr>
          <w:color w:val="auto"/>
          <w:szCs w:val="23"/>
        </w:rPr>
        <w:t xml:space="preserve">Productivity Commission, or </w:t>
      </w:r>
      <w:r w:rsidRPr="0058546F">
        <w:rPr>
          <w:color w:val="auto"/>
          <w:szCs w:val="23"/>
        </w:rPr>
        <w:t xml:space="preserve">related working groups, agencies, organisations or individuals, as required. </w:t>
      </w:r>
    </w:p>
    <w:p w14:paraId="1A8761BB" w14:textId="796C373B" w:rsidR="00E5760F" w:rsidRPr="009B6A0D" w:rsidRDefault="00E5760F" w:rsidP="009B6A0D">
      <w:pPr>
        <w:pStyle w:val="Heading3"/>
      </w:pPr>
      <w:bookmarkStart w:id="15" w:name="_Toc504490440"/>
      <w:bookmarkStart w:id="16" w:name="_Toc504490457"/>
      <w:bookmarkStart w:id="17" w:name="_Toc504492461"/>
      <w:bookmarkStart w:id="18" w:name="_Toc504492480"/>
      <w:bookmarkStart w:id="19" w:name="_Toc500257701"/>
      <w:bookmarkStart w:id="20" w:name="_Toc500257702"/>
      <w:bookmarkStart w:id="21" w:name="_Toc500257703"/>
      <w:bookmarkStart w:id="22" w:name="_Toc500257704"/>
      <w:bookmarkStart w:id="23" w:name="_Toc500257705"/>
      <w:bookmarkStart w:id="24" w:name="_Toc500257706"/>
      <w:bookmarkStart w:id="25" w:name="_Toc500257707"/>
      <w:bookmarkStart w:id="26" w:name="_Toc500257708"/>
      <w:bookmarkStart w:id="27" w:name="_Toc500257709"/>
      <w:bookmarkStart w:id="28" w:name="_Toc500257710"/>
      <w:bookmarkStart w:id="29" w:name="_Toc500256656"/>
      <w:bookmarkStart w:id="30" w:name="_Toc500257712"/>
      <w:bookmarkStart w:id="31" w:name="_Toc500256657"/>
      <w:bookmarkStart w:id="32" w:name="_Toc500257713"/>
      <w:bookmarkStart w:id="33" w:name="_Toc500256658"/>
      <w:bookmarkStart w:id="34" w:name="_Toc500257714"/>
      <w:bookmarkStart w:id="35" w:name="_Toc500256730"/>
      <w:bookmarkStart w:id="36" w:name="_Toc500257786"/>
      <w:bookmarkStart w:id="37" w:name="_Toc500256731"/>
      <w:bookmarkStart w:id="38" w:name="_Toc500257787"/>
      <w:bookmarkStart w:id="39" w:name="_Toc500256732"/>
      <w:bookmarkStart w:id="40" w:name="_Toc500257788"/>
      <w:bookmarkStart w:id="41" w:name="_Toc500256733"/>
      <w:bookmarkStart w:id="42" w:name="_Toc500257789"/>
      <w:bookmarkStart w:id="43" w:name="_Toc500256734"/>
      <w:bookmarkStart w:id="44" w:name="_Toc500257790"/>
      <w:bookmarkStart w:id="45" w:name="_Toc500256735"/>
      <w:bookmarkStart w:id="46" w:name="_Toc500257791"/>
      <w:bookmarkStart w:id="47" w:name="_Toc500256736"/>
      <w:bookmarkStart w:id="48" w:name="_Toc500257792"/>
      <w:bookmarkStart w:id="49" w:name="_Toc500256737"/>
      <w:bookmarkStart w:id="50" w:name="_Toc500257793"/>
      <w:bookmarkStart w:id="51" w:name="_Toc500256738"/>
      <w:bookmarkStart w:id="52" w:name="_Toc500257794"/>
      <w:bookmarkStart w:id="53" w:name="_Toc500256739"/>
      <w:bookmarkStart w:id="54" w:name="_Toc500257795"/>
      <w:bookmarkStart w:id="55" w:name="_Toc500256740"/>
      <w:bookmarkStart w:id="56" w:name="_Toc500257796"/>
      <w:bookmarkStart w:id="57" w:name="_Toc500256741"/>
      <w:bookmarkStart w:id="58" w:name="_Toc500257797"/>
      <w:bookmarkStart w:id="59" w:name="_Toc500256742"/>
      <w:bookmarkStart w:id="60" w:name="_Toc500257798"/>
      <w:bookmarkStart w:id="61" w:name="_Toc500256743"/>
      <w:bookmarkStart w:id="62" w:name="_Toc500257799"/>
      <w:bookmarkStart w:id="63" w:name="_Toc500256744"/>
      <w:bookmarkStart w:id="64" w:name="_Toc500257800"/>
      <w:bookmarkStart w:id="65" w:name="_Toc500256745"/>
      <w:bookmarkStart w:id="66" w:name="_Toc500257801"/>
      <w:bookmarkStart w:id="67" w:name="_Toc500256746"/>
      <w:bookmarkStart w:id="68" w:name="_Toc500257802"/>
      <w:bookmarkStart w:id="69" w:name="_Toc500256747"/>
      <w:bookmarkStart w:id="70" w:name="_Toc500257803"/>
      <w:bookmarkStart w:id="71" w:name="_Toc500256748"/>
      <w:bookmarkStart w:id="72" w:name="_Toc500257804"/>
      <w:bookmarkStart w:id="73" w:name="_Toc500256749"/>
      <w:bookmarkStart w:id="74" w:name="_Toc500257805"/>
      <w:bookmarkStart w:id="75" w:name="_Toc500256750"/>
      <w:bookmarkStart w:id="76" w:name="_Toc500257806"/>
      <w:bookmarkStart w:id="77" w:name="_Toc500256751"/>
      <w:bookmarkStart w:id="78" w:name="_Toc500257807"/>
      <w:bookmarkStart w:id="79" w:name="_Toc500256752"/>
      <w:bookmarkStart w:id="80" w:name="_Toc500257808"/>
      <w:bookmarkStart w:id="81" w:name="_Toc500256753"/>
      <w:bookmarkStart w:id="82" w:name="_Toc500257809"/>
      <w:bookmarkStart w:id="83" w:name="_Toc500256754"/>
      <w:bookmarkStart w:id="84" w:name="_Toc500257810"/>
      <w:bookmarkStart w:id="85" w:name="_Toc500256755"/>
      <w:bookmarkStart w:id="86" w:name="_Toc500257811"/>
      <w:bookmarkStart w:id="87" w:name="_Toc500256756"/>
      <w:bookmarkStart w:id="88" w:name="_Toc500257812"/>
      <w:bookmarkStart w:id="89" w:name="_Toc500256757"/>
      <w:bookmarkStart w:id="90" w:name="_Toc500257813"/>
      <w:bookmarkStart w:id="91" w:name="_Toc500256758"/>
      <w:bookmarkStart w:id="92" w:name="_Toc500257814"/>
      <w:bookmarkStart w:id="93" w:name="_Toc500256759"/>
      <w:bookmarkStart w:id="94" w:name="_Toc500257815"/>
      <w:bookmarkStart w:id="95" w:name="_Toc500256760"/>
      <w:bookmarkStart w:id="96" w:name="_Toc500257816"/>
      <w:bookmarkStart w:id="97" w:name="_Toc500256761"/>
      <w:bookmarkStart w:id="98" w:name="_Toc500257817"/>
      <w:bookmarkStart w:id="99" w:name="_Toc500256762"/>
      <w:bookmarkStart w:id="100" w:name="_Toc500257818"/>
      <w:bookmarkStart w:id="101" w:name="_Toc500256763"/>
      <w:bookmarkStart w:id="102" w:name="_Toc500257819"/>
      <w:bookmarkStart w:id="103" w:name="_Toc500256764"/>
      <w:bookmarkStart w:id="104" w:name="_Toc500257820"/>
      <w:bookmarkStart w:id="105" w:name="_Toc500256765"/>
      <w:bookmarkStart w:id="106" w:name="_Toc500257821"/>
      <w:bookmarkStart w:id="107" w:name="_Toc500256766"/>
      <w:bookmarkStart w:id="108" w:name="_Toc500257822"/>
      <w:bookmarkStart w:id="109" w:name="_Toc500256767"/>
      <w:bookmarkStart w:id="110" w:name="_Toc500257823"/>
      <w:bookmarkStart w:id="111" w:name="_Toc500256768"/>
      <w:bookmarkStart w:id="112" w:name="_Toc500257824"/>
      <w:bookmarkStart w:id="113" w:name="_Toc500256769"/>
      <w:bookmarkStart w:id="114" w:name="_Toc500257825"/>
      <w:bookmarkStart w:id="115" w:name="_Toc500256770"/>
      <w:bookmarkStart w:id="116" w:name="_Toc500257826"/>
      <w:bookmarkStart w:id="117" w:name="_Toc500256771"/>
      <w:bookmarkStart w:id="118" w:name="_Toc500257827"/>
      <w:bookmarkStart w:id="119" w:name="_Toc500256772"/>
      <w:bookmarkStart w:id="120" w:name="_Toc500257828"/>
      <w:bookmarkStart w:id="121" w:name="_Toc500256773"/>
      <w:bookmarkStart w:id="122" w:name="_Toc500257829"/>
      <w:bookmarkStart w:id="123" w:name="_Toc500256774"/>
      <w:bookmarkStart w:id="124" w:name="_Toc500257830"/>
      <w:bookmarkStart w:id="125" w:name="_Toc500256775"/>
      <w:bookmarkStart w:id="126" w:name="_Toc500257831"/>
      <w:bookmarkStart w:id="127" w:name="_Toc500256776"/>
      <w:bookmarkStart w:id="128" w:name="_Toc500257832"/>
      <w:bookmarkStart w:id="129" w:name="_Toc500256777"/>
      <w:bookmarkStart w:id="130" w:name="_Toc500257833"/>
      <w:bookmarkStart w:id="131" w:name="_Toc497137683"/>
      <w:bookmarkStart w:id="132" w:name="_Toc497137734"/>
      <w:bookmarkStart w:id="133" w:name="_Toc497137684"/>
      <w:bookmarkStart w:id="134" w:name="_Toc497137735"/>
      <w:bookmarkStart w:id="135" w:name="_Toc500256778"/>
      <w:bookmarkStart w:id="136" w:name="_Toc500257834"/>
      <w:bookmarkStart w:id="137" w:name="_Toc500256779"/>
      <w:bookmarkStart w:id="138" w:name="_Toc500257835"/>
      <w:bookmarkStart w:id="139" w:name="_Toc500256780"/>
      <w:bookmarkStart w:id="140" w:name="_Toc500257836"/>
      <w:bookmarkStart w:id="141" w:name="_Toc500256781"/>
      <w:bookmarkStart w:id="142" w:name="_Toc500257837"/>
      <w:bookmarkStart w:id="143" w:name="_Toc500256782"/>
      <w:bookmarkStart w:id="144" w:name="_Toc500257838"/>
      <w:bookmarkStart w:id="145" w:name="_Toc500256783"/>
      <w:bookmarkStart w:id="146" w:name="_Toc500257839"/>
      <w:bookmarkStart w:id="147" w:name="_Toc500256784"/>
      <w:bookmarkStart w:id="148" w:name="_Toc500257840"/>
      <w:bookmarkStart w:id="149" w:name="_Toc500256785"/>
      <w:bookmarkStart w:id="150" w:name="_Toc500257841"/>
      <w:bookmarkStart w:id="151" w:name="_Toc500256786"/>
      <w:bookmarkStart w:id="152" w:name="_Toc500257842"/>
      <w:bookmarkStart w:id="153" w:name="_Toc500256787"/>
      <w:bookmarkStart w:id="154" w:name="_Toc500257843"/>
      <w:bookmarkStart w:id="155" w:name="_Toc500256788"/>
      <w:bookmarkStart w:id="156" w:name="_Toc500257844"/>
      <w:bookmarkStart w:id="157" w:name="_Toc500256789"/>
      <w:bookmarkStart w:id="158" w:name="_Toc500257845"/>
      <w:bookmarkStart w:id="159" w:name="_Toc500256790"/>
      <w:bookmarkStart w:id="160" w:name="_Toc500257846"/>
      <w:bookmarkStart w:id="161" w:name="_Toc500256791"/>
      <w:bookmarkStart w:id="162" w:name="_Toc500257847"/>
      <w:bookmarkStart w:id="163" w:name="_Toc500256792"/>
      <w:bookmarkStart w:id="164" w:name="_Toc500257848"/>
      <w:bookmarkStart w:id="165" w:name="_Toc500256793"/>
      <w:bookmarkStart w:id="166" w:name="_Toc500257849"/>
      <w:bookmarkStart w:id="167" w:name="_Toc500256794"/>
      <w:bookmarkStart w:id="168" w:name="_Toc500257850"/>
      <w:bookmarkStart w:id="169" w:name="_Toc500256795"/>
      <w:bookmarkStart w:id="170" w:name="_Toc500257851"/>
      <w:bookmarkStart w:id="171" w:name="_Toc500256796"/>
      <w:bookmarkStart w:id="172" w:name="_Toc500257852"/>
      <w:bookmarkStart w:id="173" w:name="_Toc500256797"/>
      <w:bookmarkStart w:id="174" w:name="_Toc500257853"/>
      <w:bookmarkStart w:id="175" w:name="_Toc500256798"/>
      <w:bookmarkStart w:id="176" w:name="_Toc500257854"/>
      <w:bookmarkStart w:id="177" w:name="_Toc500256799"/>
      <w:bookmarkStart w:id="178" w:name="_Toc500257855"/>
      <w:bookmarkStart w:id="179" w:name="_Toc500256800"/>
      <w:bookmarkStart w:id="180" w:name="_Toc500257856"/>
      <w:bookmarkStart w:id="181" w:name="_Toc500256801"/>
      <w:bookmarkStart w:id="182" w:name="_Toc500257857"/>
      <w:bookmarkStart w:id="183" w:name="_Toc500256802"/>
      <w:bookmarkStart w:id="184" w:name="_Toc500257858"/>
      <w:bookmarkStart w:id="185" w:name="_Toc500256803"/>
      <w:bookmarkStart w:id="186" w:name="_Toc500257859"/>
      <w:bookmarkStart w:id="187" w:name="_Toc500256804"/>
      <w:bookmarkStart w:id="188" w:name="_Toc500257860"/>
      <w:bookmarkStart w:id="189" w:name="_Toc500256805"/>
      <w:bookmarkStart w:id="190" w:name="_Toc500257861"/>
      <w:bookmarkStart w:id="191" w:name="_Toc500256806"/>
      <w:bookmarkStart w:id="192" w:name="_Toc500257862"/>
      <w:bookmarkStart w:id="193" w:name="_Toc500256807"/>
      <w:bookmarkStart w:id="194" w:name="_Toc500257863"/>
      <w:bookmarkStart w:id="195" w:name="_Toc500256808"/>
      <w:bookmarkStart w:id="196" w:name="_Toc500257864"/>
      <w:bookmarkStart w:id="197" w:name="_Toc500256809"/>
      <w:bookmarkStart w:id="198" w:name="_Toc500257865"/>
      <w:bookmarkStart w:id="199" w:name="_Toc500256810"/>
      <w:bookmarkStart w:id="200" w:name="_Toc500257866"/>
      <w:bookmarkStart w:id="201" w:name="_Toc500256811"/>
      <w:bookmarkStart w:id="202" w:name="_Toc500257867"/>
      <w:bookmarkStart w:id="203" w:name="_Toc500256812"/>
      <w:bookmarkStart w:id="204" w:name="_Toc500257868"/>
      <w:bookmarkStart w:id="205" w:name="_Toc500256813"/>
      <w:bookmarkStart w:id="206" w:name="_Toc500257869"/>
      <w:bookmarkStart w:id="207" w:name="_Toc500256814"/>
      <w:bookmarkStart w:id="208" w:name="_Toc500257870"/>
      <w:bookmarkStart w:id="209" w:name="_Toc500256815"/>
      <w:bookmarkStart w:id="210" w:name="_Toc500257871"/>
      <w:bookmarkStart w:id="211" w:name="_Toc500256816"/>
      <w:bookmarkStart w:id="212" w:name="_Toc500257872"/>
      <w:bookmarkStart w:id="213" w:name="_Toc500256817"/>
      <w:bookmarkStart w:id="214" w:name="_Toc500257873"/>
      <w:bookmarkStart w:id="215" w:name="_Toc500256818"/>
      <w:bookmarkStart w:id="216" w:name="_Toc500257874"/>
      <w:bookmarkStart w:id="217" w:name="_Toc500256819"/>
      <w:bookmarkStart w:id="218" w:name="_Toc500257875"/>
      <w:bookmarkStart w:id="219" w:name="_Toc500256820"/>
      <w:bookmarkStart w:id="220" w:name="_Toc500257876"/>
      <w:bookmarkStart w:id="221" w:name="_Toc500256821"/>
      <w:bookmarkStart w:id="222" w:name="_Toc500257877"/>
      <w:bookmarkStart w:id="223" w:name="_Toc500256822"/>
      <w:bookmarkStart w:id="224" w:name="_Toc500257878"/>
      <w:bookmarkStart w:id="225" w:name="_Toc500256823"/>
      <w:bookmarkStart w:id="226" w:name="_Toc500257879"/>
      <w:bookmarkStart w:id="227" w:name="_Toc500256824"/>
      <w:bookmarkStart w:id="228" w:name="_Toc500257880"/>
      <w:bookmarkStart w:id="229" w:name="_Toc500256825"/>
      <w:bookmarkStart w:id="230" w:name="_Toc500257881"/>
      <w:bookmarkStart w:id="231" w:name="_Toc500256826"/>
      <w:bookmarkStart w:id="232" w:name="_Toc500257882"/>
      <w:bookmarkStart w:id="233" w:name="_Toc500256827"/>
      <w:bookmarkStart w:id="234" w:name="_Toc500257883"/>
      <w:bookmarkStart w:id="235" w:name="_Toc500256828"/>
      <w:bookmarkStart w:id="236" w:name="_Toc500257884"/>
      <w:bookmarkStart w:id="237" w:name="_Toc500256829"/>
      <w:bookmarkStart w:id="238" w:name="_Toc500257885"/>
      <w:bookmarkStart w:id="239" w:name="_Toc500256830"/>
      <w:bookmarkStart w:id="240" w:name="_Toc500257886"/>
      <w:bookmarkStart w:id="241" w:name="_Toc500256831"/>
      <w:bookmarkStart w:id="242" w:name="_Toc500257887"/>
      <w:bookmarkStart w:id="243" w:name="_Toc500256832"/>
      <w:bookmarkStart w:id="244" w:name="_Toc500257888"/>
      <w:bookmarkStart w:id="245" w:name="_Toc500256833"/>
      <w:bookmarkStart w:id="246" w:name="_Toc500257889"/>
      <w:bookmarkStart w:id="247" w:name="_Toc500256834"/>
      <w:bookmarkStart w:id="248" w:name="_Toc500257890"/>
      <w:bookmarkStart w:id="249" w:name="_Toc500256835"/>
      <w:bookmarkStart w:id="250" w:name="_Toc500257891"/>
      <w:bookmarkStart w:id="251" w:name="_Toc504492468"/>
      <w:bookmarkStart w:id="252" w:name="_Toc504492487"/>
      <w:bookmarkStart w:id="253" w:name="_Toc504492469"/>
      <w:bookmarkStart w:id="254" w:name="_Toc504492488"/>
      <w:bookmarkStart w:id="255" w:name="_Toc50449249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9B6A0D">
        <w:t xml:space="preserve">Interaction between the Working Group and other </w:t>
      </w:r>
      <w:r w:rsidR="00FC7358" w:rsidRPr="009B6A0D">
        <w:t>P</w:t>
      </w:r>
      <w:r w:rsidRPr="009B6A0D">
        <w:t xml:space="preserve">arties </w:t>
      </w:r>
    </w:p>
    <w:p w14:paraId="56BD0997" w14:textId="77777777" w:rsidR="00E5760F" w:rsidRPr="0058546F" w:rsidRDefault="00E5760F" w:rsidP="00E5760F">
      <w:pPr>
        <w:numPr>
          <w:ilvl w:val="0"/>
          <w:numId w:val="101"/>
        </w:numPr>
        <w:spacing w:after="200" w:line="276" w:lineRule="auto"/>
        <w:jc w:val="left"/>
        <w:rPr>
          <w:color w:val="auto"/>
          <w:szCs w:val="23"/>
        </w:rPr>
      </w:pPr>
      <w:r w:rsidRPr="0058546F">
        <w:rPr>
          <w:color w:val="auto"/>
          <w:szCs w:val="23"/>
        </w:rPr>
        <w:t xml:space="preserve">The Working Group may seek advice from related working groups, agencies, organisations or individuals where specific expertise or further detail to coordinate related data development, collection or reporting activities, is required.  </w:t>
      </w:r>
    </w:p>
    <w:p w14:paraId="2D25CAB6" w14:textId="1EA13122" w:rsidR="00E5760F" w:rsidRPr="009B6A0D" w:rsidRDefault="00E5760F" w:rsidP="009B6A0D">
      <w:pPr>
        <w:pStyle w:val="Heading2"/>
      </w:pPr>
      <w:r w:rsidRPr="009B6A0D">
        <w:t>Term of the Schedule</w:t>
      </w:r>
      <w:bookmarkEnd w:id="255"/>
    </w:p>
    <w:p w14:paraId="1DDE6E54" w14:textId="74AB966B" w:rsidR="00E5760F" w:rsidRPr="0058546F" w:rsidRDefault="009E407D" w:rsidP="00E5760F">
      <w:pPr>
        <w:numPr>
          <w:ilvl w:val="0"/>
          <w:numId w:val="101"/>
        </w:numPr>
        <w:spacing w:after="200" w:line="276" w:lineRule="auto"/>
        <w:jc w:val="left"/>
        <w:rPr>
          <w:color w:val="auto"/>
        </w:rPr>
      </w:pPr>
      <w:r w:rsidRPr="0058546F">
        <w:rPr>
          <w:color w:val="auto"/>
        </w:rPr>
        <w:t>This s</w:t>
      </w:r>
      <w:r w:rsidR="00E5760F" w:rsidRPr="0058546F">
        <w:rPr>
          <w:color w:val="auto"/>
        </w:rPr>
        <w:t>chedule may be reviewed, varied or terminated consistent with the Agreement, as set out in Part 6 – Governance Arrangements.</w:t>
      </w:r>
    </w:p>
    <w:p w14:paraId="4EC5F104" w14:textId="55986094" w:rsidR="007104DD" w:rsidRPr="0058546F" w:rsidRDefault="00E5760F" w:rsidP="00EC5358">
      <w:pPr>
        <w:numPr>
          <w:ilvl w:val="0"/>
          <w:numId w:val="97"/>
        </w:numPr>
        <w:tabs>
          <w:tab w:val="num" w:pos="1134"/>
        </w:tabs>
        <w:spacing w:after="200" w:line="276" w:lineRule="auto"/>
        <w:jc w:val="left"/>
        <w:rPr>
          <w:color w:val="auto"/>
        </w:rPr>
      </w:pPr>
      <w:r w:rsidRPr="0058546F">
        <w:rPr>
          <w:color w:val="auto"/>
        </w:rPr>
        <w:t xml:space="preserve">Unless terminated earlier as agreed in writing by the relevant Parties, this schedule will be reviewed by the </w:t>
      </w:r>
      <w:r w:rsidR="00FC7358" w:rsidRPr="0058546F">
        <w:rPr>
          <w:color w:val="auto"/>
        </w:rPr>
        <w:t>P</w:t>
      </w:r>
      <w:r w:rsidRPr="0058546F">
        <w:rPr>
          <w:color w:val="auto"/>
        </w:rPr>
        <w:t xml:space="preserve">arties no later than 30 June 2023 with a view to setting out a future work plan for the following five years and subsequent periods. </w:t>
      </w:r>
    </w:p>
    <w:p w14:paraId="387AF266" w14:textId="677DD538" w:rsidR="00244C92" w:rsidRPr="0058546F" w:rsidRDefault="00244C92" w:rsidP="007104DD">
      <w:pPr>
        <w:pStyle w:val="Normalnumbered"/>
        <w:numPr>
          <w:ilvl w:val="0"/>
          <w:numId w:val="97"/>
        </w:numPr>
        <w:jc w:val="left"/>
        <w:rPr>
          <w:rFonts w:cs="Arial"/>
          <w:b/>
          <w:bCs/>
          <w:iCs/>
          <w:color w:val="auto"/>
          <w:sz w:val="29"/>
          <w:szCs w:val="28"/>
        </w:rPr>
      </w:pPr>
      <w:r w:rsidRPr="0058546F">
        <w:rPr>
          <w:rFonts w:cs="Arial"/>
          <w:b/>
          <w:bCs/>
          <w:iCs/>
          <w:color w:val="auto"/>
          <w:sz w:val="29"/>
          <w:szCs w:val="28"/>
        </w:rPr>
        <w:br w:type="page"/>
      </w:r>
    </w:p>
    <w:p w14:paraId="50763E46" w14:textId="38CDB07B" w:rsidR="00316597" w:rsidRPr="00125525" w:rsidRDefault="007B073F" w:rsidP="00316597">
      <w:pPr>
        <w:pStyle w:val="Heading1"/>
      </w:pPr>
      <w:bookmarkStart w:id="256" w:name="_Toc503865686"/>
      <w:r w:rsidRPr="009E22CB">
        <w:lastRenderedPageBreak/>
        <w:t>Schedule</w:t>
      </w:r>
      <w:r w:rsidR="00316597" w:rsidRPr="00F0459C">
        <w:t xml:space="preserve"> D</w:t>
      </w:r>
      <w:r w:rsidR="00244C92">
        <w:t xml:space="preserve"> </w:t>
      </w:r>
      <w:r w:rsidR="00316597">
        <w:t xml:space="preserve">— </w:t>
      </w:r>
      <w:r w:rsidR="00316597" w:rsidRPr="00125525">
        <w:t>Homelessness Data Collections</w:t>
      </w:r>
    </w:p>
    <w:bookmarkEnd w:id="256"/>
    <w:p w14:paraId="566658E5" w14:textId="21ADD8FE" w:rsidR="00852A1F" w:rsidRDefault="00852A1F" w:rsidP="00852A1F">
      <w:pPr>
        <w:pStyle w:val="ListParagraph"/>
        <w:numPr>
          <w:ilvl w:val="0"/>
          <w:numId w:val="104"/>
        </w:numPr>
        <w:spacing w:after="200" w:line="276" w:lineRule="auto"/>
        <w:contextualSpacing/>
        <w:rPr>
          <w:rFonts w:ascii="Corbel" w:hAnsi="Corbel"/>
          <w:sz w:val="23"/>
          <w:szCs w:val="23"/>
        </w:rPr>
      </w:pPr>
      <w:r>
        <w:rPr>
          <w:rFonts w:ascii="Corbel" w:hAnsi="Corbel"/>
          <w:sz w:val="23"/>
          <w:szCs w:val="23"/>
        </w:rPr>
        <w:t xml:space="preserve">The States and Commonwealth will continue to facilitate, collect, compile and supply homelessness agency, client and support period data to the Australian Institute of Health and Welfare (AIHW) consistent with nationally agreed standards and specifications. </w:t>
      </w:r>
    </w:p>
    <w:p w14:paraId="2F6D2B6C" w14:textId="765F8143" w:rsidR="00852A1F" w:rsidRDefault="00852A1F" w:rsidP="00852A1F">
      <w:pPr>
        <w:pStyle w:val="Normalnumbered"/>
        <w:numPr>
          <w:ilvl w:val="0"/>
          <w:numId w:val="104"/>
        </w:numPr>
        <w:jc w:val="left"/>
        <w:rPr>
          <w:szCs w:val="23"/>
        </w:rPr>
      </w:pPr>
      <w:bookmarkStart w:id="257" w:name="_MailEndCompose"/>
      <w:bookmarkEnd w:id="257"/>
      <w:r>
        <w:rPr>
          <w:color w:val="auto"/>
          <w:szCs w:val="23"/>
        </w:rPr>
        <w:t xml:space="preserve">Client outcomes will be reported using data from the Specialist Homelessness Services Collection </w:t>
      </w:r>
      <w:r>
        <w:rPr>
          <w:szCs w:val="23"/>
        </w:rPr>
        <w:t xml:space="preserve">(SHSC) held by the AIHW. </w:t>
      </w:r>
    </w:p>
    <w:p w14:paraId="0A27AD19" w14:textId="67367D62" w:rsidR="00852A1F" w:rsidRDefault="00852A1F" w:rsidP="00852A1F">
      <w:pPr>
        <w:pStyle w:val="Normalnumbered"/>
        <w:numPr>
          <w:ilvl w:val="0"/>
          <w:numId w:val="104"/>
        </w:numPr>
        <w:jc w:val="left"/>
      </w:pPr>
      <w:r>
        <w:t xml:space="preserve">All funded </w:t>
      </w:r>
      <w:r w:rsidR="005A497A">
        <w:t>specialist homelessness services</w:t>
      </w:r>
      <w:r>
        <w:t xml:space="preserve"> must participate in the SHSC unless an exemption is provided by the Commonwealth.  </w:t>
      </w:r>
    </w:p>
    <w:p w14:paraId="2F2849E9" w14:textId="77777777" w:rsidR="00852A1F" w:rsidRDefault="00852A1F" w:rsidP="00852A1F">
      <w:pPr>
        <w:pStyle w:val="Normalnumbered"/>
        <w:numPr>
          <w:ilvl w:val="0"/>
          <w:numId w:val="104"/>
        </w:numPr>
        <w:jc w:val="left"/>
      </w:pPr>
      <w:r>
        <w:t xml:space="preserve">The States and Commonwealth agree to share SHSC client and agency data. </w:t>
      </w:r>
      <w:r>
        <w:rPr>
          <w:color w:val="auto"/>
          <w:szCs w:val="23"/>
        </w:rPr>
        <w:t>The AIHW will provide the States and Commonwealth with access to SHSC data holdings consistent with legislative and privacy arrangements.</w:t>
      </w:r>
    </w:p>
    <w:p w14:paraId="37A84178" w14:textId="77777777" w:rsidR="00852A1F" w:rsidRDefault="00852A1F" w:rsidP="00852A1F">
      <w:pPr>
        <w:pStyle w:val="Normalnumbered"/>
        <w:tabs>
          <w:tab w:val="clear" w:pos="360"/>
          <w:tab w:val="left" w:pos="720"/>
        </w:tabs>
        <w:ind w:left="0" w:firstLine="0"/>
        <w:jc w:val="left"/>
        <w:rPr>
          <w:b/>
          <w:iCs/>
          <w:color w:val="3D4B67"/>
          <w:sz w:val="29"/>
          <w:szCs w:val="28"/>
        </w:rPr>
      </w:pPr>
      <w:r>
        <w:rPr>
          <w:rFonts w:cs="Arial"/>
          <w:b/>
          <w:bCs/>
          <w:iCs/>
          <w:color w:val="3D4B67"/>
          <w:sz w:val="29"/>
          <w:szCs w:val="28"/>
        </w:rPr>
        <w:t>Roles and responsibilities</w:t>
      </w:r>
    </w:p>
    <w:p w14:paraId="4CE4598E" w14:textId="77777777" w:rsidR="00852A1F" w:rsidRDefault="00852A1F" w:rsidP="00852A1F">
      <w:pPr>
        <w:pStyle w:val="Normalnumbered"/>
        <w:numPr>
          <w:ilvl w:val="0"/>
          <w:numId w:val="104"/>
        </w:numPr>
        <w:jc w:val="left"/>
      </w:pPr>
      <w:r>
        <w:t>The States agree to be responsible for:</w:t>
      </w:r>
    </w:p>
    <w:p w14:paraId="28BC6EAF" w14:textId="6B835024" w:rsidR="00ED38EE" w:rsidRDefault="00ED38EE" w:rsidP="00744503">
      <w:pPr>
        <w:pStyle w:val="Normalnumbered"/>
        <w:numPr>
          <w:ilvl w:val="1"/>
          <w:numId w:val="97"/>
        </w:numPr>
        <w:jc w:val="left"/>
        <w:rPr>
          <w:szCs w:val="23"/>
        </w:rPr>
      </w:pPr>
      <w:r>
        <w:rPr>
          <w:szCs w:val="23"/>
        </w:rPr>
        <w:t xml:space="preserve">specialist </w:t>
      </w:r>
      <w:r w:rsidR="00852A1F" w:rsidRPr="00744503">
        <w:rPr>
          <w:szCs w:val="23"/>
        </w:rPr>
        <w:t>homelessness services</w:t>
      </w:r>
      <w:r>
        <w:rPr>
          <w:szCs w:val="23"/>
        </w:rPr>
        <w:t xml:space="preserve">; </w:t>
      </w:r>
    </w:p>
    <w:p w14:paraId="6F4C88EE" w14:textId="12829F58" w:rsidR="00852A1F" w:rsidRPr="00744503" w:rsidRDefault="00852A1F" w:rsidP="00744503">
      <w:pPr>
        <w:pStyle w:val="Normalnumbered"/>
        <w:numPr>
          <w:ilvl w:val="1"/>
          <w:numId w:val="97"/>
        </w:numPr>
        <w:jc w:val="left"/>
        <w:rPr>
          <w:szCs w:val="23"/>
        </w:rPr>
      </w:pPr>
      <w:r w:rsidRPr="00744503">
        <w:rPr>
          <w:szCs w:val="23"/>
        </w:rPr>
        <w:t xml:space="preserve">advising the Commonwealth of potential exemptions to participate in the SHSC; and </w:t>
      </w:r>
    </w:p>
    <w:p w14:paraId="662E0553" w14:textId="77777777" w:rsidR="00852A1F" w:rsidRPr="00744503" w:rsidRDefault="00852A1F" w:rsidP="00744503">
      <w:pPr>
        <w:pStyle w:val="Normalnumbered"/>
        <w:numPr>
          <w:ilvl w:val="1"/>
          <w:numId w:val="97"/>
        </w:numPr>
        <w:jc w:val="left"/>
        <w:rPr>
          <w:szCs w:val="23"/>
        </w:rPr>
      </w:pPr>
      <w:r w:rsidRPr="00744503">
        <w:rPr>
          <w:szCs w:val="23"/>
        </w:rPr>
        <w:t xml:space="preserve">ensuring funded homelessness services and initiatives that are in-scope for the SHSC participate in the SHSC, or have an exemption from participation agreed by the Commonwealth. </w:t>
      </w:r>
    </w:p>
    <w:p w14:paraId="0E8F2C87" w14:textId="77777777" w:rsidR="00852A1F" w:rsidRDefault="00852A1F" w:rsidP="00852A1F">
      <w:pPr>
        <w:pStyle w:val="Normalnumbered"/>
        <w:numPr>
          <w:ilvl w:val="0"/>
          <w:numId w:val="104"/>
        </w:numPr>
        <w:jc w:val="left"/>
      </w:pPr>
      <w:r>
        <w:t>The Commonwealth agrees to be responsible for:</w:t>
      </w:r>
    </w:p>
    <w:p w14:paraId="25ABF5AF" w14:textId="673CD1A6" w:rsidR="00852A1F" w:rsidRPr="00744503" w:rsidRDefault="00852A1F" w:rsidP="00744503">
      <w:pPr>
        <w:pStyle w:val="Normalnumbered"/>
        <w:numPr>
          <w:ilvl w:val="0"/>
          <w:numId w:val="100"/>
        </w:numPr>
        <w:jc w:val="left"/>
        <w:rPr>
          <w:szCs w:val="23"/>
        </w:rPr>
      </w:pPr>
      <w:r w:rsidRPr="00744503">
        <w:rPr>
          <w:szCs w:val="23"/>
        </w:rPr>
        <w:t>the coordination of homelessness data collection from SHSC in collaboration with the AIHW;</w:t>
      </w:r>
    </w:p>
    <w:p w14:paraId="50FD0EB8" w14:textId="2343BC6D" w:rsidR="00852A1F" w:rsidRPr="00744503" w:rsidRDefault="00852A1F" w:rsidP="00744503">
      <w:pPr>
        <w:pStyle w:val="Normalnumbered"/>
        <w:numPr>
          <w:ilvl w:val="0"/>
          <w:numId w:val="100"/>
        </w:numPr>
        <w:jc w:val="left"/>
        <w:rPr>
          <w:szCs w:val="23"/>
        </w:rPr>
      </w:pPr>
      <w:r w:rsidRPr="00744503">
        <w:rPr>
          <w:szCs w:val="23"/>
        </w:rPr>
        <w:t>negotiating exemptions from the SHSC in partnership with the States; and</w:t>
      </w:r>
    </w:p>
    <w:p w14:paraId="172A8203" w14:textId="77777777" w:rsidR="00852A1F" w:rsidRPr="00744503" w:rsidRDefault="00852A1F" w:rsidP="00744503">
      <w:pPr>
        <w:pStyle w:val="Normalnumbered"/>
        <w:numPr>
          <w:ilvl w:val="0"/>
          <w:numId w:val="100"/>
        </w:numPr>
        <w:jc w:val="left"/>
        <w:rPr>
          <w:szCs w:val="23"/>
        </w:rPr>
      </w:pPr>
      <w:r w:rsidRPr="00744503">
        <w:rPr>
          <w:szCs w:val="23"/>
        </w:rPr>
        <w:t>monitoring homelessness service delivery expenditure and participation in the SHSC through confirming that all in-scope initiatives and services are participating in the SHSC, or have been provided with an exemption as negotiated.</w:t>
      </w:r>
    </w:p>
    <w:p w14:paraId="54CA6669" w14:textId="77777777" w:rsidR="00852A1F" w:rsidRDefault="00852A1F" w:rsidP="00852A1F">
      <w:pPr>
        <w:pStyle w:val="Normalnumbered"/>
        <w:numPr>
          <w:ilvl w:val="0"/>
          <w:numId w:val="104"/>
        </w:numPr>
        <w:jc w:val="left"/>
      </w:pPr>
      <w:r>
        <w:t>The Commonwealth and the States agree to be jointly responsible for negotiating exemptions for services to participate in the SHSC if necessary.</w:t>
      </w:r>
    </w:p>
    <w:p w14:paraId="5BB5822F" w14:textId="1778A7A9" w:rsidR="00624D23" w:rsidRPr="00B85874" w:rsidRDefault="00624D23" w:rsidP="00852A1F">
      <w:pPr>
        <w:pStyle w:val="Normalnumbered"/>
        <w:tabs>
          <w:tab w:val="clear" w:pos="360"/>
        </w:tabs>
        <w:ind w:left="567" w:firstLine="0"/>
        <w:jc w:val="left"/>
      </w:pPr>
    </w:p>
    <w:sectPr w:rsidR="00624D23" w:rsidRPr="00B85874" w:rsidSect="00C606F6">
      <w:footerReference w:type="default" r:id="rId14"/>
      <w:headerReference w:type="first" r:id="rId15"/>
      <w:footerReference w:type="first" r:id="rId16"/>
      <w:type w:val="oddPage"/>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03B62" w14:textId="77777777" w:rsidR="00C54293" w:rsidRDefault="00C54293">
      <w:r>
        <w:separator/>
      </w:r>
    </w:p>
  </w:endnote>
  <w:endnote w:type="continuationSeparator" w:id="0">
    <w:p w14:paraId="4BD6BEEA" w14:textId="77777777" w:rsidR="00C54293" w:rsidRDefault="00C54293">
      <w:r>
        <w:continuationSeparator/>
      </w:r>
    </w:p>
  </w:endnote>
  <w:endnote w:type="continuationNotice" w:id="1">
    <w:p w14:paraId="70076871" w14:textId="77777777" w:rsidR="00C54293" w:rsidRDefault="00C542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851895"/>
      <w:docPartObj>
        <w:docPartGallery w:val="Page Numbers (Bottom of Page)"/>
        <w:docPartUnique/>
      </w:docPartObj>
    </w:sdtPr>
    <w:sdtEndPr/>
    <w:sdtContent>
      <w:p w14:paraId="7C5B9145" w14:textId="77777777" w:rsidR="00C54293" w:rsidRDefault="00C54293">
        <w:pPr>
          <w:pStyle w:val="Footer"/>
          <w:jc w:val="right"/>
        </w:pPr>
      </w:p>
      <w:p w14:paraId="792B37B1" w14:textId="252CAD31" w:rsidR="00C54293" w:rsidRDefault="00C54293">
        <w:pPr>
          <w:pStyle w:val="Footer"/>
          <w:jc w:val="right"/>
        </w:pPr>
        <w:r>
          <w:t xml:space="preserve">         Page | </w:t>
        </w:r>
        <w:r>
          <w:fldChar w:fldCharType="begin"/>
        </w:r>
        <w:r>
          <w:instrText xml:space="preserve"> PAGE   \* MERGEFORMAT </w:instrText>
        </w:r>
        <w:r>
          <w:fldChar w:fldCharType="separate"/>
        </w:r>
        <w:r w:rsidR="00186541">
          <w:rPr>
            <w:noProof/>
          </w:rPr>
          <w:t>2</w:t>
        </w:r>
        <w:r>
          <w:rPr>
            <w:noProof/>
          </w:rPr>
          <w:fldChar w:fldCharType="end"/>
        </w:r>
        <w:r>
          <w:t xml:space="preserve"> </w:t>
        </w:r>
      </w:p>
    </w:sdtContent>
  </w:sdt>
  <w:p w14:paraId="7CD10149" w14:textId="77777777" w:rsidR="00C54293" w:rsidRDefault="00C542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9FDCA" w14:textId="77777777" w:rsidR="00C54293" w:rsidRDefault="00C54293" w:rsidP="00FE1497">
    <w:pPr>
      <w:pStyle w:val="FooterEven"/>
      <w:jc w:val="center"/>
    </w:pPr>
    <w:bookmarkStart w:id="258" w:name="aliashProtectiveMarkings2FooterFirstPage"/>
  </w:p>
  <w:bookmarkEnd w:id="258"/>
  <w:p w14:paraId="168A0FB8" w14:textId="51344607" w:rsidR="00C54293" w:rsidRDefault="00C54293" w:rsidP="00751725">
    <w:pPr>
      <w:pStyle w:val="FooterEven"/>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8654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30E68" w14:textId="77777777" w:rsidR="00C54293" w:rsidRDefault="00C54293">
      <w:r>
        <w:separator/>
      </w:r>
    </w:p>
  </w:footnote>
  <w:footnote w:type="continuationSeparator" w:id="0">
    <w:p w14:paraId="64B8C4B7" w14:textId="77777777" w:rsidR="00C54293" w:rsidRDefault="00C54293">
      <w:r>
        <w:continuationSeparator/>
      </w:r>
    </w:p>
  </w:footnote>
  <w:footnote w:type="continuationNotice" w:id="1">
    <w:p w14:paraId="2E73FB7C" w14:textId="77777777" w:rsidR="00C54293" w:rsidRDefault="00C5429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22318" w14:textId="1B27FDDF" w:rsidR="00C54293" w:rsidRPr="00814590" w:rsidRDefault="00C54293" w:rsidP="0036474E">
    <w:pPr>
      <w:pStyle w:val="HeaderOdd"/>
      <w:tabs>
        <w:tab w:val="num" w:pos="1134"/>
      </w:tabs>
      <w:rPr>
        <w:color w:val="800000"/>
      </w:rPr>
    </w:pPr>
    <w:r>
      <w:rPr>
        <w:color w:val="800000"/>
      </w:rPr>
      <w:t>National Housing and Homelessness Agreement</w:t>
    </w:r>
  </w:p>
  <w:p w14:paraId="39B93F23" w14:textId="77777777" w:rsidR="00C54293" w:rsidRPr="00751725" w:rsidRDefault="00C54293" w:rsidP="0028187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14EA84"/>
    <w:lvl w:ilvl="0">
      <w:start w:val="1"/>
      <w:numFmt w:val="bullet"/>
      <w:pStyle w:val="ChartandTableFootnoteAlpha"/>
      <w:lvlText w:val=""/>
      <w:lvlJc w:val="left"/>
      <w:pPr>
        <w:tabs>
          <w:tab w:val="num" w:pos="360"/>
        </w:tabs>
        <w:ind w:left="360" w:hanging="360"/>
      </w:pPr>
      <w:rPr>
        <w:rFonts w:ascii="Symbol" w:hAnsi="Symbol" w:hint="default"/>
      </w:rPr>
    </w:lvl>
  </w:abstractNum>
  <w:abstractNum w:abstractNumId="1">
    <w:nsid w:val="01216EF8"/>
    <w:multiLevelType w:val="hybridMultilevel"/>
    <w:tmpl w:val="04FEC93C"/>
    <w:lvl w:ilvl="0" w:tplc="B1CC4C1E">
      <w:start w:val="1"/>
      <w:numFmt w:val="lowerLetter"/>
      <w:lvlText w:val="%1."/>
      <w:lvlJc w:val="left"/>
      <w:pPr>
        <w:ind w:left="927" w:hanging="360"/>
      </w:pPr>
      <w:rPr>
        <w:rFonts w:hint="default"/>
      </w:rPr>
    </w:lvl>
    <w:lvl w:ilvl="1" w:tplc="0C090019" w:tentative="1">
      <w:start w:val="1"/>
      <w:numFmt w:val="lowerLetter"/>
      <w:lvlText w:val="%2."/>
      <w:lvlJc w:val="left"/>
      <w:pPr>
        <w:ind w:left="927" w:hanging="360"/>
      </w:pPr>
    </w:lvl>
    <w:lvl w:ilvl="2" w:tplc="0C09001B" w:tentative="1">
      <w:start w:val="1"/>
      <w:numFmt w:val="lowerRoman"/>
      <w:lvlText w:val="%3."/>
      <w:lvlJc w:val="right"/>
      <w:pPr>
        <w:ind w:left="1647" w:hanging="180"/>
      </w:pPr>
    </w:lvl>
    <w:lvl w:ilvl="3" w:tplc="0C09000F" w:tentative="1">
      <w:start w:val="1"/>
      <w:numFmt w:val="decimal"/>
      <w:lvlText w:val="%4."/>
      <w:lvlJc w:val="left"/>
      <w:pPr>
        <w:ind w:left="2367" w:hanging="360"/>
      </w:pPr>
    </w:lvl>
    <w:lvl w:ilvl="4" w:tplc="0C090019" w:tentative="1">
      <w:start w:val="1"/>
      <w:numFmt w:val="lowerLetter"/>
      <w:lvlText w:val="%5."/>
      <w:lvlJc w:val="left"/>
      <w:pPr>
        <w:ind w:left="3087" w:hanging="360"/>
      </w:pPr>
    </w:lvl>
    <w:lvl w:ilvl="5" w:tplc="0C09001B" w:tentative="1">
      <w:start w:val="1"/>
      <w:numFmt w:val="lowerRoman"/>
      <w:lvlText w:val="%6."/>
      <w:lvlJc w:val="right"/>
      <w:pPr>
        <w:ind w:left="3807" w:hanging="180"/>
      </w:pPr>
    </w:lvl>
    <w:lvl w:ilvl="6" w:tplc="0C09000F" w:tentative="1">
      <w:start w:val="1"/>
      <w:numFmt w:val="decimal"/>
      <w:lvlText w:val="%7."/>
      <w:lvlJc w:val="left"/>
      <w:pPr>
        <w:ind w:left="4527" w:hanging="360"/>
      </w:pPr>
    </w:lvl>
    <w:lvl w:ilvl="7" w:tplc="0C090019" w:tentative="1">
      <w:start w:val="1"/>
      <w:numFmt w:val="lowerLetter"/>
      <w:lvlText w:val="%8."/>
      <w:lvlJc w:val="left"/>
      <w:pPr>
        <w:ind w:left="5247" w:hanging="360"/>
      </w:pPr>
    </w:lvl>
    <w:lvl w:ilvl="8" w:tplc="0C09001B" w:tentative="1">
      <w:start w:val="1"/>
      <w:numFmt w:val="lowerRoman"/>
      <w:lvlText w:val="%9."/>
      <w:lvlJc w:val="right"/>
      <w:pPr>
        <w:ind w:left="5967" w:hanging="180"/>
      </w:pPr>
    </w:lvl>
  </w:abstractNum>
  <w:abstractNum w:abstractNumId="2">
    <w:nsid w:val="082F33B6"/>
    <w:multiLevelType w:val="hybridMultilevel"/>
    <w:tmpl w:val="04FEC93C"/>
    <w:lvl w:ilvl="0" w:tplc="B1CC4C1E">
      <w:start w:val="1"/>
      <w:numFmt w:val="lowerLetter"/>
      <w:lvlText w:val="%1."/>
      <w:lvlJc w:val="left"/>
      <w:pPr>
        <w:ind w:left="927" w:hanging="360"/>
      </w:pPr>
      <w:rPr>
        <w:rFonts w:hint="default"/>
      </w:rPr>
    </w:lvl>
    <w:lvl w:ilvl="1" w:tplc="0C090019" w:tentative="1">
      <w:start w:val="1"/>
      <w:numFmt w:val="lowerLetter"/>
      <w:lvlText w:val="%2."/>
      <w:lvlJc w:val="left"/>
      <w:pPr>
        <w:ind w:left="927" w:hanging="360"/>
      </w:pPr>
    </w:lvl>
    <w:lvl w:ilvl="2" w:tplc="0C09001B" w:tentative="1">
      <w:start w:val="1"/>
      <w:numFmt w:val="lowerRoman"/>
      <w:lvlText w:val="%3."/>
      <w:lvlJc w:val="right"/>
      <w:pPr>
        <w:ind w:left="1647" w:hanging="180"/>
      </w:pPr>
    </w:lvl>
    <w:lvl w:ilvl="3" w:tplc="0C09000F" w:tentative="1">
      <w:start w:val="1"/>
      <w:numFmt w:val="decimal"/>
      <w:lvlText w:val="%4."/>
      <w:lvlJc w:val="left"/>
      <w:pPr>
        <w:ind w:left="2367" w:hanging="360"/>
      </w:pPr>
    </w:lvl>
    <w:lvl w:ilvl="4" w:tplc="0C090019" w:tentative="1">
      <w:start w:val="1"/>
      <w:numFmt w:val="lowerLetter"/>
      <w:lvlText w:val="%5."/>
      <w:lvlJc w:val="left"/>
      <w:pPr>
        <w:ind w:left="3087" w:hanging="360"/>
      </w:pPr>
    </w:lvl>
    <w:lvl w:ilvl="5" w:tplc="0C09001B" w:tentative="1">
      <w:start w:val="1"/>
      <w:numFmt w:val="lowerRoman"/>
      <w:lvlText w:val="%6."/>
      <w:lvlJc w:val="right"/>
      <w:pPr>
        <w:ind w:left="3807" w:hanging="180"/>
      </w:pPr>
    </w:lvl>
    <w:lvl w:ilvl="6" w:tplc="0C09000F" w:tentative="1">
      <w:start w:val="1"/>
      <w:numFmt w:val="decimal"/>
      <w:lvlText w:val="%7."/>
      <w:lvlJc w:val="left"/>
      <w:pPr>
        <w:ind w:left="4527" w:hanging="360"/>
      </w:pPr>
    </w:lvl>
    <w:lvl w:ilvl="7" w:tplc="0C090019" w:tentative="1">
      <w:start w:val="1"/>
      <w:numFmt w:val="lowerLetter"/>
      <w:lvlText w:val="%8."/>
      <w:lvlJc w:val="left"/>
      <w:pPr>
        <w:ind w:left="5247" w:hanging="360"/>
      </w:pPr>
    </w:lvl>
    <w:lvl w:ilvl="8" w:tplc="0C09001B" w:tentative="1">
      <w:start w:val="1"/>
      <w:numFmt w:val="lowerRoman"/>
      <w:lvlText w:val="%9."/>
      <w:lvlJc w:val="right"/>
      <w:pPr>
        <w:ind w:left="5967" w:hanging="180"/>
      </w:pPr>
    </w:lvl>
  </w:abstractNum>
  <w:abstractNum w:abstractNumId="3">
    <w:nsid w:val="0BF85B36"/>
    <w:multiLevelType w:val="hybridMultilevel"/>
    <w:tmpl w:val="04FEC93C"/>
    <w:lvl w:ilvl="0" w:tplc="B1CC4C1E">
      <w:start w:val="1"/>
      <w:numFmt w:val="lowerLetter"/>
      <w:lvlText w:val="%1."/>
      <w:lvlJc w:val="left"/>
      <w:pPr>
        <w:ind w:left="927" w:hanging="360"/>
      </w:pPr>
      <w:rPr>
        <w:rFonts w:hint="default"/>
      </w:rPr>
    </w:lvl>
    <w:lvl w:ilvl="1" w:tplc="0C090019" w:tentative="1">
      <w:start w:val="1"/>
      <w:numFmt w:val="lowerLetter"/>
      <w:lvlText w:val="%2."/>
      <w:lvlJc w:val="left"/>
      <w:pPr>
        <w:ind w:left="927" w:hanging="360"/>
      </w:pPr>
    </w:lvl>
    <w:lvl w:ilvl="2" w:tplc="0C09001B" w:tentative="1">
      <w:start w:val="1"/>
      <w:numFmt w:val="lowerRoman"/>
      <w:lvlText w:val="%3."/>
      <w:lvlJc w:val="right"/>
      <w:pPr>
        <w:ind w:left="1647" w:hanging="180"/>
      </w:pPr>
    </w:lvl>
    <w:lvl w:ilvl="3" w:tplc="0C09000F" w:tentative="1">
      <w:start w:val="1"/>
      <w:numFmt w:val="decimal"/>
      <w:lvlText w:val="%4."/>
      <w:lvlJc w:val="left"/>
      <w:pPr>
        <w:ind w:left="2367" w:hanging="360"/>
      </w:pPr>
    </w:lvl>
    <w:lvl w:ilvl="4" w:tplc="0C090019" w:tentative="1">
      <w:start w:val="1"/>
      <w:numFmt w:val="lowerLetter"/>
      <w:lvlText w:val="%5."/>
      <w:lvlJc w:val="left"/>
      <w:pPr>
        <w:ind w:left="3087" w:hanging="360"/>
      </w:pPr>
    </w:lvl>
    <w:lvl w:ilvl="5" w:tplc="0C09001B" w:tentative="1">
      <w:start w:val="1"/>
      <w:numFmt w:val="lowerRoman"/>
      <w:lvlText w:val="%6."/>
      <w:lvlJc w:val="right"/>
      <w:pPr>
        <w:ind w:left="3807" w:hanging="180"/>
      </w:pPr>
    </w:lvl>
    <w:lvl w:ilvl="6" w:tplc="0C09000F" w:tentative="1">
      <w:start w:val="1"/>
      <w:numFmt w:val="decimal"/>
      <w:lvlText w:val="%7."/>
      <w:lvlJc w:val="left"/>
      <w:pPr>
        <w:ind w:left="4527" w:hanging="360"/>
      </w:pPr>
    </w:lvl>
    <w:lvl w:ilvl="7" w:tplc="0C090019" w:tentative="1">
      <w:start w:val="1"/>
      <w:numFmt w:val="lowerLetter"/>
      <w:lvlText w:val="%8."/>
      <w:lvlJc w:val="left"/>
      <w:pPr>
        <w:ind w:left="5247" w:hanging="360"/>
      </w:pPr>
    </w:lvl>
    <w:lvl w:ilvl="8" w:tplc="0C09001B" w:tentative="1">
      <w:start w:val="1"/>
      <w:numFmt w:val="lowerRoman"/>
      <w:lvlText w:val="%9."/>
      <w:lvlJc w:val="right"/>
      <w:pPr>
        <w:ind w:left="5967" w:hanging="180"/>
      </w:pPr>
    </w:lvl>
  </w:abstractNum>
  <w:abstractNum w:abstractNumId="4">
    <w:nsid w:val="0C0E1AEA"/>
    <w:multiLevelType w:val="hybridMultilevel"/>
    <w:tmpl w:val="8D6878F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327F01"/>
    <w:multiLevelType w:val="hybridMultilevel"/>
    <w:tmpl w:val="39C46562"/>
    <w:lvl w:ilvl="0" w:tplc="660EB736">
      <w:start w:val="1"/>
      <w:numFmt w:val="lowerLetter"/>
      <w:lvlText w:val="(%1)"/>
      <w:lvlJc w:val="left"/>
      <w:pPr>
        <w:ind w:left="927" w:hanging="360"/>
      </w:pPr>
      <w:rPr>
        <w:rFonts w:cs="Times New Roman"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7">
    <w:nsid w:val="0DDB3DD6"/>
    <w:multiLevelType w:val="hybridMultilevel"/>
    <w:tmpl w:val="FE408F32"/>
    <w:lvl w:ilvl="0" w:tplc="79FAD618">
      <w:start w:val="1"/>
      <w:numFmt w:val="decimal"/>
      <w:lvlText w:val="B%1."/>
      <w:lvlJc w:val="left"/>
      <w:pPr>
        <w:tabs>
          <w:tab w:val="num" w:pos="567"/>
        </w:tabs>
        <w:ind w:left="567" w:hanging="567"/>
      </w:pPr>
      <w:rPr>
        <w:rFonts w:cs="Times New Roman" w:hint="default"/>
        <w:b w:val="0"/>
        <w:color w:val="auto"/>
        <w:sz w:val="23"/>
        <w:szCs w:val="23"/>
      </w:rPr>
    </w:lvl>
    <w:lvl w:ilvl="1" w:tplc="EC42698E">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189C8D72">
      <w:start w:val="1"/>
      <w:numFmt w:val="lowerRoman"/>
      <w:lvlText w:val="i.%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0DE71078"/>
    <w:multiLevelType w:val="hybridMultilevel"/>
    <w:tmpl w:val="47DA0B90"/>
    <w:lvl w:ilvl="0" w:tplc="5C18A11C">
      <w:start w:val="1"/>
      <w:numFmt w:val="lowerLetter"/>
      <w:lvlText w:val="(%1)"/>
      <w:lvlJc w:val="left"/>
      <w:pPr>
        <w:ind w:left="786" w:hanging="360"/>
      </w:pPr>
      <w:rPr>
        <w:rFonts w:cs="Times New Roman" w:hint="default"/>
      </w:rPr>
    </w:lvl>
    <w:lvl w:ilvl="1" w:tplc="0C09001B">
      <w:start w:val="1"/>
      <w:numFmt w:val="lowerRoman"/>
      <w:lvlText w:val="%2."/>
      <w:lvlJc w:val="righ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9">
    <w:nsid w:val="11063B0E"/>
    <w:multiLevelType w:val="hybridMultilevel"/>
    <w:tmpl w:val="D2549044"/>
    <w:lvl w:ilvl="0" w:tplc="0C09001B">
      <w:start w:val="1"/>
      <w:numFmt w:val="lowerRoman"/>
      <w:lvlText w:val="%1."/>
      <w:lvlJc w:val="right"/>
      <w:pPr>
        <w:ind w:left="1854" w:hanging="360"/>
      </w:pPr>
      <w:rPr>
        <w:rFonts w:cs="Times New Roman" w:hint="default"/>
      </w:rPr>
    </w:lvl>
    <w:lvl w:ilvl="1" w:tplc="0C090003">
      <w:start w:val="1"/>
      <w:numFmt w:val="bullet"/>
      <w:lvlText w:val="o"/>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0">
    <w:nsid w:val="11B2187D"/>
    <w:multiLevelType w:val="multilevel"/>
    <w:tmpl w:val="6804EA1A"/>
    <w:name w:val="StandardBulletedList"/>
    <w:lvl w:ilvl="0">
      <w:start w:val="1"/>
      <w:numFmt w:val="bullet"/>
      <w:pStyle w:val="Bullet"/>
      <w:lvlText w:val="•"/>
      <w:lvlJc w:val="left"/>
      <w:pPr>
        <w:tabs>
          <w:tab w:val="num" w:pos="543"/>
        </w:tabs>
        <w:ind w:left="543" w:hanging="543"/>
      </w:pPr>
      <w:rPr>
        <w:rFonts w:ascii="Times New Roman" w:hAnsi="Times New Roman" w:cs="Times New Roman"/>
      </w:rPr>
    </w:lvl>
    <w:lvl w:ilvl="1">
      <w:start w:val="1"/>
      <w:numFmt w:val="bullet"/>
      <w:pStyle w:val="Dash"/>
      <w:lvlText w:val="–"/>
      <w:lvlJc w:val="left"/>
      <w:pPr>
        <w:tabs>
          <w:tab w:val="num" w:pos="1086"/>
        </w:tabs>
        <w:ind w:left="1086" w:hanging="543"/>
      </w:pPr>
      <w:rPr>
        <w:rFonts w:ascii="Times New Roman" w:hAnsi="Times New Roman" w:cs="Times New Roman"/>
      </w:rPr>
    </w:lvl>
    <w:lvl w:ilvl="2">
      <w:start w:val="1"/>
      <w:numFmt w:val="bullet"/>
      <w:pStyle w:val="DoubleDot"/>
      <w:lvlText w:val=":"/>
      <w:lvlJc w:val="left"/>
      <w:pPr>
        <w:tabs>
          <w:tab w:val="num" w:pos="1629"/>
        </w:tabs>
        <w:ind w:left="1629" w:hanging="543"/>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3960AED"/>
    <w:multiLevelType w:val="hybridMultilevel"/>
    <w:tmpl w:val="74D6BC18"/>
    <w:lvl w:ilvl="0" w:tplc="DFCC1268">
      <w:start w:val="1"/>
      <w:numFmt w:val="decimal"/>
      <w:lvlText w:val="C%1."/>
      <w:lvlJc w:val="left"/>
      <w:pPr>
        <w:tabs>
          <w:tab w:val="num" w:pos="567"/>
        </w:tabs>
        <w:ind w:left="567" w:hanging="567"/>
      </w:pPr>
      <w:rPr>
        <w:rFonts w:cs="Times New Roman" w:hint="default"/>
        <w:b w:val="0"/>
        <w:color w:val="auto"/>
        <w:sz w:val="23"/>
        <w:szCs w:val="23"/>
      </w:rPr>
    </w:lvl>
    <w:lvl w:ilvl="1" w:tplc="EC42698E">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189C8D72">
      <w:start w:val="1"/>
      <w:numFmt w:val="lowerRoman"/>
      <w:lvlText w:val="i.%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15743D8F"/>
    <w:multiLevelType w:val="multilevel"/>
    <w:tmpl w:val="5FBC495E"/>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cs="Times New Roman"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15E92E5D"/>
    <w:multiLevelType w:val="hybridMultilevel"/>
    <w:tmpl w:val="413CE978"/>
    <w:lvl w:ilvl="0" w:tplc="EC42698E">
      <w:start w:val="1"/>
      <w:numFmt w:val="lowerLetter"/>
      <w:lvlText w:val="(%1)"/>
      <w:lvlJc w:val="left"/>
      <w:pPr>
        <w:tabs>
          <w:tab w:val="num" w:pos="1080"/>
        </w:tabs>
        <w:ind w:left="1080" w:hanging="360"/>
      </w:pPr>
      <w:rPr>
        <w:rFonts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15FC2337"/>
    <w:multiLevelType w:val="hybridMultilevel"/>
    <w:tmpl w:val="7A544B4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9C960FD"/>
    <w:multiLevelType w:val="multilevel"/>
    <w:tmpl w:val="71BCA994"/>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6">
    <w:nsid w:val="1AB24619"/>
    <w:multiLevelType w:val="multilevel"/>
    <w:tmpl w:val="73ECACC0"/>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7">
    <w:nsid w:val="1C0E0428"/>
    <w:multiLevelType w:val="multilevel"/>
    <w:tmpl w:val="4BFC5C72"/>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lowerRoman"/>
      <w:lvlText w:val="%2."/>
      <w:lvlJc w:val="right"/>
      <w:pPr>
        <w:tabs>
          <w:tab w:val="num" w:pos="1701"/>
        </w:tabs>
        <w:ind w:left="1701" w:hanging="567"/>
      </w:pPr>
      <w:rPr>
        <w:rFonts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8">
    <w:nsid w:val="1E3E7AFF"/>
    <w:multiLevelType w:val="multilevel"/>
    <w:tmpl w:val="73ECACC0"/>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9">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nsid w:val="1EA55519"/>
    <w:multiLevelType w:val="hybridMultilevel"/>
    <w:tmpl w:val="CE8C6802"/>
    <w:lvl w:ilvl="0" w:tplc="FFFFFFFF">
      <w:start w:val="1"/>
      <w:numFmt w:val="lowerRoman"/>
      <w:lvlText w:val="%1."/>
      <w:lvlJc w:val="right"/>
      <w:pPr>
        <w:ind w:left="1854" w:hanging="360"/>
      </w:pPr>
      <w:rPr>
        <w:rFonts w:cs="Times New Roman"/>
      </w:r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
    <w:nsid w:val="1FC15E8B"/>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2">
    <w:nsid w:val="21626C72"/>
    <w:multiLevelType w:val="hybridMultilevel"/>
    <w:tmpl w:val="331646E8"/>
    <w:lvl w:ilvl="0" w:tplc="B1CC4C1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nsid w:val="21B4244B"/>
    <w:multiLevelType w:val="hybridMultilevel"/>
    <w:tmpl w:val="04FEC93C"/>
    <w:lvl w:ilvl="0" w:tplc="B1CC4C1E">
      <w:start w:val="1"/>
      <w:numFmt w:val="lowerLetter"/>
      <w:lvlText w:val="%1."/>
      <w:lvlJc w:val="left"/>
      <w:pPr>
        <w:ind w:left="927" w:hanging="360"/>
      </w:pPr>
      <w:rPr>
        <w:rFonts w:hint="default"/>
      </w:rPr>
    </w:lvl>
    <w:lvl w:ilvl="1" w:tplc="0C090019" w:tentative="1">
      <w:start w:val="1"/>
      <w:numFmt w:val="lowerLetter"/>
      <w:lvlText w:val="%2."/>
      <w:lvlJc w:val="left"/>
      <w:pPr>
        <w:ind w:left="927" w:hanging="360"/>
      </w:pPr>
    </w:lvl>
    <w:lvl w:ilvl="2" w:tplc="0C09001B" w:tentative="1">
      <w:start w:val="1"/>
      <w:numFmt w:val="lowerRoman"/>
      <w:lvlText w:val="%3."/>
      <w:lvlJc w:val="right"/>
      <w:pPr>
        <w:ind w:left="1647" w:hanging="180"/>
      </w:pPr>
    </w:lvl>
    <w:lvl w:ilvl="3" w:tplc="0C09000F" w:tentative="1">
      <w:start w:val="1"/>
      <w:numFmt w:val="decimal"/>
      <w:lvlText w:val="%4."/>
      <w:lvlJc w:val="left"/>
      <w:pPr>
        <w:ind w:left="2367" w:hanging="360"/>
      </w:pPr>
    </w:lvl>
    <w:lvl w:ilvl="4" w:tplc="0C090019" w:tentative="1">
      <w:start w:val="1"/>
      <w:numFmt w:val="lowerLetter"/>
      <w:lvlText w:val="%5."/>
      <w:lvlJc w:val="left"/>
      <w:pPr>
        <w:ind w:left="3087" w:hanging="360"/>
      </w:pPr>
    </w:lvl>
    <w:lvl w:ilvl="5" w:tplc="0C09001B" w:tentative="1">
      <w:start w:val="1"/>
      <w:numFmt w:val="lowerRoman"/>
      <w:lvlText w:val="%6."/>
      <w:lvlJc w:val="right"/>
      <w:pPr>
        <w:ind w:left="3807" w:hanging="180"/>
      </w:pPr>
    </w:lvl>
    <w:lvl w:ilvl="6" w:tplc="0C09000F" w:tentative="1">
      <w:start w:val="1"/>
      <w:numFmt w:val="decimal"/>
      <w:lvlText w:val="%7."/>
      <w:lvlJc w:val="left"/>
      <w:pPr>
        <w:ind w:left="4527" w:hanging="360"/>
      </w:pPr>
    </w:lvl>
    <w:lvl w:ilvl="7" w:tplc="0C090019" w:tentative="1">
      <w:start w:val="1"/>
      <w:numFmt w:val="lowerLetter"/>
      <w:lvlText w:val="%8."/>
      <w:lvlJc w:val="left"/>
      <w:pPr>
        <w:ind w:left="5247" w:hanging="360"/>
      </w:pPr>
    </w:lvl>
    <w:lvl w:ilvl="8" w:tplc="0C09001B" w:tentative="1">
      <w:start w:val="1"/>
      <w:numFmt w:val="lowerRoman"/>
      <w:lvlText w:val="%9."/>
      <w:lvlJc w:val="right"/>
      <w:pPr>
        <w:ind w:left="5967" w:hanging="180"/>
      </w:pPr>
    </w:lvl>
  </w:abstractNum>
  <w:abstractNum w:abstractNumId="24">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25">
    <w:nsid w:val="22FA117C"/>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6">
    <w:nsid w:val="23412AC3"/>
    <w:multiLevelType w:val="hybridMultilevel"/>
    <w:tmpl w:val="7B0C05DC"/>
    <w:lvl w:ilvl="0" w:tplc="6CE292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23923DF0"/>
    <w:multiLevelType w:val="hybridMultilevel"/>
    <w:tmpl w:val="5004313A"/>
    <w:lvl w:ilvl="0" w:tplc="0C090003">
      <w:start w:val="1"/>
      <w:numFmt w:val="bullet"/>
      <w:lvlText w:val="o"/>
      <w:lvlJc w:val="left"/>
      <w:pPr>
        <w:ind w:left="2349" w:hanging="360"/>
      </w:pPr>
      <w:rPr>
        <w:rFonts w:ascii="Courier New" w:hAnsi="Courier New" w:cs="Courier New" w:hint="default"/>
      </w:rPr>
    </w:lvl>
    <w:lvl w:ilvl="1" w:tplc="0C090003">
      <w:start w:val="1"/>
      <w:numFmt w:val="bullet"/>
      <w:lvlText w:val="o"/>
      <w:lvlJc w:val="left"/>
      <w:pPr>
        <w:ind w:left="3069" w:hanging="360"/>
      </w:pPr>
      <w:rPr>
        <w:rFonts w:ascii="Courier New" w:hAnsi="Courier New" w:cs="Courier New" w:hint="default"/>
      </w:rPr>
    </w:lvl>
    <w:lvl w:ilvl="2" w:tplc="0C090005">
      <w:start w:val="1"/>
      <w:numFmt w:val="bullet"/>
      <w:lvlText w:val=""/>
      <w:lvlJc w:val="left"/>
      <w:pPr>
        <w:ind w:left="3789" w:hanging="360"/>
      </w:pPr>
      <w:rPr>
        <w:rFonts w:ascii="Wingdings" w:hAnsi="Wingdings" w:hint="default"/>
      </w:rPr>
    </w:lvl>
    <w:lvl w:ilvl="3" w:tplc="0C090001">
      <w:start w:val="1"/>
      <w:numFmt w:val="bullet"/>
      <w:lvlText w:val=""/>
      <w:lvlJc w:val="left"/>
      <w:pPr>
        <w:ind w:left="4509" w:hanging="360"/>
      </w:pPr>
      <w:rPr>
        <w:rFonts w:ascii="Symbol" w:hAnsi="Symbol" w:hint="default"/>
      </w:rPr>
    </w:lvl>
    <w:lvl w:ilvl="4" w:tplc="0C090003">
      <w:start w:val="1"/>
      <w:numFmt w:val="bullet"/>
      <w:lvlText w:val="o"/>
      <w:lvlJc w:val="left"/>
      <w:pPr>
        <w:ind w:left="5229" w:hanging="360"/>
      </w:pPr>
      <w:rPr>
        <w:rFonts w:ascii="Courier New" w:hAnsi="Courier New" w:cs="Courier New" w:hint="default"/>
      </w:rPr>
    </w:lvl>
    <w:lvl w:ilvl="5" w:tplc="0C090005">
      <w:start w:val="1"/>
      <w:numFmt w:val="bullet"/>
      <w:lvlText w:val=""/>
      <w:lvlJc w:val="left"/>
      <w:pPr>
        <w:ind w:left="5949" w:hanging="360"/>
      </w:pPr>
      <w:rPr>
        <w:rFonts w:ascii="Wingdings" w:hAnsi="Wingdings" w:hint="default"/>
      </w:rPr>
    </w:lvl>
    <w:lvl w:ilvl="6" w:tplc="0C090001">
      <w:start w:val="1"/>
      <w:numFmt w:val="bullet"/>
      <w:lvlText w:val=""/>
      <w:lvlJc w:val="left"/>
      <w:pPr>
        <w:ind w:left="6669" w:hanging="360"/>
      </w:pPr>
      <w:rPr>
        <w:rFonts w:ascii="Symbol" w:hAnsi="Symbol" w:hint="default"/>
      </w:rPr>
    </w:lvl>
    <w:lvl w:ilvl="7" w:tplc="0C090003">
      <w:start w:val="1"/>
      <w:numFmt w:val="bullet"/>
      <w:lvlText w:val="o"/>
      <w:lvlJc w:val="left"/>
      <w:pPr>
        <w:ind w:left="7389" w:hanging="360"/>
      </w:pPr>
      <w:rPr>
        <w:rFonts w:ascii="Courier New" w:hAnsi="Courier New" w:cs="Courier New" w:hint="default"/>
      </w:rPr>
    </w:lvl>
    <w:lvl w:ilvl="8" w:tplc="0C090005">
      <w:start w:val="1"/>
      <w:numFmt w:val="bullet"/>
      <w:lvlText w:val=""/>
      <w:lvlJc w:val="left"/>
      <w:pPr>
        <w:ind w:left="8109" w:hanging="360"/>
      </w:pPr>
      <w:rPr>
        <w:rFonts w:ascii="Wingdings" w:hAnsi="Wingdings" w:hint="default"/>
      </w:rPr>
    </w:lvl>
  </w:abstractNum>
  <w:abstractNum w:abstractNumId="28">
    <w:nsid w:val="23F94B82"/>
    <w:multiLevelType w:val="multilevel"/>
    <w:tmpl w:val="22F20944"/>
    <w:lvl w:ilvl="0">
      <w:start w:val="1"/>
      <w:numFmt w:val="decimal"/>
      <w:lvlText w:val="%1."/>
      <w:lvlJc w:val="left"/>
      <w:pPr>
        <w:ind w:left="360" w:hanging="360"/>
      </w:pPr>
      <w:rPr>
        <w:rFonts w:hint="default"/>
      </w:rPr>
    </w:lvl>
    <w:lvl w:ilvl="1">
      <w:start w:val="3"/>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0">
    <w:nsid w:val="2461602A"/>
    <w:multiLevelType w:val="hybridMultilevel"/>
    <w:tmpl w:val="CBECAE62"/>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EC42698E">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0C09001B">
      <w:start w:val="1"/>
      <w:numFmt w:val="lowerRoman"/>
      <w:lvlText w:val="%4."/>
      <w:lvlJc w:val="right"/>
      <w:pPr>
        <w:tabs>
          <w:tab w:val="num" w:pos="2880"/>
        </w:tabs>
        <w:ind w:left="2880" w:hanging="360"/>
      </w:p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247D7C65"/>
    <w:multiLevelType w:val="hybridMultilevel"/>
    <w:tmpl w:val="09E28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25AA1260"/>
    <w:multiLevelType w:val="hybridMultilevel"/>
    <w:tmpl w:val="4EDE0D9C"/>
    <w:lvl w:ilvl="0" w:tplc="EC42698E">
      <w:start w:val="1"/>
      <w:numFmt w:val="lowerLetter"/>
      <w:lvlText w:val="(%1)"/>
      <w:lvlJc w:val="left"/>
      <w:pPr>
        <w:ind w:left="360" w:hanging="360"/>
      </w:pPr>
      <w:rPr>
        <w:rFonts w:cs="Times New Roman"/>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3">
    <w:nsid w:val="274254BB"/>
    <w:multiLevelType w:val="hybridMultilevel"/>
    <w:tmpl w:val="B01CAD5E"/>
    <w:lvl w:ilvl="0" w:tplc="B1CC4C1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35">
    <w:nsid w:val="27FA57B4"/>
    <w:multiLevelType w:val="multilevel"/>
    <w:tmpl w:val="366058FC"/>
    <w:lvl w:ilvl="0">
      <w:start w:val="1"/>
      <w:numFmt w:val="decimal"/>
      <w:lvlText w:val="%1."/>
      <w:lvlJc w:val="left"/>
      <w:pPr>
        <w:tabs>
          <w:tab w:val="num" w:pos="1086"/>
        </w:tabs>
        <w:ind w:left="1086" w:hanging="543"/>
      </w:pPr>
    </w:lvl>
    <w:lvl w:ilvl="1">
      <w:start w:val="1"/>
      <w:numFmt w:val="decimal"/>
      <w:lvlText w:val="%1.%2."/>
      <w:lvlJc w:val="left"/>
      <w:pPr>
        <w:tabs>
          <w:tab w:val="num" w:pos="1629"/>
        </w:tabs>
        <w:ind w:left="1629" w:hanging="543"/>
      </w:pPr>
    </w:lvl>
    <w:lvl w:ilvl="2">
      <w:start w:val="1"/>
      <w:numFmt w:val="decimal"/>
      <w:lvlText w:val="%1.%2.%3."/>
      <w:lvlJc w:val="left"/>
      <w:pPr>
        <w:tabs>
          <w:tab w:val="num" w:pos="2172"/>
        </w:tabs>
        <w:ind w:left="2172" w:hanging="543"/>
      </w:pPr>
    </w:lvl>
    <w:lvl w:ilvl="3">
      <w:start w:val="1"/>
      <w:numFmt w:val="decimal"/>
      <w:lvlText w:val="(%4)"/>
      <w:lvlJc w:val="left"/>
      <w:pPr>
        <w:ind w:left="1983" w:hanging="360"/>
      </w:pPr>
    </w:lvl>
    <w:lvl w:ilvl="4">
      <w:start w:val="1"/>
      <w:numFmt w:val="lowerLetter"/>
      <w:lvlText w:val="(%5)"/>
      <w:lvlJc w:val="left"/>
      <w:pPr>
        <w:ind w:left="2343" w:hanging="360"/>
      </w:pPr>
    </w:lvl>
    <w:lvl w:ilvl="5">
      <w:start w:val="1"/>
      <w:numFmt w:val="lowerRoman"/>
      <w:lvlText w:val="(%6)"/>
      <w:lvlJc w:val="left"/>
      <w:pPr>
        <w:ind w:left="2703" w:hanging="360"/>
      </w:pPr>
    </w:lvl>
    <w:lvl w:ilvl="6">
      <w:start w:val="1"/>
      <w:numFmt w:val="decimal"/>
      <w:lvlText w:val="%7."/>
      <w:lvlJc w:val="left"/>
      <w:pPr>
        <w:ind w:left="3063" w:hanging="360"/>
      </w:pPr>
    </w:lvl>
    <w:lvl w:ilvl="7">
      <w:start w:val="1"/>
      <w:numFmt w:val="lowerLetter"/>
      <w:lvlText w:val="%8."/>
      <w:lvlJc w:val="left"/>
      <w:pPr>
        <w:ind w:left="3423" w:hanging="360"/>
      </w:pPr>
    </w:lvl>
    <w:lvl w:ilvl="8">
      <w:start w:val="1"/>
      <w:numFmt w:val="lowerRoman"/>
      <w:lvlText w:val="%9."/>
      <w:lvlJc w:val="left"/>
      <w:pPr>
        <w:ind w:left="3783" w:hanging="360"/>
      </w:pPr>
    </w:lvl>
  </w:abstractNum>
  <w:abstractNum w:abstractNumId="36">
    <w:nsid w:val="29765D4B"/>
    <w:multiLevelType w:val="hybridMultilevel"/>
    <w:tmpl w:val="8AC05556"/>
    <w:lvl w:ilvl="0" w:tplc="48682950">
      <w:start w:val="1"/>
      <w:numFmt w:val="lowerRoman"/>
      <w:lvlText w:val="%1."/>
      <w:lvlJc w:val="right"/>
      <w:pPr>
        <w:ind w:left="2466" w:hanging="360"/>
      </w:pPr>
      <w:rPr>
        <w:rFonts w:cs="Times New Roman" w:hint="default"/>
      </w:rPr>
    </w:lvl>
    <w:lvl w:ilvl="1" w:tplc="0C090019" w:tentative="1">
      <w:start w:val="1"/>
      <w:numFmt w:val="lowerLetter"/>
      <w:lvlText w:val="%2."/>
      <w:lvlJc w:val="left"/>
      <w:pPr>
        <w:ind w:left="2052" w:hanging="360"/>
      </w:pPr>
    </w:lvl>
    <w:lvl w:ilvl="2" w:tplc="0C09001B" w:tentative="1">
      <w:start w:val="1"/>
      <w:numFmt w:val="lowerRoman"/>
      <w:lvlText w:val="%3."/>
      <w:lvlJc w:val="right"/>
      <w:pPr>
        <w:ind w:left="2772" w:hanging="180"/>
      </w:pPr>
    </w:lvl>
    <w:lvl w:ilvl="3" w:tplc="0C09000F" w:tentative="1">
      <w:start w:val="1"/>
      <w:numFmt w:val="decimal"/>
      <w:lvlText w:val="%4."/>
      <w:lvlJc w:val="left"/>
      <w:pPr>
        <w:ind w:left="3492" w:hanging="360"/>
      </w:pPr>
    </w:lvl>
    <w:lvl w:ilvl="4" w:tplc="0C090019" w:tentative="1">
      <w:start w:val="1"/>
      <w:numFmt w:val="lowerLetter"/>
      <w:lvlText w:val="%5."/>
      <w:lvlJc w:val="left"/>
      <w:pPr>
        <w:ind w:left="4212" w:hanging="360"/>
      </w:pPr>
    </w:lvl>
    <w:lvl w:ilvl="5" w:tplc="0C09001B" w:tentative="1">
      <w:start w:val="1"/>
      <w:numFmt w:val="lowerRoman"/>
      <w:lvlText w:val="%6."/>
      <w:lvlJc w:val="right"/>
      <w:pPr>
        <w:ind w:left="4932" w:hanging="180"/>
      </w:pPr>
    </w:lvl>
    <w:lvl w:ilvl="6" w:tplc="0C09000F" w:tentative="1">
      <w:start w:val="1"/>
      <w:numFmt w:val="decimal"/>
      <w:lvlText w:val="%7."/>
      <w:lvlJc w:val="left"/>
      <w:pPr>
        <w:ind w:left="5652" w:hanging="360"/>
      </w:pPr>
    </w:lvl>
    <w:lvl w:ilvl="7" w:tplc="0C090019" w:tentative="1">
      <w:start w:val="1"/>
      <w:numFmt w:val="lowerLetter"/>
      <w:lvlText w:val="%8."/>
      <w:lvlJc w:val="left"/>
      <w:pPr>
        <w:ind w:left="6372" w:hanging="360"/>
      </w:pPr>
    </w:lvl>
    <w:lvl w:ilvl="8" w:tplc="0C09001B" w:tentative="1">
      <w:start w:val="1"/>
      <w:numFmt w:val="lowerRoman"/>
      <w:lvlText w:val="%9."/>
      <w:lvlJc w:val="right"/>
      <w:pPr>
        <w:ind w:left="7092" w:hanging="180"/>
      </w:pPr>
    </w:lvl>
  </w:abstractNum>
  <w:abstractNum w:abstractNumId="37">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38">
    <w:nsid w:val="2BAC16FE"/>
    <w:multiLevelType w:val="hybridMultilevel"/>
    <w:tmpl w:val="86D647AE"/>
    <w:lvl w:ilvl="0" w:tplc="EC42698E">
      <w:start w:val="1"/>
      <w:numFmt w:val="lowerLetter"/>
      <w:lvlText w:val="(%1)"/>
      <w:lvlJc w:val="left"/>
      <w:pPr>
        <w:tabs>
          <w:tab w:val="num" w:pos="1440"/>
        </w:tabs>
        <w:ind w:left="144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2C6E44B1"/>
    <w:multiLevelType w:val="hybridMultilevel"/>
    <w:tmpl w:val="DD409DE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2D98693A"/>
    <w:multiLevelType w:val="hybridMultilevel"/>
    <w:tmpl w:val="4E78C862"/>
    <w:lvl w:ilvl="0" w:tplc="B936DE14">
      <w:numFmt w:val="decimal"/>
      <w:lvlText w:val="%1."/>
      <w:lvlJc w:val="left"/>
      <w:pPr>
        <w:tabs>
          <w:tab w:val="num" w:pos="567"/>
        </w:tabs>
        <w:ind w:left="567" w:hanging="567"/>
      </w:pPr>
      <w:rPr>
        <w:rFonts w:cs="Times New Roman" w:hint="default"/>
        <w:b w:val="0"/>
        <w:color w:val="auto"/>
        <w:sz w:val="23"/>
        <w:szCs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328B3D39"/>
    <w:multiLevelType w:val="hybridMultilevel"/>
    <w:tmpl w:val="652836B2"/>
    <w:lvl w:ilvl="0" w:tplc="A27C1DFA">
      <w:start w:val="1"/>
      <w:numFmt w:val="bullet"/>
      <w:lvlText w:val=""/>
      <w:lvlJc w:val="left"/>
      <w:pPr>
        <w:tabs>
          <w:tab w:val="num" w:pos="1134"/>
        </w:tabs>
        <w:ind w:left="1134" w:hanging="567"/>
      </w:pPr>
      <w:rPr>
        <w:rFonts w:ascii="ZapfDingbats" w:hAnsi="ZapfDingbats" w:hint="default"/>
        <w:color w:val="000080"/>
        <w:sz w:val="20"/>
      </w:rPr>
    </w:lvl>
    <w:lvl w:ilvl="1" w:tplc="0C090003" w:tentative="1">
      <w:start w:val="1"/>
      <w:numFmt w:val="bullet"/>
      <w:lvlText w:val="o"/>
      <w:lvlJc w:val="left"/>
      <w:pPr>
        <w:tabs>
          <w:tab w:val="num" w:pos="2574"/>
        </w:tabs>
        <w:ind w:left="2574" w:hanging="360"/>
      </w:pPr>
      <w:rPr>
        <w:rFonts w:ascii="Courier New" w:hAnsi="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42">
    <w:nsid w:val="332B48FC"/>
    <w:multiLevelType w:val="hybridMultilevel"/>
    <w:tmpl w:val="1B5AB986"/>
    <w:lvl w:ilvl="0" w:tplc="CF42B634">
      <w:start w:val="1"/>
      <w:numFmt w:val="lowerLetter"/>
      <w:lvlText w:val="(%1)"/>
      <w:lvlJc w:val="left"/>
      <w:pPr>
        <w:tabs>
          <w:tab w:val="num" w:pos="360"/>
        </w:tabs>
        <w:ind w:left="360" w:hanging="360"/>
      </w:pPr>
      <w:rPr>
        <w:rFonts w:cs="Times New Roman" w:hint="default"/>
      </w:rPr>
    </w:lvl>
    <w:lvl w:ilvl="1" w:tplc="B1CC4C1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3472248C"/>
    <w:multiLevelType w:val="hybridMultilevel"/>
    <w:tmpl w:val="B4304C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3668643B"/>
    <w:multiLevelType w:val="multilevel"/>
    <w:tmpl w:val="005E90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36D41CA5"/>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46">
    <w:nsid w:val="3B3D59DB"/>
    <w:multiLevelType w:val="hybridMultilevel"/>
    <w:tmpl w:val="01BC0050"/>
    <w:lvl w:ilvl="0" w:tplc="6CE292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3BE87795"/>
    <w:multiLevelType w:val="hybridMultilevel"/>
    <w:tmpl w:val="A9F6BA08"/>
    <w:lvl w:ilvl="0" w:tplc="98A8FA52">
      <w:start w:val="1"/>
      <w:numFmt w:val="decimal"/>
      <w:lvlText w:val="A%1."/>
      <w:lvlJc w:val="left"/>
      <w:pPr>
        <w:tabs>
          <w:tab w:val="num" w:pos="567"/>
        </w:tabs>
        <w:ind w:left="567" w:hanging="567"/>
      </w:pPr>
      <w:rPr>
        <w:rFonts w:cs="Times New Roman" w:hint="default"/>
        <w:b w:val="0"/>
        <w:color w:val="auto"/>
        <w:sz w:val="23"/>
        <w:szCs w:val="23"/>
      </w:rPr>
    </w:lvl>
    <w:lvl w:ilvl="1" w:tplc="EC42698E">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189C8D72">
      <w:start w:val="1"/>
      <w:numFmt w:val="lowerRoman"/>
      <w:lvlText w:val="i.%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nsid w:val="3C0B2D41"/>
    <w:multiLevelType w:val="hybridMultilevel"/>
    <w:tmpl w:val="A698B632"/>
    <w:lvl w:ilvl="0" w:tplc="EC42698E">
      <w:start w:val="1"/>
      <w:numFmt w:val="lowerLetter"/>
      <w:lvlText w:val="(%1)"/>
      <w:lvlJc w:val="left"/>
      <w:pPr>
        <w:tabs>
          <w:tab w:val="num" w:pos="1440"/>
        </w:tabs>
        <w:ind w:left="144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3F514607"/>
    <w:multiLevelType w:val="hybridMultilevel"/>
    <w:tmpl w:val="87BA8B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3FA846C8"/>
    <w:multiLevelType w:val="hybridMultilevel"/>
    <w:tmpl w:val="5D7E44E2"/>
    <w:lvl w:ilvl="0" w:tplc="FFFFFFFF">
      <w:start w:val="1"/>
      <w:numFmt w:val="lowerRoman"/>
      <w:lvlText w:val="%1."/>
      <w:lvlJc w:val="right"/>
      <w:pPr>
        <w:ind w:left="459" w:hanging="360"/>
      </w:pPr>
      <w:rPr>
        <w:rFonts w:cs="Times New Roman"/>
      </w:rPr>
    </w:lvl>
    <w:lvl w:ilvl="1" w:tplc="0C090019" w:tentative="1">
      <w:start w:val="1"/>
      <w:numFmt w:val="lowerLetter"/>
      <w:lvlText w:val="%2."/>
      <w:lvlJc w:val="left"/>
      <w:pPr>
        <w:ind w:left="1179" w:hanging="360"/>
      </w:pPr>
    </w:lvl>
    <w:lvl w:ilvl="2" w:tplc="0C09001B" w:tentative="1">
      <w:start w:val="1"/>
      <w:numFmt w:val="lowerRoman"/>
      <w:lvlText w:val="%3."/>
      <w:lvlJc w:val="right"/>
      <w:pPr>
        <w:ind w:left="1899" w:hanging="180"/>
      </w:pPr>
    </w:lvl>
    <w:lvl w:ilvl="3" w:tplc="0C09000F" w:tentative="1">
      <w:start w:val="1"/>
      <w:numFmt w:val="decimal"/>
      <w:lvlText w:val="%4."/>
      <w:lvlJc w:val="left"/>
      <w:pPr>
        <w:ind w:left="2619" w:hanging="360"/>
      </w:pPr>
    </w:lvl>
    <w:lvl w:ilvl="4" w:tplc="0C090019" w:tentative="1">
      <w:start w:val="1"/>
      <w:numFmt w:val="lowerLetter"/>
      <w:lvlText w:val="%5."/>
      <w:lvlJc w:val="left"/>
      <w:pPr>
        <w:ind w:left="3339" w:hanging="360"/>
      </w:pPr>
    </w:lvl>
    <w:lvl w:ilvl="5" w:tplc="0C09001B" w:tentative="1">
      <w:start w:val="1"/>
      <w:numFmt w:val="lowerRoman"/>
      <w:lvlText w:val="%6."/>
      <w:lvlJc w:val="right"/>
      <w:pPr>
        <w:ind w:left="4059" w:hanging="180"/>
      </w:pPr>
    </w:lvl>
    <w:lvl w:ilvl="6" w:tplc="0C09000F" w:tentative="1">
      <w:start w:val="1"/>
      <w:numFmt w:val="decimal"/>
      <w:lvlText w:val="%7."/>
      <w:lvlJc w:val="left"/>
      <w:pPr>
        <w:ind w:left="4779" w:hanging="360"/>
      </w:pPr>
    </w:lvl>
    <w:lvl w:ilvl="7" w:tplc="0C090019" w:tentative="1">
      <w:start w:val="1"/>
      <w:numFmt w:val="lowerLetter"/>
      <w:lvlText w:val="%8."/>
      <w:lvlJc w:val="left"/>
      <w:pPr>
        <w:ind w:left="5499" w:hanging="360"/>
      </w:pPr>
    </w:lvl>
    <w:lvl w:ilvl="8" w:tplc="0C09001B" w:tentative="1">
      <w:start w:val="1"/>
      <w:numFmt w:val="lowerRoman"/>
      <w:lvlText w:val="%9."/>
      <w:lvlJc w:val="right"/>
      <w:pPr>
        <w:ind w:left="6219" w:hanging="180"/>
      </w:pPr>
    </w:lvl>
  </w:abstractNum>
  <w:abstractNum w:abstractNumId="51">
    <w:nsid w:val="431425EE"/>
    <w:multiLevelType w:val="hybridMultilevel"/>
    <w:tmpl w:val="F6FCC8C0"/>
    <w:lvl w:ilvl="0" w:tplc="C6D8E36A">
      <w:start w:val="1"/>
      <w:numFmt w:val="decimal"/>
      <w:lvlText w:val="D%1."/>
      <w:lvlJc w:val="left"/>
      <w:pPr>
        <w:tabs>
          <w:tab w:val="num" w:pos="567"/>
        </w:tabs>
        <w:ind w:left="567" w:hanging="567"/>
      </w:pPr>
      <w:rPr>
        <w:rFonts w:cs="Times New Roman" w:hint="default"/>
        <w:b w:val="0"/>
        <w:color w:val="auto"/>
        <w:sz w:val="23"/>
        <w:szCs w:val="23"/>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43375FA2"/>
    <w:multiLevelType w:val="hybridMultilevel"/>
    <w:tmpl w:val="490A592A"/>
    <w:lvl w:ilvl="0" w:tplc="EC42698E">
      <w:start w:val="1"/>
      <w:numFmt w:val="lowerLetter"/>
      <w:lvlText w:val="(%1)"/>
      <w:lvlJc w:val="left"/>
      <w:pPr>
        <w:tabs>
          <w:tab w:val="num" w:pos="1440"/>
        </w:tabs>
        <w:ind w:left="144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43C76345"/>
    <w:multiLevelType w:val="hybridMultilevel"/>
    <w:tmpl w:val="47DA0B90"/>
    <w:lvl w:ilvl="0" w:tplc="5C18A11C">
      <w:start w:val="1"/>
      <w:numFmt w:val="lowerLetter"/>
      <w:lvlText w:val="(%1)"/>
      <w:lvlJc w:val="left"/>
      <w:pPr>
        <w:ind w:left="927" w:hanging="360"/>
      </w:pPr>
      <w:rPr>
        <w:rFonts w:cs="Times New Roman" w:hint="default"/>
      </w:rPr>
    </w:lvl>
    <w:lvl w:ilvl="1" w:tplc="0C09001B">
      <w:start w:val="1"/>
      <w:numFmt w:val="lowerRoman"/>
      <w:lvlText w:val="%2."/>
      <w:lvlJc w:val="righ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54">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55">
    <w:nsid w:val="49CF49B0"/>
    <w:multiLevelType w:val="multilevel"/>
    <w:tmpl w:val="73ECACC0"/>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56">
    <w:nsid w:val="4CE06931"/>
    <w:multiLevelType w:val="singleLevel"/>
    <w:tmpl w:val="4366EF18"/>
    <w:lvl w:ilvl="0">
      <w:start w:val="1"/>
      <w:numFmt w:val="lowerLetter"/>
      <w:lvlRestart w:val="0"/>
      <w:lvlText w:val="(%1)"/>
      <w:lvlJc w:val="left"/>
      <w:pPr>
        <w:tabs>
          <w:tab w:val="num" w:pos="283"/>
        </w:tabs>
        <w:ind w:left="283" w:hanging="283"/>
      </w:pPr>
      <w:rPr>
        <w:rFonts w:ascii="Arial" w:hAnsi="Arial" w:cs="Arial" w:hint="default"/>
        <w:b w:val="0"/>
        <w:i w:val="0"/>
        <w:sz w:val="16"/>
      </w:rPr>
    </w:lvl>
  </w:abstractNum>
  <w:abstractNum w:abstractNumId="57">
    <w:nsid w:val="51DD5CF9"/>
    <w:multiLevelType w:val="hybridMultilevel"/>
    <w:tmpl w:val="08840CAA"/>
    <w:lvl w:ilvl="0" w:tplc="D9BA33B4">
      <w:start w:val="1"/>
      <w:numFmt w:val="decimal"/>
      <w:lvlText w:val="C%1."/>
      <w:lvlJc w:val="left"/>
      <w:pPr>
        <w:tabs>
          <w:tab w:val="num" w:pos="567"/>
        </w:tabs>
        <w:ind w:left="567" w:hanging="567"/>
      </w:pPr>
      <w:rPr>
        <w:rFonts w:cs="Times New Roman" w:hint="default"/>
        <w:b w:val="0"/>
        <w:color w:val="auto"/>
        <w:sz w:val="23"/>
        <w:szCs w:val="23"/>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530F37AA"/>
    <w:multiLevelType w:val="hybridMultilevel"/>
    <w:tmpl w:val="526A217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55932760"/>
    <w:multiLevelType w:val="hybridMultilevel"/>
    <w:tmpl w:val="84508B76"/>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EC42698E">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61">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62">
    <w:nsid w:val="59B70749"/>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63">
    <w:nsid w:val="59BA034D"/>
    <w:multiLevelType w:val="multilevel"/>
    <w:tmpl w:val="A314A5A0"/>
    <w:lvl w:ilvl="0">
      <w:start w:val="1"/>
      <w:numFmt w:val="decimal"/>
      <w:lvlText w:val="%1."/>
      <w:lvlJc w:val="left"/>
      <w:pPr>
        <w:ind w:left="360" w:hanging="360"/>
      </w:pPr>
      <w:rPr>
        <w:rFonts w:hint="default"/>
      </w:rPr>
    </w:lvl>
    <w:lvl w:ilvl="1">
      <w:start w:val="1"/>
      <w:numFmt w:val="decimal"/>
      <w:isLgl/>
      <w:lvlText w:val="%1.%2"/>
      <w:lvlJc w:val="left"/>
      <w:pPr>
        <w:ind w:left="1170" w:hanging="810"/>
      </w:pPr>
      <w:rPr>
        <w:rFonts w:hint="default"/>
      </w:rPr>
    </w:lvl>
    <w:lvl w:ilvl="2">
      <w:start w:val="1"/>
      <w:numFmt w:val="decimal"/>
      <w:isLgl/>
      <w:lvlText w:val="%1.%2.%3"/>
      <w:lvlJc w:val="left"/>
      <w:pPr>
        <w:ind w:left="1530" w:hanging="810"/>
      </w:pPr>
      <w:rPr>
        <w:rFonts w:hint="default"/>
      </w:rPr>
    </w:lvl>
    <w:lvl w:ilvl="3">
      <w:start w:val="1"/>
      <w:numFmt w:val="decimal"/>
      <w:isLgl/>
      <w:lvlText w:val="%1.%2.%3.%4"/>
      <w:lvlJc w:val="left"/>
      <w:pPr>
        <w:ind w:left="1890" w:hanging="81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4">
    <w:nsid w:val="5AB40686"/>
    <w:multiLevelType w:val="hybridMultilevel"/>
    <w:tmpl w:val="B1720900"/>
    <w:lvl w:ilvl="0" w:tplc="36D4CF3C">
      <w:start w:val="1"/>
      <w:numFmt w:val="decimal"/>
      <w:lvlText w:val="E%1."/>
      <w:lvlJc w:val="left"/>
      <w:pPr>
        <w:tabs>
          <w:tab w:val="num" w:pos="567"/>
        </w:tabs>
        <w:ind w:left="567" w:hanging="567"/>
      </w:pPr>
      <w:rPr>
        <w:rFonts w:cs="Times New Roman" w:hint="default"/>
        <w:b w:val="0"/>
        <w:color w:val="auto"/>
        <w:sz w:val="23"/>
        <w:szCs w:val="23"/>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nsid w:val="5C101ABA"/>
    <w:multiLevelType w:val="hybridMultilevel"/>
    <w:tmpl w:val="331646E8"/>
    <w:lvl w:ilvl="0" w:tplc="B1CC4C1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6">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67">
    <w:nsid w:val="5F312E4C"/>
    <w:multiLevelType w:val="multilevel"/>
    <w:tmpl w:val="73ECACC0"/>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68">
    <w:nsid w:val="62C322CC"/>
    <w:multiLevelType w:val="hybridMultilevel"/>
    <w:tmpl w:val="44A617E6"/>
    <w:lvl w:ilvl="0" w:tplc="B1CC4C1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65553607"/>
    <w:multiLevelType w:val="hybridMultilevel"/>
    <w:tmpl w:val="E1A88A2A"/>
    <w:lvl w:ilvl="0" w:tplc="0C090019">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0">
    <w:nsid w:val="665B0DCD"/>
    <w:multiLevelType w:val="multilevel"/>
    <w:tmpl w:val="4E78C862"/>
    <w:lvl w:ilvl="0">
      <w:numFmt w:val="decimal"/>
      <w:lvlText w:val="%1."/>
      <w:lvlJc w:val="left"/>
      <w:pPr>
        <w:tabs>
          <w:tab w:val="num" w:pos="567"/>
        </w:tabs>
        <w:ind w:left="567" w:hanging="567"/>
      </w:pPr>
      <w:rPr>
        <w:rFonts w:cs="Times New Roman" w:hint="default"/>
        <w:b w:val="0"/>
        <w:color w:val="auto"/>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66D665AE"/>
    <w:multiLevelType w:val="multilevel"/>
    <w:tmpl w:val="F0E89990"/>
    <w:lvl w:ilvl="0">
      <w:start w:val="1"/>
      <w:numFmt w:val="lowerLetter"/>
      <w:lvlRestart w:val="0"/>
      <w:lvlText w:val="(%1)"/>
      <w:lvlJc w:val="left"/>
      <w:pPr>
        <w:tabs>
          <w:tab w:val="num" w:pos="1701"/>
        </w:tabs>
        <w:ind w:left="1134" w:firstLine="0"/>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72">
    <w:nsid w:val="697F0795"/>
    <w:multiLevelType w:val="hybridMultilevel"/>
    <w:tmpl w:val="1312E25A"/>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EC42698E">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3">
    <w:nsid w:val="6AEB132A"/>
    <w:multiLevelType w:val="hybridMultilevel"/>
    <w:tmpl w:val="8458A974"/>
    <w:lvl w:ilvl="0" w:tplc="C6D8E36A">
      <w:start w:val="1"/>
      <w:numFmt w:val="decimal"/>
      <w:lvlText w:val="D%1."/>
      <w:lvlJc w:val="left"/>
      <w:pPr>
        <w:tabs>
          <w:tab w:val="num" w:pos="567"/>
        </w:tabs>
        <w:ind w:left="567" w:hanging="567"/>
      </w:pPr>
      <w:rPr>
        <w:rFonts w:cs="Times New Roman" w:hint="default"/>
        <w:b w:val="0"/>
        <w:color w:val="auto"/>
        <w:sz w:val="23"/>
        <w:szCs w:val="23"/>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4">
    <w:nsid w:val="6D5D4AD2"/>
    <w:multiLevelType w:val="multilevel"/>
    <w:tmpl w:val="4F640362"/>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5">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76">
    <w:nsid w:val="6D907855"/>
    <w:multiLevelType w:val="hybridMultilevel"/>
    <w:tmpl w:val="4E0A2B5A"/>
    <w:lvl w:ilvl="0" w:tplc="EC42698E">
      <w:start w:val="1"/>
      <w:numFmt w:val="lowerLetter"/>
      <w:lvlText w:val="(%1)"/>
      <w:lvlJc w:val="left"/>
      <w:pPr>
        <w:tabs>
          <w:tab w:val="num" w:pos="1440"/>
        </w:tabs>
        <w:ind w:left="144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nsid w:val="6F6D77A4"/>
    <w:multiLevelType w:val="hybridMultilevel"/>
    <w:tmpl w:val="04FEC93C"/>
    <w:lvl w:ilvl="0" w:tplc="B1CC4C1E">
      <w:start w:val="1"/>
      <w:numFmt w:val="lowerLetter"/>
      <w:lvlText w:val="%1."/>
      <w:lvlJc w:val="left"/>
      <w:pPr>
        <w:ind w:left="927" w:hanging="360"/>
      </w:pPr>
      <w:rPr>
        <w:rFonts w:hint="default"/>
      </w:rPr>
    </w:lvl>
    <w:lvl w:ilvl="1" w:tplc="0C090019" w:tentative="1">
      <w:start w:val="1"/>
      <w:numFmt w:val="lowerLetter"/>
      <w:lvlText w:val="%2."/>
      <w:lvlJc w:val="left"/>
      <w:pPr>
        <w:ind w:left="927" w:hanging="360"/>
      </w:pPr>
    </w:lvl>
    <w:lvl w:ilvl="2" w:tplc="0C09001B" w:tentative="1">
      <w:start w:val="1"/>
      <w:numFmt w:val="lowerRoman"/>
      <w:lvlText w:val="%3."/>
      <w:lvlJc w:val="right"/>
      <w:pPr>
        <w:ind w:left="1647" w:hanging="180"/>
      </w:pPr>
    </w:lvl>
    <w:lvl w:ilvl="3" w:tplc="0C09000F" w:tentative="1">
      <w:start w:val="1"/>
      <w:numFmt w:val="decimal"/>
      <w:lvlText w:val="%4."/>
      <w:lvlJc w:val="left"/>
      <w:pPr>
        <w:ind w:left="2367" w:hanging="360"/>
      </w:pPr>
    </w:lvl>
    <w:lvl w:ilvl="4" w:tplc="0C090019" w:tentative="1">
      <w:start w:val="1"/>
      <w:numFmt w:val="lowerLetter"/>
      <w:lvlText w:val="%5."/>
      <w:lvlJc w:val="left"/>
      <w:pPr>
        <w:ind w:left="3087" w:hanging="360"/>
      </w:pPr>
    </w:lvl>
    <w:lvl w:ilvl="5" w:tplc="0C09001B" w:tentative="1">
      <w:start w:val="1"/>
      <w:numFmt w:val="lowerRoman"/>
      <w:lvlText w:val="%6."/>
      <w:lvlJc w:val="right"/>
      <w:pPr>
        <w:ind w:left="3807" w:hanging="180"/>
      </w:pPr>
    </w:lvl>
    <w:lvl w:ilvl="6" w:tplc="0C09000F" w:tentative="1">
      <w:start w:val="1"/>
      <w:numFmt w:val="decimal"/>
      <w:lvlText w:val="%7."/>
      <w:lvlJc w:val="left"/>
      <w:pPr>
        <w:ind w:left="4527" w:hanging="360"/>
      </w:pPr>
    </w:lvl>
    <w:lvl w:ilvl="7" w:tplc="0C090019" w:tentative="1">
      <w:start w:val="1"/>
      <w:numFmt w:val="lowerLetter"/>
      <w:lvlText w:val="%8."/>
      <w:lvlJc w:val="left"/>
      <w:pPr>
        <w:ind w:left="5247" w:hanging="360"/>
      </w:pPr>
    </w:lvl>
    <w:lvl w:ilvl="8" w:tplc="0C09001B" w:tentative="1">
      <w:start w:val="1"/>
      <w:numFmt w:val="lowerRoman"/>
      <w:lvlText w:val="%9."/>
      <w:lvlJc w:val="right"/>
      <w:pPr>
        <w:ind w:left="5967" w:hanging="180"/>
      </w:pPr>
    </w:lvl>
  </w:abstractNum>
  <w:abstractNum w:abstractNumId="78">
    <w:nsid w:val="6F9D2028"/>
    <w:multiLevelType w:val="hybridMultilevel"/>
    <w:tmpl w:val="C15095A0"/>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EC42698E">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0C090013">
      <w:start w:val="1"/>
      <w:numFmt w:val="upperRoman"/>
      <w:lvlText w:val="%4."/>
      <w:lvlJc w:val="righ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9">
    <w:nsid w:val="6FBB24F5"/>
    <w:multiLevelType w:val="multilevel"/>
    <w:tmpl w:val="271A87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0">
    <w:nsid w:val="707F7689"/>
    <w:multiLevelType w:val="hybridMultilevel"/>
    <w:tmpl w:val="88FCA794"/>
    <w:lvl w:ilvl="0" w:tplc="EC42698E">
      <w:start w:val="1"/>
      <w:numFmt w:val="lowerLetter"/>
      <w:lvlText w:val="(%1)"/>
      <w:lvlJc w:val="left"/>
      <w:pPr>
        <w:ind w:left="786" w:hanging="360"/>
      </w:pPr>
      <w:rPr>
        <w:rFonts w:cs="Times New Roman" w:hint="default"/>
      </w:rPr>
    </w:lvl>
    <w:lvl w:ilvl="1" w:tplc="0C09001B">
      <w:start w:val="1"/>
      <w:numFmt w:val="lowerRoman"/>
      <w:lvlText w:val="%2."/>
      <w:lvlJc w:val="righ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81">
    <w:nsid w:val="720043D6"/>
    <w:multiLevelType w:val="hybridMultilevel"/>
    <w:tmpl w:val="7B701426"/>
    <w:lvl w:ilvl="0" w:tplc="FFFFFFFF">
      <w:start w:val="1"/>
      <w:numFmt w:val="lowerRoman"/>
      <w:lvlText w:val="%1."/>
      <w:lvlJc w:val="right"/>
      <w:pPr>
        <w:tabs>
          <w:tab w:val="num" w:pos="2160"/>
        </w:tabs>
        <w:ind w:left="2160" w:hanging="18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nsid w:val="73A317AA"/>
    <w:multiLevelType w:val="hybridMultilevel"/>
    <w:tmpl w:val="47DA0B90"/>
    <w:lvl w:ilvl="0" w:tplc="5C18A11C">
      <w:start w:val="1"/>
      <w:numFmt w:val="lowerLetter"/>
      <w:lvlText w:val="(%1)"/>
      <w:lvlJc w:val="left"/>
      <w:pPr>
        <w:ind w:left="786" w:hanging="360"/>
      </w:pPr>
      <w:rPr>
        <w:rFonts w:cs="Times New Roman" w:hint="default"/>
      </w:rPr>
    </w:lvl>
    <w:lvl w:ilvl="1" w:tplc="0C09001B">
      <w:start w:val="1"/>
      <w:numFmt w:val="lowerRoman"/>
      <w:lvlText w:val="%2."/>
      <w:lvlJc w:val="righ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83">
    <w:nsid w:val="748270E2"/>
    <w:multiLevelType w:val="hybridMultilevel"/>
    <w:tmpl w:val="97E499A2"/>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4">
    <w:nsid w:val="7669606B"/>
    <w:multiLevelType w:val="multilevel"/>
    <w:tmpl w:val="409E4F8A"/>
    <w:lvl w:ilvl="0">
      <w:start w:val="1"/>
      <w:numFmt w:val="lowerLetter"/>
      <w:lvlRestart w:val="0"/>
      <w:lvlText w:val="(%1)"/>
      <w:lvlJc w:val="left"/>
      <w:pPr>
        <w:tabs>
          <w:tab w:val="num" w:pos="1701"/>
        </w:tabs>
        <w:ind w:left="1134" w:firstLine="0"/>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85">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86">
    <w:nsid w:val="77280529"/>
    <w:multiLevelType w:val="hybridMultilevel"/>
    <w:tmpl w:val="47DA0B90"/>
    <w:lvl w:ilvl="0" w:tplc="5C18A11C">
      <w:start w:val="1"/>
      <w:numFmt w:val="lowerLetter"/>
      <w:lvlText w:val="(%1)"/>
      <w:lvlJc w:val="left"/>
      <w:pPr>
        <w:ind w:left="786" w:hanging="360"/>
      </w:pPr>
      <w:rPr>
        <w:rFonts w:cs="Times New Roman" w:hint="default"/>
      </w:rPr>
    </w:lvl>
    <w:lvl w:ilvl="1" w:tplc="0C09001B">
      <w:start w:val="1"/>
      <w:numFmt w:val="lowerRoman"/>
      <w:lvlText w:val="%2."/>
      <w:lvlJc w:val="righ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87">
    <w:nsid w:val="78854AAC"/>
    <w:multiLevelType w:val="hybridMultilevel"/>
    <w:tmpl w:val="1F4AB66C"/>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EC42698E">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189C8D72">
      <w:start w:val="1"/>
      <w:numFmt w:val="lowerRoman"/>
      <w:lvlText w:val="i.%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8">
    <w:nsid w:val="7B9427FF"/>
    <w:multiLevelType w:val="hybridMultilevel"/>
    <w:tmpl w:val="413CE978"/>
    <w:lvl w:ilvl="0" w:tplc="EC42698E">
      <w:start w:val="1"/>
      <w:numFmt w:val="lowerLetter"/>
      <w:lvlText w:val="(%1)"/>
      <w:lvlJc w:val="left"/>
      <w:pPr>
        <w:tabs>
          <w:tab w:val="num" w:pos="1080"/>
        </w:tabs>
        <w:ind w:left="1080" w:hanging="360"/>
      </w:pPr>
      <w:rPr>
        <w:rFonts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9">
    <w:nsid w:val="7C077B68"/>
    <w:multiLevelType w:val="hybridMultilevel"/>
    <w:tmpl w:val="46DE3558"/>
    <w:lvl w:ilvl="0" w:tplc="EC42698E">
      <w:start w:val="1"/>
      <w:numFmt w:val="lowerLetter"/>
      <w:lvlText w:val="(%1)"/>
      <w:lvlJc w:val="left"/>
      <w:pPr>
        <w:ind w:left="1440" w:hanging="360"/>
      </w:pPr>
      <w:rPr>
        <w:rFonts w:cs="Times New Roman"/>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0">
    <w:nsid w:val="7CA518C0"/>
    <w:multiLevelType w:val="hybridMultilevel"/>
    <w:tmpl w:val="85CEA712"/>
    <w:lvl w:ilvl="0" w:tplc="660EB736">
      <w:start w:val="1"/>
      <w:numFmt w:val="lowerLetter"/>
      <w:lvlText w:val="(%1)"/>
      <w:lvlJc w:val="left"/>
      <w:pPr>
        <w:ind w:left="1287" w:hanging="360"/>
      </w:pPr>
      <w:rPr>
        <w:rFonts w:cs="Times New Roman" w:hint="default"/>
      </w:r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1">
    <w:nsid w:val="7CDF3F99"/>
    <w:multiLevelType w:val="hybridMultilevel"/>
    <w:tmpl w:val="1DCEE8A0"/>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EC42698E">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2">
    <w:nsid w:val="7D143501"/>
    <w:multiLevelType w:val="hybridMultilevel"/>
    <w:tmpl w:val="7FD6DAB0"/>
    <w:lvl w:ilvl="0" w:tplc="98A8FA52">
      <w:start w:val="1"/>
      <w:numFmt w:val="decimal"/>
      <w:lvlText w:val="A%1."/>
      <w:lvlJc w:val="left"/>
      <w:pPr>
        <w:tabs>
          <w:tab w:val="num" w:pos="567"/>
        </w:tabs>
        <w:ind w:left="567" w:hanging="567"/>
      </w:pPr>
      <w:rPr>
        <w:rFonts w:cs="Times New Roman" w:hint="default"/>
        <w:b w:val="0"/>
        <w:color w:val="auto"/>
        <w:sz w:val="23"/>
        <w:szCs w:val="23"/>
      </w:rPr>
    </w:lvl>
    <w:lvl w:ilvl="1" w:tplc="EC42698E">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189C8D72">
      <w:start w:val="1"/>
      <w:numFmt w:val="lowerRoman"/>
      <w:lvlText w:val="i.%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3">
    <w:nsid w:val="7E060603"/>
    <w:multiLevelType w:val="hybridMultilevel"/>
    <w:tmpl w:val="1A602A6A"/>
    <w:lvl w:ilvl="0" w:tplc="EC42698E">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nsid w:val="7E3F7AB7"/>
    <w:multiLevelType w:val="hybridMultilevel"/>
    <w:tmpl w:val="02A48FCA"/>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EC42698E">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0C09001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5">
    <w:nsid w:val="7F0A08E6"/>
    <w:multiLevelType w:val="hybridMultilevel"/>
    <w:tmpl w:val="0A9C5300"/>
    <w:lvl w:ilvl="0" w:tplc="FFFFFFFF">
      <w:start w:val="1"/>
      <w:numFmt w:val="lowerRoman"/>
      <w:lvlText w:val="%1."/>
      <w:lvlJc w:val="right"/>
      <w:pPr>
        <w:tabs>
          <w:tab w:val="num" w:pos="2160"/>
        </w:tabs>
        <w:ind w:left="2160" w:hanging="18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9"/>
  </w:num>
  <w:num w:numId="3">
    <w:abstractNumId w:val="61"/>
  </w:num>
  <w:num w:numId="4">
    <w:abstractNumId w:val="15"/>
  </w:num>
  <w:num w:numId="5">
    <w:abstractNumId w:val="66"/>
  </w:num>
  <w:num w:numId="6">
    <w:abstractNumId w:val="41"/>
  </w:num>
  <w:num w:numId="7">
    <w:abstractNumId w:val="19"/>
  </w:num>
  <w:num w:numId="8">
    <w:abstractNumId w:val="34"/>
  </w:num>
  <w:num w:numId="9">
    <w:abstractNumId w:val="87"/>
  </w:num>
  <w:num w:numId="10">
    <w:abstractNumId w:val="6"/>
  </w:num>
  <w:num w:numId="11">
    <w:abstractNumId w:val="60"/>
  </w:num>
  <w:num w:numId="12">
    <w:abstractNumId w:val="75"/>
  </w:num>
  <w:num w:numId="13">
    <w:abstractNumId w:val="54"/>
  </w:num>
  <w:num w:numId="14">
    <w:abstractNumId w:val="62"/>
  </w:num>
  <w:num w:numId="15">
    <w:abstractNumId w:val="85"/>
  </w:num>
  <w:num w:numId="16">
    <w:abstractNumId w:val="24"/>
  </w:num>
  <w:num w:numId="17">
    <w:abstractNumId w:val="37"/>
  </w:num>
  <w:num w:numId="1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91"/>
  </w:num>
  <w:num w:numId="21">
    <w:abstractNumId w:val="59"/>
  </w:num>
  <w:num w:numId="22">
    <w:abstractNumId w:val="90"/>
  </w:num>
  <w:num w:numId="23">
    <w:abstractNumId w:val="18"/>
  </w:num>
  <w:num w:numId="24">
    <w:abstractNumId w:val="16"/>
  </w:num>
  <w:num w:numId="25">
    <w:abstractNumId w:val="89"/>
  </w:num>
  <w:num w:numId="26">
    <w:abstractNumId w:val="20"/>
  </w:num>
  <w:num w:numId="27">
    <w:abstractNumId w:val="36"/>
  </w:num>
  <w:num w:numId="28">
    <w:abstractNumId w:val="50"/>
  </w:num>
  <w:num w:numId="29">
    <w:abstractNumId w:val="53"/>
  </w:num>
  <w:num w:numId="30">
    <w:abstractNumId w:val="9"/>
  </w:num>
  <w:num w:numId="31">
    <w:abstractNumId w:val="79"/>
  </w:num>
  <w:num w:numId="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31"/>
  </w:num>
  <w:num w:numId="39">
    <w:abstractNumId w:val="58"/>
  </w:num>
  <w:num w:numId="40">
    <w:abstractNumId w:val="43"/>
  </w:num>
  <w:num w:numId="41">
    <w:abstractNumId w:val="52"/>
  </w:num>
  <w:num w:numId="42">
    <w:abstractNumId w:val="95"/>
  </w:num>
  <w:num w:numId="43">
    <w:abstractNumId w:val="8"/>
  </w:num>
  <w:num w:numId="44">
    <w:abstractNumId w:val="80"/>
  </w:num>
  <w:num w:numId="45">
    <w:abstractNumId w:val="32"/>
    <w:lvlOverride w:ilvl="0">
      <w:startOverride w:val="1"/>
    </w:lvlOverride>
    <w:lvlOverride w:ilvl="1"/>
    <w:lvlOverride w:ilvl="2"/>
    <w:lvlOverride w:ilvl="3"/>
    <w:lvlOverride w:ilvl="4"/>
    <w:lvlOverride w:ilvl="5"/>
    <w:lvlOverride w:ilvl="6"/>
    <w:lvlOverride w:ilvl="7"/>
    <w:lvlOverride w:ilvl="8"/>
  </w:num>
  <w:num w:numId="46">
    <w:abstractNumId w:val="30"/>
  </w:num>
  <w:num w:numId="47">
    <w:abstractNumId w:val="48"/>
  </w:num>
  <w:num w:numId="4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3"/>
  </w:num>
  <w:num w:numId="50">
    <w:abstractNumId w:val="10"/>
  </w:num>
  <w:num w:numId="51">
    <w:abstractNumId w:val="4"/>
  </w:num>
  <w:num w:numId="52">
    <w:abstractNumId w:val="39"/>
  </w:num>
  <w:num w:numId="53">
    <w:abstractNumId w:val="49"/>
  </w:num>
  <w:num w:numId="54">
    <w:abstractNumId w:val="12"/>
  </w:num>
  <w:num w:numId="55">
    <w:abstractNumId w:val="56"/>
  </w:num>
  <w:num w:numId="56">
    <w:abstractNumId w:val="35"/>
  </w:num>
  <w:num w:numId="57">
    <w:abstractNumId w:val="46"/>
  </w:num>
  <w:num w:numId="58">
    <w:abstractNumId w:val="40"/>
  </w:num>
  <w:num w:numId="59">
    <w:abstractNumId w:val="70"/>
  </w:num>
  <w:num w:numId="60">
    <w:abstractNumId w:val="26"/>
  </w:num>
  <w:num w:numId="61">
    <w:abstractNumId w:val="57"/>
  </w:num>
  <w:num w:numId="62">
    <w:abstractNumId w:val="28"/>
  </w:num>
  <w:num w:numId="63">
    <w:abstractNumId w:val="84"/>
  </w:num>
  <w:num w:numId="64">
    <w:abstractNumId w:val="71"/>
  </w:num>
  <w:num w:numId="6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7"/>
  </w:num>
  <w:num w:numId="67">
    <w:abstractNumId w:val="42"/>
  </w:num>
  <w:num w:numId="68">
    <w:abstractNumId w:val="68"/>
  </w:num>
  <w:num w:numId="69">
    <w:abstractNumId w:val="3"/>
  </w:num>
  <w:num w:numId="70">
    <w:abstractNumId w:val="33"/>
  </w:num>
  <w:num w:numId="71">
    <w:abstractNumId w:val="65"/>
  </w:num>
  <w:num w:numId="72">
    <w:abstractNumId w:val="2"/>
  </w:num>
  <w:num w:numId="73">
    <w:abstractNumId w:val="64"/>
  </w:num>
  <w:num w:numId="74">
    <w:abstractNumId w:val="1"/>
  </w:num>
  <w:num w:numId="75">
    <w:abstractNumId w:val="23"/>
  </w:num>
  <w:num w:numId="76">
    <w:abstractNumId w:val="22"/>
  </w:num>
  <w:num w:numId="77">
    <w:abstractNumId w:val="51"/>
  </w:num>
  <w:num w:numId="78">
    <w:abstractNumId w:val="77"/>
  </w:num>
  <w:num w:numId="79">
    <w:abstractNumId w:val="41"/>
  </w:num>
  <w:num w:numId="80">
    <w:abstractNumId w:val="83"/>
  </w:num>
  <w:num w:numId="81">
    <w:abstractNumId w:val="69"/>
  </w:num>
  <w:num w:numId="82">
    <w:abstractNumId w:val="73"/>
  </w:num>
  <w:num w:numId="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3"/>
  </w:num>
  <w:num w:numId="86">
    <w:abstractNumId w:val="38"/>
  </w:num>
  <w:num w:numId="87">
    <w:abstractNumId w:val="55"/>
  </w:num>
  <w:num w:numId="88">
    <w:abstractNumId w:val="45"/>
  </w:num>
  <w:num w:numId="89">
    <w:abstractNumId w:val="25"/>
  </w:num>
  <w:num w:numId="90">
    <w:abstractNumId w:val="67"/>
  </w:num>
  <w:num w:numId="91">
    <w:abstractNumId w:val="78"/>
  </w:num>
  <w:num w:numId="92">
    <w:abstractNumId w:val="94"/>
  </w:num>
  <w:num w:numId="93">
    <w:abstractNumId w:val="72"/>
  </w:num>
  <w:num w:numId="94">
    <w:abstractNumId w:val="17"/>
  </w:num>
  <w:num w:numId="95">
    <w:abstractNumId w:val="81"/>
  </w:num>
  <w:num w:numId="96">
    <w:abstractNumId w:val="5"/>
  </w:num>
  <w:num w:numId="97">
    <w:abstractNumId w:val="11"/>
  </w:num>
  <w:num w:numId="98">
    <w:abstractNumId w:val="88"/>
  </w:num>
  <w:num w:numId="99">
    <w:abstractNumId w:val="13"/>
  </w:num>
  <w:num w:numId="100">
    <w:abstractNumId w:val="76"/>
  </w:num>
  <w:num w:numId="1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2"/>
  </w:num>
  <w:num w:numId="106">
    <w:abstractNumId w:val="47"/>
  </w:num>
  <w:num w:numId="107">
    <w:abstractNumId w:val="7"/>
  </w:num>
  <w:num w:numId="108">
    <w:abstractNumId w:val="82"/>
  </w:num>
  <w:num w:numId="109">
    <w:abstractNumId w:val="86"/>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67"/>
    <w:rsid w:val="000014E8"/>
    <w:rsid w:val="00001775"/>
    <w:rsid w:val="000026DE"/>
    <w:rsid w:val="00002DB8"/>
    <w:rsid w:val="0000386B"/>
    <w:rsid w:val="00003FF9"/>
    <w:rsid w:val="00005A5D"/>
    <w:rsid w:val="00006E79"/>
    <w:rsid w:val="00006EA7"/>
    <w:rsid w:val="000076D9"/>
    <w:rsid w:val="0001135F"/>
    <w:rsid w:val="0001181D"/>
    <w:rsid w:val="00012A88"/>
    <w:rsid w:val="00013E59"/>
    <w:rsid w:val="00015960"/>
    <w:rsid w:val="00016ABA"/>
    <w:rsid w:val="000200EA"/>
    <w:rsid w:val="000205AF"/>
    <w:rsid w:val="00021708"/>
    <w:rsid w:val="00023756"/>
    <w:rsid w:val="00024137"/>
    <w:rsid w:val="000245C9"/>
    <w:rsid w:val="0002467E"/>
    <w:rsid w:val="000252A6"/>
    <w:rsid w:val="00025366"/>
    <w:rsid w:val="00027160"/>
    <w:rsid w:val="00030618"/>
    <w:rsid w:val="00030CB2"/>
    <w:rsid w:val="0003162A"/>
    <w:rsid w:val="00031EAE"/>
    <w:rsid w:val="000343F1"/>
    <w:rsid w:val="00034F04"/>
    <w:rsid w:val="000406F2"/>
    <w:rsid w:val="000413D4"/>
    <w:rsid w:val="00042710"/>
    <w:rsid w:val="00042D5B"/>
    <w:rsid w:val="000433AA"/>
    <w:rsid w:val="00043A3E"/>
    <w:rsid w:val="00044700"/>
    <w:rsid w:val="00044BB3"/>
    <w:rsid w:val="00044E93"/>
    <w:rsid w:val="00046510"/>
    <w:rsid w:val="000509A7"/>
    <w:rsid w:val="00051E83"/>
    <w:rsid w:val="0005342A"/>
    <w:rsid w:val="00056C61"/>
    <w:rsid w:val="00056E75"/>
    <w:rsid w:val="00057E1D"/>
    <w:rsid w:val="0006051B"/>
    <w:rsid w:val="00061276"/>
    <w:rsid w:val="000614F9"/>
    <w:rsid w:val="00062221"/>
    <w:rsid w:val="00062D90"/>
    <w:rsid w:val="0006451A"/>
    <w:rsid w:val="0006551D"/>
    <w:rsid w:val="00065679"/>
    <w:rsid w:val="00065762"/>
    <w:rsid w:val="00067671"/>
    <w:rsid w:val="00067A54"/>
    <w:rsid w:val="0007004C"/>
    <w:rsid w:val="000700DC"/>
    <w:rsid w:val="00070997"/>
    <w:rsid w:val="00070F72"/>
    <w:rsid w:val="00070FA5"/>
    <w:rsid w:val="00071D89"/>
    <w:rsid w:val="000724F6"/>
    <w:rsid w:val="00072AD3"/>
    <w:rsid w:val="00074611"/>
    <w:rsid w:val="00074A62"/>
    <w:rsid w:val="00074CBE"/>
    <w:rsid w:val="00075861"/>
    <w:rsid w:val="000770C3"/>
    <w:rsid w:val="00080587"/>
    <w:rsid w:val="000814E7"/>
    <w:rsid w:val="00083068"/>
    <w:rsid w:val="00083CD1"/>
    <w:rsid w:val="00085791"/>
    <w:rsid w:val="00086712"/>
    <w:rsid w:val="00090269"/>
    <w:rsid w:val="00091DF8"/>
    <w:rsid w:val="00091F2C"/>
    <w:rsid w:val="0009321C"/>
    <w:rsid w:val="00093899"/>
    <w:rsid w:val="00093CB6"/>
    <w:rsid w:val="00093DD8"/>
    <w:rsid w:val="00096770"/>
    <w:rsid w:val="00097794"/>
    <w:rsid w:val="00097C83"/>
    <w:rsid w:val="00097E6F"/>
    <w:rsid w:val="000A0C9E"/>
    <w:rsid w:val="000A30CC"/>
    <w:rsid w:val="000A33F6"/>
    <w:rsid w:val="000A3A5D"/>
    <w:rsid w:val="000A4AF0"/>
    <w:rsid w:val="000A5191"/>
    <w:rsid w:val="000A69C0"/>
    <w:rsid w:val="000A6C9B"/>
    <w:rsid w:val="000A7386"/>
    <w:rsid w:val="000B1112"/>
    <w:rsid w:val="000B195E"/>
    <w:rsid w:val="000B2D73"/>
    <w:rsid w:val="000B3B1C"/>
    <w:rsid w:val="000B4080"/>
    <w:rsid w:val="000B6332"/>
    <w:rsid w:val="000B72CC"/>
    <w:rsid w:val="000B7685"/>
    <w:rsid w:val="000B76B6"/>
    <w:rsid w:val="000C0B7F"/>
    <w:rsid w:val="000C143D"/>
    <w:rsid w:val="000C1FEA"/>
    <w:rsid w:val="000C206C"/>
    <w:rsid w:val="000C4038"/>
    <w:rsid w:val="000C41C5"/>
    <w:rsid w:val="000C53A5"/>
    <w:rsid w:val="000C57D9"/>
    <w:rsid w:val="000C714F"/>
    <w:rsid w:val="000C74E7"/>
    <w:rsid w:val="000D19D8"/>
    <w:rsid w:val="000D1C37"/>
    <w:rsid w:val="000D2E17"/>
    <w:rsid w:val="000D343D"/>
    <w:rsid w:val="000D4159"/>
    <w:rsid w:val="000D4166"/>
    <w:rsid w:val="000D4377"/>
    <w:rsid w:val="000D65A1"/>
    <w:rsid w:val="000E075D"/>
    <w:rsid w:val="000E1087"/>
    <w:rsid w:val="000E2014"/>
    <w:rsid w:val="000E2AF6"/>
    <w:rsid w:val="000E36B7"/>
    <w:rsid w:val="000E3C70"/>
    <w:rsid w:val="000E426C"/>
    <w:rsid w:val="000E4848"/>
    <w:rsid w:val="000E48C3"/>
    <w:rsid w:val="000E4ABD"/>
    <w:rsid w:val="000E514D"/>
    <w:rsid w:val="000E5525"/>
    <w:rsid w:val="000E5655"/>
    <w:rsid w:val="000E579C"/>
    <w:rsid w:val="000E7045"/>
    <w:rsid w:val="000E714F"/>
    <w:rsid w:val="000E74A7"/>
    <w:rsid w:val="000E7AAB"/>
    <w:rsid w:val="000E7F02"/>
    <w:rsid w:val="000F0880"/>
    <w:rsid w:val="000F0F99"/>
    <w:rsid w:val="000F1BC2"/>
    <w:rsid w:val="000F25D5"/>
    <w:rsid w:val="000F29A3"/>
    <w:rsid w:val="000F4854"/>
    <w:rsid w:val="000F54AD"/>
    <w:rsid w:val="000F5729"/>
    <w:rsid w:val="000F62A5"/>
    <w:rsid w:val="000F6CF6"/>
    <w:rsid w:val="000F76B3"/>
    <w:rsid w:val="000F7757"/>
    <w:rsid w:val="000F7AB9"/>
    <w:rsid w:val="000F7ADF"/>
    <w:rsid w:val="00100185"/>
    <w:rsid w:val="001027D0"/>
    <w:rsid w:val="00103A97"/>
    <w:rsid w:val="00103FD6"/>
    <w:rsid w:val="00104206"/>
    <w:rsid w:val="0010489F"/>
    <w:rsid w:val="00104C59"/>
    <w:rsid w:val="00105458"/>
    <w:rsid w:val="001065EE"/>
    <w:rsid w:val="00110025"/>
    <w:rsid w:val="00110BE2"/>
    <w:rsid w:val="00110F5D"/>
    <w:rsid w:val="001134AC"/>
    <w:rsid w:val="001146C3"/>
    <w:rsid w:val="00115014"/>
    <w:rsid w:val="00115166"/>
    <w:rsid w:val="00115840"/>
    <w:rsid w:val="00115A97"/>
    <w:rsid w:val="00115D9B"/>
    <w:rsid w:val="00120358"/>
    <w:rsid w:val="00120BE9"/>
    <w:rsid w:val="00120E7E"/>
    <w:rsid w:val="00121F98"/>
    <w:rsid w:val="00122112"/>
    <w:rsid w:val="00122BD1"/>
    <w:rsid w:val="00122CCE"/>
    <w:rsid w:val="00122DBA"/>
    <w:rsid w:val="0012351D"/>
    <w:rsid w:val="0012387D"/>
    <w:rsid w:val="00123C7B"/>
    <w:rsid w:val="00124585"/>
    <w:rsid w:val="00124914"/>
    <w:rsid w:val="00124C5A"/>
    <w:rsid w:val="0012549D"/>
    <w:rsid w:val="001262B5"/>
    <w:rsid w:val="00126B85"/>
    <w:rsid w:val="00126E4E"/>
    <w:rsid w:val="00127513"/>
    <w:rsid w:val="00127AF8"/>
    <w:rsid w:val="00130254"/>
    <w:rsid w:val="00130FD1"/>
    <w:rsid w:val="00131EAC"/>
    <w:rsid w:val="00132587"/>
    <w:rsid w:val="00132D34"/>
    <w:rsid w:val="00134440"/>
    <w:rsid w:val="0013469C"/>
    <w:rsid w:val="00135E92"/>
    <w:rsid w:val="001366E6"/>
    <w:rsid w:val="00136875"/>
    <w:rsid w:val="00137832"/>
    <w:rsid w:val="001404A9"/>
    <w:rsid w:val="00140F43"/>
    <w:rsid w:val="00141D2F"/>
    <w:rsid w:val="00142461"/>
    <w:rsid w:val="00142787"/>
    <w:rsid w:val="001427A5"/>
    <w:rsid w:val="00143B85"/>
    <w:rsid w:val="00143CC4"/>
    <w:rsid w:val="001449DD"/>
    <w:rsid w:val="00145D5C"/>
    <w:rsid w:val="00146CCE"/>
    <w:rsid w:val="00146F63"/>
    <w:rsid w:val="00151133"/>
    <w:rsid w:val="001515FB"/>
    <w:rsid w:val="001537E5"/>
    <w:rsid w:val="00153A82"/>
    <w:rsid w:val="00153D12"/>
    <w:rsid w:val="001541FE"/>
    <w:rsid w:val="00155981"/>
    <w:rsid w:val="00156ECB"/>
    <w:rsid w:val="0016017C"/>
    <w:rsid w:val="00160506"/>
    <w:rsid w:val="00160F4D"/>
    <w:rsid w:val="001610C1"/>
    <w:rsid w:val="00161176"/>
    <w:rsid w:val="0016131F"/>
    <w:rsid w:val="001629FA"/>
    <w:rsid w:val="00162FD1"/>
    <w:rsid w:val="00163F01"/>
    <w:rsid w:val="00164BF4"/>
    <w:rsid w:val="00165210"/>
    <w:rsid w:val="00165AF7"/>
    <w:rsid w:val="00165CAB"/>
    <w:rsid w:val="00166312"/>
    <w:rsid w:val="001667CE"/>
    <w:rsid w:val="001677E6"/>
    <w:rsid w:val="00167BB8"/>
    <w:rsid w:val="0017043E"/>
    <w:rsid w:val="001708DA"/>
    <w:rsid w:val="00172360"/>
    <w:rsid w:val="00172CE3"/>
    <w:rsid w:val="00172E3A"/>
    <w:rsid w:val="00173554"/>
    <w:rsid w:val="00173F81"/>
    <w:rsid w:val="0017495D"/>
    <w:rsid w:val="00174C2A"/>
    <w:rsid w:val="001752F8"/>
    <w:rsid w:val="00175FB9"/>
    <w:rsid w:val="001773A2"/>
    <w:rsid w:val="00177A0A"/>
    <w:rsid w:val="00177F29"/>
    <w:rsid w:val="0018001A"/>
    <w:rsid w:val="00180392"/>
    <w:rsid w:val="001805B6"/>
    <w:rsid w:val="00180F76"/>
    <w:rsid w:val="00182269"/>
    <w:rsid w:val="00183284"/>
    <w:rsid w:val="001835CF"/>
    <w:rsid w:val="0018395C"/>
    <w:rsid w:val="00183EAB"/>
    <w:rsid w:val="00184B62"/>
    <w:rsid w:val="001856BE"/>
    <w:rsid w:val="00185CC1"/>
    <w:rsid w:val="00186420"/>
    <w:rsid w:val="00186541"/>
    <w:rsid w:val="001869A7"/>
    <w:rsid w:val="00187454"/>
    <w:rsid w:val="00187BEB"/>
    <w:rsid w:val="00190621"/>
    <w:rsid w:val="00190F97"/>
    <w:rsid w:val="001926D5"/>
    <w:rsid w:val="001931E8"/>
    <w:rsid w:val="00193ADC"/>
    <w:rsid w:val="00193AE9"/>
    <w:rsid w:val="00194232"/>
    <w:rsid w:val="00194587"/>
    <w:rsid w:val="00195B2E"/>
    <w:rsid w:val="001974A6"/>
    <w:rsid w:val="001A1422"/>
    <w:rsid w:val="001A14C1"/>
    <w:rsid w:val="001A3A9A"/>
    <w:rsid w:val="001A3F52"/>
    <w:rsid w:val="001A4093"/>
    <w:rsid w:val="001A5670"/>
    <w:rsid w:val="001A66B5"/>
    <w:rsid w:val="001A672D"/>
    <w:rsid w:val="001A708E"/>
    <w:rsid w:val="001A79C1"/>
    <w:rsid w:val="001A7A15"/>
    <w:rsid w:val="001B02F7"/>
    <w:rsid w:val="001B0BB7"/>
    <w:rsid w:val="001B11DB"/>
    <w:rsid w:val="001B19A0"/>
    <w:rsid w:val="001B1CA3"/>
    <w:rsid w:val="001B1E99"/>
    <w:rsid w:val="001B2359"/>
    <w:rsid w:val="001B2C0B"/>
    <w:rsid w:val="001B2C80"/>
    <w:rsid w:val="001B3730"/>
    <w:rsid w:val="001B447F"/>
    <w:rsid w:val="001B5669"/>
    <w:rsid w:val="001B580E"/>
    <w:rsid w:val="001B60DC"/>
    <w:rsid w:val="001B6FC6"/>
    <w:rsid w:val="001B7933"/>
    <w:rsid w:val="001B7C3A"/>
    <w:rsid w:val="001C032C"/>
    <w:rsid w:val="001C0AD3"/>
    <w:rsid w:val="001C1269"/>
    <w:rsid w:val="001C20C4"/>
    <w:rsid w:val="001C21EF"/>
    <w:rsid w:val="001C2522"/>
    <w:rsid w:val="001C30BD"/>
    <w:rsid w:val="001C346E"/>
    <w:rsid w:val="001C358F"/>
    <w:rsid w:val="001C3717"/>
    <w:rsid w:val="001C37D3"/>
    <w:rsid w:val="001C4EBD"/>
    <w:rsid w:val="001C5CC5"/>
    <w:rsid w:val="001C5F17"/>
    <w:rsid w:val="001C650F"/>
    <w:rsid w:val="001C6EB7"/>
    <w:rsid w:val="001C7EC5"/>
    <w:rsid w:val="001D01BD"/>
    <w:rsid w:val="001D04CD"/>
    <w:rsid w:val="001D219B"/>
    <w:rsid w:val="001D2200"/>
    <w:rsid w:val="001D25C4"/>
    <w:rsid w:val="001D2C27"/>
    <w:rsid w:val="001D3AC1"/>
    <w:rsid w:val="001D3CAD"/>
    <w:rsid w:val="001D469F"/>
    <w:rsid w:val="001D4A90"/>
    <w:rsid w:val="001D58A9"/>
    <w:rsid w:val="001D6E9A"/>
    <w:rsid w:val="001D6FD7"/>
    <w:rsid w:val="001D723A"/>
    <w:rsid w:val="001D767A"/>
    <w:rsid w:val="001D7BC1"/>
    <w:rsid w:val="001E08EA"/>
    <w:rsid w:val="001E0E29"/>
    <w:rsid w:val="001E20EC"/>
    <w:rsid w:val="001E2123"/>
    <w:rsid w:val="001E2822"/>
    <w:rsid w:val="001E2C55"/>
    <w:rsid w:val="001E399F"/>
    <w:rsid w:val="001E39D1"/>
    <w:rsid w:val="001E4479"/>
    <w:rsid w:val="001E5016"/>
    <w:rsid w:val="001E5380"/>
    <w:rsid w:val="001E6151"/>
    <w:rsid w:val="001E69DB"/>
    <w:rsid w:val="001E7173"/>
    <w:rsid w:val="001E74D0"/>
    <w:rsid w:val="001E75F9"/>
    <w:rsid w:val="001E7803"/>
    <w:rsid w:val="001E7D7F"/>
    <w:rsid w:val="001E7ED0"/>
    <w:rsid w:val="001F1D48"/>
    <w:rsid w:val="001F23DD"/>
    <w:rsid w:val="001F26EE"/>
    <w:rsid w:val="001F2C45"/>
    <w:rsid w:val="001F4D0F"/>
    <w:rsid w:val="001F51A4"/>
    <w:rsid w:val="001F58A1"/>
    <w:rsid w:val="001F6B35"/>
    <w:rsid w:val="001F6B94"/>
    <w:rsid w:val="001F6F39"/>
    <w:rsid w:val="001F6FE8"/>
    <w:rsid w:val="00200344"/>
    <w:rsid w:val="0020109B"/>
    <w:rsid w:val="0020144E"/>
    <w:rsid w:val="002033E9"/>
    <w:rsid w:val="00203B02"/>
    <w:rsid w:val="00205E18"/>
    <w:rsid w:val="00206773"/>
    <w:rsid w:val="002069F9"/>
    <w:rsid w:val="0020726D"/>
    <w:rsid w:val="002116A8"/>
    <w:rsid w:val="00212161"/>
    <w:rsid w:val="00212869"/>
    <w:rsid w:val="00217674"/>
    <w:rsid w:val="00217E93"/>
    <w:rsid w:val="00221308"/>
    <w:rsid w:val="00221F38"/>
    <w:rsid w:val="00222629"/>
    <w:rsid w:val="00222C97"/>
    <w:rsid w:val="00223876"/>
    <w:rsid w:val="00224C98"/>
    <w:rsid w:val="0022532E"/>
    <w:rsid w:val="00225761"/>
    <w:rsid w:val="002258D9"/>
    <w:rsid w:val="00225D8F"/>
    <w:rsid w:val="00227F9F"/>
    <w:rsid w:val="00230E7C"/>
    <w:rsid w:val="002329AC"/>
    <w:rsid w:val="00233835"/>
    <w:rsid w:val="002338DC"/>
    <w:rsid w:val="002339A1"/>
    <w:rsid w:val="00234FAB"/>
    <w:rsid w:val="00240438"/>
    <w:rsid w:val="0024188B"/>
    <w:rsid w:val="00241EE9"/>
    <w:rsid w:val="0024233A"/>
    <w:rsid w:val="00243BF2"/>
    <w:rsid w:val="00244500"/>
    <w:rsid w:val="00244C92"/>
    <w:rsid w:val="00244D43"/>
    <w:rsid w:val="00244FCE"/>
    <w:rsid w:val="00245106"/>
    <w:rsid w:val="002454DD"/>
    <w:rsid w:val="002455EA"/>
    <w:rsid w:val="00245CA6"/>
    <w:rsid w:val="0024607A"/>
    <w:rsid w:val="002460CE"/>
    <w:rsid w:val="00247D1D"/>
    <w:rsid w:val="00247D45"/>
    <w:rsid w:val="00250BFD"/>
    <w:rsid w:val="00251029"/>
    <w:rsid w:val="00252551"/>
    <w:rsid w:val="00253625"/>
    <w:rsid w:val="002550CD"/>
    <w:rsid w:val="002553D1"/>
    <w:rsid w:val="0025617E"/>
    <w:rsid w:val="0025660B"/>
    <w:rsid w:val="00256BC7"/>
    <w:rsid w:val="00257B89"/>
    <w:rsid w:val="00261ABA"/>
    <w:rsid w:val="00262BAE"/>
    <w:rsid w:val="00262E18"/>
    <w:rsid w:val="00263A98"/>
    <w:rsid w:val="00263B36"/>
    <w:rsid w:val="002640E1"/>
    <w:rsid w:val="0026457D"/>
    <w:rsid w:val="0026571E"/>
    <w:rsid w:val="0026629C"/>
    <w:rsid w:val="002679D1"/>
    <w:rsid w:val="00267D10"/>
    <w:rsid w:val="00270B2E"/>
    <w:rsid w:val="00271793"/>
    <w:rsid w:val="00271F64"/>
    <w:rsid w:val="0027339F"/>
    <w:rsid w:val="002734C3"/>
    <w:rsid w:val="00275965"/>
    <w:rsid w:val="00275F2C"/>
    <w:rsid w:val="00276681"/>
    <w:rsid w:val="002811CB"/>
    <w:rsid w:val="00281874"/>
    <w:rsid w:val="00281F57"/>
    <w:rsid w:val="002821A6"/>
    <w:rsid w:val="0028237A"/>
    <w:rsid w:val="00282C25"/>
    <w:rsid w:val="00282DBE"/>
    <w:rsid w:val="00283282"/>
    <w:rsid w:val="00284884"/>
    <w:rsid w:val="00285003"/>
    <w:rsid w:val="00285AEF"/>
    <w:rsid w:val="002869F5"/>
    <w:rsid w:val="002869F6"/>
    <w:rsid w:val="00286E14"/>
    <w:rsid w:val="002873BB"/>
    <w:rsid w:val="00287DCC"/>
    <w:rsid w:val="0029027B"/>
    <w:rsid w:val="002911AF"/>
    <w:rsid w:val="00291CDE"/>
    <w:rsid w:val="00291CF1"/>
    <w:rsid w:val="00292587"/>
    <w:rsid w:val="00292851"/>
    <w:rsid w:val="00294146"/>
    <w:rsid w:val="00294B7A"/>
    <w:rsid w:val="00295855"/>
    <w:rsid w:val="00295DE9"/>
    <w:rsid w:val="00296930"/>
    <w:rsid w:val="00296B8E"/>
    <w:rsid w:val="0029795D"/>
    <w:rsid w:val="002A0307"/>
    <w:rsid w:val="002A143D"/>
    <w:rsid w:val="002A203F"/>
    <w:rsid w:val="002A27AD"/>
    <w:rsid w:val="002A3DE9"/>
    <w:rsid w:val="002A466C"/>
    <w:rsid w:val="002A493A"/>
    <w:rsid w:val="002A530A"/>
    <w:rsid w:val="002A5884"/>
    <w:rsid w:val="002A65E4"/>
    <w:rsid w:val="002A6981"/>
    <w:rsid w:val="002A6BA7"/>
    <w:rsid w:val="002A7668"/>
    <w:rsid w:val="002B1C42"/>
    <w:rsid w:val="002B1C50"/>
    <w:rsid w:val="002B207C"/>
    <w:rsid w:val="002B38AE"/>
    <w:rsid w:val="002B44CF"/>
    <w:rsid w:val="002B562E"/>
    <w:rsid w:val="002B5B3D"/>
    <w:rsid w:val="002B5D13"/>
    <w:rsid w:val="002B61A1"/>
    <w:rsid w:val="002B7922"/>
    <w:rsid w:val="002B7E1B"/>
    <w:rsid w:val="002C01FA"/>
    <w:rsid w:val="002C2529"/>
    <w:rsid w:val="002C2A03"/>
    <w:rsid w:val="002C2D48"/>
    <w:rsid w:val="002C2E5D"/>
    <w:rsid w:val="002C3CEC"/>
    <w:rsid w:val="002C4844"/>
    <w:rsid w:val="002C4D02"/>
    <w:rsid w:val="002C4F13"/>
    <w:rsid w:val="002C5318"/>
    <w:rsid w:val="002C54E9"/>
    <w:rsid w:val="002C62B3"/>
    <w:rsid w:val="002C65D6"/>
    <w:rsid w:val="002C7620"/>
    <w:rsid w:val="002C789A"/>
    <w:rsid w:val="002D122C"/>
    <w:rsid w:val="002D2A9C"/>
    <w:rsid w:val="002D3CE7"/>
    <w:rsid w:val="002D3D88"/>
    <w:rsid w:val="002D411F"/>
    <w:rsid w:val="002D4A87"/>
    <w:rsid w:val="002D5A6A"/>
    <w:rsid w:val="002D5E8A"/>
    <w:rsid w:val="002D6DFC"/>
    <w:rsid w:val="002D7CF9"/>
    <w:rsid w:val="002E144A"/>
    <w:rsid w:val="002E16F9"/>
    <w:rsid w:val="002E1BE8"/>
    <w:rsid w:val="002E288C"/>
    <w:rsid w:val="002E28B9"/>
    <w:rsid w:val="002E2DE2"/>
    <w:rsid w:val="002E4388"/>
    <w:rsid w:val="002E4B66"/>
    <w:rsid w:val="002E5601"/>
    <w:rsid w:val="002E5AE6"/>
    <w:rsid w:val="002E6DE4"/>
    <w:rsid w:val="002E76DB"/>
    <w:rsid w:val="002F0F15"/>
    <w:rsid w:val="002F1B6B"/>
    <w:rsid w:val="002F4258"/>
    <w:rsid w:val="002F576E"/>
    <w:rsid w:val="002F5B29"/>
    <w:rsid w:val="002F5B54"/>
    <w:rsid w:val="002F5C6C"/>
    <w:rsid w:val="002F7511"/>
    <w:rsid w:val="002F7B23"/>
    <w:rsid w:val="002F7E40"/>
    <w:rsid w:val="003012DA"/>
    <w:rsid w:val="00302900"/>
    <w:rsid w:val="00306B62"/>
    <w:rsid w:val="00306F75"/>
    <w:rsid w:val="00307C5C"/>
    <w:rsid w:val="003110A3"/>
    <w:rsid w:val="00312CFE"/>
    <w:rsid w:val="00313480"/>
    <w:rsid w:val="00313C98"/>
    <w:rsid w:val="00313FD9"/>
    <w:rsid w:val="00314BC3"/>
    <w:rsid w:val="003155BD"/>
    <w:rsid w:val="003157B5"/>
    <w:rsid w:val="00316597"/>
    <w:rsid w:val="003177B9"/>
    <w:rsid w:val="00320211"/>
    <w:rsid w:val="00320338"/>
    <w:rsid w:val="00321E0A"/>
    <w:rsid w:val="003220CA"/>
    <w:rsid w:val="003221E5"/>
    <w:rsid w:val="00322E7F"/>
    <w:rsid w:val="00323BFB"/>
    <w:rsid w:val="00324130"/>
    <w:rsid w:val="0032496E"/>
    <w:rsid w:val="0032765B"/>
    <w:rsid w:val="0033117B"/>
    <w:rsid w:val="003314CF"/>
    <w:rsid w:val="00332BD7"/>
    <w:rsid w:val="00333506"/>
    <w:rsid w:val="00333F6A"/>
    <w:rsid w:val="003341DB"/>
    <w:rsid w:val="00334B1B"/>
    <w:rsid w:val="00335D31"/>
    <w:rsid w:val="00336260"/>
    <w:rsid w:val="00337587"/>
    <w:rsid w:val="003375C2"/>
    <w:rsid w:val="003403C4"/>
    <w:rsid w:val="00340987"/>
    <w:rsid w:val="003410AA"/>
    <w:rsid w:val="00342A14"/>
    <w:rsid w:val="00343BB2"/>
    <w:rsid w:val="0034465F"/>
    <w:rsid w:val="0034584D"/>
    <w:rsid w:val="003460AD"/>
    <w:rsid w:val="003476CA"/>
    <w:rsid w:val="003479B1"/>
    <w:rsid w:val="00347EE5"/>
    <w:rsid w:val="00351E03"/>
    <w:rsid w:val="0035251D"/>
    <w:rsid w:val="00352A13"/>
    <w:rsid w:val="00352A6B"/>
    <w:rsid w:val="00352EC1"/>
    <w:rsid w:val="00354D9E"/>
    <w:rsid w:val="00355982"/>
    <w:rsid w:val="00355F05"/>
    <w:rsid w:val="0035649D"/>
    <w:rsid w:val="00356C6B"/>
    <w:rsid w:val="003608A5"/>
    <w:rsid w:val="00360AEB"/>
    <w:rsid w:val="00361054"/>
    <w:rsid w:val="0036119D"/>
    <w:rsid w:val="003619D5"/>
    <w:rsid w:val="00361E9F"/>
    <w:rsid w:val="003630C9"/>
    <w:rsid w:val="003632EB"/>
    <w:rsid w:val="003637A0"/>
    <w:rsid w:val="0036474E"/>
    <w:rsid w:val="00364CF3"/>
    <w:rsid w:val="003652E3"/>
    <w:rsid w:val="00365CAA"/>
    <w:rsid w:val="003662DD"/>
    <w:rsid w:val="00366B5E"/>
    <w:rsid w:val="0036703D"/>
    <w:rsid w:val="00367EAB"/>
    <w:rsid w:val="00370D2C"/>
    <w:rsid w:val="00371F90"/>
    <w:rsid w:val="00372573"/>
    <w:rsid w:val="00373F1A"/>
    <w:rsid w:val="003742EF"/>
    <w:rsid w:val="00374794"/>
    <w:rsid w:val="003757B3"/>
    <w:rsid w:val="00376990"/>
    <w:rsid w:val="003778DD"/>
    <w:rsid w:val="00377AB2"/>
    <w:rsid w:val="00380BA1"/>
    <w:rsid w:val="003819A5"/>
    <w:rsid w:val="00384D3C"/>
    <w:rsid w:val="00384D46"/>
    <w:rsid w:val="00386C89"/>
    <w:rsid w:val="003877C3"/>
    <w:rsid w:val="00390359"/>
    <w:rsid w:val="00391408"/>
    <w:rsid w:val="003919E6"/>
    <w:rsid w:val="0039283B"/>
    <w:rsid w:val="00393124"/>
    <w:rsid w:val="003946FB"/>
    <w:rsid w:val="00396B7F"/>
    <w:rsid w:val="00396EA4"/>
    <w:rsid w:val="003A13D1"/>
    <w:rsid w:val="003A1779"/>
    <w:rsid w:val="003A1AD9"/>
    <w:rsid w:val="003A2157"/>
    <w:rsid w:val="003A3363"/>
    <w:rsid w:val="003A3905"/>
    <w:rsid w:val="003A3CC1"/>
    <w:rsid w:val="003A463E"/>
    <w:rsid w:val="003A540D"/>
    <w:rsid w:val="003A6635"/>
    <w:rsid w:val="003A6B0E"/>
    <w:rsid w:val="003A78C6"/>
    <w:rsid w:val="003B068B"/>
    <w:rsid w:val="003B1AB5"/>
    <w:rsid w:val="003B24D1"/>
    <w:rsid w:val="003B27B5"/>
    <w:rsid w:val="003B2812"/>
    <w:rsid w:val="003B2A67"/>
    <w:rsid w:val="003B36F5"/>
    <w:rsid w:val="003B456F"/>
    <w:rsid w:val="003B5562"/>
    <w:rsid w:val="003B56BE"/>
    <w:rsid w:val="003B6363"/>
    <w:rsid w:val="003B737F"/>
    <w:rsid w:val="003B7F4C"/>
    <w:rsid w:val="003C04E4"/>
    <w:rsid w:val="003C0CF7"/>
    <w:rsid w:val="003C1324"/>
    <w:rsid w:val="003C2252"/>
    <w:rsid w:val="003C26A4"/>
    <w:rsid w:val="003C27EE"/>
    <w:rsid w:val="003C2E5D"/>
    <w:rsid w:val="003C36B0"/>
    <w:rsid w:val="003C4749"/>
    <w:rsid w:val="003C4ABC"/>
    <w:rsid w:val="003C59E0"/>
    <w:rsid w:val="003C5A82"/>
    <w:rsid w:val="003C6F2A"/>
    <w:rsid w:val="003D23C4"/>
    <w:rsid w:val="003D25C5"/>
    <w:rsid w:val="003D39D7"/>
    <w:rsid w:val="003D3D18"/>
    <w:rsid w:val="003D411F"/>
    <w:rsid w:val="003D4235"/>
    <w:rsid w:val="003D4B61"/>
    <w:rsid w:val="003D4C63"/>
    <w:rsid w:val="003D4E85"/>
    <w:rsid w:val="003D5614"/>
    <w:rsid w:val="003D60D7"/>
    <w:rsid w:val="003D743C"/>
    <w:rsid w:val="003D7708"/>
    <w:rsid w:val="003E02F6"/>
    <w:rsid w:val="003E0540"/>
    <w:rsid w:val="003E0A8B"/>
    <w:rsid w:val="003E11A7"/>
    <w:rsid w:val="003E26E6"/>
    <w:rsid w:val="003E2722"/>
    <w:rsid w:val="003E2A6C"/>
    <w:rsid w:val="003E305B"/>
    <w:rsid w:val="003E33BA"/>
    <w:rsid w:val="003E3F1C"/>
    <w:rsid w:val="003E5042"/>
    <w:rsid w:val="003E6BA0"/>
    <w:rsid w:val="003E6D0F"/>
    <w:rsid w:val="003E73DB"/>
    <w:rsid w:val="003F0ADC"/>
    <w:rsid w:val="003F1C8B"/>
    <w:rsid w:val="003F260B"/>
    <w:rsid w:val="003F2BF2"/>
    <w:rsid w:val="003F4AE6"/>
    <w:rsid w:val="003F59E6"/>
    <w:rsid w:val="003F5A92"/>
    <w:rsid w:val="003F5BE6"/>
    <w:rsid w:val="003F6C00"/>
    <w:rsid w:val="00400181"/>
    <w:rsid w:val="00401052"/>
    <w:rsid w:val="00401CF4"/>
    <w:rsid w:val="00402BCE"/>
    <w:rsid w:val="00402DBF"/>
    <w:rsid w:val="00402FF5"/>
    <w:rsid w:val="004037E2"/>
    <w:rsid w:val="0040390D"/>
    <w:rsid w:val="00404B25"/>
    <w:rsid w:val="00404E04"/>
    <w:rsid w:val="00404E64"/>
    <w:rsid w:val="004057D7"/>
    <w:rsid w:val="0040596A"/>
    <w:rsid w:val="00407C2A"/>
    <w:rsid w:val="00407E1E"/>
    <w:rsid w:val="004100B5"/>
    <w:rsid w:val="004105A6"/>
    <w:rsid w:val="00410FF1"/>
    <w:rsid w:val="0041123F"/>
    <w:rsid w:val="00411F31"/>
    <w:rsid w:val="004120B1"/>
    <w:rsid w:val="00412249"/>
    <w:rsid w:val="004122C3"/>
    <w:rsid w:val="004131E4"/>
    <w:rsid w:val="00413737"/>
    <w:rsid w:val="00413E74"/>
    <w:rsid w:val="0041421D"/>
    <w:rsid w:val="0041490D"/>
    <w:rsid w:val="00414A5C"/>
    <w:rsid w:val="00414BB8"/>
    <w:rsid w:val="00414D9C"/>
    <w:rsid w:val="004156B4"/>
    <w:rsid w:val="004157C0"/>
    <w:rsid w:val="00415CDA"/>
    <w:rsid w:val="004165D6"/>
    <w:rsid w:val="0041697F"/>
    <w:rsid w:val="00420034"/>
    <w:rsid w:val="00420235"/>
    <w:rsid w:val="00421B67"/>
    <w:rsid w:val="00421E10"/>
    <w:rsid w:val="00421EB2"/>
    <w:rsid w:val="004223AA"/>
    <w:rsid w:val="00423104"/>
    <w:rsid w:val="00423CB3"/>
    <w:rsid w:val="00425922"/>
    <w:rsid w:val="004267D3"/>
    <w:rsid w:val="00427E2A"/>
    <w:rsid w:val="00427E97"/>
    <w:rsid w:val="00427F6D"/>
    <w:rsid w:val="004317BB"/>
    <w:rsid w:val="00432AB9"/>
    <w:rsid w:val="00432C96"/>
    <w:rsid w:val="00432F99"/>
    <w:rsid w:val="004333FA"/>
    <w:rsid w:val="00433C24"/>
    <w:rsid w:val="00433E65"/>
    <w:rsid w:val="0043444A"/>
    <w:rsid w:val="00435BDA"/>
    <w:rsid w:val="00436468"/>
    <w:rsid w:val="004374B2"/>
    <w:rsid w:val="00437A6D"/>
    <w:rsid w:val="00437BB9"/>
    <w:rsid w:val="00440062"/>
    <w:rsid w:val="00440301"/>
    <w:rsid w:val="00440CFD"/>
    <w:rsid w:val="004421D6"/>
    <w:rsid w:val="00442AB8"/>
    <w:rsid w:val="004436EA"/>
    <w:rsid w:val="00443D99"/>
    <w:rsid w:val="00444202"/>
    <w:rsid w:val="0044456C"/>
    <w:rsid w:val="00444D26"/>
    <w:rsid w:val="00444F47"/>
    <w:rsid w:val="004456D6"/>
    <w:rsid w:val="00446891"/>
    <w:rsid w:val="00447439"/>
    <w:rsid w:val="00447640"/>
    <w:rsid w:val="00447860"/>
    <w:rsid w:val="004479DD"/>
    <w:rsid w:val="00450B39"/>
    <w:rsid w:val="00451C0A"/>
    <w:rsid w:val="004521B9"/>
    <w:rsid w:val="004527AE"/>
    <w:rsid w:val="0045332B"/>
    <w:rsid w:val="00453352"/>
    <w:rsid w:val="00453BC6"/>
    <w:rsid w:val="00454498"/>
    <w:rsid w:val="0045597E"/>
    <w:rsid w:val="00456C59"/>
    <w:rsid w:val="00457022"/>
    <w:rsid w:val="00457392"/>
    <w:rsid w:val="00457C1E"/>
    <w:rsid w:val="0046085F"/>
    <w:rsid w:val="00462134"/>
    <w:rsid w:val="0046247A"/>
    <w:rsid w:val="00462988"/>
    <w:rsid w:val="0046444E"/>
    <w:rsid w:val="004647FC"/>
    <w:rsid w:val="00465ACC"/>
    <w:rsid w:val="00465ED9"/>
    <w:rsid w:val="00466C19"/>
    <w:rsid w:val="00466C43"/>
    <w:rsid w:val="00467445"/>
    <w:rsid w:val="0046752C"/>
    <w:rsid w:val="00470E85"/>
    <w:rsid w:val="004719B1"/>
    <w:rsid w:val="00472C93"/>
    <w:rsid w:val="004733BC"/>
    <w:rsid w:val="0047371A"/>
    <w:rsid w:val="00477931"/>
    <w:rsid w:val="004818A7"/>
    <w:rsid w:val="00481AFC"/>
    <w:rsid w:val="00483213"/>
    <w:rsid w:val="00484452"/>
    <w:rsid w:val="00484CC6"/>
    <w:rsid w:val="0048545C"/>
    <w:rsid w:val="004858A5"/>
    <w:rsid w:val="00485EE5"/>
    <w:rsid w:val="0048679C"/>
    <w:rsid w:val="00487BB7"/>
    <w:rsid w:val="0049007C"/>
    <w:rsid w:val="00490198"/>
    <w:rsid w:val="00490E28"/>
    <w:rsid w:val="00491D6A"/>
    <w:rsid w:val="004924F3"/>
    <w:rsid w:val="00493C79"/>
    <w:rsid w:val="00494091"/>
    <w:rsid w:val="00494EA9"/>
    <w:rsid w:val="00495845"/>
    <w:rsid w:val="00496412"/>
    <w:rsid w:val="00496760"/>
    <w:rsid w:val="00497362"/>
    <w:rsid w:val="00497577"/>
    <w:rsid w:val="004975BC"/>
    <w:rsid w:val="00497C77"/>
    <w:rsid w:val="004A0266"/>
    <w:rsid w:val="004A0AE7"/>
    <w:rsid w:val="004A0B6A"/>
    <w:rsid w:val="004A1AFF"/>
    <w:rsid w:val="004A2300"/>
    <w:rsid w:val="004A3588"/>
    <w:rsid w:val="004A45FE"/>
    <w:rsid w:val="004A523F"/>
    <w:rsid w:val="004A6062"/>
    <w:rsid w:val="004A673A"/>
    <w:rsid w:val="004A770F"/>
    <w:rsid w:val="004A7A3A"/>
    <w:rsid w:val="004B0813"/>
    <w:rsid w:val="004B136A"/>
    <w:rsid w:val="004B1F38"/>
    <w:rsid w:val="004B21C5"/>
    <w:rsid w:val="004B247F"/>
    <w:rsid w:val="004B2EF6"/>
    <w:rsid w:val="004B34A6"/>
    <w:rsid w:val="004B3E6D"/>
    <w:rsid w:val="004B4EFC"/>
    <w:rsid w:val="004B5612"/>
    <w:rsid w:val="004B5AA7"/>
    <w:rsid w:val="004B5EAB"/>
    <w:rsid w:val="004B6083"/>
    <w:rsid w:val="004B678B"/>
    <w:rsid w:val="004B6927"/>
    <w:rsid w:val="004B703E"/>
    <w:rsid w:val="004B7384"/>
    <w:rsid w:val="004B74D4"/>
    <w:rsid w:val="004B777D"/>
    <w:rsid w:val="004B7E5C"/>
    <w:rsid w:val="004B7F77"/>
    <w:rsid w:val="004C12A4"/>
    <w:rsid w:val="004C2C20"/>
    <w:rsid w:val="004C3CC4"/>
    <w:rsid w:val="004C4D5E"/>
    <w:rsid w:val="004C5F12"/>
    <w:rsid w:val="004C65CB"/>
    <w:rsid w:val="004C689C"/>
    <w:rsid w:val="004C732C"/>
    <w:rsid w:val="004C78BF"/>
    <w:rsid w:val="004C7C9C"/>
    <w:rsid w:val="004D11ED"/>
    <w:rsid w:val="004D241C"/>
    <w:rsid w:val="004D310E"/>
    <w:rsid w:val="004D37D8"/>
    <w:rsid w:val="004D4561"/>
    <w:rsid w:val="004D4B81"/>
    <w:rsid w:val="004D53C4"/>
    <w:rsid w:val="004D6D7F"/>
    <w:rsid w:val="004D7366"/>
    <w:rsid w:val="004E201C"/>
    <w:rsid w:val="004E28DD"/>
    <w:rsid w:val="004E2ACF"/>
    <w:rsid w:val="004E2CB0"/>
    <w:rsid w:val="004E464C"/>
    <w:rsid w:val="004E4BC7"/>
    <w:rsid w:val="004E4FD5"/>
    <w:rsid w:val="004E63B4"/>
    <w:rsid w:val="004F11F3"/>
    <w:rsid w:val="004F1801"/>
    <w:rsid w:val="004F1929"/>
    <w:rsid w:val="004F2706"/>
    <w:rsid w:val="004F2F89"/>
    <w:rsid w:val="004F44C3"/>
    <w:rsid w:val="004F4A3E"/>
    <w:rsid w:val="004F5DCD"/>
    <w:rsid w:val="004F5FDF"/>
    <w:rsid w:val="004F6B2B"/>
    <w:rsid w:val="005005DF"/>
    <w:rsid w:val="00501C4F"/>
    <w:rsid w:val="00503ADA"/>
    <w:rsid w:val="00503DA9"/>
    <w:rsid w:val="00505045"/>
    <w:rsid w:val="00505ADA"/>
    <w:rsid w:val="00505F26"/>
    <w:rsid w:val="00506A52"/>
    <w:rsid w:val="00507346"/>
    <w:rsid w:val="00507422"/>
    <w:rsid w:val="005100E5"/>
    <w:rsid w:val="00510B96"/>
    <w:rsid w:val="00511501"/>
    <w:rsid w:val="00511B5B"/>
    <w:rsid w:val="005124E0"/>
    <w:rsid w:val="00512BED"/>
    <w:rsid w:val="00512C4D"/>
    <w:rsid w:val="00513FD7"/>
    <w:rsid w:val="005145BF"/>
    <w:rsid w:val="00514F8E"/>
    <w:rsid w:val="005155DD"/>
    <w:rsid w:val="00515AF2"/>
    <w:rsid w:val="005163F8"/>
    <w:rsid w:val="0051640E"/>
    <w:rsid w:val="00516741"/>
    <w:rsid w:val="0051684E"/>
    <w:rsid w:val="0052087D"/>
    <w:rsid w:val="0052175D"/>
    <w:rsid w:val="005227D6"/>
    <w:rsid w:val="00523286"/>
    <w:rsid w:val="00523AA4"/>
    <w:rsid w:val="00524B12"/>
    <w:rsid w:val="00524F48"/>
    <w:rsid w:val="005265D5"/>
    <w:rsid w:val="00526BE6"/>
    <w:rsid w:val="00526FEE"/>
    <w:rsid w:val="005278C0"/>
    <w:rsid w:val="00527ABC"/>
    <w:rsid w:val="00530011"/>
    <w:rsid w:val="005309F1"/>
    <w:rsid w:val="005311FD"/>
    <w:rsid w:val="005320C3"/>
    <w:rsid w:val="00532161"/>
    <w:rsid w:val="00532EC6"/>
    <w:rsid w:val="0053357B"/>
    <w:rsid w:val="005335B9"/>
    <w:rsid w:val="00534772"/>
    <w:rsid w:val="0053613E"/>
    <w:rsid w:val="00536787"/>
    <w:rsid w:val="00536931"/>
    <w:rsid w:val="00537A69"/>
    <w:rsid w:val="00540238"/>
    <w:rsid w:val="00540CA9"/>
    <w:rsid w:val="005410C3"/>
    <w:rsid w:val="005411CD"/>
    <w:rsid w:val="0054193D"/>
    <w:rsid w:val="00542A8C"/>
    <w:rsid w:val="00542D59"/>
    <w:rsid w:val="00542E51"/>
    <w:rsid w:val="00543637"/>
    <w:rsid w:val="0054385E"/>
    <w:rsid w:val="00544E9D"/>
    <w:rsid w:val="00545502"/>
    <w:rsid w:val="00545989"/>
    <w:rsid w:val="00545DF7"/>
    <w:rsid w:val="00546AA9"/>
    <w:rsid w:val="00546CA2"/>
    <w:rsid w:val="005474A0"/>
    <w:rsid w:val="00550C12"/>
    <w:rsid w:val="0055250E"/>
    <w:rsid w:val="005539F5"/>
    <w:rsid w:val="0055415C"/>
    <w:rsid w:val="00554AAC"/>
    <w:rsid w:val="0055503F"/>
    <w:rsid w:val="005572D7"/>
    <w:rsid w:val="00557A94"/>
    <w:rsid w:val="00560628"/>
    <w:rsid w:val="005612CB"/>
    <w:rsid w:val="005612D9"/>
    <w:rsid w:val="00561611"/>
    <w:rsid w:val="00561D7D"/>
    <w:rsid w:val="005620B6"/>
    <w:rsid w:val="00563797"/>
    <w:rsid w:val="0056425E"/>
    <w:rsid w:val="005651B5"/>
    <w:rsid w:val="00566234"/>
    <w:rsid w:val="00566505"/>
    <w:rsid w:val="005665EC"/>
    <w:rsid w:val="005668DE"/>
    <w:rsid w:val="00566ECC"/>
    <w:rsid w:val="00570165"/>
    <w:rsid w:val="00570762"/>
    <w:rsid w:val="0057144E"/>
    <w:rsid w:val="005718F9"/>
    <w:rsid w:val="0057262B"/>
    <w:rsid w:val="00572E65"/>
    <w:rsid w:val="00573132"/>
    <w:rsid w:val="00573E84"/>
    <w:rsid w:val="00574C6D"/>
    <w:rsid w:val="00575DFC"/>
    <w:rsid w:val="00576D2A"/>
    <w:rsid w:val="0057768F"/>
    <w:rsid w:val="005779F2"/>
    <w:rsid w:val="00580981"/>
    <w:rsid w:val="00580DD1"/>
    <w:rsid w:val="005815B3"/>
    <w:rsid w:val="00581776"/>
    <w:rsid w:val="00582912"/>
    <w:rsid w:val="00582A03"/>
    <w:rsid w:val="00583E37"/>
    <w:rsid w:val="00584D98"/>
    <w:rsid w:val="00584EE6"/>
    <w:rsid w:val="0058546F"/>
    <w:rsid w:val="00586146"/>
    <w:rsid w:val="00586406"/>
    <w:rsid w:val="00587C52"/>
    <w:rsid w:val="00587E37"/>
    <w:rsid w:val="00590AEE"/>
    <w:rsid w:val="00590DD4"/>
    <w:rsid w:val="00592329"/>
    <w:rsid w:val="0059311A"/>
    <w:rsid w:val="00593821"/>
    <w:rsid w:val="00596E88"/>
    <w:rsid w:val="00597CBD"/>
    <w:rsid w:val="005A0969"/>
    <w:rsid w:val="005A11B9"/>
    <w:rsid w:val="005A2263"/>
    <w:rsid w:val="005A26A1"/>
    <w:rsid w:val="005A2E3A"/>
    <w:rsid w:val="005A3D38"/>
    <w:rsid w:val="005A417A"/>
    <w:rsid w:val="005A47DB"/>
    <w:rsid w:val="005A497A"/>
    <w:rsid w:val="005A582C"/>
    <w:rsid w:val="005A5E7A"/>
    <w:rsid w:val="005B0C8E"/>
    <w:rsid w:val="005B0DEF"/>
    <w:rsid w:val="005B13A5"/>
    <w:rsid w:val="005B165C"/>
    <w:rsid w:val="005B1A75"/>
    <w:rsid w:val="005B2513"/>
    <w:rsid w:val="005B2A03"/>
    <w:rsid w:val="005B3722"/>
    <w:rsid w:val="005B392A"/>
    <w:rsid w:val="005B3AF7"/>
    <w:rsid w:val="005B445F"/>
    <w:rsid w:val="005B458E"/>
    <w:rsid w:val="005B4C1B"/>
    <w:rsid w:val="005B78D3"/>
    <w:rsid w:val="005B7E17"/>
    <w:rsid w:val="005C0083"/>
    <w:rsid w:val="005C0538"/>
    <w:rsid w:val="005C0C33"/>
    <w:rsid w:val="005C2684"/>
    <w:rsid w:val="005C2A19"/>
    <w:rsid w:val="005C2D50"/>
    <w:rsid w:val="005C2DDC"/>
    <w:rsid w:val="005C47F1"/>
    <w:rsid w:val="005C49FB"/>
    <w:rsid w:val="005C51FC"/>
    <w:rsid w:val="005C551E"/>
    <w:rsid w:val="005C5620"/>
    <w:rsid w:val="005C578C"/>
    <w:rsid w:val="005C661F"/>
    <w:rsid w:val="005C6A40"/>
    <w:rsid w:val="005C6A99"/>
    <w:rsid w:val="005C6BFD"/>
    <w:rsid w:val="005C6DB6"/>
    <w:rsid w:val="005D011C"/>
    <w:rsid w:val="005D1F0F"/>
    <w:rsid w:val="005D29DB"/>
    <w:rsid w:val="005D2DDE"/>
    <w:rsid w:val="005D31CE"/>
    <w:rsid w:val="005D41F9"/>
    <w:rsid w:val="005D59C2"/>
    <w:rsid w:val="005D5BB2"/>
    <w:rsid w:val="005D7D71"/>
    <w:rsid w:val="005E1891"/>
    <w:rsid w:val="005E2188"/>
    <w:rsid w:val="005E347D"/>
    <w:rsid w:val="005E4143"/>
    <w:rsid w:val="005E4DEC"/>
    <w:rsid w:val="005E5288"/>
    <w:rsid w:val="005E6E7D"/>
    <w:rsid w:val="005E724B"/>
    <w:rsid w:val="005F16A2"/>
    <w:rsid w:val="005F39E7"/>
    <w:rsid w:val="005F6389"/>
    <w:rsid w:val="005F6842"/>
    <w:rsid w:val="005F76AA"/>
    <w:rsid w:val="006000E9"/>
    <w:rsid w:val="006009EE"/>
    <w:rsid w:val="00600B61"/>
    <w:rsid w:val="00601400"/>
    <w:rsid w:val="00601508"/>
    <w:rsid w:val="006016DF"/>
    <w:rsid w:val="00601C28"/>
    <w:rsid w:val="00601F7C"/>
    <w:rsid w:val="006024E4"/>
    <w:rsid w:val="00602954"/>
    <w:rsid w:val="00602A48"/>
    <w:rsid w:val="00602EF7"/>
    <w:rsid w:val="006032F2"/>
    <w:rsid w:val="00603878"/>
    <w:rsid w:val="006043CD"/>
    <w:rsid w:val="00605393"/>
    <w:rsid w:val="00605B1E"/>
    <w:rsid w:val="00605FC1"/>
    <w:rsid w:val="006061B3"/>
    <w:rsid w:val="00606E59"/>
    <w:rsid w:val="00606F11"/>
    <w:rsid w:val="0060767D"/>
    <w:rsid w:val="0060797E"/>
    <w:rsid w:val="00607B03"/>
    <w:rsid w:val="0061008F"/>
    <w:rsid w:val="0061059D"/>
    <w:rsid w:val="00610876"/>
    <w:rsid w:val="00610D3D"/>
    <w:rsid w:val="00611243"/>
    <w:rsid w:val="00611CD7"/>
    <w:rsid w:val="0061272C"/>
    <w:rsid w:val="00612F77"/>
    <w:rsid w:val="0061326F"/>
    <w:rsid w:val="00613E82"/>
    <w:rsid w:val="00613F57"/>
    <w:rsid w:val="006140EA"/>
    <w:rsid w:val="00614393"/>
    <w:rsid w:val="006146F2"/>
    <w:rsid w:val="006149D6"/>
    <w:rsid w:val="00614C00"/>
    <w:rsid w:val="006150D0"/>
    <w:rsid w:val="006151CC"/>
    <w:rsid w:val="00615D4F"/>
    <w:rsid w:val="00615E16"/>
    <w:rsid w:val="006175D9"/>
    <w:rsid w:val="00617C14"/>
    <w:rsid w:val="00620061"/>
    <w:rsid w:val="00623567"/>
    <w:rsid w:val="00624253"/>
    <w:rsid w:val="00624B58"/>
    <w:rsid w:val="00624D23"/>
    <w:rsid w:val="006264E9"/>
    <w:rsid w:val="0062718C"/>
    <w:rsid w:val="0062761C"/>
    <w:rsid w:val="006276BB"/>
    <w:rsid w:val="006279C0"/>
    <w:rsid w:val="0063053C"/>
    <w:rsid w:val="00631332"/>
    <w:rsid w:val="006319C4"/>
    <w:rsid w:val="00633EE5"/>
    <w:rsid w:val="00634085"/>
    <w:rsid w:val="006346CE"/>
    <w:rsid w:val="0063514A"/>
    <w:rsid w:val="00636DF7"/>
    <w:rsid w:val="006376A4"/>
    <w:rsid w:val="00640344"/>
    <w:rsid w:val="0064052C"/>
    <w:rsid w:val="006412B5"/>
    <w:rsid w:val="00641932"/>
    <w:rsid w:val="00641A77"/>
    <w:rsid w:val="00642D75"/>
    <w:rsid w:val="00643D1F"/>
    <w:rsid w:val="00644083"/>
    <w:rsid w:val="0064429B"/>
    <w:rsid w:val="0064477C"/>
    <w:rsid w:val="00644CAB"/>
    <w:rsid w:val="0064584D"/>
    <w:rsid w:val="00645CFF"/>
    <w:rsid w:val="0065029E"/>
    <w:rsid w:val="00650903"/>
    <w:rsid w:val="006509B3"/>
    <w:rsid w:val="00650F71"/>
    <w:rsid w:val="006512A0"/>
    <w:rsid w:val="00651C24"/>
    <w:rsid w:val="00652633"/>
    <w:rsid w:val="00652EC1"/>
    <w:rsid w:val="00653981"/>
    <w:rsid w:val="0065684D"/>
    <w:rsid w:val="006569FA"/>
    <w:rsid w:val="00660C40"/>
    <w:rsid w:val="0066197E"/>
    <w:rsid w:val="00661D6D"/>
    <w:rsid w:val="00662A0D"/>
    <w:rsid w:val="00664696"/>
    <w:rsid w:val="006650A8"/>
    <w:rsid w:val="006651FC"/>
    <w:rsid w:val="006659D9"/>
    <w:rsid w:val="006666D9"/>
    <w:rsid w:val="006679C0"/>
    <w:rsid w:val="00667A38"/>
    <w:rsid w:val="00671797"/>
    <w:rsid w:val="00671F47"/>
    <w:rsid w:val="006720B6"/>
    <w:rsid w:val="00672262"/>
    <w:rsid w:val="00672704"/>
    <w:rsid w:val="00673202"/>
    <w:rsid w:val="006747F5"/>
    <w:rsid w:val="00674D41"/>
    <w:rsid w:val="006757A9"/>
    <w:rsid w:val="00675D8A"/>
    <w:rsid w:val="006767C2"/>
    <w:rsid w:val="0067686B"/>
    <w:rsid w:val="00677469"/>
    <w:rsid w:val="0067799B"/>
    <w:rsid w:val="00680ED5"/>
    <w:rsid w:val="00681956"/>
    <w:rsid w:val="00681BB3"/>
    <w:rsid w:val="006825BB"/>
    <w:rsid w:val="00682FBA"/>
    <w:rsid w:val="00683370"/>
    <w:rsid w:val="00684EC1"/>
    <w:rsid w:val="00686CD6"/>
    <w:rsid w:val="006876F7"/>
    <w:rsid w:val="006903F9"/>
    <w:rsid w:val="00690743"/>
    <w:rsid w:val="006923C8"/>
    <w:rsid w:val="006928A8"/>
    <w:rsid w:val="006949E4"/>
    <w:rsid w:val="00696AB4"/>
    <w:rsid w:val="00696B62"/>
    <w:rsid w:val="00697494"/>
    <w:rsid w:val="006976BF"/>
    <w:rsid w:val="006A0242"/>
    <w:rsid w:val="006A05D7"/>
    <w:rsid w:val="006A1719"/>
    <w:rsid w:val="006A1AB5"/>
    <w:rsid w:val="006A27DB"/>
    <w:rsid w:val="006A4628"/>
    <w:rsid w:val="006A4710"/>
    <w:rsid w:val="006A48DC"/>
    <w:rsid w:val="006A4EB0"/>
    <w:rsid w:val="006A523F"/>
    <w:rsid w:val="006A7E8D"/>
    <w:rsid w:val="006B0F32"/>
    <w:rsid w:val="006B11C6"/>
    <w:rsid w:val="006B22A0"/>
    <w:rsid w:val="006B2EB5"/>
    <w:rsid w:val="006B3F39"/>
    <w:rsid w:val="006B3FAB"/>
    <w:rsid w:val="006B41AC"/>
    <w:rsid w:val="006B4213"/>
    <w:rsid w:val="006B43AF"/>
    <w:rsid w:val="006B4DF0"/>
    <w:rsid w:val="006B71CC"/>
    <w:rsid w:val="006C056C"/>
    <w:rsid w:val="006C0B2E"/>
    <w:rsid w:val="006C1013"/>
    <w:rsid w:val="006C163A"/>
    <w:rsid w:val="006C1BCF"/>
    <w:rsid w:val="006C228B"/>
    <w:rsid w:val="006C2931"/>
    <w:rsid w:val="006C4818"/>
    <w:rsid w:val="006C6F9E"/>
    <w:rsid w:val="006D11F2"/>
    <w:rsid w:val="006D1838"/>
    <w:rsid w:val="006D2002"/>
    <w:rsid w:val="006D2D0A"/>
    <w:rsid w:val="006D33F8"/>
    <w:rsid w:val="006D466E"/>
    <w:rsid w:val="006D4720"/>
    <w:rsid w:val="006D4A3C"/>
    <w:rsid w:val="006D4B70"/>
    <w:rsid w:val="006D4C35"/>
    <w:rsid w:val="006D53FE"/>
    <w:rsid w:val="006D6148"/>
    <w:rsid w:val="006D67FB"/>
    <w:rsid w:val="006D7A92"/>
    <w:rsid w:val="006D7FE4"/>
    <w:rsid w:val="006E1D8C"/>
    <w:rsid w:val="006E2374"/>
    <w:rsid w:val="006E2E24"/>
    <w:rsid w:val="006E3007"/>
    <w:rsid w:val="006E3B48"/>
    <w:rsid w:val="006E6184"/>
    <w:rsid w:val="006E631B"/>
    <w:rsid w:val="006E6612"/>
    <w:rsid w:val="006E727E"/>
    <w:rsid w:val="006F01E3"/>
    <w:rsid w:val="006F096A"/>
    <w:rsid w:val="006F09CB"/>
    <w:rsid w:val="006F1EC7"/>
    <w:rsid w:val="006F22E3"/>
    <w:rsid w:val="006F2317"/>
    <w:rsid w:val="006F2F39"/>
    <w:rsid w:val="006F3095"/>
    <w:rsid w:val="006F36A1"/>
    <w:rsid w:val="006F3AA9"/>
    <w:rsid w:val="006F3BBB"/>
    <w:rsid w:val="006F3DBE"/>
    <w:rsid w:val="006F47E8"/>
    <w:rsid w:val="006F5455"/>
    <w:rsid w:val="006F5CB6"/>
    <w:rsid w:val="006F7607"/>
    <w:rsid w:val="006F79D3"/>
    <w:rsid w:val="00700192"/>
    <w:rsid w:val="00701449"/>
    <w:rsid w:val="00703194"/>
    <w:rsid w:val="00703B3D"/>
    <w:rsid w:val="00703F1A"/>
    <w:rsid w:val="00704AEA"/>
    <w:rsid w:val="00704BB2"/>
    <w:rsid w:val="007065FC"/>
    <w:rsid w:val="00706E50"/>
    <w:rsid w:val="0070737C"/>
    <w:rsid w:val="00707EC5"/>
    <w:rsid w:val="007104DD"/>
    <w:rsid w:val="00711229"/>
    <w:rsid w:val="00711E7F"/>
    <w:rsid w:val="00713775"/>
    <w:rsid w:val="007145BC"/>
    <w:rsid w:val="00715018"/>
    <w:rsid w:val="0071591C"/>
    <w:rsid w:val="0071715E"/>
    <w:rsid w:val="007179FE"/>
    <w:rsid w:val="00717E21"/>
    <w:rsid w:val="00717ECD"/>
    <w:rsid w:val="00717F25"/>
    <w:rsid w:val="007201B1"/>
    <w:rsid w:val="007201D7"/>
    <w:rsid w:val="00720376"/>
    <w:rsid w:val="00723909"/>
    <w:rsid w:val="00723E71"/>
    <w:rsid w:val="00723E7F"/>
    <w:rsid w:val="00724E14"/>
    <w:rsid w:val="00725AD5"/>
    <w:rsid w:val="00726DB5"/>
    <w:rsid w:val="00726EB4"/>
    <w:rsid w:val="00731945"/>
    <w:rsid w:val="00731F86"/>
    <w:rsid w:val="00732151"/>
    <w:rsid w:val="0073240F"/>
    <w:rsid w:val="00732BA9"/>
    <w:rsid w:val="00732E49"/>
    <w:rsid w:val="007348F1"/>
    <w:rsid w:val="00735046"/>
    <w:rsid w:val="00735D5A"/>
    <w:rsid w:val="007363DE"/>
    <w:rsid w:val="00736538"/>
    <w:rsid w:val="0073697B"/>
    <w:rsid w:val="0073698D"/>
    <w:rsid w:val="00736AF5"/>
    <w:rsid w:val="00736C0B"/>
    <w:rsid w:val="00741DD2"/>
    <w:rsid w:val="007423C4"/>
    <w:rsid w:val="007430F1"/>
    <w:rsid w:val="00743B9A"/>
    <w:rsid w:val="00744503"/>
    <w:rsid w:val="0074457D"/>
    <w:rsid w:val="007449FD"/>
    <w:rsid w:val="00744D93"/>
    <w:rsid w:val="00744E3A"/>
    <w:rsid w:val="00746531"/>
    <w:rsid w:val="007476B0"/>
    <w:rsid w:val="0075041B"/>
    <w:rsid w:val="007504FD"/>
    <w:rsid w:val="00750F59"/>
    <w:rsid w:val="007511AD"/>
    <w:rsid w:val="00751725"/>
    <w:rsid w:val="00752028"/>
    <w:rsid w:val="0075450A"/>
    <w:rsid w:val="0075717D"/>
    <w:rsid w:val="0076017E"/>
    <w:rsid w:val="007602C9"/>
    <w:rsid w:val="00760623"/>
    <w:rsid w:val="00760CF8"/>
    <w:rsid w:val="00760DB6"/>
    <w:rsid w:val="00761322"/>
    <w:rsid w:val="00761EF8"/>
    <w:rsid w:val="0076279E"/>
    <w:rsid w:val="0076320E"/>
    <w:rsid w:val="0076361C"/>
    <w:rsid w:val="00764145"/>
    <w:rsid w:val="007644B2"/>
    <w:rsid w:val="00764665"/>
    <w:rsid w:val="007657E2"/>
    <w:rsid w:val="007661AE"/>
    <w:rsid w:val="00766A51"/>
    <w:rsid w:val="00767A62"/>
    <w:rsid w:val="00770172"/>
    <w:rsid w:val="00770916"/>
    <w:rsid w:val="00770E0D"/>
    <w:rsid w:val="00771FFF"/>
    <w:rsid w:val="007722B9"/>
    <w:rsid w:val="00772818"/>
    <w:rsid w:val="0077284C"/>
    <w:rsid w:val="007728BC"/>
    <w:rsid w:val="00773871"/>
    <w:rsid w:val="00775C76"/>
    <w:rsid w:val="00776088"/>
    <w:rsid w:val="0077685D"/>
    <w:rsid w:val="00776936"/>
    <w:rsid w:val="0077716D"/>
    <w:rsid w:val="00777869"/>
    <w:rsid w:val="0077788E"/>
    <w:rsid w:val="007778C5"/>
    <w:rsid w:val="00777AB7"/>
    <w:rsid w:val="007813A4"/>
    <w:rsid w:val="00781DAF"/>
    <w:rsid w:val="00782F3A"/>
    <w:rsid w:val="00784439"/>
    <w:rsid w:val="0078538E"/>
    <w:rsid w:val="00785FD3"/>
    <w:rsid w:val="007873CF"/>
    <w:rsid w:val="00787E75"/>
    <w:rsid w:val="00790504"/>
    <w:rsid w:val="00790C8A"/>
    <w:rsid w:val="00790E3F"/>
    <w:rsid w:val="00791228"/>
    <w:rsid w:val="007927A6"/>
    <w:rsid w:val="007927B9"/>
    <w:rsid w:val="00793E6B"/>
    <w:rsid w:val="007940E7"/>
    <w:rsid w:val="00796223"/>
    <w:rsid w:val="00796C8F"/>
    <w:rsid w:val="00797257"/>
    <w:rsid w:val="00797474"/>
    <w:rsid w:val="007979DD"/>
    <w:rsid w:val="007A0005"/>
    <w:rsid w:val="007A12E5"/>
    <w:rsid w:val="007A225F"/>
    <w:rsid w:val="007A27ED"/>
    <w:rsid w:val="007A2844"/>
    <w:rsid w:val="007A2D04"/>
    <w:rsid w:val="007A3157"/>
    <w:rsid w:val="007A3E22"/>
    <w:rsid w:val="007A4274"/>
    <w:rsid w:val="007A5BA9"/>
    <w:rsid w:val="007A67D4"/>
    <w:rsid w:val="007A6E20"/>
    <w:rsid w:val="007A7909"/>
    <w:rsid w:val="007B073F"/>
    <w:rsid w:val="007B0825"/>
    <w:rsid w:val="007B0AE5"/>
    <w:rsid w:val="007B10ED"/>
    <w:rsid w:val="007B1661"/>
    <w:rsid w:val="007B1EE4"/>
    <w:rsid w:val="007B2B2E"/>
    <w:rsid w:val="007B2BB8"/>
    <w:rsid w:val="007B3B91"/>
    <w:rsid w:val="007B3BFC"/>
    <w:rsid w:val="007B476F"/>
    <w:rsid w:val="007B4B03"/>
    <w:rsid w:val="007B5C46"/>
    <w:rsid w:val="007B66E1"/>
    <w:rsid w:val="007B6C44"/>
    <w:rsid w:val="007B7857"/>
    <w:rsid w:val="007B78EA"/>
    <w:rsid w:val="007C0215"/>
    <w:rsid w:val="007C266A"/>
    <w:rsid w:val="007C27EE"/>
    <w:rsid w:val="007C2B11"/>
    <w:rsid w:val="007C367E"/>
    <w:rsid w:val="007C3AD8"/>
    <w:rsid w:val="007C40C8"/>
    <w:rsid w:val="007C4F31"/>
    <w:rsid w:val="007C4F95"/>
    <w:rsid w:val="007D3D99"/>
    <w:rsid w:val="007D47A2"/>
    <w:rsid w:val="007D4805"/>
    <w:rsid w:val="007E265B"/>
    <w:rsid w:val="007E27CD"/>
    <w:rsid w:val="007E2D2B"/>
    <w:rsid w:val="007E341B"/>
    <w:rsid w:val="007E429F"/>
    <w:rsid w:val="007E42F3"/>
    <w:rsid w:val="007E4F66"/>
    <w:rsid w:val="007E5257"/>
    <w:rsid w:val="007E5391"/>
    <w:rsid w:val="007E67DD"/>
    <w:rsid w:val="007E6EF3"/>
    <w:rsid w:val="007E7BD5"/>
    <w:rsid w:val="007F0212"/>
    <w:rsid w:val="007F0B9E"/>
    <w:rsid w:val="007F1606"/>
    <w:rsid w:val="007F181B"/>
    <w:rsid w:val="007F371E"/>
    <w:rsid w:val="007F3C65"/>
    <w:rsid w:val="007F4EF5"/>
    <w:rsid w:val="007F62BE"/>
    <w:rsid w:val="007F6C21"/>
    <w:rsid w:val="007F76B3"/>
    <w:rsid w:val="007F7FC8"/>
    <w:rsid w:val="00804105"/>
    <w:rsid w:val="00804845"/>
    <w:rsid w:val="00804974"/>
    <w:rsid w:val="008057C0"/>
    <w:rsid w:val="00806D30"/>
    <w:rsid w:val="00806D94"/>
    <w:rsid w:val="00807AD8"/>
    <w:rsid w:val="00810506"/>
    <w:rsid w:val="00810FC1"/>
    <w:rsid w:val="0081160A"/>
    <w:rsid w:val="008116F8"/>
    <w:rsid w:val="00811800"/>
    <w:rsid w:val="00812448"/>
    <w:rsid w:val="0081253F"/>
    <w:rsid w:val="00812E1C"/>
    <w:rsid w:val="00813CFF"/>
    <w:rsid w:val="008140C5"/>
    <w:rsid w:val="00814324"/>
    <w:rsid w:val="00814590"/>
    <w:rsid w:val="00814667"/>
    <w:rsid w:val="008148E2"/>
    <w:rsid w:val="008149E4"/>
    <w:rsid w:val="00814FD1"/>
    <w:rsid w:val="008156B7"/>
    <w:rsid w:val="008168BC"/>
    <w:rsid w:val="0081724B"/>
    <w:rsid w:val="00817C1B"/>
    <w:rsid w:val="00817D90"/>
    <w:rsid w:val="00820695"/>
    <w:rsid w:val="00821482"/>
    <w:rsid w:val="00822355"/>
    <w:rsid w:val="008232A3"/>
    <w:rsid w:val="0082332D"/>
    <w:rsid w:val="008239BA"/>
    <w:rsid w:val="00823A16"/>
    <w:rsid w:val="0082402C"/>
    <w:rsid w:val="00824240"/>
    <w:rsid w:val="00824363"/>
    <w:rsid w:val="008244D9"/>
    <w:rsid w:val="00825233"/>
    <w:rsid w:val="0082559B"/>
    <w:rsid w:val="008258AF"/>
    <w:rsid w:val="00825FF5"/>
    <w:rsid w:val="00826134"/>
    <w:rsid w:val="008262F1"/>
    <w:rsid w:val="00826C9C"/>
    <w:rsid w:val="00830009"/>
    <w:rsid w:val="0083042C"/>
    <w:rsid w:val="008311FA"/>
    <w:rsid w:val="008317EF"/>
    <w:rsid w:val="00832C8E"/>
    <w:rsid w:val="00833162"/>
    <w:rsid w:val="00833B8A"/>
    <w:rsid w:val="00834101"/>
    <w:rsid w:val="008353A1"/>
    <w:rsid w:val="008355EA"/>
    <w:rsid w:val="00836160"/>
    <w:rsid w:val="00836CA9"/>
    <w:rsid w:val="00837517"/>
    <w:rsid w:val="00837AB8"/>
    <w:rsid w:val="00837E32"/>
    <w:rsid w:val="0084149A"/>
    <w:rsid w:val="00842029"/>
    <w:rsid w:val="008433CB"/>
    <w:rsid w:val="0084398C"/>
    <w:rsid w:val="00843F28"/>
    <w:rsid w:val="00844B4E"/>
    <w:rsid w:val="00844CDC"/>
    <w:rsid w:val="008453F2"/>
    <w:rsid w:val="00845BCC"/>
    <w:rsid w:val="0084709E"/>
    <w:rsid w:val="00851465"/>
    <w:rsid w:val="008514B8"/>
    <w:rsid w:val="00851FBD"/>
    <w:rsid w:val="00852A1F"/>
    <w:rsid w:val="00852B6B"/>
    <w:rsid w:val="00852ED8"/>
    <w:rsid w:val="0085330A"/>
    <w:rsid w:val="008538EA"/>
    <w:rsid w:val="008550CA"/>
    <w:rsid w:val="0085533A"/>
    <w:rsid w:val="00855543"/>
    <w:rsid w:val="00855E85"/>
    <w:rsid w:val="008563A4"/>
    <w:rsid w:val="00856B30"/>
    <w:rsid w:val="00857119"/>
    <w:rsid w:val="0085738D"/>
    <w:rsid w:val="008577F7"/>
    <w:rsid w:val="00860D36"/>
    <w:rsid w:val="00861241"/>
    <w:rsid w:val="00861EB5"/>
    <w:rsid w:val="00862395"/>
    <w:rsid w:val="0086380E"/>
    <w:rsid w:val="00864446"/>
    <w:rsid w:val="008647D8"/>
    <w:rsid w:val="00864DD3"/>
    <w:rsid w:val="008668B3"/>
    <w:rsid w:val="00867FFC"/>
    <w:rsid w:val="008707EF"/>
    <w:rsid w:val="008708D6"/>
    <w:rsid w:val="00871B05"/>
    <w:rsid w:val="00872F47"/>
    <w:rsid w:val="00873388"/>
    <w:rsid w:val="00873390"/>
    <w:rsid w:val="008733DD"/>
    <w:rsid w:val="00874608"/>
    <w:rsid w:val="008749C9"/>
    <w:rsid w:val="00876090"/>
    <w:rsid w:val="008760D0"/>
    <w:rsid w:val="00877A40"/>
    <w:rsid w:val="00877BD2"/>
    <w:rsid w:val="00880CDD"/>
    <w:rsid w:val="00880D38"/>
    <w:rsid w:val="00881308"/>
    <w:rsid w:val="00881317"/>
    <w:rsid w:val="0088223F"/>
    <w:rsid w:val="00882246"/>
    <w:rsid w:val="008830D0"/>
    <w:rsid w:val="00883AFB"/>
    <w:rsid w:val="00884046"/>
    <w:rsid w:val="008843EE"/>
    <w:rsid w:val="00891071"/>
    <w:rsid w:val="00891223"/>
    <w:rsid w:val="0089153F"/>
    <w:rsid w:val="00892750"/>
    <w:rsid w:val="00892CA4"/>
    <w:rsid w:val="008938B9"/>
    <w:rsid w:val="00894FD0"/>
    <w:rsid w:val="00895CF6"/>
    <w:rsid w:val="00895F1E"/>
    <w:rsid w:val="00895FF0"/>
    <w:rsid w:val="00896477"/>
    <w:rsid w:val="00896B26"/>
    <w:rsid w:val="00896BD6"/>
    <w:rsid w:val="00896F5A"/>
    <w:rsid w:val="008974F8"/>
    <w:rsid w:val="008A0A69"/>
    <w:rsid w:val="008A0C17"/>
    <w:rsid w:val="008A1255"/>
    <w:rsid w:val="008A1333"/>
    <w:rsid w:val="008A3C37"/>
    <w:rsid w:val="008A50EF"/>
    <w:rsid w:val="008A76DA"/>
    <w:rsid w:val="008A7BEE"/>
    <w:rsid w:val="008B0845"/>
    <w:rsid w:val="008B0FDD"/>
    <w:rsid w:val="008B1840"/>
    <w:rsid w:val="008B2134"/>
    <w:rsid w:val="008B3444"/>
    <w:rsid w:val="008B536B"/>
    <w:rsid w:val="008B5EF7"/>
    <w:rsid w:val="008B70D3"/>
    <w:rsid w:val="008B73A2"/>
    <w:rsid w:val="008B7FE2"/>
    <w:rsid w:val="008C0B50"/>
    <w:rsid w:val="008C0BBA"/>
    <w:rsid w:val="008C11B8"/>
    <w:rsid w:val="008C1215"/>
    <w:rsid w:val="008C1DF9"/>
    <w:rsid w:val="008C2450"/>
    <w:rsid w:val="008C24AD"/>
    <w:rsid w:val="008C25B0"/>
    <w:rsid w:val="008C2854"/>
    <w:rsid w:val="008C2A06"/>
    <w:rsid w:val="008C3420"/>
    <w:rsid w:val="008C3D54"/>
    <w:rsid w:val="008C4254"/>
    <w:rsid w:val="008C4752"/>
    <w:rsid w:val="008C5AA3"/>
    <w:rsid w:val="008C6942"/>
    <w:rsid w:val="008C760F"/>
    <w:rsid w:val="008C7817"/>
    <w:rsid w:val="008C7F5B"/>
    <w:rsid w:val="008D079A"/>
    <w:rsid w:val="008D0BFF"/>
    <w:rsid w:val="008D13AE"/>
    <w:rsid w:val="008D1639"/>
    <w:rsid w:val="008D2F40"/>
    <w:rsid w:val="008D41C9"/>
    <w:rsid w:val="008D4487"/>
    <w:rsid w:val="008D4612"/>
    <w:rsid w:val="008D4BB5"/>
    <w:rsid w:val="008D4CD2"/>
    <w:rsid w:val="008D4F1F"/>
    <w:rsid w:val="008D5B52"/>
    <w:rsid w:val="008D5FF2"/>
    <w:rsid w:val="008D6036"/>
    <w:rsid w:val="008E00B3"/>
    <w:rsid w:val="008E0AD6"/>
    <w:rsid w:val="008E0E46"/>
    <w:rsid w:val="008E0FD6"/>
    <w:rsid w:val="008E15E6"/>
    <w:rsid w:val="008E1D63"/>
    <w:rsid w:val="008E24CB"/>
    <w:rsid w:val="008E36D1"/>
    <w:rsid w:val="008E3EE0"/>
    <w:rsid w:val="008E40B4"/>
    <w:rsid w:val="008E4209"/>
    <w:rsid w:val="008E427A"/>
    <w:rsid w:val="008E48FC"/>
    <w:rsid w:val="008E55BD"/>
    <w:rsid w:val="008E6343"/>
    <w:rsid w:val="008E7527"/>
    <w:rsid w:val="008E7A00"/>
    <w:rsid w:val="008F0C4F"/>
    <w:rsid w:val="008F0FA1"/>
    <w:rsid w:val="008F1DFB"/>
    <w:rsid w:val="008F2AD6"/>
    <w:rsid w:val="008F2CFC"/>
    <w:rsid w:val="008F44F1"/>
    <w:rsid w:val="008F4BA8"/>
    <w:rsid w:val="008F4E27"/>
    <w:rsid w:val="008F568E"/>
    <w:rsid w:val="008F5739"/>
    <w:rsid w:val="008F5C07"/>
    <w:rsid w:val="008F667F"/>
    <w:rsid w:val="008F696D"/>
    <w:rsid w:val="008F6D0A"/>
    <w:rsid w:val="008F7777"/>
    <w:rsid w:val="008F7B44"/>
    <w:rsid w:val="008F7B9C"/>
    <w:rsid w:val="0090107A"/>
    <w:rsid w:val="00901179"/>
    <w:rsid w:val="0090119C"/>
    <w:rsid w:val="00901CF5"/>
    <w:rsid w:val="00901F53"/>
    <w:rsid w:val="00903A3C"/>
    <w:rsid w:val="009040A0"/>
    <w:rsid w:val="00904AB8"/>
    <w:rsid w:val="00906431"/>
    <w:rsid w:val="00906D64"/>
    <w:rsid w:val="00907219"/>
    <w:rsid w:val="0091070B"/>
    <w:rsid w:val="00910D08"/>
    <w:rsid w:val="00910E88"/>
    <w:rsid w:val="009115AF"/>
    <w:rsid w:val="00911BCD"/>
    <w:rsid w:val="00912653"/>
    <w:rsid w:val="00913276"/>
    <w:rsid w:val="0091389C"/>
    <w:rsid w:val="00913E75"/>
    <w:rsid w:val="00914D5F"/>
    <w:rsid w:val="00915D5F"/>
    <w:rsid w:val="00916017"/>
    <w:rsid w:val="00916ACF"/>
    <w:rsid w:val="00917490"/>
    <w:rsid w:val="00917741"/>
    <w:rsid w:val="009219BC"/>
    <w:rsid w:val="009221DF"/>
    <w:rsid w:val="009224FD"/>
    <w:rsid w:val="00923C9F"/>
    <w:rsid w:val="009301B4"/>
    <w:rsid w:val="00931C77"/>
    <w:rsid w:val="0093296C"/>
    <w:rsid w:val="00933265"/>
    <w:rsid w:val="00935C6C"/>
    <w:rsid w:val="00935CC7"/>
    <w:rsid w:val="00937D3A"/>
    <w:rsid w:val="0094002F"/>
    <w:rsid w:val="00940BDA"/>
    <w:rsid w:val="0094129D"/>
    <w:rsid w:val="00941BB7"/>
    <w:rsid w:val="00944760"/>
    <w:rsid w:val="0094494A"/>
    <w:rsid w:val="0094584E"/>
    <w:rsid w:val="00946A91"/>
    <w:rsid w:val="00946AE5"/>
    <w:rsid w:val="00947020"/>
    <w:rsid w:val="00950865"/>
    <w:rsid w:val="00950FC0"/>
    <w:rsid w:val="0095158B"/>
    <w:rsid w:val="00951BAD"/>
    <w:rsid w:val="0095223D"/>
    <w:rsid w:val="009526E4"/>
    <w:rsid w:val="00952D06"/>
    <w:rsid w:val="00952FD2"/>
    <w:rsid w:val="009539C2"/>
    <w:rsid w:val="00953AA1"/>
    <w:rsid w:val="00954B44"/>
    <w:rsid w:val="00954CAF"/>
    <w:rsid w:val="00956052"/>
    <w:rsid w:val="00956E20"/>
    <w:rsid w:val="0095702F"/>
    <w:rsid w:val="009602BB"/>
    <w:rsid w:val="009602FF"/>
    <w:rsid w:val="0096277D"/>
    <w:rsid w:val="00962816"/>
    <w:rsid w:val="0096292D"/>
    <w:rsid w:val="009640E0"/>
    <w:rsid w:val="00964340"/>
    <w:rsid w:val="009644B8"/>
    <w:rsid w:val="00965C98"/>
    <w:rsid w:val="00966E72"/>
    <w:rsid w:val="0096732C"/>
    <w:rsid w:val="00967F84"/>
    <w:rsid w:val="009703B6"/>
    <w:rsid w:val="00971A4C"/>
    <w:rsid w:val="00972178"/>
    <w:rsid w:val="0097298E"/>
    <w:rsid w:val="0097318A"/>
    <w:rsid w:val="00975EB5"/>
    <w:rsid w:val="00976AC6"/>
    <w:rsid w:val="009770F4"/>
    <w:rsid w:val="00977BE7"/>
    <w:rsid w:val="00981E67"/>
    <w:rsid w:val="009833A9"/>
    <w:rsid w:val="00983979"/>
    <w:rsid w:val="00983D49"/>
    <w:rsid w:val="00983DC2"/>
    <w:rsid w:val="00983DF0"/>
    <w:rsid w:val="009865D0"/>
    <w:rsid w:val="0098669A"/>
    <w:rsid w:val="0098670E"/>
    <w:rsid w:val="00986C4E"/>
    <w:rsid w:val="00987821"/>
    <w:rsid w:val="00991E93"/>
    <w:rsid w:val="00991EA2"/>
    <w:rsid w:val="00992614"/>
    <w:rsid w:val="00994192"/>
    <w:rsid w:val="009941D1"/>
    <w:rsid w:val="00994D27"/>
    <w:rsid w:val="00996BC1"/>
    <w:rsid w:val="0099742A"/>
    <w:rsid w:val="00997B44"/>
    <w:rsid w:val="009A0446"/>
    <w:rsid w:val="009A062C"/>
    <w:rsid w:val="009A1816"/>
    <w:rsid w:val="009A1877"/>
    <w:rsid w:val="009A4798"/>
    <w:rsid w:val="009A48AF"/>
    <w:rsid w:val="009A4F36"/>
    <w:rsid w:val="009A522D"/>
    <w:rsid w:val="009B0C68"/>
    <w:rsid w:val="009B14BA"/>
    <w:rsid w:val="009B1556"/>
    <w:rsid w:val="009B16A3"/>
    <w:rsid w:val="009B289A"/>
    <w:rsid w:val="009B28BC"/>
    <w:rsid w:val="009B3F77"/>
    <w:rsid w:val="009B46D4"/>
    <w:rsid w:val="009B5132"/>
    <w:rsid w:val="009B6A0D"/>
    <w:rsid w:val="009B75CD"/>
    <w:rsid w:val="009B7B8B"/>
    <w:rsid w:val="009C05B5"/>
    <w:rsid w:val="009C0B9B"/>
    <w:rsid w:val="009C162A"/>
    <w:rsid w:val="009C166A"/>
    <w:rsid w:val="009C2059"/>
    <w:rsid w:val="009C27A6"/>
    <w:rsid w:val="009C287C"/>
    <w:rsid w:val="009C48BA"/>
    <w:rsid w:val="009C5CC8"/>
    <w:rsid w:val="009C6FFB"/>
    <w:rsid w:val="009C777C"/>
    <w:rsid w:val="009C7EF5"/>
    <w:rsid w:val="009D0C93"/>
    <w:rsid w:val="009D2073"/>
    <w:rsid w:val="009D2FAC"/>
    <w:rsid w:val="009D3379"/>
    <w:rsid w:val="009D34E0"/>
    <w:rsid w:val="009D3628"/>
    <w:rsid w:val="009D46DE"/>
    <w:rsid w:val="009D48DB"/>
    <w:rsid w:val="009D54A0"/>
    <w:rsid w:val="009D5832"/>
    <w:rsid w:val="009D5FCB"/>
    <w:rsid w:val="009D6AF2"/>
    <w:rsid w:val="009E093C"/>
    <w:rsid w:val="009E0B1B"/>
    <w:rsid w:val="009E1311"/>
    <w:rsid w:val="009E151E"/>
    <w:rsid w:val="009E1581"/>
    <w:rsid w:val="009E22CB"/>
    <w:rsid w:val="009E29D7"/>
    <w:rsid w:val="009E3ACF"/>
    <w:rsid w:val="009E407D"/>
    <w:rsid w:val="009E45E6"/>
    <w:rsid w:val="009E4899"/>
    <w:rsid w:val="009E5CB2"/>
    <w:rsid w:val="009E5DB6"/>
    <w:rsid w:val="009E5F68"/>
    <w:rsid w:val="009E6954"/>
    <w:rsid w:val="009E78AD"/>
    <w:rsid w:val="009E7A14"/>
    <w:rsid w:val="009F0EBC"/>
    <w:rsid w:val="009F0F2C"/>
    <w:rsid w:val="009F10AA"/>
    <w:rsid w:val="009F51D6"/>
    <w:rsid w:val="009F5748"/>
    <w:rsid w:val="009F590F"/>
    <w:rsid w:val="009F6441"/>
    <w:rsid w:val="009F6D6E"/>
    <w:rsid w:val="009F6E4F"/>
    <w:rsid w:val="009F777E"/>
    <w:rsid w:val="009F7F52"/>
    <w:rsid w:val="00A0059D"/>
    <w:rsid w:val="00A0202C"/>
    <w:rsid w:val="00A0227E"/>
    <w:rsid w:val="00A044F5"/>
    <w:rsid w:val="00A045A2"/>
    <w:rsid w:val="00A04E80"/>
    <w:rsid w:val="00A04F3D"/>
    <w:rsid w:val="00A05A68"/>
    <w:rsid w:val="00A05C1E"/>
    <w:rsid w:val="00A0603F"/>
    <w:rsid w:val="00A068CA"/>
    <w:rsid w:val="00A06E18"/>
    <w:rsid w:val="00A078C2"/>
    <w:rsid w:val="00A101E1"/>
    <w:rsid w:val="00A11181"/>
    <w:rsid w:val="00A112E6"/>
    <w:rsid w:val="00A12403"/>
    <w:rsid w:val="00A1356F"/>
    <w:rsid w:val="00A13584"/>
    <w:rsid w:val="00A137C5"/>
    <w:rsid w:val="00A13BBC"/>
    <w:rsid w:val="00A141A7"/>
    <w:rsid w:val="00A14966"/>
    <w:rsid w:val="00A14A3C"/>
    <w:rsid w:val="00A15669"/>
    <w:rsid w:val="00A15CAB"/>
    <w:rsid w:val="00A1644D"/>
    <w:rsid w:val="00A16E8F"/>
    <w:rsid w:val="00A170EE"/>
    <w:rsid w:val="00A172C6"/>
    <w:rsid w:val="00A174B7"/>
    <w:rsid w:val="00A17785"/>
    <w:rsid w:val="00A17CCB"/>
    <w:rsid w:val="00A17F7D"/>
    <w:rsid w:val="00A201DE"/>
    <w:rsid w:val="00A20336"/>
    <w:rsid w:val="00A20A98"/>
    <w:rsid w:val="00A211A9"/>
    <w:rsid w:val="00A234D1"/>
    <w:rsid w:val="00A23C1E"/>
    <w:rsid w:val="00A2422A"/>
    <w:rsid w:val="00A2491B"/>
    <w:rsid w:val="00A25265"/>
    <w:rsid w:val="00A26FC8"/>
    <w:rsid w:val="00A2756E"/>
    <w:rsid w:val="00A303A1"/>
    <w:rsid w:val="00A30AC5"/>
    <w:rsid w:val="00A31139"/>
    <w:rsid w:val="00A31182"/>
    <w:rsid w:val="00A3389D"/>
    <w:rsid w:val="00A342A5"/>
    <w:rsid w:val="00A348F0"/>
    <w:rsid w:val="00A34A4C"/>
    <w:rsid w:val="00A35664"/>
    <w:rsid w:val="00A36131"/>
    <w:rsid w:val="00A361CD"/>
    <w:rsid w:val="00A3731B"/>
    <w:rsid w:val="00A37BAE"/>
    <w:rsid w:val="00A41994"/>
    <w:rsid w:val="00A41B53"/>
    <w:rsid w:val="00A41B66"/>
    <w:rsid w:val="00A42386"/>
    <w:rsid w:val="00A42685"/>
    <w:rsid w:val="00A4591B"/>
    <w:rsid w:val="00A4686E"/>
    <w:rsid w:val="00A50751"/>
    <w:rsid w:val="00A50816"/>
    <w:rsid w:val="00A50B8F"/>
    <w:rsid w:val="00A50E72"/>
    <w:rsid w:val="00A50F4F"/>
    <w:rsid w:val="00A5343B"/>
    <w:rsid w:val="00A53E15"/>
    <w:rsid w:val="00A54B81"/>
    <w:rsid w:val="00A54BE7"/>
    <w:rsid w:val="00A56497"/>
    <w:rsid w:val="00A564EB"/>
    <w:rsid w:val="00A576A6"/>
    <w:rsid w:val="00A57ECD"/>
    <w:rsid w:val="00A57FBD"/>
    <w:rsid w:val="00A600F2"/>
    <w:rsid w:val="00A61044"/>
    <w:rsid w:val="00A613D1"/>
    <w:rsid w:val="00A61603"/>
    <w:rsid w:val="00A618E5"/>
    <w:rsid w:val="00A62E86"/>
    <w:rsid w:val="00A633B0"/>
    <w:rsid w:val="00A6477A"/>
    <w:rsid w:val="00A6500A"/>
    <w:rsid w:val="00A65333"/>
    <w:rsid w:val="00A65640"/>
    <w:rsid w:val="00A6719E"/>
    <w:rsid w:val="00A671D3"/>
    <w:rsid w:val="00A70196"/>
    <w:rsid w:val="00A7081A"/>
    <w:rsid w:val="00A739F1"/>
    <w:rsid w:val="00A73D97"/>
    <w:rsid w:val="00A74498"/>
    <w:rsid w:val="00A74BFC"/>
    <w:rsid w:val="00A74C88"/>
    <w:rsid w:val="00A758DE"/>
    <w:rsid w:val="00A769A9"/>
    <w:rsid w:val="00A76FE2"/>
    <w:rsid w:val="00A77B91"/>
    <w:rsid w:val="00A807F5"/>
    <w:rsid w:val="00A8189A"/>
    <w:rsid w:val="00A81C2E"/>
    <w:rsid w:val="00A81EC4"/>
    <w:rsid w:val="00A83B8E"/>
    <w:rsid w:val="00A83C6D"/>
    <w:rsid w:val="00A8467C"/>
    <w:rsid w:val="00A8478F"/>
    <w:rsid w:val="00A8495D"/>
    <w:rsid w:val="00A84BA2"/>
    <w:rsid w:val="00A858C4"/>
    <w:rsid w:val="00A86F06"/>
    <w:rsid w:val="00A90B5B"/>
    <w:rsid w:val="00A90C3E"/>
    <w:rsid w:val="00A9141E"/>
    <w:rsid w:val="00A9199A"/>
    <w:rsid w:val="00A92C23"/>
    <w:rsid w:val="00A9341B"/>
    <w:rsid w:val="00A934F1"/>
    <w:rsid w:val="00A94F3D"/>
    <w:rsid w:val="00A952E9"/>
    <w:rsid w:val="00A9675F"/>
    <w:rsid w:val="00A96A42"/>
    <w:rsid w:val="00A974CA"/>
    <w:rsid w:val="00A97E12"/>
    <w:rsid w:val="00AA0DCC"/>
    <w:rsid w:val="00AA210B"/>
    <w:rsid w:val="00AA2395"/>
    <w:rsid w:val="00AA2B0D"/>
    <w:rsid w:val="00AA2CD5"/>
    <w:rsid w:val="00AA30CA"/>
    <w:rsid w:val="00AA4F6C"/>
    <w:rsid w:val="00AA6443"/>
    <w:rsid w:val="00AA6841"/>
    <w:rsid w:val="00AA722E"/>
    <w:rsid w:val="00AB0484"/>
    <w:rsid w:val="00AB0B76"/>
    <w:rsid w:val="00AB0E1E"/>
    <w:rsid w:val="00AB12FC"/>
    <w:rsid w:val="00AB16AE"/>
    <w:rsid w:val="00AB1C24"/>
    <w:rsid w:val="00AB392A"/>
    <w:rsid w:val="00AB3B81"/>
    <w:rsid w:val="00AB491C"/>
    <w:rsid w:val="00AB5801"/>
    <w:rsid w:val="00AB5A64"/>
    <w:rsid w:val="00AB6684"/>
    <w:rsid w:val="00AB71A5"/>
    <w:rsid w:val="00AB76C6"/>
    <w:rsid w:val="00AB79E9"/>
    <w:rsid w:val="00AC06AD"/>
    <w:rsid w:val="00AC141A"/>
    <w:rsid w:val="00AC1FCC"/>
    <w:rsid w:val="00AC21BA"/>
    <w:rsid w:val="00AC2633"/>
    <w:rsid w:val="00AC3E35"/>
    <w:rsid w:val="00AC47B7"/>
    <w:rsid w:val="00AC5349"/>
    <w:rsid w:val="00AC5567"/>
    <w:rsid w:val="00AC71B2"/>
    <w:rsid w:val="00AC7B4B"/>
    <w:rsid w:val="00AD04F4"/>
    <w:rsid w:val="00AD10CF"/>
    <w:rsid w:val="00AD1204"/>
    <w:rsid w:val="00AD2C97"/>
    <w:rsid w:val="00AD319F"/>
    <w:rsid w:val="00AD55F8"/>
    <w:rsid w:val="00AD576C"/>
    <w:rsid w:val="00AD670F"/>
    <w:rsid w:val="00AD6C71"/>
    <w:rsid w:val="00AD7FE7"/>
    <w:rsid w:val="00AE0346"/>
    <w:rsid w:val="00AE0B34"/>
    <w:rsid w:val="00AE0C0A"/>
    <w:rsid w:val="00AE1E4B"/>
    <w:rsid w:val="00AE1E54"/>
    <w:rsid w:val="00AE21D4"/>
    <w:rsid w:val="00AE23E5"/>
    <w:rsid w:val="00AE2AFD"/>
    <w:rsid w:val="00AE388D"/>
    <w:rsid w:val="00AE3B67"/>
    <w:rsid w:val="00AE4372"/>
    <w:rsid w:val="00AE478A"/>
    <w:rsid w:val="00AE4931"/>
    <w:rsid w:val="00AE7557"/>
    <w:rsid w:val="00AE7AB2"/>
    <w:rsid w:val="00AF0C8D"/>
    <w:rsid w:val="00AF0FDA"/>
    <w:rsid w:val="00AF1C39"/>
    <w:rsid w:val="00AF2679"/>
    <w:rsid w:val="00AF2EA5"/>
    <w:rsid w:val="00AF497A"/>
    <w:rsid w:val="00AF5285"/>
    <w:rsid w:val="00AF5438"/>
    <w:rsid w:val="00AF5C07"/>
    <w:rsid w:val="00AF5C3D"/>
    <w:rsid w:val="00AF706F"/>
    <w:rsid w:val="00AF7433"/>
    <w:rsid w:val="00AF7963"/>
    <w:rsid w:val="00AF7B64"/>
    <w:rsid w:val="00AF7ED1"/>
    <w:rsid w:val="00B00778"/>
    <w:rsid w:val="00B01916"/>
    <w:rsid w:val="00B02767"/>
    <w:rsid w:val="00B02AAC"/>
    <w:rsid w:val="00B0309E"/>
    <w:rsid w:val="00B044EA"/>
    <w:rsid w:val="00B0477B"/>
    <w:rsid w:val="00B04E8C"/>
    <w:rsid w:val="00B0508B"/>
    <w:rsid w:val="00B050C0"/>
    <w:rsid w:val="00B05642"/>
    <w:rsid w:val="00B06097"/>
    <w:rsid w:val="00B068B8"/>
    <w:rsid w:val="00B07A1B"/>
    <w:rsid w:val="00B07D2F"/>
    <w:rsid w:val="00B10045"/>
    <w:rsid w:val="00B100DF"/>
    <w:rsid w:val="00B1052E"/>
    <w:rsid w:val="00B10CAE"/>
    <w:rsid w:val="00B12190"/>
    <w:rsid w:val="00B1294B"/>
    <w:rsid w:val="00B12F71"/>
    <w:rsid w:val="00B1357D"/>
    <w:rsid w:val="00B136A9"/>
    <w:rsid w:val="00B137C3"/>
    <w:rsid w:val="00B14552"/>
    <w:rsid w:val="00B155C9"/>
    <w:rsid w:val="00B15E89"/>
    <w:rsid w:val="00B171BB"/>
    <w:rsid w:val="00B17A51"/>
    <w:rsid w:val="00B2164F"/>
    <w:rsid w:val="00B22444"/>
    <w:rsid w:val="00B2247A"/>
    <w:rsid w:val="00B22880"/>
    <w:rsid w:val="00B22B8C"/>
    <w:rsid w:val="00B22F42"/>
    <w:rsid w:val="00B23190"/>
    <w:rsid w:val="00B231E7"/>
    <w:rsid w:val="00B27CCA"/>
    <w:rsid w:val="00B30CB6"/>
    <w:rsid w:val="00B312FA"/>
    <w:rsid w:val="00B3140A"/>
    <w:rsid w:val="00B31A08"/>
    <w:rsid w:val="00B31D22"/>
    <w:rsid w:val="00B33670"/>
    <w:rsid w:val="00B339EC"/>
    <w:rsid w:val="00B35CE9"/>
    <w:rsid w:val="00B36551"/>
    <w:rsid w:val="00B36D25"/>
    <w:rsid w:val="00B36E9E"/>
    <w:rsid w:val="00B36EE6"/>
    <w:rsid w:val="00B379DF"/>
    <w:rsid w:val="00B37E5D"/>
    <w:rsid w:val="00B40E38"/>
    <w:rsid w:val="00B43589"/>
    <w:rsid w:val="00B43B05"/>
    <w:rsid w:val="00B45C9E"/>
    <w:rsid w:val="00B47571"/>
    <w:rsid w:val="00B4794E"/>
    <w:rsid w:val="00B500C7"/>
    <w:rsid w:val="00B516BE"/>
    <w:rsid w:val="00B51ACE"/>
    <w:rsid w:val="00B528FB"/>
    <w:rsid w:val="00B53C9A"/>
    <w:rsid w:val="00B53FA2"/>
    <w:rsid w:val="00B55B8E"/>
    <w:rsid w:val="00B56507"/>
    <w:rsid w:val="00B567FE"/>
    <w:rsid w:val="00B56AAD"/>
    <w:rsid w:val="00B56C95"/>
    <w:rsid w:val="00B6020D"/>
    <w:rsid w:val="00B60FE0"/>
    <w:rsid w:val="00B619AA"/>
    <w:rsid w:val="00B61BBC"/>
    <w:rsid w:val="00B623D7"/>
    <w:rsid w:val="00B62CC1"/>
    <w:rsid w:val="00B62E5E"/>
    <w:rsid w:val="00B64290"/>
    <w:rsid w:val="00B65048"/>
    <w:rsid w:val="00B66900"/>
    <w:rsid w:val="00B66B4A"/>
    <w:rsid w:val="00B66E68"/>
    <w:rsid w:val="00B66E7A"/>
    <w:rsid w:val="00B67197"/>
    <w:rsid w:val="00B71521"/>
    <w:rsid w:val="00B72595"/>
    <w:rsid w:val="00B7275F"/>
    <w:rsid w:val="00B72E21"/>
    <w:rsid w:val="00B732DA"/>
    <w:rsid w:val="00B73DC7"/>
    <w:rsid w:val="00B76313"/>
    <w:rsid w:val="00B76F58"/>
    <w:rsid w:val="00B77690"/>
    <w:rsid w:val="00B77A3D"/>
    <w:rsid w:val="00B8096A"/>
    <w:rsid w:val="00B81D44"/>
    <w:rsid w:val="00B83AA5"/>
    <w:rsid w:val="00B83C0A"/>
    <w:rsid w:val="00B83D6D"/>
    <w:rsid w:val="00B844E7"/>
    <w:rsid w:val="00B84939"/>
    <w:rsid w:val="00B85874"/>
    <w:rsid w:val="00B85C06"/>
    <w:rsid w:val="00B873B2"/>
    <w:rsid w:val="00B87AE0"/>
    <w:rsid w:val="00B91564"/>
    <w:rsid w:val="00B9206A"/>
    <w:rsid w:val="00B9279E"/>
    <w:rsid w:val="00B92F23"/>
    <w:rsid w:val="00B939D0"/>
    <w:rsid w:val="00B942E8"/>
    <w:rsid w:val="00B94C70"/>
    <w:rsid w:val="00B95611"/>
    <w:rsid w:val="00B95763"/>
    <w:rsid w:val="00B95ED2"/>
    <w:rsid w:val="00B971A4"/>
    <w:rsid w:val="00B97FE3"/>
    <w:rsid w:val="00BA1CFA"/>
    <w:rsid w:val="00BA2C43"/>
    <w:rsid w:val="00BA3DA8"/>
    <w:rsid w:val="00BA4107"/>
    <w:rsid w:val="00BA4284"/>
    <w:rsid w:val="00BA4319"/>
    <w:rsid w:val="00BA5D2B"/>
    <w:rsid w:val="00BA5D6D"/>
    <w:rsid w:val="00BA6123"/>
    <w:rsid w:val="00BA618D"/>
    <w:rsid w:val="00BA6273"/>
    <w:rsid w:val="00BB03A5"/>
    <w:rsid w:val="00BB1017"/>
    <w:rsid w:val="00BB1F18"/>
    <w:rsid w:val="00BB3425"/>
    <w:rsid w:val="00BB579A"/>
    <w:rsid w:val="00BB5BD8"/>
    <w:rsid w:val="00BB60B6"/>
    <w:rsid w:val="00BB6720"/>
    <w:rsid w:val="00BC1029"/>
    <w:rsid w:val="00BC22F3"/>
    <w:rsid w:val="00BC2653"/>
    <w:rsid w:val="00BC2720"/>
    <w:rsid w:val="00BC2AA5"/>
    <w:rsid w:val="00BC2AD4"/>
    <w:rsid w:val="00BC2C26"/>
    <w:rsid w:val="00BC4728"/>
    <w:rsid w:val="00BC4BF4"/>
    <w:rsid w:val="00BC4D6A"/>
    <w:rsid w:val="00BC5290"/>
    <w:rsid w:val="00BC532D"/>
    <w:rsid w:val="00BC60B3"/>
    <w:rsid w:val="00BC646E"/>
    <w:rsid w:val="00BC65E8"/>
    <w:rsid w:val="00BD0771"/>
    <w:rsid w:val="00BD099A"/>
    <w:rsid w:val="00BD2253"/>
    <w:rsid w:val="00BD2B72"/>
    <w:rsid w:val="00BD4369"/>
    <w:rsid w:val="00BD43E6"/>
    <w:rsid w:val="00BD4E27"/>
    <w:rsid w:val="00BD5EAE"/>
    <w:rsid w:val="00BD6C22"/>
    <w:rsid w:val="00BD7496"/>
    <w:rsid w:val="00BE042D"/>
    <w:rsid w:val="00BE045D"/>
    <w:rsid w:val="00BE0ED9"/>
    <w:rsid w:val="00BE2C19"/>
    <w:rsid w:val="00BE3001"/>
    <w:rsid w:val="00BE3177"/>
    <w:rsid w:val="00BE4802"/>
    <w:rsid w:val="00BE59BC"/>
    <w:rsid w:val="00BE6B26"/>
    <w:rsid w:val="00BE7212"/>
    <w:rsid w:val="00BF0D7C"/>
    <w:rsid w:val="00BF154B"/>
    <w:rsid w:val="00BF1DBF"/>
    <w:rsid w:val="00BF23EB"/>
    <w:rsid w:val="00BF2FF7"/>
    <w:rsid w:val="00BF331F"/>
    <w:rsid w:val="00BF4DAE"/>
    <w:rsid w:val="00BF50E6"/>
    <w:rsid w:val="00BF6174"/>
    <w:rsid w:val="00BF6B0F"/>
    <w:rsid w:val="00C00B4D"/>
    <w:rsid w:val="00C019D4"/>
    <w:rsid w:val="00C020E2"/>
    <w:rsid w:val="00C0388C"/>
    <w:rsid w:val="00C04025"/>
    <w:rsid w:val="00C053A4"/>
    <w:rsid w:val="00C05CC6"/>
    <w:rsid w:val="00C067A0"/>
    <w:rsid w:val="00C068C7"/>
    <w:rsid w:val="00C06ACD"/>
    <w:rsid w:val="00C073C2"/>
    <w:rsid w:val="00C1242E"/>
    <w:rsid w:val="00C13899"/>
    <w:rsid w:val="00C13C12"/>
    <w:rsid w:val="00C142AE"/>
    <w:rsid w:val="00C15F41"/>
    <w:rsid w:val="00C160F4"/>
    <w:rsid w:val="00C16594"/>
    <w:rsid w:val="00C16A8D"/>
    <w:rsid w:val="00C16C48"/>
    <w:rsid w:val="00C170BE"/>
    <w:rsid w:val="00C17673"/>
    <w:rsid w:val="00C20F99"/>
    <w:rsid w:val="00C2120D"/>
    <w:rsid w:val="00C215E7"/>
    <w:rsid w:val="00C21A11"/>
    <w:rsid w:val="00C21D4B"/>
    <w:rsid w:val="00C21FC5"/>
    <w:rsid w:val="00C233E9"/>
    <w:rsid w:val="00C25653"/>
    <w:rsid w:val="00C2605C"/>
    <w:rsid w:val="00C26C5B"/>
    <w:rsid w:val="00C2711B"/>
    <w:rsid w:val="00C27C81"/>
    <w:rsid w:val="00C303B4"/>
    <w:rsid w:val="00C314C3"/>
    <w:rsid w:val="00C31F7F"/>
    <w:rsid w:val="00C32490"/>
    <w:rsid w:val="00C32651"/>
    <w:rsid w:val="00C3273F"/>
    <w:rsid w:val="00C32C6E"/>
    <w:rsid w:val="00C36099"/>
    <w:rsid w:val="00C3635F"/>
    <w:rsid w:val="00C40111"/>
    <w:rsid w:val="00C40761"/>
    <w:rsid w:val="00C407A2"/>
    <w:rsid w:val="00C40EBC"/>
    <w:rsid w:val="00C40EEE"/>
    <w:rsid w:val="00C41265"/>
    <w:rsid w:val="00C4202E"/>
    <w:rsid w:val="00C42ACA"/>
    <w:rsid w:val="00C43BF4"/>
    <w:rsid w:val="00C45253"/>
    <w:rsid w:val="00C46423"/>
    <w:rsid w:val="00C4687E"/>
    <w:rsid w:val="00C47977"/>
    <w:rsid w:val="00C479A6"/>
    <w:rsid w:val="00C504B1"/>
    <w:rsid w:val="00C507CB"/>
    <w:rsid w:val="00C50CAD"/>
    <w:rsid w:val="00C51308"/>
    <w:rsid w:val="00C51F78"/>
    <w:rsid w:val="00C530F0"/>
    <w:rsid w:val="00C53256"/>
    <w:rsid w:val="00C539F8"/>
    <w:rsid w:val="00C53A47"/>
    <w:rsid w:val="00C53D5A"/>
    <w:rsid w:val="00C54293"/>
    <w:rsid w:val="00C543D7"/>
    <w:rsid w:val="00C54F2C"/>
    <w:rsid w:val="00C57B4D"/>
    <w:rsid w:val="00C57BB9"/>
    <w:rsid w:val="00C606F6"/>
    <w:rsid w:val="00C6082E"/>
    <w:rsid w:val="00C60E02"/>
    <w:rsid w:val="00C61699"/>
    <w:rsid w:val="00C62B02"/>
    <w:rsid w:val="00C62C7A"/>
    <w:rsid w:val="00C63086"/>
    <w:rsid w:val="00C631C2"/>
    <w:rsid w:val="00C6409F"/>
    <w:rsid w:val="00C64908"/>
    <w:rsid w:val="00C660D7"/>
    <w:rsid w:val="00C67D37"/>
    <w:rsid w:val="00C70459"/>
    <w:rsid w:val="00C705B5"/>
    <w:rsid w:val="00C7093C"/>
    <w:rsid w:val="00C71811"/>
    <w:rsid w:val="00C72214"/>
    <w:rsid w:val="00C728A2"/>
    <w:rsid w:val="00C73618"/>
    <w:rsid w:val="00C738BD"/>
    <w:rsid w:val="00C73C04"/>
    <w:rsid w:val="00C744EC"/>
    <w:rsid w:val="00C747E8"/>
    <w:rsid w:val="00C74C3C"/>
    <w:rsid w:val="00C7510D"/>
    <w:rsid w:val="00C751D1"/>
    <w:rsid w:val="00C7598B"/>
    <w:rsid w:val="00C75D40"/>
    <w:rsid w:val="00C75E8D"/>
    <w:rsid w:val="00C7642C"/>
    <w:rsid w:val="00C80FD9"/>
    <w:rsid w:val="00C81A50"/>
    <w:rsid w:val="00C82BD6"/>
    <w:rsid w:val="00C82D74"/>
    <w:rsid w:val="00C82DB8"/>
    <w:rsid w:val="00C82F99"/>
    <w:rsid w:val="00C83627"/>
    <w:rsid w:val="00C83773"/>
    <w:rsid w:val="00C83D21"/>
    <w:rsid w:val="00C849E7"/>
    <w:rsid w:val="00C85472"/>
    <w:rsid w:val="00C85E44"/>
    <w:rsid w:val="00C86C73"/>
    <w:rsid w:val="00C87B2A"/>
    <w:rsid w:val="00C87F59"/>
    <w:rsid w:val="00C9095C"/>
    <w:rsid w:val="00C91E69"/>
    <w:rsid w:val="00C91F68"/>
    <w:rsid w:val="00C92F94"/>
    <w:rsid w:val="00C9318C"/>
    <w:rsid w:val="00C93602"/>
    <w:rsid w:val="00C93695"/>
    <w:rsid w:val="00C94D1A"/>
    <w:rsid w:val="00C951D2"/>
    <w:rsid w:val="00C95533"/>
    <w:rsid w:val="00C95D81"/>
    <w:rsid w:val="00C95EF4"/>
    <w:rsid w:val="00C960AA"/>
    <w:rsid w:val="00C975D6"/>
    <w:rsid w:val="00CA043C"/>
    <w:rsid w:val="00CA121E"/>
    <w:rsid w:val="00CA1AF7"/>
    <w:rsid w:val="00CA31A2"/>
    <w:rsid w:val="00CA408A"/>
    <w:rsid w:val="00CA447E"/>
    <w:rsid w:val="00CA4CE6"/>
    <w:rsid w:val="00CA501D"/>
    <w:rsid w:val="00CA55C4"/>
    <w:rsid w:val="00CA5652"/>
    <w:rsid w:val="00CB1475"/>
    <w:rsid w:val="00CB14DE"/>
    <w:rsid w:val="00CB1502"/>
    <w:rsid w:val="00CB1789"/>
    <w:rsid w:val="00CB17FC"/>
    <w:rsid w:val="00CB1CB2"/>
    <w:rsid w:val="00CB2557"/>
    <w:rsid w:val="00CB2E52"/>
    <w:rsid w:val="00CB3BDE"/>
    <w:rsid w:val="00CB44C4"/>
    <w:rsid w:val="00CB47FE"/>
    <w:rsid w:val="00CB4D35"/>
    <w:rsid w:val="00CB5667"/>
    <w:rsid w:val="00CB58EE"/>
    <w:rsid w:val="00CB5963"/>
    <w:rsid w:val="00CB6703"/>
    <w:rsid w:val="00CB7438"/>
    <w:rsid w:val="00CB762C"/>
    <w:rsid w:val="00CB7D70"/>
    <w:rsid w:val="00CC0774"/>
    <w:rsid w:val="00CC19C0"/>
    <w:rsid w:val="00CC235D"/>
    <w:rsid w:val="00CC3483"/>
    <w:rsid w:val="00CC39B1"/>
    <w:rsid w:val="00CC3D90"/>
    <w:rsid w:val="00CC45E1"/>
    <w:rsid w:val="00CC4B3F"/>
    <w:rsid w:val="00CC50DD"/>
    <w:rsid w:val="00CC55AF"/>
    <w:rsid w:val="00CC5F21"/>
    <w:rsid w:val="00CC6D90"/>
    <w:rsid w:val="00CC7B1E"/>
    <w:rsid w:val="00CD1E6E"/>
    <w:rsid w:val="00CD21F9"/>
    <w:rsid w:val="00CD323A"/>
    <w:rsid w:val="00CD351D"/>
    <w:rsid w:val="00CD3DE6"/>
    <w:rsid w:val="00CD426B"/>
    <w:rsid w:val="00CD467C"/>
    <w:rsid w:val="00CD526B"/>
    <w:rsid w:val="00CD596A"/>
    <w:rsid w:val="00CD5B93"/>
    <w:rsid w:val="00CD6E48"/>
    <w:rsid w:val="00CD7039"/>
    <w:rsid w:val="00CD7819"/>
    <w:rsid w:val="00CD79A8"/>
    <w:rsid w:val="00CD7C83"/>
    <w:rsid w:val="00CE20B6"/>
    <w:rsid w:val="00CE217D"/>
    <w:rsid w:val="00CE228A"/>
    <w:rsid w:val="00CE28FF"/>
    <w:rsid w:val="00CE3B32"/>
    <w:rsid w:val="00CE4060"/>
    <w:rsid w:val="00CE4A24"/>
    <w:rsid w:val="00CE5027"/>
    <w:rsid w:val="00CE5655"/>
    <w:rsid w:val="00CE613B"/>
    <w:rsid w:val="00CE7403"/>
    <w:rsid w:val="00CF0826"/>
    <w:rsid w:val="00CF0D8A"/>
    <w:rsid w:val="00CF0EDE"/>
    <w:rsid w:val="00CF125E"/>
    <w:rsid w:val="00CF267F"/>
    <w:rsid w:val="00CF2DED"/>
    <w:rsid w:val="00CF3228"/>
    <w:rsid w:val="00CF34A7"/>
    <w:rsid w:val="00CF51CB"/>
    <w:rsid w:val="00CF6762"/>
    <w:rsid w:val="00CF7DA0"/>
    <w:rsid w:val="00D00DD4"/>
    <w:rsid w:val="00D01995"/>
    <w:rsid w:val="00D01A63"/>
    <w:rsid w:val="00D0312C"/>
    <w:rsid w:val="00D035C2"/>
    <w:rsid w:val="00D0365E"/>
    <w:rsid w:val="00D04614"/>
    <w:rsid w:val="00D06CAB"/>
    <w:rsid w:val="00D0724F"/>
    <w:rsid w:val="00D07A7C"/>
    <w:rsid w:val="00D102AC"/>
    <w:rsid w:val="00D10F21"/>
    <w:rsid w:val="00D12E88"/>
    <w:rsid w:val="00D14872"/>
    <w:rsid w:val="00D14FF3"/>
    <w:rsid w:val="00D16673"/>
    <w:rsid w:val="00D16CC7"/>
    <w:rsid w:val="00D1723F"/>
    <w:rsid w:val="00D217E2"/>
    <w:rsid w:val="00D2194F"/>
    <w:rsid w:val="00D219BE"/>
    <w:rsid w:val="00D23614"/>
    <w:rsid w:val="00D25295"/>
    <w:rsid w:val="00D26A02"/>
    <w:rsid w:val="00D26B64"/>
    <w:rsid w:val="00D26E39"/>
    <w:rsid w:val="00D2764D"/>
    <w:rsid w:val="00D30AA4"/>
    <w:rsid w:val="00D30CE5"/>
    <w:rsid w:val="00D30D26"/>
    <w:rsid w:val="00D32404"/>
    <w:rsid w:val="00D32809"/>
    <w:rsid w:val="00D32C83"/>
    <w:rsid w:val="00D33387"/>
    <w:rsid w:val="00D34450"/>
    <w:rsid w:val="00D357D7"/>
    <w:rsid w:val="00D35996"/>
    <w:rsid w:val="00D3674A"/>
    <w:rsid w:val="00D40383"/>
    <w:rsid w:val="00D404B8"/>
    <w:rsid w:val="00D4075D"/>
    <w:rsid w:val="00D4085D"/>
    <w:rsid w:val="00D40915"/>
    <w:rsid w:val="00D40F1E"/>
    <w:rsid w:val="00D4131E"/>
    <w:rsid w:val="00D41993"/>
    <w:rsid w:val="00D41B74"/>
    <w:rsid w:val="00D428F4"/>
    <w:rsid w:val="00D42B27"/>
    <w:rsid w:val="00D43327"/>
    <w:rsid w:val="00D434F3"/>
    <w:rsid w:val="00D44263"/>
    <w:rsid w:val="00D44624"/>
    <w:rsid w:val="00D45B06"/>
    <w:rsid w:val="00D46E83"/>
    <w:rsid w:val="00D4714C"/>
    <w:rsid w:val="00D51386"/>
    <w:rsid w:val="00D52914"/>
    <w:rsid w:val="00D52E96"/>
    <w:rsid w:val="00D53B72"/>
    <w:rsid w:val="00D53C7F"/>
    <w:rsid w:val="00D541CF"/>
    <w:rsid w:val="00D5485B"/>
    <w:rsid w:val="00D554F9"/>
    <w:rsid w:val="00D56CA1"/>
    <w:rsid w:val="00D57346"/>
    <w:rsid w:val="00D61911"/>
    <w:rsid w:val="00D61916"/>
    <w:rsid w:val="00D61DF8"/>
    <w:rsid w:val="00D62258"/>
    <w:rsid w:val="00D625A7"/>
    <w:rsid w:val="00D6290B"/>
    <w:rsid w:val="00D63730"/>
    <w:rsid w:val="00D6536D"/>
    <w:rsid w:val="00D654E6"/>
    <w:rsid w:val="00D6566B"/>
    <w:rsid w:val="00D657C9"/>
    <w:rsid w:val="00D66178"/>
    <w:rsid w:val="00D663CA"/>
    <w:rsid w:val="00D664F5"/>
    <w:rsid w:val="00D677F9"/>
    <w:rsid w:val="00D679E8"/>
    <w:rsid w:val="00D70115"/>
    <w:rsid w:val="00D702F1"/>
    <w:rsid w:val="00D70433"/>
    <w:rsid w:val="00D71BD7"/>
    <w:rsid w:val="00D71D2C"/>
    <w:rsid w:val="00D71DB5"/>
    <w:rsid w:val="00D71F65"/>
    <w:rsid w:val="00D729FA"/>
    <w:rsid w:val="00D7336A"/>
    <w:rsid w:val="00D73591"/>
    <w:rsid w:val="00D73E11"/>
    <w:rsid w:val="00D73EAE"/>
    <w:rsid w:val="00D75105"/>
    <w:rsid w:val="00D753C5"/>
    <w:rsid w:val="00D757F6"/>
    <w:rsid w:val="00D7765A"/>
    <w:rsid w:val="00D77D0E"/>
    <w:rsid w:val="00D802FC"/>
    <w:rsid w:val="00D8213C"/>
    <w:rsid w:val="00D8308B"/>
    <w:rsid w:val="00D831A3"/>
    <w:rsid w:val="00D834DC"/>
    <w:rsid w:val="00D83A19"/>
    <w:rsid w:val="00D8492F"/>
    <w:rsid w:val="00D84CD4"/>
    <w:rsid w:val="00D8532B"/>
    <w:rsid w:val="00D85360"/>
    <w:rsid w:val="00D85463"/>
    <w:rsid w:val="00D87A05"/>
    <w:rsid w:val="00D9108D"/>
    <w:rsid w:val="00D91611"/>
    <w:rsid w:val="00D91817"/>
    <w:rsid w:val="00D92ADB"/>
    <w:rsid w:val="00D932DE"/>
    <w:rsid w:val="00D9492A"/>
    <w:rsid w:val="00D94A0D"/>
    <w:rsid w:val="00D94A71"/>
    <w:rsid w:val="00D9690F"/>
    <w:rsid w:val="00D96EBB"/>
    <w:rsid w:val="00D973A5"/>
    <w:rsid w:val="00D97514"/>
    <w:rsid w:val="00D977D5"/>
    <w:rsid w:val="00DA0AE3"/>
    <w:rsid w:val="00DA0E6A"/>
    <w:rsid w:val="00DA1957"/>
    <w:rsid w:val="00DA1F00"/>
    <w:rsid w:val="00DA205D"/>
    <w:rsid w:val="00DA5353"/>
    <w:rsid w:val="00DA56F6"/>
    <w:rsid w:val="00DA57B5"/>
    <w:rsid w:val="00DA7233"/>
    <w:rsid w:val="00DB3652"/>
    <w:rsid w:val="00DB4217"/>
    <w:rsid w:val="00DB465D"/>
    <w:rsid w:val="00DB54A7"/>
    <w:rsid w:val="00DC065A"/>
    <w:rsid w:val="00DC0FFD"/>
    <w:rsid w:val="00DC1F3A"/>
    <w:rsid w:val="00DC245B"/>
    <w:rsid w:val="00DC26BA"/>
    <w:rsid w:val="00DC4D62"/>
    <w:rsid w:val="00DC50E5"/>
    <w:rsid w:val="00DC5A2D"/>
    <w:rsid w:val="00DC5B0B"/>
    <w:rsid w:val="00DC652A"/>
    <w:rsid w:val="00DC76C7"/>
    <w:rsid w:val="00DC7FD1"/>
    <w:rsid w:val="00DD02A0"/>
    <w:rsid w:val="00DD1F17"/>
    <w:rsid w:val="00DD2051"/>
    <w:rsid w:val="00DD2733"/>
    <w:rsid w:val="00DD4BFD"/>
    <w:rsid w:val="00DD579F"/>
    <w:rsid w:val="00DD6E51"/>
    <w:rsid w:val="00DD702E"/>
    <w:rsid w:val="00DD7292"/>
    <w:rsid w:val="00DE0F3F"/>
    <w:rsid w:val="00DE112B"/>
    <w:rsid w:val="00DE203E"/>
    <w:rsid w:val="00DE311A"/>
    <w:rsid w:val="00DE3658"/>
    <w:rsid w:val="00DE36EB"/>
    <w:rsid w:val="00DE3D48"/>
    <w:rsid w:val="00DE4860"/>
    <w:rsid w:val="00DE4A6C"/>
    <w:rsid w:val="00DE5786"/>
    <w:rsid w:val="00DE58EE"/>
    <w:rsid w:val="00DE5D76"/>
    <w:rsid w:val="00DE617C"/>
    <w:rsid w:val="00DE64C1"/>
    <w:rsid w:val="00DF0F3D"/>
    <w:rsid w:val="00DF1120"/>
    <w:rsid w:val="00DF21FA"/>
    <w:rsid w:val="00DF2A4D"/>
    <w:rsid w:val="00DF2AB5"/>
    <w:rsid w:val="00DF593A"/>
    <w:rsid w:val="00DF5BAB"/>
    <w:rsid w:val="00DF732A"/>
    <w:rsid w:val="00DF7EF9"/>
    <w:rsid w:val="00E00360"/>
    <w:rsid w:val="00E008DB"/>
    <w:rsid w:val="00E01335"/>
    <w:rsid w:val="00E0204A"/>
    <w:rsid w:val="00E02231"/>
    <w:rsid w:val="00E024B9"/>
    <w:rsid w:val="00E02513"/>
    <w:rsid w:val="00E0256E"/>
    <w:rsid w:val="00E03177"/>
    <w:rsid w:val="00E03627"/>
    <w:rsid w:val="00E03821"/>
    <w:rsid w:val="00E05C5B"/>
    <w:rsid w:val="00E05DE5"/>
    <w:rsid w:val="00E05E4A"/>
    <w:rsid w:val="00E06096"/>
    <w:rsid w:val="00E06C52"/>
    <w:rsid w:val="00E0738E"/>
    <w:rsid w:val="00E076E5"/>
    <w:rsid w:val="00E07790"/>
    <w:rsid w:val="00E10555"/>
    <w:rsid w:val="00E10608"/>
    <w:rsid w:val="00E10810"/>
    <w:rsid w:val="00E11087"/>
    <w:rsid w:val="00E116A1"/>
    <w:rsid w:val="00E11B18"/>
    <w:rsid w:val="00E1256A"/>
    <w:rsid w:val="00E12A85"/>
    <w:rsid w:val="00E1346D"/>
    <w:rsid w:val="00E13E95"/>
    <w:rsid w:val="00E16E0A"/>
    <w:rsid w:val="00E176B9"/>
    <w:rsid w:val="00E17D0B"/>
    <w:rsid w:val="00E204BB"/>
    <w:rsid w:val="00E20D2D"/>
    <w:rsid w:val="00E2177F"/>
    <w:rsid w:val="00E220BC"/>
    <w:rsid w:val="00E23014"/>
    <w:rsid w:val="00E238CA"/>
    <w:rsid w:val="00E245A3"/>
    <w:rsid w:val="00E2667E"/>
    <w:rsid w:val="00E2778E"/>
    <w:rsid w:val="00E27DFE"/>
    <w:rsid w:val="00E27E55"/>
    <w:rsid w:val="00E31096"/>
    <w:rsid w:val="00E32840"/>
    <w:rsid w:val="00E33938"/>
    <w:rsid w:val="00E33B0B"/>
    <w:rsid w:val="00E33F03"/>
    <w:rsid w:val="00E3405F"/>
    <w:rsid w:val="00E340D1"/>
    <w:rsid w:val="00E34547"/>
    <w:rsid w:val="00E34D25"/>
    <w:rsid w:val="00E354D8"/>
    <w:rsid w:val="00E3580F"/>
    <w:rsid w:val="00E3653D"/>
    <w:rsid w:val="00E3658A"/>
    <w:rsid w:val="00E3706A"/>
    <w:rsid w:val="00E3738B"/>
    <w:rsid w:val="00E37446"/>
    <w:rsid w:val="00E37730"/>
    <w:rsid w:val="00E37931"/>
    <w:rsid w:val="00E4099E"/>
    <w:rsid w:val="00E41BEA"/>
    <w:rsid w:val="00E42136"/>
    <w:rsid w:val="00E43F39"/>
    <w:rsid w:val="00E44440"/>
    <w:rsid w:val="00E44E37"/>
    <w:rsid w:val="00E456AA"/>
    <w:rsid w:val="00E45AD6"/>
    <w:rsid w:val="00E45E1D"/>
    <w:rsid w:val="00E46685"/>
    <w:rsid w:val="00E475D2"/>
    <w:rsid w:val="00E5201F"/>
    <w:rsid w:val="00E53B1B"/>
    <w:rsid w:val="00E5487F"/>
    <w:rsid w:val="00E549D7"/>
    <w:rsid w:val="00E54FBA"/>
    <w:rsid w:val="00E5533C"/>
    <w:rsid w:val="00E5535D"/>
    <w:rsid w:val="00E5712A"/>
    <w:rsid w:val="00E57388"/>
    <w:rsid w:val="00E5760F"/>
    <w:rsid w:val="00E579FF"/>
    <w:rsid w:val="00E601C8"/>
    <w:rsid w:val="00E60B6E"/>
    <w:rsid w:val="00E60D3C"/>
    <w:rsid w:val="00E61A00"/>
    <w:rsid w:val="00E61EC5"/>
    <w:rsid w:val="00E62BCE"/>
    <w:rsid w:val="00E630AF"/>
    <w:rsid w:val="00E64ABA"/>
    <w:rsid w:val="00E65EE4"/>
    <w:rsid w:val="00E6698B"/>
    <w:rsid w:val="00E66B9C"/>
    <w:rsid w:val="00E677E8"/>
    <w:rsid w:val="00E702E2"/>
    <w:rsid w:val="00E70F69"/>
    <w:rsid w:val="00E7195E"/>
    <w:rsid w:val="00E71BB3"/>
    <w:rsid w:val="00E71E8C"/>
    <w:rsid w:val="00E71FE5"/>
    <w:rsid w:val="00E72F4A"/>
    <w:rsid w:val="00E736E3"/>
    <w:rsid w:val="00E7467D"/>
    <w:rsid w:val="00E75901"/>
    <w:rsid w:val="00E75F2A"/>
    <w:rsid w:val="00E76FEA"/>
    <w:rsid w:val="00E77466"/>
    <w:rsid w:val="00E777A4"/>
    <w:rsid w:val="00E80517"/>
    <w:rsid w:val="00E82115"/>
    <w:rsid w:val="00E832A1"/>
    <w:rsid w:val="00E832FF"/>
    <w:rsid w:val="00E83448"/>
    <w:rsid w:val="00E836CB"/>
    <w:rsid w:val="00E838D3"/>
    <w:rsid w:val="00E83C27"/>
    <w:rsid w:val="00E863B3"/>
    <w:rsid w:val="00E86783"/>
    <w:rsid w:val="00E90483"/>
    <w:rsid w:val="00E90817"/>
    <w:rsid w:val="00E90BF8"/>
    <w:rsid w:val="00E91D18"/>
    <w:rsid w:val="00E9274F"/>
    <w:rsid w:val="00E928AC"/>
    <w:rsid w:val="00E92C8A"/>
    <w:rsid w:val="00E92D65"/>
    <w:rsid w:val="00E9346D"/>
    <w:rsid w:val="00E93490"/>
    <w:rsid w:val="00E946E6"/>
    <w:rsid w:val="00E94780"/>
    <w:rsid w:val="00E94F94"/>
    <w:rsid w:val="00E954EC"/>
    <w:rsid w:val="00E95E3F"/>
    <w:rsid w:val="00E963DB"/>
    <w:rsid w:val="00E966BF"/>
    <w:rsid w:val="00E96F31"/>
    <w:rsid w:val="00E97881"/>
    <w:rsid w:val="00E9792B"/>
    <w:rsid w:val="00EA03CE"/>
    <w:rsid w:val="00EA10DF"/>
    <w:rsid w:val="00EA1EE1"/>
    <w:rsid w:val="00EA1F30"/>
    <w:rsid w:val="00EA21BF"/>
    <w:rsid w:val="00EA3642"/>
    <w:rsid w:val="00EA3D9F"/>
    <w:rsid w:val="00EA45BD"/>
    <w:rsid w:val="00EA45D0"/>
    <w:rsid w:val="00EA4814"/>
    <w:rsid w:val="00EA594C"/>
    <w:rsid w:val="00EA7329"/>
    <w:rsid w:val="00EA7A1C"/>
    <w:rsid w:val="00EB0BF0"/>
    <w:rsid w:val="00EB0D06"/>
    <w:rsid w:val="00EB29D0"/>
    <w:rsid w:val="00EB4AA1"/>
    <w:rsid w:val="00EB4BD1"/>
    <w:rsid w:val="00EB5170"/>
    <w:rsid w:val="00EB5AEA"/>
    <w:rsid w:val="00EB6071"/>
    <w:rsid w:val="00EB6973"/>
    <w:rsid w:val="00EB6AD4"/>
    <w:rsid w:val="00EB6FAA"/>
    <w:rsid w:val="00EB7EDA"/>
    <w:rsid w:val="00EC03D1"/>
    <w:rsid w:val="00EC044A"/>
    <w:rsid w:val="00EC066B"/>
    <w:rsid w:val="00EC07D0"/>
    <w:rsid w:val="00EC0B8A"/>
    <w:rsid w:val="00EC0C09"/>
    <w:rsid w:val="00EC157F"/>
    <w:rsid w:val="00EC210D"/>
    <w:rsid w:val="00EC2282"/>
    <w:rsid w:val="00EC2AD5"/>
    <w:rsid w:val="00EC2AD6"/>
    <w:rsid w:val="00EC2D94"/>
    <w:rsid w:val="00EC384A"/>
    <w:rsid w:val="00EC3BED"/>
    <w:rsid w:val="00EC3DB2"/>
    <w:rsid w:val="00EC3E78"/>
    <w:rsid w:val="00EC4902"/>
    <w:rsid w:val="00EC5206"/>
    <w:rsid w:val="00EC5358"/>
    <w:rsid w:val="00EC5D22"/>
    <w:rsid w:val="00EC6997"/>
    <w:rsid w:val="00ED0175"/>
    <w:rsid w:val="00ED0AC8"/>
    <w:rsid w:val="00ED209E"/>
    <w:rsid w:val="00ED2AC4"/>
    <w:rsid w:val="00ED2F1F"/>
    <w:rsid w:val="00ED38EE"/>
    <w:rsid w:val="00ED3EFA"/>
    <w:rsid w:val="00ED4036"/>
    <w:rsid w:val="00ED4465"/>
    <w:rsid w:val="00ED4601"/>
    <w:rsid w:val="00ED4BB0"/>
    <w:rsid w:val="00ED4D09"/>
    <w:rsid w:val="00ED52E5"/>
    <w:rsid w:val="00ED5FE4"/>
    <w:rsid w:val="00ED742A"/>
    <w:rsid w:val="00EE0281"/>
    <w:rsid w:val="00EE041B"/>
    <w:rsid w:val="00EE0986"/>
    <w:rsid w:val="00EE0B23"/>
    <w:rsid w:val="00EE4208"/>
    <w:rsid w:val="00EE4C45"/>
    <w:rsid w:val="00EE57AC"/>
    <w:rsid w:val="00EE74C4"/>
    <w:rsid w:val="00EE7D29"/>
    <w:rsid w:val="00EF0504"/>
    <w:rsid w:val="00EF1469"/>
    <w:rsid w:val="00EF1E00"/>
    <w:rsid w:val="00EF2657"/>
    <w:rsid w:val="00EF2B03"/>
    <w:rsid w:val="00EF33DE"/>
    <w:rsid w:val="00EF387B"/>
    <w:rsid w:val="00EF40D4"/>
    <w:rsid w:val="00EF4258"/>
    <w:rsid w:val="00EF45D2"/>
    <w:rsid w:val="00EF4836"/>
    <w:rsid w:val="00EF6421"/>
    <w:rsid w:val="00EF6486"/>
    <w:rsid w:val="00EF6AC2"/>
    <w:rsid w:val="00EF6C74"/>
    <w:rsid w:val="00EF6E43"/>
    <w:rsid w:val="00EF72D4"/>
    <w:rsid w:val="00EF7930"/>
    <w:rsid w:val="00EF7EA4"/>
    <w:rsid w:val="00EF7FCC"/>
    <w:rsid w:val="00F01A30"/>
    <w:rsid w:val="00F01D2A"/>
    <w:rsid w:val="00F02E87"/>
    <w:rsid w:val="00F03250"/>
    <w:rsid w:val="00F03B05"/>
    <w:rsid w:val="00F0459C"/>
    <w:rsid w:val="00F04791"/>
    <w:rsid w:val="00F07365"/>
    <w:rsid w:val="00F10FD2"/>
    <w:rsid w:val="00F11A23"/>
    <w:rsid w:val="00F11DDE"/>
    <w:rsid w:val="00F120E6"/>
    <w:rsid w:val="00F1233B"/>
    <w:rsid w:val="00F12ACD"/>
    <w:rsid w:val="00F14347"/>
    <w:rsid w:val="00F15417"/>
    <w:rsid w:val="00F156D2"/>
    <w:rsid w:val="00F15C35"/>
    <w:rsid w:val="00F16589"/>
    <w:rsid w:val="00F17960"/>
    <w:rsid w:val="00F2068C"/>
    <w:rsid w:val="00F2069A"/>
    <w:rsid w:val="00F20F00"/>
    <w:rsid w:val="00F21552"/>
    <w:rsid w:val="00F234AB"/>
    <w:rsid w:val="00F23541"/>
    <w:rsid w:val="00F24478"/>
    <w:rsid w:val="00F24D7B"/>
    <w:rsid w:val="00F25E6F"/>
    <w:rsid w:val="00F27FEB"/>
    <w:rsid w:val="00F308B3"/>
    <w:rsid w:val="00F318DD"/>
    <w:rsid w:val="00F318EA"/>
    <w:rsid w:val="00F31DE0"/>
    <w:rsid w:val="00F3245D"/>
    <w:rsid w:val="00F3251C"/>
    <w:rsid w:val="00F32773"/>
    <w:rsid w:val="00F32F15"/>
    <w:rsid w:val="00F34571"/>
    <w:rsid w:val="00F3462A"/>
    <w:rsid w:val="00F34E70"/>
    <w:rsid w:val="00F35442"/>
    <w:rsid w:val="00F36F05"/>
    <w:rsid w:val="00F37BAD"/>
    <w:rsid w:val="00F37D19"/>
    <w:rsid w:val="00F4012C"/>
    <w:rsid w:val="00F40832"/>
    <w:rsid w:val="00F41FAC"/>
    <w:rsid w:val="00F4377A"/>
    <w:rsid w:val="00F4600C"/>
    <w:rsid w:val="00F46237"/>
    <w:rsid w:val="00F4733D"/>
    <w:rsid w:val="00F47384"/>
    <w:rsid w:val="00F47765"/>
    <w:rsid w:val="00F501C6"/>
    <w:rsid w:val="00F50EA9"/>
    <w:rsid w:val="00F540F8"/>
    <w:rsid w:val="00F551AC"/>
    <w:rsid w:val="00F555C6"/>
    <w:rsid w:val="00F5614F"/>
    <w:rsid w:val="00F569CF"/>
    <w:rsid w:val="00F577DA"/>
    <w:rsid w:val="00F60B82"/>
    <w:rsid w:val="00F60DF9"/>
    <w:rsid w:val="00F6115A"/>
    <w:rsid w:val="00F61C39"/>
    <w:rsid w:val="00F626CA"/>
    <w:rsid w:val="00F6270E"/>
    <w:rsid w:val="00F6271B"/>
    <w:rsid w:val="00F62AB4"/>
    <w:rsid w:val="00F630DB"/>
    <w:rsid w:val="00F630EF"/>
    <w:rsid w:val="00F6340E"/>
    <w:rsid w:val="00F6395F"/>
    <w:rsid w:val="00F6403E"/>
    <w:rsid w:val="00F655D7"/>
    <w:rsid w:val="00F6628F"/>
    <w:rsid w:val="00F66570"/>
    <w:rsid w:val="00F66AD9"/>
    <w:rsid w:val="00F70131"/>
    <w:rsid w:val="00F70DB1"/>
    <w:rsid w:val="00F70E74"/>
    <w:rsid w:val="00F71346"/>
    <w:rsid w:val="00F715F2"/>
    <w:rsid w:val="00F72C48"/>
    <w:rsid w:val="00F72D83"/>
    <w:rsid w:val="00F730C7"/>
    <w:rsid w:val="00F768BA"/>
    <w:rsid w:val="00F76BE5"/>
    <w:rsid w:val="00F76C87"/>
    <w:rsid w:val="00F76DB6"/>
    <w:rsid w:val="00F77CB9"/>
    <w:rsid w:val="00F80EDE"/>
    <w:rsid w:val="00F81233"/>
    <w:rsid w:val="00F812BA"/>
    <w:rsid w:val="00F824B1"/>
    <w:rsid w:val="00F82B80"/>
    <w:rsid w:val="00F859CE"/>
    <w:rsid w:val="00F85F80"/>
    <w:rsid w:val="00F8684A"/>
    <w:rsid w:val="00F904DF"/>
    <w:rsid w:val="00F90CDC"/>
    <w:rsid w:val="00F90F2B"/>
    <w:rsid w:val="00F90FFF"/>
    <w:rsid w:val="00F91441"/>
    <w:rsid w:val="00F9203D"/>
    <w:rsid w:val="00F92192"/>
    <w:rsid w:val="00F92E4A"/>
    <w:rsid w:val="00F931F2"/>
    <w:rsid w:val="00F933AB"/>
    <w:rsid w:val="00F9405F"/>
    <w:rsid w:val="00F94C3D"/>
    <w:rsid w:val="00F95AED"/>
    <w:rsid w:val="00F95D26"/>
    <w:rsid w:val="00F960CE"/>
    <w:rsid w:val="00F96641"/>
    <w:rsid w:val="00F9674A"/>
    <w:rsid w:val="00F979C5"/>
    <w:rsid w:val="00FA065F"/>
    <w:rsid w:val="00FA0CBF"/>
    <w:rsid w:val="00FA0E45"/>
    <w:rsid w:val="00FA20DD"/>
    <w:rsid w:val="00FA215D"/>
    <w:rsid w:val="00FA2B1A"/>
    <w:rsid w:val="00FA2B3B"/>
    <w:rsid w:val="00FA2D7F"/>
    <w:rsid w:val="00FA2EC0"/>
    <w:rsid w:val="00FA4489"/>
    <w:rsid w:val="00FA4E87"/>
    <w:rsid w:val="00FA64FD"/>
    <w:rsid w:val="00FA655A"/>
    <w:rsid w:val="00FB01C6"/>
    <w:rsid w:val="00FB0791"/>
    <w:rsid w:val="00FB1817"/>
    <w:rsid w:val="00FB1D98"/>
    <w:rsid w:val="00FB2625"/>
    <w:rsid w:val="00FB28A0"/>
    <w:rsid w:val="00FB4200"/>
    <w:rsid w:val="00FB42E1"/>
    <w:rsid w:val="00FB5750"/>
    <w:rsid w:val="00FB632F"/>
    <w:rsid w:val="00FB6A2E"/>
    <w:rsid w:val="00FB7444"/>
    <w:rsid w:val="00FC011A"/>
    <w:rsid w:val="00FC055C"/>
    <w:rsid w:val="00FC086B"/>
    <w:rsid w:val="00FC0AE3"/>
    <w:rsid w:val="00FC3EC9"/>
    <w:rsid w:val="00FC5E39"/>
    <w:rsid w:val="00FC7358"/>
    <w:rsid w:val="00FC7817"/>
    <w:rsid w:val="00FD1408"/>
    <w:rsid w:val="00FD19D2"/>
    <w:rsid w:val="00FD1B7B"/>
    <w:rsid w:val="00FD2A62"/>
    <w:rsid w:val="00FD3561"/>
    <w:rsid w:val="00FD4437"/>
    <w:rsid w:val="00FD58EB"/>
    <w:rsid w:val="00FD58F6"/>
    <w:rsid w:val="00FD5C35"/>
    <w:rsid w:val="00FD65FB"/>
    <w:rsid w:val="00FD6779"/>
    <w:rsid w:val="00FE1497"/>
    <w:rsid w:val="00FE1D13"/>
    <w:rsid w:val="00FE26A5"/>
    <w:rsid w:val="00FE347C"/>
    <w:rsid w:val="00FE3ABF"/>
    <w:rsid w:val="00FE4A16"/>
    <w:rsid w:val="00FE4DBD"/>
    <w:rsid w:val="00FE5AA5"/>
    <w:rsid w:val="00FE5B31"/>
    <w:rsid w:val="00FE67AA"/>
    <w:rsid w:val="00FE6A61"/>
    <w:rsid w:val="00FE70A5"/>
    <w:rsid w:val="00FE726F"/>
    <w:rsid w:val="00FF0D24"/>
    <w:rsid w:val="00FF1028"/>
    <w:rsid w:val="00FF1476"/>
    <w:rsid w:val="00FF2A5C"/>
    <w:rsid w:val="00FF422E"/>
    <w:rsid w:val="00FF4AA9"/>
    <w:rsid w:val="00FF5029"/>
    <w:rsid w:val="00FF5C3C"/>
    <w:rsid w:val="00FF6182"/>
    <w:rsid w:val="00FF678A"/>
    <w:rsid w:val="00FF7D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ocId w14:val="70DF906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2"/>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numPr>
        <w:numId w:val="50"/>
      </w:numPr>
    </w:pPr>
  </w:style>
  <w:style w:type="paragraph" w:customStyle="1" w:styleId="Dash">
    <w:name w:val="Dash"/>
    <w:basedOn w:val="Normal"/>
    <w:rsid w:val="00D51386"/>
    <w:pPr>
      <w:numPr>
        <w:ilvl w:val="1"/>
        <w:numId w:val="50"/>
      </w:numPr>
    </w:pPr>
  </w:style>
  <w:style w:type="paragraph" w:customStyle="1" w:styleId="DoubleDot">
    <w:name w:val="Double Dot"/>
    <w:basedOn w:val="Normal"/>
    <w:link w:val="DoubleDotChar"/>
    <w:rsid w:val="00D51386"/>
    <w:pPr>
      <w:numPr>
        <w:ilvl w:val="2"/>
        <w:numId w:val="50"/>
      </w:numPr>
    </w:pPr>
  </w:style>
  <w:style w:type="paragraph" w:customStyle="1" w:styleId="OutlineNumbered1">
    <w:name w:val="Outline Numbered 1"/>
    <w:basedOn w:val="Normal"/>
    <w:link w:val="OutlineNumbered1Char"/>
    <w:rsid w:val="00D51386"/>
    <w:pPr>
      <w:numPr>
        <w:numId w:val="2"/>
      </w:numPr>
    </w:pPr>
  </w:style>
  <w:style w:type="paragraph" w:customStyle="1" w:styleId="OutlineNumbered2">
    <w:name w:val="Outline Numbered 2"/>
    <w:basedOn w:val="Normal"/>
    <w:rsid w:val="00D51386"/>
    <w:pPr>
      <w:numPr>
        <w:ilvl w:val="1"/>
        <w:numId w:val="2"/>
      </w:numPr>
    </w:pPr>
  </w:style>
  <w:style w:type="paragraph" w:customStyle="1" w:styleId="OutlineNumbered3">
    <w:name w:val="Outline Numbered 3"/>
    <w:basedOn w:val="Normal"/>
    <w:rsid w:val="00D51386"/>
    <w:pPr>
      <w:numPr>
        <w:ilvl w:val="2"/>
        <w:numId w:val="2"/>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1"/>
      </w:numPr>
      <w:tabs>
        <w:tab w:val="clear" w:pos="360"/>
        <w:tab w:val="num" w:pos="283"/>
        <w:tab w:val="num" w:pos="543"/>
      </w:tabs>
      <w:ind w:left="283" w:hanging="283"/>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4"/>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3"/>
      </w:numPr>
    </w:pPr>
  </w:style>
  <w:style w:type="paragraph" w:customStyle="1" w:styleId="BoxDash">
    <w:name w:val="Box Dash"/>
    <w:basedOn w:val="Normal"/>
    <w:uiPriority w:val="99"/>
    <w:rsid w:val="00D51386"/>
    <w:pPr>
      <w:numPr>
        <w:ilvl w:val="1"/>
        <w:numId w:val="3"/>
      </w:numPr>
    </w:pPr>
  </w:style>
  <w:style w:type="paragraph" w:customStyle="1" w:styleId="BoxDoubleDot">
    <w:name w:val="Box Double Dot"/>
    <w:basedOn w:val="BoxTextBase"/>
    <w:uiPriority w:val="99"/>
    <w:rsid w:val="00D51386"/>
    <w:pPr>
      <w:numPr>
        <w:ilvl w:val="2"/>
        <w:numId w:val="3"/>
      </w:numPr>
    </w:pPr>
  </w:style>
  <w:style w:type="paragraph" w:customStyle="1" w:styleId="RecommendationBullet">
    <w:name w:val="Recommendation Bullet"/>
    <w:basedOn w:val="RecommendationTextBase"/>
    <w:rsid w:val="00D51386"/>
    <w:pPr>
      <w:numPr>
        <w:numId w:val="5"/>
      </w:numPr>
    </w:pPr>
  </w:style>
  <w:style w:type="paragraph" w:customStyle="1" w:styleId="RecommendationDash">
    <w:name w:val="Recommendation Dash"/>
    <w:basedOn w:val="RecommendationTextBase"/>
    <w:rsid w:val="00D51386"/>
    <w:pPr>
      <w:numPr>
        <w:ilvl w:val="1"/>
        <w:numId w:val="5"/>
      </w:numPr>
    </w:pPr>
  </w:style>
  <w:style w:type="paragraph" w:customStyle="1" w:styleId="RecommendationDoubleDot">
    <w:name w:val="Recommendation Double Dot"/>
    <w:basedOn w:val="RecommendationTextBase"/>
    <w:rsid w:val="00D51386"/>
    <w:pPr>
      <w:numPr>
        <w:ilvl w:val="2"/>
        <w:numId w:val="5"/>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tabs>
        <w:tab w:val="num" w:pos="360"/>
      </w:tabs>
      <w:ind w:left="360" w:hanging="360"/>
    </w:pPr>
  </w:style>
  <w:style w:type="paragraph" w:customStyle="1" w:styleId="Romannumeral">
    <w:name w:val="Roman numeral"/>
    <w:basedOn w:val="Normal"/>
    <w:rsid w:val="00D51386"/>
    <w:pPr>
      <w:numPr>
        <w:numId w:val="10"/>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3"/>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spacing w:before="40" w:after="60"/>
      <w:ind w:left="0" w:firstLine="0"/>
    </w:pPr>
  </w:style>
  <w:style w:type="paragraph" w:customStyle="1" w:styleId="ScheduleList">
    <w:name w:val="ScheduleList"/>
    <w:basedOn w:val="Normal"/>
    <w:rsid w:val="00D51386"/>
    <w:pPr>
      <w:numPr>
        <w:numId w:val="7"/>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3"/>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8"/>
      </w:numPr>
    </w:pPr>
  </w:style>
  <w:style w:type="paragraph" w:customStyle="1" w:styleId="AgreementParties">
    <w:name w:val="AgreementParties"/>
    <w:rsid w:val="00D51386"/>
    <w:pPr>
      <w:numPr>
        <w:numId w:val="11"/>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5"/>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6"/>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17"/>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7"/>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7"/>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7"/>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7"/>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7"/>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7"/>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7"/>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7"/>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OutlineNumbered1Char">
    <w:name w:val="Outline Numbered 1 Char"/>
    <w:basedOn w:val="DefaultParagraphFont"/>
    <w:link w:val="OutlineNumbered1"/>
    <w:locked/>
    <w:rsid w:val="004D6D7F"/>
    <w:rPr>
      <w:rFonts w:ascii="Corbel" w:hAnsi="Corbel"/>
      <w:color w:val="000000"/>
      <w:sz w:val="23"/>
    </w:rPr>
  </w:style>
  <w:style w:type="paragraph" w:styleId="Revision">
    <w:name w:val="Revision"/>
    <w:hidden/>
    <w:uiPriority w:val="99"/>
    <w:semiHidden/>
    <w:rsid w:val="004D6D7F"/>
    <w:rPr>
      <w:rFonts w:ascii="Corbel" w:hAnsi="Corbel"/>
      <w:color w:val="000000"/>
      <w:sz w:val="23"/>
    </w:rPr>
  </w:style>
  <w:style w:type="paragraph" w:customStyle="1" w:styleId="BulletedListLevel1">
    <w:name w:val="Bulleted List Level 1"/>
    <w:semiHidden/>
    <w:rsid w:val="00B0309E"/>
    <w:pPr>
      <w:keepLines/>
      <w:numPr>
        <w:numId w:val="54"/>
      </w:numPr>
      <w:tabs>
        <w:tab w:val="left" w:pos="1134"/>
      </w:tabs>
      <w:spacing w:after="140" w:line="300" w:lineRule="atLeast"/>
    </w:pPr>
    <w:rPr>
      <w:rFonts w:ascii="Gill Sans MT" w:hAnsi="Gill Sans MT"/>
      <w:sz w:val="24"/>
      <w:szCs w:val="24"/>
      <w:lang w:eastAsia="en-US"/>
    </w:rPr>
  </w:style>
  <w:style w:type="character" w:customStyle="1" w:styleId="DoubleDotChar">
    <w:name w:val="Double Dot Char"/>
    <w:basedOn w:val="DefaultParagraphFont"/>
    <w:link w:val="DoubleDot"/>
    <w:locked/>
    <w:rsid w:val="00F540F8"/>
    <w:rPr>
      <w:rFonts w:ascii="Corbel" w:hAnsi="Corbel"/>
      <w:color w:val="000000"/>
      <w:sz w:val="23"/>
    </w:rPr>
  </w:style>
  <w:style w:type="table" w:styleId="TableElegant">
    <w:name w:val="Table Elegant"/>
    <w:basedOn w:val="TableNormal"/>
    <w:rsid w:val="00E96F31"/>
    <w:pPr>
      <w:spacing w:after="240" w:line="260" w:lineRule="exac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E5760F"/>
    <w:pPr>
      <w:spacing w:after="240" w:line="260" w:lineRule="exact"/>
    </w:pPr>
    <w:rPr>
      <w:rFonts w:ascii="Corbel" w:hAnsi="Corbel"/>
    </w:rPr>
    <w:tblPr/>
    <w:trPr>
      <w:cantSplit/>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2"/>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numPr>
        <w:numId w:val="50"/>
      </w:numPr>
    </w:pPr>
  </w:style>
  <w:style w:type="paragraph" w:customStyle="1" w:styleId="Dash">
    <w:name w:val="Dash"/>
    <w:basedOn w:val="Normal"/>
    <w:rsid w:val="00D51386"/>
    <w:pPr>
      <w:numPr>
        <w:ilvl w:val="1"/>
        <w:numId w:val="50"/>
      </w:numPr>
    </w:pPr>
  </w:style>
  <w:style w:type="paragraph" w:customStyle="1" w:styleId="DoubleDot">
    <w:name w:val="Double Dot"/>
    <w:basedOn w:val="Normal"/>
    <w:link w:val="DoubleDotChar"/>
    <w:rsid w:val="00D51386"/>
    <w:pPr>
      <w:numPr>
        <w:ilvl w:val="2"/>
        <w:numId w:val="50"/>
      </w:numPr>
    </w:pPr>
  </w:style>
  <w:style w:type="paragraph" w:customStyle="1" w:styleId="OutlineNumbered1">
    <w:name w:val="Outline Numbered 1"/>
    <w:basedOn w:val="Normal"/>
    <w:link w:val="OutlineNumbered1Char"/>
    <w:rsid w:val="00D51386"/>
    <w:pPr>
      <w:numPr>
        <w:numId w:val="2"/>
      </w:numPr>
    </w:pPr>
  </w:style>
  <w:style w:type="paragraph" w:customStyle="1" w:styleId="OutlineNumbered2">
    <w:name w:val="Outline Numbered 2"/>
    <w:basedOn w:val="Normal"/>
    <w:rsid w:val="00D51386"/>
    <w:pPr>
      <w:numPr>
        <w:ilvl w:val="1"/>
        <w:numId w:val="2"/>
      </w:numPr>
    </w:pPr>
  </w:style>
  <w:style w:type="paragraph" w:customStyle="1" w:styleId="OutlineNumbered3">
    <w:name w:val="Outline Numbered 3"/>
    <w:basedOn w:val="Normal"/>
    <w:rsid w:val="00D51386"/>
    <w:pPr>
      <w:numPr>
        <w:ilvl w:val="2"/>
        <w:numId w:val="2"/>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1"/>
      </w:numPr>
      <w:tabs>
        <w:tab w:val="clear" w:pos="360"/>
        <w:tab w:val="num" w:pos="283"/>
        <w:tab w:val="num" w:pos="543"/>
      </w:tabs>
      <w:ind w:left="283" w:hanging="283"/>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4"/>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3"/>
      </w:numPr>
    </w:pPr>
  </w:style>
  <w:style w:type="paragraph" w:customStyle="1" w:styleId="BoxDash">
    <w:name w:val="Box Dash"/>
    <w:basedOn w:val="Normal"/>
    <w:uiPriority w:val="99"/>
    <w:rsid w:val="00D51386"/>
    <w:pPr>
      <w:numPr>
        <w:ilvl w:val="1"/>
        <w:numId w:val="3"/>
      </w:numPr>
    </w:pPr>
  </w:style>
  <w:style w:type="paragraph" w:customStyle="1" w:styleId="BoxDoubleDot">
    <w:name w:val="Box Double Dot"/>
    <w:basedOn w:val="BoxTextBase"/>
    <w:uiPriority w:val="99"/>
    <w:rsid w:val="00D51386"/>
    <w:pPr>
      <w:numPr>
        <w:ilvl w:val="2"/>
        <w:numId w:val="3"/>
      </w:numPr>
    </w:pPr>
  </w:style>
  <w:style w:type="paragraph" w:customStyle="1" w:styleId="RecommendationBullet">
    <w:name w:val="Recommendation Bullet"/>
    <w:basedOn w:val="RecommendationTextBase"/>
    <w:rsid w:val="00D51386"/>
    <w:pPr>
      <w:numPr>
        <w:numId w:val="5"/>
      </w:numPr>
    </w:pPr>
  </w:style>
  <w:style w:type="paragraph" w:customStyle="1" w:styleId="RecommendationDash">
    <w:name w:val="Recommendation Dash"/>
    <w:basedOn w:val="RecommendationTextBase"/>
    <w:rsid w:val="00D51386"/>
    <w:pPr>
      <w:numPr>
        <w:ilvl w:val="1"/>
        <w:numId w:val="5"/>
      </w:numPr>
    </w:pPr>
  </w:style>
  <w:style w:type="paragraph" w:customStyle="1" w:styleId="RecommendationDoubleDot">
    <w:name w:val="Recommendation Double Dot"/>
    <w:basedOn w:val="RecommendationTextBase"/>
    <w:rsid w:val="00D51386"/>
    <w:pPr>
      <w:numPr>
        <w:ilvl w:val="2"/>
        <w:numId w:val="5"/>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tabs>
        <w:tab w:val="num" w:pos="360"/>
      </w:tabs>
      <w:ind w:left="360" w:hanging="360"/>
    </w:pPr>
  </w:style>
  <w:style w:type="paragraph" w:customStyle="1" w:styleId="Romannumeral">
    <w:name w:val="Roman numeral"/>
    <w:basedOn w:val="Normal"/>
    <w:rsid w:val="00D51386"/>
    <w:pPr>
      <w:numPr>
        <w:numId w:val="10"/>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3"/>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spacing w:before="40" w:after="60"/>
      <w:ind w:left="0" w:firstLine="0"/>
    </w:pPr>
  </w:style>
  <w:style w:type="paragraph" w:customStyle="1" w:styleId="ScheduleList">
    <w:name w:val="ScheduleList"/>
    <w:basedOn w:val="Normal"/>
    <w:rsid w:val="00D51386"/>
    <w:pPr>
      <w:numPr>
        <w:numId w:val="7"/>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3"/>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8"/>
      </w:numPr>
    </w:pPr>
  </w:style>
  <w:style w:type="paragraph" w:customStyle="1" w:styleId="AgreementParties">
    <w:name w:val="AgreementParties"/>
    <w:rsid w:val="00D51386"/>
    <w:pPr>
      <w:numPr>
        <w:numId w:val="11"/>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5"/>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6"/>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17"/>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7"/>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7"/>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7"/>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7"/>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7"/>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7"/>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7"/>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7"/>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OutlineNumbered1Char">
    <w:name w:val="Outline Numbered 1 Char"/>
    <w:basedOn w:val="DefaultParagraphFont"/>
    <w:link w:val="OutlineNumbered1"/>
    <w:locked/>
    <w:rsid w:val="004D6D7F"/>
    <w:rPr>
      <w:rFonts w:ascii="Corbel" w:hAnsi="Corbel"/>
      <w:color w:val="000000"/>
      <w:sz w:val="23"/>
    </w:rPr>
  </w:style>
  <w:style w:type="paragraph" w:styleId="Revision">
    <w:name w:val="Revision"/>
    <w:hidden/>
    <w:uiPriority w:val="99"/>
    <w:semiHidden/>
    <w:rsid w:val="004D6D7F"/>
    <w:rPr>
      <w:rFonts w:ascii="Corbel" w:hAnsi="Corbel"/>
      <w:color w:val="000000"/>
      <w:sz w:val="23"/>
    </w:rPr>
  </w:style>
  <w:style w:type="paragraph" w:customStyle="1" w:styleId="BulletedListLevel1">
    <w:name w:val="Bulleted List Level 1"/>
    <w:semiHidden/>
    <w:rsid w:val="00B0309E"/>
    <w:pPr>
      <w:keepLines/>
      <w:numPr>
        <w:numId w:val="54"/>
      </w:numPr>
      <w:tabs>
        <w:tab w:val="left" w:pos="1134"/>
      </w:tabs>
      <w:spacing w:after="140" w:line="300" w:lineRule="atLeast"/>
    </w:pPr>
    <w:rPr>
      <w:rFonts w:ascii="Gill Sans MT" w:hAnsi="Gill Sans MT"/>
      <w:sz w:val="24"/>
      <w:szCs w:val="24"/>
      <w:lang w:eastAsia="en-US"/>
    </w:rPr>
  </w:style>
  <w:style w:type="character" w:customStyle="1" w:styleId="DoubleDotChar">
    <w:name w:val="Double Dot Char"/>
    <w:basedOn w:val="DefaultParagraphFont"/>
    <w:link w:val="DoubleDot"/>
    <w:locked/>
    <w:rsid w:val="00F540F8"/>
    <w:rPr>
      <w:rFonts w:ascii="Corbel" w:hAnsi="Corbel"/>
      <w:color w:val="000000"/>
      <w:sz w:val="23"/>
    </w:rPr>
  </w:style>
  <w:style w:type="table" w:styleId="TableElegant">
    <w:name w:val="Table Elegant"/>
    <w:basedOn w:val="TableNormal"/>
    <w:rsid w:val="00E96F31"/>
    <w:pPr>
      <w:spacing w:after="240" w:line="260" w:lineRule="exac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E5760F"/>
    <w:pPr>
      <w:spacing w:after="240" w:line="260" w:lineRule="exact"/>
    </w:pPr>
    <w:rPr>
      <w:rFonts w:ascii="Corbel" w:hAnsi="Corbel"/>
    </w:rPr>
    <w:tblPr/>
    <w:trPr>
      <w:cantSplit/>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3670">
      <w:bodyDiv w:val="1"/>
      <w:marLeft w:val="0"/>
      <w:marRight w:val="0"/>
      <w:marTop w:val="0"/>
      <w:marBottom w:val="0"/>
      <w:divBdr>
        <w:top w:val="none" w:sz="0" w:space="0" w:color="auto"/>
        <w:left w:val="none" w:sz="0" w:space="0" w:color="auto"/>
        <w:bottom w:val="none" w:sz="0" w:space="0" w:color="auto"/>
        <w:right w:val="none" w:sz="0" w:space="0" w:color="auto"/>
      </w:divBdr>
    </w:div>
    <w:div w:id="132990917">
      <w:bodyDiv w:val="1"/>
      <w:marLeft w:val="0"/>
      <w:marRight w:val="0"/>
      <w:marTop w:val="0"/>
      <w:marBottom w:val="0"/>
      <w:divBdr>
        <w:top w:val="none" w:sz="0" w:space="0" w:color="auto"/>
        <w:left w:val="none" w:sz="0" w:space="0" w:color="auto"/>
        <w:bottom w:val="none" w:sz="0" w:space="0" w:color="auto"/>
        <w:right w:val="none" w:sz="0" w:space="0" w:color="auto"/>
      </w:divBdr>
    </w:div>
    <w:div w:id="207766326">
      <w:bodyDiv w:val="1"/>
      <w:marLeft w:val="0"/>
      <w:marRight w:val="0"/>
      <w:marTop w:val="0"/>
      <w:marBottom w:val="0"/>
      <w:divBdr>
        <w:top w:val="none" w:sz="0" w:space="0" w:color="auto"/>
        <w:left w:val="none" w:sz="0" w:space="0" w:color="auto"/>
        <w:bottom w:val="none" w:sz="0" w:space="0" w:color="auto"/>
        <w:right w:val="none" w:sz="0" w:space="0" w:color="auto"/>
      </w:divBdr>
    </w:div>
    <w:div w:id="208883905">
      <w:bodyDiv w:val="1"/>
      <w:marLeft w:val="0"/>
      <w:marRight w:val="0"/>
      <w:marTop w:val="0"/>
      <w:marBottom w:val="0"/>
      <w:divBdr>
        <w:top w:val="none" w:sz="0" w:space="0" w:color="auto"/>
        <w:left w:val="none" w:sz="0" w:space="0" w:color="auto"/>
        <w:bottom w:val="none" w:sz="0" w:space="0" w:color="auto"/>
        <w:right w:val="none" w:sz="0" w:space="0" w:color="auto"/>
      </w:divBdr>
    </w:div>
    <w:div w:id="285894855">
      <w:bodyDiv w:val="1"/>
      <w:marLeft w:val="0"/>
      <w:marRight w:val="0"/>
      <w:marTop w:val="0"/>
      <w:marBottom w:val="0"/>
      <w:divBdr>
        <w:top w:val="none" w:sz="0" w:space="0" w:color="auto"/>
        <w:left w:val="none" w:sz="0" w:space="0" w:color="auto"/>
        <w:bottom w:val="none" w:sz="0" w:space="0" w:color="auto"/>
        <w:right w:val="none" w:sz="0" w:space="0" w:color="auto"/>
      </w:divBdr>
    </w:div>
    <w:div w:id="311102572">
      <w:bodyDiv w:val="1"/>
      <w:marLeft w:val="0"/>
      <w:marRight w:val="0"/>
      <w:marTop w:val="0"/>
      <w:marBottom w:val="0"/>
      <w:divBdr>
        <w:top w:val="none" w:sz="0" w:space="0" w:color="auto"/>
        <w:left w:val="none" w:sz="0" w:space="0" w:color="auto"/>
        <w:bottom w:val="none" w:sz="0" w:space="0" w:color="auto"/>
        <w:right w:val="none" w:sz="0" w:space="0" w:color="auto"/>
      </w:divBdr>
    </w:div>
    <w:div w:id="377436332">
      <w:bodyDiv w:val="1"/>
      <w:marLeft w:val="0"/>
      <w:marRight w:val="0"/>
      <w:marTop w:val="0"/>
      <w:marBottom w:val="0"/>
      <w:divBdr>
        <w:top w:val="none" w:sz="0" w:space="0" w:color="auto"/>
        <w:left w:val="none" w:sz="0" w:space="0" w:color="auto"/>
        <w:bottom w:val="none" w:sz="0" w:space="0" w:color="auto"/>
        <w:right w:val="none" w:sz="0" w:space="0" w:color="auto"/>
      </w:divBdr>
    </w:div>
    <w:div w:id="404188949">
      <w:bodyDiv w:val="1"/>
      <w:marLeft w:val="0"/>
      <w:marRight w:val="0"/>
      <w:marTop w:val="0"/>
      <w:marBottom w:val="0"/>
      <w:divBdr>
        <w:top w:val="none" w:sz="0" w:space="0" w:color="auto"/>
        <w:left w:val="none" w:sz="0" w:space="0" w:color="auto"/>
        <w:bottom w:val="none" w:sz="0" w:space="0" w:color="auto"/>
        <w:right w:val="none" w:sz="0" w:space="0" w:color="auto"/>
      </w:divBdr>
    </w:div>
    <w:div w:id="469828192">
      <w:bodyDiv w:val="1"/>
      <w:marLeft w:val="0"/>
      <w:marRight w:val="0"/>
      <w:marTop w:val="0"/>
      <w:marBottom w:val="0"/>
      <w:divBdr>
        <w:top w:val="none" w:sz="0" w:space="0" w:color="auto"/>
        <w:left w:val="none" w:sz="0" w:space="0" w:color="auto"/>
        <w:bottom w:val="none" w:sz="0" w:space="0" w:color="auto"/>
        <w:right w:val="none" w:sz="0" w:space="0" w:color="auto"/>
      </w:divBdr>
    </w:div>
    <w:div w:id="501235947">
      <w:bodyDiv w:val="1"/>
      <w:marLeft w:val="0"/>
      <w:marRight w:val="0"/>
      <w:marTop w:val="0"/>
      <w:marBottom w:val="0"/>
      <w:divBdr>
        <w:top w:val="none" w:sz="0" w:space="0" w:color="auto"/>
        <w:left w:val="none" w:sz="0" w:space="0" w:color="auto"/>
        <w:bottom w:val="none" w:sz="0" w:space="0" w:color="auto"/>
        <w:right w:val="none" w:sz="0" w:space="0" w:color="auto"/>
      </w:divBdr>
    </w:div>
    <w:div w:id="632753642">
      <w:bodyDiv w:val="1"/>
      <w:marLeft w:val="0"/>
      <w:marRight w:val="0"/>
      <w:marTop w:val="0"/>
      <w:marBottom w:val="0"/>
      <w:divBdr>
        <w:top w:val="none" w:sz="0" w:space="0" w:color="auto"/>
        <w:left w:val="none" w:sz="0" w:space="0" w:color="auto"/>
        <w:bottom w:val="none" w:sz="0" w:space="0" w:color="auto"/>
        <w:right w:val="none" w:sz="0" w:space="0" w:color="auto"/>
      </w:divBdr>
    </w:div>
    <w:div w:id="649216039">
      <w:bodyDiv w:val="1"/>
      <w:marLeft w:val="0"/>
      <w:marRight w:val="0"/>
      <w:marTop w:val="0"/>
      <w:marBottom w:val="0"/>
      <w:divBdr>
        <w:top w:val="none" w:sz="0" w:space="0" w:color="auto"/>
        <w:left w:val="none" w:sz="0" w:space="0" w:color="auto"/>
        <w:bottom w:val="none" w:sz="0" w:space="0" w:color="auto"/>
        <w:right w:val="none" w:sz="0" w:space="0" w:color="auto"/>
      </w:divBdr>
    </w:div>
    <w:div w:id="672992275">
      <w:bodyDiv w:val="1"/>
      <w:marLeft w:val="0"/>
      <w:marRight w:val="0"/>
      <w:marTop w:val="0"/>
      <w:marBottom w:val="0"/>
      <w:divBdr>
        <w:top w:val="none" w:sz="0" w:space="0" w:color="auto"/>
        <w:left w:val="none" w:sz="0" w:space="0" w:color="auto"/>
        <w:bottom w:val="none" w:sz="0" w:space="0" w:color="auto"/>
        <w:right w:val="none" w:sz="0" w:space="0" w:color="auto"/>
      </w:divBdr>
    </w:div>
    <w:div w:id="871308583">
      <w:bodyDiv w:val="1"/>
      <w:marLeft w:val="0"/>
      <w:marRight w:val="0"/>
      <w:marTop w:val="0"/>
      <w:marBottom w:val="0"/>
      <w:divBdr>
        <w:top w:val="none" w:sz="0" w:space="0" w:color="auto"/>
        <w:left w:val="none" w:sz="0" w:space="0" w:color="auto"/>
        <w:bottom w:val="none" w:sz="0" w:space="0" w:color="auto"/>
        <w:right w:val="none" w:sz="0" w:space="0" w:color="auto"/>
      </w:divBdr>
    </w:div>
    <w:div w:id="919289338">
      <w:bodyDiv w:val="1"/>
      <w:marLeft w:val="0"/>
      <w:marRight w:val="0"/>
      <w:marTop w:val="0"/>
      <w:marBottom w:val="0"/>
      <w:divBdr>
        <w:top w:val="none" w:sz="0" w:space="0" w:color="auto"/>
        <w:left w:val="none" w:sz="0" w:space="0" w:color="auto"/>
        <w:bottom w:val="none" w:sz="0" w:space="0" w:color="auto"/>
        <w:right w:val="none" w:sz="0" w:space="0" w:color="auto"/>
      </w:divBdr>
    </w:div>
    <w:div w:id="1003242389">
      <w:marLeft w:val="0"/>
      <w:marRight w:val="0"/>
      <w:marTop w:val="0"/>
      <w:marBottom w:val="0"/>
      <w:divBdr>
        <w:top w:val="none" w:sz="0" w:space="0" w:color="auto"/>
        <w:left w:val="none" w:sz="0" w:space="0" w:color="auto"/>
        <w:bottom w:val="none" w:sz="0" w:space="0" w:color="auto"/>
        <w:right w:val="none" w:sz="0" w:space="0" w:color="auto"/>
      </w:divBdr>
    </w:div>
    <w:div w:id="1003242390">
      <w:marLeft w:val="0"/>
      <w:marRight w:val="0"/>
      <w:marTop w:val="0"/>
      <w:marBottom w:val="0"/>
      <w:divBdr>
        <w:top w:val="none" w:sz="0" w:space="0" w:color="auto"/>
        <w:left w:val="none" w:sz="0" w:space="0" w:color="auto"/>
        <w:bottom w:val="none" w:sz="0" w:space="0" w:color="auto"/>
        <w:right w:val="none" w:sz="0" w:space="0" w:color="auto"/>
      </w:divBdr>
    </w:div>
    <w:div w:id="1003242391">
      <w:marLeft w:val="0"/>
      <w:marRight w:val="0"/>
      <w:marTop w:val="0"/>
      <w:marBottom w:val="0"/>
      <w:divBdr>
        <w:top w:val="none" w:sz="0" w:space="0" w:color="auto"/>
        <w:left w:val="none" w:sz="0" w:space="0" w:color="auto"/>
        <w:bottom w:val="none" w:sz="0" w:space="0" w:color="auto"/>
        <w:right w:val="none" w:sz="0" w:space="0" w:color="auto"/>
      </w:divBdr>
    </w:div>
    <w:div w:id="1003242392">
      <w:marLeft w:val="0"/>
      <w:marRight w:val="0"/>
      <w:marTop w:val="0"/>
      <w:marBottom w:val="0"/>
      <w:divBdr>
        <w:top w:val="none" w:sz="0" w:space="0" w:color="auto"/>
        <w:left w:val="none" w:sz="0" w:space="0" w:color="auto"/>
        <w:bottom w:val="none" w:sz="0" w:space="0" w:color="auto"/>
        <w:right w:val="none" w:sz="0" w:space="0" w:color="auto"/>
      </w:divBdr>
    </w:div>
    <w:div w:id="1003242393">
      <w:marLeft w:val="0"/>
      <w:marRight w:val="0"/>
      <w:marTop w:val="0"/>
      <w:marBottom w:val="0"/>
      <w:divBdr>
        <w:top w:val="none" w:sz="0" w:space="0" w:color="auto"/>
        <w:left w:val="none" w:sz="0" w:space="0" w:color="auto"/>
        <w:bottom w:val="none" w:sz="0" w:space="0" w:color="auto"/>
        <w:right w:val="none" w:sz="0" w:space="0" w:color="auto"/>
      </w:divBdr>
    </w:div>
    <w:div w:id="1003242394">
      <w:marLeft w:val="0"/>
      <w:marRight w:val="0"/>
      <w:marTop w:val="0"/>
      <w:marBottom w:val="0"/>
      <w:divBdr>
        <w:top w:val="none" w:sz="0" w:space="0" w:color="auto"/>
        <w:left w:val="none" w:sz="0" w:space="0" w:color="auto"/>
        <w:bottom w:val="none" w:sz="0" w:space="0" w:color="auto"/>
        <w:right w:val="none" w:sz="0" w:space="0" w:color="auto"/>
      </w:divBdr>
    </w:div>
    <w:div w:id="1003242395">
      <w:marLeft w:val="0"/>
      <w:marRight w:val="0"/>
      <w:marTop w:val="0"/>
      <w:marBottom w:val="0"/>
      <w:divBdr>
        <w:top w:val="none" w:sz="0" w:space="0" w:color="auto"/>
        <w:left w:val="none" w:sz="0" w:space="0" w:color="auto"/>
        <w:bottom w:val="none" w:sz="0" w:space="0" w:color="auto"/>
        <w:right w:val="none" w:sz="0" w:space="0" w:color="auto"/>
      </w:divBdr>
    </w:div>
    <w:div w:id="1003242396">
      <w:marLeft w:val="0"/>
      <w:marRight w:val="0"/>
      <w:marTop w:val="0"/>
      <w:marBottom w:val="0"/>
      <w:divBdr>
        <w:top w:val="none" w:sz="0" w:space="0" w:color="auto"/>
        <w:left w:val="none" w:sz="0" w:space="0" w:color="auto"/>
        <w:bottom w:val="none" w:sz="0" w:space="0" w:color="auto"/>
        <w:right w:val="none" w:sz="0" w:space="0" w:color="auto"/>
      </w:divBdr>
    </w:div>
    <w:div w:id="1024594228">
      <w:bodyDiv w:val="1"/>
      <w:marLeft w:val="0"/>
      <w:marRight w:val="0"/>
      <w:marTop w:val="0"/>
      <w:marBottom w:val="0"/>
      <w:divBdr>
        <w:top w:val="none" w:sz="0" w:space="0" w:color="auto"/>
        <w:left w:val="none" w:sz="0" w:space="0" w:color="auto"/>
        <w:bottom w:val="none" w:sz="0" w:space="0" w:color="auto"/>
        <w:right w:val="none" w:sz="0" w:space="0" w:color="auto"/>
      </w:divBdr>
    </w:div>
    <w:div w:id="1025523171">
      <w:bodyDiv w:val="1"/>
      <w:marLeft w:val="0"/>
      <w:marRight w:val="0"/>
      <w:marTop w:val="0"/>
      <w:marBottom w:val="0"/>
      <w:divBdr>
        <w:top w:val="none" w:sz="0" w:space="0" w:color="auto"/>
        <w:left w:val="none" w:sz="0" w:space="0" w:color="auto"/>
        <w:bottom w:val="none" w:sz="0" w:space="0" w:color="auto"/>
        <w:right w:val="none" w:sz="0" w:space="0" w:color="auto"/>
      </w:divBdr>
    </w:div>
    <w:div w:id="1132558221">
      <w:bodyDiv w:val="1"/>
      <w:marLeft w:val="0"/>
      <w:marRight w:val="0"/>
      <w:marTop w:val="0"/>
      <w:marBottom w:val="0"/>
      <w:divBdr>
        <w:top w:val="none" w:sz="0" w:space="0" w:color="auto"/>
        <w:left w:val="none" w:sz="0" w:space="0" w:color="auto"/>
        <w:bottom w:val="none" w:sz="0" w:space="0" w:color="auto"/>
        <w:right w:val="none" w:sz="0" w:space="0" w:color="auto"/>
      </w:divBdr>
    </w:div>
    <w:div w:id="1208495163">
      <w:bodyDiv w:val="1"/>
      <w:marLeft w:val="0"/>
      <w:marRight w:val="0"/>
      <w:marTop w:val="0"/>
      <w:marBottom w:val="0"/>
      <w:divBdr>
        <w:top w:val="none" w:sz="0" w:space="0" w:color="auto"/>
        <w:left w:val="none" w:sz="0" w:space="0" w:color="auto"/>
        <w:bottom w:val="none" w:sz="0" w:space="0" w:color="auto"/>
        <w:right w:val="none" w:sz="0" w:space="0" w:color="auto"/>
      </w:divBdr>
    </w:div>
    <w:div w:id="1339842450">
      <w:bodyDiv w:val="1"/>
      <w:marLeft w:val="0"/>
      <w:marRight w:val="0"/>
      <w:marTop w:val="0"/>
      <w:marBottom w:val="0"/>
      <w:divBdr>
        <w:top w:val="none" w:sz="0" w:space="0" w:color="auto"/>
        <w:left w:val="none" w:sz="0" w:space="0" w:color="auto"/>
        <w:bottom w:val="none" w:sz="0" w:space="0" w:color="auto"/>
        <w:right w:val="none" w:sz="0" w:space="0" w:color="auto"/>
      </w:divBdr>
    </w:div>
    <w:div w:id="1389919581">
      <w:bodyDiv w:val="1"/>
      <w:marLeft w:val="0"/>
      <w:marRight w:val="0"/>
      <w:marTop w:val="0"/>
      <w:marBottom w:val="0"/>
      <w:divBdr>
        <w:top w:val="none" w:sz="0" w:space="0" w:color="auto"/>
        <w:left w:val="none" w:sz="0" w:space="0" w:color="auto"/>
        <w:bottom w:val="none" w:sz="0" w:space="0" w:color="auto"/>
        <w:right w:val="none" w:sz="0" w:space="0" w:color="auto"/>
      </w:divBdr>
    </w:div>
    <w:div w:id="1664117125">
      <w:bodyDiv w:val="1"/>
      <w:marLeft w:val="0"/>
      <w:marRight w:val="0"/>
      <w:marTop w:val="0"/>
      <w:marBottom w:val="0"/>
      <w:divBdr>
        <w:top w:val="none" w:sz="0" w:space="0" w:color="auto"/>
        <w:left w:val="none" w:sz="0" w:space="0" w:color="auto"/>
        <w:bottom w:val="none" w:sz="0" w:space="0" w:color="auto"/>
        <w:right w:val="none" w:sz="0" w:space="0" w:color="auto"/>
      </w:divBdr>
    </w:div>
    <w:div w:id="1731339157">
      <w:bodyDiv w:val="1"/>
      <w:marLeft w:val="0"/>
      <w:marRight w:val="0"/>
      <w:marTop w:val="0"/>
      <w:marBottom w:val="0"/>
      <w:divBdr>
        <w:top w:val="none" w:sz="0" w:space="0" w:color="auto"/>
        <w:left w:val="none" w:sz="0" w:space="0" w:color="auto"/>
        <w:bottom w:val="none" w:sz="0" w:space="0" w:color="auto"/>
        <w:right w:val="none" w:sz="0" w:space="0" w:color="auto"/>
      </w:divBdr>
    </w:div>
    <w:div w:id="1820418748">
      <w:bodyDiv w:val="1"/>
      <w:marLeft w:val="0"/>
      <w:marRight w:val="0"/>
      <w:marTop w:val="0"/>
      <w:marBottom w:val="0"/>
      <w:divBdr>
        <w:top w:val="none" w:sz="0" w:space="0" w:color="auto"/>
        <w:left w:val="none" w:sz="0" w:space="0" w:color="auto"/>
        <w:bottom w:val="none" w:sz="0" w:space="0" w:color="auto"/>
        <w:right w:val="none" w:sz="0" w:space="0" w:color="auto"/>
      </w:divBdr>
    </w:div>
    <w:div w:id="1889683079">
      <w:bodyDiv w:val="1"/>
      <w:marLeft w:val="0"/>
      <w:marRight w:val="0"/>
      <w:marTop w:val="0"/>
      <w:marBottom w:val="0"/>
      <w:divBdr>
        <w:top w:val="none" w:sz="0" w:space="0" w:color="auto"/>
        <w:left w:val="none" w:sz="0" w:space="0" w:color="auto"/>
        <w:bottom w:val="none" w:sz="0" w:space="0" w:color="auto"/>
        <w:right w:val="none" w:sz="0" w:space="0" w:color="auto"/>
      </w:divBdr>
    </w:div>
    <w:div w:id="1952084527">
      <w:bodyDiv w:val="1"/>
      <w:marLeft w:val="0"/>
      <w:marRight w:val="0"/>
      <w:marTop w:val="0"/>
      <w:marBottom w:val="0"/>
      <w:divBdr>
        <w:top w:val="none" w:sz="0" w:space="0" w:color="auto"/>
        <w:left w:val="none" w:sz="0" w:space="0" w:color="auto"/>
        <w:bottom w:val="none" w:sz="0" w:space="0" w:color="auto"/>
        <w:right w:val="none" w:sz="0" w:space="0" w:color="auto"/>
      </w:divBdr>
    </w:div>
    <w:div w:id="2004895684">
      <w:bodyDiv w:val="1"/>
      <w:marLeft w:val="0"/>
      <w:marRight w:val="0"/>
      <w:marTop w:val="0"/>
      <w:marBottom w:val="0"/>
      <w:divBdr>
        <w:top w:val="none" w:sz="0" w:space="0" w:color="auto"/>
        <w:left w:val="none" w:sz="0" w:space="0" w:color="auto"/>
        <w:bottom w:val="none" w:sz="0" w:space="0" w:color="auto"/>
        <w:right w:val="none" w:sz="0" w:space="0" w:color="auto"/>
      </w:divBdr>
    </w:div>
    <w:div w:id="2043363138">
      <w:bodyDiv w:val="1"/>
      <w:marLeft w:val="0"/>
      <w:marRight w:val="0"/>
      <w:marTop w:val="0"/>
      <w:marBottom w:val="0"/>
      <w:divBdr>
        <w:top w:val="none" w:sz="0" w:space="0" w:color="auto"/>
        <w:left w:val="none" w:sz="0" w:space="0" w:color="auto"/>
        <w:bottom w:val="none" w:sz="0" w:space="0" w:color="auto"/>
        <w:right w:val="none" w:sz="0" w:space="0" w:color="auto"/>
      </w:divBdr>
    </w:div>
    <w:div w:id="205797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customXml" Target="../customXml/item7.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12084" ma:contentTypeDescription=" " ma:contentTypeScope="" ma:versionID="c14ea7248ea6a5e24f05c4897b99043f">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b695b91a920971196e190b01c4725fce"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e544e5cc-ab70-42e1-849e-1a0f8bb1f4ef">
      <Value>2</Value>
    </TaxCatchAll>
    <_dlc_DocId xmlns="e544e5cc-ab70-42e1-849e-1a0f8bb1f4ef">2018FG-64-46680</_dlc_DocId>
    <_dlc_DocIdUrl xmlns="e544e5cc-ab70-42e1-849e-1a0f8bb1f4ef">
      <Url>http://tweb/sites/fg/csrd/_layouts/15/DocIdRedir.aspx?ID=2018FG-64-46680</Url>
      <Description>2018FG-64-46680</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C110206C-6565-46B1-A899-7FF49DFF2F91}"/>
</file>

<file path=customXml/itemProps2.xml><?xml version="1.0" encoding="utf-8"?>
<ds:datastoreItem xmlns:ds="http://schemas.openxmlformats.org/officeDocument/2006/customXml" ds:itemID="{EEC8DD4D-7838-4279-B684-AFEC7F1CC8D7}">
  <ds:schemaRefs>
    <ds:schemaRef ds:uri="office.server.policy"/>
  </ds:schemaRefs>
</ds:datastoreItem>
</file>

<file path=customXml/itemProps3.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4.xml><?xml version="1.0" encoding="utf-8"?>
<ds:datastoreItem xmlns:ds="http://schemas.openxmlformats.org/officeDocument/2006/customXml" ds:itemID="{84115D5F-9E0E-4E13-8BDA-0CDC424120CF}"/>
</file>

<file path=customXml/itemProps5.xml><?xml version="1.0" encoding="utf-8"?>
<ds:datastoreItem xmlns:ds="http://schemas.openxmlformats.org/officeDocument/2006/customXml" ds:itemID="{29E1DBEB-387A-4546-918B-611A23C92943}">
  <ds:schemaRefs>
    <ds:schemaRef ds:uri="http://purl.org/dc/dcmitype/"/>
    <ds:schemaRef ds:uri="http://schemas.microsoft.com/office/2006/documentManagement/types"/>
    <ds:schemaRef ds:uri="http://purl.org/dc/elements/1.1/"/>
    <ds:schemaRef ds:uri="e544e5cc-ab70-42e1-849e-1a0f8bb1f4ef"/>
    <ds:schemaRef ds:uri="http://schemas.microsoft.com/office/infopath/2007/PartnerControls"/>
    <ds:schemaRef ds:uri="http://purl.org/dc/terms/"/>
    <ds:schemaRef ds:uri="http://schemas.microsoft.com/sharepoint/v4"/>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8C71CF15-A3E3-42DE-A417-EFD9EE635828}">
  <ds:schemaRefs>
    <ds:schemaRef ds:uri="http://schemas.openxmlformats.org/officeDocument/2006/bibliography"/>
  </ds:schemaRefs>
</ds:datastoreItem>
</file>

<file path=customXml/itemProps7.xml><?xml version="1.0" encoding="utf-8"?>
<ds:datastoreItem xmlns:ds="http://schemas.openxmlformats.org/officeDocument/2006/customXml" ds:itemID="{01BA542C-62DE-49ED-939C-A14D887EFF27}"/>
</file>

<file path=docProps/app.xml><?xml version="1.0" encoding="utf-8"?>
<Properties xmlns="http://schemas.openxmlformats.org/officeDocument/2006/extended-properties" xmlns:vt="http://schemas.openxmlformats.org/officeDocument/2006/docPropsVTypes">
  <Template>COAG.dot</Template>
  <TotalTime>22</TotalTime>
  <Pages>23</Pages>
  <Words>6646</Words>
  <Characters>37887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Project Agreement Template</vt:lpstr>
    </vt:vector>
  </TitlesOfParts>
  <Company>Australian Government - The Treasury</Company>
  <LinksUpToDate>false</LinksUpToDate>
  <CharactersWithSpaces>44445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Template</dc:title>
  <dc:creator>Council of Australian Governments</dc:creator>
  <cp:lastModifiedBy>Commonwealth</cp:lastModifiedBy>
  <cp:revision>8</cp:revision>
  <cp:lastPrinted>2018-04-22T23:47:00Z</cp:lastPrinted>
  <dcterms:created xsi:type="dcterms:W3CDTF">2018-04-22T23:43:00Z</dcterms:created>
  <dcterms:modified xsi:type="dcterms:W3CDTF">2018-04-23T06:03:00Z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TSYRecordClass">
    <vt:lpwstr>2;#TSY RA-8748 - Retain as national archives|243f2231-dbfc-4282-b24a-c9b768286bd0</vt:lpwstr>
  </property>
  <property fmtid="{D5CDD505-2E9C-101B-9397-08002B2CF9AE}" pid="4" name="RecordPoint_WorkflowType">
    <vt:lpwstr>ActiveSubmitStub</vt:lpwstr>
  </property>
  <property fmtid="{D5CDD505-2E9C-101B-9397-08002B2CF9AE}" pid="5" name="RecordPoint_ActiveItemSiteId">
    <vt:lpwstr>{a3a280d1-e8f1-4ce7-94f0-aaa2322da0dd}</vt:lpwstr>
  </property>
  <property fmtid="{D5CDD505-2E9C-101B-9397-08002B2CF9AE}" pid="6" name="RecordPoint_ActiveItemListId">
    <vt:lpwstr>{4435c73b-6585-4bc2-a76a-5d21b1a02e06}</vt:lpwstr>
  </property>
  <property fmtid="{D5CDD505-2E9C-101B-9397-08002B2CF9AE}" pid="7" name="RecordPoint_ActiveItemWebId">
    <vt:lpwstr>{a4589788-615f-4b8b-8296-7f9f6dfbab44}</vt:lpwstr>
  </property>
  <property fmtid="{D5CDD505-2E9C-101B-9397-08002B2CF9AE}" pid="8" name="RecordPoint_SubmissionDate">
    <vt:lpwstr/>
  </property>
  <property fmtid="{D5CDD505-2E9C-101B-9397-08002B2CF9AE}" pid="9" name="RecordPoint_ActiveItemMoved">
    <vt:lpwstr/>
  </property>
  <property fmtid="{D5CDD505-2E9C-101B-9397-08002B2CF9AE}" pid="10" name="RecordPoint_RecordFormat">
    <vt:lpwstr/>
  </property>
  <property fmtid="{D5CDD505-2E9C-101B-9397-08002B2CF9AE}" pid="11" name="TitusGUID">
    <vt:lpwstr>5541236a-427d-47b4-b4a8-537ab4b5a5db</vt:lpwstr>
  </property>
  <property fmtid="{D5CDD505-2E9C-101B-9397-08002B2CF9AE}" pid="12" name="PSPFClassification">
    <vt:lpwstr>For Official Use Only</vt:lpwstr>
  </property>
  <property fmtid="{D5CDD505-2E9C-101B-9397-08002B2CF9AE}" pid="13" name="_AdHocReviewCycleID">
    <vt:i4>-678554178</vt:i4>
  </property>
  <property fmtid="{D5CDD505-2E9C-101B-9397-08002B2CF9AE}" pid="14" name="_NewReviewCycle">
    <vt:lpwstr/>
  </property>
  <property fmtid="{D5CDD505-2E9C-101B-9397-08002B2CF9AE}" pid="15" name="_EmailSubject">
    <vt:lpwstr>Publishing of NHHA [DLM=For-Official-Use-Only]</vt:lpwstr>
  </property>
  <property fmtid="{D5CDD505-2E9C-101B-9397-08002B2CF9AE}" pid="16" name="_AuthorEmail">
    <vt:lpwstr>Helen.Sykes@treasury.gov.au</vt:lpwstr>
  </property>
  <property fmtid="{D5CDD505-2E9C-101B-9397-08002B2CF9AE}" pid="17" name="_AuthorEmailDisplayName">
    <vt:lpwstr>Sykes, Helen</vt:lpwstr>
  </property>
  <property fmtid="{D5CDD505-2E9C-101B-9397-08002B2CF9AE}" pid="18" name="_PreviousAdHocReviewCycleID">
    <vt:i4>-344635076</vt:i4>
  </property>
  <property fmtid="{D5CDD505-2E9C-101B-9397-08002B2CF9AE}" pid="20" name="_dlc_DocIdItemGuid">
    <vt:lpwstr>a9250aec-fe6e-4930-8f76-67af0860f034</vt:lpwstr>
  </property>
  <property fmtid="{D5CDD505-2E9C-101B-9397-08002B2CF9AE}" pid="21" name="RecordPoint_ActiveItemUniqueId">
    <vt:lpwstr>{a9250aec-fe6e-4930-8f76-67af0860f034}</vt:lpwstr>
  </property>
  <property fmtid="{D5CDD505-2E9C-101B-9397-08002B2CF9AE}" pid="22" name="RecordPoint_RecordNumberSubmitted">
    <vt:lpwstr>R0001755647</vt:lpwstr>
  </property>
  <property fmtid="{D5CDD505-2E9C-101B-9397-08002B2CF9AE}" pid="23" name="RecordPoint_SubmissionCompleted">
    <vt:lpwstr>2018-06-19T12:00:15.4975070+10:00</vt:lpwstr>
  </property>
</Properties>
</file>