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7DCA8" w14:textId="77777777" w:rsidR="003E00B6" w:rsidRDefault="003E00B6" w:rsidP="003E00B6">
      <w:pPr>
        <w:pStyle w:val="Heading9"/>
      </w:pPr>
      <w:bookmarkStart w:id="0" w:name="_GoBack"/>
      <w:bookmarkEnd w:id="0"/>
      <w:r>
        <w:t xml:space="preserve">Schedule </w:t>
      </w:r>
      <w:r w:rsidR="003C0850">
        <w:t>E8</w:t>
      </w:r>
    </w:p>
    <w:p w14:paraId="4E48C158" w14:textId="77777777" w:rsidR="003E00B6" w:rsidRDefault="00C255D6" w:rsidP="003E00B6">
      <w:pPr>
        <w:pStyle w:val="Title"/>
      </w:pPr>
      <w:r>
        <w:t>Northern Territory</w:t>
      </w:r>
    </w:p>
    <w:p w14:paraId="582E1C2B" w14:textId="77777777" w:rsidR="003E00B6" w:rsidRDefault="003E00B6" w:rsidP="003E00B6">
      <w:pPr>
        <w:pStyle w:val="Subtitle"/>
      </w:pPr>
      <w:r>
        <w:t>National housing and homelessness agreement</w:t>
      </w:r>
    </w:p>
    <w:p w14:paraId="7BFB8E3C" w14:textId="77777777" w:rsidR="003E00B6" w:rsidRDefault="003E00B6" w:rsidP="003E00B6">
      <w:pPr>
        <w:pStyle w:val="Heading1"/>
        <w:spacing w:before="240"/>
      </w:pPr>
      <w:r>
        <w:t>Preliminaries</w:t>
      </w:r>
    </w:p>
    <w:p w14:paraId="7C8C9438" w14:textId="77777777" w:rsidR="00730D95" w:rsidRDefault="003E00B6" w:rsidP="006B1024">
      <w:pPr>
        <w:pStyle w:val="Normalnumbered"/>
        <w:numPr>
          <w:ilvl w:val="0"/>
          <w:numId w:val="1"/>
        </w:numPr>
        <w:jc w:val="left"/>
      </w:pPr>
      <w:bookmarkStart w:id="1" w:name="PART_2:_FORMALITIES"/>
      <w:bookmarkStart w:id="2" w:name="PART_3:_FINANCIAL_ARRANGEMENTS"/>
      <w:bookmarkStart w:id="3" w:name="PART_1:_PRELIMINARIES"/>
      <w:bookmarkEnd w:id="1"/>
      <w:bookmarkEnd w:id="2"/>
      <w:bookmarkEnd w:id="3"/>
      <w:r>
        <w:t xml:space="preserve">This Schedule is an agreement that is a supplementary housing agreement for the purposes of section </w:t>
      </w:r>
      <w:r w:rsidR="003F227C">
        <w:t>15C</w:t>
      </w:r>
      <w:r>
        <w:t xml:space="preserve"> of the FFR Act. </w:t>
      </w:r>
    </w:p>
    <w:p w14:paraId="381F3549" w14:textId="77777777" w:rsidR="00730D95" w:rsidRPr="000441C7" w:rsidRDefault="00730D95" w:rsidP="006B1024">
      <w:pPr>
        <w:pStyle w:val="Normalnumbered"/>
        <w:numPr>
          <w:ilvl w:val="0"/>
          <w:numId w:val="1"/>
        </w:numPr>
      </w:pPr>
      <w:r w:rsidRPr="000441C7">
        <w:t xml:space="preserve">This </w:t>
      </w:r>
      <w:r w:rsidR="0099638F" w:rsidRPr="000441C7">
        <w:t xml:space="preserve">Schedule </w:t>
      </w:r>
      <w:r w:rsidRPr="000441C7">
        <w:t xml:space="preserve">will commence as soon as the Commonwealth and </w:t>
      </w:r>
      <w:r w:rsidR="00FB41BB" w:rsidRPr="000441C7">
        <w:t>Northern Territory</w:t>
      </w:r>
      <w:r w:rsidRPr="000441C7">
        <w:t xml:space="preserve"> sign this and the </w:t>
      </w:r>
      <w:r w:rsidR="0099638F" w:rsidRPr="000441C7">
        <w:t>A</w:t>
      </w:r>
      <w:r w:rsidRPr="000441C7">
        <w:t xml:space="preserve">greement. </w:t>
      </w:r>
    </w:p>
    <w:p w14:paraId="204BFE9F" w14:textId="77777777" w:rsidR="00986AAE" w:rsidRPr="001A4273" w:rsidRDefault="00986AAE" w:rsidP="006B1024">
      <w:pPr>
        <w:pStyle w:val="Normalnumbered"/>
        <w:numPr>
          <w:ilvl w:val="0"/>
          <w:numId w:val="1"/>
        </w:numPr>
        <w:rPr>
          <w:color w:val="auto"/>
        </w:rPr>
      </w:pPr>
      <w:r w:rsidRPr="001A4273">
        <w:rPr>
          <w:color w:val="auto"/>
        </w:rPr>
        <w:t xml:space="preserve">Unless terminated earlier or extended as agreed in writing by the Parties, this </w:t>
      </w:r>
      <w:r w:rsidR="0099638F" w:rsidRPr="001A4273">
        <w:rPr>
          <w:color w:val="auto"/>
        </w:rPr>
        <w:t>Schedule</w:t>
      </w:r>
      <w:r w:rsidR="0099638F">
        <w:rPr>
          <w:color w:val="auto"/>
        </w:rPr>
        <w:t xml:space="preserve"> </w:t>
      </w:r>
      <w:r w:rsidRPr="001A4273">
        <w:rPr>
          <w:color w:val="auto"/>
        </w:rPr>
        <w:t>will:</w:t>
      </w:r>
    </w:p>
    <w:p w14:paraId="1E73F015" w14:textId="77777777" w:rsidR="00986AAE" w:rsidRPr="001A4273" w:rsidRDefault="00986AAE" w:rsidP="006B1024">
      <w:pPr>
        <w:pStyle w:val="Normalnumbered"/>
        <w:numPr>
          <w:ilvl w:val="0"/>
          <w:numId w:val="16"/>
        </w:numPr>
        <w:tabs>
          <w:tab w:val="clear" w:pos="1134"/>
          <w:tab w:val="num" w:pos="1854"/>
        </w:tabs>
        <w:ind w:left="1854"/>
        <w:rPr>
          <w:color w:val="auto"/>
        </w:rPr>
      </w:pPr>
      <w:r w:rsidRPr="001A4273">
        <w:rPr>
          <w:color w:val="auto"/>
        </w:rPr>
        <w:t>expire no later than 30 June 2023; and</w:t>
      </w:r>
    </w:p>
    <w:p w14:paraId="60CE12B2" w14:textId="77777777" w:rsidR="00986AAE" w:rsidRPr="001A4273" w:rsidRDefault="00986AAE" w:rsidP="006B1024">
      <w:pPr>
        <w:pStyle w:val="Normalnumbered"/>
        <w:numPr>
          <w:ilvl w:val="0"/>
          <w:numId w:val="16"/>
        </w:numPr>
        <w:tabs>
          <w:tab w:val="clear" w:pos="1134"/>
          <w:tab w:val="num" w:pos="1854"/>
        </w:tabs>
        <w:ind w:left="1854"/>
        <w:rPr>
          <w:color w:val="auto"/>
        </w:rPr>
      </w:pPr>
      <w:r w:rsidRPr="001A4273">
        <w:rPr>
          <w:color w:val="auto"/>
        </w:rPr>
        <w:t>be replaced for further terms of up to five years by the written agreement of the Parties.</w:t>
      </w:r>
    </w:p>
    <w:p w14:paraId="5CB011ED" w14:textId="77777777" w:rsidR="00986AAE" w:rsidRPr="001A4273" w:rsidRDefault="00986AAE" w:rsidP="006B1024">
      <w:pPr>
        <w:pStyle w:val="Normalnumbered"/>
        <w:numPr>
          <w:ilvl w:val="0"/>
          <w:numId w:val="1"/>
        </w:numPr>
        <w:rPr>
          <w:color w:val="auto"/>
        </w:rPr>
      </w:pPr>
      <w:r w:rsidRPr="001A4273">
        <w:rPr>
          <w:color w:val="auto"/>
        </w:rPr>
        <w:t xml:space="preserve">A Party to this </w:t>
      </w:r>
      <w:r w:rsidR="0099638F" w:rsidRPr="001A4273">
        <w:rPr>
          <w:color w:val="auto"/>
        </w:rPr>
        <w:t xml:space="preserve">Schedule </w:t>
      </w:r>
      <w:r w:rsidRPr="001A4273">
        <w:rPr>
          <w:color w:val="auto"/>
        </w:rPr>
        <w:t>may terminate their participation in the Agreement at any time by giving 12 months’ notice of intention to do so, in writing, to the other Party.</w:t>
      </w:r>
    </w:p>
    <w:p w14:paraId="69AC9413" w14:textId="77777777" w:rsidR="00986AAE" w:rsidRPr="001A4273" w:rsidRDefault="00986AAE" w:rsidP="006B1024">
      <w:pPr>
        <w:pStyle w:val="Normalnumbered"/>
        <w:numPr>
          <w:ilvl w:val="0"/>
          <w:numId w:val="1"/>
        </w:numPr>
        <w:jc w:val="left"/>
        <w:rPr>
          <w:color w:val="auto"/>
        </w:rPr>
      </w:pPr>
      <w:r w:rsidRPr="001A4273">
        <w:rPr>
          <w:color w:val="auto"/>
        </w:rPr>
        <w:t xml:space="preserve">This </w:t>
      </w:r>
      <w:r w:rsidR="0099638F" w:rsidRPr="001A4273">
        <w:rPr>
          <w:color w:val="auto"/>
        </w:rPr>
        <w:t xml:space="preserve">Schedule </w:t>
      </w:r>
      <w:r w:rsidRPr="001A4273">
        <w:rPr>
          <w:color w:val="auto"/>
        </w:rPr>
        <w:t>may be amended at any time by agreement in writing by the relevant Commonwealth and State portfolio ministers.</w:t>
      </w:r>
    </w:p>
    <w:p w14:paraId="1CB99B16" w14:textId="77777777" w:rsidR="00730D95" w:rsidRPr="000441C7" w:rsidRDefault="00730D95" w:rsidP="006B1024">
      <w:pPr>
        <w:pStyle w:val="Normalnumbered"/>
        <w:numPr>
          <w:ilvl w:val="0"/>
          <w:numId w:val="1"/>
        </w:numPr>
        <w:jc w:val="left"/>
      </w:pPr>
      <w:r w:rsidRPr="000441C7">
        <w:t xml:space="preserve">The purpose of this Schedule is to provide an indication of how </w:t>
      </w:r>
      <w:r w:rsidR="00FB41BB" w:rsidRPr="000441C7">
        <w:t xml:space="preserve">the Northern Territory </w:t>
      </w:r>
      <w:r w:rsidRPr="000441C7">
        <w:t xml:space="preserve">intends to implement the conditions agreed in the </w:t>
      </w:r>
      <w:r w:rsidR="001D13F4" w:rsidRPr="000441C7">
        <w:t>A</w:t>
      </w:r>
      <w:r w:rsidRPr="000441C7">
        <w:t xml:space="preserve">greement, including the actions that will be undertaken as stated in </w:t>
      </w:r>
      <w:r w:rsidR="00FB41BB" w:rsidRPr="000441C7">
        <w:t>the Northern Territory</w:t>
      </w:r>
      <w:r w:rsidR="0071573D" w:rsidRPr="000441C7">
        <w:t>’s</w:t>
      </w:r>
      <w:r w:rsidR="00FB41BB" w:rsidRPr="000441C7">
        <w:t xml:space="preserve"> </w:t>
      </w:r>
      <w:r w:rsidRPr="000441C7">
        <w:t xml:space="preserve">housing and homelessness strategies, and any actions to be undertaken by </w:t>
      </w:r>
      <w:r w:rsidR="00FB41BB" w:rsidRPr="000441C7">
        <w:t>the Northern Territory</w:t>
      </w:r>
      <w:r w:rsidRPr="000441C7">
        <w:t xml:space="preserve"> to support the Data Schedule.</w:t>
      </w:r>
    </w:p>
    <w:p w14:paraId="177F49FA" w14:textId="77777777" w:rsidR="00F46286" w:rsidRPr="00F46286" w:rsidRDefault="00F46286" w:rsidP="006B1024">
      <w:pPr>
        <w:pStyle w:val="Normalnumbered"/>
        <w:numPr>
          <w:ilvl w:val="0"/>
          <w:numId w:val="1"/>
        </w:numPr>
        <w:rPr>
          <w:color w:val="auto"/>
        </w:rPr>
      </w:pPr>
      <w:r w:rsidRPr="00F46286">
        <w:rPr>
          <w:color w:val="auto"/>
        </w:rPr>
        <w:t xml:space="preserve">To enable payments to commence from 2018-19, the Northern Territory confirms that it satisfies the requirements of clause 17 of the Agreement as at 1 July 2018 and as set out in this Schedule.  At the commencement of this Schedule, the Northern Territory notes that during 2018-19, it will be reviewing and updating its housing, and homelessness </w:t>
      </w:r>
      <w:r w:rsidR="00D365BC" w:rsidRPr="00F46286">
        <w:rPr>
          <w:color w:val="auto"/>
        </w:rPr>
        <w:t>strateg</w:t>
      </w:r>
      <w:r w:rsidR="00D365BC">
        <w:rPr>
          <w:color w:val="auto"/>
        </w:rPr>
        <w:t>ies</w:t>
      </w:r>
      <w:r w:rsidR="00D365BC" w:rsidRPr="00F46286">
        <w:rPr>
          <w:color w:val="auto"/>
        </w:rPr>
        <w:t xml:space="preserve"> </w:t>
      </w:r>
      <w:r w:rsidRPr="00F46286">
        <w:rPr>
          <w:color w:val="auto"/>
        </w:rPr>
        <w:t xml:space="preserve">as referenced in Parts 2 and 3 of this Schedule. </w:t>
      </w:r>
    </w:p>
    <w:p w14:paraId="0945AB07" w14:textId="77777777" w:rsidR="002530CA" w:rsidRDefault="002530CA" w:rsidP="00F46286">
      <w:pPr>
        <w:pStyle w:val="Normalnumbered"/>
        <w:ind w:left="567"/>
        <w:jc w:val="left"/>
        <w:rPr>
          <w:color w:val="auto"/>
        </w:rPr>
      </w:pPr>
    </w:p>
    <w:p w14:paraId="50BEEFA7" w14:textId="77777777" w:rsidR="008E1E31" w:rsidRDefault="008E1E31" w:rsidP="00B5214A">
      <w:pPr>
        <w:pStyle w:val="Normalnumbered"/>
        <w:ind w:left="567"/>
        <w:jc w:val="left"/>
      </w:pPr>
    </w:p>
    <w:p w14:paraId="47FCB7C7" w14:textId="77777777" w:rsidR="00CD2E77" w:rsidRDefault="00CD2E77" w:rsidP="00B14809">
      <w:pPr>
        <w:pStyle w:val="ListParagraph"/>
        <w:ind w:left="567"/>
        <w:jc w:val="left"/>
      </w:pPr>
    </w:p>
    <w:p w14:paraId="45232C87" w14:textId="77777777" w:rsidR="006E46EF" w:rsidRDefault="006E46EF" w:rsidP="00B14809">
      <w:pPr>
        <w:pStyle w:val="ListParagraph"/>
        <w:ind w:left="567"/>
        <w:jc w:val="left"/>
      </w:pPr>
    </w:p>
    <w:p w14:paraId="71700BB6" w14:textId="77777777" w:rsidR="007E6633" w:rsidRDefault="007E6633" w:rsidP="007E6633">
      <w:pPr>
        <w:pStyle w:val="Heading1"/>
        <w:spacing w:before="240"/>
      </w:pPr>
      <w:r>
        <w:lastRenderedPageBreak/>
        <w:t>Part 1 – Overview</w:t>
      </w:r>
    </w:p>
    <w:p w14:paraId="727E28B2" w14:textId="77777777" w:rsidR="00E6513A" w:rsidRPr="00111FD4" w:rsidRDefault="00B81AAE" w:rsidP="0066121B">
      <w:pPr>
        <w:pStyle w:val="Normalnumbered"/>
        <w:numPr>
          <w:ilvl w:val="0"/>
          <w:numId w:val="1"/>
        </w:numPr>
        <w:jc w:val="left"/>
        <w:rPr>
          <w:color w:val="000000" w:themeColor="text1"/>
          <w:sz w:val="22"/>
          <w:szCs w:val="21"/>
        </w:rPr>
      </w:pPr>
      <w:r w:rsidRPr="00111FD4">
        <w:rPr>
          <w:color w:val="000000" w:themeColor="text1"/>
          <w:sz w:val="22"/>
          <w:szCs w:val="21"/>
        </w:rPr>
        <w:t xml:space="preserve">The Northern Territory </w:t>
      </w:r>
      <w:r w:rsidR="008B4885" w:rsidRPr="00111FD4">
        <w:rPr>
          <w:color w:val="000000" w:themeColor="text1"/>
          <w:sz w:val="22"/>
          <w:szCs w:val="21"/>
        </w:rPr>
        <w:t>context is distinctly different to the rest of Australia</w:t>
      </w:r>
      <w:r w:rsidR="00983A44" w:rsidRPr="00111FD4">
        <w:rPr>
          <w:color w:val="000000" w:themeColor="text1"/>
          <w:sz w:val="22"/>
          <w:szCs w:val="21"/>
        </w:rPr>
        <w:t>. This results in</w:t>
      </w:r>
      <w:r w:rsidRPr="00111FD4">
        <w:rPr>
          <w:color w:val="000000" w:themeColor="text1"/>
          <w:sz w:val="22"/>
          <w:szCs w:val="21"/>
        </w:rPr>
        <w:t xml:space="preserve"> significant </w:t>
      </w:r>
      <w:r w:rsidR="00FE6A37" w:rsidRPr="00111FD4">
        <w:rPr>
          <w:color w:val="000000" w:themeColor="text1"/>
          <w:sz w:val="22"/>
          <w:szCs w:val="21"/>
        </w:rPr>
        <w:t xml:space="preserve">challenges </w:t>
      </w:r>
      <w:r w:rsidR="00983A44" w:rsidRPr="00111FD4">
        <w:rPr>
          <w:color w:val="000000" w:themeColor="text1"/>
          <w:sz w:val="22"/>
          <w:szCs w:val="21"/>
        </w:rPr>
        <w:t xml:space="preserve">and opportunities </w:t>
      </w:r>
      <w:r w:rsidR="00FE6A37" w:rsidRPr="00111FD4">
        <w:rPr>
          <w:color w:val="000000" w:themeColor="text1"/>
          <w:sz w:val="22"/>
          <w:szCs w:val="21"/>
        </w:rPr>
        <w:t xml:space="preserve">in </w:t>
      </w:r>
      <w:r w:rsidRPr="00111FD4">
        <w:rPr>
          <w:color w:val="000000" w:themeColor="text1"/>
          <w:sz w:val="22"/>
          <w:szCs w:val="21"/>
        </w:rPr>
        <w:t>delive</w:t>
      </w:r>
      <w:r w:rsidR="00FE6A37" w:rsidRPr="00111FD4">
        <w:rPr>
          <w:color w:val="000000" w:themeColor="text1"/>
          <w:sz w:val="22"/>
          <w:szCs w:val="21"/>
        </w:rPr>
        <w:t>r</w:t>
      </w:r>
      <w:r w:rsidR="00D92945" w:rsidRPr="00111FD4">
        <w:rPr>
          <w:color w:val="000000" w:themeColor="text1"/>
          <w:sz w:val="22"/>
          <w:szCs w:val="21"/>
        </w:rPr>
        <w:t>ing</w:t>
      </w:r>
      <w:r w:rsidR="00FE6A37" w:rsidRPr="00111FD4">
        <w:rPr>
          <w:color w:val="000000" w:themeColor="text1"/>
          <w:sz w:val="22"/>
          <w:szCs w:val="21"/>
        </w:rPr>
        <w:t xml:space="preserve"> </w:t>
      </w:r>
      <w:r w:rsidR="00D92945" w:rsidRPr="00111FD4">
        <w:rPr>
          <w:color w:val="000000" w:themeColor="text1"/>
          <w:sz w:val="22"/>
          <w:szCs w:val="21"/>
        </w:rPr>
        <w:t xml:space="preserve">sustainable and effective </w:t>
      </w:r>
      <w:r w:rsidR="00FE6A37" w:rsidRPr="00111FD4">
        <w:rPr>
          <w:color w:val="000000" w:themeColor="text1"/>
          <w:sz w:val="22"/>
          <w:szCs w:val="21"/>
        </w:rPr>
        <w:t xml:space="preserve">services </w:t>
      </w:r>
      <w:r w:rsidR="00D92945" w:rsidRPr="00111FD4">
        <w:rPr>
          <w:color w:val="000000" w:themeColor="text1"/>
          <w:sz w:val="22"/>
          <w:szCs w:val="21"/>
        </w:rPr>
        <w:t xml:space="preserve">and infrastructure </w:t>
      </w:r>
      <w:r w:rsidR="00FE6A37" w:rsidRPr="00111FD4">
        <w:rPr>
          <w:color w:val="000000" w:themeColor="text1"/>
          <w:sz w:val="22"/>
          <w:szCs w:val="21"/>
        </w:rPr>
        <w:t xml:space="preserve">to </w:t>
      </w:r>
      <w:r w:rsidR="003B4DC8" w:rsidRPr="00111FD4">
        <w:rPr>
          <w:color w:val="000000" w:themeColor="text1"/>
          <w:sz w:val="22"/>
          <w:szCs w:val="21"/>
        </w:rPr>
        <w:t>its residents</w:t>
      </w:r>
      <w:r w:rsidR="00983A44" w:rsidRPr="00111FD4">
        <w:rPr>
          <w:color w:val="000000" w:themeColor="text1"/>
          <w:sz w:val="22"/>
          <w:szCs w:val="21"/>
        </w:rPr>
        <w:t xml:space="preserve">. Following is the current environment that influences delivery of housing and homelessness services. </w:t>
      </w:r>
      <w:r w:rsidR="00FE6A37" w:rsidRPr="00111FD4">
        <w:rPr>
          <w:color w:val="000000" w:themeColor="text1"/>
          <w:sz w:val="22"/>
          <w:szCs w:val="21"/>
        </w:rPr>
        <w:t xml:space="preserve"> </w:t>
      </w:r>
    </w:p>
    <w:tbl>
      <w:tblPr>
        <w:tblW w:w="8930" w:type="dxa"/>
        <w:tblInd w:w="41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8930"/>
      </w:tblGrid>
      <w:tr w:rsidR="00111FD4" w:rsidRPr="00111FD4" w14:paraId="4F3B0E2C" w14:textId="77777777" w:rsidTr="00576B52">
        <w:trPr>
          <w:trHeight w:val="487"/>
        </w:trPr>
        <w:tc>
          <w:tcPr>
            <w:tcW w:w="8930" w:type="dxa"/>
            <w:tcBorders>
              <w:top w:val="single" w:sz="8" w:space="0" w:color="4F81BD"/>
              <w:left w:val="single" w:sz="8" w:space="0" w:color="4F81BD"/>
              <w:bottom w:val="single" w:sz="8" w:space="0" w:color="4F81BD"/>
              <w:right w:val="single" w:sz="8" w:space="0" w:color="4F81BD"/>
            </w:tcBorders>
            <w:shd w:val="clear" w:color="auto" w:fill="FFFFFF"/>
          </w:tcPr>
          <w:p w14:paraId="6CEC1DF0" w14:textId="77777777" w:rsidR="00E90C23" w:rsidRPr="00111FD4" w:rsidRDefault="00E90C23" w:rsidP="0066121B">
            <w:pPr>
              <w:spacing w:afterLines="60" w:after="144"/>
              <w:jc w:val="left"/>
              <w:rPr>
                <w:rFonts w:eastAsiaTheme="minorHAnsi" w:cstheme="minorBidi"/>
                <w:b/>
                <w:color w:val="000000" w:themeColor="text1"/>
                <w:sz w:val="22"/>
                <w:szCs w:val="21"/>
                <w:lang w:eastAsia="en-US"/>
              </w:rPr>
            </w:pPr>
            <w:r w:rsidRPr="00111FD4">
              <w:rPr>
                <w:rFonts w:eastAsiaTheme="minorHAnsi" w:cstheme="minorBidi"/>
                <w:b/>
                <w:color w:val="000000" w:themeColor="text1"/>
                <w:sz w:val="22"/>
                <w:szCs w:val="21"/>
                <w:lang w:eastAsia="en-US"/>
              </w:rPr>
              <w:t xml:space="preserve">Demography and geography </w:t>
            </w:r>
          </w:p>
          <w:p w14:paraId="394561F8" w14:textId="77777777" w:rsidR="00E90C23" w:rsidRPr="00111FD4" w:rsidRDefault="00E90C23" w:rsidP="0066121B">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The Northern Territory has a population of </w:t>
            </w:r>
            <w:r w:rsidR="00583C58" w:rsidRPr="00111FD4">
              <w:rPr>
                <w:rFonts w:eastAsiaTheme="minorHAnsi" w:cstheme="minorBidi"/>
                <w:color w:val="000000" w:themeColor="text1"/>
                <w:sz w:val="22"/>
                <w:szCs w:val="21"/>
                <w:lang w:eastAsia="en-US"/>
              </w:rPr>
              <w:t>246 105</w:t>
            </w:r>
            <w:r w:rsidRPr="00111FD4">
              <w:rPr>
                <w:rFonts w:eastAsiaTheme="minorHAnsi" w:cstheme="minorBidi"/>
                <w:color w:val="000000" w:themeColor="text1"/>
                <w:sz w:val="22"/>
                <w:szCs w:val="21"/>
                <w:lang w:eastAsia="en-US"/>
              </w:rPr>
              <w:t xml:space="preserve"> (1 per cent of Australia’s population) spread over 17</w:t>
            </w:r>
            <w:r w:rsidR="006C6053" w:rsidRPr="00111FD4">
              <w:rPr>
                <w:rFonts w:eastAsiaTheme="minorHAnsi" w:cstheme="minorBidi"/>
                <w:color w:val="000000" w:themeColor="text1"/>
                <w:sz w:val="22"/>
                <w:szCs w:val="21"/>
                <w:lang w:eastAsia="en-US"/>
              </w:rPr>
              <w:t> </w:t>
            </w:r>
            <w:r w:rsidRPr="00111FD4">
              <w:rPr>
                <w:rFonts w:eastAsiaTheme="minorHAnsi" w:cstheme="minorBidi"/>
                <w:color w:val="000000" w:themeColor="text1"/>
                <w:sz w:val="22"/>
                <w:szCs w:val="21"/>
                <w:lang w:eastAsia="en-US"/>
              </w:rPr>
              <w:t xml:space="preserve">per cent of the nation’s landmass. Of this, </w:t>
            </w:r>
            <w:r w:rsidR="00583C58" w:rsidRPr="00111FD4">
              <w:rPr>
                <w:rFonts w:eastAsiaTheme="minorHAnsi" w:cstheme="minorBidi"/>
                <w:color w:val="000000" w:themeColor="text1"/>
                <w:sz w:val="22"/>
                <w:szCs w:val="21"/>
                <w:lang w:eastAsia="en-US"/>
              </w:rPr>
              <w:t>74 509</w:t>
            </w:r>
            <w:r w:rsidRPr="00111FD4">
              <w:rPr>
                <w:rFonts w:eastAsiaTheme="minorHAnsi" w:cstheme="minorBidi"/>
                <w:color w:val="000000" w:themeColor="text1"/>
                <w:sz w:val="22"/>
                <w:szCs w:val="21"/>
                <w:lang w:eastAsia="en-US"/>
              </w:rPr>
              <w:t xml:space="preserve"> (</w:t>
            </w:r>
            <w:r w:rsidR="00583C58" w:rsidRPr="00111FD4">
              <w:rPr>
                <w:rFonts w:eastAsiaTheme="minorHAnsi" w:cstheme="minorBidi"/>
                <w:color w:val="000000" w:themeColor="text1"/>
                <w:sz w:val="22"/>
                <w:szCs w:val="21"/>
                <w:lang w:eastAsia="en-US"/>
              </w:rPr>
              <w:t>30</w:t>
            </w:r>
            <w:r w:rsidRPr="00111FD4">
              <w:rPr>
                <w:rFonts w:eastAsiaTheme="minorHAnsi" w:cstheme="minorBidi"/>
                <w:color w:val="000000" w:themeColor="text1"/>
                <w:sz w:val="22"/>
                <w:szCs w:val="21"/>
                <w:lang w:eastAsia="en-US"/>
              </w:rPr>
              <w:t xml:space="preserve"> per cent) are Aboriginal people, the highest </w:t>
            </w:r>
            <w:r w:rsidR="00983A44" w:rsidRPr="00111FD4">
              <w:rPr>
                <w:rFonts w:eastAsiaTheme="minorHAnsi" w:cstheme="minorBidi"/>
                <w:color w:val="000000" w:themeColor="text1"/>
                <w:sz w:val="22"/>
                <w:szCs w:val="21"/>
                <w:lang w:eastAsia="en-US"/>
              </w:rPr>
              <w:t>proportion</w:t>
            </w:r>
            <w:r w:rsidRPr="00111FD4">
              <w:rPr>
                <w:rFonts w:eastAsiaTheme="minorHAnsi" w:cstheme="minorBidi"/>
                <w:color w:val="000000" w:themeColor="text1"/>
                <w:sz w:val="22"/>
                <w:szCs w:val="21"/>
                <w:lang w:eastAsia="en-US"/>
              </w:rPr>
              <w:t xml:space="preserve"> of any jurisdiction and higher than the overall national average of </w:t>
            </w:r>
            <w:r w:rsidR="006C6053" w:rsidRPr="00111FD4">
              <w:rPr>
                <w:rFonts w:eastAsiaTheme="minorHAnsi" w:cstheme="minorBidi"/>
                <w:color w:val="000000" w:themeColor="text1"/>
                <w:sz w:val="22"/>
                <w:szCs w:val="21"/>
                <w:lang w:eastAsia="en-US"/>
              </w:rPr>
              <w:t>three</w:t>
            </w:r>
            <w:r w:rsidRPr="00111FD4">
              <w:rPr>
                <w:rFonts w:eastAsiaTheme="minorHAnsi" w:cstheme="minorBidi"/>
                <w:color w:val="000000" w:themeColor="text1"/>
                <w:sz w:val="22"/>
                <w:szCs w:val="21"/>
                <w:lang w:eastAsia="en-US"/>
              </w:rPr>
              <w:t xml:space="preserve"> per cent.</w:t>
            </w:r>
          </w:p>
          <w:p w14:paraId="35CC4295" w14:textId="77777777" w:rsidR="00E90C23" w:rsidRPr="00111FD4" w:rsidRDefault="00E90C23" w:rsidP="0066121B">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In February 2018, 35</w:t>
            </w:r>
            <w:r w:rsidR="00FE6480" w:rsidRPr="00111FD4">
              <w:rPr>
                <w:rFonts w:eastAsiaTheme="minorHAnsi" w:cstheme="minorBidi"/>
                <w:color w:val="000000" w:themeColor="text1"/>
                <w:sz w:val="22"/>
                <w:szCs w:val="21"/>
                <w:lang w:eastAsia="en-US"/>
              </w:rPr>
              <w:t xml:space="preserve"> </w:t>
            </w:r>
            <w:r w:rsidRPr="00111FD4">
              <w:rPr>
                <w:rFonts w:eastAsiaTheme="minorHAnsi" w:cstheme="minorBidi"/>
                <w:color w:val="000000" w:themeColor="text1"/>
                <w:sz w:val="22"/>
                <w:szCs w:val="21"/>
                <w:lang w:eastAsia="en-US"/>
              </w:rPr>
              <w:t>261 Aboriginal people lived in the 73 remote communities which represent</w:t>
            </w:r>
            <w:r w:rsidR="004A0049" w:rsidRPr="00111FD4">
              <w:rPr>
                <w:rFonts w:eastAsiaTheme="minorHAnsi" w:cstheme="minorBidi"/>
                <w:color w:val="000000" w:themeColor="text1"/>
                <w:sz w:val="22"/>
                <w:szCs w:val="21"/>
                <w:lang w:eastAsia="en-US"/>
              </w:rPr>
              <w:t>s</w:t>
            </w:r>
            <w:r w:rsidRPr="00111FD4">
              <w:rPr>
                <w:rFonts w:eastAsiaTheme="minorHAnsi" w:cstheme="minorBidi"/>
                <w:color w:val="000000" w:themeColor="text1"/>
                <w:sz w:val="22"/>
                <w:szCs w:val="21"/>
                <w:lang w:eastAsia="en-US"/>
              </w:rPr>
              <w:t xml:space="preserve"> 61 per cent of the Northern Territory</w:t>
            </w:r>
            <w:r w:rsidR="00FE6480" w:rsidRPr="00111FD4">
              <w:rPr>
                <w:rFonts w:eastAsiaTheme="minorHAnsi" w:cstheme="minorBidi"/>
                <w:color w:val="000000" w:themeColor="text1"/>
                <w:sz w:val="22"/>
                <w:szCs w:val="21"/>
                <w:lang w:eastAsia="en-US"/>
              </w:rPr>
              <w:t>’s</w:t>
            </w:r>
            <w:r w:rsidRPr="00111FD4">
              <w:rPr>
                <w:rFonts w:eastAsiaTheme="minorHAnsi" w:cstheme="minorBidi"/>
                <w:color w:val="000000" w:themeColor="text1"/>
                <w:sz w:val="22"/>
                <w:szCs w:val="21"/>
                <w:lang w:eastAsia="en-US"/>
              </w:rPr>
              <w:t xml:space="preserve"> Aboriginal population. </w:t>
            </w:r>
          </w:p>
          <w:p w14:paraId="78231FA6" w14:textId="77777777" w:rsidR="00E90C23" w:rsidRPr="00111FD4" w:rsidRDefault="00E90C23" w:rsidP="0066121B">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Over 100 Aboriginal</w:t>
            </w:r>
            <w:r w:rsidR="00FE6480" w:rsidRPr="00111FD4">
              <w:rPr>
                <w:rStyle w:val="FootnoteReference"/>
                <w:rFonts w:eastAsiaTheme="minorHAnsi" w:cstheme="minorBidi"/>
                <w:color w:val="000000" w:themeColor="text1"/>
                <w:sz w:val="22"/>
                <w:szCs w:val="21"/>
                <w:lang w:eastAsia="en-US"/>
              </w:rPr>
              <w:footnoteReference w:id="2"/>
            </w:r>
            <w:r w:rsidRPr="00111FD4">
              <w:rPr>
                <w:rFonts w:eastAsiaTheme="minorHAnsi" w:cstheme="minorBidi"/>
                <w:color w:val="000000" w:themeColor="text1"/>
                <w:sz w:val="22"/>
                <w:szCs w:val="21"/>
                <w:lang w:eastAsia="en-US"/>
              </w:rPr>
              <w:t xml:space="preserve"> languages are spoken across the Northern Territory. A national survey undertaken in 2008 identified that over 53 per cent of Aboriginal Territorians speak an Aboriginal language as their main language at home. This rate increases to 64 per cent for Aboriginal people living in regional and remote areas.</w:t>
            </w:r>
          </w:p>
          <w:p w14:paraId="7682151E" w14:textId="77777777" w:rsidR="00E90C23" w:rsidRPr="00111FD4" w:rsidRDefault="00E90C23" w:rsidP="0066121B">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Aboriginal people in the Northern Territory are more likely to experience higher levels of social and economic disadvantage compared to non-Aboriginal</w:t>
            </w:r>
            <w:r w:rsidR="00FE6480" w:rsidRPr="00111FD4">
              <w:rPr>
                <w:rFonts w:eastAsiaTheme="minorHAnsi" w:cstheme="minorBidi"/>
                <w:color w:val="000000" w:themeColor="text1"/>
                <w:sz w:val="22"/>
                <w:szCs w:val="21"/>
                <w:lang w:eastAsia="en-US"/>
              </w:rPr>
              <w:t xml:space="preserve"> people</w:t>
            </w:r>
            <w:r w:rsidRPr="00111FD4">
              <w:rPr>
                <w:rFonts w:eastAsiaTheme="minorHAnsi" w:cstheme="minorBidi"/>
                <w:color w:val="000000" w:themeColor="text1"/>
                <w:sz w:val="22"/>
                <w:szCs w:val="21"/>
                <w:lang w:eastAsia="en-US"/>
              </w:rPr>
              <w:t xml:space="preserve">. They are more likely to have lower education attainment, be unemployed, over-presented in the justice system, live in overcrowded conditions and have lower incomes compared to non-Aboriginal Territorians. </w:t>
            </w:r>
          </w:p>
          <w:p w14:paraId="77711CCD" w14:textId="77777777" w:rsidR="00E90C23" w:rsidRPr="00111FD4" w:rsidRDefault="00E90C23" w:rsidP="0066121B">
            <w:pPr>
              <w:spacing w:afterLines="60" w:after="144"/>
              <w:jc w:val="left"/>
              <w:rPr>
                <w:rFonts w:eastAsiaTheme="minorHAnsi" w:cstheme="minorBidi"/>
                <w:b/>
                <w:color w:val="000000" w:themeColor="text1"/>
                <w:sz w:val="22"/>
                <w:szCs w:val="21"/>
                <w:lang w:eastAsia="en-US"/>
              </w:rPr>
            </w:pPr>
            <w:r w:rsidRPr="00111FD4">
              <w:rPr>
                <w:rFonts w:eastAsiaTheme="minorHAnsi" w:cstheme="minorBidi"/>
                <w:b/>
                <w:color w:val="000000" w:themeColor="text1"/>
                <w:sz w:val="22"/>
                <w:szCs w:val="21"/>
                <w:lang w:eastAsia="en-US"/>
              </w:rPr>
              <w:t xml:space="preserve">Economy </w:t>
            </w:r>
          </w:p>
          <w:p w14:paraId="496ADCE2" w14:textId="77777777" w:rsidR="00E90C23" w:rsidRPr="00111FD4" w:rsidRDefault="00E90C23" w:rsidP="0066121B">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The Northern Territory’s headline economic growth has been strong over the last five years, driven primarily by major projects. In recent years however, the underlying economy has shown signs of weakening with low population growth, low inflation and fluctuating state final demand. </w:t>
            </w:r>
          </w:p>
          <w:p w14:paraId="23A8A00C" w14:textId="77777777" w:rsidR="00E90C23" w:rsidRPr="00111FD4" w:rsidRDefault="00E90C23" w:rsidP="0066121B">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The outlook for the Northern Territory housing market remains subdued, with weak leading residential indicators suggesting a further moderation in the medium term following slowing economic activity and subdued population growth.</w:t>
            </w:r>
          </w:p>
          <w:p w14:paraId="1710ACF3" w14:textId="77777777" w:rsidR="00E90C23" w:rsidRPr="00111FD4" w:rsidRDefault="00E90C23" w:rsidP="0066121B">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Given the </w:t>
            </w:r>
            <w:r w:rsidR="00671009" w:rsidRPr="00111FD4">
              <w:rPr>
                <w:rFonts w:eastAsiaTheme="minorHAnsi" w:cstheme="minorBidi"/>
                <w:color w:val="000000" w:themeColor="text1"/>
                <w:sz w:val="22"/>
                <w:szCs w:val="21"/>
                <w:lang w:eastAsia="en-US"/>
              </w:rPr>
              <w:t xml:space="preserve">Northern Territory’s </w:t>
            </w:r>
            <w:r w:rsidRPr="00111FD4">
              <w:rPr>
                <w:rFonts w:eastAsiaTheme="minorHAnsi" w:cstheme="minorBidi"/>
                <w:color w:val="000000" w:themeColor="text1"/>
                <w:sz w:val="22"/>
                <w:szCs w:val="21"/>
                <w:lang w:eastAsia="en-US"/>
              </w:rPr>
              <w:t>low to negative population growth and previous land releases</w:t>
            </w:r>
            <w:r w:rsidR="00671009" w:rsidRPr="00111FD4">
              <w:rPr>
                <w:rFonts w:eastAsiaTheme="minorHAnsi" w:cstheme="minorBidi"/>
                <w:color w:val="000000" w:themeColor="text1"/>
                <w:sz w:val="22"/>
                <w:szCs w:val="21"/>
                <w:lang w:eastAsia="en-US"/>
              </w:rPr>
              <w:t xml:space="preserve">, </w:t>
            </w:r>
            <w:r w:rsidRPr="00111FD4">
              <w:rPr>
                <w:rFonts w:eastAsiaTheme="minorHAnsi" w:cstheme="minorBidi"/>
                <w:color w:val="000000" w:themeColor="text1"/>
                <w:sz w:val="22"/>
                <w:szCs w:val="21"/>
                <w:lang w:eastAsia="en-US"/>
              </w:rPr>
              <w:t xml:space="preserve">supply </w:t>
            </w:r>
            <w:r w:rsidR="002A3F60" w:rsidRPr="00111FD4">
              <w:rPr>
                <w:rFonts w:eastAsiaTheme="minorHAnsi" w:cstheme="minorBidi"/>
                <w:color w:val="000000" w:themeColor="text1"/>
                <w:sz w:val="22"/>
                <w:szCs w:val="21"/>
                <w:lang w:eastAsia="en-US"/>
              </w:rPr>
              <w:t xml:space="preserve">in Darwin </w:t>
            </w:r>
            <w:r w:rsidRPr="00111FD4">
              <w:rPr>
                <w:rFonts w:eastAsiaTheme="minorHAnsi" w:cstheme="minorBidi"/>
                <w:color w:val="000000" w:themeColor="text1"/>
                <w:sz w:val="22"/>
                <w:szCs w:val="21"/>
                <w:lang w:eastAsia="en-US"/>
              </w:rPr>
              <w:t>is not considered an issue in the broader housing market</w:t>
            </w:r>
            <w:r w:rsidR="00671009" w:rsidRPr="00111FD4">
              <w:rPr>
                <w:rFonts w:eastAsiaTheme="minorHAnsi" w:cstheme="minorBidi"/>
                <w:color w:val="000000" w:themeColor="text1"/>
                <w:sz w:val="22"/>
                <w:szCs w:val="21"/>
                <w:lang w:eastAsia="en-US"/>
              </w:rPr>
              <w:t xml:space="preserve"> at this point in time</w:t>
            </w:r>
            <w:r w:rsidR="002A3F60" w:rsidRPr="00111FD4">
              <w:rPr>
                <w:rFonts w:eastAsiaTheme="minorHAnsi" w:cstheme="minorBidi"/>
                <w:color w:val="000000" w:themeColor="text1"/>
                <w:sz w:val="22"/>
                <w:szCs w:val="21"/>
                <w:lang w:eastAsia="en-US"/>
              </w:rPr>
              <w:t xml:space="preserve">, although </w:t>
            </w:r>
            <w:r w:rsidR="00A66BC2" w:rsidRPr="00111FD4">
              <w:rPr>
                <w:rFonts w:eastAsiaTheme="minorHAnsi" w:cstheme="minorBidi"/>
                <w:color w:val="000000" w:themeColor="text1"/>
                <w:sz w:val="22"/>
                <w:szCs w:val="21"/>
                <w:lang w:eastAsia="en-US"/>
              </w:rPr>
              <w:t xml:space="preserve">affordable rent is </w:t>
            </w:r>
            <w:r w:rsidR="00291351" w:rsidRPr="00111FD4">
              <w:rPr>
                <w:rFonts w:eastAsiaTheme="minorHAnsi" w:cstheme="minorBidi"/>
                <w:color w:val="000000" w:themeColor="text1"/>
                <w:sz w:val="22"/>
                <w:szCs w:val="21"/>
                <w:lang w:eastAsia="en-US"/>
              </w:rPr>
              <w:t>still</w:t>
            </w:r>
            <w:r w:rsidR="00A66BC2" w:rsidRPr="00111FD4">
              <w:rPr>
                <w:rFonts w:eastAsiaTheme="minorHAnsi" w:cstheme="minorBidi"/>
                <w:color w:val="000000" w:themeColor="text1"/>
                <w:sz w:val="22"/>
                <w:szCs w:val="21"/>
                <w:lang w:eastAsia="en-US"/>
              </w:rPr>
              <w:t xml:space="preserve"> </w:t>
            </w:r>
            <w:r w:rsidR="002A3F60" w:rsidRPr="00111FD4">
              <w:rPr>
                <w:rFonts w:eastAsiaTheme="minorHAnsi" w:cstheme="minorBidi"/>
                <w:color w:val="000000" w:themeColor="text1"/>
                <w:sz w:val="22"/>
                <w:szCs w:val="21"/>
                <w:lang w:eastAsia="en-US"/>
              </w:rPr>
              <w:t>a challenge for low income earners</w:t>
            </w:r>
            <w:r w:rsidR="00A66BC2" w:rsidRPr="00111FD4">
              <w:rPr>
                <w:rFonts w:eastAsiaTheme="minorHAnsi" w:cstheme="minorBidi"/>
                <w:color w:val="000000" w:themeColor="text1"/>
                <w:sz w:val="22"/>
                <w:szCs w:val="21"/>
                <w:lang w:eastAsia="en-US"/>
              </w:rPr>
              <w:t>.</w:t>
            </w:r>
            <w:r w:rsidR="002A3F60" w:rsidRPr="00111FD4">
              <w:rPr>
                <w:rFonts w:eastAsiaTheme="minorHAnsi" w:cstheme="minorBidi"/>
                <w:color w:val="000000" w:themeColor="text1"/>
                <w:sz w:val="22"/>
                <w:szCs w:val="21"/>
                <w:lang w:eastAsia="en-US"/>
              </w:rPr>
              <w:t xml:space="preserve">  </w:t>
            </w:r>
            <w:r w:rsidRPr="00111FD4">
              <w:rPr>
                <w:rFonts w:eastAsiaTheme="minorHAnsi" w:cstheme="minorBidi"/>
                <w:color w:val="000000" w:themeColor="text1"/>
                <w:sz w:val="22"/>
                <w:szCs w:val="21"/>
                <w:lang w:eastAsia="en-US"/>
              </w:rPr>
              <w:t xml:space="preserve"> </w:t>
            </w:r>
          </w:p>
          <w:p w14:paraId="75C7AFC7" w14:textId="77777777" w:rsidR="00E90C23" w:rsidRPr="00111FD4" w:rsidRDefault="00E90C23" w:rsidP="0066121B">
            <w:pPr>
              <w:spacing w:afterLines="60" w:after="144"/>
              <w:jc w:val="left"/>
              <w:rPr>
                <w:rFonts w:eastAsiaTheme="minorHAnsi" w:cstheme="minorBidi"/>
                <w:b/>
                <w:color w:val="000000" w:themeColor="text1"/>
                <w:sz w:val="22"/>
                <w:szCs w:val="21"/>
                <w:lang w:eastAsia="en-US"/>
              </w:rPr>
            </w:pPr>
            <w:r w:rsidRPr="00111FD4">
              <w:rPr>
                <w:rFonts w:eastAsiaTheme="minorHAnsi" w:cstheme="minorBidi"/>
                <w:b/>
                <w:color w:val="000000" w:themeColor="text1"/>
                <w:sz w:val="22"/>
                <w:szCs w:val="21"/>
                <w:lang w:eastAsia="en-US"/>
              </w:rPr>
              <w:t>Housing</w:t>
            </w:r>
          </w:p>
          <w:p w14:paraId="08AF6CC4" w14:textId="77777777" w:rsidR="00E90C23" w:rsidRPr="00111FD4" w:rsidRDefault="00E90C23" w:rsidP="0066121B">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As at </w:t>
            </w:r>
            <w:r w:rsidR="002B502F" w:rsidRPr="00111FD4">
              <w:rPr>
                <w:rFonts w:eastAsiaTheme="minorHAnsi" w:cstheme="minorBidi"/>
                <w:color w:val="000000" w:themeColor="text1"/>
                <w:sz w:val="22"/>
                <w:szCs w:val="21"/>
                <w:lang w:eastAsia="en-US"/>
              </w:rPr>
              <w:t xml:space="preserve">February </w:t>
            </w:r>
            <w:r w:rsidRPr="00111FD4">
              <w:rPr>
                <w:rFonts w:eastAsiaTheme="minorHAnsi" w:cstheme="minorBidi"/>
                <w:color w:val="000000" w:themeColor="text1"/>
                <w:sz w:val="22"/>
                <w:szCs w:val="21"/>
                <w:lang w:eastAsia="en-US"/>
              </w:rPr>
              <w:t xml:space="preserve">2018, the Northern Territory’s public housing portfolio </w:t>
            </w:r>
            <w:r w:rsidR="00B456EB" w:rsidRPr="00111FD4">
              <w:rPr>
                <w:rFonts w:eastAsiaTheme="minorHAnsi" w:cstheme="minorBidi"/>
                <w:color w:val="000000" w:themeColor="text1"/>
                <w:sz w:val="22"/>
                <w:szCs w:val="21"/>
                <w:lang w:eastAsia="en-US"/>
              </w:rPr>
              <w:t>was</w:t>
            </w:r>
            <w:r w:rsidRPr="00111FD4">
              <w:rPr>
                <w:rFonts w:eastAsiaTheme="minorHAnsi" w:cstheme="minorBidi"/>
                <w:color w:val="000000" w:themeColor="text1"/>
                <w:sz w:val="22"/>
                <w:szCs w:val="21"/>
                <w:lang w:eastAsia="en-US"/>
              </w:rPr>
              <w:t xml:space="preserve"> 12 167 dwellings (comprising urban, remote, industry housing, government employee housing, emergency housing, community housing and affordable rental housing). Forty-one percent (5</w:t>
            </w:r>
            <w:r w:rsidR="001522E6" w:rsidRPr="00111FD4">
              <w:rPr>
                <w:rFonts w:eastAsiaTheme="minorHAnsi" w:cstheme="minorBidi"/>
                <w:color w:val="000000" w:themeColor="text1"/>
                <w:sz w:val="22"/>
                <w:szCs w:val="21"/>
                <w:lang w:eastAsia="en-US"/>
              </w:rPr>
              <w:t> </w:t>
            </w:r>
            <w:r w:rsidRPr="00111FD4">
              <w:rPr>
                <w:rFonts w:eastAsiaTheme="minorHAnsi" w:cstheme="minorBidi"/>
                <w:color w:val="000000" w:themeColor="text1"/>
                <w:sz w:val="22"/>
                <w:szCs w:val="21"/>
                <w:lang w:eastAsia="en-US"/>
              </w:rPr>
              <w:t xml:space="preserve">013) of the portfolio is urban public housing while 42 per cent (5 097) is remote. </w:t>
            </w:r>
          </w:p>
          <w:p w14:paraId="4CEC5E43" w14:textId="77777777" w:rsidR="00E90C23" w:rsidRPr="00111FD4" w:rsidRDefault="00E90C23" w:rsidP="0066121B">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The demand for public housing far exceeds supply. As at </w:t>
            </w:r>
            <w:r w:rsidR="002B502F" w:rsidRPr="00111FD4">
              <w:rPr>
                <w:rFonts w:eastAsiaTheme="minorHAnsi" w:cstheme="minorBidi"/>
                <w:color w:val="000000" w:themeColor="text1"/>
                <w:sz w:val="22"/>
                <w:szCs w:val="21"/>
                <w:lang w:eastAsia="en-US"/>
              </w:rPr>
              <w:t xml:space="preserve">February </w:t>
            </w:r>
            <w:r w:rsidRPr="00111FD4">
              <w:rPr>
                <w:rFonts w:eastAsiaTheme="minorHAnsi" w:cstheme="minorBidi"/>
                <w:color w:val="000000" w:themeColor="text1"/>
                <w:sz w:val="22"/>
                <w:szCs w:val="21"/>
                <w:lang w:eastAsia="en-US"/>
              </w:rPr>
              <w:t>2018, there were 5 6</w:t>
            </w:r>
            <w:r w:rsidR="002B502F" w:rsidRPr="00111FD4">
              <w:rPr>
                <w:rFonts w:eastAsiaTheme="minorHAnsi" w:cstheme="minorBidi"/>
                <w:color w:val="000000" w:themeColor="text1"/>
                <w:sz w:val="22"/>
                <w:szCs w:val="21"/>
                <w:lang w:eastAsia="en-US"/>
              </w:rPr>
              <w:t>66</w:t>
            </w:r>
            <w:r w:rsidRPr="00111FD4">
              <w:rPr>
                <w:rFonts w:eastAsiaTheme="minorHAnsi" w:cstheme="minorBidi"/>
                <w:color w:val="000000" w:themeColor="text1"/>
                <w:sz w:val="22"/>
                <w:szCs w:val="21"/>
                <w:lang w:eastAsia="en-US"/>
              </w:rPr>
              <w:t xml:space="preserve"> </w:t>
            </w:r>
            <w:r w:rsidR="00B456EB" w:rsidRPr="00111FD4">
              <w:rPr>
                <w:rFonts w:eastAsiaTheme="minorHAnsi" w:cstheme="minorBidi"/>
                <w:color w:val="000000" w:themeColor="text1"/>
                <w:sz w:val="22"/>
                <w:szCs w:val="21"/>
                <w:lang w:eastAsia="en-US"/>
              </w:rPr>
              <w:t>households</w:t>
            </w:r>
            <w:r w:rsidRPr="00111FD4">
              <w:rPr>
                <w:rFonts w:eastAsiaTheme="minorHAnsi" w:cstheme="minorBidi"/>
                <w:color w:val="000000" w:themeColor="text1"/>
                <w:sz w:val="22"/>
                <w:szCs w:val="21"/>
                <w:lang w:eastAsia="en-US"/>
              </w:rPr>
              <w:t xml:space="preserve"> waiting for public housing in the Northern Territory (</w:t>
            </w:r>
            <w:r w:rsidR="002B502F" w:rsidRPr="00111FD4">
              <w:rPr>
                <w:rFonts w:eastAsiaTheme="minorHAnsi" w:cstheme="minorBidi"/>
                <w:color w:val="000000" w:themeColor="text1"/>
                <w:sz w:val="22"/>
                <w:szCs w:val="21"/>
                <w:lang w:eastAsia="en-US"/>
              </w:rPr>
              <w:t>3 646 in urban and 2</w:t>
            </w:r>
            <w:r w:rsidR="009E3356" w:rsidRPr="00111FD4">
              <w:rPr>
                <w:rFonts w:eastAsiaTheme="minorHAnsi" w:cstheme="minorBidi"/>
                <w:color w:val="000000" w:themeColor="text1"/>
                <w:sz w:val="22"/>
                <w:szCs w:val="21"/>
                <w:lang w:eastAsia="en-US"/>
              </w:rPr>
              <w:t> </w:t>
            </w:r>
            <w:r w:rsidR="002B502F" w:rsidRPr="00111FD4">
              <w:rPr>
                <w:rFonts w:eastAsiaTheme="minorHAnsi" w:cstheme="minorBidi"/>
                <w:color w:val="000000" w:themeColor="text1"/>
                <w:sz w:val="22"/>
                <w:szCs w:val="21"/>
                <w:lang w:eastAsia="en-US"/>
              </w:rPr>
              <w:t>020</w:t>
            </w:r>
            <w:r w:rsidRPr="00111FD4">
              <w:rPr>
                <w:rFonts w:eastAsiaTheme="minorHAnsi" w:cstheme="minorBidi"/>
                <w:color w:val="000000" w:themeColor="text1"/>
                <w:sz w:val="22"/>
                <w:szCs w:val="21"/>
                <w:lang w:eastAsia="en-US"/>
              </w:rPr>
              <w:t xml:space="preserve"> in remote areas). </w:t>
            </w:r>
          </w:p>
          <w:p w14:paraId="22E91FFC" w14:textId="77777777" w:rsidR="00E90C23" w:rsidRPr="00111FD4" w:rsidRDefault="00E90C23" w:rsidP="0066121B">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Aboriginal people make up 50 per cent of urban public housing </w:t>
            </w:r>
            <w:r w:rsidR="00B456EB" w:rsidRPr="00111FD4">
              <w:rPr>
                <w:rFonts w:eastAsiaTheme="minorHAnsi" w:cstheme="minorBidi"/>
                <w:color w:val="000000" w:themeColor="text1"/>
                <w:sz w:val="22"/>
                <w:szCs w:val="21"/>
                <w:lang w:eastAsia="en-US"/>
              </w:rPr>
              <w:t>tenancies</w:t>
            </w:r>
            <w:r w:rsidRPr="00111FD4">
              <w:rPr>
                <w:rFonts w:eastAsiaTheme="minorHAnsi" w:cstheme="minorBidi"/>
                <w:color w:val="000000" w:themeColor="text1"/>
                <w:sz w:val="22"/>
                <w:szCs w:val="21"/>
                <w:lang w:eastAsia="en-US"/>
              </w:rPr>
              <w:t xml:space="preserve"> and 99 per cent of remote public housing </w:t>
            </w:r>
            <w:r w:rsidR="00B456EB" w:rsidRPr="00111FD4">
              <w:rPr>
                <w:rFonts w:eastAsiaTheme="minorHAnsi" w:cstheme="minorBidi"/>
                <w:color w:val="000000" w:themeColor="text1"/>
                <w:sz w:val="22"/>
                <w:szCs w:val="21"/>
                <w:lang w:eastAsia="en-US"/>
              </w:rPr>
              <w:t>tenancies</w:t>
            </w:r>
            <w:r w:rsidRPr="00111FD4">
              <w:rPr>
                <w:rFonts w:eastAsiaTheme="minorHAnsi" w:cstheme="minorBidi"/>
                <w:color w:val="000000" w:themeColor="text1"/>
                <w:sz w:val="22"/>
                <w:szCs w:val="21"/>
                <w:lang w:eastAsia="en-US"/>
              </w:rPr>
              <w:t xml:space="preserve"> in the Northern Territory.   </w:t>
            </w:r>
          </w:p>
          <w:p w14:paraId="647CD2BF" w14:textId="77777777" w:rsidR="00E90C23" w:rsidRPr="00111FD4" w:rsidRDefault="00E90C23" w:rsidP="00E90C23">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lastRenderedPageBreak/>
              <w:t xml:space="preserve">The majority of Northern Territory public housing tenants are low income and welfare dependent. In addition, many tenants have multiple and complex needs that require additional support services from government agencies and the non-government sector. </w:t>
            </w:r>
          </w:p>
          <w:p w14:paraId="23ADDF2D" w14:textId="77777777" w:rsidR="00E90C23" w:rsidRPr="00111FD4" w:rsidRDefault="00E90C23" w:rsidP="000138B8">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Overcrowding is a significant issue in remote areas where, based on the Canadian National Occupancy Standard (CNOS), it is projected that up to 15 </w:t>
            </w:r>
            <w:r w:rsidR="000138B8" w:rsidRPr="00111FD4">
              <w:rPr>
                <w:rFonts w:eastAsiaTheme="minorHAnsi" w:cstheme="minorBidi"/>
                <w:color w:val="000000" w:themeColor="text1"/>
                <w:sz w:val="22"/>
                <w:szCs w:val="21"/>
                <w:lang w:eastAsia="en-US"/>
              </w:rPr>
              <w:t>124</w:t>
            </w:r>
            <w:r w:rsidRPr="00111FD4">
              <w:rPr>
                <w:rFonts w:eastAsiaTheme="minorHAnsi" w:cstheme="minorBidi"/>
                <w:color w:val="000000" w:themeColor="text1"/>
                <w:sz w:val="22"/>
                <w:szCs w:val="21"/>
                <w:lang w:eastAsia="en-US"/>
              </w:rPr>
              <w:t xml:space="preserve"> additional bedrooms (5</w:t>
            </w:r>
            <w:r w:rsidR="001A4AEB" w:rsidRPr="00111FD4">
              <w:rPr>
                <w:rFonts w:eastAsiaTheme="minorHAnsi" w:cstheme="minorBidi"/>
                <w:color w:val="000000" w:themeColor="text1"/>
                <w:sz w:val="22"/>
                <w:szCs w:val="21"/>
                <w:lang w:eastAsia="en-US"/>
              </w:rPr>
              <w:t> </w:t>
            </w:r>
            <w:r w:rsidR="000138B8" w:rsidRPr="00111FD4">
              <w:rPr>
                <w:rFonts w:eastAsiaTheme="minorHAnsi" w:cstheme="minorBidi"/>
                <w:color w:val="000000" w:themeColor="text1"/>
                <w:sz w:val="22"/>
                <w:szCs w:val="21"/>
                <w:lang w:eastAsia="en-US"/>
              </w:rPr>
              <w:t>041</w:t>
            </w:r>
            <w:r w:rsidR="001A4AEB" w:rsidRPr="00111FD4">
              <w:rPr>
                <w:rFonts w:eastAsiaTheme="minorHAnsi" w:cstheme="minorBidi"/>
                <w:color w:val="000000" w:themeColor="text1"/>
                <w:sz w:val="22"/>
                <w:szCs w:val="21"/>
                <w:lang w:eastAsia="en-US"/>
              </w:rPr>
              <w:t> </w:t>
            </w:r>
            <w:r w:rsidRPr="00111FD4">
              <w:rPr>
                <w:rFonts w:eastAsiaTheme="minorHAnsi" w:cstheme="minorBidi"/>
                <w:color w:val="000000" w:themeColor="text1"/>
                <w:sz w:val="22"/>
                <w:szCs w:val="21"/>
                <w:lang w:eastAsia="en-US"/>
              </w:rPr>
              <w:t>additional three bedroom homes) are required between now and 2</w:t>
            </w:r>
            <w:r w:rsidR="008E1E31" w:rsidRPr="00111FD4">
              <w:rPr>
                <w:rFonts w:eastAsiaTheme="minorHAnsi" w:cstheme="minorBidi"/>
                <w:color w:val="000000" w:themeColor="text1"/>
                <w:sz w:val="22"/>
                <w:szCs w:val="21"/>
                <w:lang w:eastAsia="en-US"/>
              </w:rPr>
              <w:t xml:space="preserve"> </w:t>
            </w:r>
            <w:r w:rsidRPr="00111FD4">
              <w:rPr>
                <w:rFonts w:eastAsiaTheme="minorHAnsi" w:cstheme="minorBidi"/>
                <w:color w:val="000000" w:themeColor="text1"/>
                <w:sz w:val="22"/>
                <w:szCs w:val="21"/>
                <w:lang w:eastAsia="en-US"/>
              </w:rPr>
              <w:t xml:space="preserve">028 to address overcrowding in communities where public housing in provided. </w:t>
            </w:r>
          </w:p>
          <w:p w14:paraId="60578981" w14:textId="77777777" w:rsidR="00E90C23" w:rsidRPr="00111FD4" w:rsidRDefault="00E90C23" w:rsidP="00E90C23">
            <w:pPr>
              <w:spacing w:afterLines="60" w:after="144"/>
              <w:jc w:val="left"/>
              <w:rPr>
                <w:rFonts w:eastAsiaTheme="minorHAnsi" w:cstheme="minorBidi"/>
                <w:b/>
                <w:color w:val="000000" w:themeColor="text1"/>
                <w:sz w:val="22"/>
                <w:szCs w:val="21"/>
                <w:lang w:eastAsia="en-US"/>
              </w:rPr>
            </w:pPr>
            <w:r w:rsidRPr="00111FD4">
              <w:rPr>
                <w:rFonts w:eastAsiaTheme="minorHAnsi" w:cstheme="minorBidi"/>
                <w:b/>
                <w:color w:val="000000" w:themeColor="text1"/>
                <w:sz w:val="22"/>
                <w:szCs w:val="21"/>
                <w:lang w:eastAsia="en-US"/>
              </w:rPr>
              <w:t>Homelessness</w:t>
            </w:r>
          </w:p>
          <w:p w14:paraId="1942F0A2" w14:textId="77777777" w:rsidR="00E90C23" w:rsidRPr="00111FD4" w:rsidRDefault="00E90C23" w:rsidP="00E90C23">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The Northern Territory has the highest rate of homelessness in Australia at 599.4 per 10 000 people.</w:t>
            </w:r>
          </w:p>
          <w:p w14:paraId="3816375E" w14:textId="77777777" w:rsidR="00E90C23" w:rsidRPr="00111FD4" w:rsidRDefault="00E90C23" w:rsidP="00E90C23">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This is significant considering the homelessness rate for Australia is 49.8 per 10 000 people and that the rate for other jurisdictions range</w:t>
            </w:r>
            <w:r w:rsidR="00B456EB" w:rsidRPr="00111FD4">
              <w:rPr>
                <w:rFonts w:eastAsiaTheme="minorHAnsi" w:cstheme="minorBidi"/>
                <w:color w:val="000000" w:themeColor="text1"/>
                <w:sz w:val="22"/>
                <w:szCs w:val="21"/>
                <w:lang w:eastAsia="en-US"/>
              </w:rPr>
              <w:t>s</w:t>
            </w:r>
            <w:r w:rsidR="006F754B" w:rsidRPr="00111FD4">
              <w:rPr>
                <w:rFonts w:eastAsiaTheme="minorHAnsi" w:cstheme="minorBidi"/>
                <w:color w:val="000000" w:themeColor="text1"/>
                <w:sz w:val="22"/>
                <w:szCs w:val="21"/>
                <w:lang w:eastAsia="en-US"/>
              </w:rPr>
              <w:t xml:space="preserve"> from 31.8</w:t>
            </w:r>
            <w:r w:rsidRPr="00111FD4">
              <w:rPr>
                <w:rFonts w:eastAsiaTheme="minorHAnsi" w:cstheme="minorBidi"/>
                <w:color w:val="000000" w:themeColor="text1"/>
                <w:sz w:val="22"/>
                <w:szCs w:val="21"/>
                <w:lang w:eastAsia="en-US"/>
              </w:rPr>
              <w:t xml:space="preserve"> to 50.4 per 10 000 people. </w:t>
            </w:r>
            <w:r w:rsidR="006C6053" w:rsidRPr="00111FD4">
              <w:rPr>
                <w:rFonts w:eastAsiaTheme="minorHAnsi" w:cstheme="minorBidi"/>
                <w:color w:val="000000" w:themeColor="text1"/>
                <w:sz w:val="22"/>
                <w:szCs w:val="21"/>
                <w:lang w:eastAsia="en-US"/>
              </w:rPr>
              <w:t xml:space="preserve">In addition, </w:t>
            </w:r>
            <w:r w:rsidRPr="00111FD4">
              <w:rPr>
                <w:rFonts w:eastAsiaTheme="minorHAnsi" w:cstheme="minorBidi"/>
                <w:color w:val="000000" w:themeColor="text1"/>
                <w:sz w:val="22"/>
                <w:szCs w:val="21"/>
                <w:lang w:eastAsia="en-US"/>
              </w:rPr>
              <w:t>the homelessness rate for the Northern Territory is 11.9 times greater than the next jurisdiction with the highest homelessness rate</w:t>
            </w:r>
            <w:r w:rsidR="00B456EB" w:rsidRPr="00111FD4">
              <w:rPr>
                <w:rFonts w:eastAsiaTheme="minorHAnsi" w:cstheme="minorBidi"/>
                <w:color w:val="000000" w:themeColor="text1"/>
                <w:sz w:val="22"/>
                <w:szCs w:val="21"/>
                <w:lang w:eastAsia="en-US"/>
              </w:rPr>
              <w:t>,</w:t>
            </w:r>
            <w:r w:rsidRPr="00111FD4">
              <w:rPr>
                <w:rFonts w:eastAsiaTheme="minorHAnsi" w:cstheme="minorBidi"/>
                <w:color w:val="000000" w:themeColor="text1"/>
                <w:sz w:val="22"/>
                <w:szCs w:val="21"/>
                <w:lang w:eastAsia="en-US"/>
              </w:rPr>
              <w:t xml:space="preserve"> which is New South Wales at 50.4 rate per </w:t>
            </w:r>
            <w:r w:rsidR="009617C0" w:rsidRPr="00111FD4">
              <w:rPr>
                <w:rFonts w:eastAsiaTheme="minorHAnsi" w:cstheme="minorBidi"/>
                <w:color w:val="000000" w:themeColor="text1"/>
                <w:sz w:val="22"/>
                <w:szCs w:val="21"/>
                <w:lang w:eastAsia="en-US"/>
              </w:rPr>
              <w:t xml:space="preserve">10 000 </w:t>
            </w:r>
            <w:r w:rsidRPr="00111FD4">
              <w:rPr>
                <w:rFonts w:eastAsiaTheme="minorHAnsi" w:cstheme="minorBidi"/>
                <w:color w:val="000000" w:themeColor="text1"/>
                <w:sz w:val="22"/>
                <w:szCs w:val="21"/>
                <w:lang w:eastAsia="en-US"/>
              </w:rPr>
              <w:t xml:space="preserve">people. </w:t>
            </w:r>
          </w:p>
          <w:p w14:paraId="4756D3AF" w14:textId="77777777" w:rsidR="00E90C23" w:rsidRPr="00111FD4" w:rsidRDefault="00E90C23" w:rsidP="00E90C23">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In exact numbers, there were 116 427 homeless people across Australia on the 2016 census night and 13 717 (12 per cent) of those were from the Northern Territory, even though the Northern Territory only comprises one per cent of the national population.</w:t>
            </w:r>
          </w:p>
          <w:p w14:paraId="6903C5CD" w14:textId="77777777" w:rsidR="00671009" w:rsidRPr="00111FD4" w:rsidRDefault="00671009" w:rsidP="00671009">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Aboriginal people make up 88 per cent of the Northern Territory’s homelessness population. In comparison, Aboriginal </w:t>
            </w:r>
            <w:r w:rsidR="00E07E68" w:rsidRPr="00111FD4">
              <w:rPr>
                <w:rFonts w:eastAsiaTheme="minorHAnsi" w:cstheme="minorBidi"/>
                <w:color w:val="000000" w:themeColor="text1"/>
                <w:sz w:val="22"/>
                <w:szCs w:val="21"/>
                <w:lang w:eastAsia="en-US"/>
              </w:rPr>
              <w:t xml:space="preserve">people </w:t>
            </w:r>
            <w:r w:rsidRPr="00111FD4">
              <w:rPr>
                <w:rFonts w:eastAsiaTheme="minorHAnsi" w:cstheme="minorBidi"/>
                <w:color w:val="000000" w:themeColor="text1"/>
                <w:sz w:val="22"/>
                <w:szCs w:val="21"/>
                <w:lang w:eastAsia="en-US"/>
              </w:rPr>
              <w:t>make up 20 per cent of all homeless persons nationally.</w:t>
            </w:r>
          </w:p>
          <w:p w14:paraId="50C83285" w14:textId="77777777" w:rsidR="00E90C23" w:rsidRPr="00111FD4" w:rsidRDefault="00E90C23" w:rsidP="00E90C23">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Overall, homelessness in the Northern Territory is significantly high in remote areas (77 per cent) compared to urban areas (23 per cent). </w:t>
            </w:r>
            <w:r w:rsidR="009617C0" w:rsidRPr="00111FD4">
              <w:rPr>
                <w:rFonts w:eastAsiaTheme="minorHAnsi" w:cstheme="minorBidi"/>
                <w:color w:val="000000" w:themeColor="text1"/>
                <w:sz w:val="22"/>
                <w:szCs w:val="21"/>
                <w:lang w:eastAsia="en-US"/>
              </w:rPr>
              <w:t>This is due to people living in severely crowded dwellings.</w:t>
            </w:r>
          </w:p>
          <w:p w14:paraId="2B470B7C" w14:textId="77777777" w:rsidR="00671009" w:rsidRPr="00111FD4" w:rsidRDefault="00671009" w:rsidP="00671009">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The Northern Territory has the highest rate of homelessness people living in severely crowded dwellings at 483.5 per 10 000 people. This is significant when compared to the national average of 21.8 per 10 000. In comparison, other jurisdictions range from 5.2 to 22.5 per 10 000 people.   </w:t>
            </w:r>
          </w:p>
          <w:p w14:paraId="5F904E7D" w14:textId="77777777" w:rsidR="00E90C23" w:rsidRPr="00111FD4" w:rsidRDefault="00E90C23" w:rsidP="00E90C23">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Of major concern, it is children under the ‘age of 12’ and youth ‘aged 12 to 18’ years who are most affected by homelessness in the Northern Territory. These groups equate to 22.8 per cent (3 132) and 13.8 per cent (1 899) respectively of all homelessness people in the Northern Territory and are the highest in their cohorts across all jurisdictions. </w:t>
            </w:r>
          </w:p>
          <w:p w14:paraId="3E200553" w14:textId="77777777" w:rsidR="00E90C23" w:rsidRPr="00111FD4" w:rsidRDefault="00E90C23" w:rsidP="00E90C23">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In addition, the Northern Territory has the highest rate of homeless people living in improvised dwellings, tents or sleeping out (47.9 per 10 000 people) compared to the national rate of 1.4 per 10 000 people. </w:t>
            </w:r>
          </w:p>
          <w:p w14:paraId="6D791AEA" w14:textId="77777777" w:rsidR="00E90C23" w:rsidRPr="00111FD4" w:rsidRDefault="00E90C23" w:rsidP="00E90C23">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The Northern Territory client base for homelessness services generally comprise people with multiple and complex needs, which contributes to higher overall costs for support services.</w:t>
            </w:r>
          </w:p>
          <w:p w14:paraId="5A0A7413" w14:textId="77777777" w:rsidR="001B3555" w:rsidRPr="00111FD4" w:rsidRDefault="001B3555" w:rsidP="00E90C23">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Homelessness services in the Northern Territory are accessed by various cohorts including women and children affected by family and domestic violence, Aboriginal people, children and young people. In 2016-17, </w:t>
            </w:r>
            <w:r w:rsidR="003104E5" w:rsidRPr="00111FD4">
              <w:rPr>
                <w:rFonts w:eastAsiaTheme="minorHAnsi" w:cstheme="minorBidi"/>
                <w:color w:val="000000" w:themeColor="text1"/>
                <w:sz w:val="22"/>
                <w:szCs w:val="21"/>
                <w:lang w:eastAsia="en-US"/>
              </w:rPr>
              <w:t xml:space="preserve">9 187 </w:t>
            </w:r>
            <w:r w:rsidR="00D84EAB" w:rsidRPr="00111FD4">
              <w:rPr>
                <w:rFonts w:eastAsiaTheme="minorHAnsi" w:cstheme="minorBidi"/>
                <w:color w:val="000000" w:themeColor="text1"/>
                <w:sz w:val="22"/>
                <w:szCs w:val="21"/>
                <w:lang w:eastAsia="en-US"/>
              </w:rPr>
              <w:t xml:space="preserve">people </w:t>
            </w:r>
            <w:r w:rsidR="003104E5" w:rsidRPr="00111FD4">
              <w:rPr>
                <w:rFonts w:eastAsiaTheme="minorHAnsi" w:cstheme="minorBidi"/>
                <w:color w:val="000000" w:themeColor="text1"/>
                <w:sz w:val="22"/>
                <w:szCs w:val="21"/>
                <w:lang w:eastAsia="en-US"/>
              </w:rPr>
              <w:t>accessed a homelessness service</w:t>
            </w:r>
            <w:r w:rsidR="00D84EAB" w:rsidRPr="00111FD4">
              <w:rPr>
                <w:rFonts w:eastAsiaTheme="minorHAnsi" w:cstheme="minorBidi"/>
                <w:color w:val="000000" w:themeColor="text1"/>
                <w:sz w:val="22"/>
                <w:szCs w:val="21"/>
                <w:lang w:eastAsia="en-US"/>
              </w:rPr>
              <w:t xml:space="preserve"> in the Northern Territory</w:t>
            </w:r>
            <w:r w:rsidR="003104E5" w:rsidRPr="00111FD4">
              <w:rPr>
                <w:rFonts w:eastAsiaTheme="minorHAnsi" w:cstheme="minorBidi"/>
                <w:color w:val="000000" w:themeColor="text1"/>
                <w:sz w:val="22"/>
                <w:szCs w:val="21"/>
                <w:lang w:eastAsia="en-US"/>
              </w:rPr>
              <w:t xml:space="preserve">. Of this, </w:t>
            </w:r>
            <w:r w:rsidR="00C86373" w:rsidRPr="00111FD4">
              <w:rPr>
                <w:rFonts w:eastAsiaTheme="minorHAnsi" w:cstheme="minorBidi"/>
                <w:color w:val="000000" w:themeColor="text1"/>
                <w:sz w:val="22"/>
                <w:szCs w:val="21"/>
                <w:lang w:eastAsia="en-US"/>
              </w:rPr>
              <w:t>4 320</w:t>
            </w:r>
            <w:r w:rsidR="003104E5" w:rsidRPr="00111FD4">
              <w:rPr>
                <w:rFonts w:eastAsiaTheme="minorHAnsi" w:cstheme="minorBidi"/>
                <w:color w:val="000000" w:themeColor="text1"/>
                <w:sz w:val="22"/>
                <w:szCs w:val="21"/>
                <w:lang w:eastAsia="en-US"/>
              </w:rPr>
              <w:t xml:space="preserve"> (</w:t>
            </w:r>
            <w:r w:rsidR="00C86373" w:rsidRPr="00111FD4">
              <w:rPr>
                <w:rFonts w:eastAsiaTheme="minorHAnsi" w:cstheme="minorBidi"/>
                <w:color w:val="000000" w:themeColor="text1"/>
                <w:sz w:val="22"/>
                <w:szCs w:val="21"/>
                <w:lang w:eastAsia="en-US"/>
              </w:rPr>
              <w:t>47</w:t>
            </w:r>
            <w:r w:rsidR="003104E5" w:rsidRPr="00111FD4">
              <w:rPr>
                <w:rFonts w:eastAsiaTheme="minorHAnsi" w:cstheme="minorBidi"/>
                <w:color w:val="000000" w:themeColor="text1"/>
                <w:sz w:val="22"/>
                <w:szCs w:val="21"/>
                <w:lang w:eastAsia="en-US"/>
              </w:rPr>
              <w:t>.</w:t>
            </w:r>
            <w:r w:rsidR="00C86373" w:rsidRPr="00111FD4">
              <w:rPr>
                <w:rFonts w:eastAsiaTheme="minorHAnsi" w:cstheme="minorBidi"/>
                <w:color w:val="000000" w:themeColor="text1"/>
                <w:sz w:val="22"/>
                <w:szCs w:val="21"/>
                <w:lang w:eastAsia="en-US"/>
              </w:rPr>
              <w:t>3</w:t>
            </w:r>
            <w:r w:rsidR="003104E5" w:rsidRPr="00111FD4">
              <w:rPr>
                <w:rFonts w:eastAsiaTheme="minorHAnsi" w:cstheme="minorBidi"/>
                <w:color w:val="000000" w:themeColor="text1"/>
                <w:sz w:val="22"/>
                <w:szCs w:val="21"/>
                <w:lang w:eastAsia="en-US"/>
              </w:rPr>
              <w:t xml:space="preserve"> </w:t>
            </w:r>
            <w:r w:rsidR="0092260A" w:rsidRPr="00111FD4">
              <w:rPr>
                <w:rFonts w:eastAsiaTheme="minorHAnsi" w:cstheme="minorBidi"/>
                <w:color w:val="000000" w:themeColor="text1"/>
                <w:sz w:val="22"/>
                <w:szCs w:val="21"/>
                <w:lang w:eastAsia="en-US"/>
              </w:rPr>
              <w:t>per cent</w:t>
            </w:r>
            <w:r w:rsidR="003104E5" w:rsidRPr="00111FD4">
              <w:rPr>
                <w:rFonts w:eastAsiaTheme="minorHAnsi" w:cstheme="minorBidi"/>
                <w:color w:val="000000" w:themeColor="text1"/>
                <w:sz w:val="22"/>
                <w:szCs w:val="21"/>
                <w:lang w:eastAsia="en-US"/>
              </w:rPr>
              <w:t>)</w:t>
            </w:r>
            <w:r w:rsidR="0092260A" w:rsidRPr="00111FD4">
              <w:rPr>
                <w:rFonts w:eastAsiaTheme="minorHAnsi" w:cstheme="minorBidi"/>
                <w:color w:val="000000" w:themeColor="text1"/>
                <w:sz w:val="22"/>
                <w:szCs w:val="21"/>
                <w:lang w:eastAsia="en-US"/>
              </w:rPr>
              <w:t xml:space="preserve"> reported domestic and family violence as </w:t>
            </w:r>
            <w:r w:rsidR="00462EC1" w:rsidRPr="00111FD4">
              <w:rPr>
                <w:rFonts w:eastAsiaTheme="minorHAnsi" w:cstheme="minorBidi"/>
                <w:color w:val="000000" w:themeColor="text1"/>
                <w:sz w:val="22"/>
                <w:szCs w:val="21"/>
                <w:lang w:eastAsia="en-US"/>
              </w:rPr>
              <w:t>a</w:t>
            </w:r>
            <w:r w:rsidR="002F37B2" w:rsidRPr="00111FD4">
              <w:rPr>
                <w:rFonts w:eastAsiaTheme="minorHAnsi" w:cstheme="minorBidi"/>
                <w:color w:val="000000" w:themeColor="text1"/>
                <w:sz w:val="22"/>
                <w:szCs w:val="21"/>
                <w:lang w:eastAsia="en-US"/>
              </w:rPr>
              <w:t xml:space="preserve"> </w:t>
            </w:r>
            <w:r w:rsidR="0092260A" w:rsidRPr="00111FD4">
              <w:rPr>
                <w:rFonts w:eastAsiaTheme="minorHAnsi" w:cstheme="minorBidi"/>
                <w:color w:val="000000" w:themeColor="text1"/>
                <w:sz w:val="22"/>
                <w:szCs w:val="21"/>
                <w:lang w:eastAsia="en-US"/>
              </w:rPr>
              <w:t>reason for seeking assistance.</w:t>
            </w:r>
            <w:r w:rsidR="003104E5" w:rsidRPr="00111FD4">
              <w:rPr>
                <w:rFonts w:eastAsiaTheme="minorHAnsi" w:cstheme="minorBidi"/>
                <w:color w:val="000000" w:themeColor="text1"/>
                <w:sz w:val="22"/>
                <w:szCs w:val="21"/>
                <w:lang w:eastAsia="en-US"/>
              </w:rPr>
              <w:t xml:space="preserve"> There were </w:t>
            </w:r>
            <w:r w:rsidR="00D84EAB" w:rsidRPr="00111FD4">
              <w:rPr>
                <w:rFonts w:eastAsiaTheme="minorHAnsi" w:cstheme="minorBidi"/>
                <w:color w:val="000000" w:themeColor="text1"/>
                <w:sz w:val="22"/>
                <w:szCs w:val="21"/>
                <w:lang w:eastAsia="en-US"/>
              </w:rPr>
              <w:t xml:space="preserve">also </w:t>
            </w:r>
            <w:r w:rsidR="003104E5" w:rsidRPr="00111FD4">
              <w:rPr>
                <w:rFonts w:eastAsiaTheme="minorHAnsi" w:cstheme="minorBidi"/>
                <w:color w:val="000000" w:themeColor="text1"/>
                <w:sz w:val="22"/>
                <w:szCs w:val="21"/>
                <w:lang w:eastAsia="en-US"/>
              </w:rPr>
              <w:t>4 172 unmet requests for assistance for homelessness services in the Northern Territory due to service capacity being exceeded</w:t>
            </w:r>
            <w:r w:rsidR="002F37B2" w:rsidRPr="00111FD4">
              <w:rPr>
                <w:rFonts w:eastAsiaTheme="minorHAnsi" w:cstheme="minorBidi"/>
                <w:color w:val="000000" w:themeColor="text1"/>
                <w:sz w:val="22"/>
                <w:szCs w:val="21"/>
                <w:lang w:eastAsia="en-US"/>
              </w:rPr>
              <w:t>,</w:t>
            </w:r>
            <w:r w:rsidR="003104E5" w:rsidRPr="00111FD4">
              <w:rPr>
                <w:rFonts w:eastAsiaTheme="minorHAnsi" w:cstheme="minorBidi"/>
                <w:color w:val="000000" w:themeColor="text1"/>
                <w:sz w:val="22"/>
                <w:szCs w:val="21"/>
                <w:lang w:eastAsia="en-US"/>
              </w:rPr>
              <w:t xml:space="preserve"> with more than 3 000 of these requests from women and children.</w:t>
            </w:r>
            <w:r w:rsidR="0092260A" w:rsidRPr="00111FD4">
              <w:rPr>
                <w:rFonts w:eastAsiaTheme="minorHAnsi" w:cstheme="minorBidi"/>
                <w:color w:val="000000" w:themeColor="text1"/>
                <w:sz w:val="22"/>
                <w:szCs w:val="21"/>
                <w:lang w:eastAsia="en-US"/>
              </w:rPr>
              <w:t xml:space="preserve"> </w:t>
            </w:r>
            <w:r w:rsidRPr="00111FD4">
              <w:rPr>
                <w:rFonts w:eastAsiaTheme="minorHAnsi" w:cstheme="minorBidi"/>
                <w:color w:val="000000" w:themeColor="text1"/>
                <w:sz w:val="22"/>
                <w:szCs w:val="21"/>
                <w:lang w:eastAsia="en-US"/>
              </w:rPr>
              <w:t xml:space="preserve">  </w:t>
            </w:r>
          </w:p>
          <w:p w14:paraId="5E13DA7C" w14:textId="77777777" w:rsidR="00E90C23" w:rsidRPr="00111FD4" w:rsidRDefault="00E90C23" w:rsidP="00E90C23">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The high mobility of Aboriginal residents between remote communities, service towns and urban centres also puts pressure on </w:t>
            </w:r>
            <w:r w:rsidR="00E07E68" w:rsidRPr="00111FD4">
              <w:rPr>
                <w:rFonts w:eastAsiaTheme="minorHAnsi" w:cstheme="minorBidi"/>
                <w:color w:val="000000" w:themeColor="text1"/>
                <w:sz w:val="22"/>
                <w:szCs w:val="21"/>
                <w:lang w:eastAsia="en-US"/>
              </w:rPr>
              <w:t xml:space="preserve">available </w:t>
            </w:r>
            <w:r w:rsidRPr="00111FD4">
              <w:rPr>
                <w:rFonts w:eastAsiaTheme="minorHAnsi" w:cstheme="minorBidi"/>
                <w:color w:val="000000" w:themeColor="text1"/>
                <w:sz w:val="22"/>
                <w:szCs w:val="21"/>
                <w:lang w:eastAsia="en-US"/>
              </w:rPr>
              <w:t xml:space="preserve">accommodation and </w:t>
            </w:r>
            <w:r w:rsidR="00E07E68" w:rsidRPr="00111FD4">
              <w:rPr>
                <w:rFonts w:eastAsiaTheme="minorHAnsi" w:cstheme="minorBidi"/>
                <w:color w:val="000000" w:themeColor="text1"/>
                <w:sz w:val="22"/>
                <w:szCs w:val="21"/>
                <w:lang w:eastAsia="en-US"/>
              </w:rPr>
              <w:t xml:space="preserve">increases demand for support </w:t>
            </w:r>
            <w:r w:rsidRPr="00111FD4">
              <w:rPr>
                <w:rFonts w:eastAsiaTheme="minorHAnsi" w:cstheme="minorBidi"/>
                <w:color w:val="000000" w:themeColor="text1"/>
                <w:sz w:val="22"/>
                <w:szCs w:val="21"/>
                <w:lang w:eastAsia="en-US"/>
              </w:rPr>
              <w:t>service</w:t>
            </w:r>
            <w:r w:rsidR="00E07E68" w:rsidRPr="00111FD4">
              <w:rPr>
                <w:rFonts w:eastAsiaTheme="minorHAnsi" w:cstheme="minorBidi"/>
                <w:color w:val="000000" w:themeColor="text1"/>
                <w:sz w:val="22"/>
                <w:szCs w:val="21"/>
                <w:lang w:eastAsia="en-US"/>
              </w:rPr>
              <w:t>s.</w:t>
            </w:r>
          </w:p>
          <w:p w14:paraId="3AB1C23B" w14:textId="77777777" w:rsidR="003A6069" w:rsidRDefault="003A6069" w:rsidP="00E90C23">
            <w:pPr>
              <w:spacing w:afterLines="60" w:after="144"/>
              <w:jc w:val="left"/>
              <w:rPr>
                <w:rFonts w:eastAsiaTheme="minorHAnsi" w:cstheme="minorBidi"/>
                <w:color w:val="000000" w:themeColor="text1"/>
                <w:sz w:val="22"/>
                <w:szCs w:val="21"/>
                <w:lang w:eastAsia="en-US"/>
              </w:rPr>
            </w:pPr>
          </w:p>
          <w:p w14:paraId="50751C96" w14:textId="77777777" w:rsidR="00E90C23" w:rsidRPr="00111FD4" w:rsidRDefault="00E90C23" w:rsidP="00E90C23">
            <w:pPr>
              <w:spacing w:afterLines="60" w:after="144"/>
              <w:jc w:val="left"/>
              <w:rPr>
                <w:rFonts w:eastAsiaTheme="minorHAnsi" w:cstheme="minorBidi"/>
                <w:b/>
                <w:color w:val="000000" w:themeColor="text1"/>
                <w:sz w:val="22"/>
                <w:szCs w:val="21"/>
                <w:lang w:eastAsia="en-US"/>
              </w:rPr>
            </w:pPr>
            <w:r w:rsidRPr="00111FD4">
              <w:rPr>
                <w:rFonts w:eastAsiaTheme="minorHAnsi" w:cstheme="minorBidi"/>
                <w:b/>
                <w:color w:val="000000" w:themeColor="text1"/>
                <w:sz w:val="22"/>
                <w:szCs w:val="21"/>
                <w:lang w:eastAsia="en-US"/>
              </w:rPr>
              <w:lastRenderedPageBreak/>
              <w:t>Homelands</w:t>
            </w:r>
          </w:p>
          <w:p w14:paraId="37D68773" w14:textId="77777777" w:rsidR="00E90C23" w:rsidRPr="00111FD4" w:rsidRDefault="00E90C23" w:rsidP="00E90C23">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There are </w:t>
            </w:r>
            <w:r w:rsidR="00201032" w:rsidRPr="00111FD4">
              <w:rPr>
                <w:rFonts w:eastAsiaTheme="minorHAnsi" w:cstheme="minorBidi"/>
                <w:color w:val="000000" w:themeColor="text1"/>
                <w:sz w:val="22"/>
                <w:szCs w:val="21"/>
                <w:lang w:eastAsia="en-US"/>
              </w:rPr>
              <w:t xml:space="preserve">also </w:t>
            </w:r>
            <w:r w:rsidRPr="00111FD4">
              <w:rPr>
                <w:rFonts w:eastAsiaTheme="minorHAnsi" w:cstheme="minorBidi"/>
                <w:color w:val="000000" w:themeColor="text1"/>
                <w:sz w:val="22"/>
                <w:szCs w:val="21"/>
                <w:lang w:eastAsia="en-US"/>
              </w:rPr>
              <w:t>approximately 10 000 Aboriginal people that live in over 2</w:t>
            </w:r>
            <w:r w:rsidR="00B8797C" w:rsidRPr="00111FD4">
              <w:rPr>
                <w:rFonts w:eastAsiaTheme="minorHAnsi" w:cstheme="minorBidi"/>
                <w:color w:val="000000" w:themeColor="text1"/>
                <w:sz w:val="22"/>
                <w:szCs w:val="21"/>
                <w:lang w:eastAsia="en-US"/>
              </w:rPr>
              <w:t xml:space="preserve"> </w:t>
            </w:r>
            <w:r w:rsidRPr="00111FD4">
              <w:rPr>
                <w:rFonts w:eastAsiaTheme="minorHAnsi" w:cstheme="minorBidi"/>
                <w:color w:val="000000" w:themeColor="text1"/>
                <w:sz w:val="22"/>
                <w:szCs w:val="21"/>
                <w:lang w:eastAsia="en-US"/>
              </w:rPr>
              <w:t xml:space="preserve">400 dwellings on more than 500 homelands and outstations widely spread across the Northern Territory, reflecting the profound connection between many Aboriginal people and their homelands. </w:t>
            </w:r>
          </w:p>
          <w:p w14:paraId="3C172244" w14:textId="77777777" w:rsidR="00E90C23" w:rsidRPr="00111FD4" w:rsidRDefault="00E90C23" w:rsidP="00E90C23">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The Northern Territory provides municipal and essential services and housing repairs and maintenance to eligible homelands as a ‘contribution’ to support the cost of living on homelands (all dwellings on homelands are privately owned). </w:t>
            </w:r>
          </w:p>
          <w:p w14:paraId="5E8A5C39" w14:textId="77777777" w:rsidR="00E90C23" w:rsidRPr="00111FD4" w:rsidRDefault="00E90C23" w:rsidP="00E90C23">
            <w:pPr>
              <w:spacing w:afterLines="60" w:after="144"/>
              <w:jc w:val="left"/>
              <w:rPr>
                <w:rFonts w:eastAsiaTheme="minorHAnsi" w:cstheme="minorBidi"/>
                <w:b/>
                <w:color w:val="000000" w:themeColor="text1"/>
                <w:sz w:val="22"/>
                <w:szCs w:val="21"/>
                <w:lang w:eastAsia="en-US"/>
              </w:rPr>
            </w:pPr>
            <w:r w:rsidRPr="00111FD4">
              <w:rPr>
                <w:rFonts w:eastAsiaTheme="minorHAnsi" w:cstheme="minorBidi"/>
                <w:b/>
                <w:color w:val="000000" w:themeColor="text1"/>
                <w:sz w:val="22"/>
                <w:szCs w:val="21"/>
                <w:lang w:eastAsia="en-US"/>
              </w:rPr>
              <w:t>Less developed Non-Government Organisation sector</w:t>
            </w:r>
          </w:p>
          <w:p w14:paraId="7D00E885" w14:textId="77777777" w:rsidR="0056178E" w:rsidRPr="00111FD4" w:rsidRDefault="00E90C23" w:rsidP="00E90C23">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Overall</w:t>
            </w:r>
            <w:r w:rsidR="00E07E68" w:rsidRPr="00111FD4">
              <w:rPr>
                <w:rFonts w:eastAsiaTheme="minorHAnsi" w:cstheme="minorBidi"/>
                <w:color w:val="000000" w:themeColor="text1"/>
                <w:sz w:val="22"/>
                <w:szCs w:val="21"/>
                <w:lang w:eastAsia="en-US"/>
              </w:rPr>
              <w:t>,</w:t>
            </w:r>
            <w:r w:rsidRPr="00111FD4">
              <w:rPr>
                <w:rFonts w:eastAsiaTheme="minorHAnsi" w:cstheme="minorBidi"/>
                <w:color w:val="000000" w:themeColor="text1"/>
                <w:sz w:val="22"/>
                <w:szCs w:val="21"/>
                <w:lang w:eastAsia="en-US"/>
              </w:rPr>
              <w:t xml:space="preserve"> the Northern Territory has a small but developing non-government organisation service sector. In general, the sector faces key challenges such as high staff turn-over and limitations in ability to forward plan strategically and focus on long-term outcomes due to short funding terms</w:t>
            </w:r>
            <w:r w:rsidR="00B55BD8" w:rsidRPr="00111FD4">
              <w:rPr>
                <w:rFonts w:eastAsiaTheme="minorHAnsi" w:cstheme="minorBidi"/>
                <w:color w:val="000000" w:themeColor="text1"/>
                <w:sz w:val="22"/>
                <w:szCs w:val="21"/>
                <w:lang w:eastAsia="en-US"/>
              </w:rPr>
              <w:t xml:space="preserve"> </w:t>
            </w:r>
            <w:r w:rsidRPr="00111FD4">
              <w:rPr>
                <w:rFonts w:eastAsiaTheme="minorHAnsi" w:cstheme="minorBidi"/>
                <w:color w:val="000000" w:themeColor="text1"/>
                <w:sz w:val="22"/>
                <w:szCs w:val="21"/>
                <w:lang w:eastAsia="en-US"/>
              </w:rPr>
              <w:t>and funding uncertainty.</w:t>
            </w:r>
            <w:r w:rsidR="0056178E" w:rsidRPr="00111FD4">
              <w:rPr>
                <w:rFonts w:eastAsiaTheme="minorHAnsi" w:cstheme="minorBidi"/>
                <w:color w:val="000000" w:themeColor="text1"/>
                <w:sz w:val="22"/>
                <w:szCs w:val="21"/>
                <w:lang w:eastAsia="en-US"/>
              </w:rPr>
              <w:t xml:space="preserve"> </w:t>
            </w:r>
          </w:p>
          <w:p w14:paraId="26E53326" w14:textId="77777777" w:rsidR="00E90C23" w:rsidRPr="00111FD4" w:rsidRDefault="00E07E68" w:rsidP="00E90C23">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The Northern Territory is introducing five year grant funding agreements which will provide stability to the sector, allow them to be more strategic and </w:t>
            </w:r>
            <w:r w:rsidR="009E3356" w:rsidRPr="00111FD4">
              <w:rPr>
                <w:rFonts w:eastAsiaTheme="minorHAnsi" w:cstheme="minorBidi"/>
                <w:color w:val="000000" w:themeColor="text1"/>
                <w:sz w:val="22"/>
                <w:szCs w:val="21"/>
                <w:lang w:eastAsia="en-US"/>
              </w:rPr>
              <w:t xml:space="preserve">to </w:t>
            </w:r>
            <w:r w:rsidRPr="00111FD4">
              <w:rPr>
                <w:rFonts w:eastAsiaTheme="minorHAnsi" w:cstheme="minorBidi"/>
                <w:color w:val="000000" w:themeColor="text1"/>
                <w:sz w:val="22"/>
                <w:szCs w:val="21"/>
                <w:lang w:eastAsia="en-US"/>
              </w:rPr>
              <w:t xml:space="preserve">build capability of their workforce. </w:t>
            </w:r>
            <w:r w:rsidR="00E90C23" w:rsidRPr="00111FD4">
              <w:rPr>
                <w:rFonts w:eastAsiaTheme="minorHAnsi" w:cstheme="minorBidi"/>
                <w:color w:val="000000" w:themeColor="text1"/>
                <w:sz w:val="22"/>
                <w:szCs w:val="21"/>
                <w:lang w:eastAsia="en-US"/>
              </w:rPr>
              <w:t xml:space="preserve">   </w:t>
            </w:r>
          </w:p>
          <w:p w14:paraId="41E803CF" w14:textId="77777777" w:rsidR="00E90C23" w:rsidRPr="00111FD4" w:rsidRDefault="00E90C23" w:rsidP="00E90C23">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The Northern Territory community housing sector is also in its infancy, with only two organisations currently registered under the National Regulatory System for Community Housing.</w:t>
            </w:r>
          </w:p>
          <w:p w14:paraId="7CE6EF37" w14:textId="77777777" w:rsidR="00E90C23" w:rsidRPr="00111FD4" w:rsidRDefault="00E90C23" w:rsidP="00E90C23">
            <w:pPr>
              <w:spacing w:afterLines="60" w:after="144"/>
              <w:jc w:val="left"/>
              <w:rPr>
                <w:rFonts w:eastAsiaTheme="minorHAnsi" w:cstheme="minorBidi"/>
                <w:b/>
                <w:color w:val="000000" w:themeColor="text1"/>
                <w:sz w:val="22"/>
                <w:szCs w:val="21"/>
                <w:lang w:eastAsia="en-US"/>
              </w:rPr>
            </w:pPr>
            <w:r w:rsidRPr="00111FD4">
              <w:rPr>
                <w:rFonts w:eastAsiaTheme="minorHAnsi" w:cstheme="minorBidi"/>
                <w:b/>
                <w:color w:val="000000" w:themeColor="text1"/>
                <w:sz w:val="22"/>
                <w:szCs w:val="21"/>
                <w:lang w:eastAsia="en-US"/>
              </w:rPr>
              <w:t>High costs to deliver services and programs</w:t>
            </w:r>
          </w:p>
          <w:p w14:paraId="42741B13" w14:textId="77777777" w:rsidR="00E90C23" w:rsidRPr="00111FD4" w:rsidRDefault="00E90C23" w:rsidP="00907825">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Compared to other jurisdictions the Northern Territory has a higher than average demand for government services and infrastructure due to its significant levels of social and economic disadvantage. </w:t>
            </w:r>
          </w:p>
          <w:p w14:paraId="7B3F78BF" w14:textId="77777777" w:rsidR="002772A7" w:rsidRPr="00111FD4" w:rsidRDefault="00E90C23" w:rsidP="00907825">
            <w:pPr>
              <w:spacing w:afterLines="60" w:after="144"/>
              <w:jc w:val="left"/>
              <w:rPr>
                <w:rFonts w:eastAsiaTheme="minorHAnsi" w:cstheme="minorBidi"/>
                <w:color w:val="000000" w:themeColor="text1"/>
                <w:sz w:val="22"/>
                <w:szCs w:val="21"/>
                <w:lang w:eastAsia="en-US"/>
              </w:rPr>
            </w:pPr>
            <w:r w:rsidRPr="00111FD4">
              <w:rPr>
                <w:rFonts w:eastAsiaTheme="minorHAnsi" w:cstheme="minorBidi"/>
                <w:color w:val="000000" w:themeColor="text1"/>
                <w:sz w:val="22"/>
                <w:szCs w:val="21"/>
                <w:lang w:eastAsia="en-US"/>
              </w:rPr>
              <w:t xml:space="preserve">The complexities in providing services are compounded by the Northern Territory’s wide geographic spread, dispersed population, cultural and language diversity, isolation from major centres and extreme climate conditions (i.e. monsoonal seasons resulting in remote communities being inaccessible). These factors all contribute towards high costs in delivering services and building homes. </w:t>
            </w:r>
          </w:p>
          <w:p w14:paraId="4D083737" w14:textId="77777777" w:rsidR="00E90C23" w:rsidRPr="00111FD4" w:rsidRDefault="002772A7" w:rsidP="00907825">
            <w:pPr>
              <w:spacing w:afterLines="60" w:after="144"/>
              <w:jc w:val="left"/>
              <w:rPr>
                <w:iCs/>
                <w:color w:val="000000" w:themeColor="text1"/>
                <w:sz w:val="22"/>
              </w:rPr>
            </w:pPr>
            <w:r w:rsidRPr="00111FD4">
              <w:rPr>
                <w:rFonts w:eastAsiaTheme="minorHAnsi" w:cstheme="minorBidi"/>
                <w:color w:val="000000" w:themeColor="text1"/>
                <w:sz w:val="22"/>
                <w:szCs w:val="21"/>
                <w:lang w:eastAsia="en-US"/>
              </w:rPr>
              <w:t>The Northern Territory remains committed to delivering services and programs that maximise opportunities and improve</w:t>
            </w:r>
            <w:r w:rsidR="00983262" w:rsidRPr="00111FD4">
              <w:rPr>
                <w:rFonts w:eastAsiaTheme="minorHAnsi" w:cstheme="minorBidi"/>
                <w:color w:val="000000" w:themeColor="text1"/>
                <w:sz w:val="22"/>
                <w:szCs w:val="21"/>
                <w:lang w:eastAsia="en-US"/>
              </w:rPr>
              <w:t>s</w:t>
            </w:r>
            <w:r w:rsidRPr="00111FD4">
              <w:rPr>
                <w:rFonts w:eastAsiaTheme="minorHAnsi" w:cstheme="minorBidi"/>
                <w:color w:val="000000" w:themeColor="text1"/>
                <w:sz w:val="22"/>
                <w:szCs w:val="21"/>
                <w:lang w:eastAsia="en-US"/>
              </w:rPr>
              <w:t xml:space="preserve"> the lives of Territorians.</w:t>
            </w:r>
          </w:p>
        </w:tc>
      </w:tr>
    </w:tbl>
    <w:p w14:paraId="279B9BFB" w14:textId="77777777" w:rsidR="003E00B6" w:rsidRPr="003915DC" w:rsidRDefault="003E00B6" w:rsidP="003E00B6">
      <w:pPr>
        <w:pStyle w:val="Heading1"/>
        <w:spacing w:before="240"/>
      </w:pPr>
      <w:bookmarkStart w:id="4" w:name="top"/>
      <w:bookmarkEnd w:id="4"/>
      <w:r w:rsidRPr="003915DC">
        <w:lastRenderedPageBreak/>
        <w:t xml:space="preserve">Part 2 – </w:t>
      </w:r>
      <w:r w:rsidR="00F22B13" w:rsidRPr="003915DC">
        <w:t>no</w:t>
      </w:r>
      <w:r w:rsidR="00D951A6">
        <w:t>R</w:t>
      </w:r>
      <w:r w:rsidR="00F22B13" w:rsidRPr="003915DC">
        <w:t>thern territory</w:t>
      </w:r>
      <w:r w:rsidRPr="003915DC">
        <w:t xml:space="preserve"> housing strategy</w:t>
      </w:r>
    </w:p>
    <w:p w14:paraId="17BBB88A" w14:textId="77777777" w:rsidR="0099638F" w:rsidRPr="000F2DB8" w:rsidRDefault="00F46286" w:rsidP="0066121B">
      <w:pPr>
        <w:pStyle w:val="ListParagraph"/>
        <w:numPr>
          <w:ilvl w:val="0"/>
          <w:numId w:val="1"/>
        </w:numPr>
        <w:jc w:val="left"/>
        <w:rPr>
          <w:rFonts w:eastAsiaTheme="minorHAnsi" w:cstheme="minorBidi"/>
          <w:color w:val="auto"/>
          <w:szCs w:val="22"/>
          <w:lang w:eastAsia="en-US"/>
        </w:rPr>
      </w:pPr>
      <w:r w:rsidRPr="00F46286">
        <w:t xml:space="preserve">With respect to the requirement to have a housing strategy, as outlined in clause 17 of the Agreement, the Northern Territory is developing and will have a new strategy in place and publicly available by </w:t>
      </w:r>
      <w:r>
        <w:t>3</w:t>
      </w:r>
      <w:r w:rsidR="00C009B5">
        <w:t>0 September</w:t>
      </w:r>
      <w:r>
        <w:t xml:space="preserve"> 2019</w:t>
      </w:r>
      <w:r w:rsidRPr="00F46286">
        <w:t xml:space="preserve">.  The period from 1 July 2018 to </w:t>
      </w:r>
      <w:r w:rsidR="00C009B5">
        <w:t>30</w:t>
      </w:r>
      <w:r w:rsidR="007D7125">
        <w:t> </w:t>
      </w:r>
      <w:r w:rsidR="00C009B5">
        <w:t>September 2019</w:t>
      </w:r>
      <w:r w:rsidRPr="00F46286">
        <w:t xml:space="preserve"> is a period prescribed for the purposes of sub-clause 18(e) of the Agreement for which it is not reasonably practicable for Northern Territory to have a publicly available strategy.</w:t>
      </w:r>
    </w:p>
    <w:p w14:paraId="17A33D22" w14:textId="77777777" w:rsidR="0099638F" w:rsidRPr="000F2DB8" w:rsidRDefault="0099638F" w:rsidP="0066121B">
      <w:pPr>
        <w:pStyle w:val="ListParagraph"/>
        <w:ind w:left="567"/>
        <w:jc w:val="left"/>
        <w:rPr>
          <w:rFonts w:eastAsiaTheme="minorHAnsi" w:cstheme="minorBidi"/>
          <w:color w:val="auto"/>
          <w:szCs w:val="22"/>
          <w:lang w:eastAsia="en-US"/>
        </w:rPr>
      </w:pPr>
    </w:p>
    <w:p w14:paraId="6C6D0143" w14:textId="77777777" w:rsidR="000F2DB8" w:rsidRPr="000F2DB8" w:rsidRDefault="00872A75" w:rsidP="0066121B">
      <w:pPr>
        <w:pStyle w:val="ListParagraph"/>
        <w:numPr>
          <w:ilvl w:val="0"/>
          <w:numId w:val="1"/>
        </w:numPr>
        <w:jc w:val="left"/>
        <w:rPr>
          <w:rFonts w:eastAsiaTheme="minorHAnsi" w:cstheme="minorBidi"/>
          <w:color w:val="000000" w:themeColor="text1"/>
          <w:sz w:val="22"/>
          <w:szCs w:val="21"/>
          <w:lang w:eastAsia="en-US"/>
        </w:rPr>
      </w:pPr>
      <w:r w:rsidRPr="000F2DB8">
        <w:rPr>
          <w:rFonts w:eastAsiaTheme="minorHAnsi" w:cstheme="minorBidi"/>
          <w:color w:val="000000" w:themeColor="text1"/>
          <w:sz w:val="22"/>
          <w:szCs w:val="21"/>
          <w:lang w:eastAsia="en-US"/>
        </w:rPr>
        <w:t>The table below includes details of the Northern Territory’s housing priorities, policies and initiatives that supplement the Northern Territory’s housing strategy as per clause 19 of the Agreement.</w:t>
      </w:r>
    </w:p>
    <w:p w14:paraId="2CD66539" w14:textId="77777777" w:rsidR="000F2DB8" w:rsidRDefault="000F2DB8">
      <w:pPr>
        <w:spacing w:after="200" w:line="276" w:lineRule="auto"/>
        <w:jc w:val="left"/>
        <w:rPr>
          <w:rFonts w:eastAsiaTheme="minorHAnsi" w:cstheme="minorBidi"/>
          <w:color w:val="auto"/>
          <w:szCs w:val="22"/>
          <w:lang w:eastAsia="en-US"/>
        </w:rPr>
      </w:pPr>
      <w:r>
        <w:rPr>
          <w:rFonts w:eastAsiaTheme="minorHAnsi" w:cstheme="minorBidi"/>
          <w:color w:val="auto"/>
          <w:szCs w:val="22"/>
          <w:lang w:eastAsia="en-US"/>
        </w:rPr>
        <w:br w:type="page"/>
      </w:r>
    </w:p>
    <w:tbl>
      <w:tblPr>
        <w:tblW w:w="934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25"/>
        <w:gridCol w:w="5103"/>
        <w:gridCol w:w="1418"/>
      </w:tblGrid>
      <w:tr w:rsidR="001A4273" w:rsidRPr="001A4273" w14:paraId="3AFEAA76" w14:textId="77777777" w:rsidTr="00A57AC0">
        <w:trPr>
          <w:trHeight w:val="487"/>
        </w:trPr>
        <w:tc>
          <w:tcPr>
            <w:tcW w:w="2825" w:type="dxa"/>
            <w:tcBorders>
              <w:top w:val="single" w:sz="8" w:space="0" w:color="4F81BD"/>
              <w:left w:val="single" w:sz="8" w:space="0" w:color="4F81BD"/>
              <w:bottom w:val="single" w:sz="8" w:space="0" w:color="4F81BD"/>
              <w:right w:val="single" w:sz="8" w:space="0" w:color="4F81BD"/>
            </w:tcBorders>
            <w:shd w:val="clear" w:color="auto" w:fill="DBE5F1"/>
          </w:tcPr>
          <w:p w14:paraId="37F5F52E" w14:textId="77777777" w:rsidR="00587C70" w:rsidRPr="001A4273" w:rsidRDefault="00A33362" w:rsidP="00C2296D">
            <w:pPr>
              <w:keepNext/>
              <w:spacing w:after="0" w:line="240" w:lineRule="auto"/>
              <w:jc w:val="left"/>
              <w:outlineLvl w:val="1"/>
              <w:rPr>
                <w:rFonts w:cs="Arial"/>
                <w:b/>
                <w:iCs/>
                <w:color w:val="auto"/>
                <w:szCs w:val="23"/>
              </w:rPr>
            </w:pPr>
            <w:r w:rsidRPr="001A4273">
              <w:rPr>
                <w:rFonts w:cs="Arial"/>
                <w:b/>
                <w:iCs/>
                <w:color w:val="auto"/>
                <w:szCs w:val="23"/>
              </w:rPr>
              <w:lastRenderedPageBreak/>
              <w:t xml:space="preserve">National </w:t>
            </w:r>
            <w:r w:rsidR="00587C70" w:rsidRPr="001A4273">
              <w:rPr>
                <w:rFonts w:cs="Arial"/>
                <w:b/>
                <w:iCs/>
                <w:color w:val="auto"/>
                <w:szCs w:val="23"/>
              </w:rPr>
              <w:t>Priority Policy Areas</w:t>
            </w:r>
          </w:p>
        </w:tc>
        <w:tc>
          <w:tcPr>
            <w:tcW w:w="5103" w:type="dxa"/>
            <w:tcBorders>
              <w:top w:val="single" w:sz="8" w:space="0" w:color="4F81BD"/>
              <w:left w:val="single" w:sz="8" w:space="0" w:color="4F81BD"/>
              <w:bottom w:val="single" w:sz="8" w:space="0" w:color="4F81BD"/>
              <w:right w:val="single" w:sz="8" w:space="0" w:color="4F81BD"/>
            </w:tcBorders>
            <w:shd w:val="clear" w:color="auto" w:fill="DBE5F1"/>
          </w:tcPr>
          <w:p w14:paraId="71CBA566" w14:textId="77777777" w:rsidR="00587C70" w:rsidRPr="001A4273" w:rsidRDefault="00587C70" w:rsidP="00C2296D">
            <w:pPr>
              <w:keepNext/>
              <w:spacing w:after="0" w:line="240" w:lineRule="auto"/>
              <w:jc w:val="left"/>
              <w:outlineLvl w:val="1"/>
              <w:rPr>
                <w:rFonts w:cs="Arial"/>
                <w:b/>
                <w:iCs/>
                <w:color w:val="auto"/>
                <w:szCs w:val="23"/>
              </w:rPr>
            </w:pPr>
            <w:r w:rsidRPr="001A4273">
              <w:rPr>
                <w:rFonts w:cs="Arial"/>
                <w:b/>
                <w:iCs/>
                <w:color w:val="auto"/>
                <w:szCs w:val="23"/>
              </w:rPr>
              <w:t>Northern Territory Initiatives</w:t>
            </w:r>
          </w:p>
        </w:tc>
        <w:tc>
          <w:tcPr>
            <w:tcW w:w="1418" w:type="dxa"/>
            <w:tcBorders>
              <w:top w:val="single" w:sz="8" w:space="0" w:color="4F81BD"/>
              <w:left w:val="single" w:sz="8" w:space="0" w:color="4F81BD"/>
              <w:bottom w:val="single" w:sz="8" w:space="0" w:color="4F81BD"/>
              <w:right w:val="single" w:sz="8" w:space="0" w:color="4F81BD"/>
            </w:tcBorders>
            <w:shd w:val="clear" w:color="auto" w:fill="DBE5F1"/>
          </w:tcPr>
          <w:p w14:paraId="2C952308" w14:textId="77777777" w:rsidR="00A1081A" w:rsidRPr="001A4273" w:rsidRDefault="00A1081A" w:rsidP="00C2296D">
            <w:pPr>
              <w:keepNext/>
              <w:spacing w:after="0" w:line="240" w:lineRule="auto"/>
              <w:outlineLvl w:val="1"/>
              <w:rPr>
                <w:rFonts w:cs="Arial"/>
                <w:b/>
                <w:iCs/>
                <w:color w:val="auto"/>
                <w:szCs w:val="23"/>
              </w:rPr>
            </w:pPr>
            <w:r w:rsidRPr="001A4273">
              <w:rPr>
                <w:rFonts w:cs="Arial"/>
                <w:b/>
                <w:iCs/>
                <w:color w:val="auto"/>
                <w:szCs w:val="23"/>
              </w:rPr>
              <w:t xml:space="preserve">Indicative </w:t>
            </w:r>
          </w:p>
          <w:p w14:paraId="706DAFD0" w14:textId="77777777" w:rsidR="00587C70" w:rsidRPr="001A4273" w:rsidRDefault="007E6633" w:rsidP="00C2296D">
            <w:pPr>
              <w:keepNext/>
              <w:spacing w:after="0" w:line="240" w:lineRule="auto"/>
              <w:outlineLvl w:val="1"/>
              <w:rPr>
                <w:rFonts w:cs="Arial"/>
                <w:b/>
                <w:iCs/>
                <w:color w:val="auto"/>
                <w:szCs w:val="23"/>
              </w:rPr>
            </w:pPr>
            <w:r w:rsidRPr="007E6633">
              <w:rPr>
                <w:rFonts w:cs="Arial"/>
                <w:b/>
                <w:iCs/>
                <w:color w:val="auto"/>
                <w:szCs w:val="23"/>
              </w:rPr>
              <w:t>timeframe</w:t>
            </w:r>
          </w:p>
        </w:tc>
      </w:tr>
      <w:tr w:rsidR="001A4273" w:rsidRPr="001A4273" w14:paraId="24A84362" w14:textId="77777777" w:rsidTr="00A57AC0">
        <w:trPr>
          <w:trHeight w:val="689"/>
        </w:trPr>
        <w:tc>
          <w:tcPr>
            <w:tcW w:w="2825" w:type="dxa"/>
            <w:tcBorders>
              <w:top w:val="single" w:sz="8" w:space="0" w:color="4F81BD"/>
              <w:left w:val="single" w:sz="8" w:space="0" w:color="4F81BD"/>
              <w:bottom w:val="single" w:sz="8" w:space="0" w:color="4F81BD"/>
              <w:right w:val="single" w:sz="8" w:space="0" w:color="4F81BD"/>
            </w:tcBorders>
          </w:tcPr>
          <w:p w14:paraId="56DE39EC" w14:textId="77777777" w:rsidR="00587C70" w:rsidRPr="001A4273" w:rsidRDefault="00587C70" w:rsidP="00A522F1">
            <w:pPr>
              <w:spacing w:after="0"/>
              <w:jc w:val="left"/>
              <w:rPr>
                <w:color w:val="auto"/>
                <w:szCs w:val="23"/>
              </w:rPr>
            </w:pPr>
            <w:r w:rsidRPr="001A4273">
              <w:rPr>
                <w:b/>
                <w:color w:val="auto"/>
                <w:szCs w:val="23"/>
              </w:rPr>
              <w:t>Social housing</w:t>
            </w:r>
            <w:r w:rsidRPr="001A4273">
              <w:rPr>
                <w:color w:val="auto"/>
                <w:szCs w:val="23"/>
              </w:rPr>
              <w:t xml:space="preserve"> including that stock is:</w:t>
            </w:r>
          </w:p>
          <w:p w14:paraId="2660F066" w14:textId="77777777" w:rsidR="00587C70" w:rsidRPr="001A4273" w:rsidRDefault="00587C70" w:rsidP="00A522F1">
            <w:pPr>
              <w:pStyle w:val="ListParagraph"/>
              <w:numPr>
                <w:ilvl w:val="0"/>
                <w:numId w:val="13"/>
              </w:numPr>
              <w:spacing w:after="0"/>
              <w:ind w:left="449" w:hanging="283"/>
              <w:jc w:val="left"/>
              <w:rPr>
                <w:color w:val="auto"/>
                <w:szCs w:val="23"/>
              </w:rPr>
            </w:pPr>
            <w:r w:rsidRPr="001A4273">
              <w:rPr>
                <w:color w:val="auto"/>
                <w:szCs w:val="23"/>
              </w:rPr>
              <w:t>utilised efficiently and effectively (may include redevelopment and stock transfers)</w:t>
            </w:r>
          </w:p>
          <w:p w14:paraId="6FF32E7A" w14:textId="77777777" w:rsidR="00587C70" w:rsidRPr="001A4273" w:rsidRDefault="00587C70" w:rsidP="00A522F1">
            <w:pPr>
              <w:pStyle w:val="ListParagraph"/>
              <w:numPr>
                <w:ilvl w:val="0"/>
                <w:numId w:val="13"/>
              </w:numPr>
              <w:spacing w:after="0"/>
              <w:ind w:left="449" w:hanging="283"/>
              <w:jc w:val="left"/>
              <w:rPr>
                <w:color w:val="auto"/>
                <w:szCs w:val="23"/>
              </w:rPr>
            </w:pPr>
            <w:r w:rsidRPr="001A4273">
              <w:rPr>
                <w:color w:val="auto"/>
                <w:szCs w:val="23"/>
              </w:rPr>
              <w:t xml:space="preserve">responsive to the needs of tenants (may include redevelopment and stock transfers; </w:t>
            </w:r>
          </w:p>
          <w:p w14:paraId="5F4AEBB7" w14:textId="77777777" w:rsidR="00587C70" w:rsidRPr="001A4273" w:rsidRDefault="00587C70" w:rsidP="00A522F1">
            <w:pPr>
              <w:pStyle w:val="ListParagraph"/>
              <w:numPr>
                <w:ilvl w:val="0"/>
                <w:numId w:val="13"/>
              </w:numPr>
              <w:spacing w:after="0"/>
              <w:ind w:left="449" w:hanging="283"/>
              <w:jc w:val="left"/>
              <w:rPr>
                <w:color w:val="auto"/>
                <w:szCs w:val="23"/>
              </w:rPr>
            </w:pPr>
            <w:r w:rsidRPr="001A4273">
              <w:rPr>
                <w:color w:val="auto"/>
                <w:szCs w:val="23"/>
              </w:rPr>
              <w:t>appropriately renewed and maintained (may include redevelopment and new construction)</w:t>
            </w:r>
          </w:p>
          <w:p w14:paraId="5841ACD0" w14:textId="77777777" w:rsidR="00587C70" w:rsidRPr="001A4273" w:rsidRDefault="00587C70" w:rsidP="00A522F1">
            <w:pPr>
              <w:pStyle w:val="ListParagraph"/>
              <w:numPr>
                <w:ilvl w:val="0"/>
                <w:numId w:val="13"/>
              </w:numPr>
              <w:spacing w:after="0"/>
              <w:ind w:left="449" w:hanging="283"/>
              <w:jc w:val="left"/>
              <w:rPr>
                <w:color w:val="auto"/>
                <w:szCs w:val="23"/>
              </w:rPr>
            </w:pPr>
            <w:r w:rsidRPr="001A4273">
              <w:rPr>
                <w:color w:val="auto"/>
                <w:szCs w:val="23"/>
              </w:rPr>
              <w:t>adequately meeting demand (may include new construction and re-development)</w:t>
            </w:r>
          </w:p>
          <w:p w14:paraId="6A8F7F87" w14:textId="77777777" w:rsidR="00587C70" w:rsidRPr="001A4273" w:rsidRDefault="00587C70" w:rsidP="009F62C1">
            <w:pPr>
              <w:spacing w:after="0"/>
              <w:jc w:val="left"/>
              <w:rPr>
                <w:color w:val="auto"/>
                <w:szCs w:val="23"/>
              </w:rPr>
            </w:pPr>
          </w:p>
        </w:tc>
        <w:tc>
          <w:tcPr>
            <w:tcW w:w="5103" w:type="dxa"/>
            <w:tcBorders>
              <w:top w:val="single" w:sz="8" w:space="0" w:color="4F81BD"/>
              <w:left w:val="single" w:sz="8" w:space="0" w:color="4F81BD"/>
              <w:bottom w:val="single" w:sz="8" w:space="0" w:color="4F81BD"/>
              <w:right w:val="single" w:sz="8" w:space="0" w:color="4F81BD"/>
            </w:tcBorders>
          </w:tcPr>
          <w:p w14:paraId="1E1C4153" w14:textId="77777777" w:rsidR="00415C99" w:rsidRDefault="00415C99" w:rsidP="00752F37">
            <w:pPr>
              <w:pStyle w:val="ListParagraph"/>
              <w:numPr>
                <w:ilvl w:val="0"/>
                <w:numId w:val="22"/>
              </w:numPr>
              <w:spacing w:after="0"/>
              <w:jc w:val="left"/>
              <w:rPr>
                <w:color w:val="auto"/>
                <w:szCs w:val="23"/>
              </w:rPr>
            </w:pPr>
            <w:r>
              <w:rPr>
                <w:color w:val="auto"/>
                <w:szCs w:val="23"/>
              </w:rPr>
              <w:t xml:space="preserve">Review and update the Housing Strategy as part of the requirement for the Agreement </w:t>
            </w:r>
          </w:p>
          <w:p w14:paraId="3D02DA7B" w14:textId="77777777" w:rsidR="00415C99" w:rsidRDefault="00415C99" w:rsidP="00415C99">
            <w:pPr>
              <w:pStyle w:val="ListParagraph"/>
              <w:spacing w:after="0"/>
              <w:ind w:left="360"/>
              <w:jc w:val="left"/>
              <w:rPr>
                <w:color w:val="auto"/>
                <w:szCs w:val="23"/>
              </w:rPr>
            </w:pPr>
          </w:p>
          <w:p w14:paraId="3184658B" w14:textId="77777777" w:rsidR="00587C70" w:rsidRPr="001A4273" w:rsidRDefault="00A1081A" w:rsidP="00752F37">
            <w:pPr>
              <w:pStyle w:val="ListParagraph"/>
              <w:numPr>
                <w:ilvl w:val="0"/>
                <w:numId w:val="22"/>
              </w:numPr>
              <w:spacing w:after="0"/>
              <w:jc w:val="left"/>
              <w:rPr>
                <w:color w:val="auto"/>
                <w:szCs w:val="23"/>
              </w:rPr>
            </w:pPr>
            <w:r w:rsidRPr="001A4273">
              <w:rPr>
                <w:color w:val="auto"/>
                <w:szCs w:val="23"/>
              </w:rPr>
              <w:t>Develop and implement an Asset Management Framework aimed at i</w:t>
            </w:r>
            <w:r w:rsidR="00587C70" w:rsidRPr="001A4273">
              <w:rPr>
                <w:color w:val="auto"/>
                <w:szCs w:val="23"/>
              </w:rPr>
              <w:t>mprov</w:t>
            </w:r>
            <w:r w:rsidRPr="001A4273">
              <w:rPr>
                <w:color w:val="auto"/>
                <w:szCs w:val="23"/>
              </w:rPr>
              <w:t>ing</w:t>
            </w:r>
            <w:r w:rsidR="00587C70" w:rsidRPr="001A4273">
              <w:rPr>
                <w:color w:val="auto"/>
                <w:szCs w:val="23"/>
              </w:rPr>
              <w:t xml:space="preserve"> decision making around the public housing asset portfolio (i.e. life-cycle approach to asset planning, investment and management)</w:t>
            </w:r>
            <w:r w:rsidRPr="001A4273">
              <w:rPr>
                <w:color w:val="auto"/>
                <w:szCs w:val="23"/>
              </w:rPr>
              <w:t xml:space="preserve"> </w:t>
            </w:r>
          </w:p>
          <w:p w14:paraId="3F385C90" w14:textId="77777777" w:rsidR="00523F64" w:rsidRPr="001A4273" w:rsidRDefault="00523F64" w:rsidP="00752F37">
            <w:pPr>
              <w:spacing w:after="0"/>
              <w:jc w:val="left"/>
              <w:rPr>
                <w:color w:val="auto"/>
                <w:szCs w:val="23"/>
              </w:rPr>
            </w:pPr>
          </w:p>
          <w:p w14:paraId="7043DCB2" w14:textId="77777777" w:rsidR="002B1F2F" w:rsidRPr="001A4273" w:rsidRDefault="00523F64" w:rsidP="00752F37">
            <w:pPr>
              <w:pStyle w:val="ListParagraph"/>
              <w:numPr>
                <w:ilvl w:val="0"/>
                <w:numId w:val="24"/>
              </w:numPr>
              <w:spacing w:after="0"/>
              <w:jc w:val="left"/>
              <w:rPr>
                <w:color w:val="auto"/>
                <w:szCs w:val="23"/>
              </w:rPr>
            </w:pPr>
            <w:r w:rsidRPr="001A4273">
              <w:rPr>
                <w:color w:val="auto"/>
                <w:szCs w:val="23"/>
              </w:rPr>
              <w:t>I</w:t>
            </w:r>
            <w:r w:rsidR="00587C70" w:rsidRPr="001A4273">
              <w:rPr>
                <w:color w:val="auto"/>
                <w:szCs w:val="23"/>
              </w:rPr>
              <w:t xml:space="preserve">mplement the $1.1 billion remote housing program ‘Our Community. Our Future. Our Homes’ </w:t>
            </w:r>
          </w:p>
          <w:p w14:paraId="76769771" w14:textId="77777777" w:rsidR="00587C70" w:rsidRPr="001A4273" w:rsidRDefault="00587C70" w:rsidP="00752F37">
            <w:pPr>
              <w:pStyle w:val="ListParagraph"/>
              <w:spacing w:after="0"/>
              <w:ind w:left="460"/>
              <w:jc w:val="left"/>
              <w:rPr>
                <w:b/>
                <w:color w:val="auto"/>
                <w:szCs w:val="23"/>
              </w:rPr>
            </w:pPr>
          </w:p>
          <w:p w14:paraId="3E9CB0C7" w14:textId="77777777" w:rsidR="006E0044" w:rsidRPr="001A4273" w:rsidRDefault="000747ED" w:rsidP="006E0044">
            <w:pPr>
              <w:pStyle w:val="ListParagraph"/>
              <w:numPr>
                <w:ilvl w:val="0"/>
                <w:numId w:val="24"/>
              </w:numPr>
              <w:spacing w:after="0"/>
              <w:jc w:val="left"/>
              <w:rPr>
                <w:color w:val="auto"/>
                <w:szCs w:val="23"/>
              </w:rPr>
            </w:pPr>
            <w:r w:rsidRPr="001A4273">
              <w:rPr>
                <w:color w:val="auto"/>
                <w:szCs w:val="23"/>
              </w:rPr>
              <w:t>Undertake consultations with senior Territorians and those approaching retirement regarding aged care housing (i.e. identify demand) and provide findings to the private sector to help identify potential opportunities for future private sector development of seniors appropriate accommodation</w:t>
            </w:r>
            <w:r w:rsidR="006E0044" w:rsidRPr="001A4273">
              <w:rPr>
                <w:color w:val="auto"/>
                <w:szCs w:val="23"/>
              </w:rPr>
              <w:t xml:space="preserve"> </w:t>
            </w:r>
          </w:p>
          <w:p w14:paraId="1C369D55" w14:textId="77777777" w:rsidR="000251F5" w:rsidRPr="001A4273" w:rsidRDefault="000251F5" w:rsidP="002E2925">
            <w:pPr>
              <w:pStyle w:val="ListParagraph"/>
              <w:spacing w:after="0"/>
              <w:ind w:left="360"/>
              <w:jc w:val="left"/>
              <w:rPr>
                <w:color w:val="auto"/>
                <w:szCs w:val="23"/>
              </w:rPr>
            </w:pPr>
          </w:p>
          <w:p w14:paraId="763E93F4" w14:textId="77777777" w:rsidR="000251F5" w:rsidRPr="001A4273" w:rsidRDefault="000251F5" w:rsidP="006E0044">
            <w:pPr>
              <w:pStyle w:val="ListParagraph"/>
              <w:numPr>
                <w:ilvl w:val="0"/>
                <w:numId w:val="24"/>
              </w:numPr>
              <w:spacing w:after="0"/>
              <w:jc w:val="left"/>
              <w:rPr>
                <w:color w:val="auto"/>
                <w:szCs w:val="23"/>
              </w:rPr>
            </w:pPr>
            <w:r w:rsidRPr="001A4273">
              <w:rPr>
                <w:color w:val="auto"/>
                <w:szCs w:val="23"/>
              </w:rPr>
              <w:t xml:space="preserve">Continue to provide repairs and maintenance support for occupied dwellings in homelands and town camps   </w:t>
            </w:r>
          </w:p>
          <w:p w14:paraId="59BEDBD2" w14:textId="77777777" w:rsidR="000747ED" w:rsidRPr="001A4273" w:rsidRDefault="000747ED" w:rsidP="004F0E3A">
            <w:pPr>
              <w:spacing w:after="0"/>
              <w:jc w:val="left"/>
              <w:rPr>
                <w:b/>
                <w:color w:val="auto"/>
                <w:szCs w:val="23"/>
              </w:rPr>
            </w:pPr>
          </w:p>
        </w:tc>
        <w:tc>
          <w:tcPr>
            <w:tcW w:w="1418" w:type="dxa"/>
            <w:tcBorders>
              <w:top w:val="single" w:sz="8" w:space="0" w:color="4F81BD"/>
              <w:left w:val="single" w:sz="8" w:space="0" w:color="4F81BD"/>
              <w:bottom w:val="single" w:sz="8" w:space="0" w:color="4F81BD"/>
              <w:right w:val="single" w:sz="8" w:space="0" w:color="4F81BD"/>
            </w:tcBorders>
          </w:tcPr>
          <w:p w14:paraId="0A03DB96" w14:textId="77777777" w:rsidR="00415C99" w:rsidRDefault="00C009B5" w:rsidP="009F62C1">
            <w:pPr>
              <w:spacing w:after="0"/>
              <w:jc w:val="left"/>
              <w:rPr>
                <w:color w:val="auto"/>
                <w:szCs w:val="23"/>
              </w:rPr>
            </w:pPr>
            <w:r>
              <w:rPr>
                <w:color w:val="auto"/>
                <w:szCs w:val="23"/>
              </w:rPr>
              <w:t xml:space="preserve">September </w:t>
            </w:r>
            <w:r w:rsidR="00415C99">
              <w:rPr>
                <w:color w:val="auto"/>
                <w:szCs w:val="23"/>
              </w:rPr>
              <w:t>2019</w:t>
            </w:r>
          </w:p>
          <w:p w14:paraId="510BCA3B" w14:textId="77777777" w:rsidR="00415C99" w:rsidRDefault="00415C99" w:rsidP="009F62C1">
            <w:pPr>
              <w:spacing w:after="0"/>
              <w:jc w:val="left"/>
              <w:rPr>
                <w:color w:val="auto"/>
                <w:szCs w:val="23"/>
              </w:rPr>
            </w:pPr>
          </w:p>
          <w:p w14:paraId="4C5A10E0" w14:textId="77777777" w:rsidR="00415C99" w:rsidRDefault="00415C99" w:rsidP="009F62C1">
            <w:pPr>
              <w:spacing w:after="0"/>
              <w:jc w:val="left"/>
              <w:rPr>
                <w:color w:val="auto"/>
                <w:szCs w:val="23"/>
              </w:rPr>
            </w:pPr>
          </w:p>
          <w:p w14:paraId="36463A3E" w14:textId="77777777" w:rsidR="00415C99" w:rsidRDefault="00415C99" w:rsidP="009F62C1">
            <w:pPr>
              <w:spacing w:after="0"/>
              <w:jc w:val="left"/>
              <w:rPr>
                <w:color w:val="auto"/>
                <w:szCs w:val="23"/>
              </w:rPr>
            </w:pPr>
          </w:p>
          <w:p w14:paraId="3F352055" w14:textId="77777777" w:rsidR="00587C70" w:rsidRPr="001A4273" w:rsidRDefault="004548C3" w:rsidP="009F62C1">
            <w:pPr>
              <w:spacing w:after="0"/>
              <w:jc w:val="left"/>
              <w:rPr>
                <w:color w:val="auto"/>
                <w:szCs w:val="23"/>
              </w:rPr>
            </w:pPr>
            <w:r w:rsidRPr="001A4273">
              <w:rPr>
                <w:color w:val="auto"/>
                <w:szCs w:val="23"/>
              </w:rPr>
              <w:t xml:space="preserve">2018 to </w:t>
            </w:r>
            <w:r w:rsidR="007E6633" w:rsidRPr="007E6633">
              <w:rPr>
                <w:color w:val="auto"/>
                <w:szCs w:val="23"/>
              </w:rPr>
              <w:t>2023</w:t>
            </w:r>
          </w:p>
          <w:p w14:paraId="7426457A" w14:textId="77777777" w:rsidR="004548C3" w:rsidRPr="001A4273" w:rsidRDefault="004548C3" w:rsidP="009F62C1">
            <w:pPr>
              <w:spacing w:after="0"/>
              <w:jc w:val="left"/>
              <w:rPr>
                <w:color w:val="auto"/>
                <w:szCs w:val="23"/>
              </w:rPr>
            </w:pPr>
          </w:p>
          <w:p w14:paraId="7B444909" w14:textId="77777777" w:rsidR="001C1D77" w:rsidRDefault="001C1D77" w:rsidP="009F62C1">
            <w:pPr>
              <w:spacing w:after="0"/>
              <w:jc w:val="left"/>
              <w:rPr>
                <w:color w:val="auto"/>
                <w:szCs w:val="23"/>
              </w:rPr>
            </w:pPr>
          </w:p>
          <w:p w14:paraId="05B2D7E2" w14:textId="77777777" w:rsidR="005F78DC" w:rsidRPr="001A4273" w:rsidRDefault="005F78DC" w:rsidP="009F62C1">
            <w:pPr>
              <w:spacing w:after="0"/>
              <w:jc w:val="left"/>
              <w:rPr>
                <w:color w:val="auto"/>
                <w:szCs w:val="23"/>
              </w:rPr>
            </w:pPr>
          </w:p>
          <w:p w14:paraId="3910A516" w14:textId="77777777" w:rsidR="004548C3" w:rsidRPr="001A4273" w:rsidRDefault="004463E4" w:rsidP="009F62C1">
            <w:pPr>
              <w:spacing w:after="0"/>
              <w:jc w:val="left"/>
              <w:rPr>
                <w:color w:val="auto"/>
                <w:szCs w:val="23"/>
              </w:rPr>
            </w:pPr>
            <w:r w:rsidRPr="001A4273">
              <w:rPr>
                <w:color w:val="auto"/>
                <w:szCs w:val="23"/>
              </w:rPr>
              <w:t>201</w:t>
            </w:r>
            <w:r w:rsidR="00071660">
              <w:rPr>
                <w:color w:val="auto"/>
                <w:szCs w:val="23"/>
              </w:rPr>
              <w:t>7 to 2027</w:t>
            </w:r>
          </w:p>
          <w:p w14:paraId="4E9A085F" w14:textId="77777777" w:rsidR="001C1D77" w:rsidRPr="001A4273" w:rsidRDefault="001C1D77" w:rsidP="009F62C1">
            <w:pPr>
              <w:spacing w:after="0"/>
              <w:jc w:val="left"/>
              <w:rPr>
                <w:color w:val="auto"/>
                <w:szCs w:val="23"/>
              </w:rPr>
            </w:pPr>
          </w:p>
          <w:p w14:paraId="063FF404" w14:textId="77777777" w:rsidR="004463E4" w:rsidRPr="001A4273" w:rsidRDefault="004463E4" w:rsidP="009F62C1">
            <w:pPr>
              <w:spacing w:after="0"/>
              <w:jc w:val="left"/>
              <w:rPr>
                <w:color w:val="auto"/>
                <w:szCs w:val="23"/>
              </w:rPr>
            </w:pPr>
          </w:p>
          <w:p w14:paraId="5E80E636" w14:textId="77777777" w:rsidR="00071660" w:rsidRDefault="00071660" w:rsidP="009F62C1">
            <w:pPr>
              <w:spacing w:after="0"/>
              <w:jc w:val="left"/>
              <w:rPr>
                <w:color w:val="auto"/>
                <w:szCs w:val="23"/>
              </w:rPr>
            </w:pPr>
          </w:p>
          <w:p w14:paraId="120C9EA1" w14:textId="77777777" w:rsidR="004463E4" w:rsidRPr="001A4273" w:rsidRDefault="007752BF" w:rsidP="009F62C1">
            <w:pPr>
              <w:spacing w:after="0"/>
              <w:jc w:val="left"/>
              <w:rPr>
                <w:color w:val="auto"/>
                <w:szCs w:val="23"/>
              </w:rPr>
            </w:pPr>
            <w:r w:rsidRPr="001A4273">
              <w:rPr>
                <w:color w:val="auto"/>
                <w:szCs w:val="23"/>
              </w:rPr>
              <w:t>Dec</w:t>
            </w:r>
            <w:r w:rsidR="006E0044" w:rsidRPr="001A4273">
              <w:rPr>
                <w:color w:val="auto"/>
                <w:szCs w:val="23"/>
              </w:rPr>
              <w:t xml:space="preserve"> </w:t>
            </w:r>
            <w:r w:rsidRPr="001A4273">
              <w:rPr>
                <w:color w:val="auto"/>
                <w:szCs w:val="23"/>
              </w:rPr>
              <w:t>2018</w:t>
            </w:r>
          </w:p>
          <w:p w14:paraId="092E4761" w14:textId="77777777" w:rsidR="006A5B08" w:rsidRPr="001A4273" w:rsidRDefault="006A5B08" w:rsidP="009F62C1">
            <w:pPr>
              <w:spacing w:after="0"/>
              <w:jc w:val="left"/>
              <w:rPr>
                <w:color w:val="auto"/>
                <w:szCs w:val="23"/>
              </w:rPr>
            </w:pPr>
          </w:p>
          <w:p w14:paraId="4F751341" w14:textId="77777777" w:rsidR="000251F5" w:rsidRPr="001A4273" w:rsidRDefault="000251F5" w:rsidP="009F62C1">
            <w:pPr>
              <w:spacing w:after="0"/>
              <w:jc w:val="left"/>
              <w:rPr>
                <w:color w:val="auto"/>
                <w:szCs w:val="23"/>
              </w:rPr>
            </w:pPr>
          </w:p>
          <w:p w14:paraId="5970753C" w14:textId="77777777" w:rsidR="000251F5" w:rsidRDefault="000251F5" w:rsidP="009F62C1">
            <w:pPr>
              <w:spacing w:after="0"/>
              <w:jc w:val="left"/>
              <w:rPr>
                <w:color w:val="auto"/>
                <w:szCs w:val="23"/>
              </w:rPr>
            </w:pPr>
          </w:p>
          <w:p w14:paraId="4A4E69B8" w14:textId="77777777" w:rsidR="005F78DC" w:rsidRPr="001A4273" w:rsidRDefault="005F78DC" w:rsidP="009F62C1">
            <w:pPr>
              <w:spacing w:after="0"/>
              <w:jc w:val="left"/>
              <w:rPr>
                <w:color w:val="auto"/>
                <w:szCs w:val="23"/>
              </w:rPr>
            </w:pPr>
          </w:p>
          <w:p w14:paraId="3D3A9967" w14:textId="77777777" w:rsidR="000251F5" w:rsidRPr="001A4273" w:rsidRDefault="000251F5" w:rsidP="009F62C1">
            <w:pPr>
              <w:spacing w:after="0"/>
              <w:jc w:val="left"/>
              <w:rPr>
                <w:color w:val="auto"/>
                <w:szCs w:val="23"/>
              </w:rPr>
            </w:pPr>
          </w:p>
          <w:p w14:paraId="0C1BCAEE" w14:textId="77777777" w:rsidR="000251F5" w:rsidRPr="001A4273" w:rsidRDefault="000251F5" w:rsidP="009F62C1">
            <w:pPr>
              <w:spacing w:after="0"/>
              <w:jc w:val="left"/>
              <w:rPr>
                <w:color w:val="auto"/>
                <w:szCs w:val="23"/>
              </w:rPr>
            </w:pPr>
          </w:p>
          <w:p w14:paraId="2144BD04" w14:textId="77777777" w:rsidR="006A5B08" w:rsidRPr="001A4273" w:rsidRDefault="000251F5" w:rsidP="009F62C1">
            <w:pPr>
              <w:spacing w:after="0"/>
              <w:jc w:val="left"/>
              <w:rPr>
                <w:color w:val="auto"/>
                <w:szCs w:val="23"/>
              </w:rPr>
            </w:pPr>
            <w:r w:rsidRPr="001A4273">
              <w:rPr>
                <w:color w:val="auto"/>
                <w:szCs w:val="23"/>
              </w:rPr>
              <w:t>2018 to 2023</w:t>
            </w:r>
          </w:p>
          <w:p w14:paraId="651410E7" w14:textId="77777777" w:rsidR="006A5B08" w:rsidRPr="001A4273" w:rsidRDefault="006A5B08" w:rsidP="009F62C1">
            <w:pPr>
              <w:spacing w:after="0"/>
              <w:jc w:val="left"/>
              <w:rPr>
                <w:color w:val="auto"/>
                <w:szCs w:val="23"/>
              </w:rPr>
            </w:pPr>
          </w:p>
          <w:p w14:paraId="4DD94E93" w14:textId="77777777" w:rsidR="006A5B08" w:rsidRPr="001A4273" w:rsidRDefault="006A5B08" w:rsidP="004F0E3A">
            <w:pPr>
              <w:spacing w:after="0"/>
              <w:jc w:val="left"/>
              <w:rPr>
                <w:color w:val="auto"/>
                <w:szCs w:val="23"/>
              </w:rPr>
            </w:pPr>
          </w:p>
        </w:tc>
      </w:tr>
      <w:tr w:rsidR="001A4273" w:rsidRPr="001A4273" w14:paraId="32766D3D" w14:textId="77777777" w:rsidTr="00A57AC0">
        <w:trPr>
          <w:trHeight w:val="1341"/>
        </w:trPr>
        <w:tc>
          <w:tcPr>
            <w:tcW w:w="2825" w:type="dxa"/>
            <w:tcBorders>
              <w:top w:val="single" w:sz="8" w:space="0" w:color="4F81BD"/>
              <w:left w:val="single" w:sz="8" w:space="0" w:color="4F81BD"/>
              <w:bottom w:val="single" w:sz="8" w:space="0" w:color="4F81BD"/>
              <w:right w:val="single" w:sz="8" w:space="0" w:color="4F81BD"/>
            </w:tcBorders>
          </w:tcPr>
          <w:p w14:paraId="662DC23E" w14:textId="77777777" w:rsidR="00587C70" w:rsidRPr="001A4273" w:rsidRDefault="00587C70" w:rsidP="009F62C1">
            <w:pPr>
              <w:spacing w:after="0"/>
              <w:jc w:val="left"/>
              <w:rPr>
                <w:color w:val="auto"/>
                <w:szCs w:val="23"/>
              </w:rPr>
            </w:pPr>
            <w:r w:rsidRPr="001A4273">
              <w:rPr>
                <w:b/>
                <w:color w:val="auto"/>
                <w:szCs w:val="23"/>
              </w:rPr>
              <w:t>Community housing support</w:t>
            </w:r>
            <w:r w:rsidRPr="001A4273">
              <w:rPr>
                <w:color w:val="auto"/>
                <w:szCs w:val="23"/>
              </w:rPr>
              <w:t xml:space="preserve"> that improves the viability and encourages growth of the sector (may include redevelopment and stock transfers)</w:t>
            </w:r>
          </w:p>
        </w:tc>
        <w:tc>
          <w:tcPr>
            <w:tcW w:w="5103" w:type="dxa"/>
            <w:tcBorders>
              <w:top w:val="single" w:sz="8" w:space="0" w:color="4F81BD"/>
              <w:left w:val="single" w:sz="8" w:space="0" w:color="4F81BD"/>
              <w:bottom w:val="single" w:sz="8" w:space="0" w:color="4F81BD"/>
              <w:right w:val="single" w:sz="8" w:space="0" w:color="4F81BD"/>
            </w:tcBorders>
          </w:tcPr>
          <w:p w14:paraId="0481B4D8" w14:textId="77777777" w:rsidR="00587C70" w:rsidRPr="001A4273" w:rsidRDefault="00523F64" w:rsidP="00752F37">
            <w:pPr>
              <w:pStyle w:val="ListParagraph"/>
              <w:numPr>
                <w:ilvl w:val="0"/>
                <w:numId w:val="24"/>
              </w:numPr>
              <w:spacing w:after="0"/>
              <w:jc w:val="left"/>
              <w:rPr>
                <w:color w:val="auto"/>
                <w:szCs w:val="23"/>
              </w:rPr>
            </w:pPr>
            <w:r w:rsidRPr="001A4273">
              <w:rPr>
                <w:color w:val="auto"/>
                <w:szCs w:val="23"/>
              </w:rPr>
              <w:t>D</w:t>
            </w:r>
            <w:r w:rsidR="00587C70" w:rsidRPr="001A4273">
              <w:rPr>
                <w:color w:val="auto"/>
                <w:szCs w:val="23"/>
              </w:rPr>
              <w:t>evelop</w:t>
            </w:r>
            <w:r w:rsidRPr="001A4273">
              <w:rPr>
                <w:color w:val="auto"/>
                <w:szCs w:val="23"/>
              </w:rPr>
              <w:t xml:space="preserve"> and</w:t>
            </w:r>
            <w:r w:rsidR="00587C70" w:rsidRPr="001A4273">
              <w:rPr>
                <w:color w:val="auto"/>
                <w:szCs w:val="23"/>
              </w:rPr>
              <w:t xml:space="preserve"> implement</w:t>
            </w:r>
            <w:r w:rsidR="00081D2D" w:rsidRPr="001A4273">
              <w:rPr>
                <w:color w:val="auto"/>
                <w:szCs w:val="23"/>
              </w:rPr>
              <w:t xml:space="preserve"> an</w:t>
            </w:r>
            <w:r w:rsidR="00587C70" w:rsidRPr="001A4273">
              <w:rPr>
                <w:color w:val="auto"/>
                <w:szCs w:val="23"/>
              </w:rPr>
              <w:t xml:space="preserve"> urban Community Housing Strategy that identifies:</w:t>
            </w:r>
          </w:p>
          <w:p w14:paraId="7F0380A8" w14:textId="77777777" w:rsidR="00587C70" w:rsidRPr="001A4273" w:rsidRDefault="00587C70" w:rsidP="00752F37">
            <w:pPr>
              <w:pStyle w:val="ListParagraph"/>
              <w:numPr>
                <w:ilvl w:val="0"/>
                <w:numId w:val="4"/>
              </w:numPr>
              <w:spacing w:after="0"/>
              <w:ind w:left="743" w:hanging="284"/>
              <w:jc w:val="left"/>
              <w:rPr>
                <w:color w:val="auto"/>
                <w:szCs w:val="23"/>
              </w:rPr>
            </w:pPr>
            <w:r w:rsidRPr="001A4273">
              <w:rPr>
                <w:color w:val="auto"/>
                <w:szCs w:val="23"/>
              </w:rPr>
              <w:t>approaches to support the growth of the Northern Territory community housing sector; and</w:t>
            </w:r>
          </w:p>
          <w:p w14:paraId="446BA418" w14:textId="77777777" w:rsidR="00587C70" w:rsidRPr="001A4273" w:rsidRDefault="00587C70" w:rsidP="00752F37">
            <w:pPr>
              <w:pStyle w:val="ListParagraph"/>
              <w:numPr>
                <w:ilvl w:val="0"/>
                <w:numId w:val="4"/>
              </w:numPr>
              <w:spacing w:after="0"/>
              <w:ind w:left="743" w:hanging="284"/>
              <w:jc w:val="left"/>
              <w:rPr>
                <w:color w:val="auto"/>
                <w:szCs w:val="23"/>
              </w:rPr>
            </w:pPr>
            <w:r w:rsidRPr="001A4273">
              <w:rPr>
                <w:color w:val="auto"/>
                <w:szCs w:val="23"/>
              </w:rPr>
              <w:t xml:space="preserve">inform the transfer of 750 urban public dwellings to the sector  </w:t>
            </w:r>
          </w:p>
          <w:p w14:paraId="7082F852" w14:textId="77777777" w:rsidR="002B1F2F" w:rsidRPr="001A4273" w:rsidRDefault="002B1F2F" w:rsidP="00752F37">
            <w:pPr>
              <w:spacing w:after="0"/>
              <w:jc w:val="left"/>
              <w:rPr>
                <w:color w:val="auto"/>
                <w:szCs w:val="23"/>
              </w:rPr>
            </w:pPr>
          </w:p>
          <w:p w14:paraId="6B7D4631" w14:textId="77777777" w:rsidR="00523F64" w:rsidRPr="001A4273" w:rsidRDefault="00523F64" w:rsidP="00752F37">
            <w:pPr>
              <w:pStyle w:val="ListParagraph"/>
              <w:numPr>
                <w:ilvl w:val="0"/>
                <w:numId w:val="24"/>
              </w:numPr>
              <w:spacing w:after="0"/>
              <w:jc w:val="left"/>
              <w:rPr>
                <w:color w:val="auto"/>
                <w:szCs w:val="23"/>
              </w:rPr>
            </w:pPr>
            <w:r w:rsidRPr="001A4273">
              <w:rPr>
                <w:color w:val="auto"/>
                <w:szCs w:val="23"/>
              </w:rPr>
              <w:t>Construction of community housing dwellings in urban centres</w:t>
            </w:r>
          </w:p>
          <w:p w14:paraId="3FFAAEED" w14:textId="77777777" w:rsidR="00587C70" w:rsidRPr="001A4273" w:rsidRDefault="00587C70" w:rsidP="00752F37">
            <w:pPr>
              <w:spacing w:after="0"/>
              <w:jc w:val="left"/>
              <w:rPr>
                <w:color w:val="auto"/>
                <w:szCs w:val="23"/>
              </w:rPr>
            </w:pPr>
          </w:p>
        </w:tc>
        <w:tc>
          <w:tcPr>
            <w:tcW w:w="1418" w:type="dxa"/>
            <w:tcBorders>
              <w:top w:val="single" w:sz="8" w:space="0" w:color="4F81BD"/>
              <w:left w:val="single" w:sz="8" w:space="0" w:color="4F81BD"/>
              <w:bottom w:val="single" w:sz="8" w:space="0" w:color="4F81BD"/>
              <w:right w:val="single" w:sz="8" w:space="0" w:color="4F81BD"/>
            </w:tcBorders>
          </w:tcPr>
          <w:p w14:paraId="0F158DF2" w14:textId="77777777" w:rsidR="006E0044" w:rsidRPr="001A4273" w:rsidRDefault="006E0044" w:rsidP="009F62C1">
            <w:pPr>
              <w:spacing w:after="0"/>
              <w:jc w:val="left"/>
              <w:rPr>
                <w:color w:val="auto"/>
                <w:szCs w:val="23"/>
              </w:rPr>
            </w:pPr>
            <w:r w:rsidRPr="001A4273">
              <w:rPr>
                <w:color w:val="auto"/>
                <w:szCs w:val="23"/>
              </w:rPr>
              <w:t>All initiatives</w:t>
            </w:r>
          </w:p>
          <w:p w14:paraId="48F33A35" w14:textId="77777777" w:rsidR="00587C70" w:rsidRPr="001A4273" w:rsidRDefault="004463E4" w:rsidP="009F62C1">
            <w:pPr>
              <w:spacing w:after="0"/>
              <w:jc w:val="left"/>
              <w:rPr>
                <w:color w:val="auto"/>
                <w:szCs w:val="23"/>
              </w:rPr>
            </w:pPr>
            <w:r w:rsidRPr="001A4273">
              <w:rPr>
                <w:color w:val="auto"/>
                <w:szCs w:val="23"/>
              </w:rPr>
              <w:t>2018 to 2023</w:t>
            </w:r>
          </w:p>
          <w:p w14:paraId="360CCD0F" w14:textId="77777777" w:rsidR="004463E4" w:rsidRPr="001A4273" w:rsidRDefault="004463E4" w:rsidP="009F62C1">
            <w:pPr>
              <w:spacing w:after="0"/>
              <w:jc w:val="left"/>
              <w:rPr>
                <w:color w:val="auto"/>
                <w:szCs w:val="23"/>
              </w:rPr>
            </w:pPr>
          </w:p>
          <w:p w14:paraId="24238F11" w14:textId="77777777" w:rsidR="004463E4" w:rsidRPr="001A4273" w:rsidRDefault="004463E4" w:rsidP="009F62C1">
            <w:pPr>
              <w:spacing w:after="0"/>
              <w:jc w:val="left"/>
              <w:rPr>
                <w:color w:val="auto"/>
                <w:szCs w:val="23"/>
              </w:rPr>
            </w:pPr>
          </w:p>
          <w:p w14:paraId="0334581F" w14:textId="77777777" w:rsidR="004463E4" w:rsidRPr="001A4273" w:rsidRDefault="004463E4" w:rsidP="009F62C1">
            <w:pPr>
              <w:spacing w:after="0"/>
              <w:jc w:val="left"/>
              <w:rPr>
                <w:color w:val="auto"/>
                <w:szCs w:val="23"/>
              </w:rPr>
            </w:pPr>
          </w:p>
          <w:p w14:paraId="0A2541AE" w14:textId="77777777" w:rsidR="004463E4" w:rsidRPr="001A4273" w:rsidRDefault="004463E4" w:rsidP="009F62C1">
            <w:pPr>
              <w:spacing w:after="0"/>
              <w:jc w:val="left"/>
              <w:rPr>
                <w:color w:val="auto"/>
                <w:szCs w:val="23"/>
              </w:rPr>
            </w:pPr>
          </w:p>
          <w:p w14:paraId="52556E54" w14:textId="77777777" w:rsidR="004463E4" w:rsidRPr="001A4273" w:rsidRDefault="004463E4" w:rsidP="009F62C1">
            <w:pPr>
              <w:spacing w:after="0"/>
              <w:jc w:val="left"/>
              <w:rPr>
                <w:color w:val="auto"/>
                <w:szCs w:val="23"/>
              </w:rPr>
            </w:pPr>
          </w:p>
        </w:tc>
      </w:tr>
      <w:tr w:rsidR="001A4273" w:rsidRPr="001A4273" w14:paraId="7F85CCDF" w14:textId="77777777" w:rsidTr="00A57AC0">
        <w:trPr>
          <w:trHeight w:val="1341"/>
        </w:trPr>
        <w:tc>
          <w:tcPr>
            <w:tcW w:w="2825" w:type="dxa"/>
            <w:tcBorders>
              <w:top w:val="single" w:sz="8" w:space="0" w:color="4F81BD"/>
              <w:left w:val="single" w:sz="8" w:space="0" w:color="4F81BD"/>
              <w:bottom w:val="single" w:sz="8" w:space="0" w:color="4F81BD"/>
              <w:right w:val="single" w:sz="8" w:space="0" w:color="4F81BD"/>
            </w:tcBorders>
          </w:tcPr>
          <w:p w14:paraId="04499AD3" w14:textId="77777777" w:rsidR="00587C70" w:rsidRPr="001A4273" w:rsidRDefault="00587C70" w:rsidP="00B14809">
            <w:pPr>
              <w:spacing w:after="0"/>
              <w:jc w:val="left"/>
              <w:rPr>
                <w:color w:val="auto"/>
                <w:szCs w:val="23"/>
              </w:rPr>
            </w:pPr>
            <w:r w:rsidRPr="004F5264">
              <w:rPr>
                <w:b/>
                <w:color w:val="auto"/>
                <w:szCs w:val="23"/>
              </w:rPr>
              <w:t>Affordable housing</w:t>
            </w:r>
            <w:r w:rsidRPr="001A4273">
              <w:rPr>
                <w:color w:val="auto"/>
                <w:szCs w:val="23"/>
              </w:rPr>
              <w:t xml:space="preserve"> (may include stock transfers and incentives to increase supply)</w:t>
            </w:r>
          </w:p>
        </w:tc>
        <w:tc>
          <w:tcPr>
            <w:tcW w:w="5103" w:type="dxa"/>
            <w:tcBorders>
              <w:top w:val="single" w:sz="8" w:space="0" w:color="4F81BD"/>
              <w:left w:val="single" w:sz="8" w:space="0" w:color="4F81BD"/>
              <w:bottom w:val="single" w:sz="8" w:space="0" w:color="4F81BD"/>
              <w:right w:val="single" w:sz="8" w:space="0" w:color="4F81BD"/>
            </w:tcBorders>
          </w:tcPr>
          <w:p w14:paraId="16C54614" w14:textId="77777777" w:rsidR="00081D2D" w:rsidRPr="001A4273" w:rsidRDefault="0088487E" w:rsidP="00752F37">
            <w:pPr>
              <w:pStyle w:val="ListParagraph"/>
              <w:numPr>
                <w:ilvl w:val="0"/>
                <w:numId w:val="22"/>
              </w:numPr>
              <w:spacing w:after="0"/>
              <w:jc w:val="left"/>
              <w:rPr>
                <w:color w:val="auto"/>
                <w:szCs w:val="23"/>
              </w:rPr>
            </w:pPr>
            <w:r w:rsidRPr="001A4273">
              <w:rPr>
                <w:color w:val="auto"/>
                <w:szCs w:val="23"/>
              </w:rPr>
              <w:t>P</w:t>
            </w:r>
            <w:r w:rsidR="00587C70" w:rsidRPr="001A4273">
              <w:rPr>
                <w:color w:val="auto"/>
                <w:szCs w:val="23"/>
              </w:rPr>
              <w:t>rovide more affordable housing options for Territorians including the Real Housing for Growth initiative which will see additional</w:t>
            </w:r>
            <w:r w:rsidR="00F339E2" w:rsidRPr="001A4273">
              <w:rPr>
                <w:color w:val="auto"/>
                <w:szCs w:val="23"/>
              </w:rPr>
              <w:t xml:space="preserve"> </w:t>
            </w:r>
            <w:r w:rsidR="00587C70" w:rsidRPr="001A4273">
              <w:rPr>
                <w:color w:val="auto"/>
                <w:szCs w:val="23"/>
              </w:rPr>
              <w:t>head-leased dwellings available for low to middle income key workers</w:t>
            </w:r>
          </w:p>
          <w:p w14:paraId="291E344D" w14:textId="77777777" w:rsidR="00081D2D" w:rsidRPr="001A4273" w:rsidRDefault="00081D2D" w:rsidP="00752F37">
            <w:pPr>
              <w:spacing w:after="0"/>
              <w:jc w:val="left"/>
              <w:rPr>
                <w:color w:val="auto"/>
                <w:szCs w:val="23"/>
              </w:rPr>
            </w:pPr>
          </w:p>
          <w:p w14:paraId="06C928F2" w14:textId="77777777" w:rsidR="00081D2D" w:rsidRPr="001A4273" w:rsidRDefault="00081D2D" w:rsidP="00081D2D">
            <w:pPr>
              <w:numPr>
                <w:ilvl w:val="0"/>
                <w:numId w:val="22"/>
              </w:numPr>
              <w:spacing w:after="0"/>
              <w:jc w:val="left"/>
              <w:rPr>
                <w:color w:val="auto"/>
                <w:szCs w:val="23"/>
              </w:rPr>
            </w:pPr>
            <w:r w:rsidRPr="001A4273">
              <w:rPr>
                <w:color w:val="auto"/>
                <w:szCs w:val="23"/>
              </w:rPr>
              <w:t xml:space="preserve">Increase supply of additional public housing accommodation through social </w:t>
            </w:r>
            <w:r w:rsidR="006964BD" w:rsidRPr="001A4273">
              <w:rPr>
                <w:color w:val="auto"/>
                <w:szCs w:val="23"/>
              </w:rPr>
              <w:t xml:space="preserve">housing </w:t>
            </w:r>
            <w:r w:rsidRPr="001A4273">
              <w:rPr>
                <w:color w:val="auto"/>
                <w:szCs w:val="23"/>
              </w:rPr>
              <w:t>head leasing in urban centres</w:t>
            </w:r>
          </w:p>
          <w:p w14:paraId="6E347D84" w14:textId="77777777" w:rsidR="00BF68AC" w:rsidRPr="001A4273" w:rsidRDefault="00BF68AC" w:rsidP="00752F37">
            <w:pPr>
              <w:spacing w:after="0"/>
              <w:ind w:left="360"/>
              <w:jc w:val="left"/>
              <w:rPr>
                <w:color w:val="auto"/>
                <w:szCs w:val="23"/>
              </w:rPr>
            </w:pPr>
          </w:p>
          <w:p w14:paraId="6EC0143B" w14:textId="77777777" w:rsidR="00587C70" w:rsidRPr="001A4273" w:rsidRDefault="00BF68AC" w:rsidP="00752F37">
            <w:pPr>
              <w:numPr>
                <w:ilvl w:val="0"/>
                <w:numId w:val="22"/>
              </w:numPr>
              <w:spacing w:after="0"/>
              <w:jc w:val="left"/>
              <w:rPr>
                <w:color w:val="auto"/>
                <w:szCs w:val="23"/>
              </w:rPr>
            </w:pPr>
            <w:r w:rsidRPr="001A4273">
              <w:rPr>
                <w:color w:val="auto"/>
                <w:szCs w:val="23"/>
              </w:rPr>
              <w:t>Construct new public housing dwellings</w:t>
            </w:r>
            <w:r w:rsidR="002D0332" w:rsidRPr="001A4273">
              <w:rPr>
                <w:color w:val="auto"/>
                <w:szCs w:val="23"/>
              </w:rPr>
              <w:t xml:space="preserve"> </w:t>
            </w:r>
            <w:r w:rsidRPr="001A4273">
              <w:rPr>
                <w:color w:val="auto"/>
                <w:szCs w:val="23"/>
              </w:rPr>
              <w:t>through a targeted investment program</w:t>
            </w:r>
          </w:p>
          <w:p w14:paraId="59D50F32" w14:textId="77777777" w:rsidR="00E07FFA" w:rsidRPr="001A4273" w:rsidRDefault="00E07FFA" w:rsidP="00752F37">
            <w:pPr>
              <w:pStyle w:val="ListParagraph"/>
              <w:spacing w:after="0"/>
              <w:ind w:left="360"/>
              <w:jc w:val="left"/>
              <w:rPr>
                <w:color w:val="auto"/>
                <w:szCs w:val="23"/>
              </w:rPr>
            </w:pPr>
          </w:p>
        </w:tc>
        <w:tc>
          <w:tcPr>
            <w:tcW w:w="1418" w:type="dxa"/>
            <w:tcBorders>
              <w:top w:val="single" w:sz="8" w:space="0" w:color="4F81BD"/>
              <w:left w:val="single" w:sz="8" w:space="0" w:color="4F81BD"/>
              <w:bottom w:val="single" w:sz="8" w:space="0" w:color="4F81BD"/>
              <w:right w:val="single" w:sz="8" w:space="0" w:color="4F81BD"/>
            </w:tcBorders>
          </w:tcPr>
          <w:p w14:paraId="5DB4E36E" w14:textId="77777777" w:rsidR="00ED4088" w:rsidRPr="001A4273" w:rsidRDefault="007752BF" w:rsidP="00752F37">
            <w:pPr>
              <w:spacing w:after="0"/>
              <w:jc w:val="left"/>
              <w:rPr>
                <w:color w:val="auto"/>
                <w:szCs w:val="23"/>
              </w:rPr>
            </w:pPr>
            <w:r w:rsidRPr="001A4273">
              <w:rPr>
                <w:color w:val="auto"/>
                <w:szCs w:val="23"/>
              </w:rPr>
              <w:t xml:space="preserve">All initiatives </w:t>
            </w:r>
            <w:r w:rsidR="00ED4088" w:rsidRPr="001A4273">
              <w:rPr>
                <w:color w:val="auto"/>
                <w:szCs w:val="23"/>
              </w:rPr>
              <w:t>2018 to 2023</w:t>
            </w:r>
          </w:p>
        </w:tc>
      </w:tr>
      <w:tr w:rsidR="00FB5B68" w:rsidRPr="00FB5B68" w14:paraId="3C25120A" w14:textId="77777777" w:rsidTr="00A57AC0">
        <w:trPr>
          <w:trHeight w:val="1341"/>
        </w:trPr>
        <w:tc>
          <w:tcPr>
            <w:tcW w:w="2825" w:type="dxa"/>
            <w:tcBorders>
              <w:top w:val="single" w:sz="8" w:space="0" w:color="4F81BD"/>
              <w:left w:val="single" w:sz="8" w:space="0" w:color="4F81BD"/>
              <w:bottom w:val="single" w:sz="8" w:space="0" w:color="4F81BD"/>
              <w:right w:val="single" w:sz="8" w:space="0" w:color="4F81BD"/>
            </w:tcBorders>
          </w:tcPr>
          <w:p w14:paraId="4B118604" w14:textId="77777777" w:rsidR="00587C70" w:rsidRPr="004F5264" w:rsidRDefault="00587C70" w:rsidP="00752F37">
            <w:pPr>
              <w:spacing w:after="0"/>
              <w:jc w:val="left"/>
              <w:rPr>
                <w:b/>
                <w:color w:val="auto"/>
                <w:szCs w:val="23"/>
              </w:rPr>
            </w:pPr>
            <w:r w:rsidRPr="004F5264">
              <w:rPr>
                <w:b/>
                <w:color w:val="auto"/>
                <w:szCs w:val="23"/>
              </w:rPr>
              <w:lastRenderedPageBreak/>
              <w:t xml:space="preserve">Tenancy </w:t>
            </w:r>
            <w:r w:rsidR="00081D2D" w:rsidRPr="004F5264">
              <w:rPr>
                <w:b/>
                <w:color w:val="auto"/>
                <w:szCs w:val="23"/>
              </w:rPr>
              <w:t xml:space="preserve">management </w:t>
            </w:r>
            <w:r w:rsidRPr="004F5264">
              <w:rPr>
                <w:b/>
                <w:color w:val="auto"/>
                <w:szCs w:val="23"/>
              </w:rPr>
              <w:t>reform</w:t>
            </w:r>
          </w:p>
        </w:tc>
        <w:tc>
          <w:tcPr>
            <w:tcW w:w="5103" w:type="dxa"/>
            <w:tcBorders>
              <w:top w:val="single" w:sz="8" w:space="0" w:color="4F81BD"/>
              <w:left w:val="single" w:sz="8" w:space="0" w:color="4F81BD"/>
              <w:bottom w:val="single" w:sz="8" w:space="0" w:color="4F81BD"/>
              <w:right w:val="single" w:sz="8" w:space="0" w:color="4F81BD"/>
            </w:tcBorders>
          </w:tcPr>
          <w:p w14:paraId="7A4F1CCB" w14:textId="77777777" w:rsidR="00081D2D" w:rsidRPr="001A4273" w:rsidRDefault="00587C70" w:rsidP="00752F37">
            <w:pPr>
              <w:pStyle w:val="ListParagraph"/>
              <w:numPr>
                <w:ilvl w:val="0"/>
                <w:numId w:val="22"/>
              </w:numPr>
              <w:spacing w:after="0"/>
              <w:jc w:val="left"/>
              <w:rPr>
                <w:color w:val="auto"/>
                <w:szCs w:val="23"/>
              </w:rPr>
            </w:pPr>
            <w:r w:rsidRPr="001A4273">
              <w:rPr>
                <w:color w:val="auto"/>
                <w:szCs w:val="23"/>
              </w:rPr>
              <w:t>The Northern Territory is currently exploring its public housing legislative framework to consider tenancy reforms that may further address the needs of disadvantaged and vulnerable Territorians</w:t>
            </w:r>
            <w:r w:rsidR="0088487E" w:rsidRPr="001A4273">
              <w:rPr>
                <w:color w:val="auto"/>
                <w:szCs w:val="23"/>
              </w:rPr>
              <w:t xml:space="preserve"> (i.e. </w:t>
            </w:r>
            <w:r w:rsidR="0088487E" w:rsidRPr="001A4273">
              <w:rPr>
                <w:i/>
                <w:color w:val="auto"/>
                <w:szCs w:val="23"/>
              </w:rPr>
              <w:t>Residential Tenancies Act</w:t>
            </w:r>
            <w:r w:rsidR="0088487E" w:rsidRPr="001A4273">
              <w:rPr>
                <w:color w:val="auto"/>
                <w:szCs w:val="23"/>
              </w:rPr>
              <w:t>)</w:t>
            </w:r>
          </w:p>
          <w:p w14:paraId="481093AD" w14:textId="77777777" w:rsidR="0088487E" w:rsidRPr="001A4273" w:rsidRDefault="0088487E" w:rsidP="00752F37">
            <w:pPr>
              <w:pStyle w:val="ListParagraph"/>
              <w:spacing w:after="0"/>
              <w:ind w:left="360"/>
              <w:jc w:val="left"/>
              <w:rPr>
                <w:color w:val="auto"/>
                <w:szCs w:val="23"/>
              </w:rPr>
            </w:pPr>
          </w:p>
          <w:p w14:paraId="3EFE3E52" w14:textId="77777777" w:rsidR="00081D2D" w:rsidRDefault="00081D2D" w:rsidP="00FE5258">
            <w:pPr>
              <w:pStyle w:val="ListParagraph"/>
              <w:numPr>
                <w:ilvl w:val="0"/>
                <w:numId w:val="22"/>
              </w:numPr>
              <w:spacing w:after="0"/>
              <w:jc w:val="left"/>
              <w:rPr>
                <w:color w:val="auto"/>
                <w:szCs w:val="23"/>
              </w:rPr>
            </w:pPr>
            <w:r w:rsidRPr="001A4273">
              <w:rPr>
                <w:color w:val="auto"/>
                <w:szCs w:val="23"/>
              </w:rPr>
              <w:t>Implement a new Urban Public Housing Rent Model focused on achieving equit</w:t>
            </w:r>
            <w:r w:rsidR="006964BD" w:rsidRPr="001A4273">
              <w:rPr>
                <w:color w:val="auto"/>
                <w:szCs w:val="23"/>
              </w:rPr>
              <w:t>y</w:t>
            </w:r>
            <w:r w:rsidRPr="001A4273">
              <w:rPr>
                <w:color w:val="auto"/>
                <w:szCs w:val="23"/>
              </w:rPr>
              <w:t xml:space="preserve"> and consistency in the application of rental rate structures across all tenancies </w:t>
            </w:r>
          </w:p>
          <w:p w14:paraId="3AA9ADE6" w14:textId="77777777" w:rsidR="0040075B" w:rsidRPr="001A4273" w:rsidRDefault="0040075B" w:rsidP="005303EB">
            <w:pPr>
              <w:pStyle w:val="ListParagraph"/>
              <w:spacing w:after="0"/>
              <w:ind w:left="360"/>
              <w:jc w:val="left"/>
              <w:rPr>
                <w:color w:val="auto"/>
                <w:szCs w:val="23"/>
              </w:rPr>
            </w:pPr>
          </w:p>
          <w:p w14:paraId="1A812FCB" w14:textId="77777777" w:rsidR="00752F37" w:rsidRPr="001A4273" w:rsidRDefault="00081D2D" w:rsidP="00752F37">
            <w:pPr>
              <w:pStyle w:val="ListParagraph"/>
              <w:numPr>
                <w:ilvl w:val="0"/>
                <w:numId w:val="22"/>
              </w:numPr>
              <w:spacing w:after="0"/>
              <w:jc w:val="left"/>
              <w:rPr>
                <w:color w:val="auto"/>
                <w:szCs w:val="23"/>
              </w:rPr>
            </w:pPr>
            <w:r w:rsidRPr="001A4273">
              <w:rPr>
                <w:color w:val="auto"/>
                <w:szCs w:val="23"/>
              </w:rPr>
              <w:t>Develop a new Remote Public Housing Rent Model aimed at improving administrative efficiency</w:t>
            </w:r>
            <w:r w:rsidR="006964BD" w:rsidRPr="001A4273">
              <w:rPr>
                <w:color w:val="auto"/>
                <w:szCs w:val="23"/>
              </w:rPr>
              <w:t xml:space="preserve"> and is</w:t>
            </w:r>
            <w:r w:rsidRPr="001A4273">
              <w:rPr>
                <w:color w:val="auto"/>
                <w:szCs w:val="23"/>
              </w:rPr>
              <w:t xml:space="preserve"> easier for tenants to understand </w:t>
            </w:r>
          </w:p>
          <w:p w14:paraId="69132D0D" w14:textId="77777777" w:rsidR="00752F37" w:rsidRPr="001A4273" w:rsidRDefault="00752F37" w:rsidP="004F0E3A">
            <w:pPr>
              <w:pStyle w:val="ListParagraph"/>
              <w:rPr>
                <w:color w:val="auto"/>
                <w:szCs w:val="23"/>
              </w:rPr>
            </w:pPr>
          </w:p>
          <w:p w14:paraId="1FB42F4E" w14:textId="77777777" w:rsidR="00A1081A" w:rsidRPr="001A4273" w:rsidRDefault="00752F37" w:rsidP="00752F37">
            <w:pPr>
              <w:pStyle w:val="ListParagraph"/>
              <w:numPr>
                <w:ilvl w:val="0"/>
                <w:numId w:val="22"/>
              </w:numPr>
              <w:spacing w:after="0"/>
              <w:jc w:val="left"/>
              <w:rPr>
                <w:color w:val="auto"/>
                <w:szCs w:val="23"/>
              </w:rPr>
            </w:pPr>
            <w:r w:rsidRPr="001A4273">
              <w:rPr>
                <w:color w:val="auto"/>
                <w:szCs w:val="23"/>
              </w:rPr>
              <w:t>Implement the Automatic Rent Deduction Scheme aimed at preventing rent arrears</w:t>
            </w:r>
          </w:p>
          <w:p w14:paraId="5E87862C" w14:textId="77777777" w:rsidR="00587C70" w:rsidRPr="001A4273" w:rsidRDefault="00587C70" w:rsidP="004F0E3A">
            <w:pPr>
              <w:pStyle w:val="ListParagraph"/>
              <w:ind w:left="0"/>
              <w:jc w:val="left"/>
              <w:rPr>
                <w:color w:val="auto"/>
              </w:rPr>
            </w:pPr>
          </w:p>
        </w:tc>
        <w:tc>
          <w:tcPr>
            <w:tcW w:w="1418" w:type="dxa"/>
            <w:tcBorders>
              <w:top w:val="single" w:sz="8" w:space="0" w:color="4F81BD"/>
              <w:left w:val="single" w:sz="8" w:space="0" w:color="4F81BD"/>
              <w:bottom w:val="single" w:sz="8" w:space="0" w:color="4F81BD"/>
              <w:right w:val="single" w:sz="8" w:space="0" w:color="4F81BD"/>
            </w:tcBorders>
          </w:tcPr>
          <w:p w14:paraId="103320BA" w14:textId="77777777" w:rsidR="00587C70" w:rsidRPr="001A4273" w:rsidRDefault="004463E4" w:rsidP="00120E3B">
            <w:pPr>
              <w:spacing w:after="0"/>
              <w:jc w:val="left"/>
              <w:rPr>
                <w:color w:val="auto"/>
                <w:szCs w:val="23"/>
              </w:rPr>
            </w:pPr>
            <w:r w:rsidRPr="001A4273">
              <w:rPr>
                <w:color w:val="auto"/>
                <w:szCs w:val="23"/>
              </w:rPr>
              <w:t>July 2018 to 2023</w:t>
            </w:r>
          </w:p>
          <w:p w14:paraId="147B31C6" w14:textId="77777777" w:rsidR="004463E4" w:rsidRPr="001A4273" w:rsidRDefault="004463E4" w:rsidP="00120E3B">
            <w:pPr>
              <w:spacing w:after="0"/>
              <w:jc w:val="left"/>
              <w:rPr>
                <w:color w:val="auto"/>
                <w:szCs w:val="23"/>
              </w:rPr>
            </w:pPr>
          </w:p>
          <w:p w14:paraId="5531473B" w14:textId="77777777" w:rsidR="004463E4" w:rsidRPr="001A4273" w:rsidRDefault="004463E4" w:rsidP="00120E3B">
            <w:pPr>
              <w:spacing w:after="0"/>
              <w:jc w:val="left"/>
              <w:rPr>
                <w:color w:val="auto"/>
                <w:szCs w:val="23"/>
              </w:rPr>
            </w:pPr>
          </w:p>
          <w:p w14:paraId="5E867527" w14:textId="77777777" w:rsidR="004463E4" w:rsidRPr="001A4273" w:rsidRDefault="004463E4" w:rsidP="00120E3B">
            <w:pPr>
              <w:spacing w:after="0"/>
              <w:jc w:val="left"/>
              <w:rPr>
                <w:color w:val="auto"/>
                <w:szCs w:val="23"/>
              </w:rPr>
            </w:pPr>
          </w:p>
          <w:p w14:paraId="67494763" w14:textId="77777777" w:rsidR="004463E4" w:rsidRPr="001A4273" w:rsidRDefault="004463E4" w:rsidP="00120E3B">
            <w:pPr>
              <w:spacing w:after="0"/>
              <w:jc w:val="left"/>
              <w:rPr>
                <w:color w:val="auto"/>
                <w:szCs w:val="23"/>
              </w:rPr>
            </w:pPr>
          </w:p>
          <w:p w14:paraId="0144823A" w14:textId="77777777" w:rsidR="004463E4" w:rsidRPr="001A4273" w:rsidRDefault="004463E4" w:rsidP="00120E3B">
            <w:pPr>
              <w:spacing w:after="0"/>
              <w:jc w:val="left"/>
              <w:rPr>
                <w:color w:val="auto"/>
                <w:szCs w:val="23"/>
              </w:rPr>
            </w:pPr>
          </w:p>
          <w:p w14:paraId="3C4495B4" w14:textId="77777777" w:rsidR="004463E4" w:rsidRPr="001A4273" w:rsidRDefault="006E0044" w:rsidP="00120E3B">
            <w:pPr>
              <w:spacing w:after="0"/>
              <w:jc w:val="left"/>
              <w:rPr>
                <w:color w:val="auto"/>
                <w:szCs w:val="23"/>
              </w:rPr>
            </w:pPr>
            <w:r w:rsidRPr="001A4273">
              <w:rPr>
                <w:color w:val="auto"/>
                <w:szCs w:val="23"/>
              </w:rPr>
              <w:t>Oct</w:t>
            </w:r>
            <w:r w:rsidR="004463E4" w:rsidRPr="001A4273">
              <w:rPr>
                <w:color w:val="auto"/>
                <w:szCs w:val="23"/>
              </w:rPr>
              <w:t xml:space="preserve"> 2018</w:t>
            </w:r>
          </w:p>
          <w:p w14:paraId="2E3001CB" w14:textId="77777777" w:rsidR="004463E4" w:rsidRPr="001A4273" w:rsidRDefault="004463E4" w:rsidP="00120E3B">
            <w:pPr>
              <w:spacing w:after="0"/>
              <w:jc w:val="left"/>
              <w:rPr>
                <w:color w:val="auto"/>
                <w:szCs w:val="23"/>
              </w:rPr>
            </w:pPr>
          </w:p>
          <w:p w14:paraId="02C1A12A" w14:textId="77777777" w:rsidR="004463E4" w:rsidRPr="001A4273" w:rsidRDefault="004463E4" w:rsidP="00120E3B">
            <w:pPr>
              <w:spacing w:after="0"/>
              <w:jc w:val="left"/>
              <w:rPr>
                <w:color w:val="auto"/>
                <w:szCs w:val="23"/>
              </w:rPr>
            </w:pPr>
          </w:p>
          <w:p w14:paraId="5950889F" w14:textId="77777777" w:rsidR="00CC2B0D" w:rsidRPr="001A4273" w:rsidRDefault="00CC2B0D" w:rsidP="00120E3B">
            <w:pPr>
              <w:spacing w:after="0"/>
              <w:jc w:val="left"/>
              <w:rPr>
                <w:color w:val="auto"/>
                <w:szCs w:val="23"/>
              </w:rPr>
            </w:pPr>
          </w:p>
          <w:p w14:paraId="019616BB" w14:textId="77777777" w:rsidR="004463E4" w:rsidRPr="001A4273" w:rsidRDefault="004463E4" w:rsidP="00120E3B">
            <w:pPr>
              <w:spacing w:after="0"/>
              <w:jc w:val="left"/>
              <w:rPr>
                <w:color w:val="auto"/>
                <w:szCs w:val="23"/>
              </w:rPr>
            </w:pPr>
          </w:p>
          <w:p w14:paraId="75F2BBAD" w14:textId="77777777" w:rsidR="004463E4" w:rsidRPr="001A4273" w:rsidRDefault="004463E4" w:rsidP="00120E3B">
            <w:pPr>
              <w:spacing w:after="0"/>
              <w:jc w:val="left"/>
              <w:rPr>
                <w:color w:val="auto"/>
                <w:szCs w:val="23"/>
              </w:rPr>
            </w:pPr>
            <w:r w:rsidRPr="001A4273">
              <w:rPr>
                <w:color w:val="auto"/>
                <w:szCs w:val="23"/>
              </w:rPr>
              <w:t>Dec 20</w:t>
            </w:r>
            <w:r w:rsidR="00833B97" w:rsidRPr="001A4273">
              <w:rPr>
                <w:color w:val="auto"/>
                <w:szCs w:val="23"/>
              </w:rPr>
              <w:t>19</w:t>
            </w:r>
          </w:p>
          <w:p w14:paraId="7C16E171" w14:textId="77777777" w:rsidR="009C610A" w:rsidRPr="001A4273" w:rsidRDefault="009C610A" w:rsidP="00120E3B">
            <w:pPr>
              <w:spacing w:after="0"/>
              <w:jc w:val="left"/>
              <w:rPr>
                <w:color w:val="auto"/>
                <w:szCs w:val="23"/>
              </w:rPr>
            </w:pPr>
          </w:p>
          <w:p w14:paraId="14D3B28D" w14:textId="77777777" w:rsidR="009C610A" w:rsidRPr="001A4273" w:rsidRDefault="009C610A" w:rsidP="00120E3B">
            <w:pPr>
              <w:spacing w:after="0"/>
              <w:jc w:val="left"/>
              <w:rPr>
                <w:color w:val="auto"/>
                <w:szCs w:val="23"/>
              </w:rPr>
            </w:pPr>
          </w:p>
          <w:p w14:paraId="18758080" w14:textId="77777777" w:rsidR="009C610A" w:rsidRPr="001A4273" w:rsidRDefault="009C610A" w:rsidP="00120E3B">
            <w:pPr>
              <w:spacing w:after="0"/>
              <w:jc w:val="left"/>
              <w:rPr>
                <w:color w:val="auto"/>
                <w:szCs w:val="23"/>
              </w:rPr>
            </w:pPr>
          </w:p>
          <w:p w14:paraId="6ECF6798" w14:textId="77777777" w:rsidR="009C610A" w:rsidRPr="001A4273" w:rsidRDefault="009C610A" w:rsidP="00120E3B">
            <w:pPr>
              <w:spacing w:after="0"/>
              <w:jc w:val="left"/>
              <w:rPr>
                <w:color w:val="auto"/>
                <w:szCs w:val="23"/>
              </w:rPr>
            </w:pPr>
          </w:p>
          <w:p w14:paraId="25C61BCB" w14:textId="77777777" w:rsidR="004463E4" w:rsidRPr="001A4273" w:rsidRDefault="009C610A" w:rsidP="00833B97">
            <w:pPr>
              <w:spacing w:after="0"/>
              <w:jc w:val="left"/>
              <w:rPr>
                <w:color w:val="auto"/>
                <w:szCs w:val="23"/>
              </w:rPr>
            </w:pPr>
            <w:r w:rsidRPr="001A4273">
              <w:rPr>
                <w:color w:val="auto"/>
                <w:szCs w:val="23"/>
              </w:rPr>
              <w:t>20</w:t>
            </w:r>
            <w:r w:rsidR="00833B97" w:rsidRPr="001A4273">
              <w:rPr>
                <w:color w:val="auto"/>
                <w:szCs w:val="23"/>
              </w:rPr>
              <w:t>20</w:t>
            </w:r>
            <w:r w:rsidRPr="001A4273">
              <w:rPr>
                <w:color w:val="auto"/>
                <w:szCs w:val="23"/>
              </w:rPr>
              <w:t xml:space="preserve"> to 2023</w:t>
            </w:r>
          </w:p>
        </w:tc>
      </w:tr>
      <w:tr w:rsidR="00FB5B68" w:rsidRPr="00FB5B68" w14:paraId="2B73B2F2" w14:textId="77777777" w:rsidTr="00A57AC0">
        <w:trPr>
          <w:trHeight w:val="1341"/>
        </w:trPr>
        <w:tc>
          <w:tcPr>
            <w:tcW w:w="2825" w:type="dxa"/>
            <w:tcBorders>
              <w:top w:val="single" w:sz="8" w:space="0" w:color="4F81BD"/>
              <w:left w:val="single" w:sz="8" w:space="0" w:color="4F81BD"/>
              <w:bottom w:val="single" w:sz="8" w:space="0" w:color="4F81BD"/>
              <w:right w:val="single" w:sz="8" w:space="0" w:color="4F81BD"/>
            </w:tcBorders>
          </w:tcPr>
          <w:p w14:paraId="7531D48F" w14:textId="77777777" w:rsidR="00587C70" w:rsidRPr="001A4273" w:rsidRDefault="00587C70" w:rsidP="00B14809">
            <w:pPr>
              <w:spacing w:after="0"/>
              <w:jc w:val="left"/>
              <w:rPr>
                <w:color w:val="auto"/>
                <w:szCs w:val="23"/>
              </w:rPr>
            </w:pPr>
            <w:r w:rsidRPr="004F5264">
              <w:rPr>
                <w:b/>
                <w:color w:val="auto"/>
                <w:szCs w:val="23"/>
              </w:rPr>
              <w:t>Home ownership</w:t>
            </w:r>
            <w:r w:rsidRPr="001A4273">
              <w:rPr>
                <w:color w:val="auto"/>
                <w:szCs w:val="23"/>
              </w:rPr>
              <w:t xml:space="preserve"> includin</w:t>
            </w:r>
            <w:r w:rsidR="00790FF1" w:rsidRPr="001A4273">
              <w:rPr>
                <w:color w:val="auto"/>
                <w:szCs w:val="23"/>
              </w:rPr>
              <w:t>g support for first home buyers</w:t>
            </w:r>
          </w:p>
        </w:tc>
        <w:tc>
          <w:tcPr>
            <w:tcW w:w="5103" w:type="dxa"/>
            <w:tcBorders>
              <w:top w:val="single" w:sz="8" w:space="0" w:color="4F81BD"/>
              <w:left w:val="single" w:sz="8" w:space="0" w:color="4F81BD"/>
              <w:bottom w:val="single" w:sz="8" w:space="0" w:color="4F81BD"/>
              <w:right w:val="single" w:sz="8" w:space="0" w:color="4F81BD"/>
            </w:tcBorders>
          </w:tcPr>
          <w:p w14:paraId="13B4645E" w14:textId="77777777" w:rsidR="00587C70" w:rsidRPr="001A4273" w:rsidRDefault="00A1081A" w:rsidP="00752F37">
            <w:pPr>
              <w:pStyle w:val="ListParagraph"/>
              <w:numPr>
                <w:ilvl w:val="0"/>
                <w:numId w:val="22"/>
              </w:numPr>
              <w:spacing w:after="0"/>
              <w:jc w:val="left"/>
              <w:rPr>
                <w:color w:val="auto"/>
                <w:szCs w:val="23"/>
              </w:rPr>
            </w:pPr>
            <w:r w:rsidRPr="001A4273">
              <w:rPr>
                <w:color w:val="auto"/>
                <w:szCs w:val="23"/>
              </w:rPr>
              <w:t>C</w:t>
            </w:r>
            <w:r w:rsidR="00587C70" w:rsidRPr="001A4273">
              <w:rPr>
                <w:color w:val="auto"/>
                <w:szCs w:val="23"/>
              </w:rPr>
              <w:t>ontinue to support home ownership opportunities through provision of loan products, grants (first home owners and first home owners discount) and concessions such as the ‘HomeBuild Access’ initiative which provides low deposit home ownership opportunities to both first home buyers and non-first home buyers looking to buy or build a new home</w:t>
            </w:r>
          </w:p>
          <w:p w14:paraId="0A7B2BB7" w14:textId="77777777" w:rsidR="00587C70" w:rsidRPr="001A4273" w:rsidRDefault="00587C70" w:rsidP="00752F37">
            <w:pPr>
              <w:pStyle w:val="ListParagraph"/>
              <w:spacing w:after="0"/>
              <w:ind w:left="360"/>
              <w:jc w:val="left"/>
              <w:rPr>
                <w:color w:val="auto"/>
                <w:szCs w:val="23"/>
              </w:rPr>
            </w:pPr>
          </w:p>
        </w:tc>
        <w:tc>
          <w:tcPr>
            <w:tcW w:w="1418" w:type="dxa"/>
            <w:tcBorders>
              <w:top w:val="single" w:sz="8" w:space="0" w:color="4F81BD"/>
              <w:left w:val="single" w:sz="8" w:space="0" w:color="4F81BD"/>
              <w:bottom w:val="single" w:sz="8" w:space="0" w:color="4F81BD"/>
              <w:right w:val="single" w:sz="8" w:space="0" w:color="4F81BD"/>
            </w:tcBorders>
          </w:tcPr>
          <w:p w14:paraId="3248BC7C" w14:textId="77777777" w:rsidR="00587C70" w:rsidRPr="001A4273" w:rsidRDefault="00BF68AC" w:rsidP="00120E3B">
            <w:pPr>
              <w:spacing w:after="0"/>
              <w:jc w:val="left"/>
              <w:rPr>
                <w:color w:val="auto"/>
                <w:szCs w:val="23"/>
              </w:rPr>
            </w:pPr>
            <w:r w:rsidRPr="001A4273">
              <w:rPr>
                <w:color w:val="auto"/>
                <w:szCs w:val="23"/>
              </w:rPr>
              <w:t>2018 to 2023</w:t>
            </w:r>
          </w:p>
        </w:tc>
      </w:tr>
      <w:tr w:rsidR="00375751" w:rsidRPr="00375751" w14:paraId="7967D91D" w14:textId="77777777" w:rsidTr="00A57AC0">
        <w:trPr>
          <w:trHeight w:val="1341"/>
        </w:trPr>
        <w:tc>
          <w:tcPr>
            <w:tcW w:w="2825" w:type="dxa"/>
            <w:tcBorders>
              <w:top w:val="nil"/>
              <w:left w:val="single" w:sz="8" w:space="0" w:color="4F81BD"/>
              <w:bottom w:val="single" w:sz="8" w:space="0" w:color="4F81BD"/>
              <w:right w:val="single" w:sz="8" w:space="0" w:color="4F81BD"/>
            </w:tcBorders>
          </w:tcPr>
          <w:p w14:paraId="10A4B5D9" w14:textId="77777777" w:rsidR="00375751" w:rsidRPr="004F5264" w:rsidRDefault="00375751" w:rsidP="004F5264">
            <w:pPr>
              <w:jc w:val="left"/>
              <w:rPr>
                <w:rFonts w:ascii="Calibri" w:hAnsi="Calibri"/>
                <w:color w:val="000000" w:themeColor="text1"/>
                <w:sz w:val="22"/>
              </w:rPr>
            </w:pPr>
            <w:r w:rsidRPr="004F5264">
              <w:rPr>
                <w:b/>
                <w:bCs/>
                <w:color w:val="000000" w:themeColor="text1"/>
              </w:rPr>
              <w:t>Planning and zoning reform</w:t>
            </w:r>
            <w:r w:rsidRPr="004F5264">
              <w:rPr>
                <w:color w:val="000000" w:themeColor="text1"/>
              </w:rPr>
              <w:t xml:space="preserve"> </w:t>
            </w:r>
            <w:r w:rsidRPr="008A4997">
              <w:rPr>
                <w:b/>
                <w:color w:val="000000" w:themeColor="text1"/>
              </w:rPr>
              <w:t>and initiatives</w:t>
            </w:r>
            <w:r w:rsidR="00B177B0">
              <w:rPr>
                <w:b/>
                <w:color w:val="000000" w:themeColor="text1"/>
              </w:rPr>
              <w:t xml:space="preserve"> </w:t>
            </w:r>
            <w:r w:rsidR="00B177B0" w:rsidRPr="00303690">
              <w:rPr>
                <w:color w:val="000000" w:themeColor="text1"/>
              </w:rPr>
              <w:t>including consideration of inclusionary zoning and land release strategies</w:t>
            </w:r>
          </w:p>
          <w:p w14:paraId="19E107B2" w14:textId="77777777" w:rsidR="00375751" w:rsidRPr="004F5264" w:rsidRDefault="00375751" w:rsidP="00375751">
            <w:pPr>
              <w:rPr>
                <w:color w:val="000000" w:themeColor="text1"/>
              </w:rPr>
            </w:pPr>
          </w:p>
          <w:p w14:paraId="68F1048A" w14:textId="77777777" w:rsidR="00375751" w:rsidRPr="004F5264" w:rsidRDefault="00375751" w:rsidP="00375751">
            <w:pPr>
              <w:rPr>
                <w:color w:val="000000" w:themeColor="text1"/>
              </w:rPr>
            </w:pPr>
          </w:p>
          <w:p w14:paraId="014809EA" w14:textId="77777777" w:rsidR="00375751" w:rsidRPr="004F5264" w:rsidRDefault="00375751" w:rsidP="00375751">
            <w:pPr>
              <w:rPr>
                <w:color w:val="000000" w:themeColor="text1"/>
              </w:rPr>
            </w:pPr>
          </w:p>
          <w:p w14:paraId="43B0F913" w14:textId="77777777" w:rsidR="00375751" w:rsidRPr="004F5264" w:rsidRDefault="00375751" w:rsidP="00375751">
            <w:pPr>
              <w:rPr>
                <w:color w:val="000000" w:themeColor="text1"/>
              </w:rPr>
            </w:pPr>
          </w:p>
          <w:p w14:paraId="7750280A" w14:textId="77777777" w:rsidR="00375751" w:rsidRPr="004F5264" w:rsidRDefault="00375751" w:rsidP="00375751">
            <w:pPr>
              <w:spacing w:after="0"/>
              <w:jc w:val="left"/>
              <w:rPr>
                <w:color w:val="000000" w:themeColor="text1"/>
                <w:szCs w:val="23"/>
              </w:rPr>
            </w:pPr>
          </w:p>
        </w:tc>
        <w:tc>
          <w:tcPr>
            <w:tcW w:w="5103" w:type="dxa"/>
            <w:tcBorders>
              <w:top w:val="nil"/>
              <w:left w:val="nil"/>
              <w:bottom w:val="single" w:sz="8" w:space="0" w:color="4F81BD"/>
              <w:right w:val="single" w:sz="8" w:space="0" w:color="4F81BD"/>
            </w:tcBorders>
          </w:tcPr>
          <w:p w14:paraId="591D00A4" w14:textId="77777777" w:rsidR="00375751" w:rsidRPr="004F5264" w:rsidRDefault="00375751" w:rsidP="00375751">
            <w:pPr>
              <w:pStyle w:val="ListParagraph"/>
              <w:numPr>
                <w:ilvl w:val="0"/>
                <w:numId w:val="27"/>
              </w:numPr>
              <w:spacing w:after="0" w:line="240" w:lineRule="auto"/>
              <w:contextualSpacing w:val="0"/>
              <w:jc w:val="left"/>
              <w:rPr>
                <w:color w:val="auto"/>
                <w:szCs w:val="23"/>
              </w:rPr>
            </w:pPr>
            <w:r w:rsidRPr="004F5264">
              <w:rPr>
                <w:color w:val="auto"/>
                <w:szCs w:val="23"/>
              </w:rPr>
              <w:t xml:space="preserve">Provide increased scope for the provision of affordable housing products through incorporation of </w:t>
            </w:r>
            <w:r w:rsidRPr="007D7125">
              <w:rPr>
                <w:color w:val="auto"/>
                <w:szCs w:val="23"/>
              </w:rPr>
              <w:t xml:space="preserve">a </w:t>
            </w:r>
            <w:r w:rsidR="00955CF2" w:rsidRPr="007D7125">
              <w:rPr>
                <w:color w:val="auto"/>
                <w:szCs w:val="23"/>
              </w:rPr>
              <w:t>flexible</w:t>
            </w:r>
            <w:r w:rsidRPr="007D7125">
              <w:rPr>
                <w:color w:val="auto"/>
                <w:szCs w:val="23"/>
              </w:rPr>
              <w:t xml:space="preserve"> approach </w:t>
            </w:r>
            <w:r w:rsidRPr="004F5264">
              <w:rPr>
                <w:color w:val="auto"/>
                <w:szCs w:val="23"/>
              </w:rPr>
              <w:t>to zoning, including through the use of Specific Use Zones in the NT Planning Scheme</w:t>
            </w:r>
          </w:p>
          <w:p w14:paraId="48AE7AE7" w14:textId="77777777" w:rsidR="00375751" w:rsidRPr="004F5264" w:rsidRDefault="00375751" w:rsidP="00375751">
            <w:pPr>
              <w:pStyle w:val="ListParagraph"/>
              <w:ind w:left="360"/>
              <w:rPr>
                <w:color w:val="auto"/>
                <w:szCs w:val="23"/>
              </w:rPr>
            </w:pPr>
          </w:p>
          <w:p w14:paraId="68ADDC43" w14:textId="77777777" w:rsidR="00375751" w:rsidRPr="004F5264" w:rsidRDefault="00375751" w:rsidP="00375751">
            <w:pPr>
              <w:pStyle w:val="ListParagraph"/>
              <w:numPr>
                <w:ilvl w:val="0"/>
                <w:numId w:val="27"/>
              </w:numPr>
              <w:spacing w:after="0" w:line="240" w:lineRule="auto"/>
              <w:contextualSpacing w:val="0"/>
              <w:jc w:val="left"/>
              <w:rPr>
                <w:color w:val="auto"/>
                <w:szCs w:val="23"/>
              </w:rPr>
            </w:pPr>
            <w:r w:rsidRPr="004F5264">
              <w:rPr>
                <w:color w:val="auto"/>
                <w:szCs w:val="23"/>
              </w:rPr>
              <w:t xml:space="preserve">Facilitate land release in remote </w:t>
            </w:r>
            <w:r w:rsidR="00955CF2">
              <w:rPr>
                <w:color w:val="auto"/>
                <w:szCs w:val="23"/>
              </w:rPr>
              <w:t>A</w:t>
            </w:r>
            <w:r w:rsidRPr="004F5264">
              <w:rPr>
                <w:color w:val="auto"/>
                <w:szCs w:val="23"/>
              </w:rPr>
              <w:t xml:space="preserve">boriginal communities through extension of the exemption under the </w:t>
            </w:r>
            <w:r w:rsidRPr="004F5264">
              <w:rPr>
                <w:i/>
                <w:color w:val="auto"/>
                <w:szCs w:val="23"/>
              </w:rPr>
              <w:t>Planning Act</w:t>
            </w:r>
            <w:r w:rsidRPr="004F5264">
              <w:rPr>
                <w:color w:val="auto"/>
                <w:szCs w:val="23"/>
              </w:rPr>
              <w:t xml:space="preserve"> (Regulation 3A) which removes the need for subdivision approval for development associated with the $1.1 billion remote housing program</w:t>
            </w:r>
          </w:p>
          <w:p w14:paraId="70E7E934" w14:textId="77777777" w:rsidR="00375751" w:rsidRPr="004F5264" w:rsidRDefault="00375751" w:rsidP="00375751">
            <w:pPr>
              <w:pStyle w:val="ListParagraph"/>
              <w:rPr>
                <w:color w:val="auto"/>
                <w:szCs w:val="23"/>
              </w:rPr>
            </w:pPr>
          </w:p>
          <w:p w14:paraId="0BEA5B31" w14:textId="77777777" w:rsidR="00375751" w:rsidRPr="004F5264" w:rsidRDefault="00375751" w:rsidP="00375751">
            <w:pPr>
              <w:pStyle w:val="ListParagraph"/>
              <w:numPr>
                <w:ilvl w:val="0"/>
                <w:numId w:val="27"/>
              </w:numPr>
              <w:spacing w:after="0" w:line="240" w:lineRule="auto"/>
              <w:contextualSpacing w:val="0"/>
              <w:jc w:val="left"/>
              <w:rPr>
                <w:color w:val="auto"/>
                <w:szCs w:val="23"/>
              </w:rPr>
            </w:pPr>
            <w:r w:rsidRPr="004F5264">
              <w:rPr>
                <w:color w:val="auto"/>
                <w:szCs w:val="23"/>
              </w:rPr>
              <w:t xml:space="preserve">Implement changes to improve planning approval processes in the NT in line with Government’s planning reform initiative </w:t>
            </w:r>
            <w:r w:rsidR="001C1D77">
              <w:rPr>
                <w:color w:val="auto"/>
                <w:szCs w:val="23"/>
              </w:rPr>
              <w:t>–</w:t>
            </w:r>
            <w:r w:rsidRPr="004F5264">
              <w:rPr>
                <w:color w:val="auto"/>
                <w:szCs w:val="23"/>
              </w:rPr>
              <w:t xml:space="preserve"> </w:t>
            </w:r>
            <w:r w:rsidR="001C1D77">
              <w:rPr>
                <w:color w:val="auto"/>
                <w:szCs w:val="23"/>
              </w:rPr>
              <w:t>‘</w:t>
            </w:r>
            <w:r w:rsidRPr="004F5264">
              <w:rPr>
                <w:color w:val="auto"/>
                <w:szCs w:val="23"/>
              </w:rPr>
              <w:t>Review, Reframe, Renew and the Phase I Priority Reform Paper</w:t>
            </w:r>
            <w:r w:rsidR="001C1D77">
              <w:rPr>
                <w:color w:val="auto"/>
                <w:szCs w:val="23"/>
              </w:rPr>
              <w:t>’</w:t>
            </w:r>
          </w:p>
          <w:p w14:paraId="38B91E79" w14:textId="77777777" w:rsidR="00375751" w:rsidRPr="004F5264" w:rsidRDefault="00375751" w:rsidP="00375751">
            <w:pPr>
              <w:pStyle w:val="ListParagraph"/>
              <w:spacing w:after="0"/>
              <w:ind w:left="360"/>
              <w:jc w:val="left"/>
              <w:rPr>
                <w:color w:val="000000" w:themeColor="text1"/>
                <w:szCs w:val="23"/>
              </w:rPr>
            </w:pPr>
          </w:p>
        </w:tc>
        <w:tc>
          <w:tcPr>
            <w:tcW w:w="1418" w:type="dxa"/>
            <w:tcBorders>
              <w:top w:val="nil"/>
              <w:left w:val="nil"/>
              <w:bottom w:val="single" w:sz="8" w:space="0" w:color="4F81BD"/>
              <w:right w:val="single" w:sz="8" w:space="0" w:color="4F81BD"/>
            </w:tcBorders>
          </w:tcPr>
          <w:p w14:paraId="30D2E039" w14:textId="77777777" w:rsidR="00375751" w:rsidRPr="004F5264" w:rsidRDefault="00375751" w:rsidP="004F5264">
            <w:pPr>
              <w:spacing w:after="0"/>
              <w:jc w:val="left"/>
              <w:rPr>
                <w:color w:val="auto"/>
                <w:szCs w:val="23"/>
              </w:rPr>
            </w:pPr>
            <w:r w:rsidRPr="004F5264">
              <w:rPr>
                <w:color w:val="auto"/>
                <w:szCs w:val="23"/>
              </w:rPr>
              <w:t>Ongoing</w:t>
            </w:r>
          </w:p>
          <w:p w14:paraId="24F0C380" w14:textId="77777777" w:rsidR="00375751" w:rsidRPr="004F5264" w:rsidRDefault="00375751" w:rsidP="004F5264">
            <w:pPr>
              <w:spacing w:after="0"/>
              <w:jc w:val="left"/>
              <w:rPr>
                <w:color w:val="auto"/>
                <w:szCs w:val="23"/>
              </w:rPr>
            </w:pPr>
          </w:p>
          <w:p w14:paraId="4388C258" w14:textId="77777777" w:rsidR="00375751" w:rsidRDefault="00375751" w:rsidP="004F5264">
            <w:pPr>
              <w:spacing w:after="0"/>
              <w:jc w:val="left"/>
              <w:rPr>
                <w:color w:val="auto"/>
                <w:szCs w:val="23"/>
              </w:rPr>
            </w:pPr>
          </w:p>
          <w:p w14:paraId="70947053" w14:textId="77777777" w:rsidR="00375751" w:rsidRDefault="00375751" w:rsidP="004F5264">
            <w:pPr>
              <w:spacing w:after="0"/>
              <w:jc w:val="left"/>
              <w:rPr>
                <w:color w:val="auto"/>
                <w:szCs w:val="23"/>
              </w:rPr>
            </w:pPr>
          </w:p>
          <w:p w14:paraId="09A60F80" w14:textId="77777777" w:rsidR="001C1D77" w:rsidRDefault="001C1D77" w:rsidP="004F5264">
            <w:pPr>
              <w:spacing w:after="0"/>
              <w:jc w:val="left"/>
              <w:rPr>
                <w:color w:val="auto"/>
                <w:szCs w:val="23"/>
              </w:rPr>
            </w:pPr>
          </w:p>
          <w:p w14:paraId="42AD51D4" w14:textId="77777777" w:rsidR="000950B1" w:rsidRDefault="000950B1" w:rsidP="004F5264">
            <w:pPr>
              <w:spacing w:after="0"/>
              <w:jc w:val="left"/>
              <w:rPr>
                <w:color w:val="auto"/>
                <w:sz w:val="28"/>
                <w:szCs w:val="23"/>
              </w:rPr>
            </w:pPr>
          </w:p>
          <w:p w14:paraId="0E2911ED" w14:textId="77777777" w:rsidR="002728CB" w:rsidRDefault="002728CB" w:rsidP="004F5264">
            <w:pPr>
              <w:spacing w:after="0"/>
              <w:jc w:val="left"/>
              <w:rPr>
                <w:color w:val="auto"/>
                <w:szCs w:val="23"/>
              </w:rPr>
            </w:pPr>
          </w:p>
          <w:p w14:paraId="58A177C1" w14:textId="77777777" w:rsidR="00375751" w:rsidRPr="004F5264" w:rsidRDefault="00375751" w:rsidP="004F5264">
            <w:pPr>
              <w:spacing w:after="0"/>
              <w:jc w:val="left"/>
              <w:rPr>
                <w:color w:val="auto"/>
                <w:szCs w:val="23"/>
              </w:rPr>
            </w:pPr>
            <w:r w:rsidRPr="004F5264">
              <w:rPr>
                <w:color w:val="auto"/>
                <w:szCs w:val="23"/>
              </w:rPr>
              <w:t xml:space="preserve">2018-2023 </w:t>
            </w:r>
          </w:p>
          <w:p w14:paraId="457C0BF7" w14:textId="77777777" w:rsidR="001C1D77" w:rsidRDefault="001C1D77" w:rsidP="00375751">
            <w:pPr>
              <w:spacing w:after="0"/>
              <w:jc w:val="left"/>
              <w:rPr>
                <w:color w:val="auto"/>
                <w:szCs w:val="23"/>
              </w:rPr>
            </w:pPr>
          </w:p>
          <w:p w14:paraId="42E3EF4D" w14:textId="77777777" w:rsidR="001C1D77" w:rsidRDefault="001C1D77" w:rsidP="00375751">
            <w:pPr>
              <w:spacing w:after="0"/>
              <w:jc w:val="left"/>
              <w:rPr>
                <w:color w:val="auto"/>
                <w:szCs w:val="23"/>
              </w:rPr>
            </w:pPr>
          </w:p>
          <w:p w14:paraId="3D603E61" w14:textId="77777777" w:rsidR="00955CF2" w:rsidRDefault="00955CF2" w:rsidP="00375751">
            <w:pPr>
              <w:spacing w:after="0"/>
              <w:jc w:val="left"/>
              <w:rPr>
                <w:color w:val="auto"/>
                <w:szCs w:val="23"/>
              </w:rPr>
            </w:pPr>
          </w:p>
          <w:p w14:paraId="3045EE2C" w14:textId="77777777" w:rsidR="00955CF2" w:rsidRDefault="00955CF2" w:rsidP="00375751">
            <w:pPr>
              <w:spacing w:after="0"/>
              <w:jc w:val="left"/>
              <w:rPr>
                <w:color w:val="auto"/>
                <w:szCs w:val="23"/>
              </w:rPr>
            </w:pPr>
          </w:p>
          <w:p w14:paraId="05CEED26" w14:textId="77777777" w:rsidR="00955CF2" w:rsidRDefault="00955CF2" w:rsidP="00375751">
            <w:pPr>
              <w:spacing w:after="0"/>
              <w:jc w:val="left"/>
              <w:rPr>
                <w:color w:val="auto"/>
                <w:szCs w:val="23"/>
              </w:rPr>
            </w:pPr>
          </w:p>
          <w:p w14:paraId="6E6C7224" w14:textId="77777777" w:rsidR="00955CF2" w:rsidRDefault="00955CF2" w:rsidP="00375751">
            <w:pPr>
              <w:spacing w:after="0"/>
              <w:jc w:val="left"/>
              <w:rPr>
                <w:color w:val="auto"/>
                <w:szCs w:val="23"/>
              </w:rPr>
            </w:pPr>
          </w:p>
          <w:p w14:paraId="5163B6C7" w14:textId="77777777" w:rsidR="00375751" w:rsidRPr="004F5264" w:rsidRDefault="00375751" w:rsidP="00375751">
            <w:pPr>
              <w:spacing w:after="0"/>
              <w:jc w:val="left"/>
              <w:rPr>
                <w:color w:val="000000" w:themeColor="text1"/>
                <w:szCs w:val="23"/>
              </w:rPr>
            </w:pPr>
            <w:r w:rsidRPr="004F5264">
              <w:rPr>
                <w:color w:val="auto"/>
                <w:szCs w:val="23"/>
              </w:rPr>
              <w:t>2018-2021</w:t>
            </w:r>
          </w:p>
        </w:tc>
      </w:tr>
    </w:tbl>
    <w:p w14:paraId="20013229" w14:textId="77777777" w:rsidR="0066121B" w:rsidRDefault="0066121B">
      <w:pPr>
        <w:spacing w:after="200" w:line="276" w:lineRule="auto"/>
        <w:jc w:val="left"/>
        <w:rPr>
          <w:rFonts w:ascii="Consolas" w:hAnsi="Consolas" w:cs="Arial"/>
          <w:bCs/>
          <w:caps/>
          <w:color w:val="3D4B67"/>
          <w:kern w:val="32"/>
          <w:sz w:val="32"/>
          <w:szCs w:val="36"/>
        </w:rPr>
      </w:pPr>
      <w:r>
        <w:br w:type="page"/>
      </w:r>
    </w:p>
    <w:p w14:paraId="68EE15B3" w14:textId="77777777" w:rsidR="003E00B6" w:rsidRPr="003915DC" w:rsidRDefault="003E00B6" w:rsidP="003E00B6">
      <w:pPr>
        <w:pStyle w:val="Heading1"/>
      </w:pPr>
      <w:r w:rsidRPr="003915DC">
        <w:lastRenderedPageBreak/>
        <w:t xml:space="preserve">Part 3 – </w:t>
      </w:r>
      <w:r w:rsidR="00BA5244" w:rsidRPr="003915DC">
        <w:t>northern territory</w:t>
      </w:r>
      <w:r w:rsidRPr="003915DC">
        <w:t xml:space="preserve"> homelessness strategy</w:t>
      </w:r>
    </w:p>
    <w:p w14:paraId="10C366D2" w14:textId="77777777" w:rsidR="00DA0D2D" w:rsidRPr="000F2DB8" w:rsidRDefault="00DA0D2D" w:rsidP="009466A1">
      <w:pPr>
        <w:pStyle w:val="ListParagraph"/>
        <w:numPr>
          <w:ilvl w:val="0"/>
          <w:numId w:val="1"/>
        </w:numPr>
        <w:jc w:val="left"/>
        <w:rPr>
          <w:rFonts w:eastAsiaTheme="minorHAnsi" w:cstheme="minorBidi"/>
          <w:color w:val="auto"/>
          <w:szCs w:val="22"/>
          <w:lang w:eastAsia="en-US"/>
        </w:rPr>
      </w:pPr>
      <w:bookmarkStart w:id="5" w:name="PART_4:_PROJECT_MILESTONES,_REPORTING_AN"/>
      <w:bookmarkEnd w:id="5"/>
      <w:r w:rsidRPr="00D45C48">
        <w:t>With respect to the requirement to have a ho</w:t>
      </w:r>
      <w:r>
        <w:t xml:space="preserve">melessness </w:t>
      </w:r>
      <w:r w:rsidRPr="00D45C48">
        <w:t xml:space="preserve">strategy, as outlined </w:t>
      </w:r>
      <w:r>
        <w:t xml:space="preserve">in clause 17 of the Agreement, the Northern Territory </w:t>
      </w:r>
      <w:r w:rsidRPr="00D45C48">
        <w:t xml:space="preserve">is developing and will have a new strategy in place and publicly available by </w:t>
      </w:r>
      <w:r>
        <w:t xml:space="preserve">31 December 2018. </w:t>
      </w:r>
      <w:r w:rsidRPr="00D45C48">
        <w:t xml:space="preserve">The period from 1 July 2018 to </w:t>
      </w:r>
      <w:r>
        <w:t>31 December 2018</w:t>
      </w:r>
      <w:r w:rsidRPr="00D45C48">
        <w:t xml:space="preserve"> is a period prescribed for the purposes of sub-clause 18(e) of the Agreement for which it is not reasonably practicable for </w:t>
      </w:r>
      <w:r>
        <w:t>the Northern Territory</w:t>
      </w:r>
      <w:r w:rsidRPr="00D45C48">
        <w:t xml:space="preserve"> to have a publicly available strategy</w:t>
      </w:r>
      <w:r>
        <w:t>.</w:t>
      </w:r>
    </w:p>
    <w:p w14:paraId="334C4442" w14:textId="77777777" w:rsidR="00DA0D2D" w:rsidRDefault="00DA0D2D" w:rsidP="009466A1">
      <w:pPr>
        <w:pStyle w:val="ListParagraph"/>
        <w:ind w:left="567"/>
        <w:jc w:val="left"/>
        <w:rPr>
          <w:rFonts w:eastAsiaTheme="minorHAnsi" w:cstheme="minorBidi"/>
          <w:color w:val="auto"/>
          <w:szCs w:val="22"/>
          <w:lang w:eastAsia="en-US"/>
        </w:rPr>
      </w:pPr>
    </w:p>
    <w:p w14:paraId="0FE353C6" w14:textId="77777777" w:rsidR="00023A94" w:rsidRPr="001A4273" w:rsidRDefault="00023A94" w:rsidP="009466A1">
      <w:pPr>
        <w:pStyle w:val="ListParagraph"/>
        <w:numPr>
          <w:ilvl w:val="0"/>
          <w:numId w:val="1"/>
        </w:numPr>
        <w:jc w:val="left"/>
        <w:rPr>
          <w:rFonts w:eastAsiaTheme="minorHAnsi" w:cstheme="minorBidi"/>
          <w:color w:val="auto"/>
          <w:szCs w:val="22"/>
          <w:lang w:eastAsia="en-US"/>
        </w:rPr>
      </w:pPr>
      <w:r w:rsidRPr="001A4273">
        <w:rPr>
          <w:rFonts w:eastAsiaTheme="minorHAnsi" w:cstheme="minorBidi"/>
          <w:color w:val="auto"/>
          <w:szCs w:val="22"/>
          <w:lang w:eastAsia="en-US"/>
        </w:rPr>
        <w:t>The table below includes details of the Northern Territory’s homelessness priorities, policies and initiatives that supplement Northern Territory’s homelessness strategy as per clause 19 of the Agreement.</w:t>
      </w:r>
    </w:p>
    <w:p w14:paraId="1F118476" w14:textId="77777777" w:rsidR="004842D4" w:rsidRPr="0066121B" w:rsidRDefault="00831730" w:rsidP="00E82F66">
      <w:pPr>
        <w:pStyle w:val="ListParagraph"/>
        <w:spacing w:after="0"/>
        <w:ind w:left="567"/>
        <w:jc w:val="left"/>
        <w:rPr>
          <w:color w:val="auto"/>
        </w:rPr>
      </w:pPr>
      <w:r w:rsidRPr="00561E13">
        <w:rPr>
          <w:rFonts w:eastAsiaTheme="minorHAnsi" w:cstheme="minorBidi"/>
          <w:color w:val="0070C0"/>
          <w:szCs w:val="22"/>
          <w:lang w:eastAsia="en-US"/>
        </w:rPr>
        <w:t xml:space="preserve"> </w:t>
      </w:r>
    </w:p>
    <w:tbl>
      <w:tblPr>
        <w:tblW w:w="94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050"/>
        <w:gridCol w:w="6020"/>
        <w:gridCol w:w="1375"/>
      </w:tblGrid>
      <w:tr w:rsidR="00986AAE" w:rsidRPr="00A90D63" w14:paraId="1F63E1E2" w14:textId="77777777" w:rsidTr="00986AAE">
        <w:trPr>
          <w:trHeight w:val="487"/>
        </w:trPr>
        <w:tc>
          <w:tcPr>
            <w:tcW w:w="2050" w:type="dxa"/>
            <w:tcBorders>
              <w:top w:val="single" w:sz="8" w:space="0" w:color="4F81BD"/>
              <w:left w:val="single" w:sz="8" w:space="0" w:color="4F81BD"/>
              <w:bottom w:val="single" w:sz="8" w:space="0" w:color="4F81BD"/>
              <w:right w:val="single" w:sz="8" w:space="0" w:color="4F81BD"/>
            </w:tcBorders>
            <w:shd w:val="clear" w:color="auto" w:fill="DBE5F1"/>
          </w:tcPr>
          <w:p w14:paraId="7E1358D0" w14:textId="77777777" w:rsidR="00986AAE" w:rsidRPr="001A4273" w:rsidRDefault="00986AAE" w:rsidP="00AC70C2">
            <w:pPr>
              <w:keepNext/>
              <w:spacing w:after="0" w:line="240" w:lineRule="auto"/>
              <w:jc w:val="left"/>
              <w:outlineLvl w:val="1"/>
              <w:rPr>
                <w:rFonts w:cs="Arial"/>
                <w:b/>
                <w:iCs/>
                <w:color w:val="auto"/>
                <w:szCs w:val="23"/>
              </w:rPr>
            </w:pPr>
            <w:r w:rsidRPr="001A4273">
              <w:rPr>
                <w:rFonts w:cs="Arial"/>
                <w:b/>
                <w:iCs/>
                <w:color w:val="auto"/>
                <w:szCs w:val="23"/>
              </w:rPr>
              <w:t xml:space="preserve">National Priority Homeless Cohorts </w:t>
            </w:r>
          </w:p>
        </w:tc>
        <w:tc>
          <w:tcPr>
            <w:tcW w:w="6020" w:type="dxa"/>
            <w:tcBorders>
              <w:top w:val="single" w:sz="8" w:space="0" w:color="4F81BD"/>
              <w:left w:val="single" w:sz="8" w:space="0" w:color="4F81BD"/>
              <w:bottom w:val="single" w:sz="8" w:space="0" w:color="4F81BD"/>
              <w:right w:val="single" w:sz="8" w:space="0" w:color="4F81BD"/>
            </w:tcBorders>
            <w:shd w:val="clear" w:color="auto" w:fill="DBE5F1"/>
          </w:tcPr>
          <w:p w14:paraId="47431B5F" w14:textId="77777777" w:rsidR="00986AAE" w:rsidRPr="001A4273" w:rsidRDefault="00986AAE" w:rsidP="00AC70C2">
            <w:pPr>
              <w:keepNext/>
              <w:spacing w:after="0" w:line="240" w:lineRule="auto"/>
              <w:jc w:val="left"/>
              <w:outlineLvl w:val="1"/>
              <w:rPr>
                <w:rFonts w:cs="Arial"/>
                <w:b/>
                <w:iCs/>
                <w:color w:val="auto"/>
                <w:szCs w:val="23"/>
              </w:rPr>
            </w:pPr>
            <w:r w:rsidRPr="001A4273">
              <w:rPr>
                <w:rFonts w:cs="Arial"/>
                <w:b/>
                <w:iCs/>
                <w:color w:val="auto"/>
                <w:szCs w:val="23"/>
              </w:rPr>
              <w:t>Northern Territory Initiatives</w:t>
            </w:r>
          </w:p>
        </w:tc>
        <w:tc>
          <w:tcPr>
            <w:tcW w:w="1375" w:type="dxa"/>
            <w:tcBorders>
              <w:top w:val="single" w:sz="8" w:space="0" w:color="4F81BD"/>
              <w:left w:val="single" w:sz="8" w:space="0" w:color="4F81BD"/>
              <w:bottom w:val="single" w:sz="8" w:space="0" w:color="4F81BD"/>
              <w:right w:val="single" w:sz="8" w:space="0" w:color="4F81BD"/>
            </w:tcBorders>
            <w:shd w:val="clear" w:color="auto" w:fill="DBE5F1"/>
          </w:tcPr>
          <w:p w14:paraId="747DF66E" w14:textId="77777777" w:rsidR="00986AAE" w:rsidRPr="001A4273" w:rsidRDefault="00986AAE" w:rsidP="00AC70C2">
            <w:pPr>
              <w:keepNext/>
              <w:spacing w:after="0" w:line="240" w:lineRule="auto"/>
              <w:jc w:val="left"/>
              <w:outlineLvl w:val="1"/>
              <w:rPr>
                <w:rFonts w:cs="Arial"/>
                <w:b/>
                <w:iCs/>
                <w:color w:val="auto"/>
                <w:szCs w:val="23"/>
              </w:rPr>
            </w:pPr>
            <w:r w:rsidRPr="001A4273">
              <w:rPr>
                <w:rFonts w:cs="Arial"/>
                <w:b/>
                <w:iCs/>
                <w:color w:val="auto"/>
                <w:szCs w:val="23"/>
              </w:rPr>
              <w:t>Indicative timeframe</w:t>
            </w:r>
          </w:p>
        </w:tc>
      </w:tr>
      <w:tr w:rsidR="00986AAE" w:rsidRPr="00A90D63" w14:paraId="7BE5FCF0" w14:textId="77777777" w:rsidTr="00AC70C2">
        <w:trPr>
          <w:trHeight w:val="973"/>
        </w:trPr>
        <w:tc>
          <w:tcPr>
            <w:tcW w:w="2050" w:type="dxa"/>
            <w:tcBorders>
              <w:top w:val="single" w:sz="8" w:space="0" w:color="4F81BD"/>
              <w:left w:val="single" w:sz="8" w:space="0" w:color="4F81BD"/>
              <w:bottom w:val="single" w:sz="8" w:space="0" w:color="4F81BD"/>
              <w:right w:val="single" w:sz="8" w:space="0" w:color="4F81BD"/>
            </w:tcBorders>
          </w:tcPr>
          <w:p w14:paraId="55DD619C" w14:textId="77777777" w:rsidR="00986AAE" w:rsidRPr="001A4273" w:rsidRDefault="00986AAE" w:rsidP="00AC70C2">
            <w:pPr>
              <w:spacing w:after="0"/>
              <w:contextualSpacing/>
              <w:jc w:val="left"/>
              <w:rPr>
                <w:color w:val="auto"/>
              </w:rPr>
            </w:pPr>
            <w:r w:rsidRPr="001A4273">
              <w:rPr>
                <w:color w:val="auto"/>
              </w:rPr>
              <w:t>Women and children affected by family and domestic violence</w:t>
            </w:r>
          </w:p>
          <w:p w14:paraId="28F67497" w14:textId="77777777" w:rsidR="00986AAE" w:rsidRPr="001A4273" w:rsidRDefault="00986AAE" w:rsidP="00AC70C2">
            <w:pPr>
              <w:contextualSpacing/>
              <w:jc w:val="left"/>
              <w:rPr>
                <w:b/>
                <w:color w:val="auto"/>
              </w:rPr>
            </w:pPr>
          </w:p>
          <w:p w14:paraId="11E3934F" w14:textId="77777777" w:rsidR="00986AAE" w:rsidRPr="001A4273" w:rsidRDefault="00986AAE" w:rsidP="00AC70C2">
            <w:pPr>
              <w:contextualSpacing/>
              <w:jc w:val="left"/>
              <w:rPr>
                <w:b/>
                <w:color w:val="auto"/>
              </w:rPr>
            </w:pPr>
          </w:p>
          <w:p w14:paraId="6296F7FE" w14:textId="77777777" w:rsidR="00986AAE" w:rsidRPr="001A4273" w:rsidRDefault="00986AAE" w:rsidP="00AC70C2">
            <w:pPr>
              <w:contextualSpacing/>
              <w:jc w:val="left"/>
              <w:rPr>
                <w:b/>
                <w:color w:val="auto"/>
              </w:rPr>
            </w:pPr>
          </w:p>
        </w:tc>
        <w:tc>
          <w:tcPr>
            <w:tcW w:w="6020" w:type="dxa"/>
            <w:tcBorders>
              <w:top w:val="single" w:sz="8" w:space="0" w:color="4F81BD"/>
              <w:left w:val="single" w:sz="8" w:space="0" w:color="4F81BD"/>
              <w:bottom w:val="single" w:sz="8" w:space="0" w:color="4F81BD"/>
              <w:right w:val="single" w:sz="8" w:space="0" w:color="4F81BD"/>
            </w:tcBorders>
          </w:tcPr>
          <w:p w14:paraId="54B4B140" w14:textId="77777777" w:rsidR="00986AAE" w:rsidRPr="001A4273" w:rsidRDefault="00986AAE" w:rsidP="00AC70C2">
            <w:pPr>
              <w:contextualSpacing/>
              <w:jc w:val="left"/>
              <w:rPr>
                <w:color w:val="auto"/>
              </w:rPr>
            </w:pPr>
            <w:r w:rsidRPr="001A4273">
              <w:rPr>
                <w:color w:val="auto"/>
              </w:rPr>
              <w:t>NT initiatives will include a focus on:</w:t>
            </w:r>
          </w:p>
          <w:p w14:paraId="3300C642" w14:textId="77777777" w:rsidR="00986AAE" w:rsidRPr="001A4273" w:rsidRDefault="00986AAE" w:rsidP="00AC70C2">
            <w:pPr>
              <w:ind w:left="360"/>
              <w:contextualSpacing/>
              <w:jc w:val="left"/>
              <w:rPr>
                <w:color w:val="auto"/>
                <w:sz w:val="12"/>
              </w:rPr>
            </w:pPr>
          </w:p>
          <w:p w14:paraId="3FC29BEE" w14:textId="77777777" w:rsidR="00986AAE" w:rsidRPr="001A4273" w:rsidRDefault="00986AAE" w:rsidP="00C12191">
            <w:pPr>
              <w:numPr>
                <w:ilvl w:val="0"/>
                <w:numId w:val="10"/>
              </w:numPr>
              <w:contextualSpacing/>
              <w:jc w:val="left"/>
              <w:rPr>
                <w:color w:val="auto"/>
              </w:rPr>
            </w:pPr>
            <w:r w:rsidRPr="001A4273">
              <w:rPr>
                <w:color w:val="auto"/>
              </w:rPr>
              <w:t>A range of accommodation options (i.e. short-term, medium-term and crisis accommodation) for women and children affected by domestic and family violence</w:t>
            </w:r>
          </w:p>
          <w:p w14:paraId="27E4DE04" w14:textId="77777777" w:rsidR="00986AAE" w:rsidRPr="001A4273" w:rsidRDefault="00986AAE" w:rsidP="00AC70C2">
            <w:pPr>
              <w:ind w:left="360"/>
              <w:contextualSpacing/>
              <w:jc w:val="left"/>
              <w:rPr>
                <w:color w:val="auto"/>
              </w:rPr>
            </w:pPr>
          </w:p>
          <w:p w14:paraId="12261027" w14:textId="77777777" w:rsidR="00986AAE" w:rsidRPr="001A4273" w:rsidRDefault="00986AAE" w:rsidP="00C12191">
            <w:pPr>
              <w:numPr>
                <w:ilvl w:val="0"/>
                <w:numId w:val="10"/>
              </w:numPr>
              <w:contextualSpacing/>
              <w:jc w:val="left"/>
              <w:rPr>
                <w:color w:val="auto"/>
              </w:rPr>
            </w:pPr>
            <w:r w:rsidRPr="001A4273">
              <w:rPr>
                <w:color w:val="auto"/>
              </w:rPr>
              <w:t xml:space="preserve">Support services to assist women and children to access, retain and transition into independent and long term accommodation  </w:t>
            </w:r>
          </w:p>
          <w:p w14:paraId="594673B2" w14:textId="77777777" w:rsidR="00986AAE" w:rsidRPr="001A4273" w:rsidRDefault="00986AAE" w:rsidP="00AC70C2">
            <w:pPr>
              <w:contextualSpacing/>
              <w:jc w:val="left"/>
              <w:rPr>
                <w:color w:val="auto"/>
              </w:rPr>
            </w:pPr>
          </w:p>
        </w:tc>
        <w:tc>
          <w:tcPr>
            <w:tcW w:w="1375" w:type="dxa"/>
            <w:tcBorders>
              <w:top w:val="single" w:sz="8" w:space="0" w:color="4F81BD"/>
              <w:left w:val="single" w:sz="8" w:space="0" w:color="4F81BD"/>
              <w:bottom w:val="single" w:sz="8" w:space="0" w:color="4F81BD"/>
              <w:right w:val="single" w:sz="8" w:space="0" w:color="4F81BD"/>
            </w:tcBorders>
          </w:tcPr>
          <w:p w14:paraId="7ED15119" w14:textId="77777777" w:rsidR="00986AAE" w:rsidRPr="001A4273" w:rsidRDefault="00986AAE" w:rsidP="00AC70C2">
            <w:pPr>
              <w:spacing w:after="0" w:line="240" w:lineRule="auto"/>
              <w:jc w:val="left"/>
              <w:rPr>
                <w:color w:val="auto"/>
              </w:rPr>
            </w:pPr>
            <w:r w:rsidRPr="001A4273">
              <w:rPr>
                <w:color w:val="auto"/>
              </w:rPr>
              <w:t>All initiatives 2018 to 2023</w:t>
            </w:r>
          </w:p>
          <w:p w14:paraId="3F211954" w14:textId="77777777" w:rsidR="00986AAE" w:rsidRPr="001A4273" w:rsidRDefault="00986AAE" w:rsidP="00AC70C2">
            <w:pPr>
              <w:spacing w:after="0" w:line="240" w:lineRule="auto"/>
              <w:jc w:val="left"/>
              <w:rPr>
                <w:color w:val="auto"/>
              </w:rPr>
            </w:pPr>
          </w:p>
          <w:p w14:paraId="73D57EE8" w14:textId="77777777" w:rsidR="00986AAE" w:rsidRPr="001A4273" w:rsidRDefault="00986AAE" w:rsidP="00AC70C2">
            <w:pPr>
              <w:spacing w:after="0" w:line="240" w:lineRule="auto"/>
              <w:jc w:val="left"/>
              <w:rPr>
                <w:color w:val="auto"/>
              </w:rPr>
            </w:pPr>
          </w:p>
          <w:p w14:paraId="607290DA" w14:textId="77777777" w:rsidR="00986AAE" w:rsidRPr="001A4273" w:rsidRDefault="00986AAE" w:rsidP="00AC70C2">
            <w:pPr>
              <w:spacing w:after="0" w:line="240" w:lineRule="auto"/>
              <w:jc w:val="left"/>
              <w:rPr>
                <w:color w:val="auto"/>
              </w:rPr>
            </w:pPr>
          </w:p>
          <w:p w14:paraId="262BDDBA" w14:textId="77777777" w:rsidR="00986AAE" w:rsidRPr="001A4273" w:rsidRDefault="00986AAE" w:rsidP="00AC70C2">
            <w:pPr>
              <w:spacing w:after="0" w:line="240" w:lineRule="auto"/>
              <w:jc w:val="left"/>
              <w:rPr>
                <w:color w:val="auto"/>
              </w:rPr>
            </w:pPr>
          </w:p>
        </w:tc>
      </w:tr>
      <w:tr w:rsidR="00986AAE" w:rsidRPr="00A90D63" w14:paraId="593BA97C" w14:textId="77777777" w:rsidTr="00AC70C2">
        <w:trPr>
          <w:trHeight w:val="973"/>
        </w:trPr>
        <w:tc>
          <w:tcPr>
            <w:tcW w:w="2050" w:type="dxa"/>
            <w:tcBorders>
              <w:top w:val="single" w:sz="8" w:space="0" w:color="4F81BD"/>
              <w:left w:val="single" w:sz="8" w:space="0" w:color="4F81BD"/>
              <w:bottom w:val="single" w:sz="8" w:space="0" w:color="4F81BD"/>
              <w:right w:val="single" w:sz="8" w:space="0" w:color="4F81BD"/>
            </w:tcBorders>
          </w:tcPr>
          <w:p w14:paraId="41257142" w14:textId="77777777" w:rsidR="00986AAE" w:rsidRPr="001A4273" w:rsidRDefault="00986AAE" w:rsidP="00AC70C2">
            <w:pPr>
              <w:spacing w:after="0"/>
              <w:contextualSpacing/>
              <w:jc w:val="left"/>
              <w:rPr>
                <w:color w:val="auto"/>
              </w:rPr>
            </w:pPr>
            <w:r w:rsidRPr="001A4273">
              <w:rPr>
                <w:color w:val="auto"/>
              </w:rPr>
              <w:t>Children and young people</w:t>
            </w:r>
          </w:p>
          <w:p w14:paraId="5476C45F" w14:textId="77777777" w:rsidR="00986AAE" w:rsidRPr="001A4273" w:rsidRDefault="00986AAE" w:rsidP="00AC70C2">
            <w:pPr>
              <w:ind w:left="360"/>
              <w:contextualSpacing/>
              <w:jc w:val="left"/>
              <w:rPr>
                <w:b/>
                <w:color w:val="auto"/>
              </w:rPr>
            </w:pPr>
          </w:p>
        </w:tc>
        <w:tc>
          <w:tcPr>
            <w:tcW w:w="6020" w:type="dxa"/>
            <w:tcBorders>
              <w:top w:val="single" w:sz="8" w:space="0" w:color="4F81BD"/>
              <w:left w:val="single" w:sz="8" w:space="0" w:color="4F81BD"/>
              <w:bottom w:val="single" w:sz="8" w:space="0" w:color="4F81BD"/>
              <w:right w:val="single" w:sz="8" w:space="0" w:color="4F81BD"/>
            </w:tcBorders>
          </w:tcPr>
          <w:p w14:paraId="6B5850B8" w14:textId="77777777" w:rsidR="00986AAE" w:rsidRPr="001A4273" w:rsidRDefault="00986AAE" w:rsidP="00AC70C2">
            <w:pPr>
              <w:contextualSpacing/>
              <w:jc w:val="left"/>
              <w:rPr>
                <w:color w:val="auto"/>
              </w:rPr>
            </w:pPr>
            <w:r w:rsidRPr="001A4273">
              <w:rPr>
                <w:color w:val="auto"/>
              </w:rPr>
              <w:t>NT initiatives will include a focus on:</w:t>
            </w:r>
          </w:p>
          <w:p w14:paraId="361D8560" w14:textId="77777777" w:rsidR="00986AAE" w:rsidRPr="001A4273" w:rsidRDefault="00986AAE" w:rsidP="00AC70C2">
            <w:pPr>
              <w:contextualSpacing/>
              <w:jc w:val="left"/>
              <w:rPr>
                <w:color w:val="auto"/>
              </w:rPr>
            </w:pPr>
          </w:p>
          <w:p w14:paraId="25928852" w14:textId="77777777" w:rsidR="00986AAE" w:rsidRPr="001A4273" w:rsidRDefault="00986AAE" w:rsidP="00C12191">
            <w:pPr>
              <w:numPr>
                <w:ilvl w:val="0"/>
                <w:numId w:val="10"/>
              </w:numPr>
              <w:contextualSpacing/>
              <w:jc w:val="left"/>
              <w:rPr>
                <w:color w:val="auto"/>
              </w:rPr>
            </w:pPr>
            <w:r w:rsidRPr="001A4273">
              <w:rPr>
                <w:color w:val="auto"/>
              </w:rPr>
              <w:t xml:space="preserve">A range of accommodation options (i.e. short term, medium term and crisis accommodation) for young people and families  </w:t>
            </w:r>
          </w:p>
          <w:p w14:paraId="01848078" w14:textId="77777777" w:rsidR="00986AAE" w:rsidRPr="001A4273" w:rsidRDefault="00986AAE" w:rsidP="00AC70C2">
            <w:pPr>
              <w:ind w:left="360"/>
              <w:contextualSpacing/>
              <w:jc w:val="left"/>
              <w:rPr>
                <w:color w:val="auto"/>
              </w:rPr>
            </w:pPr>
          </w:p>
          <w:p w14:paraId="5341246E" w14:textId="77777777" w:rsidR="00986AAE" w:rsidRPr="001A4273" w:rsidRDefault="00986AAE" w:rsidP="00C12191">
            <w:pPr>
              <w:numPr>
                <w:ilvl w:val="0"/>
                <w:numId w:val="10"/>
              </w:numPr>
              <w:contextualSpacing/>
              <w:jc w:val="left"/>
              <w:rPr>
                <w:color w:val="auto"/>
              </w:rPr>
            </w:pPr>
            <w:r w:rsidRPr="001A4273">
              <w:rPr>
                <w:color w:val="auto"/>
              </w:rPr>
              <w:t>Support services that helps establish family connections / or peer support networks, build capacity for independent living, and increase level of engagement in education, training, employment and community life</w:t>
            </w:r>
          </w:p>
          <w:p w14:paraId="051F6995" w14:textId="77777777" w:rsidR="00986AAE" w:rsidRPr="001A4273" w:rsidRDefault="00986AAE" w:rsidP="00AC70C2">
            <w:pPr>
              <w:contextualSpacing/>
              <w:jc w:val="left"/>
              <w:rPr>
                <w:color w:val="auto"/>
              </w:rPr>
            </w:pPr>
          </w:p>
          <w:p w14:paraId="21221B00" w14:textId="77777777" w:rsidR="00986AAE" w:rsidRPr="001A4273" w:rsidRDefault="00986AAE" w:rsidP="00C12191">
            <w:pPr>
              <w:numPr>
                <w:ilvl w:val="0"/>
                <w:numId w:val="10"/>
              </w:numPr>
              <w:contextualSpacing/>
              <w:jc w:val="left"/>
              <w:rPr>
                <w:color w:val="auto"/>
              </w:rPr>
            </w:pPr>
            <w:r w:rsidRPr="001A4273">
              <w:rPr>
                <w:color w:val="auto"/>
              </w:rPr>
              <w:t xml:space="preserve">Intensive case management, counselling, referrals and support for young people and families to avert homelessness  </w:t>
            </w:r>
          </w:p>
          <w:p w14:paraId="3472865F" w14:textId="77777777" w:rsidR="00986AAE" w:rsidRPr="001A4273" w:rsidRDefault="00986AAE" w:rsidP="00AC70C2">
            <w:pPr>
              <w:contextualSpacing/>
              <w:jc w:val="left"/>
              <w:rPr>
                <w:color w:val="auto"/>
              </w:rPr>
            </w:pPr>
          </w:p>
        </w:tc>
        <w:tc>
          <w:tcPr>
            <w:tcW w:w="1375" w:type="dxa"/>
            <w:tcBorders>
              <w:top w:val="single" w:sz="8" w:space="0" w:color="4F81BD"/>
              <w:left w:val="single" w:sz="8" w:space="0" w:color="4F81BD"/>
              <w:bottom w:val="single" w:sz="8" w:space="0" w:color="4F81BD"/>
              <w:right w:val="single" w:sz="8" w:space="0" w:color="4F81BD"/>
            </w:tcBorders>
          </w:tcPr>
          <w:p w14:paraId="2899CD45" w14:textId="77777777" w:rsidR="00986AAE" w:rsidRPr="001A4273" w:rsidRDefault="00986AAE" w:rsidP="00AC70C2">
            <w:pPr>
              <w:contextualSpacing/>
              <w:jc w:val="left"/>
              <w:rPr>
                <w:color w:val="auto"/>
              </w:rPr>
            </w:pPr>
            <w:r w:rsidRPr="001A4273">
              <w:rPr>
                <w:color w:val="auto"/>
              </w:rPr>
              <w:t>All initiatives 2018 to 2023</w:t>
            </w:r>
          </w:p>
          <w:p w14:paraId="2F6492FB" w14:textId="77777777" w:rsidR="00986AAE" w:rsidRPr="001A4273" w:rsidRDefault="00986AAE" w:rsidP="00AC70C2">
            <w:pPr>
              <w:contextualSpacing/>
              <w:jc w:val="left"/>
              <w:rPr>
                <w:color w:val="auto"/>
              </w:rPr>
            </w:pPr>
          </w:p>
          <w:p w14:paraId="40676287" w14:textId="77777777" w:rsidR="00986AAE" w:rsidRPr="001A4273" w:rsidRDefault="00986AAE" w:rsidP="00AC70C2">
            <w:pPr>
              <w:contextualSpacing/>
              <w:jc w:val="left"/>
              <w:rPr>
                <w:color w:val="auto"/>
              </w:rPr>
            </w:pPr>
          </w:p>
        </w:tc>
      </w:tr>
      <w:tr w:rsidR="00986AAE" w:rsidRPr="00A90D63" w14:paraId="70B593F5" w14:textId="77777777" w:rsidTr="00AC70C2">
        <w:trPr>
          <w:trHeight w:val="973"/>
        </w:trPr>
        <w:tc>
          <w:tcPr>
            <w:tcW w:w="2050" w:type="dxa"/>
            <w:tcBorders>
              <w:top w:val="single" w:sz="8" w:space="0" w:color="4F81BD"/>
              <w:left w:val="single" w:sz="8" w:space="0" w:color="4F81BD"/>
              <w:bottom w:val="single" w:sz="8" w:space="0" w:color="4F81BD"/>
              <w:right w:val="single" w:sz="8" w:space="0" w:color="4F81BD"/>
            </w:tcBorders>
          </w:tcPr>
          <w:p w14:paraId="60E1EF15" w14:textId="77777777" w:rsidR="00986AAE" w:rsidRPr="001A4273" w:rsidRDefault="00986AAE" w:rsidP="00AC70C2">
            <w:pPr>
              <w:spacing w:after="0"/>
              <w:contextualSpacing/>
              <w:jc w:val="left"/>
              <w:rPr>
                <w:color w:val="auto"/>
              </w:rPr>
            </w:pPr>
            <w:r w:rsidRPr="001A4273">
              <w:rPr>
                <w:color w:val="auto"/>
              </w:rPr>
              <w:t>Indigenous Australians</w:t>
            </w:r>
          </w:p>
          <w:p w14:paraId="569DEE31" w14:textId="77777777" w:rsidR="00986AAE" w:rsidRPr="001A4273" w:rsidRDefault="00986AAE" w:rsidP="00AC70C2">
            <w:pPr>
              <w:ind w:left="360"/>
              <w:contextualSpacing/>
              <w:jc w:val="left"/>
              <w:rPr>
                <w:b/>
                <w:color w:val="auto"/>
              </w:rPr>
            </w:pPr>
          </w:p>
        </w:tc>
        <w:tc>
          <w:tcPr>
            <w:tcW w:w="6020" w:type="dxa"/>
            <w:tcBorders>
              <w:top w:val="single" w:sz="8" w:space="0" w:color="4F81BD"/>
              <w:left w:val="single" w:sz="8" w:space="0" w:color="4F81BD"/>
              <w:bottom w:val="single" w:sz="8" w:space="0" w:color="4F81BD"/>
              <w:right w:val="single" w:sz="8" w:space="0" w:color="4F81BD"/>
            </w:tcBorders>
          </w:tcPr>
          <w:p w14:paraId="03C7A76B" w14:textId="77777777" w:rsidR="00986AAE" w:rsidRPr="001A4273" w:rsidRDefault="00986AAE" w:rsidP="00AC70C2">
            <w:pPr>
              <w:contextualSpacing/>
              <w:jc w:val="left"/>
              <w:rPr>
                <w:color w:val="auto"/>
              </w:rPr>
            </w:pPr>
            <w:r w:rsidRPr="001A4273">
              <w:rPr>
                <w:color w:val="auto"/>
              </w:rPr>
              <w:t xml:space="preserve">The majority of NT initiatives </w:t>
            </w:r>
            <w:r w:rsidR="003B070B" w:rsidRPr="001A4273">
              <w:rPr>
                <w:color w:val="auto"/>
              </w:rPr>
              <w:t>are accessible to</w:t>
            </w:r>
            <w:r w:rsidRPr="001A4273">
              <w:rPr>
                <w:color w:val="auto"/>
              </w:rPr>
              <w:t xml:space="preserve"> Indigenous Australians. </w:t>
            </w:r>
          </w:p>
          <w:p w14:paraId="1D6E70A4" w14:textId="77777777" w:rsidR="00986AAE" w:rsidRPr="001A4273" w:rsidRDefault="00986AAE" w:rsidP="00AC70C2">
            <w:pPr>
              <w:contextualSpacing/>
              <w:jc w:val="left"/>
              <w:rPr>
                <w:color w:val="auto"/>
              </w:rPr>
            </w:pPr>
          </w:p>
          <w:p w14:paraId="30E402F8" w14:textId="77777777" w:rsidR="00986AAE" w:rsidRPr="001A4273" w:rsidRDefault="00986AAE" w:rsidP="00AC70C2">
            <w:pPr>
              <w:contextualSpacing/>
              <w:jc w:val="left"/>
              <w:rPr>
                <w:color w:val="auto"/>
              </w:rPr>
            </w:pPr>
            <w:r w:rsidRPr="001A4273">
              <w:rPr>
                <w:color w:val="auto"/>
              </w:rPr>
              <w:t>NT initiatives will include a focus on:</w:t>
            </w:r>
          </w:p>
          <w:p w14:paraId="3652B132" w14:textId="77777777" w:rsidR="00986AAE" w:rsidRPr="001A4273" w:rsidRDefault="00986AAE" w:rsidP="00AC70C2">
            <w:pPr>
              <w:contextualSpacing/>
              <w:jc w:val="left"/>
              <w:rPr>
                <w:color w:val="auto"/>
              </w:rPr>
            </w:pPr>
          </w:p>
          <w:p w14:paraId="1D64A17C" w14:textId="77777777" w:rsidR="00986AAE" w:rsidRPr="001A4273" w:rsidRDefault="00986AAE" w:rsidP="00C12191">
            <w:pPr>
              <w:numPr>
                <w:ilvl w:val="0"/>
                <w:numId w:val="10"/>
              </w:numPr>
              <w:contextualSpacing/>
              <w:jc w:val="left"/>
              <w:rPr>
                <w:color w:val="auto"/>
              </w:rPr>
            </w:pPr>
            <w:r w:rsidRPr="001A4273">
              <w:rPr>
                <w:color w:val="auto"/>
              </w:rPr>
              <w:t xml:space="preserve">Accommodation and support services that are culturally appropriate and meet the needs of individuals and families </w:t>
            </w:r>
          </w:p>
          <w:p w14:paraId="3893CF1D" w14:textId="77777777" w:rsidR="00986AAE" w:rsidRPr="001A4273" w:rsidRDefault="00986AAE" w:rsidP="00AC70C2">
            <w:pPr>
              <w:ind w:left="360"/>
              <w:contextualSpacing/>
              <w:jc w:val="left"/>
              <w:rPr>
                <w:color w:val="auto"/>
              </w:rPr>
            </w:pPr>
          </w:p>
          <w:p w14:paraId="197D66CD" w14:textId="77777777" w:rsidR="00986AAE" w:rsidRPr="001A4273" w:rsidRDefault="00986AAE" w:rsidP="00C12191">
            <w:pPr>
              <w:numPr>
                <w:ilvl w:val="0"/>
                <w:numId w:val="10"/>
              </w:numPr>
              <w:contextualSpacing/>
              <w:jc w:val="left"/>
              <w:rPr>
                <w:color w:val="auto"/>
              </w:rPr>
            </w:pPr>
            <w:r w:rsidRPr="001A4273">
              <w:rPr>
                <w:color w:val="auto"/>
              </w:rPr>
              <w:t>Support services with the aim to successfully transition from rough sleeping to stable accommodation through case management and wrap around support</w:t>
            </w:r>
          </w:p>
          <w:p w14:paraId="7ADD8316" w14:textId="77777777" w:rsidR="00986AAE" w:rsidRPr="001A4273" w:rsidRDefault="00986AAE" w:rsidP="00AC70C2">
            <w:pPr>
              <w:ind w:left="360"/>
              <w:contextualSpacing/>
              <w:jc w:val="left"/>
              <w:rPr>
                <w:color w:val="auto"/>
              </w:rPr>
            </w:pPr>
          </w:p>
          <w:p w14:paraId="1EFAE12C" w14:textId="77777777" w:rsidR="00986AAE" w:rsidRPr="001A4273" w:rsidRDefault="00986AAE" w:rsidP="00C12191">
            <w:pPr>
              <w:numPr>
                <w:ilvl w:val="0"/>
                <w:numId w:val="10"/>
              </w:numPr>
              <w:contextualSpacing/>
              <w:jc w:val="left"/>
              <w:rPr>
                <w:color w:val="auto"/>
              </w:rPr>
            </w:pPr>
            <w:r w:rsidRPr="001A4273">
              <w:rPr>
                <w:color w:val="auto"/>
              </w:rPr>
              <w:lastRenderedPageBreak/>
              <w:t>Support services for people living in accommodation where their tenancies may be at risk</w:t>
            </w:r>
          </w:p>
          <w:p w14:paraId="199D2A55" w14:textId="77777777" w:rsidR="00986AAE" w:rsidRPr="001A4273" w:rsidRDefault="00986AAE" w:rsidP="00AC70C2">
            <w:pPr>
              <w:ind w:left="360"/>
              <w:contextualSpacing/>
              <w:jc w:val="left"/>
              <w:rPr>
                <w:color w:val="auto"/>
              </w:rPr>
            </w:pPr>
          </w:p>
        </w:tc>
        <w:tc>
          <w:tcPr>
            <w:tcW w:w="1375" w:type="dxa"/>
            <w:tcBorders>
              <w:top w:val="single" w:sz="8" w:space="0" w:color="4F81BD"/>
              <w:left w:val="single" w:sz="8" w:space="0" w:color="4F81BD"/>
              <w:bottom w:val="single" w:sz="8" w:space="0" w:color="4F81BD"/>
              <w:right w:val="single" w:sz="8" w:space="0" w:color="4F81BD"/>
            </w:tcBorders>
          </w:tcPr>
          <w:p w14:paraId="3D6DAE16" w14:textId="77777777" w:rsidR="00986AAE" w:rsidRPr="001A4273" w:rsidRDefault="00986AAE" w:rsidP="00AC70C2">
            <w:pPr>
              <w:contextualSpacing/>
              <w:jc w:val="left"/>
              <w:rPr>
                <w:color w:val="auto"/>
              </w:rPr>
            </w:pPr>
            <w:r w:rsidRPr="001A4273">
              <w:rPr>
                <w:color w:val="auto"/>
              </w:rPr>
              <w:lastRenderedPageBreak/>
              <w:t>All initiatives 2018 to 2023</w:t>
            </w:r>
          </w:p>
          <w:p w14:paraId="33BC461A" w14:textId="77777777" w:rsidR="00986AAE" w:rsidRPr="001A4273" w:rsidRDefault="00986AAE" w:rsidP="00AC70C2">
            <w:pPr>
              <w:contextualSpacing/>
              <w:jc w:val="left"/>
              <w:rPr>
                <w:color w:val="auto"/>
              </w:rPr>
            </w:pPr>
          </w:p>
          <w:p w14:paraId="58DA318E" w14:textId="77777777" w:rsidR="00986AAE" w:rsidRPr="001A4273" w:rsidRDefault="00986AAE" w:rsidP="00AC70C2">
            <w:pPr>
              <w:contextualSpacing/>
              <w:jc w:val="left"/>
              <w:rPr>
                <w:color w:val="auto"/>
              </w:rPr>
            </w:pPr>
          </w:p>
          <w:p w14:paraId="45ABF3D2" w14:textId="77777777" w:rsidR="00986AAE" w:rsidRPr="001A4273" w:rsidRDefault="00986AAE" w:rsidP="00AC70C2">
            <w:pPr>
              <w:contextualSpacing/>
              <w:jc w:val="left"/>
              <w:rPr>
                <w:color w:val="auto"/>
              </w:rPr>
            </w:pPr>
          </w:p>
        </w:tc>
      </w:tr>
      <w:tr w:rsidR="00986AAE" w:rsidRPr="00A90D63" w14:paraId="06176CF3" w14:textId="77777777" w:rsidTr="00AC70C2">
        <w:trPr>
          <w:trHeight w:val="973"/>
        </w:trPr>
        <w:tc>
          <w:tcPr>
            <w:tcW w:w="2050" w:type="dxa"/>
            <w:tcBorders>
              <w:top w:val="single" w:sz="8" w:space="0" w:color="4F81BD"/>
              <w:left w:val="single" w:sz="8" w:space="0" w:color="4F81BD"/>
              <w:bottom w:val="single" w:sz="8" w:space="0" w:color="4F81BD"/>
              <w:right w:val="single" w:sz="8" w:space="0" w:color="4F81BD"/>
            </w:tcBorders>
          </w:tcPr>
          <w:p w14:paraId="00FA0196" w14:textId="77777777" w:rsidR="00986AAE" w:rsidRPr="001A4273" w:rsidRDefault="00986AAE" w:rsidP="00AC70C2">
            <w:pPr>
              <w:spacing w:after="0"/>
              <w:contextualSpacing/>
              <w:jc w:val="left"/>
              <w:rPr>
                <w:color w:val="auto"/>
              </w:rPr>
            </w:pPr>
            <w:r w:rsidRPr="001A4273">
              <w:rPr>
                <w:color w:val="auto"/>
              </w:rPr>
              <w:lastRenderedPageBreak/>
              <w:t>People experiencing repeat homelessness</w:t>
            </w:r>
          </w:p>
          <w:p w14:paraId="121B9A68" w14:textId="77777777" w:rsidR="00986AAE" w:rsidRPr="001A4273" w:rsidRDefault="00986AAE" w:rsidP="00AC70C2">
            <w:pPr>
              <w:ind w:left="360"/>
              <w:contextualSpacing/>
              <w:jc w:val="left"/>
              <w:rPr>
                <w:b/>
                <w:color w:val="auto"/>
              </w:rPr>
            </w:pPr>
          </w:p>
        </w:tc>
        <w:tc>
          <w:tcPr>
            <w:tcW w:w="6020" w:type="dxa"/>
            <w:tcBorders>
              <w:top w:val="single" w:sz="8" w:space="0" w:color="4F81BD"/>
              <w:left w:val="single" w:sz="8" w:space="0" w:color="4F81BD"/>
              <w:bottom w:val="single" w:sz="8" w:space="0" w:color="4F81BD"/>
              <w:right w:val="single" w:sz="8" w:space="0" w:color="4F81BD"/>
            </w:tcBorders>
          </w:tcPr>
          <w:p w14:paraId="47FF4320" w14:textId="77777777" w:rsidR="00986AAE" w:rsidRPr="001A4273" w:rsidRDefault="00986AAE" w:rsidP="00AC70C2">
            <w:pPr>
              <w:jc w:val="left"/>
              <w:rPr>
                <w:color w:val="auto"/>
              </w:rPr>
            </w:pPr>
            <w:r w:rsidRPr="001A4273">
              <w:rPr>
                <w:color w:val="auto"/>
              </w:rPr>
              <w:t>NT initiatives will include a focus on:</w:t>
            </w:r>
          </w:p>
          <w:p w14:paraId="26BF0293" w14:textId="77777777" w:rsidR="00986AAE" w:rsidRPr="001A4273" w:rsidRDefault="00986AAE" w:rsidP="00C12191">
            <w:pPr>
              <w:pStyle w:val="ListParagraph"/>
              <w:numPr>
                <w:ilvl w:val="0"/>
                <w:numId w:val="10"/>
              </w:numPr>
              <w:spacing w:after="160" w:line="259" w:lineRule="auto"/>
              <w:jc w:val="left"/>
              <w:rPr>
                <w:color w:val="auto"/>
              </w:rPr>
            </w:pPr>
            <w:r w:rsidRPr="001A4273">
              <w:rPr>
                <w:color w:val="auto"/>
              </w:rPr>
              <w:t xml:space="preserve">Support services for people living in accommodation where their tenancies may be at risk (i.e. including in public or private housing, and alternative accommodation) </w:t>
            </w:r>
          </w:p>
          <w:p w14:paraId="08D27867" w14:textId="77777777" w:rsidR="00986AAE" w:rsidRPr="001A4273" w:rsidRDefault="00986AAE" w:rsidP="00B14809">
            <w:pPr>
              <w:numPr>
                <w:ilvl w:val="0"/>
                <w:numId w:val="10"/>
              </w:numPr>
              <w:contextualSpacing/>
              <w:jc w:val="left"/>
              <w:rPr>
                <w:color w:val="auto"/>
              </w:rPr>
            </w:pPr>
            <w:r w:rsidRPr="001A4273">
              <w:rPr>
                <w:color w:val="auto"/>
              </w:rPr>
              <w:t xml:space="preserve">Supporting residents to transition into long term housing </w:t>
            </w:r>
          </w:p>
          <w:p w14:paraId="0D61C756" w14:textId="77777777" w:rsidR="00986AAE" w:rsidRPr="001A4273" w:rsidRDefault="00986AAE" w:rsidP="00AC70C2">
            <w:pPr>
              <w:ind w:left="360"/>
              <w:contextualSpacing/>
              <w:jc w:val="left"/>
              <w:rPr>
                <w:color w:val="auto"/>
              </w:rPr>
            </w:pPr>
          </w:p>
          <w:p w14:paraId="7B28DF64" w14:textId="77777777" w:rsidR="00986AAE" w:rsidRPr="001A4273" w:rsidRDefault="00986AAE" w:rsidP="00C12191">
            <w:pPr>
              <w:numPr>
                <w:ilvl w:val="0"/>
                <w:numId w:val="10"/>
              </w:numPr>
              <w:contextualSpacing/>
              <w:jc w:val="left"/>
              <w:rPr>
                <w:color w:val="auto"/>
              </w:rPr>
            </w:pPr>
            <w:r w:rsidRPr="001A4273">
              <w:rPr>
                <w:color w:val="auto"/>
              </w:rPr>
              <w:t xml:space="preserve">Intensive case management, counselling, referrals and support for young people and families to avert homelessness  </w:t>
            </w:r>
          </w:p>
          <w:p w14:paraId="6A0F0586" w14:textId="77777777" w:rsidR="00986AAE" w:rsidRPr="001A4273" w:rsidRDefault="00986AAE" w:rsidP="00AC70C2">
            <w:pPr>
              <w:ind w:left="360"/>
              <w:contextualSpacing/>
              <w:jc w:val="left"/>
              <w:rPr>
                <w:color w:val="auto"/>
              </w:rPr>
            </w:pPr>
          </w:p>
          <w:p w14:paraId="5D53CBCE" w14:textId="77777777" w:rsidR="00986AAE" w:rsidRPr="001A4273" w:rsidRDefault="00986AAE" w:rsidP="00C12191">
            <w:pPr>
              <w:numPr>
                <w:ilvl w:val="0"/>
                <w:numId w:val="10"/>
              </w:numPr>
              <w:contextualSpacing/>
              <w:jc w:val="left"/>
              <w:rPr>
                <w:color w:val="auto"/>
              </w:rPr>
            </w:pPr>
            <w:r w:rsidRPr="001A4273">
              <w:rPr>
                <w:color w:val="auto"/>
              </w:rPr>
              <w:t xml:space="preserve">No Interest Loans Scheme for those on low incomes to obtain no interest loans for essential housing items </w:t>
            </w:r>
          </w:p>
          <w:p w14:paraId="72BE8DC7" w14:textId="77777777" w:rsidR="00986AAE" w:rsidRPr="001A4273" w:rsidRDefault="00986AAE" w:rsidP="00AC70C2">
            <w:pPr>
              <w:contextualSpacing/>
              <w:jc w:val="left"/>
              <w:rPr>
                <w:color w:val="auto"/>
              </w:rPr>
            </w:pPr>
          </w:p>
        </w:tc>
        <w:tc>
          <w:tcPr>
            <w:tcW w:w="1375" w:type="dxa"/>
            <w:tcBorders>
              <w:top w:val="single" w:sz="8" w:space="0" w:color="4F81BD"/>
              <w:left w:val="single" w:sz="8" w:space="0" w:color="4F81BD"/>
              <w:bottom w:val="single" w:sz="8" w:space="0" w:color="4F81BD"/>
              <w:right w:val="single" w:sz="8" w:space="0" w:color="4F81BD"/>
            </w:tcBorders>
          </w:tcPr>
          <w:p w14:paraId="1351F35F" w14:textId="77777777" w:rsidR="00986AAE" w:rsidRPr="001A4273" w:rsidRDefault="00986AAE" w:rsidP="00AC70C2">
            <w:pPr>
              <w:contextualSpacing/>
              <w:jc w:val="left"/>
              <w:rPr>
                <w:color w:val="auto"/>
              </w:rPr>
            </w:pPr>
            <w:r w:rsidRPr="001A4273">
              <w:rPr>
                <w:color w:val="auto"/>
              </w:rPr>
              <w:t>All initiatives 2018 to 2023</w:t>
            </w:r>
          </w:p>
          <w:p w14:paraId="49F24287" w14:textId="77777777" w:rsidR="00986AAE" w:rsidRPr="001A4273" w:rsidRDefault="00986AAE" w:rsidP="00AC70C2">
            <w:pPr>
              <w:contextualSpacing/>
              <w:jc w:val="left"/>
              <w:rPr>
                <w:color w:val="auto"/>
              </w:rPr>
            </w:pPr>
          </w:p>
          <w:p w14:paraId="6DEF05AA" w14:textId="77777777" w:rsidR="00986AAE" w:rsidRPr="001A4273" w:rsidRDefault="00986AAE" w:rsidP="00AC70C2">
            <w:pPr>
              <w:contextualSpacing/>
              <w:jc w:val="left"/>
              <w:rPr>
                <w:color w:val="auto"/>
              </w:rPr>
            </w:pPr>
          </w:p>
          <w:p w14:paraId="05B935AF" w14:textId="77777777" w:rsidR="00986AAE" w:rsidRPr="001A4273" w:rsidRDefault="00986AAE" w:rsidP="00AC70C2">
            <w:pPr>
              <w:contextualSpacing/>
              <w:jc w:val="left"/>
              <w:rPr>
                <w:color w:val="auto"/>
              </w:rPr>
            </w:pPr>
          </w:p>
          <w:p w14:paraId="2D4D35D8" w14:textId="77777777" w:rsidR="00986AAE" w:rsidRPr="001A4273" w:rsidRDefault="00986AAE" w:rsidP="00AC70C2">
            <w:pPr>
              <w:contextualSpacing/>
              <w:jc w:val="left"/>
              <w:rPr>
                <w:color w:val="auto"/>
              </w:rPr>
            </w:pPr>
          </w:p>
        </w:tc>
      </w:tr>
      <w:tr w:rsidR="00986AAE" w:rsidRPr="00A90D63" w14:paraId="75639FB3" w14:textId="77777777" w:rsidTr="00AC70C2">
        <w:trPr>
          <w:trHeight w:val="973"/>
        </w:trPr>
        <w:tc>
          <w:tcPr>
            <w:tcW w:w="2050" w:type="dxa"/>
            <w:tcBorders>
              <w:top w:val="single" w:sz="8" w:space="0" w:color="4F81BD"/>
              <w:left w:val="single" w:sz="8" w:space="0" w:color="4F81BD"/>
              <w:bottom w:val="single" w:sz="8" w:space="0" w:color="4F81BD"/>
              <w:right w:val="single" w:sz="8" w:space="0" w:color="4F81BD"/>
            </w:tcBorders>
          </w:tcPr>
          <w:p w14:paraId="4BBB52B6" w14:textId="77777777" w:rsidR="00986AAE" w:rsidRPr="001A4273" w:rsidRDefault="00986AAE" w:rsidP="00AC70C2">
            <w:pPr>
              <w:spacing w:after="0"/>
              <w:contextualSpacing/>
              <w:jc w:val="left"/>
              <w:rPr>
                <w:color w:val="auto"/>
              </w:rPr>
            </w:pPr>
            <w:r w:rsidRPr="001A4273">
              <w:rPr>
                <w:color w:val="auto"/>
              </w:rPr>
              <w:t>People currently exiting institutions and care into homelessness</w:t>
            </w:r>
          </w:p>
          <w:p w14:paraId="6C60DEF0" w14:textId="77777777" w:rsidR="00986AAE" w:rsidRPr="001A4273" w:rsidRDefault="00986AAE" w:rsidP="00AC70C2">
            <w:pPr>
              <w:ind w:left="360"/>
              <w:contextualSpacing/>
              <w:jc w:val="left"/>
              <w:rPr>
                <w:b/>
                <w:color w:val="auto"/>
              </w:rPr>
            </w:pPr>
          </w:p>
        </w:tc>
        <w:tc>
          <w:tcPr>
            <w:tcW w:w="6020" w:type="dxa"/>
            <w:tcBorders>
              <w:top w:val="single" w:sz="8" w:space="0" w:color="4F81BD"/>
              <w:left w:val="single" w:sz="8" w:space="0" w:color="4F81BD"/>
              <w:bottom w:val="single" w:sz="8" w:space="0" w:color="4F81BD"/>
              <w:right w:val="single" w:sz="8" w:space="0" w:color="4F81BD"/>
            </w:tcBorders>
          </w:tcPr>
          <w:p w14:paraId="5B55A0AF" w14:textId="77777777" w:rsidR="00986AAE" w:rsidRPr="001A4273" w:rsidRDefault="00986AAE" w:rsidP="00AC70C2">
            <w:pPr>
              <w:contextualSpacing/>
              <w:jc w:val="left"/>
              <w:rPr>
                <w:color w:val="auto"/>
              </w:rPr>
            </w:pPr>
            <w:r w:rsidRPr="001A4273">
              <w:rPr>
                <w:color w:val="auto"/>
              </w:rPr>
              <w:t>NT initiatives will include a focus on:</w:t>
            </w:r>
          </w:p>
          <w:p w14:paraId="7F025162" w14:textId="77777777" w:rsidR="00986AAE" w:rsidRPr="001A4273" w:rsidRDefault="00986AAE" w:rsidP="00AC70C2">
            <w:pPr>
              <w:ind w:left="360"/>
              <w:contextualSpacing/>
              <w:jc w:val="left"/>
              <w:rPr>
                <w:color w:val="auto"/>
              </w:rPr>
            </w:pPr>
          </w:p>
          <w:p w14:paraId="16F90774" w14:textId="77777777" w:rsidR="00986AAE" w:rsidRPr="001A4273" w:rsidRDefault="00986AAE" w:rsidP="00C12191">
            <w:pPr>
              <w:numPr>
                <w:ilvl w:val="0"/>
                <w:numId w:val="10"/>
              </w:numPr>
              <w:contextualSpacing/>
              <w:jc w:val="left"/>
              <w:rPr>
                <w:color w:val="auto"/>
              </w:rPr>
            </w:pPr>
            <w:r w:rsidRPr="001A4273">
              <w:rPr>
                <w:color w:val="auto"/>
              </w:rPr>
              <w:t>Assisting to gain skills to maintain and sustain independent tenancies</w:t>
            </w:r>
          </w:p>
          <w:p w14:paraId="6A9FA15D" w14:textId="77777777" w:rsidR="00986AAE" w:rsidRPr="001A4273" w:rsidRDefault="00986AAE" w:rsidP="00AC70C2">
            <w:pPr>
              <w:ind w:left="360"/>
              <w:contextualSpacing/>
              <w:jc w:val="left"/>
              <w:rPr>
                <w:color w:val="auto"/>
              </w:rPr>
            </w:pPr>
          </w:p>
          <w:p w14:paraId="08FE5DC8" w14:textId="77777777" w:rsidR="00986AAE" w:rsidRPr="001A4273" w:rsidRDefault="00986AAE" w:rsidP="00C12191">
            <w:pPr>
              <w:numPr>
                <w:ilvl w:val="0"/>
                <w:numId w:val="10"/>
              </w:numPr>
              <w:contextualSpacing/>
              <w:jc w:val="left"/>
              <w:rPr>
                <w:color w:val="auto"/>
              </w:rPr>
            </w:pPr>
            <w:r w:rsidRPr="001A4273">
              <w:rPr>
                <w:color w:val="auto"/>
              </w:rPr>
              <w:t xml:space="preserve">Aftercare support for individuals that have exited an institutional setting </w:t>
            </w:r>
          </w:p>
          <w:p w14:paraId="216071D6" w14:textId="77777777" w:rsidR="00986AAE" w:rsidRPr="001A4273" w:rsidRDefault="00986AAE" w:rsidP="00AC70C2">
            <w:pPr>
              <w:ind w:left="360"/>
              <w:contextualSpacing/>
              <w:jc w:val="left"/>
              <w:rPr>
                <w:color w:val="auto"/>
              </w:rPr>
            </w:pPr>
          </w:p>
          <w:p w14:paraId="0BFBF0B8" w14:textId="77777777" w:rsidR="00986AAE" w:rsidRPr="001A4273" w:rsidRDefault="00986AAE" w:rsidP="00C12191">
            <w:pPr>
              <w:numPr>
                <w:ilvl w:val="0"/>
                <w:numId w:val="10"/>
              </w:numPr>
              <w:contextualSpacing/>
              <w:jc w:val="left"/>
              <w:rPr>
                <w:color w:val="auto"/>
              </w:rPr>
            </w:pPr>
            <w:r w:rsidRPr="001A4273">
              <w:rPr>
                <w:color w:val="auto"/>
              </w:rPr>
              <w:t>Support services that helps establish family connections / or peer support networks, build capacity for independent living, and increase level of engagement in education, training, employment and community life</w:t>
            </w:r>
          </w:p>
          <w:p w14:paraId="5B4E6B61" w14:textId="77777777" w:rsidR="00986AAE" w:rsidRPr="001A4273" w:rsidRDefault="00986AAE" w:rsidP="00AC70C2">
            <w:pPr>
              <w:ind w:left="360"/>
              <w:contextualSpacing/>
              <w:jc w:val="left"/>
              <w:rPr>
                <w:color w:val="auto"/>
              </w:rPr>
            </w:pPr>
          </w:p>
          <w:p w14:paraId="6A7A4C57" w14:textId="77777777" w:rsidR="00986AAE" w:rsidRPr="001A4273" w:rsidRDefault="00986AAE" w:rsidP="00C12191">
            <w:pPr>
              <w:numPr>
                <w:ilvl w:val="0"/>
                <w:numId w:val="10"/>
              </w:numPr>
              <w:contextualSpacing/>
              <w:jc w:val="left"/>
              <w:rPr>
                <w:color w:val="auto"/>
              </w:rPr>
            </w:pPr>
            <w:r w:rsidRPr="001A4273">
              <w:rPr>
                <w:color w:val="auto"/>
              </w:rPr>
              <w:t xml:space="preserve">Outreach services linking clients to support, including; legal; health; financial; Centrelink; and housing and education </w:t>
            </w:r>
          </w:p>
          <w:p w14:paraId="70CF9938" w14:textId="77777777" w:rsidR="00BF68AC" w:rsidRPr="001A4273" w:rsidRDefault="00BF68AC" w:rsidP="00752F37">
            <w:pPr>
              <w:ind w:left="360"/>
              <w:contextualSpacing/>
              <w:jc w:val="left"/>
              <w:rPr>
                <w:color w:val="auto"/>
              </w:rPr>
            </w:pPr>
          </w:p>
          <w:p w14:paraId="6735DD99" w14:textId="77777777" w:rsidR="00BF68AC" w:rsidRPr="001A4273" w:rsidRDefault="00BF68AC" w:rsidP="00752F37">
            <w:pPr>
              <w:numPr>
                <w:ilvl w:val="0"/>
                <w:numId w:val="10"/>
              </w:numPr>
              <w:contextualSpacing/>
              <w:jc w:val="left"/>
              <w:rPr>
                <w:color w:val="auto"/>
              </w:rPr>
            </w:pPr>
            <w:r w:rsidRPr="001A4273">
              <w:rPr>
                <w:color w:val="auto"/>
              </w:rPr>
              <w:t xml:space="preserve">Establishment of a </w:t>
            </w:r>
            <w:r w:rsidR="002D0332" w:rsidRPr="001A4273">
              <w:rPr>
                <w:color w:val="auto"/>
              </w:rPr>
              <w:t xml:space="preserve">private rental </w:t>
            </w:r>
            <w:r w:rsidRPr="001A4273">
              <w:rPr>
                <w:color w:val="auto"/>
              </w:rPr>
              <w:t xml:space="preserve">brokerage </w:t>
            </w:r>
            <w:r w:rsidR="002D0332" w:rsidRPr="001A4273">
              <w:rPr>
                <w:color w:val="auto"/>
              </w:rPr>
              <w:t>program</w:t>
            </w:r>
            <w:r w:rsidRPr="001A4273">
              <w:rPr>
                <w:color w:val="auto"/>
              </w:rPr>
              <w:t xml:space="preserve"> for young people who </w:t>
            </w:r>
            <w:r w:rsidR="002D0332" w:rsidRPr="001A4273">
              <w:rPr>
                <w:color w:val="auto"/>
              </w:rPr>
              <w:t>are leaving out-of-home-</w:t>
            </w:r>
            <w:r w:rsidRPr="001A4273">
              <w:rPr>
                <w:color w:val="auto"/>
              </w:rPr>
              <w:t xml:space="preserve">care up until the </w:t>
            </w:r>
            <w:r w:rsidR="002D0332" w:rsidRPr="001A4273">
              <w:rPr>
                <w:color w:val="auto"/>
              </w:rPr>
              <w:t xml:space="preserve">age of </w:t>
            </w:r>
            <w:r w:rsidRPr="001A4273">
              <w:rPr>
                <w:color w:val="auto"/>
              </w:rPr>
              <w:t>25 years old</w:t>
            </w:r>
          </w:p>
          <w:p w14:paraId="188311C6" w14:textId="77777777" w:rsidR="00986AAE" w:rsidRPr="001A4273" w:rsidRDefault="00986AAE" w:rsidP="00AC70C2">
            <w:pPr>
              <w:ind w:left="360"/>
              <w:contextualSpacing/>
              <w:jc w:val="left"/>
              <w:rPr>
                <w:color w:val="auto"/>
              </w:rPr>
            </w:pPr>
          </w:p>
        </w:tc>
        <w:tc>
          <w:tcPr>
            <w:tcW w:w="1375" w:type="dxa"/>
            <w:tcBorders>
              <w:top w:val="single" w:sz="8" w:space="0" w:color="4F81BD"/>
              <w:left w:val="single" w:sz="8" w:space="0" w:color="4F81BD"/>
              <w:bottom w:val="single" w:sz="8" w:space="0" w:color="4F81BD"/>
              <w:right w:val="single" w:sz="8" w:space="0" w:color="4F81BD"/>
            </w:tcBorders>
          </w:tcPr>
          <w:p w14:paraId="774D8E93" w14:textId="77777777" w:rsidR="00986AAE" w:rsidRPr="001A4273" w:rsidRDefault="00986AAE" w:rsidP="00AC70C2">
            <w:pPr>
              <w:contextualSpacing/>
              <w:jc w:val="left"/>
              <w:rPr>
                <w:color w:val="auto"/>
              </w:rPr>
            </w:pPr>
            <w:r w:rsidRPr="001A4273">
              <w:rPr>
                <w:color w:val="auto"/>
              </w:rPr>
              <w:t>All initiatives 2018 to 2023</w:t>
            </w:r>
          </w:p>
        </w:tc>
      </w:tr>
      <w:tr w:rsidR="00986AAE" w:rsidRPr="00A90D63" w14:paraId="3D6E7AFC" w14:textId="77777777" w:rsidTr="00AC70C2">
        <w:trPr>
          <w:trHeight w:val="595"/>
        </w:trPr>
        <w:tc>
          <w:tcPr>
            <w:tcW w:w="2050" w:type="dxa"/>
            <w:tcBorders>
              <w:top w:val="single" w:sz="8" w:space="0" w:color="4F81BD"/>
              <w:left w:val="single" w:sz="8" w:space="0" w:color="4F81BD"/>
              <w:bottom w:val="single" w:sz="8" w:space="0" w:color="4F81BD"/>
              <w:right w:val="single" w:sz="8" w:space="0" w:color="4F81BD"/>
            </w:tcBorders>
          </w:tcPr>
          <w:p w14:paraId="09F29170" w14:textId="77777777" w:rsidR="00986AAE" w:rsidRPr="001A4273" w:rsidRDefault="00986AAE" w:rsidP="00AC70C2">
            <w:pPr>
              <w:contextualSpacing/>
              <w:jc w:val="left"/>
              <w:rPr>
                <w:b/>
                <w:color w:val="auto"/>
              </w:rPr>
            </w:pPr>
            <w:r w:rsidRPr="001A4273">
              <w:rPr>
                <w:color w:val="auto"/>
              </w:rPr>
              <w:t>Older people</w:t>
            </w:r>
          </w:p>
        </w:tc>
        <w:tc>
          <w:tcPr>
            <w:tcW w:w="6020" w:type="dxa"/>
            <w:tcBorders>
              <w:top w:val="single" w:sz="8" w:space="0" w:color="4F81BD"/>
              <w:left w:val="single" w:sz="8" w:space="0" w:color="4F81BD"/>
              <w:bottom w:val="single" w:sz="8" w:space="0" w:color="4F81BD"/>
              <w:right w:val="single" w:sz="8" w:space="0" w:color="4F81BD"/>
            </w:tcBorders>
          </w:tcPr>
          <w:p w14:paraId="39C22F75" w14:textId="77777777" w:rsidR="00986AAE" w:rsidRPr="001A4273" w:rsidRDefault="00986AAE" w:rsidP="00AC70C2">
            <w:pPr>
              <w:contextualSpacing/>
              <w:jc w:val="left"/>
              <w:rPr>
                <w:color w:val="auto"/>
              </w:rPr>
            </w:pPr>
            <w:r w:rsidRPr="001A4273">
              <w:rPr>
                <w:color w:val="auto"/>
              </w:rPr>
              <w:t>The majority of NT initiatives outlined above are accessible to older people</w:t>
            </w:r>
          </w:p>
          <w:p w14:paraId="69A37710" w14:textId="77777777" w:rsidR="00986AAE" w:rsidRPr="001A4273" w:rsidRDefault="00986AAE" w:rsidP="00AC70C2">
            <w:pPr>
              <w:contextualSpacing/>
              <w:jc w:val="left"/>
              <w:rPr>
                <w:color w:val="auto"/>
              </w:rPr>
            </w:pPr>
          </w:p>
        </w:tc>
        <w:tc>
          <w:tcPr>
            <w:tcW w:w="1375" w:type="dxa"/>
            <w:tcBorders>
              <w:top w:val="single" w:sz="8" w:space="0" w:color="4F81BD"/>
              <w:left w:val="single" w:sz="8" w:space="0" w:color="4F81BD"/>
              <w:bottom w:val="single" w:sz="8" w:space="0" w:color="4F81BD"/>
              <w:right w:val="single" w:sz="8" w:space="0" w:color="4F81BD"/>
            </w:tcBorders>
          </w:tcPr>
          <w:p w14:paraId="3F1B9FAB" w14:textId="77777777" w:rsidR="00986AAE" w:rsidRPr="001A4273" w:rsidRDefault="00986AAE" w:rsidP="00AC70C2">
            <w:pPr>
              <w:contextualSpacing/>
              <w:jc w:val="left"/>
              <w:rPr>
                <w:color w:val="auto"/>
              </w:rPr>
            </w:pPr>
            <w:r w:rsidRPr="001A4273">
              <w:rPr>
                <w:color w:val="auto"/>
              </w:rPr>
              <w:t>All initiatives 2018 to 2023</w:t>
            </w:r>
          </w:p>
          <w:p w14:paraId="21C92A74" w14:textId="77777777" w:rsidR="00986AAE" w:rsidRPr="001A4273" w:rsidRDefault="00986AAE" w:rsidP="00AC70C2">
            <w:pPr>
              <w:contextualSpacing/>
              <w:jc w:val="left"/>
              <w:rPr>
                <w:color w:val="auto"/>
              </w:rPr>
            </w:pPr>
          </w:p>
        </w:tc>
      </w:tr>
    </w:tbl>
    <w:p w14:paraId="5270DD07" w14:textId="77777777" w:rsidR="009466A1" w:rsidRDefault="009466A1">
      <w:r>
        <w:br w:type="page"/>
      </w:r>
    </w:p>
    <w:tbl>
      <w:tblPr>
        <w:tblW w:w="94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050"/>
        <w:gridCol w:w="6020"/>
        <w:gridCol w:w="1375"/>
      </w:tblGrid>
      <w:tr w:rsidR="00986AAE" w:rsidRPr="00A90D63" w14:paraId="6CCA7631" w14:textId="77777777" w:rsidTr="00AC70C2">
        <w:trPr>
          <w:trHeight w:val="547"/>
        </w:trPr>
        <w:tc>
          <w:tcPr>
            <w:tcW w:w="205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4EDC3A52" w14:textId="77777777" w:rsidR="00986AAE" w:rsidRPr="001A4273" w:rsidRDefault="00986AAE" w:rsidP="00AC70C2">
            <w:pPr>
              <w:keepNext/>
              <w:spacing w:after="0" w:line="240" w:lineRule="auto"/>
              <w:jc w:val="left"/>
              <w:outlineLvl w:val="1"/>
              <w:rPr>
                <w:rFonts w:cs="Arial"/>
                <w:b/>
                <w:iCs/>
                <w:color w:val="auto"/>
                <w:szCs w:val="23"/>
              </w:rPr>
            </w:pPr>
            <w:r w:rsidRPr="001A4273">
              <w:rPr>
                <w:rFonts w:cs="Arial"/>
                <w:b/>
                <w:iCs/>
                <w:color w:val="auto"/>
                <w:szCs w:val="23"/>
              </w:rPr>
              <w:lastRenderedPageBreak/>
              <w:t>Homelessness Priority Policy Reform Areas</w:t>
            </w:r>
          </w:p>
        </w:tc>
        <w:tc>
          <w:tcPr>
            <w:tcW w:w="602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1B64164" w14:textId="77777777" w:rsidR="00986AAE" w:rsidRPr="001A4273" w:rsidRDefault="00986AAE" w:rsidP="00AC70C2">
            <w:pPr>
              <w:keepNext/>
              <w:spacing w:after="0" w:line="240" w:lineRule="auto"/>
              <w:jc w:val="left"/>
              <w:outlineLvl w:val="1"/>
              <w:rPr>
                <w:rFonts w:cs="Arial"/>
                <w:b/>
                <w:iCs/>
                <w:color w:val="auto"/>
                <w:szCs w:val="23"/>
              </w:rPr>
            </w:pPr>
            <w:r w:rsidRPr="001A4273">
              <w:rPr>
                <w:rFonts w:cs="Arial"/>
                <w:b/>
                <w:iCs/>
                <w:color w:val="auto"/>
                <w:szCs w:val="23"/>
              </w:rPr>
              <w:t>Northern Territory Initiatives</w:t>
            </w:r>
          </w:p>
        </w:tc>
        <w:tc>
          <w:tcPr>
            <w:tcW w:w="137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7F77EDA" w14:textId="77777777" w:rsidR="00986AAE" w:rsidRPr="001A4273" w:rsidRDefault="00986AAE" w:rsidP="00AC70C2">
            <w:pPr>
              <w:keepNext/>
              <w:spacing w:after="0" w:line="240" w:lineRule="auto"/>
              <w:jc w:val="left"/>
              <w:outlineLvl w:val="1"/>
              <w:rPr>
                <w:rFonts w:cs="Arial"/>
                <w:b/>
                <w:iCs/>
                <w:color w:val="auto"/>
                <w:szCs w:val="23"/>
              </w:rPr>
            </w:pPr>
            <w:r w:rsidRPr="001A4273">
              <w:rPr>
                <w:rFonts w:cs="Arial"/>
                <w:b/>
                <w:iCs/>
                <w:color w:val="auto"/>
                <w:szCs w:val="23"/>
              </w:rPr>
              <w:t>Indicative timeline</w:t>
            </w:r>
          </w:p>
        </w:tc>
      </w:tr>
      <w:tr w:rsidR="00986AAE" w:rsidRPr="00A90D63" w14:paraId="305B1C90" w14:textId="77777777" w:rsidTr="00AC70C2">
        <w:trPr>
          <w:trHeight w:val="973"/>
        </w:trPr>
        <w:tc>
          <w:tcPr>
            <w:tcW w:w="2050" w:type="dxa"/>
            <w:vMerge w:val="restart"/>
            <w:tcBorders>
              <w:top w:val="single" w:sz="8" w:space="0" w:color="4F81BD"/>
              <w:left w:val="single" w:sz="8" w:space="0" w:color="4F81BD"/>
              <w:right w:val="single" w:sz="8" w:space="0" w:color="4F81BD"/>
            </w:tcBorders>
          </w:tcPr>
          <w:p w14:paraId="2E251F87" w14:textId="77777777" w:rsidR="00986AAE" w:rsidRPr="001A4273" w:rsidRDefault="00986AAE" w:rsidP="00AC70C2">
            <w:pPr>
              <w:jc w:val="left"/>
              <w:rPr>
                <w:color w:val="auto"/>
              </w:rPr>
            </w:pPr>
            <w:r w:rsidRPr="001A4273">
              <w:rPr>
                <w:color w:val="auto"/>
              </w:rPr>
              <w:t xml:space="preserve">Achieving better outcomes for people </w:t>
            </w:r>
          </w:p>
          <w:p w14:paraId="61373CE8" w14:textId="77777777" w:rsidR="00986AAE" w:rsidRPr="001A4273" w:rsidRDefault="00986AAE" w:rsidP="00AC70C2">
            <w:pPr>
              <w:jc w:val="left"/>
              <w:rPr>
                <w:color w:val="auto"/>
              </w:rPr>
            </w:pPr>
            <w:r w:rsidRPr="001A4273">
              <w:rPr>
                <w:color w:val="auto"/>
              </w:rPr>
              <w:t>Early intervention and prevention</w:t>
            </w:r>
          </w:p>
          <w:p w14:paraId="1F287955" w14:textId="77777777" w:rsidR="00986AAE" w:rsidRPr="001A4273" w:rsidRDefault="00986AAE" w:rsidP="00AC70C2">
            <w:pPr>
              <w:spacing w:after="0"/>
              <w:jc w:val="left"/>
              <w:rPr>
                <w:color w:val="auto"/>
              </w:rPr>
            </w:pPr>
            <w:r w:rsidRPr="001A4273">
              <w:rPr>
                <w:color w:val="auto"/>
              </w:rPr>
              <w:t xml:space="preserve">Commitment to service program and design </w:t>
            </w:r>
          </w:p>
          <w:p w14:paraId="6EC37EAE" w14:textId="77777777" w:rsidR="00986AAE" w:rsidRPr="001A4273" w:rsidRDefault="00986AAE" w:rsidP="00AC70C2">
            <w:pPr>
              <w:contextualSpacing/>
              <w:jc w:val="left"/>
              <w:rPr>
                <w:color w:val="auto"/>
              </w:rPr>
            </w:pPr>
          </w:p>
        </w:tc>
        <w:tc>
          <w:tcPr>
            <w:tcW w:w="6020" w:type="dxa"/>
            <w:tcBorders>
              <w:top w:val="single" w:sz="8" w:space="0" w:color="4F81BD"/>
              <w:left w:val="single" w:sz="8" w:space="0" w:color="4F81BD"/>
              <w:bottom w:val="single" w:sz="8" w:space="0" w:color="4F81BD"/>
              <w:right w:val="single" w:sz="8" w:space="0" w:color="4F81BD"/>
            </w:tcBorders>
          </w:tcPr>
          <w:p w14:paraId="5CDFBA04" w14:textId="77777777" w:rsidR="00986AAE" w:rsidRPr="001A4273" w:rsidRDefault="00986AAE" w:rsidP="00C12191">
            <w:pPr>
              <w:numPr>
                <w:ilvl w:val="0"/>
                <w:numId w:val="10"/>
              </w:numPr>
              <w:spacing w:after="0"/>
              <w:contextualSpacing/>
              <w:jc w:val="left"/>
              <w:rPr>
                <w:color w:val="auto"/>
              </w:rPr>
            </w:pPr>
            <w:r w:rsidRPr="001A4273">
              <w:rPr>
                <w:color w:val="auto"/>
              </w:rPr>
              <w:t>Develop and implement a Homelessness Strategy and Five Year Action Plan:</w:t>
            </w:r>
          </w:p>
          <w:p w14:paraId="0DF01F5F" w14:textId="77777777" w:rsidR="00986AAE" w:rsidRPr="001A4273" w:rsidRDefault="00986AAE" w:rsidP="00B14809">
            <w:pPr>
              <w:pStyle w:val="ListParagraph"/>
              <w:numPr>
                <w:ilvl w:val="1"/>
                <w:numId w:val="15"/>
              </w:numPr>
              <w:spacing w:after="0"/>
              <w:ind w:left="885" w:hanging="426"/>
              <w:jc w:val="left"/>
              <w:rPr>
                <w:color w:val="auto"/>
              </w:rPr>
            </w:pPr>
            <w:r w:rsidRPr="001A4273">
              <w:rPr>
                <w:color w:val="auto"/>
              </w:rPr>
              <w:t>strengthen interagency responses</w:t>
            </w:r>
          </w:p>
          <w:p w14:paraId="4FF032E9" w14:textId="77777777" w:rsidR="00986AAE" w:rsidRPr="001A4273" w:rsidRDefault="00986AAE" w:rsidP="00987EA8">
            <w:pPr>
              <w:pStyle w:val="ListParagraph"/>
              <w:numPr>
                <w:ilvl w:val="1"/>
                <w:numId w:val="15"/>
              </w:numPr>
              <w:spacing w:after="0"/>
              <w:ind w:left="885" w:hanging="426"/>
              <w:jc w:val="left"/>
              <w:rPr>
                <w:color w:val="auto"/>
              </w:rPr>
            </w:pPr>
            <w:r w:rsidRPr="001A4273">
              <w:rPr>
                <w:color w:val="auto"/>
              </w:rPr>
              <w:t>streamline and strengthen preventative support</w:t>
            </w:r>
          </w:p>
          <w:p w14:paraId="4CDE05B6" w14:textId="77777777" w:rsidR="00986AAE" w:rsidRPr="001A4273" w:rsidRDefault="00986AAE" w:rsidP="00A522F1">
            <w:pPr>
              <w:pStyle w:val="ListParagraph"/>
              <w:numPr>
                <w:ilvl w:val="1"/>
                <w:numId w:val="15"/>
              </w:numPr>
              <w:spacing w:after="0"/>
              <w:ind w:left="885" w:hanging="426"/>
              <w:jc w:val="left"/>
              <w:rPr>
                <w:color w:val="auto"/>
              </w:rPr>
            </w:pPr>
            <w:r w:rsidRPr="001A4273">
              <w:rPr>
                <w:color w:val="auto"/>
              </w:rPr>
              <w:t>improve the Department of Housing and Community Development’s policy and practices (to better respond to homelessness and the risk of homelessness)</w:t>
            </w:r>
          </w:p>
          <w:p w14:paraId="7C8DF4A0" w14:textId="77777777" w:rsidR="00986AAE" w:rsidRPr="001A4273" w:rsidRDefault="00986AAE" w:rsidP="00A522F1">
            <w:pPr>
              <w:pStyle w:val="ListParagraph"/>
              <w:numPr>
                <w:ilvl w:val="1"/>
                <w:numId w:val="15"/>
              </w:numPr>
              <w:spacing w:after="0"/>
              <w:ind w:left="885" w:hanging="426"/>
              <w:jc w:val="left"/>
              <w:rPr>
                <w:color w:val="auto"/>
              </w:rPr>
            </w:pPr>
            <w:r w:rsidRPr="001A4273">
              <w:rPr>
                <w:color w:val="auto"/>
              </w:rPr>
              <w:t>increase access to and supply of private rental, affordable and social housing</w:t>
            </w:r>
          </w:p>
          <w:p w14:paraId="6CEE9256" w14:textId="77777777" w:rsidR="00986AAE" w:rsidRPr="001A4273" w:rsidRDefault="00986AAE" w:rsidP="00A522F1">
            <w:pPr>
              <w:pStyle w:val="ListParagraph"/>
              <w:numPr>
                <w:ilvl w:val="1"/>
                <w:numId w:val="15"/>
              </w:numPr>
              <w:spacing w:after="0"/>
              <w:ind w:left="885" w:hanging="426"/>
              <w:jc w:val="left"/>
              <w:rPr>
                <w:color w:val="auto"/>
              </w:rPr>
            </w:pPr>
            <w:r w:rsidRPr="001A4273">
              <w:rPr>
                <w:color w:val="auto"/>
              </w:rPr>
              <w:t xml:space="preserve">Work with the Specialist Homelessness Services sector to strengthen service responses for people who are homeless and at risk of homelessness </w:t>
            </w:r>
          </w:p>
          <w:p w14:paraId="1770E2F5" w14:textId="77777777" w:rsidR="00986AAE" w:rsidRPr="001A4273" w:rsidRDefault="00986AAE" w:rsidP="00AC70C2">
            <w:pPr>
              <w:contextualSpacing/>
              <w:jc w:val="left"/>
              <w:rPr>
                <w:color w:val="auto"/>
              </w:rPr>
            </w:pPr>
          </w:p>
        </w:tc>
        <w:tc>
          <w:tcPr>
            <w:tcW w:w="1375" w:type="dxa"/>
            <w:tcBorders>
              <w:top w:val="single" w:sz="8" w:space="0" w:color="4F81BD"/>
              <w:left w:val="single" w:sz="8" w:space="0" w:color="4F81BD"/>
              <w:bottom w:val="single" w:sz="8" w:space="0" w:color="4F81BD"/>
              <w:right w:val="single" w:sz="8" w:space="0" w:color="4F81BD"/>
            </w:tcBorders>
          </w:tcPr>
          <w:p w14:paraId="60BF9244" w14:textId="77777777" w:rsidR="00986AAE" w:rsidRPr="001A4273" w:rsidRDefault="00986AAE" w:rsidP="00AC70C2">
            <w:pPr>
              <w:contextualSpacing/>
              <w:jc w:val="left"/>
              <w:rPr>
                <w:color w:val="auto"/>
              </w:rPr>
            </w:pPr>
            <w:r w:rsidRPr="001A4273">
              <w:rPr>
                <w:color w:val="auto"/>
              </w:rPr>
              <w:t>2018 to 2023</w:t>
            </w:r>
          </w:p>
        </w:tc>
      </w:tr>
      <w:tr w:rsidR="00986AAE" w:rsidRPr="00A90D63" w14:paraId="08FC04AE" w14:textId="77777777" w:rsidTr="00AC70C2">
        <w:trPr>
          <w:trHeight w:val="973"/>
        </w:trPr>
        <w:tc>
          <w:tcPr>
            <w:tcW w:w="2050" w:type="dxa"/>
            <w:vMerge/>
            <w:tcBorders>
              <w:left w:val="single" w:sz="8" w:space="0" w:color="4F81BD"/>
              <w:bottom w:val="single" w:sz="8" w:space="0" w:color="4F81BD"/>
              <w:right w:val="single" w:sz="8" w:space="0" w:color="4F81BD"/>
            </w:tcBorders>
          </w:tcPr>
          <w:p w14:paraId="32637C55" w14:textId="77777777" w:rsidR="00986AAE" w:rsidRPr="001C1D77" w:rsidRDefault="00986AAE" w:rsidP="002E2925">
            <w:pPr>
              <w:jc w:val="left"/>
              <w:rPr>
                <w:color w:val="auto"/>
              </w:rPr>
            </w:pPr>
          </w:p>
        </w:tc>
        <w:tc>
          <w:tcPr>
            <w:tcW w:w="6020" w:type="dxa"/>
            <w:tcBorders>
              <w:top w:val="single" w:sz="8" w:space="0" w:color="4F81BD"/>
              <w:left w:val="single" w:sz="8" w:space="0" w:color="4F81BD"/>
              <w:bottom w:val="single" w:sz="8" w:space="0" w:color="4F81BD"/>
              <w:right w:val="single" w:sz="8" w:space="0" w:color="4F81BD"/>
            </w:tcBorders>
          </w:tcPr>
          <w:p w14:paraId="2DA58F50" w14:textId="77777777" w:rsidR="00986AAE" w:rsidRPr="001C1D77" w:rsidRDefault="00986AAE" w:rsidP="00C12191">
            <w:pPr>
              <w:numPr>
                <w:ilvl w:val="0"/>
                <w:numId w:val="10"/>
              </w:numPr>
              <w:spacing w:after="0"/>
              <w:contextualSpacing/>
              <w:jc w:val="left"/>
              <w:rPr>
                <w:color w:val="auto"/>
              </w:rPr>
            </w:pPr>
            <w:r w:rsidRPr="001C1D77">
              <w:rPr>
                <w:color w:val="auto"/>
              </w:rPr>
              <w:t>The Northern Territory will also support the homelessness sector through its homeless grants program and by implementing five year grant agreements with the sector</w:t>
            </w:r>
          </w:p>
          <w:p w14:paraId="4377C003" w14:textId="77777777" w:rsidR="00986AAE" w:rsidRPr="001C1D77" w:rsidRDefault="00986AAE" w:rsidP="00AC70C2">
            <w:pPr>
              <w:spacing w:after="0"/>
              <w:ind w:left="360"/>
              <w:contextualSpacing/>
              <w:jc w:val="left"/>
              <w:rPr>
                <w:color w:val="auto"/>
              </w:rPr>
            </w:pPr>
          </w:p>
        </w:tc>
        <w:tc>
          <w:tcPr>
            <w:tcW w:w="1375" w:type="dxa"/>
            <w:tcBorders>
              <w:top w:val="single" w:sz="8" w:space="0" w:color="4F81BD"/>
              <w:left w:val="single" w:sz="8" w:space="0" w:color="4F81BD"/>
              <w:bottom w:val="single" w:sz="8" w:space="0" w:color="4F81BD"/>
              <w:right w:val="single" w:sz="8" w:space="0" w:color="4F81BD"/>
            </w:tcBorders>
          </w:tcPr>
          <w:p w14:paraId="640E05A9" w14:textId="77777777" w:rsidR="00986AAE" w:rsidRPr="001C1D77" w:rsidRDefault="00986AAE" w:rsidP="00AC70C2">
            <w:pPr>
              <w:contextualSpacing/>
              <w:jc w:val="left"/>
              <w:rPr>
                <w:color w:val="auto"/>
              </w:rPr>
            </w:pPr>
            <w:r w:rsidRPr="001C1D77">
              <w:rPr>
                <w:color w:val="auto"/>
              </w:rPr>
              <w:t>2018 to 2023</w:t>
            </w:r>
          </w:p>
        </w:tc>
      </w:tr>
    </w:tbl>
    <w:p w14:paraId="474C4A59" w14:textId="77777777" w:rsidR="00E14A37" w:rsidRDefault="00E14A37" w:rsidP="00E14A37">
      <w:pPr>
        <w:pStyle w:val="Heading1"/>
      </w:pPr>
      <w:r>
        <w:t>par</w:t>
      </w:r>
      <w:r w:rsidR="00AC2F15">
        <w:t>t 4 – Joint reform commitments</w:t>
      </w:r>
    </w:p>
    <w:p w14:paraId="54CD0894" w14:textId="77777777" w:rsidR="00A27F4A" w:rsidRPr="005D60A6" w:rsidRDefault="00957E0A" w:rsidP="008213DA">
      <w:pPr>
        <w:pStyle w:val="Normalnumbered"/>
        <w:numPr>
          <w:ilvl w:val="0"/>
          <w:numId w:val="1"/>
        </w:numPr>
        <w:jc w:val="left"/>
        <w:rPr>
          <w:color w:val="000000" w:themeColor="text1"/>
        </w:rPr>
      </w:pPr>
      <w:r w:rsidRPr="005D60A6">
        <w:rPr>
          <w:rFonts w:eastAsia="Times New Roman" w:cs="Times New Roman"/>
          <w:color w:val="000000" w:themeColor="text1"/>
          <w:szCs w:val="20"/>
          <w:lang w:eastAsia="en-AU"/>
        </w:rPr>
        <w:t xml:space="preserve">The Commonwealth and the Northern Territory will work </w:t>
      </w:r>
      <w:r w:rsidR="00A27F4A" w:rsidRPr="005D60A6">
        <w:rPr>
          <w:rFonts w:eastAsia="Times New Roman" w:cs="Times New Roman"/>
          <w:color w:val="000000" w:themeColor="text1"/>
          <w:szCs w:val="20"/>
          <w:lang w:eastAsia="en-AU"/>
        </w:rPr>
        <w:t>jointly on the following initiatives</w:t>
      </w:r>
      <w:r w:rsidR="00A27F4A" w:rsidRPr="005D60A6">
        <w:rPr>
          <w:color w:val="000000" w:themeColor="text1"/>
        </w:rPr>
        <w:t>:</w:t>
      </w:r>
    </w:p>
    <w:p w14:paraId="58CF0435" w14:textId="77777777" w:rsidR="00957E0A" w:rsidRPr="005D60A6" w:rsidRDefault="00A27F4A" w:rsidP="008213DA">
      <w:pPr>
        <w:pStyle w:val="Normalnumbered"/>
        <w:numPr>
          <w:ilvl w:val="1"/>
          <w:numId w:val="1"/>
        </w:numPr>
        <w:jc w:val="left"/>
        <w:rPr>
          <w:rFonts w:eastAsia="Times New Roman" w:cs="Times New Roman"/>
          <w:color w:val="000000" w:themeColor="text1"/>
          <w:szCs w:val="20"/>
          <w:lang w:eastAsia="en-AU"/>
        </w:rPr>
      </w:pPr>
      <w:r w:rsidRPr="005D60A6">
        <w:rPr>
          <w:rFonts w:eastAsia="Times New Roman" w:cs="Times New Roman"/>
          <w:color w:val="000000" w:themeColor="text1"/>
          <w:szCs w:val="20"/>
          <w:lang w:eastAsia="en-AU"/>
        </w:rPr>
        <w:t>Ex</w:t>
      </w:r>
      <w:r w:rsidR="00957E0A" w:rsidRPr="005D60A6">
        <w:rPr>
          <w:rFonts w:eastAsia="Times New Roman" w:cs="Times New Roman"/>
          <w:color w:val="000000" w:themeColor="text1"/>
          <w:szCs w:val="20"/>
          <w:lang w:eastAsia="en-AU"/>
        </w:rPr>
        <w:t>plor</w:t>
      </w:r>
      <w:r w:rsidRPr="005D60A6">
        <w:rPr>
          <w:rFonts w:eastAsia="Times New Roman" w:cs="Times New Roman"/>
          <w:color w:val="000000" w:themeColor="text1"/>
          <w:szCs w:val="20"/>
          <w:lang w:eastAsia="en-AU"/>
        </w:rPr>
        <w:t xml:space="preserve">ing the </w:t>
      </w:r>
      <w:r w:rsidR="00957E0A" w:rsidRPr="005D60A6">
        <w:rPr>
          <w:rFonts w:eastAsia="Times New Roman" w:cs="Times New Roman"/>
          <w:color w:val="000000" w:themeColor="text1"/>
          <w:szCs w:val="20"/>
          <w:lang w:eastAsia="en-AU"/>
        </w:rPr>
        <w:t xml:space="preserve">potential </w:t>
      </w:r>
      <w:r w:rsidRPr="005D60A6">
        <w:rPr>
          <w:rFonts w:eastAsia="Times New Roman" w:cs="Times New Roman"/>
          <w:color w:val="000000" w:themeColor="text1"/>
          <w:szCs w:val="20"/>
          <w:lang w:eastAsia="en-AU"/>
        </w:rPr>
        <w:t xml:space="preserve">of </w:t>
      </w:r>
      <w:r w:rsidR="00957E0A" w:rsidRPr="005D60A6">
        <w:rPr>
          <w:rFonts w:eastAsia="Times New Roman" w:cs="Times New Roman"/>
          <w:color w:val="000000" w:themeColor="text1"/>
          <w:szCs w:val="20"/>
          <w:lang w:eastAsia="en-AU"/>
        </w:rPr>
        <w:t>establish</w:t>
      </w:r>
      <w:r w:rsidRPr="005D60A6">
        <w:rPr>
          <w:rFonts w:eastAsia="Times New Roman" w:cs="Times New Roman"/>
          <w:color w:val="000000" w:themeColor="text1"/>
          <w:szCs w:val="20"/>
          <w:lang w:eastAsia="en-AU"/>
        </w:rPr>
        <w:t>ing</w:t>
      </w:r>
      <w:r w:rsidR="00957E0A" w:rsidRPr="005D60A6">
        <w:rPr>
          <w:rFonts w:eastAsia="Times New Roman" w:cs="Times New Roman"/>
          <w:color w:val="000000" w:themeColor="text1"/>
          <w:szCs w:val="20"/>
          <w:lang w:eastAsia="en-AU"/>
        </w:rPr>
        <w:t xml:space="preserve"> a Youth Foyer model in the N</w:t>
      </w:r>
      <w:r w:rsidR="00601C60" w:rsidRPr="005D60A6">
        <w:rPr>
          <w:rFonts w:eastAsia="Times New Roman" w:cs="Times New Roman"/>
          <w:color w:val="000000" w:themeColor="text1"/>
          <w:szCs w:val="20"/>
          <w:lang w:eastAsia="en-AU"/>
        </w:rPr>
        <w:t xml:space="preserve">orthern </w:t>
      </w:r>
      <w:r w:rsidR="00957E0A" w:rsidRPr="005D60A6">
        <w:rPr>
          <w:rFonts w:eastAsia="Times New Roman" w:cs="Times New Roman"/>
          <w:color w:val="000000" w:themeColor="text1"/>
          <w:szCs w:val="20"/>
          <w:lang w:eastAsia="en-AU"/>
        </w:rPr>
        <w:t>T</w:t>
      </w:r>
      <w:r w:rsidR="00601C60" w:rsidRPr="005D60A6">
        <w:rPr>
          <w:rFonts w:eastAsia="Times New Roman" w:cs="Times New Roman"/>
          <w:color w:val="000000" w:themeColor="text1"/>
          <w:szCs w:val="20"/>
          <w:lang w:eastAsia="en-AU"/>
        </w:rPr>
        <w:t>erritory</w:t>
      </w:r>
      <w:r w:rsidRPr="005D60A6">
        <w:rPr>
          <w:rFonts w:eastAsia="Times New Roman" w:cs="Times New Roman"/>
          <w:color w:val="000000" w:themeColor="text1"/>
          <w:szCs w:val="20"/>
          <w:lang w:eastAsia="en-AU"/>
        </w:rPr>
        <w:t xml:space="preserve"> </w:t>
      </w:r>
      <w:r w:rsidR="00957E0A" w:rsidRPr="005D60A6">
        <w:rPr>
          <w:rFonts w:eastAsia="Times New Roman" w:cs="Times New Roman"/>
          <w:color w:val="000000" w:themeColor="text1"/>
          <w:szCs w:val="20"/>
          <w:lang w:eastAsia="en-AU"/>
        </w:rPr>
        <w:t>aimed at assisting young people who are homeless or at risk of homelessness to develop the skills</w:t>
      </w:r>
      <w:r w:rsidRPr="005D60A6">
        <w:rPr>
          <w:rFonts w:eastAsia="Times New Roman" w:cs="Times New Roman"/>
          <w:color w:val="000000" w:themeColor="text1"/>
          <w:szCs w:val="20"/>
          <w:lang w:eastAsia="en-AU"/>
        </w:rPr>
        <w:t xml:space="preserve">, and </w:t>
      </w:r>
      <w:r w:rsidR="00957E0A" w:rsidRPr="005D60A6">
        <w:rPr>
          <w:rFonts w:eastAsia="Times New Roman" w:cs="Times New Roman"/>
          <w:color w:val="000000" w:themeColor="text1"/>
          <w:szCs w:val="20"/>
          <w:lang w:eastAsia="en-AU"/>
        </w:rPr>
        <w:t>lead independent and productive lives through provision of accommodation, personal support and mentoring, living skills and education and training pathways</w:t>
      </w:r>
      <w:r w:rsidRPr="005D60A6">
        <w:rPr>
          <w:rFonts w:eastAsia="Times New Roman" w:cs="Times New Roman"/>
          <w:color w:val="000000" w:themeColor="text1"/>
          <w:szCs w:val="20"/>
          <w:lang w:eastAsia="en-AU"/>
        </w:rPr>
        <w:t>.</w:t>
      </w:r>
    </w:p>
    <w:p w14:paraId="18E15B6B" w14:textId="77777777" w:rsidR="00A27F4A" w:rsidRPr="001A4273" w:rsidRDefault="00601C60" w:rsidP="008213DA">
      <w:pPr>
        <w:pStyle w:val="Normalnumbered"/>
        <w:numPr>
          <w:ilvl w:val="1"/>
          <w:numId w:val="1"/>
        </w:numPr>
        <w:jc w:val="left"/>
        <w:rPr>
          <w:rFonts w:eastAsia="Times New Roman" w:cs="Times New Roman"/>
          <w:color w:val="auto"/>
          <w:szCs w:val="20"/>
          <w:lang w:eastAsia="en-AU"/>
        </w:rPr>
      </w:pPr>
      <w:r w:rsidRPr="001A4273">
        <w:rPr>
          <w:rFonts w:eastAsia="Times New Roman" w:cs="Times New Roman"/>
          <w:color w:val="auto"/>
          <w:szCs w:val="20"/>
          <w:lang w:eastAsia="en-AU"/>
        </w:rPr>
        <w:t xml:space="preserve">Develop the evidence base for potential future Social Impact Investment, work together to identify potential target groups and design interventions. </w:t>
      </w:r>
    </w:p>
    <w:p w14:paraId="187CDC82" w14:textId="77777777" w:rsidR="00A86DBC" w:rsidRPr="001A4273" w:rsidRDefault="00924108" w:rsidP="008213DA">
      <w:pPr>
        <w:pStyle w:val="Normalnumbered"/>
        <w:numPr>
          <w:ilvl w:val="1"/>
          <w:numId w:val="1"/>
        </w:numPr>
        <w:jc w:val="left"/>
        <w:rPr>
          <w:rFonts w:eastAsia="Times New Roman" w:cs="Times New Roman"/>
          <w:color w:val="auto"/>
          <w:szCs w:val="20"/>
          <w:lang w:eastAsia="en-AU"/>
        </w:rPr>
      </w:pPr>
      <w:r w:rsidRPr="001A4273">
        <w:rPr>
          <w:rFonts w:eastAsia="Times New Roman" w:cs="Times New Roman"/>
          <w:color w:val="auto"/>
          <w:szCs w:val="20"/>
          <w:lang w:eastAsia="en-AU"/>
        </w:rPr>
        <w:t>Work collaboratively to determine how any new Commonwealth investment into programs in the Northern Territory can contribute to improved outcomes supported by the Agreement. This includes identifying opportunities for integrating with the Northern Territory housing and homelessness strategies and programs, which will support better targeting of resources, help avoid duplication and address service gaps to better assist people in need.</w:t>
      </w:r>
    </w:p>
    <w:p w14:paraId="09242964" w14:textId="77777777" w:rsidR="00DA0D2D" w:rsidRPr="00644AA3" w:rsidRDefault="00DA0D2D" w:rsidP="00DA0D2D">
      <w:pPr>
        <w:pStyle w:val="Normalnumbered"/>
        <w:numPr>
          <w:ilvl w:val="1"/>
          <w:numId w:val="1"/>
        </w:numPr>
        <w:jc w:val="left"/>
        <w:rPr>
          <w:rFonts w:eastAsia="Times New Roman" w:cs="Times New Roman"/>
          <w:color w:val="auto"/>
          <w:szCs w:val="20"/>
          <w:lang w:eastAsia="en-AU"/>
        </w:rPr>
      </w:pPr>
      <w:r w:rsidRPr="001A4273">
        <w:rPr>
          <w:rFonts w:eastAsia="Times New Roman" w:cs="Times New Roman"/>
          <w:color w:val="auto"/>
          <w:szCs w:val="20"/>
          <w:lang w:eastAsia="en-AU"/>
        </w:rPr>
        <w:t xml:space="preserve">The Northern Territory </w:t>
      </w:r>
      <w:r w:rsidRPr="00521B6D">
        <w:t xml:space="preserve">and the Commonwealth will </w:t>
      </w:r>
      <w:r>
        <w:t>explore</w:t>
      </w:r>
      <w:r w:rsidRPr="00521B6D">
        <w:t xml:space="preserve"> opportunities to share data and undertake agreed projects to share and link social housing and homelessn</w:t>
      </w:r>
      <w:r>
        <w:t xml:space="preserve">ess data with social security </w:t>
      </w:r>
      <w:r w:rsidRPr="00521B6D">
        <w:t>and other datasets.</w:t>
      </w:r>
    </w:p>
    <w:p w14:paraId="4B54A3B7" w14:textId="77777777" w:rsidR="0066121B" w:rsidRDefault="0066121B">
      <w:pPr>
        <w:spacing w:after="200" w:line="276" w:lineRule="auto"/>
        <w:jc w:val="left"/>
        <w:rPr>
          <w:rFonts w:ascii="Consolas" w:hAnsi="Consolas" w:cs="Arial"/>
          <w:bCs/>
          <w:caps/>
          <w:color w:val="3D4B67"/>
          <w:kern w:val="32"/>
          <w:sz w:val="32"/>
          <w:szCs w:val="36"/>
        </w:rPr>
      </w:pPr>
      <w:r>
        <w:br w:type="page"/>
      </w:r>
    </w:p>
    <w:p w14:paraId="09197AC7" w14:textId="77777777" w:rsidR="00695488" w:rsidRPr="001A4273" w:rsidRDefault="00E863B7" w:rsidP="003E00B6">
      <w:pPr>
        <w:pStyle w:val="Heading1"/>
        <w:rPr>
          <w:color w:val="auto"/>
        </w:rPr>
      </w:pPr>
      <w:r>
        <w:lastRenderedPageBreak/>
        <w:t xml:space="preserve">Part 5 – </w:t>
      </w:r>
      <w:r w:rsidR="002F7595">
        <w:t>State-specific</w:t>
      </w:r>
      <w:r w:rsidR="00B7391B" w:rsidRPr="00071660">
        <w:t xml:space="preserve"> INDICATORS</w:t>
      </w:r>
    </w:p>
    <w:p w14:paraId="3187C8DC" w14:textId="77777777" w:rsidR="00CA6554" w:rsidRPr="001A4273" w:rsidRDefault="00CC3EA7" w:rsidP="00AE57B8">
      <w:pPr>
        <w:pStyle w:val="Normalnumbered"/>
        <w:numPr>
          <w:ilvl w:val="0"/>
          <w:numId w:val="1"/>
        </w:numPr>
        <w:jc w:val="left"/>
        <w:rPr>
          <w:b/>
          <w:color w:val="auto"/>
        </w:rPr>
      </w:pPr>
      <w:r w:rsidRPr="001A4273">
        <w:rPr>
          <w:color w:val="auto"/>
        </w:rPr>
        <w:t xml:space="preserve">Key </w:t>
      </w:r>
      <w:r w:rsidR="00AE57B8" w:rsidRPr="001A4273">
        <w:rPr>
          <w:color w:val="auto"/>
        </w:rPr>
        <w:t>p</w:t>
      </w:r>
      <w:r w:rsidRPr="001A4273">
        <w:rPr>
          <w:color w:val="auto"/>
        </w:rPr>
        <w:t xml:space="preserve">erformance </w:t>
      </w:r>
      <w:r w:rsidR="00AE57B8" w:rsidRPr="001A4273">
        <w:rPr>
          <w:color w:val="auto"/>
        </w:rPr>
        <w:t>i</w:t>
      </w:r>
      <w:r w:rsidRPr="001A4273">
        <w:rPr>
          <w:color w:val="auto"/>
        </w:rPr>
        <w:t>ndicators</w:t>
      </w:r>
      <w:r w:rsidR="0051738F" w:rsidRPr="001A4273">
        <w:rPr>
          <w:color w:val="auto"/>
        </w:rPr>
        <w:t xml:space="preserve"> </w:t>
      </w:r>
      <w:r w:rsidR="00AE57B8" w:rsidRPr="001A4273">
        <w:rPr>
          <w:color w:val="auto"/>
        </w:rPr>
        <w:t>outlined below are related to initiati</w:t>
      </w:r>
      <w:r w:rsidR="004F0E3A" w:rsidRPr="001A4273">
        <w:rPr>
          <w:color w:val="auto"/>
        </w:rPr>
        <w:t>ves outlined in the tables in</w:t>
      </w:r>
      <w:r w:rsidR="00AE57B8" w:rsidRPr="001A4273">
        <w:rPr>
          <w:color w:val="auto"/>
        </w:rPr>
        <w:t xml:space="preserve"> Parts 2 and 3</w:t>
      </w:r>
      <w:r w:rsidR="004F0E3A" w:rsidRPr="001A4273">
        <w:rPr>
          <w:color w:val="auto"/>
        </w:rPr>
        <w:t>.</w:t>
      </w:r>
    </w:p>
    <w:tbl>
      <w:tblPr>
        <w:tblW w:w="934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09"/>
        <w:gridCol w:w="6237"/>
      </w:tblGrid>
      <w:tr w:rsidR="0051738F" w:rsidRPr="0051738F" w14:paraId="71730218" w14:textId="77777777" w:rsidTr="005A3945">
        <w:trPr>
          <w:trHeight w:val="487"/>
        </w:trPr>
        <w:tc>
          <w:tcPr>
            <w:tcW w:w="3109" w:type="dxa"/>
            <w:tcBorders>
              <w:top w:val="single" w:sz="8" w:space="0" w:color="4F81BD"/>
              <w:left w:val="single" w:sz="8" w:space="0" w:color="4F81BD"/>
              <w:bottom w:val="single" w:sz="8" w:space="0" w:color="4F81BD"/>
              <w:right w:val="single" w:sz="8" w:space="0" w:color="4F81BD"/>
            </w:tcBorders>
            <w:shd w:val="clear" w:color="auto" w:fill="DBE5F1"/>
          </w:tcPr>
          <w:p w14:paraId="41316BF9" w14:textId="77777777" w:rsidR="0051738F" w:rsidRPr="001A4273" w:rsidRDefault="0051738F" w:rsidP="0051738F">
            <w:pPr>
              <w:keepNext/>
              <w:spacing w:after="0" w:line="240" w:lineRule="auto"/>
              <w:jc w:val="left"/>
              <w:outlineLvl w:val="1"/>
              <w:rPr>
                <w:rFonts w:cs="Arial"/>
                <w:b/>
                <w:iCs/>
                <w:color w:val="auto"/>
                <w:szCs w:val="23"/>
              </w:rPr>
            </w:pPr>
            <w:r w:rsidRPr="001A4273">
              <w:rPr>
                <w:rFonts w:cs="Arial"/>
                <w:b/>
                <w:iCs/>
                <w:color w:val="auto"/>
                <w:szCs w:val="23"/>
              </w:rPr>
              <w:t>Outcome</w:t>
            </w:r>
          </w:p>
        </w:tc>
        <w:tc>
          <w:tcPr>
            <w:tcW w:w="6237" w:type="dxa"/>
            <w:tcBorders>
              <w:top w:val="single" w:sz="8" w:space="0" w:color="4F81BD"/>
              <w:left w:val="single" w:sz="8" w:space="0" w:color="4F81BD"/>
              <w:bottom w:val="single" w:sz="8" w:space="0" w:color="4F81BD"/>
              <w:right w:val="single" w:sz="8" w:space="0" w:color="4F81BD"/>
            </w:tcBorders>
            <w:shd w:val="clear" w:color="auto" w:fill="DBE5F1"/>
          </w:tcPr>
          <w:p w14:paraId="2008174F" w14:textId="77777777" w:rsidR="0051738F" w:rsidRPr="001A4273" w:rsidRDefault="0051738F" w:rsidP="0051738F">
            <w:pPr>
              <w:keepNext/>
              <w:spacing w:after="0" w:line="240" w:lineRule="auto"/>
              <w:jc w:val="left"/>
              <w:outlineLvl w:val="1"/>
              <w:rPr>
                <w:rFonts w:cs="Arial"/>
                <w:b/>
                <w:iCs/>
                <w:color w:val="auto"/>
                <w:szCs w:val="23"/>
              </w:rPr>
            </w:pPr>
            <w:r w:rsidRPr="001A4273">
              <w:rPr>
                <w:rFonts w:cs="Arial"/>
                <w:b/>
                <w:iCs/>
                <w:color w:val="auto"/>
                <w:szCs w:val="23"/>
              </w:rPr>
              <w:t xml:space="preserve">Performance indicators </w:t>
            </w:r>
          </w:p>
        </w:tc>
      </w:tr>
      <w:tr w:rsidR="001A4273" w:rsidRPr="001A4273" w14:paraId="2E6BD908" w14:textId="77777777" w:rsidTr="005A3945">
        <w:trPr>
          <w:trHeight w:val="1341"/>
        </w:trPr>
        <w:tc>
          <w:tcPr>
            <w:tcW w:w="3109" w:type="dxa"/>
            <w:tcBorders>
              <w:top w:val="single" w:sz="8" w:space="0" w:color="4F81BD"/>
              <w:left w:val="single" w:sz="8" w:space="0" w:color="4F81BD"/>
              <w:bottom w:val="single" w:sz="8" w:space="0" w:color="4F81BD"/>
              <w:right w:val="single" w:sz="8" w:space="0" w:color="4F81BD"/>
            </w:tcBorders>
          </w:tcPr>
          <w:p w14:paraId="64244F19" w14:textId="77777777" w:rsidR="0051738F" w:rsidRPr="001A4273" w:rsidRDefault="0051738F" w:rsidP="0051738F">
            <w:pPr>
              <w:spacing w:after="0"/>
              <w:jc w:val="left"/>
              <w:rPr>
                <w:color w:val="auto"/>
                <w:szCs w:val="23"/>
              </w:rPr>
            </w:pPr>
            <w:r w:rsidRPr="001A4273">
              <w:rPr>
                <w:color w:val="auto"/>
                <w:szCs w:val="23"/>
              </w:rPr>
              <w:t>A well-functioning social housing system that operates efficiently, sustainably and is effective in assisting low income households and vulnerable groups to manage their needs</w:t>
            </w:r>
          </w:p>
          <w:p w14:paraId="5FFB6000" w14:textId="77777777" w:rsidR="0051738F" w:rsidRPr="001A4273" w:rsidRDefault="0051738F" w:rsidP="0051738F">
            <w:pPr>
              <w:spacing w:after="0"/>
              <w:jc w:val="left"/>
              <w:rPr>
                <w:color w:val="auto"/>
                <w:szCs w:val="23"/>
              </w:rPr>
            </w:pPr>
          </w:p>
          <w:p w14:paraId="499ECBBF" w14:textId="77777777" w:rsidR="0051738F" w:rsidRPr="001A4273" w:rsidRDefault="0051738F" w:rsidP="0051738F">
            <w:pPr>
              <w:spacing w:after="0"/>
              <w:jc w:val="left"/>
              <w:rPr>
                <w:color w:val="auto"/>
                <w:szCs w:val="23"/>
              </w:rPr>
            </w:pPr>
          </w:p>
          <w:p w14:paraId="6BFB3FDE" w14:textId="77777777" w:rsidR="0051738F" w:rsidRPr="001A4273" w:rsidRDefault="0051738F" w:rsidP="0051738F">
            <w:pPr>
              <w:spacing w:after="0"/>
              <w:jc w:val="left"/>
              <w:rPr>
                <w:color w:val="auto"/>
                <w:szCs w:val="23"/>
              </w:rPr>
            </w:pPr>
          </w:p>
          <w:p w14:paraId="20CE0D8E" w14:textId="77777777" w:rsidR="0051738F" w:rsidRPr="001A4273" w:rsidRDefault="0051738F" w:rsidP="0051738F">
            <w:pPr>
              <w:spacing w:after="0"/>
              <w:jc w:val="left"/>
              <w:rPr>
                <w:color w:val="auto"/>
                <w:szCs w:val="23"/>
              </w:rPr>
            </w:pPr>
          </w:p>
          <w:p w14:paraId="1BEAB543" w14:textId="77777777" w:rsidR="0051738F" w:rsidRPr="001A4273" w:rsidRDefault="0051738F" w:rsidP="0051738F">
            <w:pPr>
              <w:spacing w:after="0"/>
              <w:jc w:val="left"/>
              <w:rPr>
                <w:color w:val="auto"/>
                <w:szCs w:val="23"/>
              </w:rPr>
            </w:pPr>
          </w:p>
          <w:p w14:paraId="1638996B" w14:textId="77777777" w:rsidR="0051738F" w:rsidRPr="001A4273" w:rsidRDefault="0051738F" w:rsidP="0051738F">
            <w:pPr>
              <w:spacing w:after="0"/>
              <w:jc w:val="left"/>
              <w:rPr>
                <w:color w:val="auto"/>
                <w:szCs w:val="23"/>
              </w:rPr>
            </w:pPr>
          </w:p>
          <w:p w14:paraId="14625BB1" w14:textId="77777777" w:rsidR="0051738F" w:rsidRPr="001A4273" w:rsidRDefault="0051738F" w:rsidP="0051738F">
            <w:pPr>
              <w:spacing w:after="0"/>
              <w:jc w:val="left"/>
              <w:rPr>
                <w:color w:val="auto"/>
                <w:szCs w:val="23"/>
              </w:rPr>
            </w:pPr>
          </w:p>
          <w:p w14:paraId="1C644329" w14:textId="77777777" w:rsidR="0051738F" w:rsidRPr="001A4273" w:rsidRDefault="0051738F" w:rsidP="0051738F">
            <w:pPr>
              <w:spacing w:after="0"/>
              <w:jc w:val="left"/>
              <w:rPr>
                <w:color w:val="auto"/>
                <w:szCs w:val="23"/>
              </w:rPr>
            </w:pPr>
          </w:p>
        </w:tc>
        <w:tc>
          <w:tcPr>
            <w:tcW w:w="6237" w:type="dxa"/>
            <w:tcBorders>
              <w:top w:val="single" w:sz="8" w:space="0" w:color="4F81BD"/>
              <w:left w:val="single" w:sz="8" w:space="0" w:color="4F81BD"/>
              <w:bottom w:val="single" w:sz="8" w:space="0" w:color="4F81BD"/>
              <w:right w:val="single" w:sz="8" w:space="0" w:color="4F81BD"/>
            </w:tcBorders>
          </w:tcPr>
          <w:p w14:paraId="4D7135AA" w14:textId="77777777" w:rsidR="006A5B08" w:rsidRPr="001A4273" w:rsidRDefault="006A5B08" w:rsidP="0051738F">
            <w:pPr>
              <w:numPr>
                <w:ilvl w:val="0"/>
                <w:numId w:val="17"/>
              </w:numPr>
              <w:spacing w:after="0"/>
              <w:contextualSpacing/>
              <w:rPr>
                <w:color w:val="auto"/>
                <w:szCs w:val="23"/>
              </w:rPr>
            </w:pPr>
            <w:r w:rsidRPr="001A4273">
              <w:rPr>
                <w:color w:val="auto"/>
                <w:szCs w:val="23"/>
              </w:rPr>
              <w:t xml:space="preserve">Number of </w:t>
            </w:r>
            <w:r w:rsidR="00FE5258" w:rsidRPr="001A4273">
              <w:rPr>
                <w:color w:val="auto"/>
                <w:szCs w:val="23"/>
              </w:rPr>
              <w:t>public</w:t>
            </w:r>
            <w:r w:rsidR="00A50265" w:rsidRPr="001A4273">
              <w:rPr>
                <w:color w:val="auto"/>
                <w:szCs w:val="23"/>
              </w:rPr>
              <w:t xml:space="preserve"> </w:t>
            </w:r>
            <w:r w:rsidRPr="001A4273">
              <w:rPr>
                <w:color w:val="auto"/>
                <w:szCs w:val="23"/>
              </w:rPr>
              <w:t xml:space="preserve">housing </w:t>
            </w:r>
            <w:r w:rsidR="00A50265" w:rsidRPr="001A4273">
              <w:rPr>
                <w:color w:val="auto"/>
                <w:szCs w:val="23"/>
              </w:rPr>
              <w:t>dwellings</w:t>
            </w:r>
          </w:p>
          <w:p w14:paraId="0B249653" w14:textId="77777777" w:rsidR="006A5B08" w:rsidRPr="001A4273" w:rsidRDefault="006A5B08" w:rsidP="00752F37">
            <w:pPr>
              <w:spacing w:after="0"/>
              <w:ind w:left="360"/>
              <w:contextualSpacing/>
              <w:rPr>
                <w:color w:val="auto"/>
                <w:szCs w:val="23"/>
              </w:rPr>
            </w:pPr>
          </w:p>
          <w:p w14:paraId="15A7A048" w14:textId="77777777" w:rsidR="006A5B08" w:rsidRPr="001A4273" w:rsidRDefault="00A50265" w:rsidP="0051738F">
            <w:pPr>
              <w:numPr>
                <w:ilvl w:val="0"/>
                <w:numId w:val="17"/>
              </w:numPr>
              <w:spacing w:after="0"/>
              <w:contextualSpacing/>
              <w:rPr>
                <w:color w:val="auto"/>
                <w:szCs w:val="23"/>
              </w:rPr>
            </w:pPr>
            <w:r w:rsidRPr="001A4273">
              <w:rPr>
                <w:color w:val="auto"/>
                <w:szCs w:val="23"/>
              </w:rPr>
              <w:t>Number on waitlist</w:t>
            </w:r>
          </w:p>
          <w:p w14:paraId="5ABCB17D" w14:textId="77777777" w:rsidR="00A50265" w:rsidRPr="001A4273" w:rsidRDefault="00A50265" w:rsidP="004F0E3A">
            <w:pPr>
              <w:spacing w:after="0"/>
              <w:ind w:left="360"/>
              <w:contextualSpacing/>
              <w:rPr>
                <w:color w:val="auto"/>
                <w:szCs w:val="23"/>
              </w:rPr>
            </w:pPr>
          </w:p>
          <w:p w14:paraId="13F1DF41" w14:textId="77777777" w:rsidR="00A50265" w:rsidRPr="001A4273" w:rsidRDefault="00A50265" w:rsidP="0051738F">
            <w:pPr>
              <w:numPr>
                <w:ilvl w:val="0"/>
                <w:numId w:val="17"/>
              </w:numPr>
              <w:spacing w:after="0"/>
              <w:contextualSpacing/>
              <w:rPr>
                <w:color w:val="auto"/>
                <w:szCs w:val="23"/>
              </w:rPr>
            </w:pPr>
            <w:r w:rsidRPr="001A4273">
              <w:rPr>
                <w:color w:val="auto"/>
                <w:szCs w:val="23"/>
              </w:rPr>
              <w:t xml:space="preserve">% of dwellings underutilised </w:t>
            </w:r>
          </w:p>
          <w:p w14:paraId="410E8818" w14:textId="77777777" w:rsidR="00A50265" w:rsidRPr="001A4273" w:rsidRDefault="00A50265" w:rsidP="004F0E3A">
            <w:pPr>
              <w:spacing w:after="0"/>
              <w:ind w:left="360"/>
              <w:contextualSpacing/>
              <w:rPr>
                <w:color w:val="auto"/>
                <w:szCs w:val="23"/>
              </w:rPr>
            </w:pPr>
          </w:p>
          <w:p w14:paraId="6587E57F" w14:textId="77777777" w:rsidR="00A50265" w:rsidRPr="001A4273" w:rsidRDefault="00A50265" w:rsidP="0051738F">
            <w:pPr>
              <w:numPr>
                <w:ilvl w:val="0"/>
                <w:numId w:val="17"/>
              </w:numPr>
              <w:spacing w:after="0"/>
              <w:contextualSpacing/>
              <w:rPr>
                <w:color w:val="auto"/>
                <w:szCs w:val="23"/>
              </w:rPr>
            </w:pPr>
            <w:r w:rsidRPr="001A4273">
              <w:rPr>
                <w:color w:val="auto"/>
                <w:szCs w:val="23"/>
              </w:rPr>
              <w:t xml:space="preserve">% of dwellings overcrowded </w:t>
            </w:r>
          </w:p>
          <w:p w14:paraId="297C1EBE" w14:textId="77777777" w:rsidR="006A5B08" w:rsidRPr="001A4273" w:rsidRDefault="006A5B08" w:rsidP="00752F37">
            <w:pPr>
              <w:spacing w:after="0"/>
              <w:contextualSpacing/>
              <w:rPr>
                <w:color w:val="auto"/>
                <w:szCs w:val="23"/>
              </w:rPr>
            </w:pPr>
          </w:p>
          <w:p w14:paraId="19B41E31" w14:textId="77777777" w:rsidR="0051738F" w:rsidRPr="001A4273" w:rsidRDefault="0051738F" w:rsidP="0051738F">
            <w:pPr>
              <w:numPr>
                <w:ilvl w:val="0"/>
                <w:numId w:val="17"/>
              </w:numPr>
              <w:spacing w:after="0"/>
              <w:contextualSpacing/>
              <w:rPr>
                <w:color w:val="auto"/>
                <w:szCs w:val="23"/>
              </w:rPr>
            </w:pPr>
            <w:r w:rsidRPr="001A4273">
              <w:rPr>
                <w:color w:val="auto"/>
                <w:szCs w:val="23"/>
                <w:lang w:val="en-US"/>
              </w:rPr>
              <w:t xml:space="preserve">% of </w:t>
            </w:r>
            <w:r w:rsidR="00A50265" w:rsidRPr="001A4273">
              <w:rPr>
                <w:color w:val="auto"/>
                <w:szCs w:val="23"/>
                <w:lang w:val="en-US"/>
              </w:rPr>
              <w:t xml:space="preserve">greatest needs </w:t>
            </w:r>
            <w:r w:rsidRPr="001A4273">
              <w:rPr>
                <w:color w:val="auto"/>
                <w:szCs w:val="23"/>
                <w:lang w:val="en-US"/>
              </w:rPr>
              <w:t>applicants that are housed i</w:t>
            </w:r>
            <w:r w:rsidR="00A50265" w:rsidRPr="001A4273">
              <w:rPr>
                <w:color w:val="auto"/>
                <w:szCs w:val="23"/>
                <w:lang w:val="en-US"/>
              </w:rPr>
              <w:t>nto social housing</w:t>
            </w:r>
          </w:p>
          <w:p w14:paraId="2DF6F600" w14:textId="77777777" w:rsidR="0051738F" w:rsidRPr="001A4273" w:rsidRDefault="0051738F" w:rsidP="0051738F">
            <w:pPr>
              <w:spacing w:after="0"/>
              <w:ind w:left="720"/>
              <w:contextualSpacing/>
              <w:rPr>
                <w:color w:val="auto"/>
                <w:szCs w:val="23"/>
                <w:lang w:val="en-US"/>
              </w:rPr>
            </w:pPr>
          </w:p>
          <w:p w14:paraId="76481A50" w14:textId="77777777" w:rsidR="0051738F" w:rsidRPr="001A4273" w:rsidRDefault="0051738F" w:rsidP="0051738F">
            <w:pPr>
              <w:numPr>
                <w:ilvl w:val="0"/>
                <w:numId w:val="17"/>
              </w:numPr>
              <w:spacing w:after="0"/>
              <w:contextualSpacing/>
              <w:rPr>
                <w:color w:val="auto"/>
                <w:szCs w:val="23"/>
              </w:rPr>
            </w:pPr>
            <w:r w:rsidRPr="001A4273">
              <w:rPr>
                <w:color w:val="auto"/>
                <w:szCs w:val="23"/>
                <w:lang w:val="en-US"/>
              </w:rPr>
              <w:t>% of social housing households on low incomes in housing stress</w:t>
            </w:r>
            <w:r w:rsidR="00A50265" w:rsidRPr="001A4273">
              <w:rPr>
                <w:color w:val="auto"/>
                <w:szCs w:val="23"/>
                <w:lang w:val="en-US"/>
              </w:rPr>
              <w:t xml:space="preserve"> (&gt;30%)</w:t>
            </w:r>
            <w:r w:rsidRPr="001A4273">
              <w:rPr>
                <w:color w:val="auto"/>
                <w:szCs w:val="23"/>
                <w:lang w:val="en-US"/>
              </w:rPr>
              <w:t xml:space="preserve"> </w:t>
            </w:r>
          </w:p>
          <w:p w14:paraId="472677BB" w14:textId="77777777" w:rsidR="0051738F" w:rsidRPr="001A4273" w:rsidRDefault="0051738F" w:rsidP="0051738F">
            <w:pPr>
              <w:spacing w:after="0"/>
              <w:ind w:left="360"/>
              <w:contextualSpacing/>
              <w:rPr>
                <w:color w:val="auto"/>
                <w:szCs w:val="23"/>
              </w:rPr>
            </w:pPr>
          </w:p>
          <w:p w14:paraId="29CC26C3" w14:textId="77777777" w:rsidR="0051738F" w:rsidRPr="001A4273" w:rsidRDefault="00A50265" w:rsidP="0051738F">
            <w:pPr>
              <w:numPr>
                <w:ilvl w:val="0"/>
                <w:numId w:val="17"/>
              </w:numPr>
              <w:spacing w:after="0"/>
              <w:contextualSpacing/>
              <w:jc w:val="left"/>
              <w:rPr>
                <w:color w:val="auto"/>
                <w:szCs w:val="23"/>
              </w:rPr>
            </w:pPr>
            <w:r w:rsidRPr="001A4273">
              <w:rPr>
                <w:color w:val="auto"/>
                <w:szCs w:val="23"/>
              </w:rPr>
              <w:t>Proportion of social housing occupied by Aboriginal people</w:t>
            </w:r>
          </w:p>
          <w:p w14:paraId="17F7DAEA" w14:textId="77777777" w:rsidR="00A50265" w:rsidRPr="001A4273" w:rsidRDefault="00A50265" w:rsidP="004F0E3A">
            <w:pPr>
              <w:spacing w:after="0"/>
              <w:ind w:left="360"/>
              <w:contextualSpacing/>
              <w:jc w:val="left"/>
              <w:rPr>
                <w:color w:val="auto"/>
                <w:szCs w:val="23"/>
              </w:rPr>
            </w:pPr>
          </w:p>
          <w:p w14:paraId="1A95EED8" w14:textId="77777777" w:rsidR="00A50265" w:rsidRPr="001A4273" w:rsidRDefault="00A50265" w:rsidP="0051738F">
            <w:pPr>
              <w:numPr>
                <w:ilvl w:val="0"/>
                <w:numId w:val="17"/>
              </w:numPr>
              <w:spacing w:after="0"/>
              <w:contextualSpacing/>
              <w:jc w:val="left"/>
              <w:rPr>
                <w:color w:val="auto"/>
                <w:szCs w:val="23"/>
              </w:rPr>
            </w:pPr>
            <w:r w:rsidRPr="001A4273">
              <w:rPr>
                <w:color w:val="auto"/>
                <w:szCs w:val="23"/>
              </w:rPr>
              <w:t xml:space="preserve">Net recurrent cost for </w:t>
            </w:r>
            <w:r w:rsidR="00FE5258" w:rsidRPr="001A4273">
              <w:rPr>
                <w:color w:val="auto"/>
                <w:szCs w:val="23"/>
              </w:rPr>
              <w:t>public</w:t>
            </w:r>
            <w:r w:rsidRPr="001A4273">
              <w:rPr>
                <w:color w:val="auto"/>
                <w:szCs w:val="23"/>
              </w:rPr>
              <w:t xml:space="preserve"> housing</w:t>
            </w:r>
          </w:p>
          <w:p w14:paraId="04F891EA" w14:textId="77777777" w:rsidR="004F0E3A" w:rsidRPr="001A4273" w:rsidRDefault="004F0E3A" w:rsidP="006659AA">
            <w:pPr>
              <w:spacing w:after="0"/>
              <w:ind w:left="360"/>
              <w:contextualSpacing/>
              <w:jc w:val="left"/>
              <w:rPr>
                <w:color w:val="auto"/>
                <w:szCs w:val="23"/>
              </w:rPr>
            </w:pPr>
          </w:p>
          <w:p w14:paraId="4F026F63" w14:textId="77777777" w:rsidR="004F0E3A" w:rsidRPr="001A4273" w:rsidRDefault="004F0E3A" w:rsidP="0051738F">
            <w:pPr>
              <w:numPr>
                <w:ilvl w:val="0"/>
                <w:numId w:val="17"/>
              </w:numPr>
              <w:spacing w:after="0"/>
              <w:contextualSpacing/>
              <w:jc w:val="left"/>
              <w:rPr>
                <w:color w:val="auto"/>
                <w:szCs w:val="23"/>
              </w:rPr>
            </w:pPr>
            <w:r w:rsidRPr="001A4273">
              <w:rPr>
                <w:color w:val="auto"/>
                <w:szCs w:val="23"/>
              </w:rPr>
              <w:t>Total number of new households provided with financial assistance (loans)</w:t>
            </w:r>
          </w:p>
          <w:p w14:paraId="2B77F757" w14:textId="77777777" w:rsidR="00A50265" w:rsidRPr="001A4273" w:rsidRDefault="00A50265" w:rsidP="006659AA">
            <w:pPr>
              <w:spacing w:after="0"/>
              <w:ind w:left="360"/>
              <w:contextualSpacing/>
              <w:jc w:val="left"/>
              <w:rPr>
                <w:color w:val="auto"/>
                <w:szCs w:val="23"/>
              </w:rPr>
            </w:pPr>
          </w:p>
          <w:p w14:paraId="34589E4C" w14:textId="77777777" w:rsidR="00A50265" w:rsidRPr="001A4273" w:rsidRDefault="00A50265" w:rsidP="0051738F">
            <w:pPr>
              <w:numPr>
                <w:ilvl w:val="0"/>
                <w:numId w:val="17"/>
              </w:numPr>
              <w:spacing w:after="0"/>
              <w:contextualSpacing/>
              <w:jc w:val="left"/>
              <w:rPr>
                <w:color w:val="auto"/>
                <w:szCs w:val="23"/>
              </w:rPr>
            </w:pPr>
            <w:r w:rsidRPr="001A4273">
              <w:rPr>
                <w:color w:val="auto"/>
                <w:szCs w:val="23"/>
              </w:rPr>
              <w:t xml:space="preserve">Average duration of tenancies living </w:t>
            </w:r>
            <w:r w:rsidR="00422688" w:rsidRPr="001A4273">
              <w:rPr>
                <w:color w:val="auto"/>
                <w:szCs w:val="23"/>
              </w:rPr>
              <w:t xml:space="preserve">in </w:t>
            </w:r>
            <w:r w:rsidR="00FE5258" w:rsidRPr="001A4273">
              <w:rPr>
                <w:color w:val="auto"/>
                <w:szCs w:val="23"/>
              </w:rPr>
              <w:t>public</w:t>
            </w:r>
            <w:r w:rsidRPr="001A4273">
              <w:rPr>
                <w:color w:val="auto"/>
                <w:szCs w:val="23"/>
              </w:rPr>
              <w:t xml:space="preserve"> housing</w:t>
            </w:r>
          </w:p>
          <w:p w14:paraId="46BD8D58" w14:textId="77777777" w:rsidR="00A50265" w:rsidRPr="001A4273" w:rsidRDefault="00A50265" w:rsidP="006659AA">
            <w:pPr>
              <w:spacing w:after="0"/>
              <w:ind w:left="360"/>
              <w:contextualSpacing/>
              <w:jc w:val="left"/>
              <w:rPr>
                <w:color w:val="auto"/>
                <w:szCs w:val="23"/>
              </w:rPr>
            </w:pPr>
          </w:p>
          <w:p w14:paraId="70E44A99" w14:textId="77777777" w:rsidR="00A50265" w:rsidRPr="001A4273" w:rsidRDefault="000251F5" w:rsidP="0051738F">
            <w:pPr>
              <w:numPr>
                <w:ilvl w:val="0"/>
                <w:numId w:val="17"/>
              </w:numPr>
              <w:spacing w:after="0"/>
              <w:contextualSpacing/>
              <w:jc w:val="left"/>
              <w:rPr>
                <w:color w:val="auto"/>
                <w:szCs w:val="23"/>
              </w:rPr>
            </w:pPr>
            <w:r w:rsidRPr="001A4273">
              <w:rPr>
                <w:color w:val="auto"/>
                <w:szCs w:val="23"/>
              </w:rPr>
              <w:t>Number of h</w:t>
            </w:r>
            <w:r w:rsidR="00A50265" w:rsidRPr="001A4273">
              <w:rPr>
                <w:color w:val="auto"/>
                <w:szCs w:val="23"/>
              </w:rPr>
              <w:t>omelands and town camps funded</w:t>
            </w:r>
          </w:p>
          <w:p w14:paraId="010EC36D" w14:textId="77777777" w:rsidR="0051738F" w:rsidRPr="001A4273" w:rsidRDefault="0051738F" w:rsidP="0051738F">
            <w:pPr>
              <w:spacing w:after="0"/>
              <w:ind w:left="360"/>
              <w:contextualSpacing/>
              <w:jc w:val="left"/>
              <w:rPr>
                <w:color w:val="auto"/>
                <w:szCs w:val="23"/>
              </w:rPr>
            </w:pPr>
          </w:p>
        </w:tc>
      </w:tr>
      <w:tr w:rsidR="0051738F" w:rsidRPr="0051738F" w14:paraId="0CE4FD32" w14:textId="77777777" w:rsidTr="005A3945">
        <w:trPr>
          <w:trHeight w:val="1341"/>
        </w:trPr>
        <w:tc>
          <w:tcPr>
            <w:tcW w:w="3109" w:type="dxa"/>
            <w:tcBorders>
              <w:top w:val="single" w:sz="8" w:space="0" w:color="4F81BD"/>
              <w:left w:val="single" w:sz="8" w:space="0" w:color="4F81BD"/>
              <w:bottom w:val="single" w:sz="8" w:space="0" w:color="4F81BD"/>
              <w:right w:val="single" w:sz="8" w:space="0" w:color="4F81BD"/>
            </w:tcBorders>
          </w:tcPr>
          <w:p w14:paraId="7A71D6BB" w14:textId="77777777" w:rsidR="0051738F" w:rsidRPr="001A4273" w:rsidRDefault="0051738F" w:rsidP="003A6069">
            <w:pPr>
              <w:spacing w:after="0"/>
              <w:jc w:val="left"/>
              <w:rPr>
                <w:color w:val="auto"/>
                <w:szCs w:val="23"/>
              </w:rPr>
            </w:pPr>
            <w:r w:rsidRPr="001A4273">
              <w:rPr>
                <w:color w:val="auto"/>
                <w:szCs w:val="23"/>
              </w:rPr>
              <w:t>An effective homelessness service system, which responds to and supports people who are homeless or at risk of homelessness to achieve and maintain housing, and addresses the incidence and prevalence of homelessness</w:t>
            </w:r>
          </w:p>
        </w:tc>
        <w:tc>
          <w:tcPr>
            <w:tcW w:w="6237" w:type="dxa"/>
            <w:tcBorders>
              <w:top w:val="single" w:sz="8" w:space="0" w:color="4F81BD"/>
              <w:left w:val="single" w:sz="8" w:space="0" w:color="4F81BD"/>
              <w:bottom w:val="single" w:sz="8" w:space="0" w:color="4F81BD"/>
              <w:right w:val="single" w:sz="8" w:space="0" w:color="4F81BD"/>
            </w:tcBorders>
          </w:tcPr>
          <w:p w14:paraId="7C47AC91" w14:textId="77777777" w:rsidR="0051738F" w:rsidRPr="001A4273" w:rsidRDefault="0051738F" w:rsidP="00E82F66">
            <w:pPr>
              <w:numPr>
                <w:ilvl w:val="0"/>
                <w:numId w:val="18"/>
              </w:numPr>
              <w:contextualSpacing/>
              <w:jc w:val="left"/>
              <w:rPr>
                <w:color w:val="auto"/>
              </w:rPr>
            </w:pPr>
            <w:r w:rsidRPr="001A4273">
              <w:rPr>
                <w:color w:val="auto"/>
                <w:lang w:val="en-US"/>
              </w:rPr>
              <w:t xml:space="preserve">% unmet demand for accommodation and other services </w:t>
            </w:r>
          </w:p>
          <w:p w14:paraId="64B43D05" w14:textId="77777777" w:rsidR="0051738F" w:rsidRPr="001A4273" w:rsidRDefault="0051738F" w:rsidP="00E82F66">
            <w:pPr>
              <w:ind w:left="360"/>
              <w:contextualSpacing/>
              <w:jc w:val="left"/>
              <w:rPr>
                <w:color w:val="auto"/>
              </w:rPr>
            </w:pPr>
          </w:p>
          <w:p w14:paraId="7195DCE1" w14:textId="77777777" w:rsidR="0051738F" w:rsidRPr="001A4273" w:rsidRDefault="0051738F" w:rsidP="00E82F66">
            <w:pPr>
              <w:numPr>
                <w:ilvl w:val="0"/>
                <w:numId w:val="18"/>
              </w:numPr>
              <w:contextualSpacing/>
              <w:jc w:val="left"/>
              <w:rPr>
                <w:color w:val="auto"/>
              </w:rPr>
            </w:pPr>
            <w:r w:rsidRPr="001A4273">
              <w:rPr>
                <w:color w:val="auto"/>
              </w:rPr>
              <w:t>% of people who receive assistance to maintain stable housing who do not become homeless</w:t>
            </w:r>
          </w:p>
          <w:p w14:paraId="1D478B71" w14:textId="77777777" w:rsidR="0051738F" w:rsidRPr="001A4273" w:rsidRDefault="0051738F" w:rsidP="00E82F66">
            <w:pPr>
              <w:ind w:left="720"/>
              <w:contextualSpacing/>
              <w:jc w:val="left"/>
              <w:rPr>
                <w:color w:val="auto"/>
              </w:rPr>
            </w:pPr>
          </w:p>
          <w:p w14:paraId="5CBD3083" w14:textId="77777777" w:rsidR="0051738F" w:rsidRPr="001A4273" w:rsidRDefault="0051738F" w:rsidP="00E82F66">
            <w:pPr>
              <w:numPr>
                <w:ilvl w:val="0"/>
                <w:numId w:val="18"/>
              </w:numPr>
              <w:contextualSpacing/>
              <w:jc w:val="left"/>
              <w:rPr>
                <w:color w:val="auto"/>
              </w:rPr>
            </w:pPr>
            <w:r w:rsidRPr="001A4273">
              <w:rPr>
                <w:color w:val="auto"/>
              </w:rPr>
              <w:t>% of assisted people who remain in stable housing after episode of support</w:t>
            </w:r>
          </w:p>
          <w:p w14:paraId="60FAEFD9" w14:textId="77777777" w:rsidR="0051738F" w:rsidRPr="001A4273" w:rsidRDefault="0051738F" w:rsidP="00E82F66">
            <w:pPr>
              <w:ind w:left="360"/>
              <w:contextualSpacing/>
              <w:jc w:val="left"/>
              <w:rPr>
                <w:color w:val="auto"/>
              </w:rPr>
            </w:pPr>
          </w:p>
          <w:p w14:paraId="15D04501" w14:textId="77777777" w:rsidR="0051738F" w:rsidRPr="001A4273" w:rsidRDefault="0051738F" w:rsidP="00E82F66">
            <w:pPr>
              <w:numPr>
                <w:ilvl w:val="0"/>
                <w:numId w:val="18"/>
              </w:numPr>
              <w:contextualSpacing/>
              <w:jc w:val="left"/>
              <w:rPr>
                <w:color w:val="auto"/>
              </w:rPr>
            </w:pPr>
            <w:r w:rsidRPr="001A4273">
              <w:rPr>
                <w:color w:val="auto"/>
              </w:rPr>
              <w:t>% of assisted people experiencing repeat periods of homelessness</w:t>
            </w:r>
          </w:p>
          <w:p w14:paraId="71F403CA" w14:textId="77777777" w:rsidR="004F0E3A" w:rsidRPr="001A4273" w:rsidRDefault="004F0E3A" w:rsidP="006659AA">
            <w:pPr>
              <w:ind w:left="360"/>
              <w:contextualSpacing/>
              <w:jc w:val="left"/>
              <w:rPr>
                <w:color w:val="auto"/>
              </w:rPr>
            </w:pPr>
          </w:p>
          <w:p w14:paraId="394240B6" w14:textId="77777777" w:rsidR="004F0E3A" w:rsidRPr="001A4273" w:rsidRDefault="004F0E3A" w:rsidP="00E82F66">
            <w:pPr>
              <w:numPr>
                <w:ilvl w:val="0"/>
                <w:numId w:val="18"/>
              </w:numPr>
              <w:contextualSpacing/>
              <w:jc w:val="left"/>
              <w:rPr>
                <w:color w:val="auto"/>
              </w:rPr>
            </w:pPr>
            <w:r w:rsidRPr="001A4273">
              <w:rPr>
                <w:color w:val="auto"/>
              </w:rPr>
              <w:t>Number accessing special homelessness services</w:t>
            </w:r>
          </w:p>
          <w:p w14:paraId="3DB96859" w14:textId="77777777" w:rsidR="00336AAE" w:rsidRPr="001A4273" w:rsidRDefault="00336AAE" w:rsidP="00E82F66">
            <w:pPr>
              <w:contextualSpacing/>
              <w:jc w:val="left"/>
              <w:rPr>
                <w:color w:val="auto"/>
              </w:rPr>
            </w:pPr>
          </w:p>
        </w:tc>
      </w:tr>
    </w:tbl>
    <w:p w14:paraId="47D218FE" w14:textId="77777777" w:rsidR="0066121B" w:rsidRDefault="0066121B" w:rsidP="002526CD">
      <w:pPr>
        <w:pStyle w:val="Heading1"/>
      </w:pPr>
    </w:p>
    <w:p w14:paraId="62159A18" w14:textId="77777777" w:rsidR="0066121B" w:rsidRDefault="0066121B">
      <w:pPr>
        <w:spacing w:after="200" w:line="276" w:lineRule="auto"/>
        <w:jc w:val="left"/>
        <w:rPr>
          <w:rFonts w:ascii="Consolas" w:hAnsi="Consolas" w:cs="Arial"/>
          <w:bCs/>
          <w:caps/>
          <w:color w:val="3D4B67"/>
          <w:kern w:val="32"/>
          <w:sz w:val="32"/>
          <w:szCs w:val="36"/>
        </w:rPr>
      </w:pPr>
      <w:r>
        <w:br w:type="page"/>
      </w:r>
    </w:p>
    <w:p w14:paraId="71C5720B" w14:textId="77777777" w:rsidR="002526CD" w:rsidRDefault="002526CD" w:rsidP="002526CD">
      <w:pPr>
        <w:pStyle w:val="Heading1"/>
      </w:pPr>
      <w:r>
        <w:lastRenderedPageBreak/>
        <w:t>Part 6 – reporting</w:t>
      </w:r>
    </w:p>
    <w:p w14:paraId="3EB4FC58" w14:textId="77777777" w:rsidR="007526A2" w:rsidRPr="001A4273" w:rsidRDefault="006C56CA" w:rsidP="007D7125">
      <w:pPr>
        <w:pStyle w:val="Normalnumbered"/>
        <w:numPr>
          <w:ilvl w:val="0"/>
          <w:numId w:val="1"/>
        </w:numPr>
        <w:jc w:val="left"/>
        <w:rPr>
          <w:rFonts w:eastAsia="Times New Roman" w:cs="Times New Roman"/>
          <w:color w:val="auto"/>
          <w:szCs w:val="20"/>
          <w:lang w:eastAsia="en-AU"/>
        </w:rPr>
      </w:pPr>
      <w:r w:rsidRPr="001A4273">
        <w:rPr>
          <w:rFonts w:eastAsia="Times New Roman" w:cs="Times New Roman"/>
          <w:color w:val="auto"/>
          <w:szCs w:val="20"/>
          <w:lang w:eastAsia="en-AU"/>
        </w:rPr>
        <w:t>As required by clause 40 of the Agreement, the Northern Territory will produce an annual report on the implementation of the reforms and initiatives agreed in this Parts 2, 3 and 5 of this Schedule.  The report will be provided to the Commonwealth Minister with portfolio responsibility for housing and homelessness</w:t>
      </w:r>
      <w:r w:rsidR="00891F49">
        <w:rPr>
          <w:rFonts w:eastAsia="Times New Roman" w:cs="Times New Roman"/>
          <w:color w:val="auto"/>
          <w:szCs w:val="20"/>
          <w:lang w:eastAsia="en-AU"/>
        </w:rPr>
        <w:t xml:space="preserve"> </w:t>
      </w:r>
      <w:r w:rsidR="00891F49">
        <w:t xml:space="preserve">and will be made publicly available.  </w:t>
      </w:r>
    </w:p>
    <w:p w14:paraId="40418879" w14:textId="77777777" w:rsidR="00DA0D2D" w:rsidRDefault="00DA0D2D" w:rsidP="008A5AD2">
      <w:pPr>
        <w:pStyle w:val="Normalnumbered"/>
        <w:numPr>
          <w:ilvl w:val="0"/>
          <w:numId w:val="1"/>
        </w:numPr>
        <w:jc w:val="left"/>
      </w:pPr>
      <w:r>
        <w:t xml:space="preserve">The </w:t>
      </w:r>
      <w:r w:rsidR="009D4C79">
        <w:t>report</w:t>
      </w:r>
      <w:r>
        <w:t xml:space="preserve"> will consist of the following:</w:t>
      </w:r>
    </w:p>
    <w:p w14:paraId="2D1D4EE4" w14:textId="77777777" w:rsidR="00DA0D2D" w:rsidRDefault="00DA0D2D" w:rsidP="008A5AD2">
      <w:pPr>
        <w:pStyle w:val="Normalnumbered"/>
        <w:numPr>
          <w:ilvl w:val="1"/>
          <w:numId w:val="1"/>
        </w:numPr>
        <w:jc w:val="left"/>
      </w:pPr>
      <w:r w:rsidRPr="00FF05A2">
        <w:t>The Department of Housing and Community Development</w:t>
      </w:r>
      <w:r>
        <w:t>’s</w:t>
      </w:r>
      <w:r w:rsidRPr="00FF05A2">
        <w:t xml:space="preserve"> Annual Report, </w:t>
      </w:r>
      <w:r>
        <w:t xml:space="preserve">which is </w:t>
      </w:r>
      <w:r w:rsidRPr="00FF05A2">
        <w:t>released within three months after the end of the financial year.  That report provides comprehensive reporting on the social housing and homelessness sectors and includes key statistics and data as well as strategic performance indicators.  This report will cover the implementation of social housing and homelessness reforms and initiatives outlined in Parts 2, 3 and 5 of this Agreement;</w:t>
      </w:r>
    </w:p>
    <w:p w14:paraId="58685EDD" w14:textId="77777777" w:rsidR="00DA0D2D" w:rsidRDefault="00DA0D2D" w:rsidP="008A5AD2">
      <w:pPr>
        <w:pStyle w:val="Normalnumbered"/>
        <w:numPr>
          <w:ilvl w:val="1"/>
          <w:numId w:val="1"/>
        </w:numPr>
        <w:jc w:val="left"/>
      </w:pPr>
      <w:r>
        <w:t>The Report on Government Services on housing and homelessness issued by the Productivity Commission in January of each year;</w:t>
      </w:r>
    </w:p>
    <w:p w14:paraId="370C1C8D" w14:textId="77777777" w:rsidR="00C90AF8" w:rsidRDefault="00C90AF8" w:rsidP="008A5AD2">
      <w:pPr>
        <w:pStyle w:val="Normalnumbered"/>
        <w:numPr>
          <w:ilvl w:val="1"/>
          <w:numId w:val="1"/>
        </w:numPr>
        <w:jc w:val="left"/>
      </w:pPr>
      <w:r>
        <w:t xml:space="preserve">The </w:t>
      </w:r>
      <w:r w:rsidR="003A6069" w:rsidRPr="003A6069">
        <w:t xml:space="preserve">Specialist Homelessness Services Report </w:t>
      </w:r>
      <w:r w:rsidR="003A6069">
        <w:t xml:space="preserve">issued by the </w:t>
      </w:r>
      <w:r w:rsidR="003A6069" w:rsidRPr="003A6069">
        <w:t>Australian Instit</w:t>
      </w:r>
      <w:r w:rsidR="002E4A1B">
        <w:t>ute of Health and Welfare</w:t>
      </w:r>
      <w:r w:rsidR="003A6069" w:rsidRPr="003A6069">
        <w:t xml:space="preserve"> </w:t>
      </w:r>
      <w:r w:rsidR="003A6069">
        <w:t>in December of each year;</w:t>
      </w:r>
      <w:r w:rsidR="001C1D77">
        <w:t xml:space="preserve"> and</w:t>
      </w:r>
    </w:p>
    <w:p w14:paraId="66B02603" w14:textId="77777777" w:rsidR="00891F49" w:rsidRDefault="00891F49" w:rsidP="008A5AD2">
      <w:pPr>
        <w:pStyle w:val="Normalnumbered"/>
        <w:numPr>
          <w:ilvl w:val="1"/>
          <w:numId w:val="1"/>
        </w:numPr>
        <w:jc w:val="left"/>
      </w:pPr>
      <w:r>
        <w:t>Reporting on a</w:t>
      </w:r>
      <w:r w:rsidRPr="00E834C6">
        <w:t>ny remaining initiatives not covered by</w:t>
      </w:r>
      <w:r>
        <w:t xml:space="preserve"> the</w:t>
      </w:r>
      <w:r w:rsidRPr="00E834C6">
        <w:t xml:space="preserve"> </w:t>
      </w:r>
      <w:r>
        <w:t>above r</w:t>
      </w:r>
      <w:r w:rsidRPr="00E834C6">
        <w:t>eports</w:t>
      </w:r>
      <w:r>
        <w:t>.</w:t>
      </w:r>
    </w:p>
    <w:p w14:paraId="0EAF244C" w14:textId="77777777" w:rsidR="00DB08F8" w:rsidRPr="008A4997" w:rsidRDefault="00D34324" w:rsidP="00DB08F8">
      <w:pPr>
        <w:pStyle w:val="Normalnumbered"/>
        <w:numPr>
          <w:ilvl w:val="0"/>
          <w:numId w:val="1"/>
        </w:numPr>
        <w:jc w:val="left"/>
        <w:rPr>
          <w:color w:val="auto"/>
        </w:rPr>
      </w:pPr>
      <w:r w:rsidRPr="002A3D20">
        <w:rPr>
          <w:color w:val="auto"/>
        </w:rPr>
        <w:t xml:space="preserve">In respect of the requirement in paragraph 37(a)(i) of the Agreement to disaggregate funding against priority homelessness cohorts, the Northern Territory will include disaggregated expenditure against the national priority cohorts; however, where not possible, expenditure will be identified as expenditure on general homelessness services. </w:t>
      </w:r>
      <w:r w:rsidR="00DB08F8" w:rsidRPr="008A4997">
        <w:rPr>
          <w:color w:val="auto"/>
        </w:rPr>
        <w:t xml:space="preserve">The expenditure on general homelessness services will include additional information, which at a minimum would include a list of the programs delivering general homelessness services. </w:t>
      </w:r>
    </w:p>
    <w:p w14:paraId="70103DF7" w14:textId="77777777" w:rsidR="00DB08F8" w:rsidRPr="008A4997" w:rsidRDefault="00DB08F8" w:rsidP="00DB08F8">
      <w:pPr>
        <w:pStyle w:val="Normalnumbered"/>
        <w:numPr>
          <w:ilvl w:val="0"/>
          <w:numId w:val="1"/>
        </w:numPr>
        <w:jc w:val="left"/>
        <w:rPr>
          <w:color w:val="auto"/>
        </w:rPr>
      </w:pPr>
      <w:r w:rsidRPr="008A4997">
        <w:rPr>
          <w:color w:val="auto"/>
        </w:rPr>
        <w:t>To meet the requirement in paragraph 37(a)(i) of the Agreement,  the Commonwealth and the Northern Territory will work together to provide information relating to the proportion of clients from the national priority cohorts supported by the general homelessness services. </w:t>
      </w:r>
    </w:p>
    <w:p w14:paraId="3A261C13" w14:textId="77777777" w:rsidR="00EB036A" w:rsidRPr="00EB5E0F" w:rsidRDefault="00EB036A" w:rsidP="00EB036A">
      <w:pPr>
        <w:pStyle w:val="Heading1"/>
      </w:pPr>
      <w:r w:rsidRPr="00EB5E0F">
        <w:t>Part 7 – OTHER CONDITIONS/PRIORITY POLICY AREAS</w:t>
      </w:r>
    </w:p>
    <w:p w14:paraId="630FDB98" w14:textId="77777777" w:rsidR="00DA0D2D" w:rsidRDefault="00DA0D2D" w:rsidP="006B78A5">
      <w:pPr>
        <w:pStyle w:val="Normalnumbered"/>
        <w:numPr>
          <w:ilvl w:val="0"/>
          <w:numId w:val="1"/>
        </w:numPr>
        <w:spacing w:after="200" w:line="276" w:lineRule="auto"/>
        <w:jc w:val="left"/>
        <w:rPr>
          <w:color w:val="auto"/>
        </w:rPr>
      </w:pPr>
      <w:r w:rsidRPr="00726E7B">
        <w:rPr>
          <w:color w:val="auto"/>
        </w:rPr>
        <w:t>Other conditions and/or priority policy areas may be agreed between the Parties from time to time.</w:t>
      </w:r>
    </w:p>
    <w:p w14:paraId="72683620" w14:textId="77777777" w:rsidR="00F75957" w:rsidRPr="00726E7B" w:rsidRDefault="00F75957" w:rsidP="00644AA3">
      <w:pPr>
        <w:pStyle w:val="Normalnumbered"/>
        <w:numPr>
          <w:ilvl w:val="0"/>
          <w:numId w:val="1"/>
        </w:numPr>
        <w:spacing w:after="200" w:line="276" w:lineRule="auto"/>
        <w:jc w:val="left"/>
        <w:rPr>
          <w:color w:val="0070C0"/>
        </w:rPr>
      </w:pPr>
      <w:r w:rsidRPr="00726E7B">
        <w:rPr>
          <w:bCs/>
          <w:caps/>
          <w:color w:val="0070C0"/>
        </w:rPr>
        <w:br w:type="page"/>
      </w:r>
    </w:p>
    <w:p w14:paraId="22F156A6" w14:textId="77777777" w:rsidR="003E00B6" w:rsidRDefault="002526CD" w:rsidP="003E00B6">
      <w:pPr>
        <w:pStyle w:val="Heading1"/>
      </w:pPr>
      <w:r>
        <w:lastRenderedPageBreak/>
        <w:t xml:space="preserve">Part </w:t>
      </w:r>
      <w:r w:rsidR="00EB036A">
        <w:t xml:space="preserve">8 </w:t>
      </w:r>
      <w:r w:rsidR="00695488">
        <w:t>–</w:t>
      </w:r>
      <w:r w:rsidR="003E00B6">
        <w:t xml:space="preserve"> Sign Off</w:t>
      </w:r>
    </w:p>
    <w:p w14:paraId="1F95DCDF" w14:textId="77777777" w:rsidR="003E00B6" w:rsidRDefault="003E00B6" w:rsidP="008A4997">
      <w:pPr>
        <w:pStyle w:val="Normalnumbered"/>
        <w:numPr>
          <w:ilvl w:val="0"/>
          <w:numId w:val="29"/>
        </w:numPr>
        <w:spacing w:after="200" w:line="276" w:lineRule="auto"/>
        <w:jc w:val="left"/>
        <w:rPr>
          <w:color w:val="auto"/>
        </w:rPr>
      </w:pPr>
      <w:r>
        <w:rPr>
          <w:color w:val="auto"/>
        </w:rPr>
        <w:t>The Parties have confirmed their commitment to this agreement as follows:</w:t>
      </w:r>
    </w:p>
    <w:p w14:paraId="53472430" w14:textId="77777777" w:rsidR="003E00B6" w:rsidRDefault="003E00B6" w:rsidP="003E00B6">
      <w:pPr>
        <w:pStyle w:val="ScheduleNumberedPara"/>
        <w:rPr>
          <w:rFonts w:ascii="Times New Roman" w:hAnsi="Times New Roman"/>
          <w:color w:val="auto"/>
          <w:sz w:val="24"/>
          <w:szCs w:val="24"/>
        </w:rPr>
      </w:pPr>
      <w:r>
        <w:rPr>
          <w:rFonts w:ascii="Times New Roman" w:hAnsi="Times New Roman"/>
          <w:b/>
          <w:color w:val="auto"/>
          <w:sz w:val="24"/>
          <w:szCs w:val="24"/>
        </w:rPr>
        <w:t>Signed</w:t>
      </w:r>
      <w:r>
        <w:rPr>
          <w:rFonts w:ascii="Times New Roman" w:hAnsi="Times New Roman"/>
          <w:color w:val="auto"/>
          <w:sz w:val="24"/>
          <w:szCs w:val="24"/>
        </w:rPr>
        <w:t xml:space="preserve"> </w:t>
      </w:r>
      <w:r>
        <w:rPr>
          <w:rFonts w:ascii="Times New Roman" w:hAnsi="Times New Roman"/>
          <w:i/>
          <w:color w:val="auto"/>
          <w:sz w:val="24"/>
          <w:szCs w:val="24"/>
        </w:rPr>
        <w:t>for and on behalf of the Commonwealth of Australia by</w:t>
      </w:r>
    </w:p>
    <w:p w14:paraId="6B4422B9" w14:textId="77777777" w:rsidR="003E00B6" w:rsidRDefault="003E00B6" w:rsidP="003E00B6">
      <w:pPr>
        <w:pStyle w:val="ScheduleNumberedPara"/>
        <w:rPr>
          <w:color w:val="auto"/>
          <w:szCs w:val="20"/>
        </w:rPr>
      </w:pPr>
    </w:p>
    <w:p w14:paraId="2FF4F284" w14:textId="77777777" w:rsidR="003E00B6" w:rsidRDefault="003E00B6" w:rsidP="003E00B6">
      <w:pPr>
        <w:pStyle w:val="ScheduleNumberedPara"/>
        <w:rPr>
          <w:color w:val="auto"/>
        </w:rPr>
      </w:pPr>
    </w:p>
    <w:p w14:paraId="63088D97" w14:textId="77777777" w:rsidR="003E00B6" w:rsidRDefault="003E00B6" w:rsidP="003E00B6">
      <w:pPr>
        <w:pStyle w:val="ScheduleNumberedPara"/>
        <w:rPr>
          <w:color w:val="auto"/>
        </w:rPr>
      </w:pPr>
    </w:p>
    <w:p w14:paraId="5A2CB950" w14:textId="77777777" w:rsidR="003E00B6" w:rsidRDefault="003E00B6" w:rsidP="003E00B6">
      <w:pPr>
        <w:pStyle w:val="ScheduleNumberedPara"/>
        <w:tabs>
          <w:tab w:val="num" w:pos="2268"/>
        </w:tabs>
        <w:rPr>
          <w:color w:val="auto"/>
        </w:rPr>
      </w:pPr>
      <w:r>
        <w:rPr>
          <w:color w:val="auto"/>
        </w:rPr>
        <w:t>-----------------------------------------------------</w:t>
      </w:r>
    </w:p>
    <w:p w14:paraId="00CE1BA4" w14:textId="77777777" w:rsidR="003E00B6" w:rsidRDefault="003E00B6" w:rsidP="003E00B6">
      <w:pPr>
        <w:pStyle w:val="SingleParagraph"/>
        <w:rPr>
          <w:rStyle w:val="Bold"/>
        </w:rPr>
      </w:pPr>
      <w:r>
        <w:rPr>
          <w:rStyle w:val="Bold"/>
        </w:rPr>
        <w:t xml:space="preserve">The Honourable </w:t>
      </w:r>
      <w:r w:rsidR="00B90701">
        <w:rPr>
          <w:rStyle w:val="Bold"/>
        </w:rPr>
        <w:t>Scott Morrison</w:t>
      </w:r>
      <w:r>
        <w:rPr>
          <w:rStyle w:val="Bold"/>
        </w:rPr>
        <w:t xml:space="preserve"> MP</w:t>
      </w:r>
    </w:p>
    <w:p w14:paraId="7E07136E" w14:textId="77777777" w:rsidR="003E00B6" w:rsidRDefault="00B90701" w:rsidP="003E00B6">
      <w:pPr>
        <w:pStyle w:val="Position"/>
        <w:rPr>
          <w:lang w:val="en-GB"/>
        </w:rPr>
      </w:pPr>
      <w:r>
        <w:rPr>
          <w:lang w:val="en-GB"/>
        </w:rPr>
        <w:t>Treasurer</w:t>
      </w:r>
    </w:p>
    <w:p w14:paraId="70814D48" w14:textId="77777777" w:rsidR="003E00B6" w:rsidRDefault="00962ABA" w:rsidP="003E00B6">
      <w:pPr>
        <w:pStyle w:val="ScheduleNumberedPara"/>
        <w:rPr>
          <w:lang w:val="en-GB"/>
        </w:rPr>
      </w:pPr>
      <w:r>
        <w:rPr>
          <w:lang w:val="en-GB"/>
        </w:rPr>
        <w:t xml:space="preserve">     </w:t>
      </w:r>
      <w:r w:rsidR="003E00B6">
        <w:rPr>
          <w:lang w:val="en-GB"/>
        </w:rPr>
        <w:t xml:space="preserve"> </w:t>
      </w:r>
      <w:r>
        <w:rPr>
          <w:lang w:val="en-GB"/>
        </w:rPr>
        <w:t>June</w:t>
      </w:r>
      <w:r w:rsidR="003E00B6">
        <w:rPr>
          <w:lang w:val="en-GB"/>
        </w:rPr>
        <w:t xml:space="preserve"> </w:t>
      </w:r>
      <w:r>
        <w:rPr>
          <w:lang w:val="en-GB"/>
        </w:rPr>
        <w:t>2018</w:t>
      </w:r>
    </w:p>
    <w:p w14:paraId="2B7EC529" w14:textId="77777777" w:rsidR="003E00B6" w:rsidRDefault="003E00B6" w:rsidP="003E00B6">
      <w:pPr>
        <w:pStyle w:val="ScheduleNumberedPara"/>
        <w:rPr>
          <w:lang w:val="en-GB"/>
        </w:rPr>
      </w:pPr>
    </w:p>
    <w:p w14:paraId="395E6F11" w14:textId="77777777" w:rsidR="003E00B6" w:rsidRDefault="003E00B6" w:rsidP="003E00B6">
      <w:pPr>
        <w:pStyle w:val="ScheduleNumberedPara"/>
        <w:rPr>
          <w:rFonts w:ascii="Times New Roman" w:hAnsi="Times New Roman"/>
          <w:color w:val="auto"/>
          <w:sz w:val="24"/>
          <w:szCs w:val="24"/>
        </w:rPr>
      </w:pPr>
      <w:r>
        <w:rPr>
          <w:rFonts w:ascii="Times New Roman" w:hAnsi="Times New Roman"/>
          <w:b/>
          <w:color w:val="auto"/>
          <w:sz w:val="24"/>
          <w:szCs w:val="24"/>
        </w:rPr>
        <w:t>Signed</w:t>
      </w:r>
      <w:r>
        <w:rPr>
          <w:rFonts w:ascii="Times New Roman" w:hAnsi="Times New Roman"/>
          <w:color w:val="auto"/>
          <w:sz w:val="24"/>
          <w:szCs w:val="24"/>
        </w:rPr>
        <w:t xml:space="preserve"> </w:t>
      </w:r>
      <w:r>
        <w:rPr>
          <w:rFonts w:ascii="Times New Roman" w:hAnsi="Times New Roman"/>
          <w:i/>
          <w:color w:val="auto"/>
          <w:sz w:val="24"/>
          <w:szCs w:val="24"/>
        </w:rPr>
        <w:t>for and on behalf</w:t>
      </w:r>
      <w:r w:rsidR="00E341FF">
        <w:rPr>
          <w:rFonts w:ascii="Times New Roman" w:hAnsi="Times New Roman"/>
          <w:i/>
          <w:color w:val="auto"/>
          <w:sz w:val="24"/>
          <w:szCs w:val="24"/>
        </w:rPr>
        <w:t xml:space="preserve"> of the Northern Territory </w:t>
      </w:r>
      <w:r>
        <w:rPr>
          <w:rFonts w:ascii="Times New Roman" w:hAnsi="Times New Roman"/>
          <w:i/>
          <w:color w:val="auto"/>
          <w:sz w:val="24"/>
          <w:szCs w:val="24"/>
        </w:rPr>
        <w:t>by</w:t>
      </w:r>
    </w:p>
    <w:p w14:paraId="76D7A95A" w14:textId="77777777" w:rsidR="003E00B6" w:rsidRDefault="003E00B6" w:rsidP="003E00B6">
      <w:pPr>
        <w:pStyle w:val="ScheduleNumberedPara"/>
        <w:rPr>
          <w:color w:val="auto"/>
          <w:szCs w:val="20"/>
        </w:rPr>
      </w:pPr>
    </w:p>
    <w:p w14:paraId="4A88DB27" w14:textId="77777777" w:rsidR="003E00B6" w:rsidRDefault="003E00B6" w:rsidP="003E00B6">
      <w:pPr>
        <w:pStyle w:val="ScheduleNumberedPara"/>
        <w:rPr>
          <w:color w:val="auto"/>
        </w:rPr>
      </w:pPr>
    </w:p>
    <w:p w14:paraId="7F4C51F0" w14:textId="77777777" w:rsidR="003E00B6" w:rsidRDefault="003E00B6" w:rsidP="003E00B6">
      <w:pPr>
        <w:pStyle w:val="ScheduleNumberedPara"/>
        <w:rPr>
          <w:color w:val="auto"/>
        </w:rPr>
      </w:pPr>
    </w:p>
    <w:p w14:paraId="2DF05E2C" w14:textId="77777777" w:rsidR="003E00B6" w:rsidRDefault="003E00B6" w:rsidP="003E00B6">
      <w:pPr>
        <w:pStyle w:val="ScheduleNumberedPara"/>
        <w:tabs>
          <w:tab w:val="num" w:pos="2268"/>
        </w:tabs>
        <w:rPr>
          <w:color w:val="auto"/>
        </w:rPr>
      </w:pPr>
      <w:r>
        <w:rPr>
          <w:color w:val="auto"/>
        </w:rPr>
        <w:t>-----------------------------------------------------</w:t>
      </w:r>
    </w:p>
    <w:p w14:paraId="79598CBB" w14:textId="77777777" w:rsidR="003E00B6" w:rsidRDefault="003E00B6" w:rsidP="003E00B6">
      <w:pPr>
        <w:pStyle w:val="SingleParagraph"/>
        <w:rPr>
          <w:rStyle w:val="Bold"/>
        </w:rPr>
      </w:pPr>
      <w:r>
        <w:rPr>
          <w:rStyle w:val="Bold"/>
        </w:rPr>
        <w:t xml:space="preserve">The Honourable </w:t>
      </w:r>
      <w:r w:rsidR="00923E3C">
        <w:rPr>
          <w:rStyle w:val="Bold"/>
        </w:rPr>
        <w:t>Gerald</w:t>
      </w:r>
      <w:r w:rsidR="00547C0A">
        <w:rPr>
          <w:rStyle w:val="Bold"/>
        </w:rPr>
        <w:t xml:space="preserve"> McCarthy MLA</w:t>
      </w:r>
    </w:p>
    <w:p w14:paraId="7B78DE76" w14:textId="77777777" w:rsidR="003E00B6" w:rsidRDefault="003E00B6" w:rsidP="003E00B6">
      <w:pPr>
        <w:pStyle w:val="Position"/>
        <w:rPr>
          <w:lang w:val="en-GB"/>
        </w:rPr>
      </w:pPr>
      <w:r>
        <w:rPr>
          <w:lang w:val="en-GB"/>
        </w:rPr>
        <w:t xml:space="preserve">Minister for </w:t>
      </w:r>
      <w:r w:rsidR="00923E3C">
        <w:rPr>
          <w:lang w:val="en-GB"/>
        </w:rPr>
        <w:t>Housing and Community Development</w:t>
      </w:r>
    </w:p>
    <w:p w14:paraId="66FB50B9" w14:textId="77777777" w:rsidR="003E00B6" w:rsidRPr="000F2DB8" w:rsidRDefault="00547C0A" w:rsidP="003E00B6">
      <w:pPr>
        <w:pStyle w:val="ScheduleNumberedPara"/>
        <w:rPr>
          <w:b/>
          <w:color w:val="auto"/>
        </w:rPr>
      </w:pPr>
      <w:r>
        <w:rPr>
          <w:lang w:val="en-GB"/>
        </w:rPr>
        <w:t xml:space="preserve">      June 2018</w:t>
      </w:r>
    </w:p>
    <w:p w14:paraId="5254ACC9" w14:textId="77777777" w:rsidR="003E00B6" w:rsidRDefault="003E00B6" w:rsidP="003E00B6"/>
    <w:p w14:paraId="15758439" w14:textId="77777777" w:rsidR="00CF683F" w:rsidRPr="00E341FF" w:rsidRDefault="00CF683F" w:rsidP="00E341FF">
      <w:pPr>
        <w:spacing w:after="200" w:line="276" w:lineRule="auto"/>
        <w:jc w:val="left"/>
        <w:rPr>
          <w:color w:val="76923C" w:themeColor="accent3" w:themeShade="BF"/>
        </w:rPr>
      </w:pPr>
    </w:p>
    <w:sectPr w:rsidR="00CF683F" w:rsidRPr="00E341FF" w:rsidSect="00F75957">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E00F1" w14:textId="77777777" w:rsidR="00616539" w:rsidRDefault="00616539" w:rsidP="00066850">
      <w:pPr>
        <w:spacing w:after="0" w:line="240" w:lineRule="auto"/>
      </w:pPr>
      <w:r>
        <w:separator/>
      </w:r>
    </w:p>
  </w:endnote>
  <w:endnote w:type="continuationSeparator" w:id="0">
    <w:p w14:paraId="1BCEB993" w14:textId="77777777" w:rsidR="00616539" w:rsidRDefault="00616539" w:rsidP="00066850">
      <w:pPr>
        <w:spacing w:after="0" w:line="240" w:lineRule="auto"/>
      </w:pPr>
      <w:r>
        <w:continuationSeparator/>
      </w:r>
    </w:p>
  </w:endnote>
  <w:endnote w:type="continuationNotice" w:id="1">
    <w:p w14:paraId="18CB023C" w14:textId="77777777" w:rsidR="00616539" w:rsidRDefault="006165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337262"/>
      <w:docPartObj>
        <w:docPartGallery w:val="Page Numbers (Bottom of Page)"/>
        <w:docPartUnique/>
      </w:docPartObj>
    </w:sdtPr>
    <w:sdtEndPr/>
    <w:sdtContent>
      <w:sdt>
        <w:sdtPr>
          <w:id w:val="-1669238322"/>
          <w:docPartObj>
            <w:docPartGallery w:val="Page Numbers (Top of Page)"/>
            <w:docPartUnique/>
          </w:docPartObj>
        </w:sdtPr>
        <w:sdtEndPr/>
        <w:sdtContent>
          <w:p w14:paraId="517596BF" w14:textId="511BD302" w:rsidR="00B1309E" w:rsidRDefault="00B130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6A6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6A63">
              <w:rPr>
                <w:b/>
                <w:bCs/>
                <w:noProof/>
              </w:rPr>
              <w:t>12</w:t>
            </w:r>
            <w:r>
              <w:rPr>
                <w:b/>
                <w:bCs/>
                <w:sz w:val="24"/>
                <w:szCs w:val="24"/>
              </w:rPr>
              <w:fldChar w:fldCharType="end"/>
            </w:r>
          </w:p>
        </w:sdtContent>
      </w:sdt>
    </w:sdtContent>
  </w:sdt>
  <w:p w14:paraId="0F9FAAE2" w14:textId="77777777" w:rsidR="00B1309E" w:rsidRDefault="00B1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2C565" w14:textId="77777777" w:rsidR="00616539" w:rsidRDefault="00616539" w:rsidP="00066850">
      <w:pPr>
        <w:spacing w:after="0" w:line="240" w:lineRule="auto"/>
      </w:pPr>
      <w:r>
        <w:separator/>
      </w:r>
    </w:p>
  </w:footnote>
  <w:footnote w:type="continuationSeparator" w:id="0">
    <w:p w14:paraId="780CE568" w14:textId="77777777" w:rsidR="00616539" w:rsidRDefault="00616539" w:rsidP="00066850">
      <w:pPr>
        <w:spacing w:after="0" w:line="240" w:lineRule="auto"/>
      </w:pPr>
      <w:r>
        <w:continuationSeparator/>
      </w:r>
    </w:p>
  </w:footnote>
  <w:footnote w:type="continuationNotice" w:id="1">
    <w:p w14:paraId="5422EBE2" w14:textId="77777777" w:rsidR="00616539" w:rsidRDefault="00616539">
      <w:pPr>
        <w:spacing w:after="0" w:line="240" w:lineRule="auto"/>
      </w:pPr>
    </w:p>
  </w:footnote>
  <w:footnote w:id="2">
    <w:p w14:paraId="2AD31BFC" w14:textId="77777777" w:rsidR="007B41CE" w:rsidRDefault="007B41CE">
      <w:pPr>
        <w:pStyle w:val="FootnoteText"/>
      </w:pPr>
      <w:r>
        <w:rPr>
          <w:rStyle w:val="FootnoteReference"/>
        </w:rPr>
        <w:footnoteRef/>
      </w:r>
      <w:r>
        <w:t xml:space="preserve"> For the purpose of this document, the term ‘Aboriginal’ refers to both Aboriginal and T</w:t>
      </w:r>
      <w:r w:rsidRPr="00E0435B">
        <w:t>orres Strait Islanders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1">
    <w:nsid w:val="059F472C"/>
    <w:multiLevelType w:val="hybridMultilevel"/>
    <w:tmpl w:val="7898D07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C5C6857"/>
    <w:multiLevelType w:val="hybridMultilevel"/>
    <w:tmpl w:val="496C33CE"/>
    <w:lvl w:ilvl="0" w:tplc="3EDE39C2">
      <w:start w:val="19"/>
      <w:numFmt w:val="decimal"/>
      <w:lvlText w:val="%1."/>
      <w:lvlJc w:val="left"/>
      <w:pPr>
        <w:tabs>
          <w:tab w:val="num" w:pos="567"/>
        </w:tabs>
        <w:ind w:left="567" w:hanging="567"/>
      </w:pPr>
      <w:rPr>
        <w:rFonts w:cs="Times New Roman" w:hint="default"/>
        <w:b w:val="0"/>
        <w:color w:val="auto"/>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A75AE6"/>
    <w:multiLevelType w:val="hybridMultilevel"/>
    <w:tmpl w:val="DE4E0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325372F"/>
    <w:multiLevelType w:val="hybridMultilevel"/>
    <w:tmpl w:val="692C17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0E715E"/>
    <w:multiLevelType w:val="hybridMultilevel"/>
    <w:tmpl w:val="D10C3706"/>
    <w:lvl w:ilvl="0" w:tplc="0C090001">
      <w:start w:val="1"/>
      <w:numFmt w:val="bullet"/>
      <w:lvlText w:val=""/>
      <w:lvlJc w:val="left"/>
      <w:pPr>
        <w:ind w:left="360" w:hanging="360"/>
      </w:pPr>
      <w:rPr>
        <w:rFonts w:ascii="Symbol" w:hAnsi="Symbol" w:hint="default"/>
      </w:rPr>
    </w:lvl>
    <w:lvl w:ilvl="1" w:tplc="1B0CF9AC">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A75E0C"/>
    <w:multiLevelType w:val="hybridMultilevel"/>
    <w:tmpl w:val="637877E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6B7762"/>
    <w:multiLevelType w:val="hybridMultilevel"/>
    <w:tmpl w:val="7EC6CF32"/>
    <w:lvl w:ilvl="0" w:tplc="54828B52">
      <w:start w:val="20"/>
      <w:numFmt w:val="decimal"/>
      <w:lvlText w:val="%1."/>
      <w:lvlJc w:val="left"/>
      <w:pPr>
        <w:tabs>
          <w:tab w:val="num" w:pos="567"/>
        </w:tabs>
        <w:ind w:left="567" w:hanging="567"/>
      </w:pPr>
      <w:rPr>
        <w:rFonts w:cs="Times New Roman" w:hint="default"/>
        <w:b w:val="0"/>
        <w:color w:val="auto"/>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E244E3"/>
    <w:multiLevelType w:val="hybridMultilevel"/>
    <w:tmpl w:val="D5222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6111B90"/>
    <w:multiLevelType w:val="hybridMultilevel"/>
    <w:tmpl w:val="537E6E48"/>
    <w:lvl w:ilvl="0" w:tplc="1B0CF9A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E01668"/>
    <w:multiLevelType w:val="hybridMultilevel"/>
    <w:tmpl w:val="A7004C94"/>
    <w:lvl w:ilvl="0" w:tplc="EC42698E">
      <w:start w:val="1"/>
      <w:numFmt w:val="lowerLetter"/>
      <w:lvlText w:val="(%1)"/>
      <w:lvlJc w:val="left"/>
      <w:pPr>
        <w:tabs>
          <w:tab w:val="num" w:pos="1134"/>
        </w:tabs>
        <w:ind w:left="1134" w:hanging="567"/>
      </w:pPr>
      <w:rPr>
        <w:rFonts w:cs="Times New Roman" w:hint="default"/>
        <w:b w:val="0"/>
        <w:color w:val="auto"/>
        <w:sz w:val="20"/>
        <w:szCs w:val="23"/>
      </w:rPr>
    </w:lvl>
    <w:lvl w:ilvl="1" w:tplc="EC42698E">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1">
    <w:nsid w:val="31E00CA2"/>
    <w:multiLevelType w:val="hybridMultilevel"/>
    <w:tmpl w:val="8F262E0A"/>
    <w:lvl w:ilvl="0" w:tplc="1B0CF9AC">
      <w:start w:val="1"/>
      <w:numFmt w:val="bullet"/>
      <w:lvlText w:val=""/>
      <w:lvlJc w:val="left"/>
      <w:pPr>
        <w:ind w:left="11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2">
    <w:nsid w:val="379752D7"/>
    <w:multiLevelType w:val="hybridMultilevel"/>
    <w:tmpl w:val="D8CA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0A291E"/>
    <w:multiLevelType w:val="hybridMultilevel"/>
    <w:tmpl w:val="3B606222"/>
    <w:lvl w:ilvl="0" w:tplc="5156EAEE">
      <w:start w:val="1"/>
      <w:numFmt w:val="lowerRoman"/>
      <w:lvlText w:val="%1."/>
      <w:lvlJc w:val="left"/>
      <w:pPr>
        <w:ind w:left="1028" w:hanging="720"/>
      </w:pPr>
      <w:rPr>
        <w:rFonts w:hint="default"/>
      </w:rPr>
    </w:lvl>
    <w:lvl w:ilvl="1" w:tplc="0C090019" w:tentative="1">
      <w:start w:val="1"/>
      <w:numFmt w:val="lowerLetter"/>
      <w:lvlText w:val="%2."/>
      <w:lvlJc w:val="left"/>
      <w:pPr>
        <w:ind w:left="1388" w:hanging="360"/>
      </w:pPr>
    </w:lvl>
    <w:lvl w:ilvl="2" w:tplc="0C09001B" w:tentative="1">
      <w:start w:val="1"/>
      <w:numFmt w:val="lowerRoman"/>
      <w:lvlText w:val="%3."/>
      <w:lvlJc w:val="right"/>
      <w:pPr>
        <w:ind w:left="2108" w:hanging="180"/>
      </w:pPr>
    </w:lvl>
    <w:lvl w:ilvl="3" w:tplc="0C09000F" w:tentative="1">
      <w:start w:val="1"/>
      <w:numFmt w:val="decimal"/>
      <w:lvlText w:val="%4."/>
      <w:lvlJc w:val="left"/>
      <w:pPr>
        <w:ind w:left="2828" w:hanging="360"/>
      </w:pPr>
    </w:lvl>
    <w:lvl w:ilvl="4" w:tplc="0C090019" w:tentative="1">
      <w:start w:val="1"/>
      <w:numFmt w:val="lowerLetter"/>
      <w:lvlText w:val="%5."/>
      <w:lvlJc w:val="left"/>
      <w:pPr>
        <w:ind w:left="3548" w:hanging="360"/>
      </w:pPr>
    </w:lvl>
    <w:lvl w:ilvl="5" w:tplc="0C09001B" w:tentative="1">
      <w:start w:val="1"/>
      <w:numFmt w:val="lowerRoman"/>
      <w:lvlText w:val="%6."/>
      <w:lvlJc w:val="right"/>
      <w:pPr>
        <w:ind w:left="4268" w:hanging="180"/>
      </w:pPr>
    </w:lvl>
    <w:lvl w:ilvl="6" w:tplc="0C09000F" w:tentative="1">
      <w:start w:val="1"/>
      <w:numFmt w:val="decimal"/>
      <w:lvlText w:val="%7."/>
      <w:lvlJc w:val="left"/>
      <w:pPr>
        <w:ind w:left="4988" w:hanging="360"/>
      </w:pPr>
    </w:lvl>
    <w:lvl w:ilvl="7" w:tplc="0C090019" w:tentative="1">
      <w:start w:val="1"/>
      <w:numFmt w:val="lowerLetter"/>
      <w:lvlText w:val="%8."/>
      <w:lvlJc w:val="left"/>
      <w:pPr>
        <w:ind w:left="5708" w:hanging="360"/>
      </w:pPr>
    </w:lvl>
    <w:lvl w:ilvl="8" w:tplc="0C09001B" w:tentative="1">
      <w:start w:val="1"/>
      <w:numFmt w:val="lowerRoman"/>
      <w:lvlText w:val="%9."/>
      <w:lvlJc w:val="right"/>
      <w:pPr>
        <w:ind w:left="6428" w:hanging="180"/>
      </w:pPr>
    </w:lvl>
  </w:abstractNum>
  <w:abstractNum w:abstractNumId="14">
    <w:nsid w:val="3C83340C"/>
    <w:multiLevelType w:val="hybridMultilevel"/>
    <w:tmpl w:val="DD7EE81E"/>
    <w:lvl w:ilvl="0" w:tplc="1B0CF9AC">
      <w:start w:val="1"/>
      <w:numFmt w:val="bullet"/>
      <w:lvlText w:val=""/>
      <w:lvlJc w:val="left"/>
      <w:pPr>
        <w:ind w:left="1272" w:hanging="360"/>
      </w:pPr>
      <w:rPr>
        <w:rFonts w:ascii="Symbol" w:hAnsi="Symbol" w:hint="default"/>
      </w:rPr>
    </w:lvl>
    <w:lvl w:ilvl="1" w:tplc="0C090003" w:tentative="1">
      <w:start w:val="1"/>
      <w:numFmt w:val="bullet"/>
      <w:lvlText w:val="o"/>
      <w:lvlJc w:val="left"/>
      <w:pPr>
        <w:ind w:left="1992" w:hanging="360"/>
      </w:pPr>
      <w:rPr>
        <w:rFonts w:ascii="Courier New" w:hAnsi="Courier New" w:cs="Courier New" w:hint="default"/>
      </w:rPr>
    </w:lvl>
    <w:lvl w:ilvl="2" w:tplc="0C090005" w:tentative="1">
      <w:start w:val="1"/>
      <w:numFmt w:val="bullet"/>
      <w:lvlText w:val=""/>
      <w:lvlJc w:val="left"/>
      <w:pPr>
        <w:ind w:left="2712" w:hanging="360"/>
      </w:pPr>
      <w:rPr>
        <w:rFonts w:ascii="Wingdings" w:hAnsi="Wingdings" w:hint="default"/>
      </w:rPr>
    </w:lvl>
    <w:lvl w:ilvl="3" w:tplc="0C090001" w:tentative="1">
      <w:start w:val="1"/>
      <w:numFmt w:val="bullet"/>
      <w:lvlText w:val=""/>
      <w:lvlJc w:val="left"/>
      <w:pPr>
        <w:ind w:left="3432" w:hanging="360"/>
      </w:pPr>
      <w:rPr>
        <w:rFonts w:ascii="Symbol" w:hAnsi="Symbol" w:hint="default"/>
      </w:rPr>
    </w:lvl>
    <w:lvl w:ilvl="4" w:tplc="0C090003" w:tentative="1">
      <w:start w:val="1"/>
      <w:numFmt w:val="bullet"/>
      <w:lvlText w:val="o"/>
      <w:lvlJc w:val="left"/>
      <w:pPr>
        <w:ind w:left="4152" w:hanging="360"/>
      </w:pPr>
      <w:rPr>
        <w:rFonts w:ascii="Courier New" w:hAnsi="Courier New" w:cs="Courier New" w:hint="default"/>
      </w:rPr>
    </w:lvl>
    <w:lvl w:ilvl="5" w:tplc="0C090005" w:tentative="1">
      <w:start w:val="1"/>
      <w:numFmt w:val="bullet"/>
      <w:lvlText w:val=""/>
      <w:lvlJc w:val="left"/>
      <w:pPr>
        <w:ind w:left="4872" w:hanging="360"/>
      </w:pPr>
      <w:rPr>
        <w:rFonts w:ascii="Wingdings" w:hAnsi="Wingdings" w:hint="default"/>
      </w:rPr>
    </w:lvl>
    <w:lvl w:ilvl="6" w:tplc="0C090001" w:tentative="1">
      <w:start w:val="1"/>
      <w:numFmt w:val="bullet"/>
      <w:lvlText w:val=""/>
      <w:lvlJc w:val="left"/>
      <w:pPr>
        <w:ind w:left="5592" w:hanging="360"/>
      </w:pPr>
      <w:rPr>
        <w:rFonts w:ascii="Symbol" w:hAnsi="Symbol" w:hint="default"/>
      </w:rPr>
    </w:lvl>
    <w:lvl w:ilvl="7" w:tplc="0C090003" w:tentative="1">
      <w:start w:val="1"/>
      <w:numFmt w:val="bullet"/>
      <w:lvlText w:val="o"/>
      <w:lvlJc w:val="left"/>
      <w:pPr>
        <w:ind w:left="6312" w:hanging="360"/>
      </w:pPr>
      <w:rPr>
        <w:rFonts w:ascii="Courier New" w:hAnsi="Courier New" w:cs="Courier New" w:hint="default"/>
      </w:rPr>
    </w:lvl>
    <w:lvl w:ilvl="8" w:tplc="0C090005" w:tentative="1">
      <w:start w:val="1"/>
      <w:numFmt w:val="bullet"/>
      <w:lvlText w:val=""/>
      <w:lvlJc w:val="left"/>
      <w:pPr>
        <w:ind w:left="7032" w:hanging="360"/>
      </w:pPr>
      <w:rPr>
        <w:rFonts w:ascii="Wingdings" w:hAnsi="Wingdings" w:hint="default"/>
      </w:rPr>
    </w:lvl>
  </w:abstractNum>
  <w:abstractNum w:abstractNumId="15">
    <w:nsid w:val="3DD678E4"/>
    <w:multiLevelType w:val="hybridMultilevel"/>
    <w:tmpl w:val="5090231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13D10C3"/>
    <w:multiLevelType w:val="multilevel"/>
    <w:tmpl w:val="E522F738"/>
    <w:lvl w:ilvl="0">
      <w:start w:val="1"/>
      <w:numFmt w:val="decimal"/>
      <w:pStyle w:val="OutlineNumbered1"/>
      <w:lvlText w:val="%1."/>
      <w:lvlJc w:val="left"/>
      <w:pPr>
        <w:tabs>
          <w:tab w:val="num" w:pos="543"/>
        </w:tabs>
        <w:ind w:left="543" w:hanging="543"/>
      </w:pPr>
    </w:lvl>
    <w:lvl w:ilvl="1">
      <w:start w:val="1"/>
      <w:numFmt w:val="decimal"/>
      <w:pStyle w:val="OutlineNumbered2"/>
      <w:lvlText w:val="%1.%2."/>
      <w:lvlJc w:val="left"/>
      <w:pPr>
        <w:tabs>
          <w:tab w:val="num" w:pos="1086"/>
        </w:tabs>
        <w:ind w:left="1086" w:hanging="543"/>
      </w:pPr>
    </w:lvl>
    <w:lvl w:ilvl="2">
      <w:start w:val="1"/>
      <w:numFmt w:val="decimal"/>
      <w:pStyle w:val="OutlineNumbered3"/>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806F88"/>
    <w:multiLevelType w:val="hybridMultilevel"/>
    <w:tmpl w:val="20B2C3F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861C33"/>
    <w:multiLevelType w:val="hybridMultilevel"/>
    <w:tmpl w:val="5FD00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C7E0F09"/>
    <w:multiLevelType w:val="hybridMultilevel"/>
    <w:tmpl w:val="11A676C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8C5121"/>
    <w:multiLevelType w:val="hybridMultilevel"/>
    <w:tmpl w:val="709808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nsid w:val="68DA460E"/>
    <w:multiLevelType w:val="hybridMultilevel"/>
    <w:tmpl w:val="B2F84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C5E133C"/>
    <w:multiLevelType w:val="hybridMultilevel"/>
    <w:tmpl w:val="14402C98"/>
    <w:lvl w:ilvl="0" w:tplc="260E51CC">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0485490"/>
    <w:multiLevelType w:val="hybridMultilevel"/>
    <w:tmpl w:val="7856E3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4110501"/>
    <w:multiLevelType w:val="hybridMultilevel"/>
    <w:tmpl w:val="689236CA"/>
    <w:lvl w:ilvl="0" w:tplc="1B0CF9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854AAC"/>
    <w:multiLevelType w:val="hybridMultilevel"/>
    <w:tmpl w:val="7284A1B6"/>
    <w:lvl w:ilvl="0" w:tplc="FDECE0D4">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7F2D2A51"/>
    <w:multiLevelType w:val="hybridMultilevel"/>
    <w:tmpl w:val="498AB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F4F54BF"/>
    <w:multiLevelType w:val="hybridMultilevel"/>
    <w:tmpl w:val="F446B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0"/>
  </w:num>
  <w:num w:numId="4">
    <w:abstractNumId w:val="14"/>
  </w:num>
  <w:num w:numId="5">
    <w:abstractNumId w:val="19"/>
  </w:num>
  <w:num w:numId="6">
    <w:abstractNumId w:val="15"/>
  </w:num>
  <w:num w:numId="7">
    <w:abstractNumId w:val="1"/>
  </w:num>
  <w:num w:numId="8">
    <w:abstractNumId w:val="6"/>
  </w:num>
  <w:num w:numId="9">
    <w:abstractNumId w:val="21"/>
  </w:num>
  <w:num w:numId="10">
    <w:abstractNumId w:val="3"/>
  </w:num>
  <w:num w:numId="11">
    <w:abstractNumId w:val="23"/>
  </w:num>
  <w:num w:numId="12">
    <w:abstractNumId w:val="8"/>
  </w:num>
  <w:num w:numId="13">
    <w:abstractNumId w:val="11"/>
  </w:num>
  <w:num w:numId="14">
    <w:abstractNumId w:val="13"/>
  </w:num>
  <w:num w:numId="15">
    <w:abstractNumId w:val="5"/>
  </w:num>
  <w:num w:numId="16">
    <w:abstractNumId w:val="10"/>
  </w:num>
  <w:num w:numId="17">
    <w:abstractNumId w:val="27"/>
  </w:num>
  <w:num w:numId="18">
    <w:abstractNumId w:val="26"/>
  </w:num>
  <w:num w:numId="19">
    <w:abstractNumId w:val="12"/>
  </w:num>
  <w:num w:numId="20">
    <w:abstractNumId w:val="9"/>
  </w:num>
  <w:num w:numId="21">
    <w:abstractNumId w:val="17"/>
  </w:num>
  <w:num w:numId="22">
    <w:abstractNumId w:val="18"/>
  </w:num>
  <w:num w:numId="23">
    <w:abstractNumId w:val="24"/>
  </w:num>
  <w:num w:numId="24">
    <w:abstractNumId w:val="4"/>
  </w:num>
  <w:num w:numId="25">
    <w:abstractNumId w:val="20"/>
  </w:num>
  <w:num w:numId="26">
    <w:abstractNumId w:val="22"/>
  </w:num>
  <w:num w:numId="27">
    <w:abstractNumId w:val="18"/>
  </w:num>
  <w:num w:numId="28">
    <w:abstractNumId w:val="2"/>
  </w:num>
  <w:num w:numId="2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50"/>
    <w:rsid w:val="00000470"/>
    <w:rsid w:val="00000525"/>
    <w:rsid w:val="00001363"/>
    <w:rsid w:val="00001628"/>
    <w:rsid w:val="0000206B"/>
    <w:rsid w:val="000025AA"/>
    <w:rsid w:val="00005973"/>
    <w:rsid w:val="000138B8"/>
    <w:rsid w:val="000138E2"/>
    <w:rsid w:val="00015737"/>
    <w:rsid w:val="00023A94"/>
    <w:rsid w:val="000251E9"/>
    <w:rsid w:val="000251F5"/>
    <w:rsid w:val="0002674C"/>
    <w:rsid w:val="00027D78"/>
    <w:rsid w:val="00031ED5"/>
    <w:rsid w:val="00032BFB"/>
    <w:rsid w:val="0003655D"/>
    <w:rsid w:val="00040530"/>
    <w:rsid w:val="000409B3"/>
    <w:rsid w:val="00040F33"/>
    <w:rsid w:val="0004396C"/>
    <w:rsid w:val="0004409C"/>
    <w:rsid w:val="000441C7"/>
    <w:rsid w:val="0004713C"/>
    <w:rsid w:val="0005027D"/>
    <w:rsid w:val="00052567"/>
    <w:rsid w:val="00054101"/>
    <w:rsid w:val="00060299"/>
    <w:rsid w:val="0006120E"/>
    <w:rsid w:val="0006142C"/>
    <w:rsid w:val="00062388"/>
    <w:rsid w:val="00063F77"/>
    <w:rsid w:val="00065F3E"/>
    <w:rsid w:val="00066307"/>
    <w:rsid w:val="00066850"/>
    <w:rsid w:val="00071660"/>
    <w:rsid w:val="000719BB"/>
    <w:rsid w:val="00072CEF"/>
    <w:rsid w:val="0007316D"/>
    <w:rsid w:val="000747ED"/>
    <w:rsid w:val="00081D2D"/>
    <w:rsid w:val="00083569"/>
    <w:rsid w:val="00085525"/>
    <w:rsid w:val="00093A76"/>
    <w:rsid w:val="00094F92"/>
    <w:rsid w:val="000950B1"/>
    <w:rsid w:val="000A069E"/>
    <w:rsid w:val="000A3B78"/>
    <w:rsid w:val="000B18E3"/>
    <w:rsid w:val="000B4067"/>
    <w:rsid w:val="000B4239"/>
    <w:rsid w:val="000B480A"/>
    <w:rsid w:val="000B5709"/>
    <w:rsid w:val="000B6074"/>
    <w:rsid w:val="000B641C"/>
    <w:rsid w:val="000B6B80"/>
    <w:rsid w:val="000B742E"/>
    <w:rsid w:val="000C5DDC"/>
    <w:rsid w:val="000D2DC7"/>
    <w:rsid w:val="000D3E33"/>
    <w:rsid w:val="000D5A40"/>
    <w:rsid w:val="000D71EB"/>
    <w:rsid w:val="000E4371"/>
    <w:rsid w:val="000E5DD5"/>
    <w:rsid w:val="000F2DB8"/>
    <w:rsid w:val="000F3579"/>
    <w:rsid w:val="000F50D4"/>
    <w:rsid w:val="000F6B0E"/>
    <w:rsid w:val="00102C96"/>
    <w:rsid w:val="00104836"/>
    <w:rsid w:val="0010556B"/>
    <w:rsid w:val="0010622C"/>
    <w:rsid w:val="001067AD"/>
    <w:rsid w:val="00107D3A"/>
    <w:rsid w:val="00110264"/>
    <w:rsid w:val="001104B0"/>
    <w:rsid w:val="00110942"/>
    <w:rsid w:val="00111FD4"/>
    <w:rsid w:val="00112A1A"/>
    <w:rsid w:val="0011475E"/>
    <w:rsid w:val="00117D31"/>
    <w:rsid w:val="00120368"/>
    <w:rsid w:val="00120E3B"/>
    <w:rsid w:val="00121BBA"/>
    <w:rsid w:val="00121E4A"/>
    <w:rsid w:val="00123B6F"/>
    <w:rsid w:val="00135072"/>
    <w:rsid w:val="00135926"/>
    <w:rsid w:val="00140BC2"/>
    <w:rsid w:val="00141786"/>
    <w:rsid w:val="00150E9C"/>
    <w:rsid w:val="00151205"/>
    <w:rsid w:val="00151FF9"/>
    <w:rsid w:val="001522E6"/>
    <w:rsid w:val="00152314"/>
    <w:rsid w:val="001547B0"/>
    <w:rsid w:val="00155C5E"/>
    <w:rsid w:val="00155CE0"/>
    <w:rsid w:val="00162866"/>
    <w:rsid w:val="001634D2"/>
    <w:rsid w:val="001654FA"/>
    <w:rsid w:val="00173053"/>
    <w:rsid w:val="001733B2"/>
    <w:rsid w:val="00173E2D"/>
    <w:rsid w:val="00174B9F"/>
    <w:rsid w:val="00174BCF"/>
    <w:rsid w:val="001759D8"/>
    <w:rsid w:val="001805FB"/>
    <w:rsid w:val="001827D2"/>
    <w:rsid w:val="001828EB"/>
    <w:rsid w:val="00186E22"/>
    <w:rsid w:val="001909EE"/>
    <w:rsid w:val="00191022"/>
    <w:rsid w:val="001A0096"/>
    <w:rsid w:val="001A1E2F"/>
    <w:rsid w:val="001A4273"/>
    <w:rsid w:val="001A4AEB"/>
    <w:rsid w:val="001A5224"/>
    <w:rsid w:val="001A58AE"/>
    <w:rsid w:val="001B1775"/>
    <w:rsid w:val="001B20C7"/>
    <w:rsid w:val="001B2110"/>
    <w:rsid w:val="001B3555"/>
    <w:rsid w:val="001B47B3"/>
    <w:rsid w:val="001B4C30"/>
    <w:rsid w:val="001B5354"/>
    <w:rsid w:val="001B6116"/>
    <w:rsid w:val="001B6645"/>
    <w:rsid w:val="001B78F4"/>
    <w:rsid w:val="001C1D77"/>
    <w:rsid w:val="001C64C7"/>
    <w:rsid w:val="001C7661"/>
    <w:rsid w:val="001D04E3"/>
    <w:rsid w:val="001D13F4"/>
    <w:rsid w:val="001D2C92"/>
    <w:rsid w:val="001D554F"/>
    <w:rsid w:val="001D77B9"/>
    <w:rsid w:val="001D7D5B"/>
    <w:rsid w:val="001E26C1"/>
    <w:rsid w:val="001E3D22"/>
    <w:rsid w:val="001E5C5D"/>
    <w:rsid w:val="001E61E6"/>
    <w:rsid w:val="001E6E59"/>
    <w:rsid w:val="001E712E"/>
    <w:rsid w:val="001E7BBC"/>
    <w:rsid w:val="001F022E"/>
    <w:rsid w:val="001F071A"/>
    <w:rsid w:val="001F278C"/>
    <w:rsid w:val="001F4163"/>
    <w:rsid w:val="001F611E"/>
    <w:rsid w:val="001F75C2"/>
    <w:rsid w:val="00201032"/>
    <w:rsid w:val="002059AF"/>
    <w:rsid w:val="00207C36"/>
    <w:rsid w:val="00225258"/>
    <w:rsid w:val="0022542F"/>
    <w:rsid w:val="00230571"/>
    <w:rsid w:val="002309AD"/>
    <w:rsid w:val="002318BD"/>
    <w:rsid w:val="00234D22"/>
    <w:rsid w:val="0023504A"/>
    <w:rsid w:val="0023669D"/>
    <w:rsid w:val="002367A1"/>
    <w:rsid w:val="00237D3D"/>
    <w:rsid w:val="00240301"/>
    <w:rsid w:val="00251435"/>
    <w:rsid w:val="002526CD"/>
    <w:rsid w:val="002530CA"/>
    <w:rsid w:val="00255766"/>
    <w:rsid w:val="00256A63"/>
    <w:rsid w:val="00256B4F"/>
    <w:rsid w:val="002616E1"/>
    <w:rsid w:val="002652CE"/>
    <w:rsid w:val="00267F24"/>
    <w:rsid w:val="002728CB"/>
    <w:rsid w:val="002748C0"/>
    <w:rsid w:val="00274AEB"/>
    <w:rsid w:val="00276E19"/>
    <w:rsid w:val="002772A7"/>
    <w:rsid w:val="00277D8E"/>
    <w:rsid w:val="00286720"/>
    <w:rsid w:val="00287AD0"/>
    <w:rsid w:val="002909BB"/>
    <w:rsid w:val="00291351"/>
    <w:rsid w:val="00292973"/>
    <w:rsid w:val="00292D70"/>
    <w:rsid w:val="00296695"/>
    <w:rsid w:val="002978E1"/>
    <w:rsid w:val="002A0891"/>
    <w:rsid w:val="002A0ABB"/>
    <w:rsid w:val="002A1907"/>
    <w:rsid w:val="002A3558"/>
    <w:rsid w:val="002A3D20"/>
    <w:rsid w:val="002A3F60"/>
    <w:rsid w:val="002B1F2F"/>
    <w:rsid w:val="002B438A"/>
    <w:rsid w:val="002B502F"/>
    <w:rsid w:val="002B7557"/>
    <w:rsid w:val="002C04DF"/>
    <w:rsid w:val="002C1A43"/>
    <w:rsid w:val="002C2552"/>
    <w:rsid w:val="002C76A3"/>
    <w:rsid w:val="002C7B34"/>
    <w:rsid w:val="002D0332"/>
    <w:rsid w:val="002D3099"/>
    <w:rsid w:val="002D370C"/>
    <w:rsid w:val="002D4B4B"/>
    <w:rsid w:val="002E2652"/>
    <w:rsid w:val="002E2925"/>
    <w:rsid w:val="002E4A1B"/>
    <w:rsid w:val="002E730F"/>
    <w:rsid w:val="002F37B2"/>
    <w:rsid w:val="002F596A"/>
    <w:rsid w:val="002F73F8"/>
    <w:rsid w:val="002F7595"/>
    <w:rsid w:val="00302C4A"/>
    <w:rsid w:val="00303690"/>
    <w:rsid w:val="003104E5"/>
    <w:rsid w:val="00312783"/>
    <w:rsid w:val="0031293B"/>
    <w:rsid w:val="00312B91"/>
    <w:rsid w:val="00314977"/>
    <w:rsid w:val="003205E8"/>
    <w:rsid w:val="003206A1"/>
    <w:rsid w:val="00324F0A"/>
    <w:rsid w:val="003270D2"/>
    <w:rsid w:val="00332F74"/>
    <w:rsid w:val="00333BEC"/>
    <w:rsid w:val="00333F5A"/>
    <w:rsid w:val="00335510"/>
    <w:rsid w:val="00336AAE"/>
    <w:rsid w:val="003433B7"/>
    <w:rsid w:val="00346C1B"/>
    <w:rsid w:val="00350937"/>
    <w:rsid w:val="00354E9C"/>
    <w:rsid w:val="00355797"/>
    <w:rsid w:val="00361970"/>
    <w:rsid w:val="003655FF"/>
    <w:rsid w:val="00365871"/>
    <w:rsid w:val="00371732"/>
    <w:rsid w:val="00375751"/>
    <w:rsid w:val="003806BC"/>
    <w:rsid w:val="00385758"/>
    <w:rsid w:val="003909D9"/>
    <w:rsid w:val="003915DC"/>
    <w:rsid w:val="00391A05"/>
    <w:rsid w:val="00391EBA"/>
    <w:rsid w:val="0039727A"/>
    <w:rsid w:val="003977F2"/>
    <w:rsid w:val="003A00B1"/>
    <w:rsid w:val="003A28BA"/>
    <w:rsid w:val="003A2B00"/>
    <w:rsid w:val="003A35C0"/>
    <w:rsid w:val="003A6069"/>
    <w:rsid w:val="003A7D40"/>
    <w:rsid w:val="003B070B"/>
    <w:rsid w:val="003B4DC8"/>
    <w:rsid w:val="003B7E00"/>
    <w:rsid w:val="003C06F6"/>
    <w:rsid w:val="003C0850"/>
    <w:rsid w:val="003C195F"/>
    <w:rsid w:val="003C2E1A"/>
    <w:rsid w:val="003C5016"/>
    <w:rsid w:val="003E00B6"/>
    <w:rsid w:val="003E1A56"/>
    <w:rsid w:val="003E28CB"/>
    <w:rsid w:val="003E561E"/>
    <w:rsid w:val="003F227C"/>
    <w:rsid w:val="003F3AAD"/>
    <w:rsid w:val="003F5F11"/>
    <w:rsid w:val="003F648A"/>
    <w:rsid w:val="003F7A1F"/>
    <w:rsid w:val="0040075B"/>
    <w:rsid w:val="00401005"/>
    <w:rsid w:val="00403B82"/>
    <w:rsid w:val="00405B7A"/>
    <w:rsid w:val="00412B9C"/>
    <w:rsid w:val="00415C99"/>
    <w:rsid w:val="0042036A"/>
    <w:rsid w:val="00420DF7"/>
    <w:rsid w:val="00421051"/>
    <w:rsid w:val="00422688"/>
    <w:rsid w:val="00423CD7"/>
    <w:rsid w:val="00423EC7"/>
    <w:rsid w:val="004263E6"/>
    <w:rsid w:val="00427896"/>
    <w:rsid w:val="0043081F"/>
    <w:rsid w:val="004309D8"/>
    <w:rsid w:val="00433CCB"/>
    <w:rsid w:val="00435711"/>
    <w:rsid w:val="00440315"/>
    <w:rsid w:val="00443822"/>
    <w:rsid w:val="0044525E"/>
    <w:rsid w:val="00445B25"/>
    <w:rsid w:val="004463E4"/>
    <w:rsid w:val="00446B33"/>
    <w:rsid w:val="004548C3"/>
    <w:rsid w:val="00455A9C"/>
    <w:rsid w:val="004561BD"/>
    <w:rsid w:val="004565E6"/>
    <w:rsid w:val="00456806"/>
    <w:rsid w:val="00457599"/>
    <w:rsid w:val="00462137"/>
    <w:rsid w:val="004621AD"/>
    <w:rsid w:val="00462CE0"/>
    <w:rsid w:val="00462EC1"/>
    <w:rsid w:val="00472EA6"/>
    <w:rsid w:val="00473612"/>
    <w:rsid w:val="004817FF"/>
    <w:rsid w:val="00481C61"/>
    <w:rsid w:val="004842D4"/>
    <w:rsid w:val="00484A18"/>
    <w:rsid w:val="00492C7D"/>
    <w:rsid w:val="00492D4F"/>
    <w:rsid w:val="00492D5A"/>
    <w:rsid w:val="004951D4"/>
    <w:rsid w:val="00497363"/>
    <w:rsid w:val="004A0049"/>
    <w:rsid w:val="004A054F"/>
    <w:rsid w:val="004A2AB6"/>
    <w:rsid w:val="004A32D9"/>
    <w:rsid w:val="004A7154"/>
    <w:rsid w:val="004B279B"/>
    <w:rsid w:val="004B5658"/>
    <w:rsid w:val="004B6603"/>
    <w:rsid w:val="004B789F"/>
    <w:rsid w:val="004C2F81"/>
    <w:rsid w:val="004C699E"/>
    <w:rsid w:val="004C779E"/>
    <w:rsid w:val="004E06D3"/>
    <w:rsid w:val="004E199D"/>
    <w:rsid w:val="004E26D9"/>
    <w:rsid w:val="004E344B"/>
    <w:rsid w:val="004E416B"/>
    <w:rsid w:val="004E57B2"/>
    <w:rsid w:val="004F0E3A"/>
    <w:rsid w:val="004F238E"/>
    <w:rsid w:val="004F340C"/>
    <w:rsid w:val="004F3C1D"/>
    <w:rsid w:val="004F43AF"/>
    <w:rsid w:val="004F43EC"/>
    <w:rsid w:val="004F4623"/>
    <w:rsid w:val="004F5264"/>
    <w:rsid w:val="004F5D3F"/>
    <w:rsid w:val="004F6349"/>
    <w:rsid w:val="004F6CEF"/>
    <w:rsid w:val="00500039"/>
    <w:rsid w:val="00502165"/>
    <w:rsid w:val="00503387"/>
    <w:rsid w:val="00503D32"/>
    <w:rsid w:val="005052A5"/>
    <w:rsid w:val="005072E8"/>
    <w:rsid w:val="00517039"/>
    <w:rsid w:val="0051738F"/>
    <w:rsid w:val="00520D4E"/>
    <w:rsid w:val="00523F64"/>
    <w:rsid w:val="00524166"/>
    <w:rsid w:val="00526BFC"/>
    <w:rsid w:val="0052712F"/>
    <w:rsid w:val="005303EB"/>
    <w:rsid w:val="0053108C"/>
    <w:rsid w:val="00534361"/>
    <w:rsid w:val="00543E14"/>
    <w:rsid w:val="005440B2"/>
    <w:rsid w:val="005445AE"/>
    <w:rsid w:val="00544D0F"/>
    <w:rsid w:val="00544DC6"/>
    <w:rsid w:val="00544FE5"/>
    <w:rsid w:val="00547C0A"/>
    <w:rsid w:val="005501ED"/>
    <w:rsid w:val="0055073F"/>
    <w:rsid w:val="00557562"/>
    <w:rsid w:val="00560297"/>
    <w:rsid w:val="00560D40"/>
    <w:rsid w:val="0056130F"/>
    <w:rsid w:val="005613A0"/>
    <w:rsid w:val="0056178E"/>
    <w:rsid w:val="00561E13"/>
    <w:rsid w:val="00571389"/>
    <w:rsid w:val="00572D63"/>
    <w:rsid w:val="005768EC"/>
    <w:rsid w:val="00576B52"/>
    <w:rsid w:val="005806F6"/>
    <w:rsid w:val="00581702"/>
    <w:rsid w:val="00583C58"/>
    <w:rsid w:val="00583F8C"/>
    <w:rsid w:val="00583FBF"/>
    <w:rsid w:val="00585962"/>
    <w:rsid w:val="00587C70"/>
    <w:rsid w:val="00590C3B"/>
    <w:rsid w:val="00595336"/>
    <w:rsid w:val="0059774C"/>
    <w:rsid w:val="005A0B08"/>
    <w:rsid w:val="005A11C1"/>
    <w:rsid w:val="005A1480"/>
    <w:rsid w:val="005A3909"/>
    <w:rsid w:val="005A3945"/>
    <w:rsid w:val="005A3D59"/>
    <w:rsid w:val="005B1393"/>
    <w:rsid w:val="005B1503"/>
    <w:rsid w:val="005B1B7B"/>
    <w:rsid w:val="005B4542"/>
    <w:rsid w:val="005C4D7E"/>
    <w:rsid w:val="005C5423"/>
    <w:rsid w:val="005C646B"/>
    <w:rsid w:val="005C6A87"/>
    <w:rsid w:val="005C7181"/>
    <w:rsid w:val="005D2D07"/>
    <w:rsid w:val="005D3CFC"/>
    <w:rsid w:val="005D60A6"/>
    <w:rsid w:val="005D7D73"/>
    <w:rsid w:val="005E1C97"/>
    <w:rsid w:val="005E50E0"/>
    <w:rsid w:val="005E6193"/>
    <w:rsid w:val="005F289D"/>
    <w:rsid w:val="005F6DFA"/>
    <w:rsid w:val="005F78DC"/>
    <w:rsid w:val="00601C60"/>
    <w:rsid w:val="00602E93"/>
    <w:rsid w:val="00607725"/>
    <w:rsid w:val="006136AC"/>
    <w:rsid w:val="00613912"/>
    <w:rsid w:val="00615968"/>
    <w:rsid w:val="00616539"/>
    <w:rsid w:val="0062435C"/>
    <w:rsid w:val="00625B5B"/>
    <w:rsid w:val="0063223E"/>
    <w:rsid w:val="0063386C"/>
    <w:rsid w:val="00633DE2"/>
    <w:rsid w:val="00636616"/>
    <w:rsid w:val="0064093D"/>
    <w:rsid w:val="006415DF"/>
    <w:rsid w:val="006444EC"/>
    <w:rsid w:val="00644938"/>
    <w:rsid w:val="00644AA3"/>
    <w:rsid w:val="00645EBF"/>
    <w:rsid w:val="00646E3D"/>
    <w:rsid w:val="00647F2D"/>
    <w:rsid w:val="00650B36"/>
    <w:rsid w:val="0066121B"/>
    <w:rsid w:val="00661437"/>
    <w:rsid w:val="0066203D"/>
    <w:rsid w:val="006659AA"/>
    <w:rsid w:val="00665B99"/>
    <w:rsid w:val="00666940"/>
    <w:rsid w:val="00667E29"/>
    <w:rsid w:val="00671009"/>
    <w:rsid w:val="006715D0"/>
    <w:rsid w:val="00672B45"/>
    <w:rsid w:val="00680BAE"/>
    <w:rsid w:val="00680DD1"/>
    <w:rsid w:val="00682277"/>
    <w:rsid w:val="00684230"/>
    <w:rsid w:val="006932CF"/>
    <w:rsid w:val="00693CCF"/>
    <w:rsid w:val="0069426F"/>
    <w:rsid w:val="00694D46"/>
    <w:rsid w:val="00695488"/>
    <w:rsid w:val="006956D4"/>
    <w:rsid w:val="00695D7F"/>
    <w:rsid w:val="00695EA1"/>
    <w:rsid w:val="006964BD"/>
    <w:rsid w:val="00697A32"/>
    <w:rsid w:val="006A13F3"/>
    <w:rsid w:val="006A19AE"/>
    <w:rsid w:val="006A2E3A"/>
    <w:rsid w:val="006A3362"/>
    <w:rsid w:val="006A3549"/>
    <w:rsid w:val="006A4955"/>
    <w:rsid w:val="006A5B08"/>
    <w:rsid w:val="006A61EB"/>
    <w:rsid w:val="006B0458"/>
    <w:rsid w:val="006B0E47"/>
    <w:rsid w:val="006B1024"/>
    <w:rsid w:val="006B2620"/>
    <w:rsid w:val="006B36D1"/>
    <w:rsid w:val="006B3DB3"/>
    <w:rsid w:val="006B5693"/>
    <w:rsid w:val="006B5DA4"/>
    <w:rsid w:val="006B78A5"/>
    <w:rsid w:val="006C1168"/>
    <w:rsid w:val="006C16AA"/>
    <w:rsid w:val="006C1A91"/>
    <w:rsid w:val="006C319A"/>
    <w:rsid w:val="006C3BD8"/>
    <w:rsid w:val="006C459C"/>
    <w:rsid w:val="006C4FA4"/>
    <w:rsid w:val="006C56CA"/>
    <w:rsid w:val="006C6053"/>
    <w:rsid w:val="006C6747"/>
    <w:rsid w:val="006D0684"/>
    <w:rsid w:val="006D109A"/>
    <w:rsid w:val="006D2E6D"/>
    <w:rsid w:val="006D4CC9"/>
    <w:rsid w:val="006D4FA7"/>
    <w:rsid w:val="006D779F"/>
    <w:rsid w:val="006E0044"/>
    <w:rsid w:val="006E0098"/>
    <w:rsid w:val="006E0616"/>
    <w:rsid w:val="006E2D81"/>
    <w:rsid w:val="006E46EF"/>
    <w:rsid w:val="006E7359"/>
    <w:rsid w:val="006F028F"/>
    <w:rsid w:val="006F1205"/>
    <w:rsid w:val="006F2F91"/>
    <w:rsid w:val="006F44AB"/>
    <w:rsid w:val="006F479D"/>
    <w:rsid w:val="006F754B"/>
    <w:rsid w:val="006F7779"/>
    <w:rsid w:val="006F7DE7"/>
    <w:rsid w:val="00702DD4"/>
    <w:rsid w:val="0070617A"/>
    <w:rsid w:val="00710D05"/>
    <w:rsid w:val="00710E36"/>
    <w:rsid w:val="00713C9B"/>
    <w:rsid w:val="00713D5F"/>
    <w:rsid w:val="00714C62"/>
    <w:rsid w:val="0071573D"/>
    <w:rsid w:val="00721C83"/>
    <w:rsid w:val="00726E7B"/>
    <w:rsid w:val="007300AB"/>
    <w:rsid w:val="00730D95"/>
    <w:rsid w:val="00732A2D"/>
    <w:rsid w:val="00734E3B"/>
    <w:rsid w:val="00735FD1"/>
    <w:rsid w:val="00737C8D"/>
    <w:rsid w:val="00741F15"/>
    <w:rsid w:val="00744EEC"/>
    <w:rsid w:val="007477C0"/>
    <w:rsid w:val="007526A2"/>
    <w:rsid w:val="00752F37"/>
    <w:rsid w:val="00757D7A"/>
    <w:rsid w:val="00762055"/>
    <w:rsid w:val="007707FB"/>
    <w:rsid w:val="00771AA2"/>
    <w:rsid w:val="00771C23"/>
    <w:rsid w:val="00771CBD"/>
    <w:rsid w:val="007752BF"/>
    <w:rsid w:val="00775A2A"/>
    <w:rsid w:val="00790FF1"/>
    <w:rsid w:val="007926DF"/>
    <w:rsid w:val="007942C0"/>
    <w:rsid w:val="007956BD"/>
    <w:rsid w:val="00795939"/>
    <w:rsid w:val="00797BD9"/>
    <w:rsid w:val="007A2C3F"/>
    <w:rsid w:val="007A5B00"/>
    <w:rsid w:val="007A6837"/>
    <w:rsid w:val="007A7359"/>
    <w:rsid w:val="007B061F"/>
    <w:rsid w:val="007B1571"/>
    <w:rsid w:val="007B173B"/>
    <w:rsid w:val="007B2412"/>
    <w:rsid w:val="007B3657"/>
    <w:rsid w:val="007B3693"/>
    <w:rsid w:val="007B41CE"/>
    <w:rsid w:val="007B4B2B"/>
    <w:rsid w:val="007B55CB"/>
    <w:rsid w:val="007B572A"/>
    <w:rsid w:val="007C5997"/>
    <w:rsid w:val="007D1D81"/>
    <w:rsid w:val="007D2F58"/>
    <w:rsid w:val="007D7061"/>
    <w:rsid w:val="007D7125"/>
    <w:rsid w:val="007E00BE"/>
    <w:rsid w:val="007E23A6"/>
    <w:rsid w:val="007E6633"/>
    <w:rsid w:val="007E7980"/>
    <w:rsid w:val="007F2081"/>
    <w:rsid w:val="007F4CEF"/>
    <w:rsid w:val="007F69BB"/>
    <w:rsid w:val="00803EE8"/>
    <w:rsid w:val="00804B06"/>
    <w:rsid w:val="008073A2"/>
    <w:rsid w:val="00810629"/>
    <w:rsid w:val="0081109F"/>
    <w:rsid w:val="0081141B"/>
    <w:rsid w:val="00813666"/>
    <w:rsid w:val="00814B1E"/>
    <w:rsid w:val="008213DA"/>
    <w:rsid w:val="00822989"/>
    <w:rsid w:val="00831730"/>
    <w:rsid w:val="00833B97"/>
    <w:rsid w:val="00841A19"/>
    <w:rsid w:val="0084207D"/>
    <w:rsid w:val="008433A3"/>
    <w:rsid w:val="00850ABC"/>
    <w:rsid w:val="00852377"/>
    <w:rsid w:val="00863F94"/>
    <w:rsid w:val="00864523"/>
    <w:rsid w:val="00866BC3"/>
    <w:rsid w:val="008670E0"/>
    <w:rsid w:val="0086773A"/>
    <w:rsid w:val="00871F87"/>
    <w:rsid w:val="00872A75"/>
    <w:rsid w:val="008751FD"/>
    <w:rsid w:val="00877465"/>
    <w:rsid w:val="00877978"/>
    <w:rsid w:val="0088057F"/>
    <w:rsid w:val="00880EA6"/>
    <w:rsid w:val="008817BB"/>
    <w:rsid w:val="0088487E"/>
    <w:rsid w:val="00890666"/>
    <w:rsid w:val="00890EAB"/>
    <w:rsid w:val="00891979"/>
    <w:rsid w:val="00891F49"/>
    <w:rsid w:val="00895DE3"/>
    <w:rsid w:val="008A1D5D"/>
    <w:rsid w:val="008A4997"/>
    <w:rsid w:val="008A5AD2"/>
    <w:rsid w:val="008A5D3F"/>
    <w:rsid w:val="008A604D"/>
    <w:rsid w:val="008A7387"/>
    <w:rsid w:val="008B27D8"/>
    <w:rsid w:val="008B4885"/>
    <w:rsid w:val="008B4D60"/>
    <w:rsid w:val="008B5F32"/>
    <w:rsid w:val="008B5FB5"/>
    <w:rsid w:val="008B6B0C"/>
    <w:rsid w:val="008C1F6A"/>
    <w:rsid w:val="008C2D0B"/>
    <w:rsid w:val="008C660D"/>
    <w:rsid w:val="008C72FE"/>
    <w:rsid w:val="008D2294"/>
    <w:rsid w:val="008E12E5"/>
    <w:rsid w:val="008E1CDE"/>
    <w:rsid w:val="008E1E31"/>
    <w:rsid w:val="008E1F6A"/>
    <w:rsid w:val="008E44A7"/>
    <w:rsid w:val="008E4754"/>
    <w:rsid w:val="008E6434"/>
    <w:rsid w:val="008F0ADD"/>
    <w:rsid w:val="008F4374"/>
    <w:rsid w:val="008F682E"/>
    <w:rsid w:val="00902EC1"/>
    <w:rsid w:val="00903C83"/>
    <w:rsid w:val="00904073"/>
    <w:rsid w:val="009056D2"/>
    <w:rsid w:val="00905F17"/>
    <w:rsid w:val="00906169"/>
    <w:rsid w:val="009063B8"/>
    <w:rsid w:val="00906A2C"/>
    <w:rsid w:val="00907825"/>
    <w:rsid w:val="009145F6"/>
    <w:rsid w:val="00914D7E"/>
    <w:rsid w:val="00920A9E"/>
    <w:rsid w:val="00921846"/>
    <w:rsid w:val="00921AC2"/>
    <w:rsid w:val="00921ED9"/>
    <w:rsid w:val="0092260A"/>
    <w:rsid w:val="00923E3C"/>
    <w:rsid w:val="00924108"/>
    <w:rsid w:val="00930830"/>
    <w:rsid w:val="009338E4"/>
    <w:rsid w:val="00934362"/>
    <w:rsid w:val="009446BA"/>
    <w:rsid w:val="009452FE"/>
    <w:rsid w:val="009455EB"/>
    <w:rsid w:val="009466A1"/>
    <w:rsid w:val="0094703C"/>
    <w:rsid w:val="00950613"/>
    <w:rsid w:val="00950AD8"/>
    <w:rsid w:val="0095235C"/>
    <w:rsid w:val="00953C06"/>
    <w:rsid w:val="00955CF2"/>
    <w:rsid w:val="00957E0A"/>
    <w:rsid w:val="009617C0"/>
    <w:rsid w:val="00961F0B"/>
    <w:rsid w:val="00962ABA"/>
    <w:rsid w:val="00962F8E"/>
    <w:rsid w:val="00965BFF"/>
    <w:rsid w:val="009665DB"/>
    <w:rsid w:val="00971D37"/>
    <w:rsid w:val="00982B4A"/>
    <w:rsid w:val="00983262"/>
    <w:rsid w:val="00983A44"/>
    <w:rsid w:val="00986AAE"/>
    <w:rsid w:val="00987EA8"/>
    <w:rsid w:val="00990EE8"/>
    <w:rsid w:val="00992F85"/>
    <w:rsid w:val="00994CC4"/>
    <w:rsid w:val="00995A84"/>
    <w:rsid w:val="0099638F"/>
    <w:rsid w:val="009A109C"/>
    <w:rsid w:val="009A10AE"/>
    <w:rsid w:val="009A19C7"/>
    <w:rsid w:val="009A2B60"/>
    <w:rsid w:val="009B0F5A"/>
    <w:rsid w:val="009B1768"/>
    <w:rsid w:val="009B1F18"/>
    <w:rsid w:val="009B243B"/>
    <w:rsid w:val="009B404F"/>
    <w:rsid w:val="009B4610"/>
    <w:rsid w:val="009C0434"/>
    <w:rsid w:val="009C0611"/>
    <w:rsid w:val="009C331A"/>
    <w:rsid w:val="009C610A"/>
    <w:rsid w:val="009C6A23"/>
    <w:rsid w:val="009D1D2F"/>
    <w:rsid w:val="009D217B"/>
    <w:rsid w:val="009D382C"/>
    <w:rsid w:val="009D4C79"/>
    <w:rsid w:val="009D579A"/>
    <w:rsid w:val="009E1171"/>
    <w:rsid w:val="009E165D"/>
    <w:rsid w:val="009E2E8E"/>
    <w:rsid w:val="009E3356"/>
    <w:rsid w:val="009F2CA2"/>
    <w:rsid w:val="009F5451"/>
    <w:rsid w:val="009F62C1"/>
    <w:rsid w:val="00A044C5"/>
    <w:rsid w:val="00A067E4"/>
    <w:rsid w:val="00A1081A"/>
    <w:rsid w:val="00A140ED"/>
    <w:rsid w:val="00A1481B"/>
    <w:rsid w:val="00A14FFC"/>
    <w:rsid w:val="00A15882"/>
    <w:rsid w:val="00A15FEF"/>
    <w:rsid w:val="00A17653"/>
    <w:rsid w:val="00A17A3D"/>
    <w:rsid w:val="00A27B40"/>
    <w:rsid w:val="00A27F4A"/>
    <w:rsid w:val="00A33362"/>
    <w:rsid w:val="00A337C8"/>
    <w:rsid w:val="00A35522"/>
    <w:rsid w:val="00A4792F"/>
    <w:rsid w:val="00A50265"/>
    <w:rsid w:val="00A51E25"/>
    <w:rsid w:val="00A5216C"/>
    <w:rsid w:val="00A522F1"/>
    <w:rsid w:val="00A52C9E"/>
    <w:rsid w:val="00A54222"/>
    <w:rsid w:val="00A55441"/>
    <w:rsid w:val="00A57266"/>
    <w:rsid w:val="00A57AC0"/>
    <w:rsid w:val="00A600BC"/>
    <w:rsid w:val="00A638EB"/>
    <w:rsid w:val="00A640F3"/>
    <w:rsid w:val="00A645B1"/>
    <w:rsid w:val="00A66BC2"/>
    <w:rsid w:val="00A66E3E"/>
    <w:rsid w:val="00A67362"/>
    <w:rsid w:val="00A718F9"/>
    <w:rsid w:val="00A77A6B"/>
    <w:rsid w:val="00A81F94"/>
    <w:rsid w:val="00A84BB0"/>
    <w:rsid w:val="00A86DBC"/>
    <w:rsid w:val="00A909B3"/>
    <w:rsid w:val="00A94F78"/>
    <w:rsid w:val="00A95497"/>
    <w:rsid w:val="00A962C7"/>
    <w:rsid w:val="00A97FA5"/>
    <w:rsid w:val="00AA15EC"/>
    <w:rsid w:val="00AA4532"/>
    <w:rsid w:val="00AA459B"/>
    <w:rsid w:val="00AA48E3"/>
    <w:rsid w:val="00AA61FE"/>
    <w:rsid w:val="00AB0ECB"/>
    <w:rsid w:val="00AB4DF4"/>
    <w:rsid w:val="00AC2B76"/>
    <w:rsid w:val="00AC2F15"/>
    <w:rsid w:val="00AC410B"/>
    <w:rsid w:val="00AC70C2"/>
    <w:rsid w:val="00AC74F0"/>
    <w:rsid w:val="00AD0ED3"/>
    <w:rsid w:val="00AD14EA"/>
    <w:rsid w:val="00AD774C"/>
    <w:rsid w:val="00AE11F9"/>
    <w:rsid w:val="00AE57B8"/>
    <w:rsid w:val="00AE7415"/>
    <w:rsid w:val="00AF0D0C"/>
    <w:rsid w:val="00AF3604"/>
    <w:rsid w:val="00AF76A1"/>
    <w:rsid w:val="00AF7792"/>
    <w:rsid w:val="00B0032D"/>
    <w:rsid w:val="00B05A6C"/>
    <w:rsid w:val="00B1309E"/>
    <w:rsid w:val="00B1455C"/>
    <w:rsid w:val="00B14809"/>
    <w:rsid w:val="00B177B0"/>
    <w:rsid w:val="00B17E25"/>
    <w:rsid w:val="00B22454"/>
    <w:rsid w:val="00B3669B"/>
    <w:rsid w:val="00B422EC"/>
    <w:rsid w:val="00B43886"/>
    <w:rsid w:val="00B43931"/>
    <w:rsid w:val="00B439D1"/>
    <w:rsid w:val="00B44615"/>
    <w:rsid w:val="00B456EB"/>
    <w:rsid w:val="00B462AA"/>
    <w:rsid w:val="00B50724"/>
    <w:rsid w:val="00B515A0"/>
    <w:rsid w:val="00B5214A"/>
    <w:rsid w:val="00B55BD8"/>
    <w:rsid w:val="00B57BE7"/>
    <w:rsid w:val="00B63F30"/>
    <w:rsid w:val="00B664F1"/>
    <w:rsid w:val="00B719E8"/>
    <w:rsid w:val="00B72C2E"/>
    <w:rsid w:val="00B7391B"/>
    <w:rsid w:val="00B741F6"/>
    <w:rsid w:val="00B758C5"/>
    <w:rsid w:val="00B80FC9"/>
    <w:rsid w:val="00B81AAE"/>
    <w:rsid w:val="00B82C17"/>
    <w:rsid w:val="00B84ACA"/>
    <w:rsid w:val="00B852AA"/>
    <w:rsid w:val="00B864AF"/>
    <w:rsid w:val="00B8797C"/>
    <w:rsid w:val="00B90701"/>
    <w:rsid w:val="00B90B9C"/>
    <w:rsid w:val="00B93EEC"/>
    <w:rsid w:val="00B943DD"/>
    <w:rsid w:val="00B971EC"/>
    <w:rsid w:val="00B97517"/>
    <w:rsid w:val="00BA0416"/>
    <w:rsid w:val="00BA5244"/>
    <w:rsid w:val="00BB3A5E"/>
    <w:rsid w:val="00BC0E2F"/>
    <w:rsid w:val="00BC31A2"/>
    <w:rsid w:val="00BC3D5D"/>
    <w:rsid w:val="00BC55F0"/>
    <w:rsid w:val="00BC60E3"/>
    <w:rsid w:val="00BC723D"/>
    <w:rsid w:val="00BD653C"/>
    <w:rsid w:val="00BD662C"/>
    <w:rsid w:val="00BD6A72"/>
    <w:rsid w:val="00BE0660"/>
    <w:rsid w:val="00BE2633"/>
    <w:rsid w:val="00BE3FC0"/>
    <w:rsid w:val="00BF073E"/>
    <w:rsid w:val="00BF283E"/>
    <w:rsid w:val="00BF68AC"/>
    <w:rsid w:val="00C009B5"/>
    <w:rsid w:val="00C016A6"/>
    <w:rsid w:val="00C0464B"/>
    <w:rsid w:val="00C050B7"/>
    <w:rsid w:val="00C106CB"/>
    <w:rsid w:val="00C12191"/>
    <w:rsid w:val="00C14363"/>
    <w:rsid w:val="00C14FEB"/>
    <w:rsid w:val="00C15FC7"/>
    <w:rsid w:val="00C160BA"/>
    <w:rsid w:val="00C21326"/>
    <w:rsid w:val="00C214E9"/>
    <w:rsid w:val="00C22273"/>
    <w:rsid w:val="00C2296D"/>
    <w:rsid w:val="00C2318A"/>
    <w:rsid w:val="00C255D6"/>
    <w:rsid w:val="00C30B0C"/>
    <w:rsid w:val="00C345C1"/>
    <w:rsid w:val="00C35F57"/>
    <w:rsid w:val="00C36004"/>
    <w:rsid w:val="00C374B1"/>
    <w:rsid w:val="00C40D06"/>
    <w:rsid w:val="00C462CE"/>
    <w:rsid w:val="00C46F00"/>
    <w:rsid w:val="00C47227"/>
    <w:rsid w:val="00C47A7A"/>
    <w:rsid w:val="00C506B4"/>
    <w:rsid w:val="00C52564"/>
    <w:rsid w:val="00C571AE"/>
    <w:rsid w:val="00C6006A"/>
    <w:rsid w:val="00C63268"/>
    <w:rsid w:val="00C65986"/>
    <w:rsid w:val="00C71444"/>
    <w:rsid w:val="00C72DEE"/>
    <w:rsid w:val="00C76474"/>
    <w:rsid w:val="00C80488"/>
    <w:rsid w:val="00C81A0E"/>
    <w:rsid w:val="00C86373"/>
    <w:rsid w:val="00C90AF8"/>
    <w:rsid w:val="00C9248B"/>
    <w:rsid w:val="00C94FC8"/>
    <w:rsid w:val="00C95320"/>
    <w:rsid w:val="00CA0953"/>
    <w:rsid w:val="00CA54DD"/>
    <w:rsid w:val="00CA63FD"/>
    <w:rsid w:val="00CA6554"/>
    <w:rsid w:val="00CA7488"/>
    <w:rsid w:val="00CB2F01"/>
    <w:rsid w:val="00CB3632"/>
    <w:rsid w:val="00CB60D3"/>
    <w:rsid w:val="00CB74C2"/>
    <w:rsid w:val="00CC1BBD"/>
    <w:rsid w:val="00CC2B0D"/>
    <w:rsid w:val="00CC3EA7"/>
    <w:rsid w:val="00CD13C9"/>
    <w:rsid w:val="00CD1F30"/>
    <w:rsid w:val="00CD2405"/>
    <w:rsid w:val="00CD2E77"/>
    <w:rsid w:val="00CD4511"/>
    <w:rsid w:val="00CD6A4A"/>
    <w:rsid w:val="00CE1190"/>
    <w:rsid w:val="00CF1510"/>
    <w:rsid w:val="00CF1880"/>
    <w:rsid w:val="00CF39AB"/>
    <w:rsid w:val="00CF4F08"/>
    <w:rsid w:val="00CF5200"/>
    <w:rsid w:val="00CF683F"/>
    <w:rsid w:val="00D01B44"/>
    <w:rsid w:val="00D0657D"/>
    <w:rsid w:val="00D12DFB"/>
    <w:rsid w:val="00D21F2B"/>
    <w:rsid w:val="00D24AAF"/>
    <w:rsid w:val="00D251FC"/>
    <w:rsid w:val="00D25D44"/>
    <w:rsid w:val="00D26BF6"/>
    <w:rsid w:val="00D27BB4"/>
    <w:rsid w:val="00D324C7"/>
    <w:rsid w:val="00D32C55"/>
    <w:rsid w:val="00D3327F"/>
    <w:rsid w:val="00D34324"/>
    <w:rsid w:val="00D365BC"/>
    <w:rsid w:val="00D4079C"/>
    <w:rsid w:val="00D40BDC"/>
    <w:rsid w:val="00D40E7F"/>
    <w:rsid w:val="00D424E6"/>
    <w:rsid w:val="00D51BA6"/>
    <w:rsid w:val="00D524C8"/>
    <w:rsid w:val="00D52647"/>
    <w:rsid w:val="00D53A6D"/>
    <w:rsid w:val="00D56849"/>
    <w:rsid w:val="00D60572"/>
    <w:rsid w:val="00D6225C"/>
    <w:rsid w:val="00D71727"/>
    <w:rsid w:val="00D7510B"/>
    <w:rsid w:val="00D84AED"/>
    <w:rsid w:val="00D84EAB"/>
    <w:rsid w:val="00D8502A"/>
    <w:rsid w:val="00D86954"/>
    <w:rsid w:val="00D92945"/>
    <w:rsid w:val="00D951A6"/>
    <w:rsid w:val="00DA0D2D"/>
    <w:rsid w:val="00DA1A70"/>
    <w:rsid w:val="00DA2FBE"/>
    <w:rsid w:val="00DA58D8"/>
    <w:rsid w:val="00DA6E95"/>
    <w:rsid w:val="00DB08F8"/>
    <w:rsid w:val="00DB50BA"/>
    <w:rsid w:val="00DB69D8"/>
    <w:rsid w:val="00DB6FC4"/>
    <w:rsid w:val="00DC0010"/>
    <w:rsid w:val="00DC0D7A"/>
    <w:rsid w:val="00DC3F2B"/>
    <w:rsid w:val="00DC3F91"/>
    <w:rsid w:val="00DC5E8B"/>
    <w:rsid w:val="00DC71E6"/>
    <w:rsid w:val="00DD0E80"/>
    <w:rsid w:val="00DD122C"/>
    <w:rsid w:val="00DD2FE0"/>
    <w:rsid w:val="00DD3872"/>
    <w:rsid w:val="00DD5F04"/>
    <w:rsid w:val="00DD683C"/>
    <w:rsid w:val="00DD7393"/>
    <w:rsid w:val="00DF43C9"/>
    <w:rsid w:val="00E02F29"/>
    <w:rsid w:val="00E031EF"/>
    <w:rsid w:val="00E03BC5"/>
    <w:rsid w:val="00E0435B"/>
    <w:rsid w:val="00E07E68"/>
    <w:rsid w:val="00E07FFA"/>
    <w:rsid w:val="00E14A37"/>
    <w:rsid w:val="00E14B62"/>
    <w:rsid w:val="00E20C09"/>
    <w:rsid w:val="00E2150D"/>
    <w:rsid w:val="00E21FED"/>
    <w:rsid w:val="00E247D2"/>
    <w:rsid w:val="00E255DE"/>
    <w:rsid w:val="00E31BBF"/>
    <w:rsid w:val="00E32837"/>
    <w:rsid w:val="00E341FF"/>
    <w:rsid w:val="00E4274E"/>
    <w:rsid w:val="00E52113"/>
    <w:rsid w:val="00E5549C"/>
    <w:rsid w:val="00E573B4"/>
    <w:rsid w:val="00E6240F"/>
    <w:rsid w:val="00E6513A"/>
    <w:rsid w:val="00E66C62"/>
    <w:rsid w:val="00E70AD9"/>
    <w:rsid w:val="00E74531"/>
    <w:rsid w:val="00E76E7E"/>
    <w:rsid w:val="00E82215"/>
    <w:rsid w:val="00E82545"/>
    <w:rsid w:val="00E82B39"/>
    <w:rsid w:val="00E82F66"/>
    <w:rsid w:val="00E834F9"/>
    <w:rsid w:val="00E83BB4"/>
    <w:rsid w:val="00E84BD7"/>
    <w:rsid w:val="00E863B7"/>
    <w:rsid w:val="00E86602"/>
    <w:rsid w:val="00E90002"/>
    <w:rsid w:val="00E90663"/>
    <w:rsid w:val="00E90C23"/>
    <w:rsid w:val="00E94118"/>
    <w:rsid w:val="00E951C2"/>
    <w:rsid w:val="00E958AC"/>
    <w:rsid w:val="00EA4848"/>
    <w:rsid w:val="00EA53AD"/>
    <w:rsid w:val="00EA5628"/>
    <w:rsid w:val="00EB036A"/>
    <w:rsid w:val="00EB55A8"/>
    <w:rsid w:val="00EC02A7"/>
    <w:rsid w:val="00EC1C55"/>
    <w:rsid w:val="00ED0F45"/>
    <w:rsid w:val="00ED4088"/>
    <w:rsid w:val="00ED49D2"/>
    <w:rsid w:val="00EE42BA"/>
    <w:rsid w:val="00EE73A9"/>
    <w:rsid w:val="00EF2DB4"/>
    <w:rsid w:val="00EF5684"/>
    <w:rsid w:val="00EF633F"/>
    <w:rsid w:val="00EF66B7"/>
    <w:rsid w:val="00EF6863"/>
    <w:rsid w:val="00EF779A"/>
    <w:rsid w:val="00EF77D8"/>
    <w:rsid w:val="00EF7A70"/>
    <w:rsid w:val="00F0095A"/>
    <w:rsid w:val="00F10404"/>
    <w:rsid w:val="00F137D3"/>
    <w:rsid w:val="00F14734"/>
    <w:rsid w:val="00F1795E"/>
    <w:rsid w:val="00F22B13"/>
    <w:rsid w:val="00F22B9F"/>
    <w:rsid w:val="00F232AC"/>
    <w:rsid w:val="00F237F6"/>
    <w:rsid w:val="00F339E2"/>
    <w:rsid w:val="00F35211"/>
    <w:rsid w:val="00F35F99"/>
    <w:rsid w:val="00F36C76"/>
    <w:rsid w:val="00F371CB"/>
    <w:rsid w:val="00F405CC"/>
    <w:rsid w:val="00F46286"/>
    <w:rsid w:val="00F46B3E"/>
    <w:rsid w:val="00F47B7B"/>
    <w:rsid w:val="00F52A50"/>
    <w:rsid w:val="00F53D51"/>
    <w:rsid w:val="00F56740"/>
    <w:rsid w:val="00F5786C"/>
    <w:rsid w:val="00F62C25"/>
    <w:rsid w:val="00F64DE7"/>
    <w:rsid w:val="00F65410"/>
    <w:rsid w:val="00F65E79"/>
    <w:rsid w:val="00F660B1"/>
    <w:rsid w:val="00F666FF"/>
    <w:rsid w:val="00F6783D"/>
    <w:rsid w:val="00F71D70"/>
    <w:rsid w:val="00F73A09"/>
    <w:rsid w:val="00F73FDF"/>
    <w:rsid w:val="00F740FB"/>
    <w:rsid w:val="00F75957"/>
    <w:rsid w:val="00F806E4"/>
    <w:rsid w:val="00F83BA4"/>
    <w:rsid w:val="00F84260"/>
    <w:rsid w:val="00F86C28"/>
    <w:rsid w:val="00F94309"/>
    <w:rsid w:val="00F960A8"/>
    <w:rsid w:val="00FA05F0"/>
    <w:rsid w:val="00FA100C"/>
    <w:rsid w:val="00FA1F58"/>
    <w:rsid w:val="00FA4367"/>
    <w:rsid w:val="00FA4ADF"/>
    <w:rsid w:val="00FA6612"/>
    <w:rsid w:val="00FA7F6F"/>
    <w:rsid w:val="00FB0DE5"/>
    <w:rsid w:val="00FB41BB"/>
    <w:rsid w:val="00FB5B68"/>
    <w:rsid w:val="00FC0218"/>
    <w:rsid w:val="00FC3DAD"/>
    <w:rsid w:val="00FC40DE"/>
    <w:rsid w:val="00FC7FA5"/>
    <w:rsid w:val="00FD0A7B"/>
    <w:rsid w:val="00FD0B65"/>
    <w:rsid w:val="00FD2C44"/>
    <w:rsid w:val="00FE1C40"/>
    <w:rsid w:val="00FE4D17"/>
    <w:rsid w:val="00FE5258"/>
    <w:rsid w:val="00FE6480"/>
    <w:rsid w:val="00FE6A37"/>
    <w:rsid w:val="00FE76FB"/>
    <w:rsid w:val="00FF05A2"/>
    <w:rsid w:val="00FF4B1A"/>
    <w:rsid w:val="00FF4CE3"/>
    <w:rsid w:val="00FF7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7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23"/>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66850"/>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unhideWhenUsed/>
    <w:qFormat/>
    <w:rsid w:val="00066850"/>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semiHidden/>
    <w:unhideWhenUsed/>
    <w:qFormat/>
    <w:rsid w:val="00066850"/>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5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66850"/>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semiHidden/>
    <w:rsid w:val="00066850"/>
    <w:rPr>
      <w:rFonts w:ascii="Corbel" w:eastAsia="Times New Roman" w:hAnsi="Corbel" w:cs="Arial"/>
      <w:color w:val="3D4B67"/>
      <w:sz w:val="36"/>
      <w:lang w:eastAsia="en-AU"/>
    </w:rPr>
  </w:style>
  <w:style w:type="paragraph" w:styleId="Subtitle">
    <w:name w:val="Subtitle"/>
    <w:basedOn w:val="Normal"/>
    <w:link w:val="SubtitleChar"/>
    <w:uiPriority w:val="11"/>
    <w:qFormat/>
    <w:rsid w:val="00066850"/>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6685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66850"/>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66850"/>
    <w:rPr>
      <w:rFonts w:ascii="Corbel" w:eastAsia="Times New Roman" w:hAnsi="Corbel" w:cs="Times New Roman"/>
      <w:color w:val="3D4B67"/>
      <w:sz w:val="72"/>
      <w:szCs w:val="48"/>
      <w:lang w:eastAsia="ja-JP"/>
    </w:rPr>
  </w:style>
  <w:style w:type="paragraph" w:customStyle="1" w:styleId="SingleParagraph">
    <w:name w:val="Single Paragraph"/>
    <w:basedOn w:val="Normal"/>
    <w:rsid w:val="00066850"/>
    <w:pPr>
      <w:spacing w:after="0"/>
    </w:pPr>
  </w:style>
  <w:style w:type="character" w:customStyle="1" w:styleId="NormalnumberedChar">
    <w:name w:val="Normal numbered Char"/>
    <w:link w:val="Normalnumbered"/>
    <w:locked/>
    <w:rsid w:val="00066850"/>
    <w:rPr>
      <w:rFonts w:ascii="Corbel" w:hAnsi="Corbel"/>
      <w:color w:val="000000"/>
      <w:sz w:val="23"/>
    </w:rPr>
  </w:style>
  <w:style w:type="paragraph" w:customStyle="1" w:styleId="Normalnumbered">
    <w:name w:val="Normal numbered"/>
    <w:basedOn w:val="Normal"/>
    <w:link w:val="NormalnumberedChar"/>
    <w:rsid w:val="00066850"/>
    <w:rPr>
      <w:rFonts w:eastAsiaTheme="minorHAnsi" w:cstheme="minorBidi"/>
      <w:szCs w:val="22"/>
      <w:lang w:eastAsia="en-US"/>
    </w:rPr>
  </w:style>
  <w:style w:type="paragraph" w:customStyle="1" w:styleId="Position">
    <w:name w:val="Position"/>
    <w:basedOn w:val="Normal"/>
    <w:rsid w:val="00066850"/>
    <w:pPr>
      <w:spacing w:after="120"/>
    </w:pPr>
    <w:rPr>
      <w:bCs/>
      <w:sz w:val="20"/>
    </w:rPr>
  </w:style>
  <w:style w:type="character" w:customStyle="1" w:styleId="ScheduleNumberedParaChar">
    <w:name w:val="ScheduleNumberedPara Char"/>
    <w:link w:val="ScheduleNumberedPara"/>
    <w:locked/>
    <w:rsid w:val="00066850"/>
    <w:rPr>
      <w:rFonts w:ascii="Corbel" w:hAnsi="Corbel"/>
      <w:color w:val="000000"/>
      <w:sz w:val="23"/>
    </w:rPr>
  </w:style>
  <w:style w:type="paragraph" w:customStyle="1" w:styleId="ScheduleNumberedPara">
    <w:name w:val="ScheduleNumberedPara"/>
    <w:basedOn w:val="Normalnumbered"/>
    <w:link w:val="ScheduleNumberedParaChar"/>
    <w:rsid w:val="00066850"/>
  </w:style>
  <w:style w:type="character" w:customStyle="1" w:styleId="Bold">
    <w:name w:val="Bold"/>
    <w:rsid w:val="00066850"/>
    <w:rPr>
      <w:b/>
      <w:bCs w:val="0"/>
    </w:rPr>
  </w:style>
  <w:style w:type="paragraph" w:styleId="Header">
    <w:name w:val="header"/>
    <w:basedOn w:val="Normal"/>
    <w:link w:val="HeaderChar"/>
    <w:uiPriority w:val="99"/>
    <w:unhideWhenUsed/>
    <w:rsid w:val="0006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50"/>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6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50"/>
    <w:rPr>
      <w:rFonts w:ascii="Corbel" w:eastAsia="Times New Roman" w:hAnsi="Corbel" w:cs="Times New Roman"/>
      <w:color w:val="000000"/>
      <w:sz w:val="23"/>
      <w:szCs w:val="20"/>
      <w:lang w:eastAsia="en-AU"/>
    </w:rPr>
  </w:style>
  <w:style w:type="paragraph" w:customStyle="1" w:styleId="OutlineNumbered1">
    <w:name w:val="Outline Numbered 1"/>
    <w:basedOn w:val="Normal"/>
    <w:link w:val="OutlineNumbered1Char"/>
    <w:rsid w:val="00695488"/>
    <w:pPr>
      <w:numPr>
        <w:numId w:val="2"/>
      </w:numPr>
    </w:pPr>
  </w:style>
  <w:style w:type="character" w:customStyle="1" w:styleId="OutlineNumbered1Char">
    <w:name w:val="Outline Numbered 1 Char"/>
    <w:basedOn w:val="DefaultParagraphFont"/>
    <w:link w:val="OutlineNumbered1"/>
    <w:rsid w:val="00695488"/>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695488"/>
    <w:pPr>
      <w:numPr>
        <w:ilvl w:val="1"/>
        <w:numId w:val="2"/>
      </w:numPr>
    </w:pPr>
  </w:style>
  <w:style w:type="character" w:customStyle="1" w:styleId="OutlineNumbered2Char">
    <w:name w:val="Outline Numbered 2 Char"/>
    <w:basedOn w:val="DefaultParagraphFont"/>
    <w:link w:val="OutlineNumbered2"/>
    <w:rsid w:val="00695488"/>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695488"/>
    <w:pPr>
      <w:numPr>
        <w:ilvl w:val="2"/>
        <w:numId w:val="2"/>
      </w:numPr>
    </w:pPr>
  </w:style>
  <w:style w:type="character" w:customStyle="1" w:styleId="OutlineNumbered3Char">
    <w:name w:val="Outline Numbered 3 Char"/>
    <w:basedOn w:val="DefaultParagraphFont"/>
    <w:link w:val="OutlineNumbered3"/>
    <w:rsid w:val="00695488"/>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3F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7C"/>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3F227C"/>
    <w:rPr>
      <w:sz w:val="16"/>
      <w:szCs w:val="16"/>
    </w:rPr>
  </w:style>
  <w:style w:type="paragraph" w:styleId="CommentText">
    <w:name w:val="annotation text"/>
    <w:basedOn w:val="Normal"/>
    <w:link w:val="CommentTextChar"/>
    <w:uiPriority w:val="99"/>
    <w:unhideWhenUsed/>
    <w:rsid w:val="003F227C"/>
    <w:pPr>
      <w:spacing w:line="240" w:lineRule="auto"/>
    </w:pPr>
    <w:rPr>
      <w:sz w:val="20"/>
    </w:rPr>
  </w:style>
  <w:style w:type="character" w:customStyle="1" w:styleId="CommentTextChar">
    <w:name w:val="Comment Text Char"/>
    <w:basedOn w:val="DefaultParagraphFont"/>
    <w:link w:val="CommentText"/>
    <w:uiPriority w:val="99"/>
    <w:rsid w:val="003F227C"/>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227C"/>
    <w:rPr>
      <w:b/>
      <w:bCs/>
    </w:rPr>
  </w:style>
  <w:style w:type="character" w:customStyle="1" w:styleId="CommentSubjectChar">
    <w:name w:val="Comment Subject Char"/>
    <w:basedOn w:val="CommentTextChar"/>
    <w:link w:val="CommentSubject"/>
    <w:uiPriority w:val="99"/>
    <w:semiHidden/>
    <w:rsid w:val="003F227C"/>
    <w:rPr>
      <w:rFonts w:ascii="Corbel" w:eastAsia="Times New Roman" w:hAnsi="Corbel" w:cs="Times New Roman"/>
      <w:b/>
      <w:bCs/>
      <w:color w:val="000000"/>
      <w:sz w:val="20"/>
      <w:szCs w:val="20"/>
      <w:lang w:eastAsia="en-AU"/>
    </w:rPr>
  </w:style>
  <w:style w:type="table" w:styleId="TableGrid">
    <w:name w:val="Table Grid"/>
    <w:basedOn w:val="TableNormal"/>
    <w:uiPriority w:val="59"/>
    <w:rsid w:val="009D1D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andTableFootnoteAlpha">
    <w:name w:val="Chart and Table Footnote Alpha"/>
    <w:rsid w:val="00921ED9"/>
    <w:pPr>
      <w:numPr>
        <w:numId w:val="3"/>
      </w:numPr>
      <w:tabs>
        <w:tab w:val="clear" w:pos="360"/>
        <w:tab w:val="num" w:pos="283"/>
        <w:tab w:val="num" w:pos="543"/>
      </w:tabs>
      <w:spacing w:after="0" w:line="240" w:lineRule="auto"/>
      <w:ind w:left="283" w:hanging="283"/>
      <w:jc w:val="both"/>
    </w:pPr>
    <w:rPr>
      <w:rFonts w:ascii="Arial" w:eastAsia="Times New Roman" w:hAnsi="Arial" w:cs="Times New Roman"/>
      <w:color w:val="000000"/>
      <w:sz w:val="16"/>
      <w:szCs w:val="16"/>
      <w:lang w:eastAsia="en-AU"/>
    </w:rPr>
  </w:style>
  <w:style w:type="paragraph" w:styleId="ListParagraph">
    <w:name w:val="List Paragraph"/>
    <w:basedOn w:val="Normal"/>
    <w:uiPriority w:val="34"/>
    <w:qFormat/>
    <w:rsid w:val="00C255D6"/>
    <w:pPr>
      <w:ind w:left="720"/>
      <w:contextualSpacing/>
    </w:pPr>
  </w:style>
  <w:style w:type="paragraph" w:styleId="Revision">
    <w:name w:val="Revision"/>
    <w:hidden/>
    <w:uiPriority w:val="99"/>
    <w:semiHidden/>
    <w:rsid w:val="00863F94"/>
    <w:pPr>
      <w:spacing w:after="0" w:line="240" w:lineRule="auto"/>
    </w:pPr>
    <w:rPr>
      <w:rFonts w:ascii="Corbel" w:eastAsia="Times New Roman" w:hAnsi="Corbel" w:cs="Times New Roman"/>
      <w:color w:val="000000"/>
      <w:sz w:val="23"/>
      <w:szCs w:val="20"/>
      <w:lang w:eastAsia="en-AU"/>
    </w:rPr>
  </w:style>
  <w:style w:type="paragraph" w:styleId="BodyText">
    <w:name w:val="Body Text"/>
    <w:basedOn w:val="Normal"/>
    <w:link w:val="BodyTextChar"/>
    <w:uiPriority w:val="99"/>
    <w:semiHidden/>
    <w:unhideWhenUsed/>
    <w:rsid w:val="001067AD"/>
    <w:pPr>
      <w:spacing w:after="120"/>
    </w:pPr>
  </w:style>
  <w:style w:type="character" w:customStyle="1" w:styleId="BodyTextChar">
    <w:name w:val="Body Text Char"/>
    <w:basedOn w:val="DefaultParagraphFont"/>
    <w:link w:val="BodyText"/>
    <w:uiPriority w:val="99"/>
    <w:semiHidden/>
    <w:rsid w:val="001067AD"/>
    <w:rPr>
      <w:rFonts w:ascii="Corbel" w:eastAsia="Times New Roman" w:hAnsi="Corbel" w:cs="Times New Roman"/>
      <w:color w:val="000000"/>
      <w:sz w:val="23"/>
      <w:szCs w:val="20"/>
      <w:lang w:eastAsia="en-AU"/>
    </w:rPr>
  </w:style>
  <w:style w:type="paragraph" w:styleId="FootnoteText">
    <w:name w:val="footnote text"/>
    <w:basedOn w:val="Normal"/>
    <w:link w:val="FootnoteTextChar"/>
    <w:uiPriority w:val="99"/>
    <w:semiHidden/>
    <w:unhideWhenUsed/>
    <w:rsid w:val="0000206B"/>
    <w:pPr>
      <w:spacing w:after="0" w:line="240" w:lineRule="auto"/>
    </w:pPr>
    <w:rPr>
      <w:sz w:val="20"/>
    </w:rPr>
  </w:style>
  <w:style w:type="character" w:customStyle="1" w:styleId="FootnoteTextChar">
    <w:name w:val="Footnote Text Char"/>
    <w:basedOn w:val="DefaultParagraphFont"/>
    <w:link w:val="FootnoteText"/>
    <w:uiPriority w:val="99"/>
    <w:semiHidden/>
    <w:rsid w:val="0000206B"/>
    <w:rPr>
      <w:rFonts w:ascii="Corbel" w:eastAsia="Times New Roman" w:hAnsi="Corbel" w:cs="Times New Roman"/>
      <w:color w:val="000000"/>
      <w:sz w:val="20"/>
      <w:szCs w:val="20"/>
      <w:lang w:eastAsia="en-AU"/>
    </w:rPr>
  </w:style>
  <w:style w:type="character" w:styleId="FootnoteReference">
    <w:name w:val="footnote reference"/>
    <w:basedOn w:val="DefaultParagraphFont"/>
    <w:uiPriority w:val="99"/>
    <w:semiHidden/>
    <w:unhideWhenUsed/>
    <w:rsid w:val="000020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23"/>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66850"/>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unhideWhenUsed/>
    <w:qFormat/>
    <w:rsid w:val="00066850"/>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semiHidden/>
    <w:unhideWhenUsed/>
    <w:qFormat/>
    <w:rsid w:val="00066850"/>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5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66850"/>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semiHidden/>
    <w:rsid w:val="00066850"/>
    <w:rPr>
      <w:rFonts w:ascii="Corbel" w:eastAsia="Times New Roman" w:hAnsi="Corbel" w:cs="Arial"/>
      <w:color w:val="3D4B67"/>
      <w:sz w:val="36"/>
      <w:lang w:eastAsia="en-AU"/>
    </w:rPr>
  </w:style>
  <w:style w:type="paragraph" w:styleId="Subtitle">
    <w:name w:val="Subtitle"/>
    <w:basedOn w:val="Normal"/>
    <w:link w:val="SubtitleChar"/>
    <w:uiPriority w:val="11"/>
    <w:qFormat/>
    <w:rsid w:val="00066850"/>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6685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66850"/>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66850"/>
    <w:rPr>
      <w:rFonts w:ascii="Corbel" w:eastAsia="Times New Roman" w:hAnsi="Corbel" w:cs="Times New Roman"/>
      <w:color w:val="3D4B67"/>
      <w:sz w:val="72"/>
      <w:szCs w:val="48"/>
      <w:lang w:eastAsia="ja-JP"/>
    </w:rPr>
  </w:style>
  <w:style w:type="paragraph" w:customStyle="1" w:styleId="SingleParagraph">
    <w:name w:val="Single Paragraph"/>
    <w:basedOn w:val="Normal"/>
    <w:rsid w:val="00066850"/>
    <w:pPr>
      <w:spacing w:after="0"/>
    </w:pPr>
  </w:style>
  <w:style w:type="character" w:customStyle="1" w:styleId="NormalnumberedChar">
    <w:name w:val="Normal numbered Char"/>
    <w:link w:val="Normalnumbered"/>
    <w:locked/>
    <w:rsid w:val="00066850"/>
    <w:rPr>
      <w:rFonts w:ascii="Corbel" w:hAnsi="Corbel"/>
      <w:color w:val="000000"/>
      <w:sz w:val="23"/>
    </w:rPr>
  </w:style>
  <w:style w:type="paragraph" w:customStyle="1" w:styleId="Normalnumbered">
    <w:name w:val="Normal numbered"/>
    <w:basedOn w:val="Normal"/>
    <w:link w:val="NormalnumberedChar"/>
    <w:rsid w:val="00066850"/>
    <w:rPr>
      <w:rFonts w:eastAsiaTheme="minorHAnsi" w:cstheme="minorBidi"/>
      <w:szCs w:val="22"/>
      <w:lang w:eastAsia="en-US"/>
    </w:rPr>
  </w:style>
  <w:style w:type="paragraph" w:customStyle="1" w:styleId="Position">
    <w:name w:val="Position"/>
    <w:basedOn w:val="Normal"/>
    <w:rsid w:val="00066850"/>
    <w:pPr>
      <w:spacing w:after="120"/>
    </w:pPr>
    <w:rPr>
      <w:bCs/>
      <w:sz w:val="20"/>
    </w:rPr>
  </w:style>
  <w:style w:type="character" w:customStyle="1" w:styleId="ScheduleNumberedParaChar">
    <w:name w:val="ScheduleNumberedPara Char"/>
    <w:link w:val="ScheduleNumberedPara"/>
    <w:locked/>
    <w:rsid w:val="00066850"/>
    <w:rPr>
      <w:rFonts w:ascii="Corbel" w:hAnsi="Corbel"/>
      <w:color w:val="000000"/>
      <w:sz w:val="23"/>
    </w:rPr>
  </w:style>
  <w:style w:type="paragraph" w:customStyle="1" w:styleId="ScheduleNumberedPara">
    <w:name w:val="ScheduleNumberedPara"/>
    <w:basedOn w:val="Normalnumbered"/>
    <w:link w:val="ScheduleNumberedParaChar"/>
    <w:rsid w:val="00066850"/>
  </w:style>
  <w:style w:type="character" w:customStyle="1" w:styleId="Bold">
    <w:name w:val="Bold"/>
    <w:rsid w:val="00066850"/>
    <w:rPr>
      <w:b/>
      <w:bCs w:val="0"/>
    </w:rPr>
  </w:style>
  <w:style w:type="paragraph" w:styleId="Header">
    <w:name w:val="header"/>
    <w:basedOn w:val="Normal"/>
    <w:link w:val="HeaderChar"/>
    <w:uiPriority w:val="99"/>
    <w:unhideWhenUsed/>
    <w:rsid w:val="0006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50"/>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6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50"/>
    <w:rPr>
      <w:rFonts w:ascii="Corbel" w:eastAsia="Times New Roman" w:hAnsi="Corbel" w:cs="Times New Roman"/>
      <w:color w:val="000000"/>
      <w:sz w:val="23"/>
      <w:szCs w:val="20"/>
      <w:lang w:eastAsia="en-AU"/>
    </w:rPr>
  </w:style>
  <w:style w:type="paragraph" w:customStyle="1" w:styleId="OutlineNumbered1">
    <w:name w:val="Outline Numbered 1"/>
    <w:basedOn w:val="Normal"/>
    <w:link w:val="OutlineNumbered1Char"/>
    <w:rsid w:val="00695488"/>
    <w:pPr>
      <w:numPr>
        <w:numId w:val="2"/>
      </w:numPr>
    </w:pPr>
  </w:style>
  <w:style w:type="character" w:customStyle="1" w:styleId="OutlineNumbered1Char">
    <w:name w:val="Outline Numbered 1 Char"/>
    <w:basedOn w:val="DefaultParagraphFont"/>
    <w:link w:val="OutlineNumbered1"/>
    <w:rsid w:val="00695488"/>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695488"/>
    <w:pPr>
      <w:numPr>
        <w:ilvl w:val="1"/>
        <w:numId w:val="2"/>
      </w:numPr>
    </w:pPr>
  </w:style>
  <w:style w:type="character" w:customStyle="1" w:styleId="OutlineNumbered2Char">
    <w:name w:val="Outline Numbered 2 Char"/>
    <w:basedOn w:val="DefaultParagraphFont"/>
    <w:link w:val="OutlineNumbered2"/>
    <w:rsid w:val="00695488"/>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695488"/>
    <w:pPr>
      <w:numPr>
        <w:ilvl w:val="2"/>
        <w:numId w:val="2"/>
      </w:numPr>
    </w:pPr>
  </w:style>
  <w:style w:type="character" w:customStyle="1" w:styleId="OutlineNumbered3Char">
    <w:name w:val="Outline Numbered 3 Char"/>
    <w:basedOn w:val="DefaultParagraphFont"/>
    <w:link w:val="OutlineNumbered3"/>
    <w:rsid w:val="00695488"/>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3F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7C"/>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3F227C"/>
    <w:rPr>
      <w:sz w:val="16"/>
      <w:szCs w:val="16"/>
    </w:rPr>
  </w:style>
  <w:style w:type="paragraph" w:styleId="CommentText">
    <w:name w:val="annotation text"/>
    <w:basedOn w:val="Normal"/>
    <w:link w:val="CommentTextChar"/>
    <w:uiPriority w:val="99"/>
    <w:unhideWhenUsed/>
    <w:rsid w:val="003F227C"/>
    <w:pPr>
      <w:spacing w:line="240" w:lineRule="auto"/>
    </w:pPr>
    <w:rPr>
      <w:sz w:val="20"/>
    </w:rPr>
  </w:style>
  <w:style w:type="character" w:customStyle="1" w:styleId="CommentTextChar">
    <w:name w:val="Comment Text Char"/>
    <w:basedOn w:val="DefaultParagraphFont"/>
    <w:link w:val="CommentText"/>
    <w:uiPriority w:val="99"/>
    <w:rsid w:val="003F227C"/>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227C"/>
    <w:rPr>
      <w:b/>
      <w:bCs/>
    </w:rPr>
  </w:style>
  <w:style w:type="character" w:customStyle="1" w:styleId="CommentSubjectChar">
    <w:name w:val="Comment Subject Char"/>
    <w:basedOn w:val="CommentTextChar"/>
    <w:link w:val="CommentSubject"/>
    <w:uiPriority w:val="99"/>
    <w:semiHidden/>
    <w:rsid w:val="003F227C"/>
    <w:rPr>
      <w:rFonts w:ascii="Corbel" w:eastAsia="Times New Roman" w:hAnsi="Corbel" w:cs="Times New Roman"/>
      <w:b/>
      <w:bCs/>
      <w:color w:val="000000"/>
      <w:sz w:val="20"/>
      <w:szCs w:val="20"/>
      <w:lang w:eastAsia="en-AU"/>
    </w:rPr>
  </w:style>
  <w:style w:type="table" w:styleId="TableGrid">
    <w:name w:val="Table Grid"/>
    <w:basedOn w:val="TableNormal"/>
    <w:uiPriority w:val="59"/>
    <w:rsid w:val="009D1D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andTableFootnoteAlpha">
    <w:name w:val="Chart and Table Footnote Alpha"/>
    <w:rsid w:val="00921ED9"/>
    <w:pPr>
      <w:numPr>
        <w:numId w:val="3"/>
      </w:numPr>
      <w:tabs>
        <w:tab w:val="clear" w:pos="360"/>
        <w:tab w:val="num" w:pos="283"/>
        <w:tab w:val="num" w:pos="543"/>
      </w:tabs>
      <w:spacing w:after="0" w:line="240" w:lineRule="auto"/>
      <w:ind w:left="283" w:hanging="283"/>
      <w:jc w:val="both"/>
    </w:pPr>
    <w:rPr>
      <w:rFonts w:ascii="Arial" w:eastAsia="Times New Roman" w:hAnsi="Arial" w:cs="Times New Roman"/>
      <w:color w:val="000000"/>
      <w:sz w:val="16"/>
      <w:szCs w:val="16"/>
      <w:lang w:eastAsia="en-AU"/>
    </w:rPr>
  </w:style>
  <w:style w:type="paragraph" w:styleId="ListParagraph">
    <w:name w:val="List Paragraph"/>
    <w:basedOn w:val="Normal"/>
    <w:uiPriority w:val="34"/>
    <w:qFormat/>
    <w:rsid w:val="00C255D6"/>
    <w:pPr>
      <w:ind w:left="720"/>
      <w:contextualSpacing/>
    </w:pPr>
  </w:style>
  <w:style w:type="paragraph" w:styleId="Revision">
    <w:name w:val="Revision"/>
    <w:hidden/>
    <w:uiPriority w:val="99"/>
    <w:semiHidden/>
    <w:rsid w:val="00863F94"/>
    <w:pPr>
      <w:spacing w:after="0" w:line="240" w:lineRule="auto"/>
    </w:pPr>
    <w:rPr>
      <w:rFonts w:ascii="Corbel" w:eastAsia="Times New Roman" w:hAnsi="Corbel" w:cs="Times New Roman"/>
      <w:color w:val="000000"/>
      <w:sz w:val="23"/>
      <w:szCs w:val="20"/>
      <w:lang w:eastAsia="en-AU"/>
    </w:rPr>
  </w:style>
  <w:style w:type="paragraph" w:styleId="BodyText">
    <w:name w:val="Body Text"/>
    <w:basedOn w:val="Normal"/>
    <w:link w:val="BodyTextChar"/>
    <w:uiPriority w:val="99"/>
    <w:semiHidden/>
    <w:unhideWhenUsed/>
    <w:rsid w:val="001067AD"/>
    <w:pPr>
      <w:spacing w:after="120"/>
    </w:pPr>
  </w:style>
  <w:style w:type="character" w:customStyle="1" w:styleId="BodyTextChar">
    <w:name w:val="Body Text Char"/>
    <w:basedOn w:val="DefaultParagraphFont"/>
    <w:link w:val="BodyText"/>
    <w:uiPriority w:val="99"/>
    <w:semiHidden/>
    <w:rsid w:val="001067AD"/>
    <w:rPr>
      <w:rFonts w:ascii="Corbel" w:eastAsia="Times New Roman" w:hAnsi="Corbel" w:cs="Times New Roman"/>
      <w:color w:val="000000"/>
      <w:sz w:val="23"/>
      <w:szCs w:val="20"/>
      <w:lang w:eastAsia="en-AU"/>
    </w:rPr>
  </w:style>
  <w:style w:type="paragraph" w:styleId="FootnoteText">
    <w:name w:val="footnote text"/>
    <w:basedOn w:val="Normal"/>
    <w:link w:val="FootnoteTextChar"/>
    <w:uiPriority w:val="99"/>
    <w:semiHidden/>
    <w:unhideWhenUsed/>
    <w:rsid w:val="0000206B"/>
    <w:pPr>
      <w:spacing w:after="0" w:line="240" w:lineRule="auto"/>
    </w:pPr>
    <w:rPr>
      <w:sz w:val="20"/>
    </w:rPr>
  </w:style>
  <w:style w:type="character" w:customStyle="1" w:styleId="FootnoteTextChar">
    <w:name w:val="Footnote Text Char"/>
    <w:basedOn w:val="DefaultParagraphFont"/>
    <w:link w:val="FootnoteText"/>
    <w:uiPriority w:val="99"/>
    <w:semiHidden/>
    <w:rsid w:val="0000206B"/>
    <w:rPr>
      <w:rFonts w:ascii="Corbel" w:eastAsia="Times New Roman" w:hAnsi="Corbel" w:cs="Times New Roman"/>
      <w:color w:val="000000"/>
      <w:sz w:val="20"/>
      <w:szCs w:val="20"/>
      <w:lang w:eastAsia="en-AU"/>
    </w:rPr>
  </w:style>
  <w:style w:type="character" w:styleId="FootnoteReference">
    <w:name w:val="footnote reference"/>
    <w:basedOn w:val="DefaultParagraphFont"/>
    <w:uiPriority w:val="99"/>
    <w:semiHidden/>
    <w:unhideWhenUsed/>
    <w:rsid w:val="000020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81556">
      <w:bodyDiv w:val="1"/>
      <w:marLeft w:val="0"/>
      <w:marRight w:val="0"/>
      <w:marTop w:val="0"/>
      <w:marBottom w:val="0"/>
      <w:divBdr>
        <w:top w:val="none" w:sz="0" w:space="0" w:color="auto"/>
        <w:left w:val="none" w:sz="0" w:space="0" w:color="auto"/>
        <w:bottom w:val="none" w:sz="0" w:space="0" w:color="auto"/>
        <w:right w:val="none" w:sz="0" w:space="0" w:color="auto"/>
      </w:divBdr>
    </w:div>
    <w:div w:id="498622962">
      <w:bodyDiv w:val="1"/>
      <w:marLeft w:val="0"/>
      <w:marRight w:val="0"/>
      <w:marTop w:val="0"/>
      <w:marBottom w:val="0"/>
      <w:divBdr>
        <w:top w:val="none" w:sz="0" w:space="0" w:color="auto"/>
        <w:left w:val="none" w:sz="0" w:space="0" w:color="auto"/>
        <w:bottom w:val="none" w:sz="0" w:space="0" w:color="auto"/>
        <w:right w:val="none" w:sz="0" w:space="0" w:color="auto"/>
      </w:divBdr>
    </w:div>
    <w:div w:id="586693540">
      <w:bodyDiv w:val="1"/>
      <w:marLeft w:val="0"/>
      <w:marRight w:val="0"/>
      <w:marTop w:val="0"/>
      <w:marBottom w:val="0"/>
      <w:divBdr>
        <w:top w:val="none" w:sz="0" w:space="0" w:color="auto"/>
        <w:left w:val="none" w:sz="0" w:space="0" w:color="auto"/>
        <w:bottom w:val="none" w:sz="0" w:space="0" w:color="auto"/>
        <w:right w:val="none" w:sz="0" w:space="0" w:color="auto"/>
      </w:divBdr>
    </w:div>
    <w:div w:id="642657284">
      <w:bodyDiv w:val="1"/>
      <w:marLeft w:val="0"/>
      <w:marRight w:val="0"/>
      <w:marTop w:val="0"/>
      <w:marBottom w:val="0"/>
      <w:divBdr>
        <w:top w:val="none" w:sz="0" w:space="0" w:color="auto"/>
        <w:left w:val="none" w:sz="0" w:space="0" w:color="auto"/>
        <w:bottom w:val="none" w:sz="0" w:space="0" w:color="auto"/>
        <w:right w:val="none" w:sz="0" w:space="0" w:color="auto"/>
      </w:divBdr>
    </w:div>
    <w:div w:id="916745943">
      <w:bodyDiv w:val="1"/>
      <w:marLeft w:val="0"/>
      <w:marRight w:val="0"/>
      <w:marTop w:val="0"/>
      <w:marBottom w:val="0"/>
      <w:divBdr>
        <w:top w:val="none" w:sz="0" w:space="0" w:color="auto"/>
        <w:left w:val="none" w:sz="0" w:space="0" w:color="auto"/>
        <w:bottom w:val="none" w:sz="0" w:space="0" w:color="auto"/>
        <w:right w:val="none" w:sz="0" w:space="0" w:color="auto"/>
      </w:divBdr>
    </w:div>
    <w:div w:id="1265114427">
      <w:bodyDiv w:val="1"/>
      <w:marLeft w:val="0"/>
      <w:marRight w:val="0"/>
      <w:marTop w:val="0"/>
      <w:marBottom w:val="0"/>
      <w:divBdr>
        <w:top w:val="none" w:sz="0" w:space="0" w:color="auto"/>
        <w:left w:val="none" w:sz="0" w:space="0" w:color="auto"/>
        <w:bottom w:val="none" w:sz="0" w:space="0" w:color="auto"/>
        <w:right w:val="none" w:sz="0" w:space="0" w:color="auto"/>
      </w:divBdr>
    </w:div>
    <w:div w:id="1355887480">
      <w:bodyDiv w:val="1"/>
      <w:marLeft w:val="0"/>
      <w:marRight w:val="0"/>
      <w:marTop w:val="0"/>
      <w:marBottom w:val="0"/>
      <w:divBdr>
        <w:top w:val="none" w:sz="0" w:space="0" w:color="auto"/>
        <w:left w:val="none" w:sz="0" w:space="0" w:color="auto"/>
        <w:bottom w:val="none" w:sz="0" w:space="0" w:color="auto"/>
        <w:right w:val="none" w:sz="0" w:space="0" w:color="auto"/>
      </w:divBdr>
    </w:div>
    <w:div w:id="1471243275">
      <w:bodyDiv w:val="1"/>
      <w:marLeft w:val="0"/>
      <w:marRight w:val="0"/>
      <w:marTop w:val="0"/>
      <w:marBottom w:val="0"/>
      <w:divBdr>
        <w:top w:val="none" w:sz="0" w:space="0" w:color="auto"/>
        <w:left w:val="none" w:sz="0" w:space="0" w:color="auto"/>
        <w:bottom w:val="none" w:sz="0" w:space="0" w:color="auto"/>
        <w:right w:val="none" w:sz="0" w:space="0" w:color="auto"/>
      </w:divBdr>
    </w:div>
    <w:div w:id="1651322541">
      <w:bodyDiv w:val="1"/>
      <w:marLeft w:val="0"/>
      <w:marRight w:val="0"/>
      <w:marTop w:val="0"/>
      <w:marBottom w:val="0"/>
      <w:divBdr>
        <w:top w:val="none" w:sz="0" w:space="0" w:color="auto"/>
        <w:left w:val="none" w:sz="0" w:space="0" w:color="auto"/>
        <w:bottom w:val="none" w:sz="0" w:space="0" w:color="auto"/>
        <w:right w:val="none" w:sz="0" w:space="0" w:color="auto"/>
      </w:divBdr>
    </w:div>
    <w:div w:id="19855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12322" ma:contentTypeDescription=" " ma:contentTypeScope="" ma:versionID="f2a9348e26bc28c5494d4425d8a9d91d">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95b91a920971196e190b01c4725fce"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2018FG-64-47263</_dlc_DocId>
    <_dlc_DocIdUrl xmlns="e544e5cc-ab70-42e1-849e-1a0f8bb1f4ef">
      <Url>http://tweb/sites/fg/csrd/_layouts/15/DocIdRedir.aspx?ID=2018FG-64-47263</Url>
      <Description>2018FG-64-47263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01DB-ACC9-4897-ACF1-F21A53FC4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A06FE-0C25-423B-BAB1-25DEF7FC8D48}">
  <ds:schemaRefs>
    <ds:schemaRef ds:uri="http://schemas.microsoft.com/sharepoint/events"/>
  </ds:schemaRefs>
</ds:datastoreItem>
</file>

<file path=customXml/itemProps3.xml><?xml version="1.0" encoding="utf-8"?>
<ds:datastoreItem xmlns:ds="http://schemas.openxmlformats.org/officeDocument/2006/customXml" ds:itemID="{378723A5-716C-4E0A-BF70-361DD08E7631}">
  <ds:schemaRefs>
    <ds:schemaRef ds:uri="http://schemas.microsoft.com/office/2006/metadata/properties"/>
    <ds:schemaRef ds:uri="http://schemas.microsoft.com/office/infopath/2007/PartnerControls"/>
    <ds:schemaRef ds:uri="http://schemas.microsoft.com/sharepoint/v4"/>
    <ds:schemaRef ds:uri="e544e5cc-ab70-42e1-849e-1a0f8bb1f4ef"/>
  </ds:schemaRefs>
</ds:datastoreItem>
</file>

<file path=customXml/itemProps4.xml><?xml version="1.0" encoding="utf-8"?>
<ds:datastoreItem xmlns:ds="http://schemas.openxmlformats.org/officeDocument/2006/customXml" ds:itemID="{5936336E-FF0C-4E9A-81AC-3D838B752CFF}">
  <ds:schemaRefs>
    <ds:schemaRef ds:uri="http://schemas.microsoft.com/sharepoint/v3/contenttype/forms"/>
  </ds:schemaRefs>
</ds:datastoreItem>
</file>

<file path=customXml/itemProps5.xml><?xml version="1.0" encoding="utf-8"?>
<ds:datastoreItem xmlns:ds="http://schemas.openxmlformats.org/officeDocument/2006/customXml" ds:itemID="{9AEB654E-6655-4BD3-A538-BAF681827DAE}">
  <ds:schemaRefs>
    <ds:schemaRef ds:uri="Microsoft.SharePoint.Taxonomy.ContentTypeSync"/>
  </ds:schemaRefs>
</ds:datastoreItem>
</file>

<file path=customXml/itemProps6.xml><?xml version="1.0" encoding="utf-8"?>
<ds:datastoreItem xmlns:ds="http://schemas.openxmlformats.org/officeDocument/2006/customXml" ds:itemID="{E1B9E172-617A-4C99-B51C-EE256F026E05}">
  <ds:schemaRefs>
    <ds:schemaRef ds:uri="office.server.policy"/>
  </ds:schemaRefs>
</ds:datastoreItem>
</file>

<file path=customXml/itemProps7.xml><?xml version="1.0" encoding="utf-8"?>
<ds:datastoreItem xmlns:ds="http://schemas.openxmlformats.org/officeDocument/2006/customXml" ds:itemID="{4861FD57-5C57-46A8-B2EC-88CA67FD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3745</Words>
  <Characters>21390</Characters>
  <Application>Microsoft Office Word</Application>
  <DocSecurity>0</DocSecurity>
  <Lines>737</Lines>
  <Paragraphs>251</Paragraphs>
  <ScaleCrop>false</ScaleCrop>
  <HeadingPairs>
    <vt:vector size="2" baseType="variant">
      <vt:variant>
        <vt:lpstr>Title</vt:lpstr>
      </vt:variant>
      <vt:variant>
        <vt:i4>1</vt:i4>
      </vt:variant>
    </vt:vector>
  </HeadingPairs>
  <TitlesOfParts>
    <vt:vector size="1" baseType="lpstr">
      <vt:lpstr>Northern Territory - National Housing and Homelessness Agreement</vt:lpstr>
    </vt:vector>
  </TitlesOfParts>
  <Company>Australian Government - The Treasury</Company>
  <LinksUpToDate>false</LinksUpToDate>
  <CharactersWithSpaces>24884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 National Housing and Homelessness Agreement</dc:title>
  <dc:creator>Australian Government</dc:creator>
  <cp:lastModifiedBy>Hill, Christine</cp:lastModifiedBy>
  <cp:revision>6</cp:revision>
  <cp:lastPrinted>2018-06-18T02:08:00Z</cp:lastPrinted>
  <dcterms:created xsi:type="dcterms:W3CDTF">2018-06-17T23:49:00Z</dcterms:created>
  <dcterms:modified xsi:type="dcterms:W3CDTF">2018-06-29T04:33:00Z</dcterms:modified>
</cp:coreProperties>
</file>