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6EA52" w14:textId="34612E96" w:rsidR="003E00B6" w:rsidRDefault="04DFC999" w:rsidP="003E00B6">
      <w:pPr>
        <w:pStyle w:val="Heading9"/>
      </w:pPr>
      <w:r>
        <w:t>Schedule</w:t>
      </w:r>
      <w:r w:rsidR="00412674">
        <w:t>E5</w:t>
      </w:r>
    </w:p>
    <w:p w14:paraId="34380496" w14:textId="628802F5" w:rsidR="003E00B6" w:rsidRDefault="0042723E" w:rsidP="003E00B6">
      <w:pPr>
        <w:pStyle w:val="Title"/>
      </w:pPr>
      <w:r>
        <w:t>South Australia</w:t>
      </w:r>
    </w:p>
    <w:p w14:paraId="6414BC31" w14:textId="77777777" w:rsidR="003E00B6" w:rsidRDefault="003E00B6" w:rsidP="003E00B6">
      <w:pPr>
        <w:pStyle w:val="Subtitle"/>
      </w:pPr>
      <w:r>
        <w:t>National housing and homelessness agreement</w:t>
      </w:r>
    </w:p>
    <w:p w14:paraId="0A848B81" w14:textId="6C45CD72" w:rsidR="003E00B6" w:rsidRDefault="003E00B6" w:rsidP="003E00B6">
      <w:pPr>
        <w:pStyle w:val="Heading1"/>
        <w:spacing w:before="240"/>
      </w:pPr>
      <w:r>
        <w:t>Preliminaries</w:t>
      </w:r>
    </w:p>
    <w:p w14:paraId="0B21C3B7" w14:textId="77777777" w:rsidR="00730D95" w:rsidRDefault="003E00B6" w:rsidP="00730D95">
      <w:pPr>
        <w:pStyle w:val="Normalnumbered"/>
        <w:numPr>
          <w:ilvl w:val="0"/>
          <w:numId w:val="4"/>
        </w:numPr>
      </w:pPr>
      <w:bookmarkStart w:id="0" w:name="PART_2:_FORMALITIES"/>
      <w:bookmarkStart w:id="1" w:name="PART_3:_FINANCIAL_ARRANGEMENTS"/>
      <w:bookmarkStart w:id="2" w:name="PART_1:_PRELIMINARIES"/>
      <w:bookmarkStart w:id="3" w:name="tempbookmark"/>
      <w:bookmarkEnd w:id="0"/>
      <w:bookmarkEnd w:id="1"/>
      <w:bookmarkEnd w:id="2"/>
      <w:r>
        <w:t xml:space="preserve">This Schedule is an agreement that is a supplementary housing agreement for the purposes of section </w:t>
      </w:r>
      <w:r w:rsidR="003F227C">
        <w:t>15C</w:t>
      </w:r>
      <w:r>
        <w:t xml:space="preserve"> of the FFR Act. </w:t>
      </w:r>
    </w:p>
    <w:p w14:paraId="4E7084A2" w14:textId="37FB81D6" w:rsidR="00730D95" w:rsidRDefault="00730D95" w:rsidP="00730D95">
      <w:pPr>
        <w:pStyle w:val="Normalnumbered"/>
        <w:numPr>
          <w:ilvl w:val="0"/>
          <w:numId w:val="4"/>
        </w:numPr>
      </w:pPr>
      <w:r w:rsidRPr="00DE58EE">
        <w:t>Th</w:t>
      </w:r>
      <w:r>
        <w:t>is</w:t>
      </w:r>
      <w:r w:rsidRPr="00DE58EE">
        <w:t xml:space="preserve"> </w:t>
      </w:r>
      <w:r w:rsidR="006A1516">
        <w:t>Schedule</w:t>
      </w:r>
      <w:r w:rsidRPr="00DE58EE">
        <w:t xml:space="preserve"> will commence as soon as the Commonwealth and </w:t>
      </w:r>
      <w:r w:rsidR="0042723E">
        <w:t>South Australia</w:t>
      </w:r>
      <w:r>
        <w:t xml:space="preserve"> </w:t>
      </w:r>
      <w:r w:rsidRPr="00DE58EE">
        <w:t>sign</w:t>
      </w:r>
      <w:r>
        <w:t xml:space="preserve"> this and the primary agreement</w:t>
      </w:r>
      <w:r w:rsidR="006A1516">
        <w:t xml:space="preserve"> (the Agreement)</w:t>
      </w:r>
      <w:r w:rsidRPr="00DE58EE">
        <w:t xml:space="preserve">. </w:t>
      </w:r>
    </w:p>
    <w:p w14:paraId="4D9D0BD9" w14:textId="46B0AFC8" w:rsidR="00730D95" w:rsidRDefault="00776956" w:rsidP="00730D95">
      <w:pPr>
        <w:pStyle w:val="Normalnumbered"/>
        <w:numPr>
          <w:ilvl w:val="0"/>
          <w:numId w:val="4"/>
        </w:numPr>
      </w:pPr>
      <w:r>
        <w:t>Unless terminated earlier or extended as agreed in writing by the Parties, t</w:t>
      </w:r>
      <w:r w:rsidR="00730D95">
        <w:t xml:space="preserve">his </w:t>
      </w:r>
      <w:r w:rsidR="006A1516">
        <w:t>Schedule</w:t>
      </w:r>
      <w:r w:rsidR="00CC6A9F">
        <w:t xml:space="preserve"> </w:t>
      </w:r>
      <w:r w:rsidR="00730D95" w:rsidRPr="00DE58EE">
        <w:t>will:</w:t>
      </w:r>
    </w:p>
    <w:p w14:paraId="255AD3B7" w14:textId="0354589D" w:rsidR="00730D95" w:rsidRPr="00DE58EE" w:rsidRDefault="00730D95" w:rsidP="00730D95">
      <w:pPr>
        <w:pStyle w:val="Normalnumbered"/>
        <w:numPr>
          <w:ilvl w:val="1"/>
          <w:numId w:val="4"/>
        </w:numPr>
        <w:jc w:val="left"/>
      </w:pPr>
      <w:r>
        <w:t>e</w:t>
      </w:r>
      <w:r w:rsidRPr="00DE58EE">
        <w:t>xpire</w:t>
      </w:r>
      <w:r>
        <w:t xml:space="preserve"> no later than</w:t>
      </w:r>
      <w:r w:rsidRPr="00905F17">
        <w:t xml:space="preserve"> 30 June 2023</w:t>
      </w:r>
      <w:r w:rsidRPr="00DE58EE">
        <w:t>;</w:t>
      </w:r>
      <w:r w:rsidR="005A3585">
        <w:t xml:space="preserve"> and</w:t>
      </w:r>
    </w:p>
    <w:p w14:paraId="3D8C4A22" w14:textId="77777777" w:rsidR="00730D95" w:rsidRPr="003770D8" w:rsidRDefault="04DFC999" w:rsidP="00730D95">
      <w:pPr>
        <w:pStyle w:val="Normalnumbered"/>
        <w:numPr>
          <w:ilvl w:val="1"/>
          <w:numId w:val="4"/>
        </w:numPr>
        <w:jc w:val="left"/>
      </w:pPr>
      <w:proofErr w:type="gramStart"/>
      <w:r w:rsidRPr="003770D8">
        <w:t>be</w:t>
      </w:r>
      <w:proofErr w:type="gramEnd"/>
      <w:r w:rsidRPr="003770D8">
        <w:t xml:space="preserve"> replaced for further terms of up to five years by the written agreement of the Parties.</w:t>
      </w:r>
    </w:p>
    <w:p w14:paraId="249F16AC" w14:textId="41316CC5" w:rsidR="00730D95" w:rsidRDefault="005A3585" w:rsidP="5DA64A69">
      <w:pPr>
        <w:pStyle w:val="Normalnumbered"/>
        <w:numPr>
          <w:ilvl w:val="0"/>
          <w:numId w:val="4"/>
        </w:numPr>
      </w:pPr>
      <w:r>
        <w:t xml:space="preserve">A Party to this </w:t>
      </w:r>
      <w:r w:rsidR="006A1516">
        <w:t>Schedule</w:t>
      </w:r>
      <w:r w:rsidR="00730D95" w:rsidRPr="003770D8">
        <w:t xml:space="preserve"> may </w:t>
      </w:r>
      <w:r w:rsidR="00776956" w:rsidRPr="003770D8">
        <w:t>terminate</w:t>
      </w:r>
      <w:r>
        <w:t xml:space="preserve"> their participation in the</w:t>
      </w:r>
      <w:r w:rsidR="00730D95" w:rsidRPr="003770D8">
        <w:t xml:space="preserve"> </w:t>
      </w:r>
      <w:r>
        <w:t>A</w:t>
      </w:r>
      <w:r w:rsidR="00730D95" w:rsidRPr="003770D8">
        <w:t>greement</w:t>
      </w:r>
      <w:r w:rsidR="00776956" w:rsidRPr="003770D8" w:rsidDel="005A3585">
        <w:t xml:space="preserve"> </w:t>
      </w:r>
      <w:r w:rsidR="00730D95" w:rsidRPr="003770D8" w:rsidDel="005A3585">
        <w:t>at any time by</w:t>
      </w:r>
      <w:r w:rsidR="00C70D2D">
        <w:t xml:space="preserve"> giving 12 </w:t>
      </w:r>
      <w:r>
        <w:t>months’ notice of intention to do so, in writing, to the other Party</w:t>
      </w:r>
      <w:r w:rsidR="00730D95" w:rsidRPr="003770D8">
        <w:t xml:space="preserve">. </w:t>
      </w:r>
    </w:p>
    <w:p w14:paraId="448ACECB" w14:textId="2DE332BE" w:rsidR="005A3585" w:rsidRPr="003770D8" w:rsidRDefault="005A3585" w:rsidP="5DA64A69">
      <w:pPr>
        <w:pStyle w:val="Normalnumbered"/>
        <w:numPr>
          <w:ilvl w:val="0"/>
          <w:numId w:val="4"/>
        </w:numPr>
      </w:pPr>
      <w:r>
        <w:t xml:space="preserve">This </w:t>
      </w:r>
      <w:r w:rsidR="000247BF">
        <w:t>Schedule</w:t>
      </w:r>
      <w:r>
        <w:t xml:space="preserve"> may be amended at any time by agreement in writing by the relevant Commonwealth and State portfolio ministers.</w:t>
      </w:r>
    </w:p>
    <w:p w14:paraId="2B005F4F" w14:textId="33D30936" w:rsidR="00730D95" w:rsidRDefault="00730D95" w:rsidP="00730D95">
      <w:pPr>
        <w:pStyle w:val="Normalnumbered"/>
        <w:numPr>
          <w:ilvl w:val="0"/>
          <w:numId w:val="4"/>
        </w:numPr>
      </w:pPr>
      <w:r>
        <w:t xml:space="preserve">The purpose of this Schedule is to provide an indication of how </w:t>
      </w:r>
      <w:r w:rsidR="0042723E">
        <w:t>South Australia</w:t>
      </w:r>
      <w:r>
        <w:t xml:space="preserve"> intends to implement the conditions agreed in the </w:t>
      </w:r>
      <w:r w:rsidR="006A1516">
        <w:t>A</w:t>
      </w:r>
      <w:r>
        <w:t xml:space="preserve">greement, including the actions that will be undertaken as stated in </w:t>
      </w:r>
      <w:r w:rsidR="00A85651">
        <w:t>South Australia’s</w:t>
      </w:r>
      <w:r>
        <w:t xml:space="preserve"> housing and homelessness strategies, and any actions to be undertaken by </w:t>
      </w:r>
      <w:r w:rsidR="0042723E">
        <w:t>South Australia</w:t>
      </w:r>
      <w:r>
        <w:t xml:space="preserve"> to support the Data Schedule.</w:t>
      </w:r>
    </w:p>
    <w:p w14:paraId="662B85B8" w14:textId="2F815956" w:rsidR="003D1883" w:rsidRPr="003D1883" w:rsidRDefault="00EF360A" w:rsidP="00325C87">
      <w:pPr>
        <w:pStyle w:val="Normalnumbered"/>
        <w:numPr>
          <w:ilvl w:val="0"/>
          <w:numId w:val="4"/>
        </w:numPr>
        <w:spacing w:after="480"/>
      </w:pPr>
      <w:r>
        <w:t xml:space="preserve">To enable payments to commence from 2018-19, South Australia confirms that it satisfies the requirements of clause 17 of the Agreement as at 1 July 2018 and as set out in this </w:t>
      </w:r>
      <w:r w:rsidR="006A1516">
        <w:t>Schedule</w:t>
      </w:r>
      <w:r>
        <w:t xml:space="preserve">. </w:t>
      </w:r>
      <w:r w:rsidR="006A1516">
        <w:t>At the commencement of this Schedule, South Australia’s</w:t>
      </w:r>
      <w:r>
        <w:t xml:space="preserve"> housing and homelessness strategies are set out in various public documents</w:t>
      </w:r>
      <w:r w:rsidR="006A1516">
        <w:t>, which are referenced in Part 2 and 3 of the Schedule</w:t>
      </w:r>
      <w:r>
        <w:t>. During 2018-19, the South Australian Government will be reviewing and updating its housing and homelessness strategies.</w:t>
      </w:r>
    </w:p>
    <w:bookmarkEnd w:id="3"/>
    <w:p w14:paraId="40C28C45" w14:textId="6A12CA81" w:rsidR="00E74A59" w:rsidRPr="00E148BA" w:rsidRDefault="04DFC999" w:rsidP="00E148BA">
      <w:pPr>
        <w:pStyle w:val="Heading1"/>
        <w:spacing w:before="240"/>
        <w:rPr>
          <w:rFonts w:eastAsiaTheme="minorHAnsi"/>
        </w:rPr>
      </w:pPr>
      <w:r>
        <w:t>Part 1 – Overview</w:t>
      </w:r>
    </w:p>
    <w:p w14:paraId="094216A3" w14:textId="3C549C50" w:rsidR="00E148BA" w:rsidRDefault="00E148BA" w:rsidP="00FE6B0F">
      <w:pPr>
        <w:pStyle w:val="OutlineNumbered1"/>
      </w:pPr>
      <w:r>
        <w:t xml:space="preserve">Housing in South Australia is more affordable relative to most other Australian states and territories. </w:t>
      </w:r>
      <w:r w:rsidRPr="00E6750B">
        <w:t>More moderate population growth</w:t>
      </w:r>
      <w:r w:rsidR="00CC6A9F">
        <w:t>,</w:t>
      </w:r>
      <w:r w:rsidRPr="00E6750B">
        <w:t xml:space="preserve"> coupled with</w:t>
      </w:r>
      <w:r w:rsidR="003032D9" w:rsidRPr="00E6750B">
        <w:t xml:space="preserve"> </w:t>
      </w:r>
      <w:r w:rsidR="00BA490D" w:rsidRPr="00E6750B">
        <w:t xml:space="preserve">responsive </w:t>
      </w:r>
      <w:r w:rsidR="003032D9" w:rsidRPr="00E6750B">
        <w:t>planning and zoning arrangements</w:t>
      </w:r>
      <w:r w:rsidRPr="00E6750B">
        <w:t xml:space="preserve"> ensure that South Australia</w:t>
      </w:r>
      <w:r w:rsidR="00BA490D" w:rsidRPr="00E6750B">
        <w:t xml:space="preserve"> has an appropriate</w:t>
      </w:r>
      <w:r w:rsidRPr="00E6750B">
        <w:t xml:space="preserve"> land supply pipeline to meet demand for housing.</w:t>
      </w:r>
      <w:r w:rsidR="00BA490D" w:rsidRPr="00E6750B">
        <w:t xml:space="preserve"> Demand for home ownership</w:t>
      </w:r>
      <w:r w:rsidR="00BA490D">
        <w:t xml:space="preserve"> is generally aligned to supply available. </w:t>
      </w:r>
      <w:r w:rsidR="00753883">
        <w:t xml:space="preserve">The </w:t>
      </w:r>
      <w:r w:rsidR="00BA490D">
        <w:t xml:space="preserve">South Australian property market does not generally experience large price swings, with residential property experiencing moderate annual growth on average.  </w:t>
      </w:r>
    </w:p>
    <w:p w14:paraId="683FB182" w14:textId="732A04AE" w:rsidR="6E97E504" w:rsidRPr="00EF360A" w:rsidRDefault="00E148BA" w:rsidP="009A09E7">
      <w:pPr>
        <w:pStyle w:val="OutlineNumbered1"/>
        <w:rPr>
          <w:rFonts w:eastAsia="Corbel" w:cs="Corbel"/>
        </w:rPr>
      </w:pPr>
      <w:r>
        <w:rPr>
          <w:rFonts w:eastAsia="Corbel" w:cs="Corbel"/>
        </w:rPr>
        <w:t xml:space="preserve">South Australia </w:t>
      </w:r>
      <w:r w:rsidR="00BA490D">
        <w:rPr>
          <w:rFonts w:eastAsia="Corbel" w:cs="Corbel"/>
        </w:rPr>
        <w:t>currently supports</w:t>
      </w:r>
      <w:r w:rsidR="00BA490D" w:rsidRPr="00EF360A">
        <w:rPr>
          <w:rFonts w:eastAsia="Corbel" w:cs="Corbel"/>
        </w:rPr>
        <w:t xml:space="preserve"> </w:t>
      </w:r>
      <w:r w:rsidR="6E97E504" w:rsidRPr="00EF360A">
        <w:rPr>
          <w:rFonts w:eastAsia="Corbel" w:cs="Corbel"/>
        </w:rPr>
        <w:t xml:space="preserve">affordable housing through </w:t>
      </w:r>
      <w:r w:rsidR="00BA490D">
        <w:rPr>
          <w:rFonts w:eastAsia="Corbel" w:cs="Corbel"/>
        </w:rPr>
        <w:t xml:space="preserve">a range of measures, including: </w:t>
      </w:r>
    </w:p>
    <w:p w14:paraId="03EC8B35" w14:textId="5B7FB601" w:rsidR="6E97E504" w:rsidRDefault="00BA490D" w:rsidP="009A09E7">
      <w:pPr>
        <w:pStyle w:val="Bullet"/>
        <w:rPr>
          <w:lang w:eastAsia="en-US"/>
        </w:rPr>
      </w:pPr>
      <w:proofErr w:type="gramStart"/>
      <w:r>
        <w:rPr>
          <w:lang w:eastAsia="en-US"/>
        </w:rPr>
        <w:t>its</w:t>
      </w:r>
      <w:proofErr w:type="gramEnd"/>
      <w:r w:rsidR="6E97E504" w:rsidRPr="00BA490D">
        <w:rPr>
          <w:lang w:eastAsia="en-US"/>
        </w:rPr>
        <w:t xml:space="preserve"> 15 per cent affordable housing policy</w:t>
      </w:r>
      <w:r>
        <w:rPr>
          <w:lang w:eastAsia="en-US"/>
        </w:rPr>
        <w:t>, which</w:t>
      </w:r>
      <w:r w:rsidR="6E97E504" w:rsidRPr="00BA490D">
        <w:rPr>
          <w:lang w:eastAsia="en-US"/>
        </w:rPr>
        <w:t xml:space="preserve"> </w:t>
      </w:r>
      <w:r>
        <w:rPr>
          <w:lang w:eastAsia="en-US"/>
        </w:rPr>
        <w:t xml:space="preserve">requires </w:t>
      </w:r>
      <w:r w:rsidR="00A06AFC">
        <w:rPr>
          <w:lang w:eastAsia="en-US"/>
        </w:rPr>
        <w:t>a 15</w:t>
      </w:r>
      <w:r w:rsidR="00CC6A9F">
        <w:rPr>
          <w:lang w:eastAsia="en-US"/>
        </w:rPr>
        <w:t> per cent</w:t>
      </w:r>
      <w:r w:rsidR="00A06AFC">
        <w:rPr>
          <w:lang w:eastAsia="en-US"/>
        </w:rPr>
        <w:t xml:space="preserve"> affordable housing target for residential </w:t>
      </w:r>
      <w:r>
        <w:rPr>
          <w:lang w:eastAsia="en-US"/>
        </w:rPr>
        <w:t>developments</w:t>
      </w:r>
      <w:r w:rsidR="6E97E504" w:rsidRPr="00BA490D">
        <w:rPr>
          <w:lang w:eastAsia="en-US"/>
        </w:rPr>
        <w:t xml:space="preserve"> on </w:t>
      </w:r>
      <w:r w:rsidR="00E148BA" w:rsidRPr="00BA490D">
        <w:rPr>
          <w:lang w:eastAsia="en-US"/>
        </w:rPr>
        <w:t xml:space="preserve">State </w:t>
      </w:r>
      <w:r w:rsidR="00CC6A9F">
        <w:rPr>
          <w:lang w:eastAsia="en-US"/>
        </w:rPr>
        <w:t>G</w:t>
      </w:r>
      <w:r w:rsidR="6E97E504" w:rsidRPr="00BA490D">
        <w:rPr>
          <w:lang w:eastAsia="en-US"/>
        </w:rPr>
        <w:t xml:space="preserve">overnment land and </w:t>
      </w:r>
      <w:r>
        <w:rPr>
          <w:lang w:eastAsia="en-US"/>
        </w:rPr>
        <w:t xml:space="preserve">other </w:t>
      </w:r>
      <w:r w:rsidR="6E97E504" w:rsidRPr="00BA490D">
        <w:rPr>
          <w:lang w:eastAsia="en-US"/>
        </w:rPr>
        <w:t xml:space="preserve">significant developments. </w:t>
      </w:r>
      <w:r>
        <w:rPr>
          <w:lang w:eastAsia="en-US"/>
        </w:rPr>
        <w:t>This policy</w:t>
      </w:r>
      <w:r w:rsidR="6E97E504" w:rsidRPr="00BA490D">
        <w:rPr>
          <w:lang w:eastAsia="en-US"/>
        </w:rPr>
        <w:t xml:space="preserve"> is supported by the Affordable Homes Program, which targets outcomes to eligible lower income buyers or affordable rental providers. </w:t>
      </w:r>
    </w:p>
    <w:p w14:paraId="22DE80E3" w14:textId="293A452E" w:rsidR="6E97E504" w:rsidRPr="00BA490D" w:rsidRDefault="00BA490D" w:rsidP="009A09E7">
      <w:pPr>
        <w:pStyle w:val="Bullet"/>
        <w:rPr>
          <w:rFonts w:eastAsia="Corbel"/>
        </w:rPr>
      </w:pPr>
      <w:proofErr w:type="gramStart"/>
      <w:r>
        <w:rPr>
          <w:rFonts w:eastAsia="Corbel"/>
        </w:rPr>
        <w:lastRenderedPageBreak/>
        <w:t>the</w:t>
      </w:r>
      <w:proofErr w:type="gramEnd"/>
      <w:r>
        <w:rPr>
          <w:rFonts w:eastAsia="Corbel"/>
        </w:rPr>
        <w:t xml:space="preserve"> Government owned</w:t>
      </w:r>
      <w:r w:rsidR="6E97E504" w:rsidRPr="00BA490D">
        <w:rPr>
          <w:rFonts w:eastAsia="Corbel"/>
        </w:rPr>
        <w:t xml:space="preserve"> HomeStart Finance</w:t>
      </w:r>
      <w:r>
        <w:rPr>
          <w:rFonts w:eastAsia="Corbel"/>
        </w:rPr>
        <w:t>, which</w:t>
      </w:r>
      <w:r w:rsidR="6E97E504" w:rsidRPr="00BA490D">
        <w:rPr>
          <w:rFonts w:eastAsia="Corbel"/>
        </w:rPr>
        <w:t xml:space="preserve"> provides financing for people who may not otherwise be able to enter into home ownership, </w:t>
      </w:r>
      <w:r>
        <w:rPr>
          <w:rFonts w:eastAsia="Corbel"/>
        </w:rPr>
        <w:t>including providing loans with repayments set as a percentage of income and shared equity products</w:t>
      </w:r>
      <w:r w:rsidR="6E97E504" w:rsidRPr="00BA490D">
        <w:rPr>
          <w:rFonts w:eastAsia="Corbel"/>
        </w:rPr>
        <w:t xml:space="preserve">. </w:t>
      </w:r>
    </w:p>
    <w:p w14:paraId="11CFA51F" w14:textId="5E245392" w:rsidR="6E97E504" w:rsidRPr="00EF360A" w:rsidRDefault="6E97E504" w:rsidP="009A09E7">
      <w:pPr>
        <w:pStyle w:val="OutlineNumbered1"/>
        <w:rPr>
          <w:rFonts w:eastAsiaTheme="minorEastAsia"/>
          <w:color w:val="000000" w:themeColor="text1"/>
          <w:lang w:eastAsia="en-US"/>
        </w:rPr>
      </w:pPr>
      <w:r w:rsidRPr="00EF360A">
        <w:rPr>
          <w:rFonts w:eastAsia="Corbel" w:cs="Corbel"/>
          <w:color w:val="auto"/>
        </w:rPr>
        <w:t>South Australia is undertaking the biggest modernisation of the planning system in 2</w:t>
      </w:r>
      <w:r w:rsidR="00CC6A9F">
        <w:rPr>
          <w:rFonts w:eastAsia="Corbel" w:cs="Corbel"/>
          <w:color w:val="auto"/>
        </w:rPr>
        <w:t>0</w:t>
      </w:r>
      <w:r w:rsidRPr="00EF360A">
        <w:rPr>
          <w:rFonts w:eastAsia="Corbel" w:cs="Corbel"/>
          <w:color w:val="auto"/>
        </w:rPr>
        <w:t xml:space="preserve"> years. The new Planning and Design Code policies aim to facilitate opportunities for diverse, well-designed housing and simplify the assessment pathways. </w:t>
      </w:r>
    </w:p>
    <w:p w14:paraId="3F1EDE97" w14:textId="3F065ADD" w:rsidR="425A418D" w:rsidRPr="00EF360A" w:rsidRDefault="00EF360A" w:rsidP="009A09E7">
      <w:pPr>
        <w:pStyle w:val="OutlineNumbered1"/>
        <w:rPr>
          <w:rFonts w:eastAsia="Corbel" w:cs="Corbel"/>
          <w:color w:val="auto"/>
        </w:rPr>
      </w:pPr>
      <w:r>
        <w:t>South Australia has a higher proportion of social houses per capita than the national average (</w:t>
      </w:r>
      <w:r w:rsidR="00325C87">
        <w:t>around 27.4 </w:t>
      </w:r>
      <w:r w:rsidR="00E148BA">
        <w:t>dwellings per 1000 residents</w:t>
      </w:r>
      <w:r>
        <w:t xml:space="preserve"> compared with </w:t>
      </w:r>
      <w:r w:rsidR="00E148BA">
        <w:t>the national average of about 17.6 dwellings per 1000 residents</w:t>
      </w:r>
      <w:r>
        <w:t>)</w:t>
      </w:r>
      <w:r w:rsidR="29E31FD4">
        <w:t xml:space="preserve">. </w:t>
      </w:r>
      <w:r w:rsidR="00BA490D">
        <w:t>The e</w:t>
      </w:r>
      <w:r w:rsidR="425A418D">
        <w:t xml:space="preserve">xisting tenant base </w:t>
      </w:r>
      <w:r w:rsidR="00BA490D">
        <w:t xml:space="preserve">is </w:t>
      </w:r>
      <w:r w:rsidR="425A418D">
        <w:t>ageing</w:t>
      </w:r>
      <w:r w:rsidR="00BA490D">
        <w:t xml:space="preserve"> with a greater percentage of housing now allocated to people with</w:t>
      </w:r>
      <w:r w:rsidR="425A418D" w:rsidRPr="00C70D2D">
        <w:t xml:space="preserve"> </w:t>
      </w:r>
      <w:r w:rsidR="425A418D" w:rsidRPr="00E6750B">
        <w:t xml:space="preserve">high needs and support requirements. </w:t>
      </w:r>
      <w:r w:rsidR="00BA490D" w:rsidRPr="00E6750B">
        <w:t xml:space="preserve">The Government has been undertaking a number of programs to renew its social housing stock, including </w:t>
      </w:r>
      <w:r w:rsidR="3DC21FF9" w:rsidRPr="00E6750B">
        <w:t>the co</w:t>
      </w:r>
      <w:r w:rsidR="1C959DB3" w:rsidRPr="00E6750B">
        <w:t>ns</w:t>
      </w:r>
      <w:r w:rsidR="3DC21FF9" w:rsidRPr="00E6750B">
        <w:t>truction of 1</w:t>
      </w:r>
      <w:r w:rsidR="00CC6A9F">
        <w:t>000</w:t>
      </w:r>
      <w:r w:rsidR="3DC21FF9" w:rsidRPr="00E6750B">
        <w:t xml:space="preserve"> new </w:t>
      </w:r>
      <w:r w:rsidR="1C959DB3" w:rsidRPr="00E6750B">
        <w:t>homes</w:t>
      </w:r>
      <w:r w:rsidR="05BEA088" w:rsidRPr="00E6750B">
        <w:t xml:space="preserve"> and working with the community ho</w:t>
      </w:r>
      <w:r w:rsidR="5A1CA288" w:rsidRPr="00E6750B">
        <w:t>us</w:t>
      </w:r>
      <w:r w:rsidR="05BEA088" w:rsidRPr="00E6750B">
        <w:t>ing sector on development oppor</w:t>
      </w:r>
      <w:r w:rsidR="5A1CA288" w:rsidRPr="00E6750B">
        <w:t>tunities through the management transfer of 500</w:t>
      </w:r>
      <w:r w:rsidR="00CC6A9F">
        <w:t>0</w:t>
      </w:r>
      <w:r w:rsidR="5A1CA288" w:rsidRPr="00E6750B">
        <w:t xml:space="preserve"> assets.</w:t>
      </w:r>
      <w:r w:rsidR="5A1CA288" w:rsidRPr="00E148BA">
        <w:rPr>
          <w:highlight w:val="yellow"/>
        </w:rPr>
        <w:t xml:space="preserve"> </w:t>
      </w:r>
    </w:p>
    <w:p w14:paraId="408D0407" w14:textId="7CCEB9C3" w:rsidR="00534F2E" w:rsidRPr="00EF360A" w:rsidRDefault="00534F2E" w:rsidP="009A09E7">
      <w:pPr>
        <w:pStyle w:val="OutlineNumbered1"/>
        <w:rPr>
          <w:rFonts w:eastAsia="Corbel" w:cs="Corbel"/>
          <w:color w:val="auto"/>
        </w:rPr>
      </w:pPr>
      <w:r w:rsidRPr="005A3585">
        <w:rPr>
          <w:rFonts w:eastAsia="Corbel" w:cs="Corbel"/>
          <w:color w:val="auto"/>
        </w:rPr>
        <w:t>South Australia operates a consolidated and planned regional response to homelessness across the state. It includes early intervention, assertive outreach, medium term accommodation options and home based support to sustain transitions to independent living. A network of government and non-government organisati</w:t>
      </w:r>
      <w:r w:rsidRPr="00EF360A">
        <w:rPr>
          <w:rFonts w:eastAsia="Corbel" w:cs="Corbel"/>
          <w:color w:val="auto"/>
        </w:rPr>
        <w:t>ons deliver homelessness services across metropolitan and regional South Australia. Services include accommodation, safety planning and intensive case management.</w:t>
      </w:r>
      <w:r w:rsidR="00E6750B">
        <w:rPr>
          <w:rFonts w:eastAsia="Corbel" w:cs="Corbel"/>
          <w:color w:val="auto"/>
        </w:rPr>
        <w:t xml:space="preserve"> </w:t>
      </w:r>
      <w:r w:rsidRPr="005A3585">
        <w:rPr>
          <w:rFonts w:eastAsia="Corbel" w:cs="Corbel"/>
          <w:color w:val="auto"/>
        </w:rPr>
        <w:t>The State Government manages a number of specialist housing assistance programs for highly vulnerable and at risk groups</w:t>
      </w:r>
      <w:r w:rsidRPr="00EF360A">
        <w:rPr>
          <w:rFonts w:eastAsia="Corbel" w:cs="Corbel"/>
          <w:color w:val="auto"/>
        </w:rPr>
        <w:t>.</w:t>
      </w:r>
    </w:p>
    <w:p w14:paraId="4614F1FB" w14:textId="0E551873" w:rsidR="00534F2E" w:rsidRPr="00EF360A" w:rsidRDefault="00534F2E" w:rsidP="009A09E7">
      <w:pPr>
        <w:pStyle w:val="OutlineNumbered1"/>
        <w:rPr>
          <w:rFonts w:eastAsia="Corbel" w:cs="Corbel"/>
          <w:color w:val="auto"/>
        </w:rPr>
      </w:pPr>
      <w:r w:rsidRPr="005A3585">
        <w:rPr>
          <w:rFonts w:eastAsia="Corbel" w:cs="Corbel"/>
          <w:color w:val="auto"/>
        </w:rPr>
        <w:t xml:space="preserve">South Australia adopts a ‘housing first’ </w:t>
      </w:r>
      <w:r w:rsidR="00CC6A9F">
        <w:rPr>
          <w:rFonts w:eastAsia="Corbel" w:cs="Corbel"/>
          <w:color w:val="auto"/>
        </w:rPr>
        <w:t xml:space="preserve">and ‘safety first’ </w:t>
      </w:r>
      <w:r w:rsidRPr="005A3585">
        <w:rPr>
          <w:rFonts w:eastAsia="Corbel" w:cs="Corbel"/>
          <w:color w:val="auto"/>
        </w:rPr>
        <w:t xml:space="preserve">approach, which includes a ‘no wrong door’ policy, and recognises children as clients in their own right. </w:t>
      </w:r>
      <w:r w:rsidR="00526408" w:rsidRPr="00EF360A">
        <w:rPr>
          <w:rFonts w:eastAsia="Corbel" w:cs="Corbel"/>
          <w:color w:val="auto"/>
        </w:rPr>
        <w:t>Our</w:t>
      </w:r>
      <w:r w:rsidRPr="00EF360A">
        <w:rPr>
          <w:rFonts w:eastAsia="Corbel" w:cs="Corbel"/>
          <w:color w:val="auto"/>
        </w:rPr>
        <w:t xml:space="preserve"> case management system, Homeless 2 Home (H2H), underpins the development of a more closely coordinated homelessness sector by enabling referral, service delivery and case management across multiple agencies. It also reduces the need for clients to retell their story to different agencies. Key service elements are identified within individual service contracts to ensure outcomes are met.</w:t>
      </w:r>
    </w:p>
    <w:p w14:paraId="2C9400BA" w14:textId="34473C70" w:rsidR="00534F2E" w:rsidRPr="00EF360A" w:rsidRDefault="00534F2E" w:rsidP="009A09E7">
      <w:pPr>
        <w:pStyle w:val="OutlineNumbered1"/>
        <w:rPr>
          <w:rFonts w:eastAsia="Corbel" w:cs="Corbel"/>
          <w:color w:val="auto"/>
        </w:rPr>
      </w:pPr>
      <w:r w:rsidRPr="005A3585">
        <w:rPr>
          <w:rFonts w:eastAsia="Corbel" w:cs="Corbel"/>
          <w:color w:val="auto"/>
        </w:rPr>
        <w:t>South Australia is seeking to further improve client outcomes via reviewing and re-designing services in response to priorities and contemporary practices. This review, undertaken in consultation with the sector, will shape bro</w:t>
      </w:r>
      <w:r w:rsidRPr="00EF360A">
        <w:rPr>
          <w:rFonts w:eastAsia="Corbel" w:cs="Corbel"/>
          <w:color w:val="auto"/>
        </w:rPr>
        <w:t>ad homelessness sector reform to improve the quality of services for the most vulnerable members of our community, and inform the development of a state homelessness strategy.</w:t>
      </w:r>
    </w:p>
    <w:p w14:paraId="600A36CB" w14:textId="01725B6B" w:rsidR="00534F2E" w:rsidRPr="00EF360A" w:rsidRDefault="00534F2E">
      <w:pPr>
        <w:rPr>
          <w:rFonts w:eastAsia="Corbel" w:cs="Corbel"/>
          <w:color w:val="auto"/>
        </w:rPr>
      </w:pPr>
    </w:p>
    <w:p w14:paraId="35C780DB" w14:textId="5AA04C62" w:rsidR="003E00B6" w:rsidRDefault="003E00B6" w:rsidP="003E00B6">
      <w:pPr>
        <w:pStyle w:val="Heading1"/>
        <w:spacing w:before="240"/>
      </w:pPr>
      <w:r>
        <w:t xml:space="preserve">Part 2 – </w:t>
      </w:r>
      <w:r w:rsidR="0042723E">
        <w:t>South Australia</w:t>
      </w:r>
      <w:r w:rsidR="00A85651">
        <w:t>N</w:t>
      </w:r>
      <w:r>
        <w:t xml:space="preserve"> housing strategy</w:t>
      </w:r>
    </w:p>
    <w:p w14:paraId="45061758" w14:textId="212B71FA" w:rsidR="00E74A59" w:rsidRPr="00C07EC0" w:rsidRDefault="00787F5B" w:rsidP="009A09E7">
      <w:pPr>
        <w:pStyle w:val="OutlineNumbered1"/>
      </w:pPr>
      <w:r w:rsidRPr="00C07EC0">
        <w:t>South Australia’s housing strategies are currently set out in</w:t>
      </w:r>
      <w:r w:rsidR="001578F6" w:rsidRPr="00C07EC0">
        <w:t xml:space="preserve"> the Housing Strategy for South Australia 2013-18, Housing SA Blueprint 2013-</w:t>
      </w:r>
      <w:r w:rsidR="00CC6A9F">
        <w:t>2</w:t>
      </w:r>
      <w:r w:rsidR="001578F6" w:rsidRPr="00C07EC0">
        <w:t>018 and the Department for Communities and Social Inclusion’s Strategic Plan 2014-2018</w:t>
      </w:r>
      <w:r w:rsidRPr="00C07EC0">
        <w:t xml:space="preserve">. </w:t>
      </w:r>
      <w:r w:rsidR="00C07EC0" w:rsidRPr="00C07EC0">
        <w:t>Urban form and housing supply targets are currently set out in the 30-Year Plan for Greater Adelaide (2017 Update).</w:t>
      </w:r>
    </w:p>
    <w:p w14:paraId="4F704FE3" w14:textId="395E70B3" w:rsidR="00AC1CD8" w:rsidRDefault="006A1516" w:rsidP="009A09E7">
      <w:pPr>
        <w:pStyle w:val="OutlineNumbered1"/>
      </w:pPr>
      <w:r>
        <w:t>With respect to the requirement to have a housing strategy, as outlined in clause 17 of the Agreement, South Australia is developing and will have a new strategy in place and publicly available by 1 July 2019. The period from 1</w:t>
      </w:r>
      <w:r w:rsidR="00F83353">
        <w:t xml:space="preserve"> January 2019</w:t>
      </w:r>
      <w:r>
        <w:t xml:space="preserve"> to 30 June 2019 is a period prescribed for the purposes of sub-clause 18</w:t>
      </w:r>
      <w:r w:rsidR="00E91064">
        <w:t>(</w:t>
      </w:r>
      <w:r>
        <w:t>e</w:t>
      </w:r>
      <w:r w:rsidR="00E91064">
        <w:t>)</w:t>
      </w:r>
      <w:r>
        <w:t xml:space="preserve"> of the Agreement for which it is not reasonably practicable for South Australia to have a publicly available strategy. </w:t>
      </w:r>
      <w:r w:rsidR="000B0C25" w:rsidRPr="57199B7F">
        <w:t xml:space="preserve"> </w:t>
      </w:r>
    </w:p>
    <w:p w14:paraId="565A3503" w14:textId="2ECF42AB" w:rsidR="0062736A" w:rsidRDefault="00EF360A" w:rsidP="009A09E7">
      <w:pPr>
        <w:pStyle w:val="OutlineNumbered1"/>
      </w:pPr>
      <w:r>
        <w:t>The table below includes details of South Australia’s housing priorities, policies and initiatives that supplement South Australia’s housing strategy as per clause 19 of t</w:t>
      </w:r>
      <w:r w:rsidR="00A2224D">
        <w:t xml:space="preserve">he </w:t>
      </w:r>
      <w:r w:rsidR="006A1516">
        <w:t>A</w:t>
      </w:r>
      <w:r>
        <w:t>greement</w:t>
      </w:r>
      <w:r w:rsidR="007C0C86">
        <w:t>.</w:t>
      </w:r>
      <w:r w:rsidR="00A26BB2">
        <w:t xml:space="preserve"> As South Australia will be reviewing and updating its housing strategy during 2018-19, these policies and initiatives may be reviewed over time to align to the South Australian Government’s new strategy.</w:t>
      </w:r>
    </w:p>
    <w:tbl>
      <w:tblPr>
        <w:tblW w:w="1059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668"/>
        <w:gridCol w:w="5930"/>
      </w:tblGrid>
      <w:tr w:rsidR="001B746D" w14:paraId="48C75C2F" w14:textId="77777777" w:rsidTr="00E148BA">
        <w:trPr>
          <w:trHeight w:val="735"/>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47EC6953" w14:textId="77777777" w:rsidR="001B746D" w:rsidRPr="00AC2F15" w:rsidRDefault="04DFC999" w:rsidP="04DFC999">
            <w:pPr>
              <w:pStyle w:val="Heading2"/>
              <w:rPr>
                <w:sz w:val="23"/>
                <w:szCs w:val="23"/>
              </w:rPr>
            </w:pPr>
            <w:r w:rsidRPr="04DFC999">
              <w:rPr>
                <w:sz w:val="23"/>
                <w:szCs w:val="23"/>
              </w:rPr>
              <w:lastRenderedPageBreak/>
              <w:t>Key commitment</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B0312FA" w14:textId="02140FA4" w:rsidR="001B746D" w:rsidRPr="00AC2F15" w:rsidRDefault="001B746D" w:rsidP="04DFC999">
            <w:pPr>
              <w:pStyle w:val="Heading2"/>
              <w:rPr>
                <w:sz w:val="23"/>
                <w:szCs w:val="23"/>
                <w:highlight w:val="yellow"/>
              </w:rPr>
            </w:pPr>
            <w:r>
              <w:rPr>
                <w:sz w:val="23"/>
                <w:szCs w:val="23"/>
              </w:rPr>
              <w:t xml:space="preserve">Key Performance Indicators </w:t>
            </w:r>
            <w:r w:rsidRPr="00AC2F15">
              <w:rPr>
                <w:sz w:val="23"/>
                <w:szCs w:val="23"/>
              </w:rPr>
              <w:t xml:space="preserve"> </w:t>
            </w:r>
          </w:p>
        </w:tc>
      </w:tr>
      <w:tr w:rsidR="004E6057" w14:paraId="6661CADD" w14:textId="77777777" w:rsidTr="00E148BA">
        <w:trPr>
          <w:trHeight w:val="518"/>
          <w:tblHeader/>
        </w:trPr>
        <w:tc>
          <w:tcPr>
            <w:tcW w:w="1059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4A31B6" w14:textId="147B6760" w:rsidR="004E6057" w:rsidRPr="00E148BA" w:rsidRDefault="004E6057" w:rsidP="005F066B">
            <w:pPr>
              <w:spacing w:after="60"/>
              <w:jc w:val="left"/>
              <w:rPr>
                <w:i/>
              </w:rPr>
            </w:pPr>
            <w:r w:rsidRPr="6059F0A1">
              <w:rPr>
                <w:b/>
                <w:bCs/>
                <w:i/>
                <w:iCs/>
              </w:rPr>
              <w:t>A well-functioning housing system that responds to local conditions</w:t>
            </w:r>
          </w:p>
        </w:tc>
      </w:tr>
      <w:tr w:rsidR="005864C1" w14:paraId="511AD042" w14:textId="77777777" w:rsidTr="00C70D2D">
        <w:trPr>
          <w:trHeight w:val="672"/>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2398723" w14:textId="0CB44D5F" w:rsidR="005864C1" w:rsidRDefault="005864C1" w:rsidP="00C70D2D">
            <w:pPr>
              <w:spacing w:after="120" w:line="240" w:lineRule="auto"/>
              <w:jc w:val="left"/>
            </w:pPr>
            <w:r>
              <w:t>Establish a new housing authority</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402238E" w14:textId="7C08DD5F" w:rsidR="005864C1" w:rsidRPr="00C07EC0" w:rsidRDefault="005864C1" w:rsidP="000D6D43">
            <w:pPr>
              <w:pStyle w:val="Heading2"/>
              <w:spacing w:before="0"/>
              <w:rPr>
                <w:rFonts w:cs="Times New Roman"/>
                <w:b w:val="0"/>
                <w:bCs w:val="0"/>
                <w:color w:val="000000"/>
                <w:sz w:val="23"/>
                <w:szCs w:val="23"/>
              </w:rPr>
            </w:pPr>
            <w:r>
              <w:rPr>
                <w:rFonts w:cs="Times New Roman"/>
                <w:b w:val="0"/>
                <w:bCs w:val="0"/>
                <w:color w:val="000000"/>
                <w:sz w:val="23"/>
                <w:szCs w:val="23"/>
              </w:rPr>
              <w:t>Establish a new authority amalgamating the housing functions of Housing SA and Renewal SA in 2018-19.</w:t>
            </w:r>
          </w:p>
        </w:tc>
      </w:tr>
      <w:tr w:rsidR="001B746D" w14:paraId="7095EA6C" w14:textId="77777777" w:rsidTr="00C70D2D">
        <w:trPr>
          <w:trHeight w:val="967"/>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6C0195" w14:textId="3765E7B4" w:rsidR="001B746D" w:rsidRDefault="001B746D" w:rsidP="00C70D2D">
            <w:pPr>
              <w:spacing w:after="120" w:line="240" w:lineRule="auto"/>
              <w:jc w:val="left"/>
            </w:pPr>
            <w:r>
              <w:t>Develop a new state housing strategy</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2D8FDA" w14:textId="6B220B2A" w:rsidR="001B746D" w:rsidRPr="00C07EC0" w:rsidRDefault="00EF360A" w:rsidP="000D6D43">
            <w:pPr>
              <w:pStyle w:val="Heading2"/>
              <w:spacing w:before="0"/>
              <w:rPr>
                <w:rFonts w:cs="Times New Roman"/>
                <w:b w:val="0"/>
                <w:color w:val="000000" w:themeColor="text1"/>
                <w:sz w:val="23"/>
                <w:szCs w:val="23"/>
              </w:rPr>
            </w:pPr>
            <w:r w:rsidRPr="00C07EC0">
              <w:rPr>
                <w:rFonts w:cs="Times New Roman"/>
                <w:b w:val="0"/>
                <w:bCs w:val="0"/>
                <w:color w:val="000000"/>
                <w:sz w:val="23"/>
                <w:szCs w:val="23"/>
              </w:rPr>
              <w:t>D</w:t>
            </w:r>
            <w:r w:rsidR="2EBFFE2E" w:rsidRPr="00C07EC0">
              <w:rPr>
                <w:rFonts w:cs="Times New Roman"/>
                <w:b w:val="0"/>
                <w:bCs w:val="0"/>
                <w:color w:val="000000"/>
                <w:sz w:val="23"/>
                <w:szCs w:val="23"/>
              </w:rPr>
              <w:t>evelop</w:t>
            </w:r>
            <w:r w:rsidRPr="00C07EC0">
              <w:rPr>
                <w:rFonts w:cs="Times New Roman"/>
                <w:b w:val="0"/>
                <w:bCs w:val="0"/>
                <w:color w:val="000000"/>
                <w:sz w:val="23"/>
                <w:szCs w:val="23"/>
              </w:rPr>
              <w:t xml:space="preserve"> and publicly release</w:t>
            </w:r>
            <w:r w:rsidR="00D5437E" w:rsidRPr="00C07EC0" w:rsidDel="2EBFFE2E">
              <w:rPr>
                <w:rFonts w:cs="Times New Roman"/>
                <w:b w:val="0"/>
                <w:bCs w:val="0"/>
                <w:color w:val="000000"/>
                <w:sz w:val="23"/>
                <w:szCs w:val="23"/>
              </w:rPr>
              <w:t xml:space="preserve"> </w:t>
            </w:r>
            <w:r w:rsidR="001B746D" w:rsidRPr="00C07EC0">
              <w:rPr>
                <w:rFonts w:cs="Times New Roman"/>
                <w:b w:val="0"/>
                <w:bCs w:val="0"/>
                <w:color w:val="000000"/>
                <w:sz w:val="23"/>
                <w:szCs w:val="23"/>
              </w:rPr>
              <w:t>a new housing strategy</w:t>
            </w:r>
            <w:r w:rsidRPr="00C07EC0">
              <w:rPr>
                <w:rFonts w:cs="Times New Roman"/>
                <w:b w:val="0"/>
                <w:bCs w:val="0"/>
                <w:color w:val="000000"/>
                <w:sz w:val="23"/>
                <w:szCs w:val="23"/>
              </w:rPr>
              <w:t xml:space="preserve">, addressing the requirements of clause </w:t>
            </w:r>
            <w:r w:rsidRPr="00C07EC0">
              <w:rPr>
                <w:rFonts w:cs="Times New Roman"/>
                <w:b w:val="0"/>
                <w:color w:val="000000"/>
                <w:sz w:val="23"/>
                <w:szCs w:val="23"/>
              </w:rPr>
              <w:t>1</w:t>
            </w:r>
            <w:r w:rsidR="00A26BB2" w:rsidRPr="00C07EC0">
              <w:rPr>
                <w:rFonts w:cs="Times New Roman"/>
                <w:b w:val="0"/>
                <w:color w:val="000000"/>
                <w:sz w:val="23"/>
                <w:szCs w:val="23"/>
              </w:rPr>
              <w:t>7</w:t>
            </w:r>
            <w:r w:rsidRPr="00C07EC0">
              <w:rPr>
                <w:rFonts w:cs="Times New Roman"/>
                <w:b w:val="0"/>
                <w:bCs w:val="0"/>
                <w:color w:val="000000"/>
                <w:sz w:val="23"/>
                <w:szCs w:val="23"/>
              </w:rPr>
              <w:t xml:space="preserve"> of the Agreement,</w:t>
            </w:r>
            <w:r w:rsidR="001B746D" w:rsidRPr="00C07EC0">
              <w:rPr>
                <w:rFonts w:cs="Times New Roman"/>
                <w:b w:val="0"/>
                <w:bCs w:val="0"/>
                <w:color w:val="000000"/>
                <w:sz w:val="23"/>
                <w:szCs w:val="23"/>
              </w:rPr>
              <w:t xml:space="preserve"> for South Australia</w:t>
            </w:r>
            <w:r w:rsidR="2EBFFE2E" w:rsidRPr="00C07EC0">
              <w:rPr>
                <w:rFonts w:cs="Times New Roman"/>
                <w:b w:val="0"/>
                <w:bCs w:val="0"/>
                <w:color w:val="000000"/>
                <w:sz w:val="23"/>
                <w:szCs w:val="23"/>
              </w:rPr>
              <w:t xml:space="preserve"> by 1 July 201</w:t>
            </w:r>
            <w:r w:rsidR="00E148BA" w:rsidRPr="00C07EC0">
              <w:rPr>
                <w:rFonts w:cs="Times New Roman"/>
                <w:b w:val="0"/>
                <w:bCs w:val="0"/>
                <w:color w:val="000000"/>
                <w:sz w:val="23"/>
                <w:szCs w:val="23"/>
              </w:rPr>
              <w:t>9</w:t>
            </w:r>
            <w:r w:rsidRPr="00C07EC0">
              <w:rPr>
                <w:rFonts w:cs="Times New Roman"/>
                <w:b w:val="0"/>
                <w:bCs w:val="0"/>
                <w:color w:val="000000"/>
                <w:sz w:val="23"/>
                <w:szCs w:val="23"/>
              </w:rPr>
              <w:t>.</w:t>
            </w:r>
            <w:r w:rsidR="2EBFFE2E" w:rsidRPr="00C07EC0">
              <w:rPr>
                <w:rFonts w:cs="Times New Roman"/>
                <w:b w:val="0"/>
                <w:bCs w:val="0"/>
                <w:color w:val="000000"/>
                <w:sz w:val="23"/>
                <w:szCs w:val="23"/>
              </w:rPr>
              <w:t xml:space="preserve"> </w:t>
            </w:r>
          </w:p>
        </w:tc>
      </w:tr>
      <w:tr w:rsidR="005864C1" w:rsidRPr="00492ABF" w14:paraId="7153AAD2"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B4C110" w14:textId="31CD2896" w:rsidR="005864C1" w:rsidRPr="00C07EC0" w:rsidRDefault="005864C1" w:rsidP="00C70D2D">
            <w:pPr>
              <w:spacing w:after="120" w:line="240" w:lineRule="auto"/>
              <w:jc w:val="left"/>
            </w:pPr>
            <w:r>
              <w:t>Tenancy reform</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B7AB9A3" w14:textId="77777777" w:rsidR="005864C1" w:rsidRDefault="005864C1" w:rsidP="00C70D2D">
            <w:pPr>
              <w:spacing w:after="120" w:line="240" w:lineRule="auto"/>
              <w:jc w:val="left"/>
              <w:textAlignment w:val="baseline"/>
            </w:pPr>
            <w:r>
              <w:t>Explore potential reforms that further protect vulnerable citizens living in private rental housing arrangements.</w:t>
            </w:r>
          </w:p>
          <w:p w14:paraId="6FF1CAEA" w14:textId="77777777" w:rsidR="00302463" w:rsidRPr="00492FB8" w:rsidRDefault="005864C1" w:rsidP="00C70D2D">
            <w:pPr>
              <w:spacing w:after="120" w:line="240" w:lineRule="auto"/>
              <w:jc w:val="left"/>
              <w:textAlignment w:val="baseline"/>
            </w:pPr>
            <w:r w:rsidRPr="00492FB8">
              <w:t xml:space="preserve">In partnership with the Commonwealth, develop </w:t>
            </w:r>
            <w:r w:rsidR="00302463" w:rsidRPr="00492FB8">
              <w:t>draft national standards that improve the safety of women who have experienced domestic violence living in private rental housing and help protect their rights as tenants.</w:t>
            </w:r>
          </w:p>
          <w:p w14:paraId="3A5F33D1" w14:textId="1F2E97D8" w:rsidR="005864C1" w:rsidRPr="00C07EC0" w:rsidRDefault="00302463" w:rsidP="00C70D2D">
            <w:pPr>
              <w:spacing w:after="120" w:line="240" w:lineRule="auto"/>
              <w:jc w:val="left"/>
              <w:textAlignment w:val="baseline"/>
            </w:pPr>
            <w:r w:rsidRPr="00492FB8">
              <w:t>It is expected the draft standards will be considered nationally by the end of 2018.</w:t>
            </w:r>
          </w:p>
        </w:tc>
      </w:tr>
      <w:tr w:rsidR="00D84924" w:rsidRPr="00492ABF" w14:paraId="1146EB06"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4100C9C" w14:textId="1E306B1F" w:rsidR="003025F7" w:rsidRPr="00C07EC0" w:rsidRDefault="004E6057" w:rsidP="00C70D2D">
            <w:pPr>
              <w:spacing w:after="120" w:line="240" w:lineRule="auto"/>
              <w:jc w:val="left"/>
            </w:pPr>
            <w:r w:rsidRPr="00C07EC0">
              <w:t>S</w:t>
            </w:r>
            <w:r w:rsidR="00D84924" w:rsidRPr="00C07EC0">
              <w:t xml:space="preserve">upply of land in South Australia is adequate to meet the long term demand for land </w:t>
            </w:r>
          </w:p>
          <w:p w14:paraId="1A7D1061" w14:textId="37AB9B7E" w:rsidR="00D84924" w:rsidRPr="00C07EC0" w:rsidRDefault="003025F7" w:rsidP="00C70D2D">
            <w:pPr>
              <w:spacing w:after="120" w:line="240" w:lineRule="auto"/>
              <w:jc w:val="left"/>
            </w:pPr>
            <w:r w:rsidRPr="00C07EC0">
              <w:t xml:space="preserve">Living Adelaide – The 30 – Year Plan for Greater Adelaide which includes actions to deliver a compact urban reform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EA157B" w14:textId="603D77A1" w:rsidR="00D84924" w:rsidRPr="00C07EC0" w:rsidRDefault="005D3CF0" w:rsidP="00C70D2D">
            <w:pPr>
              <w:spacing w:after="120" w:line="240" w:lineRule="auto"/>
              <w:jc w:val="left"/>
              <w:textAlignment w:val="baseline"/>
              <w:rPr>
                <w:rFonts w:ascii="Calibri" w:hAnsi="Calibri"/>
                <w:color w:val="auto"/>
                <w:sz w:val="22"/>
                <w:szCs w:val="22"/>
              </w:rPr>
            </w:pPr>
            <w:r w:rsidRPr="00C07EC0">
              <w:t>Report annually on 30 year plan targets, land supply for housing and employment purposes for Greater Adelaide.</w:t>
            </w:r>
            <w:r w:rsidR="005930BD" w:rsidRPr="00C07EC0" w:rsidDel="005930BD">
              <w:t xml:space="preserve"> </w:t>
            </w:r>
          </w:p>
        </w:tc>
      </w:tr>
      <w:tr w:rsidR="004E6057" w:rsidRPr="00492ABF" w14:paraId="345C3CDF" w14:textId="77777777" w:rsidTr="0028623C">
        <w:trPr>
          <w:trHeight w:val="1880"/>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E54CE4B" w14:textId="77777777" w:rsidR="004E6057" w:rsidRPr="00C07EC0" w:rsidRDefault="004E6057" w:rsidP="00C70D2D">
            <w:pPr>
              <w:spacing w:after="120" w:line="240" w:lineRule="auto"/>
              <w:jc w:val="left"/>
            </w:pPr>
            <w:r w:rsidRPr="00C07EC0">
              <w:t xml:space="preserve">Planning application and approval processes are efficient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C7FE596" w14:textId="31234FB4" w:rsidR="0001136C" w:rsidRPr="00C07EC0" w:rsidRDefault="00EF360A" w:rsidP="00C70D2D">
            <w:pPr>
              <w:spacing w:after="120" w:line="240" w:lineRule="auto"/>
              <w:jc w:val="left"/>
              <w:rPr>
                <w:color w:val="000000" w:themeColor="text1"/>
              </w:rPr>
            </w:pPr>
            <w:r w:rsidRPr="00C07EC0">
              <w:rPr>
                <w:color w:val="000000" w:themeColor="text1"/>
              </w:rPr>
              <w:t>Report on t</w:t>
            </w:r>
            <w:r w:rsidR="5E9A8170" w:rsidRPr="00C07EC0">
              <w:rPr>
                <w:color w:val="000000" w:themeColor="text1"/>
              </w:rPr>
              <w:t xml:space="preserve">he </w:t>
            </w:r>
            <w:r w:rsidR="009F1DD9" w:rsidRPr="00C07EC0">
              <w:rPr>
                <w:color w:val="000000" w:themeColor="text1"/>
              </w:rPr>
              <w:t xml:space="preserve">estimated </w:t>
            </w:r>
            <w:r w:rsidR="5E9A8170" w:rsidRPr="00C07EC0">
              <w:rPr>
                <w:color w:val="000000" w:themeColor="text1"/>
              </w:rPr>
              <w:t>median number of days for a planning application to be decided</w:t>
            </w:r>
            <w:r w:rsidR="00A2224D">
              <w:rPr>
                <w:color w:val="000000" w:themeColor="text1"/>
              </w:rPr>
              <w:t>. Reporting to commence</w:t>
            </w:r>
            <w:r w:rsidR="005930BD" w:rsidRPr="00C07EC0">
              <w:rPr>
                <w:color w:val="000000" w:themeColor="text1"/>
              </w:rPr>
              <w:t xml:space="preserve"> from 2020</w:t>
            </w:r>
            <w:r w:rsidR="00E148BA" w:rsidRPr="00C07EC0">
              <w:rPr>
                <w:color w:val="000000" w:themeColor="text1"/>
              </w:rPr>
              <w:t>.</w:t>
            </w:r>
          </w:p>
          <w:p w14:paraId="067AE97E" w14:textId="3AB12D9D" w:rsidR="004E6057" w:rsidRPr="00C07EC0" w:rsidRDefault="005930BD" w:rsidP="00C70D2D">
            <w:pPr>
              <w:spacing w:after="120" w:line="240" w:lineRule="auto"/>
              <w:jc w:val="left"/>
              <w:rPr>
                <w:color w:val="000000" w:themeColor="text1"/>
              </w:rPr>
            </w:pPr>
            <w:r w:rsidRPr="00C07EC0">
              <w:rPr>
                <w:color w:val="000000" w:themeColor="text1"/>
              </w:rPr>
              <w:t xml:space="preserve">Commence the </w:t>
            </w:r>
            <w:r w:rsidR="008E2437" w:rsidRPr="00C07EC0">
              <w:rPr>
                <w:color w:val="000000" w:themeColor="text1"/>
              </w:rPr>
              <w:t>state-wide</w:t>
            </w:r>
            <w:r w:rsidR="00C07EC0" w:rsidRPr="00C07EC0">
              <w:rPr>
                <w:color w:val="000000" w:themeColor="text1"/>
              </w:rPr>
              <w:t xml:space="preserve"> Planning and Design Code by 1</w:t>
            </w:r>
            <w:r w:rsidR="002E1F70">
              <w:rPr>
                <w:color w:val="000000" w:themeColor="text1"/>
              </w:rPr>
              <w:t> </w:t>
            </w:r>
            <w:r w:rsidR="00C07EC0" w:rsidRPr="00C07EC0">
              <w:rPr>
                <w:color w:val="000000" w:themeColor="text1"/>
              </w:rPr>
              <w:t>July 2020 (which will replace the 72 Council Development Plans).</w:t>
            </w:r>
          </w:p>
        </w:tc>
      </w:tr>
      <w:tr w:rsidR="001B746D" w14:paraId="64AB0466" w14:textId="77777777" w:rsidTr="00E148BA">
        <w:trPr>
          <w:trHeight w:val="33"/>
          <w:tblHeader/>
        </w:trPr>
        <w:tc>
          <w:tcPr>
            <w:tcW w:w="1059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E1A581C" w14:textId="50FC328B" w:rsidR="001B746D" w:rsidRPr="00E148BA" w:rsidRDefault="004E6057" w:rsidP="00E148BA">
            <w:pPr>
              <w:pStyle w:val="Heading2"/>
              <w:spacing w:before="0"/>
              <w:rPr>
                <w:rFonts w:cs="Times New Roman"/>
                <w:i/>
                <w:color w:val="000000" w:themeColor="text1"/>
                <w:sz w:val="23"/>
                <w:szCs w:val="23"/>
              </w:rPr>
            </w:pPr>
            <w:r w:rsidRPr="005F066B">
              <w:rPr>
                <w:i/>
                <w:color w:val="auto"/>
                <w:sz w:val="23"/>
                <w:szCs w:val="23"/>
              </w:rPr>
              <w:t>A well-functioning social housing system</w:t>
            </w:r>
          </w:p>
        </w:tc>
      </w:tr>
      <w:tr w:rsidR="004E6057" w14:paraId="54345546"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3FD8713" w14:textId="3A2FC62A" w:rsidR="004E6057" w:rsidRPr="00592F15" w:rsidRDefault="004E6057" w:rsidP="00C70D2D">
            <w:pPr>
              <w:spacing w:after="120" w:line="240" w:lineRule="auto"/>
              <w:jc w:val="left"/>
            </w:pPr>
            <w:r>
              <w:t>Ensure</w:t>
            </w:r>
            <w:r w:rsidR="04DFC999">
              <w:t xml:space="preserve"> </w:t>
            </w:r>
            <w:r>
              <w:t xml:space="preserve">housing stock is accessible by priority cohorts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5851CE" w14:textId="74C3B3D1" w:rsidR="004E6057" w:rsidRPr="007F4A1E" w:rsidRDefault="005864C1" w:rsidP="000D6D43">
            <w:pPr>
              <w:pStyle w:val="Heading2"/>
              <w:spacing w:before="0"/>
              <w:rPr>
                <w:rFonts w:cs="Times New Roman"/>
                <w:b w:val="0"/>
                <w:bCs w:val="0"/>
                <w:color w:val="000000"/>
                <w:sz w:val="23"/>
                <w:szCs w:val="23"/>
              </w:rPr>
            </w:pPr>
            <w:r w:rsidRPr="00C70D2D">
              <w:rPr>
                <w:rFonts w:cs="Times New Roman"/>
                <w:b w:val="0"/>
                <w:bCs w:val="0"/>
                <w:color w:val="000000"/>
                <w:sz w:val="23"/>
                <w:szCs w:val="23"/>
              </w:rPr>
              <w:t>≥50%</w:t>
            </w:r>
            <w:r w:rsidR="004E6057" w:rsidRPr="007F4A1E">
              <w:rPr>
                <w:rFonts w:cs="Times New Roman"/>
                <w:b w:val="0"/>
                <w:bCs w:val="0"/>
                <w:color w:val="000000"/>
                <w:sz w:val="23"/>
                <w:szCs w:val="23"/>
              </w:rPr>
              <w:t xml:space="preserve"> </w:t>
            </w:r>
            <w:r w:rsidRPr="007F4A1E">
              <w:rPr>
                <w:rFonts w:cs="Times New Roman"/>
                <w:b w:val="0"/>
                <w:bCs w:val="0"/>
                <w:color w:val="000000"/>
                <w:sz w:val="23"/>
                <w:szCs w:val="23"/>
              </w:rPr>
              <w:t xml:space="preserve">of </w:t>
            </w:r>
            <w:r w:rsidR="004E6057" w:rsidRPr="007F4A1E">
              <w:rPr>
                <w:rFonts w:cs="Times New Roman"/>
                <w:b w:val="0"/>
                <w:bCs w:val="0"/>
                <w:color w:val="000000"/>
                <w:sz w:val="23"/>
                <w:szCs w:val="23"/>
              </w:rPr>
              <w:t xml:space="preserve">new tenancies allocated to </w:t>
            </w:r>
            <w:r w:rsidR="00A06AFC" w:rsidRPr="007F4A1E">
              <w:rPr>
                <w:rFonts w:cs="Times New Roman"/>
                <w:b w:val="0"/>
                <w:bCs w:val="0"/>
                <w:color w:val="000000"/>
                <w:sz w:val="23"/>
                <w:szCs w:val="23"/>
              </w:rPr>
              <w:t>priority cohorts.</w:t>
            </w:r>
          </w:p>
          <w:p w14:paraId="487F3C2D" w14:textId="4EDACB03" w:rsidR="007F4A1E" w:rsidRPr="00C70D2D" w:rsidRDefault="007F4A1E" w:rsidP="00C70D2D">
            <w:pPr>
              <w:spacing w:after="120" w:line="240" w:lineRule="auto"/>
              <w:jc w:val="left"/>
              <w:rPr>
                <w:b/>
                <w:bCs/>
              </w:rPr>
            </w:pPr>
            <w:r w:rsidRPr="00C70D2D">
              <w:t>Consider the findings of the Australian Housing and Urban Research Institute</w:t>
            </w:r>
            <w:r w:rsidR="000247BF">
              <w:t>’</w:t>
            </w:r>
            <w:r w:rsidRPr="00C70D2D">
              <w:t>s audit</w:t>
            </w:r>
            <w:r w:rsidR="000247BF">
              <w:t xml:space="preserve"> of</w:t>
            </w:r>
            <w:r w:rsidRPr="00C70D2D">
              <w:t xml:space="preserve"> the state’s current housing assets and mapping of future demand.</w:t>
            </w:r>
          </w:p>
        </w:tc>
      </w:tr>
      <w:tr w:rsidR="004E6057" w14:paraId="21A75849" w14:textId="77777777" w:rsidTr="00C70D2D">
        <w:trPr>
          <w:trHeight w:val="726"/>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E45200A" w14:textId="6D3FD2E4" w:rsidR="004E6057" w:rsidRPr="004E6057" w:rsidRDefault="003770D8" w:rsidP="00C70D2D">
            <w:pPr>
              <w:spacing w:after="120" w:line="240" w:lineRule="auto"/>
              <w:jc w:val="left"/>
            </w:pPr>
            <w:r>
              <w:t>Utilise urban renewal to increase</w:t>
            </w:r>
            <w:r w:rsidRPr="122DC550">
              <w:t xml:space="preserve"> </w:t>
            </w:r>
            <w:r w:rsidR="004E6057">
              <w:t xml:space="preserve">appropriateness </w:t>
            </w:r>
            <w:r w:rsidR="004E6057" w:rsidRPr="006068A7">
              <w:t>of social housing</w:t>
            </w:r>
            <w:r w:rsidR="004E6057" w:rsidRPr="122DC550">
              <w:t xml:space="preserve">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CEB1592" w14:textId="4118F086" w:rsidR="000247BF" w:rsidRPr="005A3585" w:rsidRDefault="00470306" w:rsidP="00C70D2D">
            <w:pPr>
              <w:spacing w:after="120" w:line="240" w:lineRule="auto"/>
            </w:pPr>
            <w:r>
              <w:t>Under</w:t>
            </w:r>
            <w:r w:rsidR="004E6057" w:rsidDel="003770D8">
              <w:t xml:space="preserve"> the </w:t>
            </w:r>
            <w:r w:rsidR="678A64B0">
              <w:t>Better Neighbourhood Program</w:t>
            </w:r>
            <w:r>
              <w:t xml:space="preserve">, </w:t>
            </w:r>
            <w:r w:rsidR="005864C1">
              <w:t>construct</w:t>
            </w:r>
            <w:r>
              <w:t xml:space="preserve"> </w:t>
            </w:r>
            <w:r w:rsidR="00A06AFC">
              <w:t xml:space="preserve">207 </w:t>
            </w:r>
            <w:r>
              <w:t>houses</w:t>
            </w:r>
            <w:r w:rsidR="00A06AFC">
              <w:t xml:space="preserve"> in 2018-19 and 130 houses in</w:t>
            </w:r>
            <w:r>
              <w:t xml:space="preserve"> </w:t>
            </w:r>
            <w:r w:rsidR="00A06AFC">
              <w:t>2019-20</w:t>
            </w:r>
            <w:r w:rsidR="009F1DD9">
              <w:t>.</w:t>
            </w:r>
          </w:p>
        </w:tc>
      </w:tr>
      <w:tr w:rsidR="004E6057" w14:paraId="508B3B02" w14:textId="77777777" w:rsidTr="00C70D2D">
        <w:trPr>
          <w:trHeight w:val="977"/>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87DE67D" w14:textId="0194F621" w:rsidR="004E6057" w:rsidRDefault="004E6057" w:rsidP="00C70D2D">
            <w:pPr>
              <w:spacing w:after="120" w:line="240" w:lineRule="auto"/>
              <w:jc w:val="left"/>
            </w:pPr>
            <w:r>
              <w:t>Improve the liveability of social housing stock</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10038AF" w14:textId="7842769E" w:rsidR="004E6057" w:rsidRPr="00921ED9" w:rsidRDefault="004E6057">
            <w:pPr>
              <w:pStyle w:val="Heading2"/>
              <w:spacing w:before="0"/>
              <w:rPr>
                <w:rFonts w:cs="Times New Roman"/>
                <w:b w:val="0"/>
                <w:bCs w:val="0"/>
                <w:color w:val="000000" w:themeColor="text1"/>
                <w:sz w:val="23"/>
                <w:szCs w:val="23"/>
              </w:rPr>
            </w:pPr>
            <w:r>
              <w:rPr>
                <w:rFonts w:cs="Times New Roman"/>
                <w:b w:val="0"/>
                <w:bCs w:val="0"/>
                <w:color w:val="000000"/>
                <w:sz w:val="23"/>
                <w:szCs w:val="23"/>
              </w:rPr>
              <w:t>Ensure a minimum of 75% of all new houses built by the SAHT meet or exceed the SAHT Universal Housing Design Criteria</w:t>
            </w:r>
            <w:r w:rsidR="00FF63C6">
              <w:rPr>
                <w:rFonts w:cs="Times New Roman"/>
                <w:b w:val="0"/>
                <w:bCs w:val="0"/>
                <w:color w:val="000000"/>
                <w:sz w:val="23"/>
                <w:szCs w:val="23"/>
              </w:rPr>
              <w:t>.</w:t>
            </w:r>
            <w:r>
              <w:rPr>
                <w:rFonts w:cs="Times New Roman"/>
                <w:b w:val="0"/>
                <w:bCs w:val="0"/>
                <w:color w:val="000000"/>
                <w:sz w:val="23"/>
                <w:szCs w:val="23"/>
              </w:rPr>
              <w:t xml:space="preserve"> </w:t>
            </w:r>
          </w:p>
        </w:tc>
      </w:tr>
      <w:tr w:rsidR="000D6D43" w14:paraId="5985640E" w14:textId="77777777" w:rsidTr="00F41602">
        <w:trPr>
          <w:trHeight w:val="963"/>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FE7B186" w14:textId="5167B497" w:rsidR="000D6D43" w:rsidRDefault="000D6D43" w:rsidP="7C51FF20">
            <w:pPr>
              <w:jc w:val="left"/>
            </w:pPr>
            <w:r>
              <w:t>Ensure South Australia’s public housing is underpinned by effective asset management</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53D40E4" w14:textId="77777777" w:rsidR="000D6D43" w:rsidRDefault="000D6D43" w:rsidP="009F1DD9">
            <w:pPr>
              <w:pStyle w:val="Heading2"/>
              <w:spacing w:before="0"/>
              <w:rPr>
                <w:rFonts w:cs="Times New Roman"/>
                <w:b w:val="0"/>
                <w:bCs w:val="0"/>
                <w:color w:val="000000"/>
                <w:sz w:val="23"/>
                <w:szCs w:val="23"/>
              </w:rPr>
            </w:pPr>
            <w:r w:rsidRPr="000D6D43">
              <w:rPr>
                <w:rFonts w:cs="Times New Roman"/>
                <w:b w:val="0"/>
                <w:bCs w:val="0"/>
                <w:color w:val="000000"/>
                <w:sz w:val="23"/>
                <w:szCs w:val="23"/>
              </w:rPr>
              <w:t>Initiate a full condition assessment of public housing properties to improve management of the housing stock, commencing March 2018.</w:t>
            </w:r>
          </w:p>
          <w:p w14:paraId="269266FB" w14:textId="7AD85A09" w:rsidR="00C70D2D" w:rsidRPr="00C70D2D" w:rsidRDefault="00C70D2D" w:rsidP="00C70D2D"/>
        </w:tc>
      </w:tr>
      <w:tr w:rsidR="000D6D43" w14:paraId="543071B0" w14:textId="77777777" w:rsidTr="00C33A7B">
        <w:trPr>
          <w:trHeight w:val="735"/>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709B41B0" w14:textId="77777777" w:rsidR="000D6D43" w:rsidRPr="00AC2F15" w:rsidRDefault="000D6D43" w:rsidP="00C33A7B">
            <w:pPr>
              <w:pStyle w:val="Heading2"/>
              <w:rPr>
                <w:sz w:val="23"/>
                <w:szCs w:val="23"/>
              </w:rPr>
            </w:pPr>
            <w:r w:rsidRPr="04DFC999">
              <w:rPr>
                <w:sz w:val="23"/>
                <w:szCs w:val="23"/>
              </w:rPr>
              <w:lastRenderedPageBreak/>
              <w:t>Key commitment</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0F33E04C" w14:textId="77777777" w:rsidR="000D6D43" w:rsidRPr="00AC2F15" w:rsidRDefault="000D6D43" w:rsidP="00C33A7B">
            <w:pPr>
              <w:pStyle w:val="Heading2"/>
              <w:rPr>
                <w:sz w:val="23"/>
                <w:szCs w:val="23"/>
                <w:highlight w:val="yellow"/>
              </w:rPr>
            </w:pPr>
            <w:r>
              <w:rPr>
                <w:sz w:val="23"/>
                <w:szCs w:val="23"/>
              </w:rPr>
              <w:t xml:space="preserve">Key Performance Indicators </w:t>
            </w:r>
            <w:r w:rsidRPr="00AC2F15">
              <w:rPr>
                <w:sz w:val="23"/>
                <w:szCs w:val="23"/>
              </w:rPr>
              <w:t xml:space="preserve"> </w:t>
            </w:r>
          </w:p>
        </w:tc>
      </w:tr>
      <w:tr w:rsidR="00103564" w14:paraId="501C2A0F"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D781E17" w14:textId="5AC04E71" w:rsidR="00103564" w:rsidRPr="00244C9D" w:rsidRDefault="00103564" w:rsidP="00C70D2D">
            <w:pPr>
              <w:spacing w:after="120" w:line="240" w:lineRule="auto"/>
              <w:jc w:val="left"/>
            </w:pPr>
            <w:r>
              <w:t xml:space="preserve">Improve service channels for clients and interfaces with partners and contracted agencies through </w:t>
            </w:r>
            <w:r w:rsidRPr="6059F0A1">
              <w:rPr>
                <w:i/>
                <w:iCs/>
              </w:rPr>
              <w:t xml:space="preserve">Connect </w:t>
            </w:r>
            <w:r>
              <w:t xml:space="preserve">– the Business Systems Transformation </w:t>
            </w:r>
            <w:r w:rsidR="009F1DD9">
              <w:t>p</w:t>
            </w:r>
            <w:r>
              <w:t xml:space="preserve">rogram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20E045" w14:textId="77777777" w:rsidR="009F1DD9" w:rsidRDefault="009F1DD9" w:rsidP="000D6D43">
            <w:pPr>
              <w:pStyle w:val="Heading2"/>
              <w:spacing w:before="0"/>
              <w:rPr>
                <w:rFonts w:cs="Times New Roman"/>
                <w:b w:val="0"/>
                <w:bCs w:val="0"/>
                <w:color w:val="000000"/>
                <w:sz w:val="23"/>
                <w:szCs w:val="23"/>
              </w:rPr>
            </w:pPr>
            <w:r>
              <w:rPr>
                <w:rFonts w:cs="Times New Roman"/>
                <w:b w:val="0"/>
                <w:bCs w:val="0"/>
                <w:color w:val="000000"/>
                <w:sz w:val="23"/>
                <w:szCs w:val="23"/>
              </w:rPr>
              <w:t>Business Systems Transformation program implementation dates:</w:t>
            </w:r>
          </w:p>
          <w:p w14:paraId="573AD1F5" w14:textId="63727C91" w:rsidR="009F1DD9" w:rsidRPr="00C07EC0" w:rsidRDefault="00D67CFB">
            <w:pPr>
              <w:pStyle w:val="Heading2"/>
              <w:spacing w:before="0"/>
              <w:rPr>
                <w:rFonts w:cs="Times New Roman"/>
                <w:b w:val="0"/>
                <w:bCs w:val="0"/>
                <w:color w:val="000000"/>
                <w:sz w:val="23"/>
                <w:szCs w:val="23"/>
              </w:rPr>
            </w:pPr>
            <w:r w:rsidRPr="00C07EC0">
              <w:rPr>
                <w:rFonts w:cs="Times New Roman"/>
                <w:b w:val="0"/>
                <w:bCs w:val="0"/>
                <w:color w:val="000000"/>
                <w:sz w:val="23"/>
                <w:szCs w:val="23"/>
              </w:rPr>
              <w:t xml:space="preserve">Phase 1: system replacement – </w:t>
            </w:r>
            <w:r w:rsidR="00030731" w:rsidRPr="00C07EC0">
              <w:rPr>
                <w:rFonts w:cs="Times New Roman"/>
                <w:b w:val="0"/>
                <w:bCs w:val="0"/>
                <w:color w:val="000000"/>
                <w:sz w:val="23"/>
                <w:szCs w:val="23"/>
              </w:rPr>
              <w:t xml:space="preserve">December </w:t>
            </w:r>
            <w:r w:rsidRPr="00C07EC0">
              <w:rPr>
                <w:rFonts w:cs="Times New Roman"/>
                <w:b w:val="0"/>
                <w:bCs w:val="0"/>
                <w:color w:val="000000"/>
                <w:sz w:val="23"/>
                <w:szCs w:val="23"/>
              </w:rPr>
              <w:t>2020</w:t>
            </w:r>
          </w:p>
          <w:p w14:paraId="64273B55" w14:textId="7FDED3F2" w:rsidR="00103564" w:rsidRDefault="00D67CFB">
            <w:pPr>
              <w:pStyle w:val="Heading2"/>
              <w:spacing w:before="0"/>
              <w:rPr>
                <w:rFonts w:cs="Times New Roman"/>
                <w:b w:val="0"/>
                <w:bCs w:val="0"/>
                <w:color w:val="000000" w:themeColor="text1"/>
                <w:sz w:val="23"/>
                <w:szCs w:val="23"/>
                <w:highlight w:val="green"/>
              </w:rPr>
            </w:pPr>
            <w:r>
              <w:rPr>
                <w:rFonts w:cs="Times New Roman"/>
                <w:b w:val="0"/>
                <w:bCs w:val="0"/>
                <w:color w:val="000000"/>
                <w:sz w:val="23"/>
                <w:szCs w:val="23"/>
              </w:rPr>
              <w:t>Phase 2: online services – March 2021</w:t>
            </w:r>
            <w:r w:rsidR="009F1DD9">
              <w:rPr>
                <w:rFonts w:cs="Times New Roman"/>
                <w:b w:val="0"/>
                <w:bCs w:val="0"/>
                <w:color w:val="000000"/>
                <w:sz w:val="23"/>
                <w:szCs w:val="23"/>
              </w:rPr>
              <w:t xml:space="preserve"> </w:t>
            </w:r>
            <w:r w:rsidR="00103564">
              <w:rPr>
                <w:rFonts w:cs="Times New Roman"/>
                <w:b w:val="0"/>
                <w:bCs w:val="0"/>
                <w:color w:val="000000"/>
                <w:sz w:val="23"/>
                <w:szCs w:val="23"/>
              </w:rPr>
              <w:t xml:space="preserve"> </w:t>
            </w:r>
          </w:p>
        </w:tc>
      </w:tr>
      <w:tr w:rsidR="00C14E20" w14:paraId="58A9DAEA"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BF19A0E" w14:textId="39EAEC5E" w:rsidR="00C14E20" w:rsidRPr="00C14E20" w:rsidRDefault="00D86B06" w:rsidP="00C70D2D">
            <w:pPr>
              <w:spacing w:after="120" w:line="240" w:lineRule="auto"/>
              <w:jc w:val="left"/>
            </w:pPr>
            <w:r>
              <w:t xml:space="preserve">Support the development and efficiency of the Community Housing </w:t>
            </w:r>
            <w:r w:rsidR="00E06AB0">
              <w:t xml:space="preserve">Providers (CHP)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93F0240" w14:textId="4B3AB7F0" w:rsidR="00A26BB2" w:rsidRDefault="00CA09D5" w:rsidP="00C70D2D">
            <w:pPr>
              <w:spacing w:after="120" w:line="240" w:lineRule="auto"/>
              <w:jc w:val="left"/>
            </w:pPr>
            <w:r>
              <w:t>Finalise the lease transfer of 5000 housing assets.</w:t>
            </w:r>
          </w:p>
          <w:p w14:paraId="1EAFC874" w14:textId="13288FD8" w:rsidR="00CA09D5" w:rsidRPr="00A26BB2" w:rsidRDefault="00CA09D5" w:rsidP="00C70D2D">
            <w:pPr>
              <w:spacing w:after="120" w:line="240" w:lineRule="auto"/>
              <w:jc w:val="left"/>
            </w:pPr>
            <w:r>
              <w:t xml:space="preserve">Include contractual requirements for the transfer of the 5000 houses that support the upgrade and renewal of </w:t>
            </w:r>
            <w:r w:rsidR="00E06AB0">
              <w:t xml:space="preserve">CHP </w:t>
            </w:r>
            <w:r w:rsidR="002E1F70">
              <w:t xml:space="preserve">managed </w:t>
            </w:r>
            <w:r>
              <w:t>houses.</w:t>
            </w:r>
          </w:p>
        </w:tc>
      </w:tr>
      <w:tr w:rsidR="00E17615" w14:paraId="252FEF6D"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BA66037" w14:textId="10611A62" w:rsidR="00E17615" w:rsidRPr="00592F15" w:rsidRDefault="00E17615" w:rsidP="00C70D2D">
            <w:pPr>
              <w:spacing w:after="120" w:line="240" w:lineRule="auto"/>
              <w:jc w:val="left"/>
            </w:pPr>
            <w:r>
              <w:t xml:space="preserve">Support clients to become more engaged in their community, including through education, training and employment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8C6296C" w14:textId="62E24E75" w:rsidR="00C07EC0" w:rsidRPr="00C07EC0" w:rsidRDefault="00E17615" w:rsidP="00C70D2D">
            <w:pPr>
              <w:spacing w:after="120" w:line="240" w:lineRule="auto"/>
              <w:jc w:val="left"/>
            </w:pPr>
            <w:r w:rsidRPr="0F31B457">
              <w:rPr>
                <w:szCs w:val="23"/>
              </w:rPr>
              <w:t>Build a new facility to provide 20 units of support</w:t>
            </w:r>
            <w:r w:rsidR="002E1F70" w:rsidRPr="00F267B1">
              <w:rPr>
                <w:szCs w:val="23"/>
              </w:rPr>
              <w:t>ed</w:t>
            </w:r>
            <w:r w:rsidRPr="0F31B457">
              <w:rPr>
                <w:szCs w:val="23"/>
              </w:rPr>
              <w:t xml:space="preserve"> accommodation to you</w:t>
            </w:r>
            <w:r w:rsidR="002E1F70" w:rsidRPr="00C70D2D">
              <w:rPr>
                <w:sz w:val="24"/>
                <w:szCs w:val="24"/>
              </w:rPr>
              <w:t>ng</w:t>
            </w:r>
            <w:r w:rsidRPr="0F31B457">
              <w:rPr>
                <w:szCs w:val="23"/>
              </w:rPr>
              <w:t xml:space="preserve"> Aboriginal adults from remote South Australia undertaking vocational training or tertiary studies in Adelaide </w:t>
            </w:r>
            <w:r w:rsidR="00E06AB0">
              <w:rPr>
                <w:szCs w:val="23"/>
              </w:rPr>
              <w:t>during</w:t>
            </w:r>
            <w:r w:rsidR="00C07EC0">
              <w:rPr>
                <w:szCs w:val="23"/>
              </w:rPr>
              <w:t xml:space="preserve"> </w:t>
            </w:r>
            <w:r w:rsidR="00D67CFB">
              <w:rPr>
                <w:szCs w:val="23"/>
              </w:rPr>
              <w:t>2019</w:t>
            </w:r>
            <w:r w:rsidR="009F1DD9">
              <w:rPr>
                <w:szCs w:val="23"/>
              </w:rPr>
              <w:t>.</w:t>
            </w:r>
          </w:p>
        </w:tc>
      </w:tr>
      <w:tr w:rsidR="001B746D" w14:paraId="37C170AC" w14:textId="77777777" w:rsidTr="00E148BA">
        <w:trPr>
          <w:trHeight w:val="392"/>
          <w:tblHeader/>
        </w:trPr>
        <w:tc>
          <w:tcPr>
            <w:tcW w:w="10598"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18445BD" w14:textId="39420A78" w:rsidR="001B746D" w:rsidRPr="003032D9" w:rsidRDefault="004E6057" w:rsidP="003032D9">
            <w:pPr>
              <w:pStyle w:val="Heading2"/>
              <w:spacing w:before="0"/>
              <w:rPr>
                <w:rFonts w:cs="Times New Roman"/>
                <w:i/>
                <w:color w:val="000000" w:themeColor="text1"/>
                <w:sz w:val="23"/>
                <w:szCs w:val="23"/>
              </w:rPr>
            </w:pPr>
            <w:r w:rsidRPr="005F066B">
              <w:rPr>
                <w:i/>
                <w:color w:val="auto"/>
                <w:sz w:val="23"/>
                <w:szCs w:val="23"/>
              </w:rPr>
              <w:t>Support increased affordable housing options for people on low to moderate incomes</w:t>
            </w:r>
          </w:p>
        </w:tc>
      </w:tr>
      <w:tr w:rsidR="00366629" w14:paraId="1B45F985"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FEAEC1F" w14:textId="5B313CE2" w:rsidR="00366629" w:rsidRPr="00244C9D" w:rsidRDefault="00366629" w:rsidP="00C70D2D">
            <w:pPr>
              <w:spacing w:after="120" w:line="240" w:lineRule="auto"/>
              <w:jc w:val="left"/>
            </w:pPr>
            <w:r>
              <w:t>Support an increase of affordable housing through</w:t>
            </w:r>
            <w:r w:rsidRPr="6A0ED065">
              <w:t xml:space="preserve"> </w:t>
            </w:r>
            <w:r>
              <w:t xml:space="preserve">inclusionary zoning </w:t>
            </w:r>
            <w:r w:rsidR="032ED646">
              <w:t xml:space="preserve">and inclusionary policy on government land. </w:t>
            </w:r>
            <w:r w:rsidR="2107149D" w:rsidRPr="6A0ED065">
              <w:t xml:space="preserve"> </w:t>
            </w:r>
            <w:r w:rsidRPr="6A0ED065">
              <w:t xml:space="preserve">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AC0B996" w14:textId="6D3D4982" w:rsidR="6A0ED065" w:rsidRPr="003032D9" w:rsidRDefault="00C14E20" w:rsidP="00C70D2D">
            <w:pPr>
              <w:spacing w:after="120" w:line="240" w:lineRule="auto"/>
              <w:rPr>
                <w:color w:val="000000" w:themeColor="text1"/>
              </w:rPr>
            </w:pPr>
            <w:r w:rsidRPr="00244C9D">
              <w:rPr>
                <w:color w:val="000000" w:themeColor="text1"/>
              </w:rPr>
              <w:t>Increase stock of affordable homes</w:t>
            </w:r>
            <w:r w:rsidR="0028623C">
              <w:rPr>
                <w:color w:val="000000" w:themeColor="text1"/>
              </w:rPr>
              <w:t>.</w:t>
            </w:r>
          </w:p>
          <w:p w14:paraId="2C868157" w14:textId="5F51F570" w:rsidR="715548E3" w:rsidRPr="003032D9" w:rsidRDefault="6A0ED065" w:rsidP="00C70D2D">
            <w:pPr>
              <w:spacing w:after="120" w:line="240" w:lineRule="auto"/>
              <w:rPr>
                <w:color w:val="000000" w:themeColor="text1"/>
              </w:rPr>
            </w:pPr>
            <w:r w:rsidRPr="003032D9">
              <w:rPr>
                <w:color w:val="000000" w:themeColor="text1"/>
              </w:rPr>
              <w:t>15% affordable housing on g</w:t>
            </w:r>
            <w:r w:rsidR="715548E3" w:rsidRPr="003032D9">
              <w:rPr>
                <w:color w:val="000000" w:themeColor="text1"/>
              </w:rPr>
              <w:t xml:space="preserve">overnment land </w:t>
            </w:r>
            <w:r w:rsidR="00E06AB0">
              <w:rPr>
                <w:color w:val="000000" w:themeColor="text1"/>
              </w:rPr>
              <w:t>and significant developments</w:t>
            </w:r>
            <w:r w:rsidR="00325C87">
              <w:rPr>
                <w:color w:val="000000" w:themeColor="text1"/>
              </w:rPr>
              <w:t>.</w:t>
            </w:r>
            <w:r w:rsidR="715548E3" w:rsidRPr="003032D9">
              <w:rPr>
                <w:color w:val="000000" w:themeColor="text1"/>
              </w:rPr>
              <w:t xml:space="preserve"> </w:t>
            </w:r>
          </w:p>
          <w:p w14:paraId="12712FDD" w14:textId="08B7425A" w:rsidR="00366629" w:rsidRPr="009F1DD9" w:rsidRDefault="3EFF563C" w:rsidP="00C70D2D">
            <w:pPr>
              <w:spacing w:after="120" w:line="240" w:lineRule="auto"/>
              <w:rPr>
                <w:color w:val="000000" w:themeColor="text1"/>
              </w:rPr>
            </w:pPr>
            <w:r w:rsidRPr="003032D9">
              <w:rPr>
                <w:color w:val="000000" w:themeColor="text1"/>
              </w:rPr>
              <w:t xml:space="preserve">Residential development code </w:t>
            </w:r>
            <w:r w:rsidR="4B9C0A92" w:rsidRPr="003032D9">
              <w:rPr>
                <w:color w:val="000000" w:themeColor="text1"/>
              </w:rPr>
              <w:t>that supports the delivery of affordable housing</w:t>
            </w:r>
            <w:r w:rsidR="00325C87">
              <w:rPr>
                <w:color w:val="000000" w:themeColor="text1"/>
              </w:rPr>
              <w:t>.</w:t>
            </w:r>
          </w:p>
        </w:tc>
      </w:tr>
      <w:tr w:rsidR="001B746D" w14:paraId="04F8FCFD"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ABFCC6F" w14:textId="5E70FE82" w:rsidR="001B746D" w:rsidRPr="001B746D" w:rsidRDefault="004E6057" w:rsidP="00C70D2D">
            <w:pPr>
              <w:spacing w:after="120" w:line="240" w:lineRule="auto"/>
              <w:jc w:val="left"/>
              <w:rPr>
                <w:b/>
                <w:bCs/>
              </w:rPr>
            </w:pPr>
            <w:r>
              <w:t>Continue to support Government owned</w:t>
            </w:r>
            <w:r w:rsidR="00366629" w:rsidRPr="2849D6D6">
              <w:t xml:space="preserve"> </w:t>
            </w:r>
            <w:r w:rsidR="00366629">
              <w:t>HomeStart</w:t>
            </w:r>
            <w:r w:rsidR="00366629" w:rsidRPr="2849D6D6">
              <w:t xml:space="preserve"> </w:t>
            </w:r>
            <w:r w:rsidRPr="00244C9D">
              <w:t>F</w:t>
            </w:r>
            <w:r w:rsidR="00366629" w:rsidRPr="00244C9D">
              <w:t xml:space="preserve">inance </w:t>
            </w:r>
            <w:r w:rsidRPr="00244C9D">
              <w:t xml:space="preserve">provide a range of </w:t>
            </w:r>
            <w:r w:rsidR="00366629" w:rsidRPr="00244C9D">
              <w:t xml:space="preserve">products </w:t>
            </w:r>
            <w:r w:rsidRPr="00244C9D">
              <w:t>to assist low</w:t>
            </w:r>
            <w:r w:rsidR="04DFC999" w:rsidRPr="00244C9D">
              <w:t>er</w:t>
            </w:r>
            <w:r w:rsidRPr="00244C9D">
              <w:t>-income</w:t>
            </w:r>
            <w:r>
              <w:t xml:space="preserve"> earners enter the housing market,</w:t>
            </w:r>
            <w:r w:rsidR="00366629">
              <w:t xml:space="preserve"> including the Advantage Loan, Low Deposit Loan, Graduate Loan as </w:t>
            </w:r>
            <w:r w:rsidR="00E06AB0">
              <w:t>and</w:t>
            </w:r>
            <w:r w:rsidR="00366629">
              <w:t xml:space="preserve"> shared equity product.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07BFA2D4" w14:textId="665047AE" w:rsidR="001B746D" w:rsidRPr="00921ED9" w:rsidRDefault="7C51FF20" w:rsidP="000D6D43">
            <w:pPr>
              <w:pStyle w:val="Heading2"/>
              <w:spacing w:before="0"/>
              <w:rPr>
                <w:rFonts w:cs="Times New Roman"/>
                <w:b w:val="0"/>
                <w:bCs w:val="0"/>
                <w:color w:val="000000" w:themeColor="text1"/>
                <w:sz w:val="23"/>
                <w:szCs w:val="23"/>
                <w:highlight w:val="yellow"/>
              </w:rPr>
            </w:pPr>
            <w:proofErr w:type="gramStart"/>
            <w:r w:rsidRPr="00244C9D">
              <w:rPr>
                <w:rFonts w:cs="Times New Roman"/>
                <w:b w:val="0"/>
                <w:bCs w:val="0"/>
                <w:color w:val="000000"/>
                <w:sz w:val="23"/>
                <w:szCs w:val="23"/>
              </w:rPr>
              <w:t xml:space="preserve">Number of </w:t>
            </w:r>
            <w:r w:rsidR="00FD40ED" w:rsidRPr="00244C9D">
              <w:rPr>
                <w:rFonts w:cs="Times New Roman"/>
                <w:b w:val="0"/>
                <w:bCs w:val="0"/>
                <w:color w:val="000000"/>
                <w:sz w:val="23"/>
                <w:szCs w:val="23"/>
              </w:rPr>
              <w:t xml:space="preserve">new </w:t>
            </w:r>
            <w:r w:rsidRPr="00244C9D">
              <w:rPr>
                <w:rFonts w:cs="Times New Roman"/>
                <w:b w:val="0"/>
                <w:bCs w:val="0"/>
                <w:color w:val="000000"/>
                <w:sz w:val="23"/>
                <w:szCs w:val="23"/>
              </w:rPr>
              <w:t>home loans</w:t>
            </w:r>
            <w:r w:rsidR="00FD40ED" w:rsidRPr="00244C9D">
              <w:rPr>
                <w:rFonts w:cs="Times New Roman"/>
                <w:b w:val="0"/>
                <w:bCs w:val="0"/>
                <w:color w:val="000000"/>
                <w:sz w:val="23"/>
                <w:szCs w:val="23"/>
              </w:rPr>
              <w:t xml:space="preserve"> issued</w:t>
            </w:r>
            <w:r w:rsidRPr="00244C9D">
              <w:rPr>
                <w:rFonts w:cs="Times New Roman"/>
                <w:b w:val="0"/>
                <w:bCs w:val="0"/>
                <w:color w:val="000000"/>
                <w:sz w:val="23"/>
                <w:szCs w:val="23"/>
              </w:rPr>
              <w:t xml:space="preserve"> </w:t>
            </w:r>
            <w:r w:rsidR="009F1DD9">
              <w:rPr>
                <w:rFonts w:cs="Times New Roman"/>
                <w:b w:val="0"/>
                <w:bCs w:val="0"/>
                <w:color w:val="000000"/>
                <w:sz w:val="23"/>
                <w:szCs w:val="23"/>
              </w:rPr>
              <w:t>by HomeStart Finance.</w:t>
            </w:r>
            <w:proofErr w:type="gramEnd"/>
          </w:p>
        </w:tc>
      </w:tr>
      <w:tr w:rsidR="00366629" w14:paraId="25F90473" w14:textId="77777777" w:rsidTr="00E148BA">
        <w:trPr>
          <w:trHeight w:val="1171"/>
          <w:tblHeader/>
        </w:trPr>
        <w:tc>
          <w:tcPr>
            <w:tcW w:w="466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1A15B84" w14:textId="52B98614" w:rsidR="0ED30374" w:rsidRPr="0ED30374" w:rsidRDefault="00C14E20" w:rsidP="00C70D2D">
            <w:pPr>
              <w:spacing w:after="120" w:line="240" w:lineRule="auto"/>
              <w:rPr>
                <w:highlight w:val="green"/>
              </w:rPr>
            </w:pPr>
            <w:r>
              <w:t>Continue to promote</w:t>
            </w:r>
            <w:r w:rsidR="04DFC999" w:rsidRPr="00244C9D">
              <w:t xml:space="preserve"> shared equity product</w:t>
            </w:r>
            <w:r>
              <w:t>s</w:t>
            </w:r>
            <w:r w:rsidR="04DFC999" w:rsidRPr="00244C9D">
              <w:t xml:space="preserve"> to support affordable housing outcomes </w:t>
            </w:r>
          </w:p>
        </w:tc>
        <w:tc>
          <w:tcPr>
            <w:tcW w:w="59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4A9CEF4F" w14:textId="333FA7E1" w:rsidR="002B3390" w:rsidRDefault="002B3390" w:rsidP="00C70D2D">
            <w:pPr>
              <w:spacing w:after="120" w:line="240" w:lineRule="auto"/>
              <w:jc w:val="left"/>
            </w:pPr>
            <w:r>
              <w:t>HomeStart Finance to introduce and administer a new shared equity product – Shared Equity Option.</w:t>
            </w:r>
          </w:p>
          <w:p w14:paraId="43F9DFEF" w14:textId="1EE8D172" w:rsidR="002B3390" w:rsidRDefault="002B3390" w:rsidP="00C70D2D">
            <w:pPr>
              <w:spacing w:after="120" w:line="240" w:lineRule="auto"/>
              <w:jc w:val="left"/>
            </w:pPr>
            <w:r>
              <w:t>Implement Equity Assistance (a shared equity program) over the next 9 months.</w:t>
            </w:r>
          </w:p>
          <w:p w14:paraId="445257A4" w14:textId="01958232" w:rsidR="00366629" w:rsidRPr="00244C9D" w:rsidRDefault="00E06AB0" w:rsidP="00C70D2D">
            <w:pPr>
              <w:spacing w:after="120" w:line="240" w:lineRule="auto"/>
              <w:jc w:val="left"/>
            </w:pPr>
            <w:r>
              <w:t xml:space="preserve">Number of households financed with </w:t>
            </w:r>
            <w:proofErr w:type="spellStart"/>
            <w:r>
              <w:t>HomeStart’s</w:t>
            </w:r>
            <w:proofErr w:type="spellEnd"/>
            <w:r>
              <w:t xml:space="preserve"> Shared Equity Option product.</w:t>
            </w:r>
          </w:p>
        </w:tc>
      </w:tr>
    </w:tbl>
    <w:p w14:paraId="6FE4BB3B" w14:textId="6410A8B7" w:rsidR="003E00B6" w:rsidRDefault="003E00B6" w:rsidP="003E00B6">
      <w:pPr>
        <w:pStyle w:val="Heading1"/>
      </w:pPr>
      <w:r>
        <w:t xml:space="preserve">Part 3 – </w:t>
      </w:r>
      <w:r w:rsidR="0042723E">
        <w:t>South Australia</w:t>
      </w:r>
      <w:r w:rsidR="00A85651">
        <w:t>N</w:t>
      </w:r>
      <w:r>
        <w:t xml:space="preserve"> homelessness strategy</w:t>
      </w:r>
    </w:p>
    <w:p w14:paraId="2EE9825B" w14:textId="4C3E5EB6" w:rsidR="0039727A" w:rsidRPr="00C07EC0" w:rsidRDefault="00787F5B" w:rsidP="009A09E7">
      <w:pPr>
        <w:pStyle w:val="OutlineNumbered1"/>
      </w:pPr>
      <w:bookmarkStart w:id="4" w:name="PART_4:_PROJECT_MILESTONES,_REPORTING_AN"/>
      <w:bookmarkEnd w:id="4"/>
      <w:r w:rsidRPr="00C07EC0">
        <w:t xml:space="preserve">South Australia’s homelessness strategies are set out in </w:t>
      </w:r>
      <w:r w:rsidR="001578F6" w:rsidRPr="00C07EC0">
        <w:t xml:space="preserve">the </w:t>
      </w:r>
      <w:r w:rsidR="001578F6" w:rsidRPr="002C148E">
        <w:t>Housing St</w:t>
      </w:r>
      <w:r w:rsidR="00BC6B2F" w:rsidRPr="002C148E">
        <w:t>rategy for South Australia 2013</w:t>
      </w:r>
      <w:r w:rsidR="00BC6B2F" w:rsidRPr="002C148E">
        <w:noBreakHyphen/>
      </w:r>
      <w:r w:rsidR="001578F6" w:rsidRPr="002C148E">
        <w:t>18, Housing SA Blueprint 2013-</w:t>
      </w:r>
      <w:r w:rsidR="000F6AD2" w:rsidRPr="002C148E">
        <w:t>20</w:t>
      </w:r>
      <w:r w:rsidR="001578F6" w:rsidRPr="002C148E">
        <w:t xml:space="preserve">18 </w:t>
      </w:r>
      <w:r w:rsidR="001578F6" w:rsidRPr="00C07EC0">
        <w:t xml:space="preserve">and the Department for Communities and Social Inclusion’s Strategic Plan 2014-2018.  </w:t>
      </w:r>
    </w:p>
    <w:p w14:paraId="5F4871C0" w14:textId="1498A825" w:rsidR="008D1A24" w:rsidRDefault="00E91064" w:rsidP="009A09E7">
      <w:pPr>
        <w:pStyle w:val="OutlineNumbered1"/>
      </w:pPr>
      <w:r>
        <w:t>With respect to the requirement to have a homelessness strategy, as outlined in clause 17 of the Agreement, South Australia is developing and will have a new strategy in place and publicly available by 1 July 2019. The period from 1</w:t>
      </w:r>
      <w:r w:rsidR="00F83353">
        <w:t xml:space="preserve"> January 2019</w:t>
      </w:r>
      <w:r>
        <w:t xml:space="preserve"> to 30</w:t>
      </w:r>
      <w:bookmarkStart w:id="5" w:name="_GoBack"/>
      <w:bookmarkEnd w:id="5"/>
      <w:r>
        <w:t xml:space="preserve"> June 2019 is a period prescribed for the purposes of sub-clause 18(e) of the Agreement for which it is not reasonably practicable for South Australia to have a publicly available strategy.</w:t>
      </w:r>
      <w:r w:rsidR="008D1A24">
        <w:t xml:space="preserve"> </w:t>
      </w:r>
    </w:p>
    <w:p w14:paraId="14D5072B" w14:textId="4B6E58CB" w:rsidR="00787F5B" w:rsidRDefault="00787F5B" w:rsidP="009A09E7">
      <w:pPr>
        <w:pStyle w:val="OutlineNumbered1"/>
      </w:pPr>
      <w:r>
        <w:lastRenderedPageBreak/>
        <w:t>The table below includes details of South Australia’s homelessness priorities, policies and initiatives that supplement South Australia’s homelessness st</w:t>
      </w:r>
      <w:r w:rsidR="00A2224D">
        <w:t xml:space="preserve">rategy as per clause 19 of the </w:t>
      </w:r>
      <w:r w:rsidR="00E91064">
        <w:t>A</w:t>
      </w:r>
      <w:r>
        <w:t>greement.</w:t>
      </w:r>
      <w:r w:rsidR="00A26BB2" w:rsidRPr="00A26BB2">
        <w:t xml:space="preserve"> </w:t>
      </w:r>
      <w:r w:rsidR="00A26BB2">
        <w:t>As South Australia will be reviewing and up</w:t>
      </w:r>
      <w:r w:rsidR="00A2224D">
        <w:t>dating its homelessness strategies</w:t>
      </w:r>
      <w:r w:rsidR="00A26BB2">
        <w:t xml:space="preserve"> during 2018-19, these policies and initiatives may be reviewed over time to align to the South Australian Government’s new strategy.</w:t>
      </w:r>
    </w:p>
    <w:tbl>
      <w:tblPr>
        <w:tblW w:w="10598"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ayout w:type="fixed"/>
        <w:tblLook w:val="04A0" w:firstRow="1" w:lastRow="0" w:firstColumn="1" w:lastColumn="0" w:noHBand="0" w:noVBand="1"/>
      </w:tblPr>
      <w:tblGrid>
        <w:gridCol w:w="4243"/>
        <w:gridCol w:w="6355"/>
      </w:tblGrid>
      <w:tr w:rsidR="001708E2" w:rsidRPr="00AC2F15" w14:paraId="16A23ECF" w14:textId="77777777" w:rsidTr="009F1DD9">
        <w:trPr>
          <w:trHeight w:val="735"/>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hideMark/>
          </w:tcPr>
          <w:p w14:paraId="316D39EE" w14:textId="77777777" w:rsidR="001708E2" w:rsidRPr="00AC2F15" w:rsidRDefault="04DFC999" w:rsidP="04DFC999">
            <w:pPr>
              <w:pStyle w:val="Heading2"/>
              <w:rPr>
                <w:sz w:val="23"/>
                <w:szCs w:val="23"/>
              </w:rPr>
            </w:pPr>
            <w:r w:rsidRPr="04DFC999">
              <w:rPr>
                <w:sz w:val="23"/>
                <w:szCs w:val="23"/>
              </w:rPr>
              <w:t>Key commitment</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tcPr>
          <w:p w14:paraId="254FD15E" w14:textId="678F535B" w:rsidR="001708E2" w:rsidRPr="00AC2F15" w:rsidRDefault="001708E2" w:rsidP="04DFC999">
            <w:pPr>
              <w:pStyle w:val="Heading2"/>
              <w:rPr>
                <w:sz w:val="23"/>
                <w:szCs w:val="23"/>
                <w:highlight w:val="yellow"/>
              </w:rPr>
            </w:pPr>
            <w:r>
              <w:rPr>
                <w:sz w:val="23"/>
                <w:szCs w:val="23"/>
              </w:rPr>
              <w:t xml:space="preserve">Key Performance Indicators </w:t>
            </w:r>
            <w:r w:rsidRPr="00AC2F15">
              <w:rPr>
                <w:sz w:val="23"/>
                <w:szCs w:val="23"/>
              </w:rPr>
              <w:t xml:space="preserve"> </w:t>
            </w:r>
          </w:p>
        </w:tc>
      </w:tr>
      <w:tr w:rsidR="001708E2" w14:paraId="4034791F" w14:textId="77777777" w:rsidTr="009F1DD9">
        <w:trPr>
          <w:trHeight w:val="1171"/>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F05B0EC" w14:textId="41DD9FF8" w:rsidR="001708E2" w:rsidRDefault="001708E2" w:rsidP="00C70D2D">
            <w:pPr>
              <w:spacing w:after="120" w:line="240" w:lineRule="auto"/>
              <w:jc w:val="left"/>
            </w:pPr>
            <w:r>
              <w:t>Develop a new state homelessness strategy</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4DB85AE" w14:textId="77A6F489" w:rsidR="001708E2" w:rsidRPr="00BD2E03" w:rsidRDefault="001708E2" w:rsidP="000D6D43">
            <w:pPr>
              <w:pStyle w:val="Heading2"/>
              <w:spacing w:before="0"/>
              <w:rPr>
                <w:rFonts w:cs="Times New Roman"/>
                <w:b w:val="0"/>
                <w:bCs w:val="0"/>
                <w:color w:val="000000" w:themeColor="text1"/>
                <w:sz w:val="23"/>
                <w:szCs w:val="23"/>
              </w:rPr>
            </w:pPr>
            <w:r w:rsidRPr="00244C9D">
              <w:rPr>
                <w:b w:val="0"/>
                <w:bCs w:val="0"/>
                <w:color w:val="auto"/>
                <w:sz w:val="23"/>
                <w:szCs w:val="23"/>
              </w:rPr>
              <w:t>Develop and launch a new homelessness st</w:t>
            </w:r>
            <w:r>
              <w:rPr>
                <w:b w:val="0"/>
                <w:bCs w:val="0"/>
                <w:color w:val="auto"/>
                <w:sz w:val="23"/>
                <w:szCs w:val="23"/>
              </w:rPr>
              <w:t xml:space="preserve">rategy for South </w:t>
            </w:r>
            <w:r w:rsidRPr="00244C9D">
              <w:rPr>
                <w:b w:val="0"/>
                <w:bCs w:val="0"/>
                <w:color w:val="auto"/>
                <w:sz w:val="23"/>
                <w:szCs w:val="23"/>
              </w:rPr>
              <w:t xml:space="preserve">Australia by 1 </w:t>
            </w:r>
            <w:r w:rsidR="00D86B06">
              <w:rPr>
                <w:b w:val="0"/>
                <w:bCs w:val="0"/>
                <w:color w:val="auto"/>
                <w:sz w:val="23"/>
                <w:szCs w:val="23"/>
              </w:rPr>
              <w:t>July</w:t>
            </w:r>
            <w:r w:rsidR="00D86B06" w:rsidRPr="00244C9D">
              <w:rPr>
                <w:b w:val="0"/>
                <w:bCs w:val="0"/>
                <w:color w:val="auto"/>
                <w:sz w:val="23"/>
                <w:szCs w:val="23"/>
              </w:rPr>
              <w:t xml:space="preserve"> </w:t>
            </w:r>
            <w:r w:rsidRPr="00244C9D">
              <w:rPr>
                <w:b w:val="0"/>
                <w:bCs w:val="0"/>
                <w:color w:val="auto"/>
                <w:sz w:val="23"/>
                <w:szCs w:val="23"/>
              </w:rPr>
              <w:t>2019</w:t>
            </w:r>
            <w:r w:rsidR="0028623C">
              <w:rPr>
                <w:b w:val="0"/>
                <w:bCs w:val="0"/>
                <w:color w:val="auto"/>
                <w:sz w:val="23"/>
                <w:szCs w:val="23"/>
              </w:rPr>
              <w:t>.</w:t>
            </w:r>
          </w:p>
        </w:tc>
      </w:tr>
      <w:tr w:rsidR="001708E2" w14:paraId="20C59FF9" w14:textId="77777777" w:rsidTr="009F1DD9">
        <w:trPr>
          <w:trHeight w:val="304"/>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503935" w14:textId="63514A3F" w:rsidR="001708E2" w:rsidRDefault="000B354F" w:rsidP="00C70D2D">
            <w:pPr>
              <w:spacing w:after="120" w:line="240" w:lineRule="auto"/>
              <w:jc w:val="left"/>
            </w:pPr>
            <w:r w:rsidRPr="6059F0A1">
              <w:rPr>
                <w:rFonts w:eastAsiaTheme="minorEastAsia"/>
              </w:rPr>
              <w:t>The homelessness service system is responsive and driven to achieve continuous quality improvement</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EFC3947" w14:textId="36E391CC" w:rsidR="001708E2" w:rsidRDefault="00CD7CF9" w:rsidP="000D6D43">
            <w:pPr>
              <w:pStyle w:val="Heading2"/>
              <w:spacing w:before="0"/>
            </w:pPr>
            <w:r w:rsidRPr="005A3585">
              <w:rPr>
                <w:rFonts w:eastAsiaTheme="minorEastAsia" w:cs="Times New Roman"/>
                <w:b w:val="0"/>
                <w:bCs w:val="0"/>
                <w:color w:val="000000"/>
                <w:sz w:val="23"/>
                <w:szCs w:val="23"/>
              </w:rPr>
              <w:t xml:space="preserve">Vulnerable </w:t>
            </w:r>
            <w:proofErr w:type="gramStart"/>
            <w:r w:rsidR="00C05C12">
              <w:rPr>
                <w:rFonts w:eastAsiaTheme="minorEastAsia" w:cs="Times New Roman"/>
                <w:b w:val="0"/>
                <w:bCs w:val="0"/>
                <w:color w:val="000000"/>
                <w:sz w:val="23"/>
                <w:szCs w:val="23"/>
              </w:rPr>
              <w:t>p</w:t>
            </w:r>
            <w:r w:rsidRPr="005A3585">
              <w:rPr>
                <w:rFonts w:eastAsiaTheme="minorEastAsia" w:cs="Times New Roman"/>
                <w:b w:val="0"/>
                <w:bCs w:val="0"/>
                <w:color w:val="000000"/>
                <w:sz w:val="23"/>
                <w:szCs w:val="23"/>
              </w:rPr>
              <w:t>ersons</w:t>
            </w:r>
            <w:proofErr w:type="gramEnd"/>
            <w:r w:rsidRPr="005A3585">
              <w:rPr>
                <w:rFonts w:eastAsiaTheme="minorEastAsia" w:cs="Times New Roman"/>
                <w:b w:val="0"/>
                <w:bCs w:val="0"/>
                <w:color w:val="000000"/>
                <w:sz w:val="23"/>
                <w:szCs w:val="23"/>
              </w:rPr>
              <w:t xml:space="preserve"> </w:t>
            </w:r>
            <w:r w:rsidR="00C05C12">
              <w:rPr>
                <w:rFonts w:eastAsiaTheme="minorEastAsia" w:cs="Times New Roman"/>
                <w:b w:val="0"/>
                <w:bCs w:val="0"/>
                <w:color w:val="000000"/>
                <w:sz w:val="23"/>
                <w:szCs w:val="23"/>
              </w:rPr>
              <w:t>f</w:t>
            </w:r>
            <w:r w:rsidRPr="005A3585">
              <w:rPr>
                <w:rFonts w:eastAsiaTheme="minorEastAsia" w:cs="Times New Roman"/>
                <w:b w:val="0"/>
                <w:bCs w:val="0"/>
                <w:color w:val="000000"/>
                <w:sz w:val="23"/>
                <w:szCs w:val="23"/>
              </w:rPr>
              <w:t>ramework</w:t>
            </w:r>
            <w:r w:rsidR="00C05C12">
              <w:rPr>
                <w:rFonts w:eastAsiaTheme="minorEastAsia" w:cs="Times New Roman"/>
                <w:b w:val="0"/>
                <w:bCs w:val="0"/>
                <w:color w:val="000000"/>
                <w:sz w:val="23"/>
                <w:szCs w:val="23"/>
              </w:rPr>
              <w:t>, supportive housing panels or round tables</w:t>
            </w:r>
            <w:r w:rsidRPr="005A3585">
              <w:rPr>
                <w:rFonts w:eastAsiaTheme="minorEastAsia" w:cs="Times New Roman"/>
                <w:b w:val="0"/>
                <w:bCs w:val="0"/>
                <w:color w:val="000000"/>
                <w:sz w:val="23"/>
                <w:szCs w:val="23"/>
              </w:rPr>
              <w:t xml:space="preserve"> are implemented within all regions in South Australia, to provide coordinated responses for people experiencing high levels of risk and vulnerability</w:t>
            </w:r>
            <w:r w:rsidR="0028623C">
              <w:rPr>
                <w:rFonts w:eastAsiaTheme="minorEastAsia" w:cs="Times New Roman"/>
                <w:b w:val="0"/>
                <w:bCs w:val="0"/>
                <w:color w:val="000000"/>
                <w:sz w:val="23"/>
                <w:szCs w:val="23"/>
              </w:rPr>
              <w:t>.</w:t>
            </w:r>
          </w:p>
        </w:tc>
      </w:tr>
      <w:tr w:rsidR="007A14C6" w:rsidRPr="00244C9D" w14:paraId="0CB106FD" w14:textId="77777777" w:rsidTr="009F1DD9">
        <w:trPr>
          <w:trHeight w:val="1171"/>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5C1E97B8" w14:textId="77777777" w:rsidR="007A14C6" w:rsidRPr="00DA5732" w:rsidRDefault="007A14C6" w:rsidP="00C70D2D">
            <w:pPr>
              <w:spacing w:after="120" w:line="240" w:lineRule="auto"/>
              <w:jc w:val="left"/>
              <w:rPr>
                <w:lang w:eastAsia="en-US"/>
              </w:rPr>
            </w:pPr>
            <w:r>
              <w:rPr>
                <w:lang w:eastAsia="en-US"/>
              </w:rPr>
              <w:t>People at risk of homelessness are identified early and provided with effective interventions</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CAF5087" w14:textId="535D1D98" w:rsidR="007A14C6" w:rsidRPr="00244C9D" w:rsidRDefault="00AC6661" w:rsidP="00C70D2D">
            <w:pPr>
              <w:spacing w:after="120" w:line="240" w:lineRule="auto"/>
              <w:jc w:val="left"/>
            </w:pPr>
            <w:r>
              <w:rPr>
                <w:lang w:eastAsia="en-US"/>
              </w:rPr>
              <w:t>≥</w:t>
            </w:r>
            <w:r w:rsidR="007A14C6">
              <w:rPr>
                <w:lang w:eastAsia="en-US"/>
              </w:rPr>
              <w:t>90% of people seeking assistance in housing crisis</w:t>
            </w:r>
            <w:r w:rsidR="00C05C12">
              <w:rPr>
                <w:lang w:eastAsia="en-US"/>
              </w:rPr>
              <w:t xml:space="preserve"> did not become</w:t>
            </w:r>
            <w:r w:rsidR="007A14C6">
              <w:rPr>
                <w:lang w:eastAsia="en-US"/>
              </w:rPr>
              <w:t xml:space="preserve"> homelessness</w:t>
            </w:r>
            <w:r w:rsidR="0028623C">
              <w:rPr>
                <w:lang w:eastAsia="en-US"/>
              </w:rPr>
              <w:t>.</w:t>
            </w:r>
          </w:p>
        </w:tc>
      </w:tr>
      <w:tr w:rsidR="001708E2" w14:paraId="50896739" w14:textId="77777777" w:rsidTr="009F1DD9">
        <w:trPr>
          <w:trHeight w:val="1171"/>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3A7981CE" w14:textId="2E4EF0E7" w:rsidR="001708E2" w:rsidRPr="001708E2" w:rsidRDefault="00701D29" w:rsidP="00C70D2D">
            <w:pPr>
              <w:spacing w:after="120" w:line="240" w:lineRule="auto"/>
              <w:jc w:val="left"/>
              <w:rPr>
                <w:lang w:eastAsia="en-US"/>
              </w:rPr>
            </w:pPr>
            <w:r>
              <w:rPr>
                <w:lang w:eastAsia="en-US"/>
              </w:rPr>
              <w:t>People experiencing homelessness are rapidly supported into housing</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2757EAC" w14:textId="36452BEF" w:rsidR="001708E2" w:rsidRPr="00921ED9" w:rsidRDefault="00AC6661" w:rsidP="00C70D2D">
            <w:pPr>
              <w:spacing w:after="120" w:line="240" w:lineRule="auto"/>
              <w:jc w:val="left"/>
              <w:rPr>
                <w:szCs w:val="23"/>
              </w:rPr>
            </w:pPr>
            <w:r>
              <w:rPr>
                <w:color w:val="000000" w:themeColor="text1"/>
              </w:rPr>
              <w:t>≥</w:t>
            </w:r>
            <w:r w:rsidR="000A625E" w:rsidRPr="005A3585">
              <w:rPr>
                <w:color w:val="000000" w:themeColor="text1"/>
              </w:rPr>
              <w:t xml:space="preserve">80% of people who present as homeless </w:t>
            </w:r>
            <w:r w:rsidR="00C05C12">
              <w:rPr>
                <w:color w:val="000000" w:themeColor="text1"/>
              </w:rPr>
              <w:t xml:space="preserve">were in accommodation </w:t>
            </w:r>
            <w:r w:rsidR="00C05C12" w:rsidRPr="00E025AC">
              <w:rPr>
                <w:color w:val="000000" w:themeColor="text1"/>
              </w:rPr>
              <w:t>by the end of their support period</w:t>
            </w:r>
            <w:r w:rsidR="0028623C">
              <w:rPr>
                <w:color w:val="000000" w:themeColor="text1"/>
              </w:rPr>
              <w:t>.</w:t>
            </w:r>
          </w:p>
        </w:tc>
      </w:tr>
      <w:tr w:rsidR="001708E2" w14:paraId="24CBC5F4" w14:textId="77777777" w:rsidTr="009F1DD9">
        <w:trPr>
          <w:trHeight w:val="1171"/>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69475C50" w14:textId="4AFB0D07" w:rsidR="001708E2" w:rsidRPr="002265E1" w:rsidRDefault="00123AD9" w:rsidP="00C70D2D">
            <w:pPr>
              <w:spacing w:after="120" w:line="240" w:lineRule="auto"/>
              <w:jc w:val="left"/>
              <w:rPr>
                <w:lang w:eastAsia="en-US"/>
              </w:rPr>
            </w:pPr>
            <w:r>
              <w:rPr>
                <w:lang w:eastAsia="en-US"/>
              </w:rPr>
              <w:t>People who are newly housed thrive in their home and community</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71AD6A16" w14:textId="3A406745" w:rsidR="001708E2" w:rsidRPr="00244C9D" w:rsidRDefault="00AC6661" w:rsidP="00C70D2D">
            <w:pPr>
              <w:spacing w:after="120" w:line="240" w:lineRule="auto"/>
              <w:jc w:val="left"/>
              <w:rPr>
                <w:highlight w:val="green"/>
              </w:rPr>
            </w:pPr>
            <w:r>
              <w:rPr>
                <w:lang w:eastAsia="en-US"/>
              </w:rPr>
              <w:t>≥</w:t>
            </w:r>
            <w:r w:rsidR="00123AD9">
              <w:rPr>
                <w:lang w:eastAsia="en-US"/>
              </w:rPr>
              <w:t xml:space="preserve">80% of people with capacity for economic participation </w:t>
            </w:r>
            <w:proofErr w:type="gramStart"/>
            <w:r w:rsidR="00123AD9">
              <w:rPr>
                <w:lang w:eastAsia="en-US"/>
              </w:rPr>
              <w:t>are</w:t>
            </w:r>
            <w:proofErr w:type="gramEnd"/>
            <w:r w:rsidR="00123AD9">
              <w:rPr>
                <w:lang w:eastAsia="en-US"/>
              </w:rPr>
              <w:t xml:space="preserve"> connected to education or employment</w:t>
            </w:r>
            <w:r w:rsidR="0028623C">
              <w:rPr>
                <w:lang w:eastAsia="en-US"/>
              </w:rPr>
              <w:t>.</w:t>
            </w:r>
          </w:p>
        </w:tc>
      </w:tr>
      <w:tr w:rsidR="001708E2" w14:paraId="2D1CEF31" w14:textId="77777777" w:rsidTr="009F1DD9">
        <w:trPr>
          <w:trHeight w:val="1171"/>
          <w:tblHeader/>
        </w:trPr>
        <w:tc>
          <w:tcPr>
            <w:tcW w:w="4243"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27AE8667" w14:textId="16B32FE4" w:rsidR="001708E2" w:rsidRDefault="00DE3D44" w:rsidP="00C70D2D">
            <w:pPr>
              <w:spacing w:after="120" w:line="240" w:lineRule="auto"/>
              <w:jc w:val="left"/>
            </w:pPr>
            <w:r>
              <w:rPr>
                <w:lang w:eastAsia="en-US"/>
              </w:rPr>
              <w:t>Women and children live in homes that are safe and free from violence</w:t>
            </w:r>
          </w:p>
        </w:tc>
        <w:tc>
          <w:tcPr>
            <w:tcW w:w="6355"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14:paraId="1DB0641F" w14:textId="19CCB63F" w:rsidR="001708E2" w:rsidRPr="00921ED9" w:rsidRDefault="00AC6661">
            <w:pPr>
              <w:pStyle w:val="Heading2"/>
              <w:spacing w:before="0"/>
              <w:rPr>
                <w:rFonts w:cs="Times New Roman"/>
                <w:b w:val="0"/>
                <w:bCs w:val="0"/>
                <w:iCs w:val="0"/>
                <w:color w:val="000000"/>
                <w:sz w:val="23"/>
                <w:szCs w:val="20"/>
              </w:rPr>
            </w:pPr>
            <w:r>
              <w:rPr>
                <w:rFonts w:cs="Times New Roman"/>
                <w:b w:val="0"/>
                <w:bCs w:val="0"/>
                <w:color w:val="000000" w:themeColor="text1"/>
                <w:sz w:val="23"/>
                <w:szCs w:val="23"/>
              </w:rPr>
              <w:t>≥</w:t>
            </w:r>
            <w:r w:rsidR="00C05C12">
              <w:rPr>
                <w:rFonts w:cs="Times New Roman"/>
                <w:b w:val="0"/>
                <w:bCs w:val="0"/>
                <w:color w:val="000000" w:themeColor="text1"/>
                <w:sz w:val="23"/>
                <w:szCs w:val="23"/>
              </w:rPr>
              <w:t>7</w:t>
            </w:r>
            <w:r w:rsidR="00DE3D44">
              <w:rPr>
                <w:rFonts w:cs="Times New Roman"/>
                <w:b w:val="0"/>
                <w:bCs w:val="0"/>
                <w:color w:val="000000" w:themeColor="text1"/>
                <w:sz w:val="23"/>
                <w:szCs w:val="23"/>
              </w:rPr>
              <w:t xml:space="preserve">0% of women and children who enter crisis accommodation are in safe and stable housing </w:t>
            </w:r>
            <w:r w:rsidR="00C05C12" w:rsidRPr="00E025AC">
              <w:rPr>
                <w:rFonts w:cs="Times New Roman"/>
                <w:b w:val="0"/>
                <w:bCs w:val="0"/>
                <w:color w:val="000000" w:themeColor="text1"/>
                <w:sz w:val="23"/>
                <w:szCs w:val="23"/>
              </w:rPr>
              <w:t>by the end of their support period</w:t>
            </w:r>
            <w:r w:rsidR="0028623C">
              <w:rPr>
                <w:rFonts w:cs="Times New Roman"/>
                <w:b w:val="0"/>
                <w:bCs w:val="0"/>
                <w:color w:val="000000" w:themeColor="text1"/>
                <w:sz w:val="23"/>
                <w:szCs w:val="23"/>
              </w:rPr>
              <w:t>.</w:t>
            </w:r>
          </w:p>
        </w:tc>
      </w:tr>
    </w:tbl>
    <w:p w14:paraId="0E6F0800" w14:textId="03E158CF" w:rsidR="00B140C3" w:rsidRPr="0065284D" w:rsidRDefault="00B140C3" w:rsidP="0065284D">
      <w:pPr>
        <w:spacing w:after="180" w:line="324" w:lineRule="atLeast"/>
        <w:divId w:val="400838118"/>
        <w:rPr>
          <w:rFonts w:ascii="-webkit-standard" w:hAnsi="-webkit-standard"/>
          <w:sz w:val="27"/>
          <w:szCs w:val="27"/>
        </w:rPr>
      </w:pPr>
    </w:p>
    <w:p w14:paraId="54929495" w14:textId="45B83E01" w:rsidR="00B140C3" w:rsidRPr="009F1DD9" w:rsidRDefault="00B140C3" w:rsidP="009F1DD9">
      <w:pPr>
        <w:spacing w:after="180" w:line="324" w:lineRule="atLeast"/>
        <w:divId w:val="400838118"/>
        <w:rPr>
          <w:rFonts w:ascii="-webkit-standard" w:hAnsi="-webkit-standard"/>
          <w:b/>
          <w:sz w:val="27"/>
          <w:szCs w:val="27"/>
        </w:rPr>
      </w:pPr>
      <w:r w:rsidRPr="005A3585">
        <w:rPr>
          <w:rFonts w:eastAsiaTheme="minorEastAsia"/>
          <w:b/>
          <w:bCs/>
        </w:rPr>
        <w:t>Priority</w:t>
      </w:r>
      <w:r w:rsidR="00D17425" w:rsidRPr="005A3585">
        <w:rPr>
          <w:rFonts w:eastAsiaTheme="minorEastAsia"/>
          <w:b/>
          <w:bCs/>
        </w:rPr>
        <w:t xml:space="preserve"> </w:t>
      </w:r>
      <w:r w:rsidRPr="00EF360A">
        <w:rPr>
          <w:rFonts w:eastAsiaTheme="minorEastAsia"/>
          <w:b/>
          <w:bCs/>
        </w:rPr>
        <w:t>cohorts</w:t>
      </w:r>
    </w:p>
    <w:tbl>
      <w:tblPr>
        <w:tblW w:w="0" w:type="auto"/>
        <w:tblBorders>
          <w:top w:val="single" w:sz="6" w:space="0" w:color="4F81BD"/>
          <w:left w:val="single" w:sz="6" w:space="0" w:color="4F81BD"/>
          <w:bottom w:val="single" w:sz="6" w:space="0" w:color="4F81BD"/>
          <w:right w:val="single" w:sz="6" w:space="0" w:color="4F81BD"/>
        </w:tblBorders>
        <w:tblCellMar>
          <w:top w:w="15" w:type="dxa"/>
          <w:left w:w="15" w:type="dxa"/>
          <w:bottom w:w="15" w:type="dxa"/>
          <w:right w:w="15" w:type="dxa"/>
        </w:tblCellMar>
        <w:tblLook w:val="04A0" w:firstRow="1" w:lastRow="0" w:firstColumn="1" w:lastColumn="0" w:noHBand="0" w:noVBand="1"/>
      </w:tblPr>
      <w:tblGrid>
        <w:gridCol w:w="2266"/>
        <w:gridCol w:w="3797"/>
        <w:gridCol w:w="4433"/>
      </w:tblGrid>
      <w:tr w:rsidR="00D86B06" w:rsidRPr="008E2437" w14:paraId="4F6448F3" w14:textId="77777777" w:rsidTr="0028623C">
        <w:trPr>
          <w:divId w:val="400838118"/>
          <w:trHeight w:val="540"/>
          <w:tblHeader/>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hideMark/>
          </w:tcPr>
          <w:p w14:paraId="3A71A3B9" w14:textId="77777777" w:rsidR="00D86B06" w:rsidRPr="0028623C" w:rsidRDefault="00D86B06" w:rsidP="0028623C">
            <w:pPr>
              <w:pStyle w:val="Heading2"/>
              <w:divId w:val="1837962289"/>
              <w:rPr>
                <w:sz w:val="23"/>
                <w:szCs w:val="23"/>
              </w:rPr>
            </w:pPr>
            <w:r w:rsidRPr="0028623C">
              <w:rPr>
                <w:sz w:val="23"/>
                <w:szCs w:val="23"/>
              </w:rPr>
              <w:t>Key commitment</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hideMark/>
          </w:tcPr>
          <w:p w14:paraId="34A2C254" w14:textId="77777777" w:rsidR="00D86B06" w:rsidRPr="0028623C" w:rsidRDefault="00D86B06" w:rsidP="0028623C">
            <w:pPr>
              <w:pStyle w:val="Heading2"/>
              <w:divId w:val="412287126"/>
              <w:rPr>
                <w:sz w:val="23"/>
                <w:szCs w:val="23"/>
              </w:rPr>
            </w:pPr>
            <w:r w:rsidRPr="0028623C">
              <w:rPr>
                <w:sz w:val="23"/>
                <w:szCs w:val="23"/>
              </w:rPr>
              <w:t>Policy or program</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DBE5F1" w:themeFill="accent1" w:themeFillTint="33"/>
            <w:hideMark/>
          </w:tcPr>
          <w:p w14:paraId="6305ED5A" w14:textId="77777777" w:rsidR="00D86B06" w:rsidRPr="0028623C" w:rsidRDefault="00D86B06" w:rsidP="0028623C">
            <w:pPr>
              <w:pStyle w:val="Heading2"/>
              <w:divId w:val="95635965"/>
              <w:rPr>
                <w:sz w:val="23"/>
                <w:szCs w:val="23"/>
              </w:rPr>
            </w:pPr>
            <w:r w:rsidRPr="0028623C">
              <w:rPr>
                <w:sz w:val="23"/>
                <w:szCs w:val="23"/>
              </w:rPr>
              <w:t>Action and key dates </w:t>
            </w:r>
          </w:p>
        </w:tc>
      </w:tr>
      <w:tr w:rsidR="00D86B06" w:rsidRPr="00B140C3" w14:paraId="480D1A79"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554F6F90" w14:textId="0391523C" w:rsidR="00D86B06" w:rsidRPr="00B140C3" w:rsidRDefault="00AC6661" w:rsidP="00C70D2D">
            <w:pPr>
              <w:spacing w:after="120" w:line="240" w:lineRule="auto"/>
              <w:jc w:val="left"/>
              <w:rPr>
                <w:rFonts w:ascii="-webkit-standard" w:hAnsi="-webkit-standard"/>
                <w:sz w:val="18"/>
                <w:szCs w:val="18"/>
              </w:rPr>
            </w:pPr>
            <w:r>
              <w:rPr>
                <w:rFonts w:eastAsiaTheme="minorEastAsia"/>
              </w:rPr>
              <w:t>W</w:t>
            </w:r>
            <w:r w:rsidR="00D86B06" w:rsidRPr="6059F0A1">
              <w:rPr>
                <w:rFonts w:eastAsiaTheme="minorEastAsia"/>
              </w:rPr>
              <w:t>omen and children affected by domestic and family violence</w:t>
            </w:r>
            <w:r w:rsidR="00801AE3">
              <w:rPr>
                <w:rFonts w:eastAsiaTheme="minorEastAsia"/>
              </w:rPr>
              <w:t>.</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6377C69F" w14:textId="5D78516C" w:rsidR="00D86B06" w:rsidRPr="00B140C3" w:rsidRDefault="00D86B06" w:rsidP="00C70D2D">
            <w:pPr>
              <w:spacing w:after="120" w:line="240" w:lineRule="auto"/>
              <w:jc w:val="left"/>
              <w:rPr>
                <w:rFonts w:ascii="-webkit-standard" w:hAnsi="-webkit-standard"/>
                <w:sz w:val="18"/>
                <w:szCs w:val="18"/>
              </w:rPr>
            </w:pPr>
            <w:r w:rsidRPr="6059F0A1">
              <w:rPr>
                <w:rFonts w:eastAsiaTheme="minorEastAsia"/>
              </w:rPr>
              <w:t>Aboriginal family violence services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050B9D67" w14:textId="2FB537AD" w:rsidR="00D86B06" w:rsidRPr="00B140C3" w:rsidRDefault="00D86B06" w:rsidP="00C70D2D">
            <w:pPr>
              <w:spacing w:after="120" w:line="240" w:lineRule="auto"/>
              <w:jc w:val="left"/>
              <w:divId w:val="1927567276"/>
              <w:rPr>
                <w:rFonts w:ascii="-webkit-standard" w:hAnsi="-webkit-standard"/>
                <w:sz w:val="18"/>
                <w:szCs w:val="18"/>
              </w:rPr>
            </w:pPr>
            <w:r w:rsidRPr="6059F0A1">
              <w:rPr>
                <w:rFonts w:eastAsiaTheme="minorEastAsia"/>
              </w:rPr>
              <w:t xml:space="preserve">This will be achieved through </w:t>
            </w:r>
            <w:r w:rsidR="00393BB7">
              <w:rPr>
                <w:rFonts w:eastAsiaTheme="minorEastAsia"/>
              </w:rPr>
              <w:t xml:space="preserve">a </w:t>
            </w:r>
            <w:r w:rsidRPr="6059F0A1">
              <w:rPr>
                <w:rFonts w:eastAsiaTheme="minorEastAsia"/>
              </w:rPr>
              <w:t>redeveloped service model</w:t>
            </w:r>
            <w:r w:rsidR="00393BB7">
              <w:rPr>
                <w:rFonts w:eastAsiaTheme="minorEastAsia"/>
              </w:rPr>
              <w:t xml:space="preserve"> designed in consultation with key stakeholders</w:t>
            </w:r>
            <w:r w:rsidRPr="6059F0A1">
              <w:rPr>
                <w:rFonts w:eastAsiaTheme="minorEastAsia"/>
              </w:rPr>
              <w:t>. </w:t>
            </w:r>
          </w:p>
          <w:p w14:paraId="29A23184" w14:textId="2B885526" w:rsidR="00D86B06" w:rsidRPr="00B140C3" w:rsidRDefault="00D86B06" w:rsidP="00C70D2D">
            <w:pPr>
              <w:spacing w:after="120" w:line="240" w:lineRule="auto"/>
              <w:jc w:val="left"/>
              <w:divId w:val="1927567276"/>
              <w:rPr>
                <w:rFonts w:ascii="-webkit-standard" w:hAnsi="-webkit-standard"/>
                <w:sz w:val="18"/>
                <w:szCs w:val="18"/>
              </w:rPr>
            </w:pPr>
            <w:r w:rsidRPr="6059F0A1">
              <w:rPr>
                <w:rFonts w:eastAsiaTheme="minorEastAsia"/>
              </w:rPr>
              <w:t xml:space="preserve">It is expected that the new model will be implemented </w:t>
            </w:r>
            <w:r w:rsidR="00801AE3">
              <w:rPr>
                <w:rFonts w:eastAsiaTheme="minorEastAsia"/>
              </w:rPr>
              <w:t>by</w:t>
            </w:r>
            <w:r w:rsidRPr="6059F0A1">
              <w:rPr>
                <w:rFonts w:eastAsiaTheme="minorEastAsia"/>
              </w:rPr>
              <w:t xml:space="preserve"> July 2019.</w:t>
            </w:r>
          </w:p>
        </w:tc>
      </w:tr>
      <w:tr w:rsidR="00D86B06" w:rsidRPr="00B140C3" w14:paraId="12E5EA49"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39BD7E48" w14:textId="77777777" w:rsidR="00D86B06" w:rsidRPr="00AA3FFA" w:rsidRDefault="00D86B06" w:rsidP="00C70D2D">
            <w:pPr>
              <w:spacing w:after="120" w:line="240" w:lineRule="auto"/>
              <w:jc w:val="left"/>
              <w:rPr>
                <w:rFonts w:ascii="-webkit-standard" w:hAnsi="-webkit-standard"/>
                <w:sz w:val="18"/>
                <w:szCs w:val="18"/>
              </w:rPr>
            </w:pPr>
            <w:r w:rsidRPr="6059F0A1">
              <w:rPr>
                <w:rFonts w:ascii="-webkit-standard" w:eastAsiaTheme="minorEastAsia" w:hAnsi="-webkit-standard" w:hint="eastAsia"/>
                <w:color w:val="auto"/>
                <w:sz w:val="18"/>
                <w:szCs w:val="18"/>
                <w:lang w:eastAsia="en-GB"/>
              </w:rPr>
              <w:t>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35A26055" w14:textId="77777777" w:rsidR="00D86B06" w:rsidRPr="00B140C3" w:rsidRDefault="00D86B06" w:rsidP="00C70D2D">
            <w:pPr>
              <w:spacing w:after="120" w:line="240" w:lineRule="auto"/>
              <w:jc w:val="left"/>
              <w:rPr>
                <w:rFonts w:ascii="-webkit-standard" w:hAnsi="-webkit-standard"/>
                <w:sz w:val="18"/>
                <w:szCs w:val="18"/>
              </w:rPr>
            </w:pPr>
            <w:r w:rsidRPr="6059F0A1">
              <w:rPr>
                <w:rFonts w:eastAsiaTheme="minorEastAsia"/>
              </w:rPr>
              <w:t>Early intervention to keep women and children safe at home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31565DFE" w14:textId="6BEB74EA" w:rsidR="00D86B06" w:rsidRPr="00B140C3" w:rsidRDefault="00D86B06" w:rsidP="00C70D2D">
            <w:pPr>
              <w:spacing w:after="120" w:line="240" w:lineRule="auto"/>
              <w:jc w:val="left"/>
              <w:divId w:val="2038192953"/>
              <w:rPr>
                <w:rFonts w:ascii="-webkit-standard" w:hAnsi="-webkit-standard"/>
                <w:sz w:val="18"/>
                <w:szCs w:val="18"/>
              </w:rPr>
            </w:pPr>
            <w:r w:rsidRPr="6059F0A1">
              <w:rPr>
                <w:rFonts w:eastAsiaTheme="minorEastAsia"/>
              </w:rPr>
              <w:t>A new safe at home model will be developed</w:t>
            </w:r>
            <w:r w:rsidR="00393BB7">
              <w:rPr>
                <w:rFonts w:eastAsiaTheme="minorEastAsia"/>
              </w:rPr>
              <w:t xml:space="preserve"> in consultation with key stakeholders</w:t>
            </w:r>
            <w:r w:rsidRPr="6059F0A1">
              <w:rPr>
                <w:rFonts w:eastAsiaTheme="minorEastAsia"/>
              </w:rPr>
              <w:t>. </w:t>
            </w:r>
          </w:p>
          <w:p w14:paraId="5960AD31" w14:textId="42F12853" w:rsidR="00D86B06" w:rsidRPr="00B140C3" w:rsidRDefault="00D86B06" w:rsidP="00C70D2D">
            <w:pPr>
              <w:spacing w:after="120" w:line="240" w:lineRule="auto"/>
              <w:jc w:val="left"/>
              <w:divId w:val="2038192953"/>
              <w:rPr>
                <w:rFonts w:ascii="-webkit-standard" w:hAnsi="-webkit-standard"/>
                <w:sz w:val="18"/>
                <w:szCs w:val="18"/>
              </w:rPr>
            </w:pPr>
            <w:r w:rsidRPr="6059F0A1">
              <w:rPr>
                <w:rFonts w:eastAsiaTheme="minorEastAsia"/>
              </w:rPr>
              <w:t xml:space="preserve">It is expected that the new model will be implemented </w:t>
            </w:r>
            <w:r w:rsidR="00393BB7">
              <w:rPr>
                <w:rFonts w:eastAsiaTheme="minorEastAsia"/>
              </w:rPr>
              <w:t>by</w:t>
            </w:r>
            <w:r w:rsidR="00393BB7" w:rsidRPr="6059F0A1">
              <w:rPr>
                <w:rFonts w:eastAsiaTheme="minorEastAsia"/>
              </w:rPr>
              <w:t xml:space="preserve"> </w:t>
            </w:r>
            <w:r w:rsidRPr="6059F0A1">
              <w:rPr>
                <w:rFonts w:eastAsiaTheme="minorEastAsia"/>
              </w:rPr>
              <w:t>July 2019.</w:t>
            </w:r>
          </w:p>
        </w:tc>
      </w:tr>
      <w:tr w:rsidR="00D86B06" w:rsidRPr="00B140C3" w14:paraId="0F327D73"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1959A34D" w14:textId="77777777" w:rsidR="00D86B06" w:rsidRPr="00DD4EFF" w:rsidRDefault="00D86B06" w:rsidP="00C70D2D">
            <w:pPr>
              <w:spacing w:after="120" w:line="240" w:lineRule="auto"/>
              <w:jc w:val="left"/>
              <w:rPr>
                <w:rFonts w:ascii="-webkit-standard" w:hAnsi="-webkit-standard"/>
                <w:sz w:val="18"/>
                <w:szCs w:val="18"/>
              </w:rPr>
            </w:pPr>
            <w:r w:rsidRPr="6059F0A1">
              <w:rPr>
                <w:rFonts w:ascii="-webkit-standard" w:eastAsiaTheme="minorEastAsia" w:hAnsi="-webkit-standard" w:hint="eastAsia"/>
                <w:color w:val="auto"/>
                <w:sz w:val="18"/>
                <w:szCs w:val="18"/>
                <w:lang w:eastAsia="en-GB"/>
              </w:rPr>
              <w:t>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1EDA7DF7" w14:textId="59AF66F2" w:rsidR="00D86B06" w:rsidRPr="00B140C3" w:rsidRDefault="00D86B06" w:rsidP="00C70D2D">
            <w:pPr>
              <w:spacing w:after="120" w:line="240" w:lineRule="auto"/>
              <w:jc w:val="left"/>
              <w:rPr>
                <w:rFonts w:ascii="-webkit-standard" w:hAnsi="-webkit-standard"/>
                <w:sz w:val="18"/>
                <w:szCs w:val="18"/>
              </w:rPr>
            </w:pPr>
            <w:r w:rsidRPr="6059F0A1">
              <w:rPr>
                <w:rFonts w:eastAsiaTheme="minorEastAsia"/>
              </w:rPr>
              <w:t>Increase crisis accommodation</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3F1F4106" w14:textId="237DECF3" w:rsidR="00D86B06" w:rsidRPr="00B140C3" w:rsidRDefault="00393BB7" w:rsidP="00C70D2D">
            <w:pPr>
              <w:spacing w:after="120" w:line="240" w:lineRule="auto"/>
              <w:jc w:val="left"/>
              <w:divId w:val="1610041741"/>
              <w:rPr>
                <w:rFonts w:ascii="-webkit-standard" w:hAnsi="-webkit-standard"/>
                <w:sz w:val="18"/>
                <w:szCs w:val="18"/>
              </w:rPr>
            </w:pPr>
            <w:r>
              <w:rPr>
                <w:rFonts w:eastAsiaTheme="minorEastAsia"/>
              </w:rPr>
              <w:t>D</w:t>
            </w:r>
            <w:r w:rsidR="00D86B06" w:rsidRPr="6059F0A1">
              <w:rPr>
                <w:rFonts w:eastAsiaTheme="minorEastAsia"/>
              </w:rPr>
              <w:t xml:space="preserve">eliver two new regional and one metropolitan crisis accommodation centres, </w:t>
            </w:r>
            <w:r w:rsidR="00D86B06" w:rsidRPr="6059F0A1">
              <w:rPr>
                <w:rFonts w:eastAsiaTheme="minorEastAsia"/>
              </w:rPr>
              <w:lastRenderedPageBreak/>
              <w:t>resulting in 40 more beds.</w:t>
            </w:r>
          </w:p>
          <w:p w14:paraId="2D0E6A48" w14:textId="30F7FCAC" w:rsidR="00D86B06" w:rsidRPr="00B140C3" w:rsidRDefault="00D86B06" w:rsidP="00C70D2D">
            <w:pPr>
              <w:spacing w:after="120" w:line="240" w:lineRule="auto"/>
              <w:jc w:val="left"/>
              <w:divId w:val="1610041741"/>
              <w:rPr>
                <w:rFonts w:ascii="-webkit-standard" w:hAnsi="-webkit-standard"/>
                <w:sz w:val="18"/>
                <w:szCs w:val="18"/>
              </w:rPr>
            </w:pPr>
            <w:r w:rsidRPr="6059F0A1">
              <w:rPr>
                <w:rFonts w:eastAsiaTheme="minorEastAsia"/>
              </w:rPr>
              <w:t xml:space="preserve">Initial scoping for timeframes </w:t>
            </w:r>
            <w:r w:rsidR="008E2437" w:rsidRPr="6059F0A1">
              <w:rPr>
                <w:rFonts w:eastAsiaTheme="minorEastAsia"/>
              </w:rPr>
              <w:t>is</w:t>
            </w:r>
            <w:r w:rsidRPr="6059F0A1">
              <w:rPr>
                <w:rFonts w:eastAsiaTheme="minorEastAsia"/>
              </w:rPr>
              <w:t xml:space="preserve"> currently underway.</w:t>
            </w:r>
          </w:p>
        </w:tc>
      </w:tr>
      <w:tr w:rsidR="00D86B06" w:rsidRPr="00B140C3" w14:paraId="5CDF16E9"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2C875EC9" w14:textId="45C66A3C" w:rsidR="00D86B06" w:rsidRPr="00B140C3" w:rsidRDefault="00AC6661" w:rsidP="00C70D2D">
            <w:pPr>
              <w:spacing w:after="120" w:line="240" w:lineRule="auto"/>
              <w:jc w:val="left"/>
              <w:divId w:val="1227687962"/>
              <w:rPr>
                <w:rFonts w:ascii="-webkit-standard" w:hAnsi="-webkit-standard"/>
                <w:sz w:val="18"/>
                <w:szCs w:val="18"/>
              </w:rPr>
            </w:pPr>
            <w:r>
              <w:rPr>
                <w:rFonts w:eastAsiaTheme="minorEastAsia"/>
              </w:rPr>
              <w:lastRenderedPageBreak/>
              <w:t>C</w:t>
            </w:r>
            <w:r w:rsidR="00D86B06" w:rsidRPr="6059F0A1">
              <w:rPr>
                <w:rFonts w:eastAsiaTheme="minorEastAsia"/>
              </w:rPr>
              <w:t>hildren and young people</w:t>
            </w:r>
          </w:p>
          <w:p w14:paraId="604C1843" w14:textId="77777777" w:rsidR="00D86B06" w:rsidRPr="004D171E" w:rsidRDefault="00D86B06" w:rsidP="00C70D2D">
            <w:pPr>
              <w:spacing w:after="120" w:line="240" w:lineRule="auto"/>
              <w:jc w:val="left"/>
              <w:divId w:val="1227687962"/>
              <w:rPr>
                <w:rFonts w:ascii="-webkit-standard" w:hAnsi="-webkit-standard"/>
                <w:sz w:val="18"/>
                <w:szCs w:val="18"/>
              </w:rPr>
            </w:pPr>
            <w:r w:rsidRPr="6059F0A1">
              <w:rPr>
                <w:rFonts w:ascii="-webkit-standard" w:eastAsiaTheme="minorEastAsia" w:hAnsi="-webkit-standard" w:hint="eastAsia"/>
                <w:color w:val="auto"/>
                <w:sz w:val="18"/>
                <w:szCs w:val="18"/>
                <w:lang w:eastAsia="en-GB"/>
              </w:rPr>
              <w:t>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624BBAF9" w14:textId="77777777" w:rsidR="00D86B06" w:rsidRPr="00B140C3" w:rsidRDefault="00D86B06" w:rsidP="00C70D2D">
            <w:pPr>
              <w:spacing w:after="120" w:line="240" w:lineRule="auto"/>
              <w:jc w:val="left"/>
              <w:rPr>
                <w:rFonts w:ascii="-webkit-standard" w:hAnsi="-webkit-standard"/>
                <w:sz w:val="18"/>
                <w:szCs w:val="18"/>
              </w:rPr>
            </w:pPr>
            <w:r w:rsidRPr="6059F0A1">
              <w:rPr>
                <w:rFonts w:eastAsiaTheme="minorEastAsia"/>
              </w:rPr>
              <w:t>Young people at risk of homelessness will be identified early through education pathways and will be supported to prevent homelessness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0E50CD3C" w14:textId="22CE17C6" w:rsidR="00D86B06" w:rsidRPr="00B140C3" w:rsidRDefault="00D86B06" w:rsidP="00C70D2D">
            <w:pPr>
              <w:spacing w:after="120" w:line="240" w:lineRule="auto"/>
              <w:jc w:val="left"/>
              <w:divId w:val="2019771420"/>
              <w:rPr>
                <w:rFonts w:ascii="-webkit-standard" w:hAnsi="-webkit-standard"/>
                <w:sz w:val="18"/>
                <w:szCs w:val="18"/>
              </w:rPr>
            </w:pPr>
            <w:r w:rsidRPr="6059F0A1">
              <w:rPr>
                <w:rFonts w:eastAsiaTheme="minorEastAsia"/>
              </w:rPr>
              <w:t>A review and remodel of existing services will occur</w:t>
            </w:r>
            <w:r w:rsidR="00393BB7">
              <w:rPr>
                <w:rFonts w:eastAsiaTheme="minorEastAsia"/>
              </w:rPr>
              <w:t xml:space="preserve"> in consultation with key stakeholders</w:t>
            </w:r>
            <w:r w:rsidRPr="6059F0A1">
              <w:rPr>
                <w:rFonts w:eastAsiaTheme="minorEastAsia"/>
              </w:rPr>
              <w:t>. </w:t>
            </w:r>
          </w:p>
          <w:p w14:paraId="4CDE240E" w14:textId="066618CD" w:rsidR="00D86B06" w:rsidRPr="00B140C3" w:rsidRDefault="00D86B06" w:rsidP="00C70D2D">
            <w:pPr>
              <w:spacing w:after="120" w:line="240" w:lineRule="auto"/>
              <w:jc w:val="left"/>
              <w:divId w:val="2019771420"/>
              <w:rPr>
                <w:rFonts w:ascii="-webkit-standard" w:hAnsi="-webkit-standard"/>
                <w:sz w:val="18"/>
                <w:szCs w:val="18"/>
              </w:rPr>
            </w:pPr>
            <w:r w:rsidRPr="6059F0A1">
              <w:rPr>
                <w:rFonts w:eastAsiaTheme="minorEastAsia"/>
              </w:rPr>
              <w:t xml:space="preserve">It is anticipated the reformed model will be implemented </w:t>
            </w:r>
            <w:r w:rsidR="00801AE3">
              <w:rPr>
                <w:rFonts w:eastAsiaTheme="minorEastAsia"/>
              </w:rPr>
              <w:t>by</w:t>
            </w:r>
            <w:r w:rsidRPr="6059F0A1">
              <w:rPr>
                <w:rFonts w:eastAsiaTheme="minorEastAsia"/>
              </w:rPr>
              <w:t xml:space="preserve"> July 2019</w:t>
            </w:r>
            <w:r w:rsidR="0028623C">
              <w:rPr>
                <w:rFonts w:eastAsiaTheme="minorEastAsia"/>
              </w:rPr>
              <w:t>.</w:t>
            </w:r>
          </w:p>
        </w:tc>
      </w:tr>
      <w:tr w:rsidR="00D86B06" w:rsidRPr="00B140C3" w14:paraId="7912F0F5"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757EBE23" w14:textId="77777777" w:rsidR="00D86B06" w:rsidRPr="004D171E" w:rsidRDefault="00D86B06" w:rsidP="00C70D2D">
            <w:pPr>
              <w:spacing w:after="120" w:line="240" w:lineRule="auto"/>
              <w:jc w:val="left"/>
              <w:rPr>
                <w:rFonts w:ascii="-webkit-standard" w:hAnsi="-webkit-standard"/>
                <w:sz w:val="18"/>
                <w:szCs w:val="18"/>
              </w:rPr>
            </w:pPr>
            <w:r w:rsidRPr="6059F0A1">
              <w:rPr>
                <w:rFonts w:ascii="-webkit-standard" w:eastAsiaTheme="minorEastAsia" w:hAnsi="-webkit-standard" w:hint="eastAsia"/>
                <w:color w:val="auto"/>
                <w:sz w:val="18"/>
                <w:szCs w:val="18"/>
                <w:lang w:eastAsia="en-GB"/>
              </w:rPr>
              <w:t> </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1A5133B0" w14:textId="22DBB44A" w:rsidR="00D86B06" w:rsidRPr="00B140C3" w:rsidRDefault="00D86B06" w:rsidP="00C70D2D">
            <w:pPr>
              <w:spacing w:after="120" w:line="240" w:lineRule="auto"/>
              <w:jc w:val="left"/>
              <w:rPr>
                <w:rFonts w:ascii="-webkit-standard" w:hAnsi="-webkit-standard"/>
                <w:sz w:val="18"/>
                <w:szCs w:val="18"/>
              </w:rPr>
            </w:pPr>
            <w:r w:rsidRPr="6059F0A1">
              <w:rPr>
                <w:rFonts w:eastAsiaTheme="minorEastAsia"/>
              </w:rPr>
              <w:t xml:space="preserve">Young </w:t>
            </w:r>
            <w:r w:rsidR="00801AE3">
              <w:rPr>
                <w:rFonts w:eastAsiaTheme="minorEastAsia"/>
              </w:rPr>
              <w:t>p</w:t>
            </w:r>
            <w:r w:rsidRPr="6059F0A1">
              <w:rPr>
                <w:rFonts w:eastAsiaTheme="minorEastAsia"/>
              </w:rPr>
              <w:t>eople experiencing violence and at risk of homelessness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hideMark/>
          </w:tcPr>
          <w:p w14:paraId="38389ADD" w14:textId="34A51685" w:rsidR="00D86B06" w:rsidRPr="00B140C3" w:rsidRDefault="00D86B06" w:rsidP="00C70D2D">
            <w:pPr>
              <w:spacing w:after="120" w:line="240" w:lineRule="auto"/>
              <w:jc w:val="left"/>
              <w:divId w:val="1385368008"/>
              <w:rPr>
                <w:rFonts w:ascii="-webkit-standard" w:hAnsi="-webkit-standard"/>
                <w:sz w:val="18"/>
                <w:szCs w:val="18"/>
              </w:rPr>
            </w:pPr>
            <w:r w:rsidRPr="6059F0A1">
              <w:rPr>
                <w:rFonts w:eastAsiaTheme="minorEastAsia"/>
              </w:rPr>
              <w:t>Independent research will be undertaken to determine how to more effectively engage young people who are experiencing violence and are at risk of homelessness</w:t>
            </w:r>
            <w:r w:rsidR="0028623C">
              <w:rPr>
                <w:rFonts w:eastAsiaTheme="minorEastAsia"/>
              </w:rPr>
              <w:t>.</w:t>
            </w:r>
          </w:p>
          <w:p w14:paraId="6E99E567" w14:textId="2CFD9E77" w:rsidR="00D86B06" w:rsidRPr="00B140C3" w:rsidRDefault="00D86B06" w:rsidP="00C70D2D">
            <w:pPr>
              <w:spacing w:after="120" w:line="240" w:lineRule="auto"/>
              <w:divId w:val="1385368008"/>
              <w:rPr>
                <w:rFonts w:ascii="-webkit-standard" w:hAnsi="-webkit-standard"/>
                <w:sz w:val="18"/>
                <w:szCs w:val="18"/>
              </w:rPr>
            </w:pPr>
            <w:r w:rsidRPr="6059F0A1">
              <w:rPr>
                <w:rFonts w:eastAsiaTheme="minorEastAsia"/>
              </w:rPr>
              <w:t xml:space="preserve">This research will occur </w:t>
            </w:r>
            <w:r w:rsidR="00801AE3">
              <w:rPr>
                <w:rFonts w:eastAsiaTheme="minorEastAsia"/>
              </w:rPr>
              <w:t>by end</w:t>
            </w:r>
            <w:r w:rsidRPr="6059F0A1">
              <w:rPr>
                <w:rFonts w:eastAsiaTheme="minorEastAsia"/>
              </w:rPr>
              <w:t xml:space="preserve"> 2020.</w:t>
            </w:r>
          </w:p>
        </w:tc>
      </w:tr>
      <w:tr w:rsidR="00D86B06" w:rsidRPr="00B140C3" w14:paraId="3AE4DBBC"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51A262C" w14:textId="052B6B6A" w:rsidR="00D86B06" w:rsidRPr="009F1DD9" w:rsidRDefault="00D86B06" w:rsidP="00C70D2D">
            <w:pPr>
              <w:spacing w:after="120" w:line="240" w:lineRule="auto"/>
              <w:jc w:val="left"/>
              <w:rPr>
                <w:rFonts w:eastAsiaTheme="minorEastAsia"/>
                <w:color w:val="auto"/>
                <w:lang w:eastAsia="en-GB"/>
              </w:rPr>
            </w:pPr>
            <w:r w:rsidRPr="005A3585">
              <w:rPr>
                <w:rFonts w:eastAsiaTheme="minorEastAsia"/>
                <w:color w:val="auto"/>
                <w:lang w:eastAsia="en-GB"/>
              </w:rPr>
              <w:t>Indigenous Australians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73760B8" w14:textId="3C5DC375" w:rsidR="00D86B06" w:rsidRPr="009F1DD9" w:rsidRDefault="00D86B06" w:rsidP="00C70D2D">
            <w:pPr>
              <w:spacing w:after="120" w:line="240" w:lineRule="auto"/>
              <w:jc w:val="left"/>
              <w:rPr>
                <w:rFonts w:eastAsiaTheme="minorEastAsia"/>
              </w:rPr>
            </w:pPr>
            <w:r w:rsidRPr="6059F0A1">
              <w:rPr>
                <w:rFonts w:eastAsiaTheme="minorEastAsia"/>
              </w:rPr>
              <w:t>Aboriginal family violence services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91627C3" w14:textId="33D7D2FF" w:rsidR="00D86B06" w:rsidRPr="009F1DD9" w:rsidRDefault="00D86B06" w:rsidP="00C70D2D">
            <w:pPr>
              <w:spacing w:after="120" w:line="240" w:lineRule="auto"/>
              <w:jc w:val="left"/>
              <w:rPr>
                <w:rFonts w:eastAsiaTheme="minorEastAsia"/>
              </w:rPr>
            </w:pPr>
            <w:r w:rsidRPr="6059F0A1">
              <w:rPr>
                <w:rFonts w:eastAsiaTheme="minorEastAsia"/>
              </w:rPr>
              <w:t>This will be achieved through a redeveloped service model</w:t>
            </w:r>
            <w:r w:rsidR="00393BB7">
              <w:rPr>
                <w:rFonts w:eastAsiaTheme="minorEastAsia"/>
              </w:rPr>
              <w:t xml:space="preserve"> designed in consultation with key stakeholders</w:t>
            </w:r>
            <w:r w:rsidRPr="6059F0A1">
              <w:rPr>
                <w:rFonts w:eastAsiaTheme="minorEastAsia"/>
              </w:rPr>
              <w:t>.</w:t>
            </w:r>
          </w:p>
          <w:p w14:paraId="62863A8C" w14:textId="4F69BC23" w:rsidR="00D86B06" w:rsidRPr="009F1DD9" w:rsidRDefault="00D86B06" w:rsidP="00C70D2D">
            <w:pPr>
              <w:spacing w:after="120" w:line="240" w:lineRule="auto"/>
              <w:jc w:val="left"/>
              <w:rPr>
                <w:rFonts w:eastAsiaTheme="minorEastAsia"/>
              </w:rPr>
            </w:pPr>
            <w:r w:rsidRPr="6059F0A1">
              <w:rPr>
                <w:rFonts w:eastAsiaTheme="minorEastAsia"/>
              </w:rPr>
              <w:t xml:space="preserve">It is expected that the new model will be implemented </w:t>
            </w:r>
            <w:r w:rsidR="00801AE3">
              <w:rPr>
                <w:rFonts w:eastAsiaTheme="minorEastAsia"/>
              </w:rPr>
              <w:t>by</w:t>
            </w:r>
            <w:r w:rsidRPr="6059F0A1">
              <w:rPr>
                <w:rFonts w:eastAsiaTheme="minorEastAsia"/>
              </w:rPr>
              <w:t xml:space="preserve"> July 2019.</w:t>
            </w:r>
          </w:p>
        </w:tc>
      </w:tr>
      <w:tr w:rsidR="00D86B06" w:rsidRPr="00B140C3" w14:paraId="0D195706"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8936B43" w14:textId="77777777" w:rsidR="00D86B06" w:rsidRPr="004D171E" w:rsidRDefault="00D86B06" w:rsidP="00C70D2D">
            <w:pPr>
              <w:spacing w:after="120" w:line="240" w:lineRule="auto"/>
              <w:jc w:val="left"/>
              <w:rPr>
                <w:rFonts w:ascii="-webkit-standard" w:eastAsiaTheme="minorEastAsia" w:hAnsi="-webkit-standard"/>
                <w:color w:val="auto"/>
                <w:sz w:val="18"/>
                <w:szCs w:val="18"/>
                <w:lang w:eastAsia="en-GB"/>
              </w:rPr>
            </w:pP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A86BB9D" w14:textId="2006899A" w:rsidR="00D86B06" w:rsidRPr="009F1DD9" w:rsidRDefault="00D86B06" w:rsidP="00C70D2D">
            <w:pPr>
              <w:spacing w:after="120" w:line="240" w:lineRule="auto"/>
              <w:jc w:val="left"/>
              <w:rPr>
                <w:rFonts w:eastAsiaTheme="minorEastAsia"/>
              </w:rPr>
            </w:pPr>
            <w:r w:rsidRPr="6059F0A1">
              <w:rPr>
                <w:rFonts w:eastAsiaTheme="minorEastAsia"/>
              </w:rPr>
              <w:t>Connect with Aboriginal people moving from remote to regional centres to prevent homelessness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E91015D" w14:textId="77777777" w:rsidR="00D86B06" w:rsidRPr="009F1DD9" w:rsidRDefault="00D86B06" w:rsidP="00C70D2D">
            <w:pPr>
              <w:spacing w:after="120" w:line="240" w:lineRule="auto"/>
              <w:jc w:val="left"/>
              <w:rPr>
                <w:rFonts w:eastAsiaTheme="minorEastAsia"/>
              </w:rPr>
            </w:pPr>
            <w:r w:rsidRPr="6059F0A1">
              <w:rPr>
                <w:rFonts w:eastAsiaTheme="minorEastAsia"/>
              </w:rPr>
              <w:t>This will be achieved by reviewing existing service approaches and the development of a remote visitor framework.</w:t>
            </w:r>
          </w:p>
          <w:p w14:paraId="6DD83A71" w14:textId="49509DE2" w:rsidR="00D86B06" w:rsidRPr="009F1DD9" w:rsidRDefault="00D86B06" w:rsidP="00C70D2D">
            <w:pPr>
              <w:spacing w:after="120" w:line="240" w:lineRule="auto"/>
              <w:jc w:val="left"/>
              <w:rPr>
                <w:rFonts w:eastAsiaTheme="minorEastAsia"/>
              </w:rPr>
            </w:pPr>
            <w:r w:rsidRPr="6059F0A1">
              <w:rPr>
                <w:rFonts w:eastAsiaTheme="minorEastAsia"/>
              </w:rPr>
              <w:t>It is expected that this will be ongoing throughout the term of the strategy.</w:t>
            </w:r>
          </w:p>
        </w:tc>
      </w:tr>
      <w:tr w:rsidR="00D86B06" w:rsidRPr="00B140C3" w14:paraId="72E5A5FC"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1D1AAC7" w14:textId="67E66758" w:rsidR="00D86B06" w:rsidRPr="009F1DD9" w:rsidRDefault="00AC6661" w:rsidP="00C70D2D">
            <w:pPr>
              <w:spacing w:after="120" w:line="240" w:lineRule="auto"/>
              <w:jc w:val="left"/>
              <w:rPr>
                <w:rFonts w:ascii="-webkit-standard" w:eastAsiaTheme="minorEastAsia" w:hAnsi="-webkit-standard"/>
                <w:color w:val="auto"/>
                <w:sz w:val="18"/>
                <w:szCs w:val="18"/>
                <w:lang w:eastAsia="en-GB"/>
              </w:rPr>
            </w:pPr>
            <w:r>
              <w:rPr>
                <w:rFonts w:eastAsiaTheme="minorEastAsia"/>
              </w:rPr>
              <w:t>P</w:t>
            </w:r>
            <w:r w:rsidR="00D86B06" w:rsidRPr="6059F0A1">
              <w:rPr>
                <w:rFonts w:eastAsiaTheme="minorEastAsia"/>
              </w:rPr>
              <w:t>eople experiencing repeat homelessness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391461F" w14:textId="6BAC4D1B" w:rsidR="00D86B06" w:rsidRPr="009F1DD9" w:rsidRDefault="00D86B06" w:rsidP="00C70D2D">
            <w:pPr>
              <w:spacing w:after="120" w:line="240" w:lineRule="auto"/>
              <w:jc w:val="left"/>
              <w:rPr>
                <w:rFonts w:eastAsiaTheme="minorEastAsia"/>
              </w:rPr>
            </w:pPr>
            <w:r w:rsidRPr="6059F0A1">
              <w:rPr>
                <w:rFonts w:eastAsiaTheme="minorEastAsia"/>
              </w:rPr>
              <w:t>Adelaide Zero Project – functional zero homelessness for people sleeping rough within Adelaide CBD</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5852066" w14:textId="77777777" w:rsidR="00D86B06" w:rsidRPr="009F1DD9" w:rsidRDefault="00D86B06" w:rsidP="00C70D2D">
            <w:pPr>
              <w:spacing w:after="120" w:line="240" w:lineRule="auto"/>
              <w:jc w:val="left"/>
              <w:rPr>
                <w:rFonts w:eastAsiaTheme="minorEastAsia"/>
              </w:rPr>
            </w:pPr>
            <w:r w:rsidRPr="6059F0A1">
              <w:rPr>
                <w:rFonts w:eastAsiaTheme="minorEastAsia"/>
              </w:rPr>
              <w:t>This will be achieved through the implementation of the functional zero approach to responding to homelessness.</w:t>
            </w:r>
          </w:p>
          <w:p w14:paraId="673BE515" w14:textId="08FC5C67" w:rsidR="00D86B06" w:rsidRPr="009F1DD9" w:rsidRDefault="00D86B06" w:rsidP="00C70D2D">
            <w:pPr>
              <w:spacing w:after="120" w:line="240" w:lineRule="auto"/>
              <w:jc w:val="left"/>
              <w:rPr>
                <w:rFonts w:eastAsiaTheme="minorEastAsia"/>
              </w:rPr>
            </w:pPr>
            <w:r w:rsidRPr="6059F0A1">
              <w:rPr>
                <w:rFonts w:eastAsiaTheme="minorEastAsia"/>
              </w:rPr>
              <w:t>The target is to achieve functional zero by 2020.</w:t>
            </w:r>
          </w:p>
        </w:tc>
      </w:tr>
      <w:tr w:rsidR="00D86B06" w:rsidRPr="00B140C3" w14:paraId="00827E97"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62EF0C96" w14:textId="77777777" w:rsidR="00D86B06" w:rsidRDefault="00D86B06" w:rsidP="00C70D2D">
            <w:pPr>
              <w:spacing w:after="120" w:line="240" w:lineRule="auto"/>
              <w:jc w:val="left"/>
              <w:rPr>
                <w:rFonts w:eastAsiaTheme="minorEastAsia"/>
              </w:rPr>
            </w:pP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7C2B3C8" w14:textId="68E32303" w:rsidR="00D86B06" w:rsidRPr="009F1DD9" w:rsidRDefault="00D86B06" w:rsidP="00C70D2D">
            <w:pPr>
              <w:spacing w:after="120" w:line="240" w:lineRule="auto"/>
              <w:jc w:val="left"/>
              <w:rPr>
                <w:rFonts w:eastAsiaTheme="minorEastAsia"/>
              </w:rPr>
            </w:pPr>
            <w:r w:rsidRPr="6059F0A1">
              <w:rPr>
                <w:rFonts w:eastAsiaTheme="minorEastAsia"/>
              </w:rPr>
              <w:t>Improved services for people sleeping rough in the Riverland</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04FE884" w14:textId="77777777" w:rsidR="00D86B06" w:rsidRPr="009F1DD9" w:rsidRDefault="00D86B06" w:rsidP="00C70D2D">
            <w:pPr>
              <w:spacing w:after="120" w:line="240" w:lineRule="auto"/>
              <w:jc w:val="left"/>
              <w:rPr>
                <w:rFonts w:eastAsiaTheme="minorEastAsia"/>
              </w:rPr>
            </w:pPr>
            <w:r w:rsidRPr="6059F0A1">
              <w:rPr>
                <w:rFonts w:eastAsiaTheme="minorEastAsia"/>
              </w:rPr>
              <w:t>This will be achieved through a review and reform of the existing Riverland services.</w:t>
            </w:r>
          </w:p>
          <w:p w14:paraId="5377B89A" w14:textId="58B89E93" w:rsidR="00D86B06" w:rsidRPr="009F1DD9" w:rsidRDefault="00D86B06" w:rsidP="00C70D2D">
            <w:pPr>
              <w:spacing w:after="120" w:line="240" w:lineRule="auto"/>
              <w:jc w:val="left"/>
              <w:rPr>
                <w:rFonts w:eastAsiaTheme="minorEastAsia"/>
              </w:rPr>
            </w:pPr>
            <w:r w:rsidRPr="6059F0A1">
              <w:rPr>
                <w:rFonts w:eastAsiaTheme="minorEastAsia"/>
              </w:rPr>
              <w:t xml:space="preserve">It is expected the reformed model will be implemented </w:t>
            </w:r>
            <w:r w:rsidR="00801AE3">
              <w:rPr>
                <w:rFonts w:eastAsiaTheme="minorEastAsia"/>
              </w:rPr>
              <w:t>by</w:t>
            </w:r>
            <w:r w:rsidRPr="6059F0A1">
              <w:rPr>
                <w:rFonts w:eastAsiaTheme="minorEastAsia"/>
              </w:rPr>
              <w:t xml:space="preserve"> July 2019.</w:t>
            </w:r>
          </w:p>
        </w:tc>
      </w:tr>
      <w:tr w:rsidR="00D86B06" w:rsidRPr="00B140C3" w14:paraId="453E297F"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CBE7A9B" w14:textId="77777777" w:rsidR="00D86B06" w:rsidRDefault="00D86B06" w:rsidP="00C70D2D">
            <w:pPr>
              <w:spacing w:after="120" w:line="240" w:lineRule="auto"/>
              <w:jc w:val="left"/>
              <w:rPr>
                <w:rFonts w:eastAsiaTheme="minorEastAsia"/>
              </w:rPr>
            </w:pP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2725A03" w14:textId="674CB3BA" w:rsidR="00D86B06" w:rsidRPr="009F1DD9" w:rsidRDefault="00D86B06" w:rsidP="00C70D2D">
            <w:pPr>
              <w:spacing w:after="120" w:line="240" w:lineRule="auto"/>
              <w:jc w:val="left"/>
              <w:rPr>
                <w:rFonts w:eastAsiaTheme="minorEastAsia"/>
              </w:rPr>
            </w:pPr>
            <w:r w:rsidRPr="6059F0A1">
              <w:rPr>
                <w:rFonts w:eastAsiaTheme="minorEastAsia"/>
              </w:rPr>
              <w:t>Supportive housing for people who have experienced chronic homelessness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4AF15C46" w14:textId="742042DB" w:rsidR="00D86B06" w:rsidRPr="009F1DD9" w:rsidRDefault="00D86B06" w:rsidP="00C70D2D">
            <w:pPr>
              <w:spacing w:after="120" w:line="240" w:lineRule="auto"/>
              <w:jc w:val="left"/>
              <w:rPr>
                <w:rFonts w:eastAsiaTheme="minorEastAsia"/>
              </w:rPr>
            </w:pPr>
            <w:r w:rsidRPr="6059F0A1">
              <w:rPr>
                <w:rFonts w:eastAsiaTheme="minorEastAsia"/>
              </w:rPr>
              <w:t>A reformed supportive housing model will be developed</w:t>
            </w:r>
            <w:r w:rsidR="00393BB7">
              <w:rPr>
                <w:rFonts w:eastAsiaTheme="minorEastAsia"/>
              </w:rPr>
              <w:t xml:space="preserve"> in consultation with key stakeholders</w:t>
            </w:r>
            <w:r w:rsidRPr="6059F0A1">
              <w:rPr>
                <w:rFonts w:eastAsiaTheme="minorEastAsia"/>
              </w:rPr>
              <w:t xml:space="preserve"> targeted at people experiencing </w:t>
            </w:r>
            <w:r w:rsidR="00393BB7">
              <w:rPr>
                <w:rFonts w:eastAsiaTheme="minorEastAsia"/>
              </w:rPr>
              <w:t>risk and vulnerability</w:t>
            </w:r>
            <w:r w:rsidRPr="6059F0A1">
              <w:rPr>
                <w:rFonts w:eastAsiaTheme="minorEastAsia"/>
              </w:rPr>
              <w:t>.</w:t>
            </w:r>
          </w:p>
          <w:p w14:paraId="17F3E66E" w14:textId="14B1C638" w:rsidR="00D86B06" w:rsidRPr="009F1DD9" w:rsidRDefault="00D86B06" w:rsidP="00C70D2D">
            <w:pPr>
              <w:spacing w:after="120" w:line="240" w:lineRule="auto"/>
              <w:jc w:val="left"/>
              <w:rPr>
                <w:rFonts w:eastAsiaTheme="minorEastAsia"/>
              </w:rPr>
            </w:pPr>
            <w:r w:rsidRPr="6059F0A1">
              <w:rPr>
                <w:rFonts w:eastAsiaTheme="minorEastAsia"/>
              </w:rPr>
              <w:t xml:space="preserve">It is expected the reformed model will be implemented </w:t>
            </w:r>
            <w:r w:rsidR="00801AE3">
              <w:rPr>
                <w:rFonts w:eastAsiaTheme="minorEastAsia"/>
              </w:rPr>
              <w:t>by</w:t>
            </w:r>
            <w:r w:rsidRPr="6059F0A1">
              <w:rPr>
                <w:rFonts w:eastAsiaTheme="minorEastAsia"/>
              </w:rPr>
              <w:t xml:space="preserve"> July 20</w:t>
            </w:r>
            <w:r w:rsidR="00393BB7">
              <w:rPr>
                <w:rFonts w:eastAsiaTheme="minorEastAsia"/>
              </w:rPr>
              <w:t>20</w:t>
            </w:r>
            <w:r w:rsidRPr="6059F0A1">
              <w:rPr>
                <w:rFonts w:eastAsiaTheme="minorEastAsia"/>
              </w:rPr>
              <w:t>.</w:t>
            </w:r>
          </w:p>
        </w:tc>
      </w:tr>
      <w:tr w:rsidR="00D86B06" w:rsidRPr="00B140C3" w14:paraId="5455A549"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33643F5E" w14:textId="35E121C1" w:rsidR="00D86B06" w:rsidRPr="009F1DD9" w:rsidRDefault="00801AE3" w:rsidP="00C70D2D">
            <w:pPr>
              <w:spacing w:after="120" w:line="240" w:lineRule="auto"/>
              <w:jc w:val="left"/>
              <w:rPr>
                <w:rFonts w:eastAsiaTheme="minorEastAsia"/>
              </w:rPr>
            </w:pPr>
            <w:r>
              <w:rPr>
                <w:rFonts w:eastAsiaTheme="minorEastAsia"/>
              </w:rPr>
              <w:t>P</w:t>
            </w:r>
            <w:r w:rsidR="00D86B06" w:rsidRPr="6059F0A1">
              <w:rPr>
                <w:rFonts w:eastAsiaTheme="minorEastAsia"/>
              </w:rPr>
              <w:t>eople currently exiting institutions and care into homelessness</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7DFB671" w14:textId="6BB60633" w:rsidR="00D86B06" w:rsidRPr="009F1DD9" w:rsidRDefault="00D86B06" w:rsidP="00C70D2D">
            <w:pPr>
              <w:spacing w:after="120" w:line="240" w:lineRule="auto"/>
              <w:jc w:val="left"/>
              <w:rPr>
                <w:rFonts w:eastAsiaTheme="minorEastAsia"/>
              </w:rPr>
            </w:pPr>
            <w:r w:rsidRPr="6059F0A1">
              <w:rPr>
                <w:rFonts w:eastAsiaTheme="minorEastAsia"/>
              </w:rPr>
              <w:t>Review of existing programs for people exiting incarceration</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8C21507" w14:textId="77777777" w:rsidR="00D86B06" w:rsidRPr="009F1DD9" w:rsidRDefault="00D86B06" w:rsidP="00C70D2D">
            <w:pPr>
              <w:spacing w:after="120" w:line="240" w:lineRule="auto"/>
              <w:jc w:val="left"/>
              <w:rPr>
                <w:rFonts w:eastAsiaTheme="minorEastAsia"/>
              </w:rPr>
            </w:pPr>
            <w:r w:rsidRPr="6059F0A1">
              <w:rPr>
                <w:rFonts w:eastAsiaTheme="minorEastAsia"/>
              </w:rPr>
              <w:t>This will be achieved through a review and potential reform of model.</w:t>
            </w:r>
          </w:p>
          <w:p w14:paraId="4C66D6DB" w14:textId="6BD41C12" w:rsidR="00D86B06" w:rsidRPr="009F1DD9" w:rsidRDefault="00D86B06" w:rsidP="00C70D2D">
            <w:pPr>
              <w:spacing w:after="120" w:line="240" w:lineRule="auto"/>
              <w:jc w:val="left"/>
              <w:rPr>
                <w:rFonts w:eastAsiaTheme="minorEastAsia"/>
              </w:rPr>
            </w:pPr>
            <w:r w:rsidRPr="6059F0A1">
              <w:rPr>
                <w:rFonts w:eastAsiaTheme="minorEastAsia"/>
              </w:rPr>
              <w:t>Timeframes are yet to be confirmed.</w:t>
            </w:r>
          </w:p>
        </w:tc>
      </w:tr>
      <w:tr w:rsidR="00D86B06" w:rsidRPr="00B140C3" w14:paraId="7EC074D6"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04CD5676" w14:textId="77777777" w:rsidR="00D86B06" w:rsidRDefault="00D86B06" w:rsidP="00C70D2D">
            <w:pPr>
              <w:spacing w:after="120" w:line="240" w:lineRule="auto"/>
              <w:jc w:val="left"/>
              <w:rPr>
                <w:rFonts w:eastAsiaTheme="minorEastAsia"/>
              </w:rPr>
            </w:pP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547A915B" w14:textId="40CA1D93" w:rsidR="00D86B06" w:rsidRPr="009F1DD9" w:rsidRDefault="00D86B06" w:rsidP="00C70D2D">
            <w:pPr>
              <w:spacing w:after="120" w:line="240" w:lineRule="auto"/>
              <w:jc w:val="left"/>
              <w:rPr>
                <w:rFonts w:eastAsiaTheme="minorEastAsia"/>
              </w:rPr>
            </w:pPr>
            <w:r w:rsidRPr="6059F0A1">
              <w:rPr>
                <w:rFonts w:eastAsiaTheme="minorEastAsia"/>
              </w:rPr>
              <w:t>Transition from Guardianship Care</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78889E1" w14:textId="3C1E56E1" w:rsidR="00E06AB0" w:rsidRDefault="00E06AB0" w:rsidP="00C70D2D">
            <w:pPr>
              <w:spacing w:after="120" w:line="240" w:lineRule="auto"/>
              <w:jc w:val="left"/>
              <w:rPr>
                <w:rFonts w:eastAsiaTheme="minorEastAsia"/>
              </w:rPr>
            </w:pPr>
            <w:r>
              <w:rPr>
                <w:rFonts w:eastAsiaTheme="minorEastAsia"/>
              </w:rPr>
              <w:t>Review current housing pathways for young people leaving care to support the development of contemporary service responses.</w:t>
            </w:r>
          </w:p>
          <w:p w14:paraId="57B96000" w14:textId="77777777" w:rsidR="00D86B06" w:rsidRPr="009F1DD9" w:rsidRDefault="00D86B06" w:rsidP="00C70D2D">
            <w:pPr>
              <w:spacing w:after="120" w:line="240" w:lineRule="auto"/>
              <w:jc w:val="left"/>
              <w:rPr>
                <w:rFonts w:eastAsiaTheme="minorEastAsia"/>
              </w:rPr>
            </w:pPr>
            <w:r w:rsidRPr="6059F0A1">
              <w:rPr>
                <w:rFonts w:eastAsiaTheme="minorEastAsia"/>
              </w:rPr>
              <w:t>A new protocol between the Department for Child Protection and Housing SA will be developed to support young people into independent housing.</w:t>
            </w:r>
          </w:p>
          <w:p w14:paraId="7D273B81" w14:textId="42416673" w:rsidR="00D86B06" w:rsidRPr="009F1DD9" w:rsidRDefault="00D86B06" w:rsidP="00C70D2D">
            <w:pPr>
              <w:spacing w:after="120" w:line="240" w:lineRule="auto"/>
              <w:jc w:val="left"/>
              <w:rPr>
                <w:rFonts w:eastAsiaTheme="minorEastAsia"/>
              </w:rPr>
            </w:pPr>
            <w:r w:rsidRPr="6059F0A1">
              <w:rPr>
                <w:rFonts w:eastAsiaTheme="minorEastAsia"/>
              </w:rPr>
              <w:t>It is expected the protocol will be finalised in 2018.</w:t>
            </w:r>
          </w:p>
        </w:tc>
      </w:tr>
      <w:tr w:rsidR="00D86B06" w:rsidRPr="00B140C3" w14:paraId="34D3855E" w14:textId="77777777" w:rsidTr="009F1DD9">
        <w:trPr>
          <w:divId w:val="400838118"/>
          <w:trHeight w:val="870"/>
        </w:trPr>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2CDE971C" w14:textId="38348834" w:rsidR="00D86B06" w:rsidRPr="009F1DD9" w:rsidRDefault="00801AE3" w:rsidP="00C70D2D">
            <w:pPr>
              <w:spacing w:after="120" w:line="240" w:lineRule="auto"/>
              <w:jc w:val="left"/>
              <w:rPr>
                <w:rFonts w:eastAsiaTheme="minorEastAsia"/>
              </w:rPr>
            </w:pPr>
            <w:r>
              <w:rPr>
                <w:rFonts w:eastAsiaTheme="minorEastAsia"/>
              </w:rPr>
              <w:t>Address older people</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7257E0B7" w14:textId="6F2C8FBB" w:rsidR="00D86B06" w:rsidRPr="009F1DD9" w:rsidRDefault="00D86B06" w:rsidP="00C70D2D">
            <w:pPr>
              <w:spacing w:after="120" w:line="240" w:lineRule="auto"/>
              <w:jc w:val="left"/>
              <w:rPr>
                <w:rFonts w:eastAsiaTheme="minorEastAsia"/>
              </w:rPr>
            </w:pPr>
            <w:r w:rsidRPr="6059F0A1">
              <w:rPr>
                <w:rFonts w:eastAsiaTheme="minorEastAsia"/>
              </w:rPr>
              <w:t>Aged Housing Program</w:t>
            </w:r>
          </w:p>
        </w:tc>
        <w:tc>
          <w:tcPr>
            <w:tcW w:w="0" w:type="auto"/>
            <w:tcBorders>
              <w:top w:val="single" w:sz="6" w:space="0" w:color="4F81BD" w:themeColor="accent1"/>
              <w:left w:val="single" w:sz="6" w:space="0" w:color="4F81BD" w:themeColor="accent1"/>
              <w:bottom w:val="single" w:sz="6" w:space="0" w:color="4F81BD" w:themeColor="accent1"/>
              <w:right w:val="single" w:sz="6" w:space="0" w:color="4F81BD" w:themeColor="accent1"/>
            </w:tcBorders>
          </w:tcPr>
          <w:p w14:paraId="1C1C7639" w14:textId="77777777" w:rsidR="00D86B06" w:rsidRPr="009F1DD9" w:rsidRDefault="00D86B06" w:rsidP="00C70D2D">
            <w:pPr>
              <w:spacing w:after="120" w:line="240" w:lineRule="auto"/>
              <w:jc w:val="left"/>
              <w:rPr>
                <w:rFonts w:eastAsiaTheme="minorEastAsia"/>
              </w:rPr>
            </w:pPr>
            <w:r w:rsidRPr="6059F0A1">
              <w:rPr>
                <w:rFonts w:eastAsiaTheme="minorEastAsia"/>
              </w:rPr>
              <w:t>A review of the existing aged housing program to be undertaken to provide recommendations on service development for older people.</w:t>
            </w:r>
          </w:p>
          <w:p w14:paraId="3054BAA0" w14:textId="43398918" w:rsidR="00D86B06" w:rsidRPr="009F1DD9" w:rsidRDefault="00D86B06" w:rsidP="00C70D2D">
            <w:pPr>
              <w:spacing w:after="120" w:line="240" w:lineRule="auto"/>
              <w:jc w:val="left"/>
              <w:rPr>
                <w:rFonts w:eastAsiaTheme="minorEastAsia"/>
              </w:rPr>
            </w:pPr>
            <w:r w:rsidRPr="6059F0A1">
              <w:rPr>
                <w:rFonts w:eastAsiaTheme="minorEastAsia"/>
              </w:rPr>
              <w:t>Timeframes are yet to be confirmed.</w:t>
            </w:r>
          </w:p>
        </w:tc>
      </w:tr>
    </w:tbl>
    <w:p w14:paraId="0E421279" w14:textId="39A63BC6" w:rsidR="00BE1AEA" w:rsidRDefault="00BE1AEA" w:rsidP="00AF76A1">
      <w:pPr>
        <w:pStyle w:val="ScheduleNumberedPara"/>
      </w:pPr>
    </w:p>
    <w:p w14:paraId="457A3386" w14:textId="5BC8292D" w:rsidR="00E14A37" w:rsidRDefault="04DFC999" w:rsidP="00E14A37">
      <w:pPr>
        <w:pStyle w:val="Heading1"/>
      </w:pPr>
      <w:r>
        <w:t>part 4 – Joint reform commitments</w:t>
      </w:r>
    </w:p>
    <w:p w14:paraId="2C384210" w14:textId="62FC9782" w:rsidR="00E91064" w:rsidRDefault="00E91064" w:rsidP="009A09E7">
      <w:pPr>
        <w:pStyle w:val="OutlineNumbered1"/>
      </w:pPr>
      <w:r>
        <w:t xml:space="preserve">South Australia and the Commonwealth will explore opportunities to share data and undertake agreed </w:t>
      </w:r>
      <w:r w:rsidRPr="008E2437">
        <w:t>projects</w:t>
      </w:r>
      <w:r>
        <w:t xml:space="preserve"> to share and link social housing and homelessness data with social security and other databases.</w:t>
      </w:r>
    </w:p>
    <w:p w14:paraId="4814A1F6" w14:textId="77777777" w:rsidR="00E91064" w:rsidRPr="00E91064" w:rsidRDefault="00E91064" w:rsidP="00C70D2D">
      <w:pPr>
        <w:pStyle w:val="ScheduleNumberedPara"/>
        <w:rPr>
          <w:rFonts w:ascii="Consolas" w:eastAsia="Times New Roman" w:hAnsi="Consolas" w:cs="Arial"/>
          <w:bCs/>
          <w:caps/>
          <w:color w:val="3D4B67"/>
          <w:kern w:val="32"/>
          <w:sz w:val="32"/>
          <w:szCs w:val="36"/>
          <w:lang w:eastAsia="en-AU"/>
        </w:rPr>
      </w:pPr>
      <w:r w:rsidRPr="00E91064">
        <w:rPr>
          <w:rFonts w:ascii="Consolas" w:eastAsia="Times New Roman" w:hAnsi="Consolas" w:cs="Arial"/>
          <w:bCs/>
          <w:caps/>
          <w:color w:val="3D4B67"/>
          <w:kern w:val="32"/>
          <w:sz w:val="32"/>
          <w:szCs w:val="36"/>
          <w:lang w:eastAsia="en-AU"/>
        </w:rPr>
        <w:t xml:space="preserve">PART 5 – STATE-SPECIFIC MEASUREMENT </w:t>
      </w:r>
    </w:p>
    <w:p w14:paraId="6632C353" w14:textId="1AD32624" w:rsidR="00E91064" w:rsidRPr="0028623C" w:rsidRDefault="00E91064" w:rsidP="009A09E7">
      <w:pPr>
        <w:pStyle w:val="OutlineNumbered1"/>
      </w:pPr>
      <w:r w:rsidRPr="008E2437">
        <w:t>State-specific indicators may be agreed between the Parties from time to time</w:t>
      </w:r>
      <w:r w:rsidRPr="0028623C">
        <w:t>.</w:t>
      </w:r>
    </w:p>
    <w:p w14:paraId="0AAA0491" w14:textId="1C0DBF1D" w:rsidR="002359A5" w:rsidRDefault="04DFC999" w:rsidP="122DC550">
      <w:pPr>
        <w:pStyle w:val="Heading1"/>
      </w:pPr>
      <w:r>
        <w:t xml:space="preserve">Part </w:t>
      </w:r>
      <w:r w:rsidR="00E91064">
        <w:t>6</w:t>
      </w:r>
      <w:r>
        <w:t xml:space="preserve"> – </w:t>
      </w:r>
      <w:r w:rsidR="002359A5">
        <w:t>reporting</w:t>
      </w:r>
    </w:p>
    <w:p w14:paraId="75ED3914" w14:textId="56291B12" w:rsidR="003D506E" w:rsidRPr="00C07EC0" w:rsidRDefault="00801AE3" w:rsidP="009A09E7">
      <w:pPr>
        <w:pStyle w:val="OutlineNumbered1"/>
      </w:pPr>
      <w:r w:rsidRPr="00C07EC0">
        <w:t>As required by clause 40 of the Agreement, South Australia will produce an annual report on the implementation of the reforms and initiatives agreed in Part 2 and 3 of this Schedule</w:t>
      </w:r>
      <w:r w:rsidR="00D67CFB" w:rsidRPr="00C07EC0">
        <w:t xml:space="preserve"> as appropriate</w:t>
      </w:r>
      <w:r w:rsidRPr="00C07EC0">
        <w:t>. The report will be provided to the Commonwealth Minister with portfolio responsibility for housing and homelessness</w:t>
      </w:r>
      <w:r w:rsidR="007F4A1E">
        <w:t xml:space="preserve"> </w:t>
      </w:r>
      <w:r w:rsidR="007F4A1E" w:rsidRPr="008E2437">
        <w:t xml:space="preserve">by </w:t>
      </w:r>
      <w:r w:rsidR="007F4A1E" w:rsidRPr="0028623C">
        <w:t>31 October</w:t>
      </w:r>
      <w:r w:rsidR="007F4A1E" w:rsidRPr="00393BB7">
        <w:t xml:space="preserve"> </w:t>
      </w:r>
      <w:r w:rsidR="00E91064">
        <w:t>of the following financial year</w:t>
      </w:r>
      <w:r w:rsidR="007F4A1E">
        <w:t>. The annual report can be made public by either party.</w:t>
      </w:r>
    </w:p>
    <w:p w14:paraId="0585DA0D" w14:textId="4521D2A6" w:rsidR="00BE3650" w:rsidRDefault="00BE3650" w:rsidP="00BE3650">
      <w:pPr>
        <w:pStyle w:val="Heading1"/>
      </w:pPr>
      <w:r>
        <w:t>Part 7 – Other conditions/priority policy areas</w:t>
      </w:r>
    </w:p>
    <w:p w14:paraId="6EE89E8A" w14:textId="1A66A81F" w:rsidR="00BE3650" w:rsidRPr="00C07EC0" w:rsidRDefault="00BE3650" w:rsidP="009A09E7">
      <w:pPr>
        <w:pStyle w:val="OutlineNumbered1"/>
      </w:pPr>
      <w:r>
        <w:t>Other conditions</w:t>
      </w:r>
      <w:r w:rsidRPr="00BE3650">
        <w:t xml:space="preserve"> </w:t>
      </w:r>
      <w:r w:rsidRPr="00A960D5">
        <w:t>and/or priority policy areas may be agreed between the Parties from time to time.</w:t>
      </w:r>
    </w:p>
    <w:p w14:paraId="50681CB3" w14:textId="77777777" w:rsidR="00BE3650" w:rsidRPr="00BE3650" w:rsidRDefault="00BE3650" w:rsidP="00C50711"/>
    <w:p w14:paraId="0E340B5B" w14:textId="77777777" w:rsidR="001B2110" w:rsidRDefault="001B2110">
      <w:pPr>
        <w:spacing w:after="200" w:line="276" w:lineRule="auto"/>
        <w:jc w:val="left"/>
        <w:rPr>
          <w:rFonts w:ascii="Consolas" w:hAnsi="Consolas" w:cs="Arial"/>
          <w:bCs/>
          <w:caps/>
          <w:color w:val="3D4B67"/>
          <w:kern w:val="32"/>
          <w:sz w:val="32"/>
          <w:szCs w:val="36"/>
        </w:rPr>
      </w:pPr>
      <w:r>
        <w:br w:type="page"/>
      </w:r>
    </w:p>
    <w:p w14:paraId="701465D5" w14:textId="64FFF396" w:rsidR="003E00B6" w:rsidRDefault="002526CD" w:rsidP="003E00B6">
      <w:pPr>
        <w:pStyle w:val="Heading1"/>
      </w:pPr>
      <w:r>
        <w:lastRenderedPageBreak/>
        <w:t xml:space="preserve">Part </w:t>
      </w:r>
      <w:r w:rsidR="00BE3650">
        <w:t>8</w:t>
      </w:r>
      <w:r w:rsidR="0042723E">
        <w:t xml:space="preserve"> </w:t>
      </w:r>
      <w:r w:rsidR="00695488">
        <w:t>–</w:t>
      </w:r>
      <w:r w:rsidR="003E00B6">
        <w:t xml:space="preserve"> Sign Off</w:t>
      </w:r>
    </w:p>
    <w:p w14:paraId="5993A293" w14:textId="77777777" w:rsidR="003E00B6" w:rsidRDefault="003E00B6" w:rsidP="009A09E7">
      <w:pPr>
        <w:pStyle w:val="OutlineNumbered1"/>
      </w:pPr>
      <w:r>
        <w:t>The Parties have confirmed their commitment to this agreement as follows:</w:t>
      </w:r>
    </w:p>
    <w:p w14:paraId="0FD0C788" w14:textId="77777777" w:rsidR="003E00B6" w:rsidRDefault="003E00B6" w:rsidP="003E00B6">
      <w:pPr>
        <w:pStyle w:val="ScheduleNumberedPara"/>
        <w:rPr>
          <w:rFonts w:ascii="Times New Roman" w:hAnsi="Times New Roman"/>
          <w:color w:val="auto"/>
          <w:sz w:val="24"/>
          <w:szCs w:val="24"/>
        </w:rPr>
      </w:pPr>
      <w:r w:rsidRPr="005A3585">
        <w:rPr>
          <w:rFonts w:ascii="Times New Roman" w:hAnsi="Times New Roman"/>
          <w:b/>
          <w:bCs/>
          <w:color w:val="auto"/>
          <w:sz w:val="24"/>
          <w:szCs w:val="24"/>
        </w:rPr>
        <w:t>Signed</w:t>
      </w:r>
      <w:r>
        <w:rPr>
          <w:rFonts w:ascii="Times New Roman" w:hAnsi="Times New Roman"/>
          <w:color w:val="auto"/>
          <w:sz w:val="24"/>
          <w:szCs w:val="24"/>
        </w:rPr>
        <w:t xml:space="preserve"> </w:t>
      </w:r>
      <w:r w:rsidRPr="005A3585">
        <w:rPr>
          <w:rFonts w:ascii="Times New Roman" w:hAnsi="Times New Roman"/>
          <w:i/>
          <w:iCs/>
          <w:color w:val="auto"/>
          <w:sz w:val="24"/>
          <w:szCs w:val="24"/>
        </w:rPr>
        <w:t>for and on behalf of the Commonwealth of Australia by</w:t>
      </w:r>
    </w:p>
    <w:p w14:paraId="578375FC" w14:textId="77777777" w:rsidR="003E00B6" w:rsidRDefault="003E00B6" w:rsidP="003E00B6">
      <w:pPr>
        <w:pStyle w:val="ScheduleNumberedPara"/>
        <w:rPr>
          <w:color w:val="auto"/>
          <w:szCs w:val="20"/>
        </w:rPr>
      </w:pPr>
    </w:p>
    <w:p w14:paraId="69522C9F" w14:textId="77777777" w:rsidR="003E00B6" w:rsidRDefault="003E00B6" w:rsidP="003E00B6">
      <w:pPr>
        <w:pStyle w:val="ScheduleNumberedPara"/>
        <w:rPr>
          <w:color w:val="auto"/>
        </w:rPr>
      </w:pPr>
    </w:p>
    <w:p w14:paraId="1086B511" w14:textId="77777777" w:rsidR="003E00B6" w:rsidRDefault="003E00B6" w:rsidP="003E00B6">
      <w:pPr>
        <w:pStyle w:val="ScheduleNumberedPara"/>
        <w:rPr>
          <w:color w:val="auto"/>
        </w:rPr>
      </w:pPr>
    </w:p>
    <w:p w14:paraId="1ADD16D5" w14:textId="77777777" w:rsidR="003E00B6" w:rsidRDefault="003E00B6" w:rsidP="003E00B6">
      <w:pPr>
        <w:pStyle w:val="ScheduleNumberedPara"/>
        <w:tabs>
          <w:tab w:val="num" w:pos="2268"/>
        </w:tabs>
        <w:rPr>
          <w:color w:val="auto"/>
        </w:rPr>
      </w:pPr>
      <w:r>
        <w:rPr>
          <w:color w:val="auto"/>
        </w:rPr>
        <w:t>-----------------------------------------------------</w:t>
      </w:r>
    </w:p>
    <w:p w14:paraId="2EC1B210" w14:textId="4A30B2BE" w:rsidR="003E00B6" w:rsidRDefault="003E00B6" w:rsidP="003E00B6">
      <w:pPr>
        <w:pStyle w:val="SingleParagraph"/>
        <w:rPr>
          <w:rStyle w:val="Bold"/>
        </w:rPr>
      </w:pPr>
      <w:r>
        <w:rPr>
          <w:rStyle w:val="Bold"/>
        </w:rPr>
        <w:t xml:space="preserve">The Honourable </w:t>
      </w:r>
      <w:r w:rsidR="00412674">
        <w:rPr>
          <w:rStyle w:val="Bold"/>
        </w:rPr>
        <w:t>Scott Morrison</w:t>
      </w:r>
      <w:r>
        <w:rPr>
          <w:rStyle w:val="Bold"/>
        </w:rPr>
        <w:t xml:space="preserve"> MP</w:t>
      </w:r>
    </w:p>
    <w:p w14:paraId="57D8CAA1" w14:textId="49460E2C" w:rsidR="003E00B6" w:rsidRDefault="00412674" w:rsidP="003E00B6">
      <w:pPr>
        <w:pStyle w:val="Position"/>
        <w:rPr>
          <w:lang w:val="en-GB"/>
        </w:rPr>
      </w:pPr>
      <w:r>
        <w:rPr>
          <w:lang w:val="en-GB"/>
        </w:rPr>
        <w:t>Treasurer of the Commonwealth of Australia</w:t>
      </w:r>
    </w:p>
    <w:p w14:paraId="32E272E2" w14:textId="77777777" w:rsidR="003E00B6" w:rsidRDefault="003E00B6" w:rsidP="003E00B6">
      <w:pPr>
        <w:pStyle w:val="ScheduleNumberedPara"/>
        <w:rPr>
          <w:lang w:val="en-GB"/>
        </w:rPr>
      </w:pPr>
      <w:r>
        <w:rPr>
          <w:lang w:val="en-GB"/>
        </w:rPr>
        <w:t>[Day]  [Month]  [Year]</w:t>
      </w:r>
    </w:p>
    <w:p w14:paraId="345E0D43" w14:textId="77777777" w:rsidR="003E00B6" w:rsidRDefault="003E00B6" w:rsidP="003E00B6">
      <w:pPr>
        <w:pStyle w:val="ScheduleNumberedPara"/>
        <w:rPr>
          <w:lang w:val="en-GB"/>
        </w:rPr>
      </w:pPr>
    </w:p>
    <w:p w14:paraId="172F8FEB" w14:textId="52E45F9E" w:rsidR="003E00B6" w:rsidRDefault="003E00B6" w:rsidP="04DFC999">
      <w:pPr>
        <w:pStyle w:val="ScheduleNumberedPara"/>
        <w:rPr>
          <w:rFonts w:ascii="Times New Roman" w:hAnsi="Times New Roman"/>
          <w:color w:val="auto"/>
          <w:sz w:val="24"/>
          <w:szCs w:val="24"/>
        </w:rPr>
      </w:pPr>
      <w:r w:rsidRPr="04DFC999">
        <w:rPr>
          <w:rFonts w:ascii="Times New Roman" w:hAnsi="Times New Roman"/>
          <w:b/>
          <w:bCs/>
          <w:color w:val="auto"/>
          <w:sz w:val="24"/>
          <w:szCs w:val="24"/>
        </w:rPr>
        <w:t>Signed</w:t>
      </w:r>
      <w:r>
        <w:rPr>
          <w:rFonts w:ascii="Times New Roman" w:hAnsi="Times New Roman"/>
          <w:color w:val="auto"/>
          <w:sz w:val="24"/>
          <w:szCs w:val="24"/>
        </w:rPr>
        <w:t xml:space="preserve"> </w:t>
      </w:r>
      <w:r w:rsidRPr="6059F0A1">
        <w:rPr>
          <w:rFonts w:ascii="Times New Roman" w:hAnsi="Times New Roman"/>
          <w:i/>
          <w:iCs/>
          <w:color w:val="auto"/>
          <w:sz w:val="24"/>
          <w:szCs w:val="24"/>
        </w:rPr>
        <w:t xml:space="preserve">for and on behalf of </w:t>
      </w:r>
      <w:r w:rsidR="0042723E" w:rsidRPr="6059F0A1">
        <w:rPr>
          <w:rFonts w:ascii="Times New Roman" w:hAnsi="Times New Roman"/>
          <w:i/>
          <w:iCs/>
          <w:color w:val="auto"/>
          <w:sz w:val="24"/>
          <w:szCs w:val="24"/>
        </w:rPr>
        <w:t>South Australia</w:t>
      </w:r>
      <w:r w:rsidRPr="6059F0A1">
        <w:rPr>
          <w:rFonts w:ascii="Times New Roman" w:hAnsi="Times New Roman"/>
          <w:i/>
          <w:iCs/>
          <w:color w:val="auto"/>
          <w:sz w:val="24"/>
          <w:szCs w:val="24"/>
        </w:rPr>
        <w:t xml:space="preserve"> by</w:t>
      </w:r>
    </w:p>
    <w:p w14:paraId="16B0F647" w14:textId="77777777" w:rsidR="003E00B6" w:rsidRDefault="003E00B6" w:rsidP="003E00B6">
      <w:pPr>
        <w:pStyle w:val="ScheduleNumberedPara"/>
        <w:rPr>
          <w:color w:val="auto"/>
          <w:szCs w:val="20"/>
        </w:rPr>
      </w:pPr>
    </w:p>
    <w:p w14:paraId="1DE4B559" w14:textId="77777777" w:rsidR="003E00B6" w:rsidRDefault="003E00B6" w:rsidP="003E00B6">
      <w:pPr>
        <w:pStyle w:val="ScheduleNumberedPara"/>
        <w:rPr>
          <w:color w:val="auto"/>
        </w:rPr>
      </w:pPr>
    </w:p>
    <w:p w14:paraId="6A0DC99B" w14:textId="77777777" w:rsidR="003E00B6" w:rsidRDefault="003E00B6" w:rsidP="003E00B6">
      <w:pPr>
        <w:pStyle w:val="ScheduleNumberedPara"/>
        <w:rPr>
          <w:color w:val="auto"/>
        </w:rPr>
      </w:pPr>
    </w:p>
    <w:p w14:paraId="2DFC3AF1" w14:textId="77777777" w:rsidR="003E00B6" w:rsidRDefault="003E00B6" w:rsidP="003E00B6">
      <w:pPr>
        <w:pStyle w:val="ScheduleNumberedPara"/>
        <w:tabs>
          <w:tab w:val="num" w:pos="2268"/>
        </w:tabs>
        <w:rPr>
          <w:color w:val="auto"/>
        </w:rPr>
      </w:pPr>
      <w:r>
        <w:rPr>
          <w:color w:val="auto"/>
        </w:rPr>
        <w:t>-----------------------------------------------------</w:t>
      </w:r>
    </w:p>
    <w:p w14:paraId="406DFE27" w14:textId="14D54BCF" w:rsidR="003E00B6" w:rsidRDefault="003E00B6" w:rsidP="003E00B6">
      <w:pPr>
        <w:pStyle w:val="SingleParagraph"/>
        <w:rPr>
          <w:rStyle w:val="Bold"/>
        </w:rPr>
      </w:pPr>
      <w:r>
        <w:rPr>
          <w:rStyle w:val="Bold"/>
        </w:rPr>
        <w:t xml:space="preserve">The Honourable </w:t>
      </w:r>
      <w:r w:rsidR="00925185">
        <w:rPr>
          <w:rStyle w:val="Bold"/>
        </w:rPr>
        <w:t xml:space="preserve">Michelle </w:t>
      </w:r>
      <w:proofErr w:type="spellStart"/>
      <w:r w:rsidR="00925185">
        <w:rPr>
          <w:rStyle w:val="Bold"/>
        </w:rPr>
        <w:t>Lensink</w:t>
      </w:r>
      <w:proofErr w:type="spellEnd"/>
      <w:r w:rsidR="00B1488B">
        <w:rPr>
          <w:rStyle w:val="Bold"/>
        </w:rPr>
        <w:t xml:space="preserve"> MLC</w:t>
      </w:r>
    </w:p>
    <w:p w14:paraId="56BBE666" w14:textId="1F19189F" w:rsidR="003E00B6" w:rsidRDefault="003E00B6" w:rsidP="003E00B6">
      <w:pPr>
        <w:pStyle w:val="Position"/>
        <w:rPr>
          <w:lang w:val="en-GB"/>
        </w:rPr>
      </w:pPr>
      <w:r>
        <w:rPr>
          <w:lang w:val="en-GB"/>
        </w:rPr>
        <w:t xml:space="preserve">Minister for </w:t>
      </w:r>
      <w:r w:rsidR="00925185">
        <w:rPr>
          <w:lang w:val="en-GB"/>
        </w:rPr>
        <w:t>Human Services</w:t>
      </w:r>
      <w:r>
        <w:rPr>
          <w:lang w:val="en-GB"/>
        </w:rPr>
        <w:t xml:space="preserve"> </w:t>
      </w:r>
    </w:p>
    <w:p w14:paraId="0182B4CB" w14:textId="77777777" w:rsidR="003E00B6" w:rsidRPr="009F1DD9" w:rsidRDefault="003E00B6">
      <w:pPr>
        <w:pStyle w:val="ScheduleNumberedPara"/>
        <w:rPr>
          <w:b/>
          <w:color w:val="FF0000"/>
        </w:rPr>
      </w:pPr>
      <w:r>
        <w:rPr>
          <w:lang w:val="en-GB"/>
        </w:rPr>
        <w:t>[Day]  [Month]  [Year]</w:t>
      </w:r>
    </w:p>
    <w:p w14:paraId="0E5E8C24" w14:textId="77777777" w:rsidR="003E00B6" w:rsidRDefault="003E00B6" w:rsidP="003E00B6"/>
    <w:p w14:paraId="77ECBB1B" w14:textId="77777777" w:rsidR="00CF683F" w:rsidRPr="003E00B6" w:rsidRDefault="00CF683F" w:rsidP="003E00B6"/>
    <w:sectPr w:rsidR="00CF683F" w:rsidRPr="003E00B6" w:rsidSect="00C924A7">
      <w:footerReference w:type="default" r:id="rId14"/>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FAE87" w14:textId="77777777" w:rsidR="009B7DA8" w:rsidRDefault="009B7DA8" w:rsidP="00066850">
      <w:pPr>
        <w:spacing w:after="0" w:line="240" w:lineRule="auto"/>
      </w:pPr>
      <w:r>
        <w:separator/>
      </w:r>
    </w:p>
  </w:endnote>
  <w:endnote w:type="continuationSeparator" w:id="0">
    <w:p w14:paraId="1C9FDF7C" w14:textId="77777777" w:rsidR="009B7DA8" w:rsidRDefault="009B7DA8" w:rsidP="00066850">
      <w:pPr>
        <w:spacing w:after="0" w:line="240" w:lineRule="auto"/>
      </w:pPr>
      <w:r>
        <w:continuationSeparator/>
      </w:r>
    </w:p>
  </w:endnote>
  <w:endnote w:type="continuationNotice" w:id="1">
    <w:p w14:paraId="7E7F0C84" w14:textId="77777777" w:rsidR="009B7DA8" w:rsidRDefault="009B7D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514125"/>
      <w:docPartObj>
        <w:docPartGallery w:val="Page Numbers (Bottom of Page)"/>
        <w:docPartUnique/>
      </w:docPartObj>
    </w:sdtPr>
    <w:sdtEndPr/>
    <w:sdtContent>
      <w:sdt>
        <w:sdtPr>
          <w:id w:val="860082579"/>
          <w:docPartObj>
            <w:docPartGallery w:val="Page Numbers (Top of Page)"/>
            <w:docPartUnique/>
          </w:docPartObj>
        </w:sdtPr>
        <w:sdtEndPr/>
        <w:sdtContent>
          <w:p w14:paraId="35AB5725" w14:textId="359DF1D0" w:rsidR="00C33A7B" w:rsidRDefault="00C33A7B">
            <w:pPr>
              <w:pStyle w:val="Footer"/>
              <w:jc w:val="right"/>
            </w:pPr>
            <w:r w:rsidRPr="00C70D2D">
              <w:rPr>
                <w:sz w:val="16"/>
                <w:szCs w:val="16"/>
              </w:rPr>
              <w:t xml:space="preserve">Page </w:t>
            </w:r>
            <w:r w:rsidRPr="00C70D2D">
              <w:rPr>
                <w:b/>
                <w:bCs/>
                <w:sz w:val="16"/>
                <w:szCs w:val="16"/>
              </w:rPr>
              <w:fldChar w:fldCharType="begin"/>
            </w:r>
            <w:r w:rsidRPr="00C70D2D">
              <w:rPr>
                <w:b/>
                <w:bCs/>
                <w:sz w:val="16"/>
                <w:szCs w:val="16"/>
              </w:rPr>
              <w:instrText xml:space="preserve"> PAGE </w:instrText>
            </w:r>
            <w:r w:rsidRPr="00C70D2D">
              <w:rPr>
                <w:b/>
                <w:bCs/>
                <w:sz w:val="16"/>
                <w:szCs w:val="16"/>
              </w:rPr>
              <w:fldChar w:fldCharType="separate"/>
            </w:r>
            <w:r w:rsidR="002C148E">
              <w:rPr>
                <w:b/>
                <w:bCs/>
                <w:noProof/>
                <w:sz w:val="16"/>
                <w:szCs w:val="16"/>
              </w:rPr>
              <w:t>4</w:t>
            </w:r>
            <w:r w:rsidRPr="00C70D2D">
              <w:rPr>
                <w:b/>
                <w:bCs/>
                <w:sz w:val="16"/>
                <w:szCs w:val="16"/>
              </w:rPr>
              <w:fldChar w:fldCharType="end"/>
            </w:r>
            <w:r w:rsidRPr="00C70D2D">
              <w:rPr>
                <w:sz w:val="16"/>
                <w:szCs w:val="16"/>
              </w:rPr>
              <w:t xml:space="preserve"> of </w:t>
            </w:r>
            <w:r w:rsidRPr="00C70D2D">
              <w:rPr>
                <w:b/>
                <w:bCs/>
                <w:sz w:val="16"/>
                <w:szCs w:val="16"/>
              </w:rPr>
              <w:fldChar w:fldCharType="begin"/>
            </w:r>
            <w:r w:rsidRPr="00C70D2D">
              <w:rPr>
                <w:b/>
                <w:bCs/>
                <w:sz w:val="16"/>
                <w:szCs w:val="16"/>
              </w:rPr>
              <w:instrText xml:space="preserve"> NUMPAGES  </w:instrText>
            </w:r>
            <w:r w:rsidRPr="00C70D2D">
              <w:rPr>
                <w:b/>
                <w:bCs/>
                <w:sz w:val="16"/>
                <w:szCs w:val="16"/>
              </w:rPr>
              <w:fldChar w:fldCharType="separate"/>
            </w:r>
            <w:r w:rsidR="002C148E">
              <w:rPr>
                <w:b/>
                <w:bCs/>
                <w:noProof/>
                <w:sz w:val="16"/>
                <w:szCs w:val="16"/>
              </w:rPr>
              <w:t>8</w:t>
            </w:r>
            <w:r w:rsidRPr="00C70D2D">
              <w:rPr>
                <w:b/>
                <w:bCs/>
                <w:sz w:val="16"/>
                <w:szCs w:val="16"/>
              </w:rPr>
              <w:fldChar w:fldCharType="end"/>
            </w:r>
          </w:p>
        </w:sdtContent>
      </w:sdt>
    </w:sdtContent>
  </w:sdt>
  <w:p w14:paraId="0D27C303" w14:textId="77777777" w:rsidR="00C33A7B" w:rsidRDefault="00C33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6FEBD" w14:textId="77777777" w:rsidR="009B7DA8" w:rsidRDefault="009B7DA8" w:rsidP="00066850">
      <w:pPr>
        <w:spacing w:after="0" w:line="240" w:lineRule="auto"/>
      </w:pPr>
      <w:r>
        <w:separator/>
      </w:r>
    </w:p>
  </w:footnote>
  <w:footnote w:type="continuationSeparator" w:id="0">
    <w:p w14:paraId="6EB2ECF2" w14:textId="77777777" w:rsidR="009B7DA8" w:rsidRDefault="009B7DA8" w:rsidP="00066850">
      <w:pPr>
        <w:spacing w:after="0" w:line="240" w:lineRule="auto"/>
      </w:pPr>
      <w:r>
        <w:continuationSeparator/>
      </w:r>
    </w:p>
  </w:footnote>
  <w:footnote w:type="continuationNotice" w:id="1">
    <w:p w14:paraId="5E79621A" w14:textId="77777777" w:rsidR="009B7DA8" w:rsidRDefault="009B7DA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1">
    <w:nsid w:val="31902C51"/>
    <w:multiLevelType w:val="multilevel"/>
    <w:tmpl w:val="14320158"/>
    <w:name w:val="StandardBulletedList"/>
    <w:lvl w:ilvl="0">
      <w:start w:val="1"/>
      <w:numFmt w:val="bullet"/>
      <w:pStyle w:val="Bullet"/>
      <w:lvlText w:val="•"/>
      <w:lvlJc w:val="left"/>
      <w:pPr>
        <w:tabs>
          <w:tab w:val="num" w:pos="1086"/>
        </w:tabs>
        <w:ind w:left="1086" w:hanging="543"/>
      </w:pPr>
      <w:rPr>
        <w:rFonts w:ascii="Times New Roman" w:hAnsi="Times New Roman" w:cs="Times New Roman"/>
      </w:rPr>
    </w:lvl>
    <w:lvl w:ilvl="1">
      <w:start w:val="1"/>
      <w:numFmt w:val="bullet"/>
      <w:pStyle w:val="Dash"/>
      <w:lvlText w:val="–"/>
      <w:lvlJc w:val="left"/>
      <w:pPr>
        <w:tabs>
          <w:tab w:val="num" w:pos="1629"/>
        </w:tabs>
        <w:ind w:left="1629" w:hanging="543"/>
      </w:pPr>
      <w:rPr>
        <w:rFonts w:ascii="Times New Roman" w:hAnsi="Times New Roman" w:cs="Times New Roman"/>
      </w:rPr>
    </w:lvl>
    <w:lvl w:ilvl="2">
      <w:start w:val="1"/>
      <w:numFmt w:val="bullet"/>
      <w:pStyle w:val="DoubleDot"/>
      <w:lvlText w:val=":"/>
      <w:lvlJc w:val="left"/>
      <w:pPr>
        <w:tabs>
          <w:tab w:val="num" w:pos="2172"/>
        </w:tabs>
        <w:ind w:left="2172" w:hanging="543"/>
      </w:pPr>
      <w:rPr>
        <w:rFonts w:ascii="Times New Roman" w:hAnsi="Times New Roman" w:cs="Times New Roman"/>
      </w:rPr>
    </w:lvl>
    <w:lvl w:ilvl="3">
      <w:start w:val="1"/>
      <w:numFmt w:val="decimal"/>
      <w:lvlText w:val="(%4)"/>
      <w:lvlJc w:val="left"/>
      <w:pPr>
        <w:ind w:left="2526" w:hanging="360"/>
      </w:pPr>
    </w:lvl>
    <w:lvl w:ilvl="4">
      <w:start w:val="1"/>
      <w:numFmt w:val="lowerLetter"/>
      <w:lvlText w:val="(%5)"/>
      <w:lvlJc w:val="left"/>
      <w:pPr>
        <w:ind w:left="2886" w:hanging="360"/>
      </w:pPr>
    </w:lvl>
    <w:lvl w:ilvl="5">
      <w:start w:val="1"/>
      <w:numFmt w:val="lowerRoman"/>
      <w:lvlText w:val="(%6)"/>
      <w:lvlJc w:val="left"/>
      <w:pPr>
        <w:ind w:left="3246" w:hanging="360"/>
      </w:pPr>
    </w:lvl>
    <w:lvl w:ilvl="6">
      <w:start w:val="1"/>
      <w:numFmt w:val="decimal"/>
      <w:lvlText w:val="%7."/>
      <w:lvlJc w:val="left"/>
      <w:pPr>
        <w:ind w:left="3606" w:hanging="360"/>
      </w:pPr>
    </w:lvl>
    <w:lvl w:ilvl="7">
      <w:start w:val="1"/>
      <w:numFmt w:val="lowerLetter"/>
      <w:lvlText w:val="%8."/>
      <w:lvlJc w:val="left"/>
      <w:pPr>
        <w:ind w:left="3966" w:hanging="360"/>
      </w:pPr>
    </w:lvl>
    <w:lvl w:ilvl="8">
      <w:start w:val="1"/>
      <w:numFmt w:val="lowerRoman"/>
      <w:lvlText w:val="%9."/>
      <w:lvlJc w:val="left"/>
      <w:pPr>
        <w:ind w:left="4326" w:hanging="360"/>
      </w:pPr>
    </w:lvl>
  </w:abstractNum>
  <w:abstractNum w:abstractNumId="2">
    <w:nsid w:val="413D10C3"/>
    <w:multiLevelType w:val="multilevel"/>
    <w:tmpl w:val="24287B38"/>
    <w:lvl w:ilvl="0">
      <w:start w:val="8"/>
      <w:numFmt w:val="decimal"/>
      <w:pStyle w:val="OutlineNumbered1"/>
      <w:lvlText w:val="%1."/>
      <w:lvlJc w:val="left"/>
      <w:pPr>
        <w:tabs>
          <w:tab w:val="num" w:pos="543"/>
        </w:tabs>
        <w:ind w:left="543" w:hanging="543"/>
      </w:pPr>
      <w:rPr>
        <w:rFonts w:hint="default"/>
      </w:rPr>
    </w:lvl>
    <w:lvl w:ilvl="1">
      <w:start w:val="1"/>
      <w:numFmt w:val="decimal"/>
      <w:pStyle w:val="OutlineNumbered2"/>
      <w:lvlText w:val="%1.%2."/>
      <w:lvlJc w:val="left"/>
      <w:pPr>
        <w:tabs>
          <w:tab w:val="num" w:pos="1086"/>
        </w:tabs>
        <w:ind w:left="1086" w:hanging="543"/>
      </w:pPr>
      <w:rPr>
        <w:rFonts w:hint="default"/>
      </w:rPr>
    </w:lvl>
    <w:lvl w:ilvl="2">
      <w:start w:val="1"/>
      <w:numFmt w:val="decimal"/>
      <w:pStyle w:val="OutlineNumbered3"/>
      <w:lvlText w:val="%1.%2.%3."/>
      <w:lvlJc w:val="left"/>
      <w:pPr>
        <w:tabs>
          <w:tab w:val="num" w:pos="1629"/>
        </w:tabs>
        <w:ind w:left="1629" w:hanging="54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67958A1"/>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851"/>
        </w:tabs>
        <w:ind w:left="851"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4">
    <w:nsid w:val="49B86D36"/>
    <w:multiLevelType w:val="hybridMultilevel"/>
    <w:tmpl w:val="A9C2EE7E"/>
    <w:lvl w:ilvl="0" w:tplc="23CCA064">
      <w:numFmt w:val="bullet"/>
      <w:lvlText w:val="-"/>
      <w:lvlJc w:val="left"/>
      <w:pPr>
        <w:ind w:left="720" w:hanging="360"/>
      </w:pPr>
      <w:rPr>
        <w:rFonts w:ascii="Corbel" w:eastAsiaTheme="minorHAnsi" w:hAnsi="Corbe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674BE8"/>
    <w:multiLevelType w:val="hybridMultilevel"/>
    <w:tmpl w:val="35A21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5514557"/>
    <w:multiLevelType w:val="hybridMultilevel"/>
    <w:tmpl w:val="C8D4E15E"/>
    <w:lvl w:ilvl="0" w:tplc="660EB736">
      <w:start w:val="1"/>
      <w:numFmt w:val="lowerLetter"/>
      <w:lvlText w:val="(%1)"/>
      <w:lvlJc w:val="left"/>
      <w:pPr>
        <w:ind w:left="1287" w:hanging="360"/>
      </w:pPr>
      <w:rPr>
        <w:rFonts w:cs="Times New Roman"/>
      </w:rPr>
    </w:lvl>
    <w:lvl w:ilvl="1" w:tplc="0C090019">
      <w:start w:val="1"/>
      <w:numFmt w:val="lowerLetter"/>
      <w:lvlText w:val="%2."/>
      <w:lvlJc w:val="left"/>
      <w:pPr>
        <w:ind w:left="2007" w:hanging="360"/>
      </w:pPr>
      <w:rPr>
        <w:rFonts w:cs="Times New Roman"/>
      </w:rPr>
    </w:lvl>
    <w:lvl w:ilvl="2" w:tplc="0C09001B">
      <w:start w:val="1"/>
      <w:numFmt w:val="lowerRoman"/>
      <w:lvlText w:val="%3."/>
      <w:lvlJc w:val="right"/>
      <w:pPr>
        <w:ind w:left="2727" w:hanging="180"/>
      </w:pPr>
      <w:rPr>
        <w:rFonts w:cs="Times New Roman"/>
      </w:rPr>
    </w:lvl>
    <w:lvl w:ilvl="3" w:tplc="0C09000F">
      <w:start w:val="1"/>
      <w:numFmt w:val="decimal"/>
      <w:lvlText w:val="%4."/>
      <w:lvlJc w:val="left"/>
      <w:pPr>
        <w:ind w:left="3447" w:hanging="360"/>
      </w:pPr>
      <w:rPr>
        <w:rFonts w:cs="Times New Roman"/>
      </w:rPr>
    </w:lvl>
    <w:lvl w:ilvl="4" w:tplc="0C090019">
      <w:start w:val="1"/>
      <w:numFmt w:val="lowerLetter"/>
      <w:lvlText w:val="%5."/>
      <w:lvlJc w:val="left"/>
      <w:pPr>
        <w:ind w:left="4167" w:hanging="360"/>
      </w:pPr>
      <w:rPr>
        <w:rFonts w:cs="Times New Roman"/>
      </w:rPr>
    </w:lvl>
    <w:lvl w:ilvl="5" w:tplc="0C09001B">
      <w:start w:val="1"/>
      <w:numFmt w:val="lowerRoman"/>
      <w:lvlText w:val="%6."/>
      <w:lvlJc w:val="right"/>
      <w:pPr>
        <w:ind w:left="4887" w:hanging="180"/>
      </w:pPr>
      <w:rPr>
        <w:rFonts w:cs="Times New Roman"/>
      </w:rPr>
    </w:lvl>
    <w:lvl w:ilvl="6" w:tplc="0C09000F">
      <w:start w:val="1"/>
      <w:numFmt w:val="decimal"/>
      <w:lvlText w:val="%7."/>
      <w:lvlJc w:val="left"/>
      <w:pPr>
        <w:ind w:left="5607" w:hanging="360"/>
      </w:pPr>
      <w:rPr>
        <w:rFonts w:cs="Times New Roman"/>
      </w:rPr>
    </w:lvl>
    <w:lvl w:ilvl="7" w:tplc="0C090019">
      <w:start w:val="1"/>
      <w:numFmt w:val="lowerLetter"/>
      <w:lvlText w:val="%8."/>
      <w:lvlJc w:val="left"/>
      <w:pPr>
        <w:ind w:left="6327" w:hanging="360"/>
      </w:pPr>
      <w:rPr>
        <w:rFonts w:cs="Times New Roman"/>
      </w:rPr>
    </w:lvl>
    <w:lvl w:ilvl="8" w:tplc="0C09001B">
      <w:start w:val="1"/>
      <w:numFmt w:val="lowerRoman"/>
      <w:lvlText w:val="%9."/>
      <w:lvlJc w:val="right"/>
      <w:pPr>
        <w:ind w:left="7047" w:hanging="180"/>
      </w:pPr>
      <w:rPr>
        <w:rFonts w:cs="Times New Roman"/>
      </w:rPr>
    </w:lvl>
  </w:abstractNum>
  <w:abstractNum w:abstractNumId="7">
    <w:nsid w:val="6D162660"/>
    <w:multiLevelType w:val="multilevel"/>
    <w:tmpl w:val="6E261D0E"/>
    <w:lvl w:ilvl="0">
      <w:start w:val="1"/>
      <w:numFmt w:val="upperLetter"/>
      <w:suff w:val="nothing"/>
      <w:lvlText w:val="%1"/>
      <w:lvlJc w:val="left"/>
      <w:pPr>
        <w:ind w:left="0" w:firstLine="0"/>
      </w:pPr>
      <w:rPr>
        <w:rFonts w:cs="Times New Roman"/>
      </w:rPr>
    </w:lvl>
    <w:lvl w:ilvl="1">
      <w:start w:val="1"/>
      <w:numFmt w:val="decimal"/>
      <w:lvlText w:val="%2."/>
      <w:lvlJc w:val="left"/>
      <w:pPr>
        <w:tabs>
          <w:tab w:val="num" w:pos="851"/>
        </w:tabs>
        <w:ind w:left="851" w:hanging="567"/>
      </w:pPr>
      <w:rPr>
        <w:rFonts w:cs="Times New Roman"/>
      </w:rPr>
    </w:lvl>
    <w:lvl w:ilvl="2">
      <w:start w:val="1"/>
      <w:numFmt w:val="lowerRoman"/>
      <w:lvlText w:val="%3."/>
      <w:lvlJc w:val="righ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righ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right"/>
      <w:pPr>
        <w:tabs>
          <w:tab w:val="num" w:pos="5913"/>
        </w:tabs>
        <w:ind w:left="5913" w:hanging="180"/>
      </w:pPr>
      <w:rPr>
        <w:rFonts w:cs="Times New Roman"/>
      </w:rPr>
    </w:lvl>
  </w:abstractNum>
  <w:abstractNum w:abstractNumId="8">
    <w:nsid w:val="73E61554"/>
    <w:multiLevelType w:val="hybridMultilevel"/>
    <w:tmpl w:val="DE68F4E0"/>
    <w:lvl w:ilvl="0" w:tplc="D6725B7E">
      <w:start w:val="1"/>
      <w:numFmt w:val="decimal"/>
      <w:lvlText w:val="%1."/>
      <w:lvlJc w:val="left"/>
      <w:pPr>
        <w:ind w:left="720" w:hanging="360"/>
      </w:pPr>
    </w:lvl>
    <w:lvl w:ilvl="1" w:tplc="6F129192">
      <w:start w:val="1"/>
      <w:numFmt w:val="lowerLetter"/>
      <w:lvlText w:val="%2."/>
      <w:lvlJc w:val="left"/>
      <w:pPr>
        <w:ind w:left="1440" w:hanging="360"/>
      </w:pPr>
    </w:lvl>
    <w:lvl w:ilvl="2" w:tplc="24949268">
      <w:start w:val="1"/>
      <w:numFmt w:val="lowerRoman"/>
      <w:lvlText w:val="%3."/>
      <w:lvlJc w:val="right"/>
      <w:pPr>
        <w:ind w:left="2160" w:hanging="180"/>
      </w:pPr>
    </w:lvl>
    <w:lvl w:ilvl="3" w:tplc="025A8262">
      <w:start w:val="1"/>
      <w:numFmt w:val="decimal"/>
      <w:lvlText w:val="%4."/>
      <w:lvlJc w:val="left"/>
      <w:pPr>
        <w:ind w:left="2880" w:hanging="360"/>
      </w:pPr>
    </w:lvl>
    <w:lvl w:ilvl="4" w:tplc="5A26E676">
      <w:start w:val="1"/>
      <w:numFmt w:val="lowerLetter"/>
      <w:lvlText w:val="%5."/>
      <w:lvlJc w:val="left"/>
      <w:pPr>
        <w:ind w:left="3600" w:hanging="360"/>
      </w:pPr>
    </w:lvl>
    <w:lvl w:ilvl="5" w:tplc="E7263096">
      <w:start w:val="1"/>
      <w:numFmt w:val="lowerRoman"/>
      <w:lvlText w:val="%6."/>
      <w:lvlJc w:val="right"/>
      <w:pPr>
        <w:ind w:left="4320" w:hanging="180"/>
      </w:pPr>
    </w:lvl>
    <w:lvl w:ilvl="6" w:tplc="754A3190">
      <w:start w:val="1"/>
      <w:numFmt w:val="decimal"/>
      <w:lvlText w:val="%7."/>
      <w:lvlJc w:val="left"/>
      <w:pPr>
        <w:ind w:left="5040" w:hanging="360"/>
      </w:pPr>
    </w:lvl>
    <w:lvl w:ilvl="7" w:tplc="B2D66B68">
      <w:start w:val="1"/>
      <w:numFmt w:val="lowerLetter"/>
      <w:lvlText w:val="%8."/>
      <w:lvlJc w:val="left"/>
      <w:pPr>
        <w:ind w:left="5760" w:hanging="360"/>
      </w:pPr>
    </w:lvl>
    <w:lvl w:ilvl="8" w:tplc="EEBE9636">
      <w:start w:val="1"/>
      <w:numFmt w:val="lowerRoman"/>
      <w:lvlText w:val="%9."/>
      <w:lvlJc w:val="right"/>
      <w:pPr>
        <w:ind w:left="6480" w:hanging="180"/>
      </w:pPr>
    </w:lvl>
  </w:abstractNum>
  <w:abstractNum w:abstractNumId="9">
    <w:nsid w:val="78854AAC"/>
    <w:multiLevelType w:val="hybridMultilevel"/>
    <w:tmpl w:val="A81E36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7CDF3F99"/>
    <w:multiLevelType w:val="hybridMultilevel"/>
    <w:tmpl w:val="1DCEE8A0"/>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2"/>
  </w:num>
  <w:num w:numId="7">
    <w:abstractNumId w:val="6"/>
  </w:num>
  <w:num w:numId="8">
    <w:abstractNumId w:val="0"/>
  </w:num>
  <w:num w:numId="9">
    <w:abstractNumId w:val="4"/>
  </w:num>
  <w:num w:numId="10">
    <w:abstractNumId w:val="3"/>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850"/>
    <w:rsid w:val="000053E7"/>
    <w:rsid w:val="0001136C"/>
    <w:rsid w:val="000138E2"/>
    <w:rsid w:val="00016278"/>
    <w:rsid w:val="000247BF"/>
    <w:rsid w:val="0002674C"/>
    <w:rsid w:val="00030731"/>
    <w:rsid w:val="000372CE"/>
    <w:rsid w:val="0004409C"/>
    <w:rsid w:val="000506AE"/>
    <w:rsid w:val="00066850"/>
    <w:rsid w:val="000719BB"/>
    <w:rsid w:val="0007428E"/>
    <w:rsid w:val="0009073F"/>
    <w:rsid w:val="000A2C96"/>
    <w:rsid w:val="000A2DE1"/>
    <w:rsid w:val="000A33C2"/>
    <w:rsid w:val="000A625E"/>
    <w:rsid w:val="000A6DD1"/>
    <w:rsid w:val="000B0C25"/>
    <w:rsid w:val="000B1F15"/>
    <w:rsid w:val="000B1FDC"/>
    <w:rsid w:val="000B354F"/>
    <w:rsid w:val="000B6B8A"/>
    <w:rsid w:val="000C11FE"/>
    <w:rsid w:val="000C2091"/>
    <w:rsid w:val="000D6D43"/>
    <w:rsid w:val="000D71EB"/>
    <w:rsid w:val="000F4EA0"/>
    <w:rsid w:val="000F5C39"/>
    <w:rsid w:val="000F68DC"/>
    <w:rsid w:val="000F6AD2"/>
    <w:rsid w:val="00103564"/>
    <w:rsid w:val="00107522"/>
    <w:rsid w:val="00121E4A"/>
    <w:rsid w:val="00123AD9"/>
    <w:rsid w:val="00146CD1"/>
    <w:rsid w:val="00147CCE"/>
    <w:rsid w:val="00150E9C"/>
    <w:rsid w:val="00151205"/>
    <w:rsid w:val="00151FF9"/>
    <w:rsid w:val="001578F6"/>
    <w:rsid w:val="001708E2"/>
    <w:rsid w:val="00174B9F"/>
    <w:rsid w:val="001778DF"/>
    <w:rsid w:val="00184957"/>
    <w:rsid w:val="0018573A"/>
    <w:rsid w:val="001A0846"/>
    <w:rsid w:val="001A1E26"/>
    <w:rsid w:val="001A344F"/>
    <w:rsid w:val="001A4D23"/>
    <w:rsid w:val="001A56F5"/>
    <w:rsid w:val="001A58AE"/>
    <w:rsid w:val="001B010F"/>
    <w:rsid w:val="001B2110"/>
    <w:rsid w:val="001B3223"/>
    <w:rsid w:val="001B6645"/>
    <w:rsid w:val="001B746D"/>
    <w:rsid w:val="001C12DB"/>
    <w:rsid w:val="001C78D0"/>
    <w:rsid w:val="001D487E"/>
    <w:rsid w:val="001E0469"/>
    <w:rsid w:val="001E26C1"/>
    <w:rsid w:val="001E7A71"/>
    <w:rsid w:val="001E7BBC"/>
    <w:rsid w:val="001F022E"/>
    <w:rsid w:val="001F20C4"/>
    <w:rsid w:val="001F75C2"/>
    <w:rsid w:val="002020D2"/>
    <w:rsid w:val="00213255"/>
    <w:rsid w:val="00214F79"/>
    <w:rsid w:val="00225577"/>
    <w:rsid w:val="002265E1"/>
    <w:rsid w:val="002359A5"/>
    <w:rsid w:val="00244C9D"/>
    <w:rsid w:val="002526CD"/>
    <w:rsid w:val="002550B0"/>
    <w:rsid w:val="00261EB2"/>
    <w:rsid w:val="0026518A"/>
    <w:rsid w:val="002652CE"/>
    <w:rsid w:val="00265947"/>
    <w:rsid w:val="0028623C"/>
    <w:rsid w:val="00292973"/>
    <w:rsid w:val="002937C8"/>
    <w:rsid w:val="002B146F"/>
    <w:rsid w:val="002B1837"/>
    <w:rsid w:val="002B3390"/>
    <w:rsid w:val="002B6938"/>
    <w:rsid w:val="002B7557"/>
    <w:rsid w:val="002C148E"/>
    <w:rsid w:val="002D40E6"/>
    <w:rsid w:val="002E1F70"/>
    <w:rsid w:val="002E31BB"/>
    <w:rsid w:val="002F21E2"/>
    <w:rsid w:val="002F62B7"/>
    <w:rsid w:val="002F7595"/>
    <w:rsid w:val="0030191A"/>
    <w:rsid w:val="00302463"/>
    <w:rsid w:val="003025F7"/>
    <w:rsid w:val="003032D9"/>
    <w:rsid w:val="00310260"/>
    <w:rsid w:val="00315657"/>
    <w:rsid w:val="003206A1"/>
    <w:rsid w:val="00323278"/>
    <w:rsid w:val="00325C87"/>
    <w:rsid w:val="00325EC1"/>
    <w:rsid w:val="00331A46"/>
    <w:rsid w:val="00337C5D"/>
    <w:rsid w:val="00345B1A"/>
    <w:rsid w:val="00350CDC"/>
    <w:rsid w:val="003607FD"/>
    <w:rsid w:val="00366629"/>
    <w:rsid w:val="003770D8"/>
    <w:rsid w:val="00377226"/>
    <w:rsid w:val="003909D9"/>
    <w:rsid w:val="00392264"/>
    <w:rsid w:val="00393BB7"/>
    <w:rsid w:val="0039727A"/>
    <w:rsid w:val="003A2941"/>
    <w:rsid w:val="003A4195"/>
    <w:rsid w:val="003B3D78"/>
    <w:rsid w:val="003C2E1A"/>
    <w:rsid w:val="003C4B15"/>
    <w:rsid w:val="003D1883"/>
    <w:rsid w:val="003D307F"/>
    <w:rsid w:val="003D506E"/>
    <w:rsid w:val="003E00B6"/>
    <w:rsid w:val="003F227C"/>
    <w:rsid w:val="00405B7A"/>
    <w:rsid w:val="0040734C"/>
    <w:rsid w:val="00412674"/>
    <w:rsid w:val="00423852"/>
    <w:rsid w:val="00424022"/>
    <w:rsid w:val="0042723E"/>
    <w:rsid w:val="00451E22"/>
    <w:rsid w:val="00462E6E"/>
    <w:rsid w:val="00462F45"/>
    <w:rsid w:val="0046462F"/>
    <w:rsid w:val="0046693B"/>
    <w:rsid w:val="00470306"/>
    <w:rsid w:val="00485A5E"/>
    <w:rsid w:val="00492394"/>
    <w:rsid w:val="00492ABF"/>
    <w:rsid w:val="00492FB8"/>
    <w:rsid w:val="004B414E"/>
    <w:rsid w:val="004B4F7D"/>
    <w:rsid w:val="004C1244"/>
    <w:rsid w:val="004C211F"/>
    <w:rsid w:val="004D171E"/>
    <w:rsid w:val="004D5B8E"/>
    <w:rsid w:val="004E416B"/>
    <w:rsid w:val="004E6057"/>
    <w:rsid w:val="004F027A"/>
    <w:rsid w:val="004F238E"/>
    <w:rsid w:val="00501958"/>
    <w:rsid w:val="005059DF"/>
    <w:rsid w:val="005205E2"/>
    <w:rsid w:val="00525D68"/>
    <w:rsid w:val="00526408"/>
    <w:rsid w:val="005266E7"/>
    <w:rsid w:val="00526BFC"/>
    <w:rsid w:val="0053325D"/>
    <w:rsid w:val="00534F2E"/>
    <w:rsid w:val="00540C17"/>
    <w:rsid w:val="0054147F"/>
    <w:rsid w:val="00541DB0"/>
    <w:rsid w:val="00543482"/>
    <w:rsid w:val="005440B2"/>
    <w:rsid w:val="00553415"/>
    <w:rsid w:val="005812FE"/>
    <w:rsid w:val="005864C1"/>
    <w:rsid w:val="00590C3B"/>
    <w:rsid w:val="00593012"/>
    <w:rsid w:val="005930BD"/>
    <w:rsid w:val="005A3585"/>
    <w:rsid w:val="005C0E63"/>
    <w:rsid w:val="005C7181"/>
    <w:rsid w:val="005D3CF0"/>
    <w:rsid w:val="005D3CFC"/>
    <w:rsid w:val="005D63F0"/>
    <w:rsid w:val="005E0391"/>
    <w:rsid w:val="005E50E0"/>
    <w:rsid w:val="005F066B"/>
    <w:rsid w:val="005F4F79"/>
    <w:rsid w:val="00613912"/>
    <w:rsid w:val="00614E55"/>
    <w:rsid w:val="006178C8"/>
    <w:rsid w:val="00622CB4"/>
    <w:rsid w:val="00626AB3"/>
    <w:rsid w:val="0062736A"/>
    <w:rsid w:val="00633DE2"/>
    <w:rsid w:val="00644938"/>
    <w:rsid w:val="0065284D"/>
    <w:rsid w:val="0065349D"/>
    <w:rsid w:val="006637A1"/>
    <w:rsid w:val="0068049F"/>
    <w:rsid w:val="0068462D"/>
    <w:rsid w:val="00695488"/>
    <w:rsid w:val="00697191"/>
    <w:rsid w:val="00697411"/>
    <w:rsid w:val="006A128D"/>
    <w:rsid w:val="006A1516"/>
    <w:rsid w:val="006A19AE"/>
    <w:rsid w:val="006B0E47"/>
    <w:rsid w:val="006B1561"/>
    <w:rsid w:val="006B5693"/>
    <w:rsid w:val="006B5F4D"/>
    <w:rsid w:val="006B7FC7"/>
    <w:rsid w:val="006D03AD"/>
    <w:rsid w:val="006D4EB2"/>
    <w:rsid w:val="006D5972"/>
    <w:rsid w:val="006E1843"/>
    <w:rsid w:val="006E1D5C"/>
    <w:rsid w:val="006E7359"/>
    <w:rsid w:val="006F1644"/>
    <w:rsid w:val="006F2F91"/>
    <w:rsid w:val="006F52C6"/>
    <w:rsid w:val="00701D29"/>
    <w:rsid w:val="007041E4"/>
    <w:rsid w:val="00705C9F"/>
    <w:rsid w:val="00706627"/>
    <w:rsid w:val="007252B2"/>
    <w:rsid w:val="007300AB"/>
    <w:rsid w:val="00730D95"/>
    <w:rsid w:val="00737C8D"/>
    <w:rsid w:val="00740740"/>
    <w:rsid w:val="00750853"/>
    <w:rsid w:val="00753883"/>
    <w:rsid w:val="007551A8"/>
    <w:rsid w:val="0076072C"/>
    <w:rsid w:val="007656E0"/>
    <w:rsid w:val="00776956"/>
    <w:rsid w:val="00787F5B"/>
    <w:rsid w:val="00797C47"/>
    <w:rsid w:val="007A14C6"/>
    <w:rsid w:val="007A2C3F"/>
    <w:rsid w:val="007A7359"/>
    <w:rsid w:val="007B572A"/>
    <w:rsid w:val="007B6485"/>
    <w:rsid w:val="007C0C86"/>
    <w:rsid w:val="007D7061"/>
    <w:rsid w:val="007D7664"/>
    <w:rsid w:val="007E5910"/>
    <w:rsid w:val="007E6298"/>
    <w:rsid w:val="007E6685"/>
    <w:rsid w:val="007F2081"/>
    <w:rsid w:val="007F4A1E"/>
    <w:rsid w:val="007F6FAB"/>
    <w:rsid w:val="00801AE3"/>
    <w:rsid w:val="00813792"/>
    <w:rsid w:val="0082256E"/>
    <w:rsid w:val="00841A19"/>
    <w:rsid w:val="0084202F"/>
    <w:rsid w:val="008818E6"/>
    <w:rsid w:val="0088745D"/>
    <w:rsid w:val="00890666"/>
    <w:rsid w:val="00890EAB"/>
    <w:rsid w:val="008B0168"/>
    <w:rsid w:val="008B1E18"/>
    <w:rsid w:val="008D109E"/>
    <w:rsid w:val="008D1A24"/>
    <w:rsid w:val="008D2294"/>
    <w:rsid w:val="008D6261"/>
    <w:rsid w:val="008E119D"/>
    <w:rsid w:val="008E2437"/>
    <w:rsid w:val="008F10CD"/>
    <w:rsid w:val="008F2A89"/>
    <w:rsid w:val="008F3A54"/>
    <w:rsid w:val="00905F17"/>
    <w:rsid w:val="00906169"/>
    <w:rsid w:val="009063B8"/>
    <w:rsid w:val="00907303"/>
    <w:rsid w:val="00912E4A"/>
    <w:rsid w:val="00913102"/>
    <w:rsid w:val="00921846"/>
    <w:rsid w:val="00921ED9"/>
    <w:rsid w:val="00923A8B"/>
    <w:rsid w:val="00925185"/>
    <w:rsid w:val="00925A00"/>
    <w:rsid w:val="00933568"/>
    <w:rsid w:val="00933879"/>
    <w:rsid w:val="009522A8"/>
    <w:rsid w:val="00953FC9"/>
    <w:rsid w:val="0097123F"/>
    <w:rsid w:val="00971D37"/>
    <w:rsid w:val="009724EF"/>
    <w:rsid w:val="00992350"/>
    <w:rsid w:val="009A09E7"/>
    <w:rsid w:val="009B1826"/>
    <w:rsid w:val="009B525B"/>
    <w:rsid w:val="009B643C"/>
    <w:rsid w:val="009B7DA8"/>
    <w:rsid w:val="009C0434"/>
    <w:rsid w:val="009D1D2F"/>
    <w:rsid w:val="009D382C"/>
    <w:rsid w:val="009F1DD9"/>
    <w:rsid w:val="009F75DE"/>
    <w:rsid w:val="00A044C5"/>
    <w:rsid w:val="00A06AFC"/>
    <w:rsid w:val="00A178ED"/>
    <w:rsid w:val="00A2224D"/>
    <w:rsid w:val="00A23974"/>
    <w:rsid w:val="00A26BB2"/>
    <w:rsid w:val="00A422CD"/>
    <w:rsid w:val="00A525CB"/>
    <w:rsid w:val="00A638EB"/>
    <w:rsid w:val="00A64AC9"/>
    <w:rsid w:val="00A716A6"/>
    <w:rsid w:val="00A718F9"/>
    <w:rsid w:val="00A73741"/>
    <w:rsid w:val="00A75B0D"/>
    <w:rsid w:val="00A77E2E"/>
    <w:rsid w:val="00A85651"/>
    <w:rsid w:val="00A85D62"/>
    <w:rsid w:val="00A91779"/>
    <w:rsid w:val="00A92E34"/>
    <w:rsid w:val="00A95497"/>
    <w:rsid w:val="00AA3FFA"/>
    <w:rsid w:val="00AA459B"/>
    <w:rsid w:val="00AB0D86"/>
    <w:rsid w:val="00AB13E1"/>
    <w:rsid w:val="00AB60BA"/>
    <w:rsid w:val="00AC1CD8"/>
    <w:rsid w:val="00AC23A2"/>
    <w:rsid w:val="00AC2F15"/>
    <w:rsid w:val="00AC5A63"/>
    <w:rsid w:val="00AC6661"/>
    <w:rsid w:val="00AD1CB6"/>
    <w:rsid w:val="00AD3D9A"/>
    <w:rsid w:val="00AD5973"/>
    <w:rsid w:val="00AD7E33"/>
    <w:rsid w:val="00AF336B"/>
    <w:rsid w:val="00AF76A1"/>
    <w:rsid w:val="00B05201"/>
    <w:rsid w:val="00B140C3"/>
    <w:rsid w:val="00B1488B"/>
    <w:rsid w:val="00B43931"/>
    <w:rsid w:val="00B513A4"/>
    <w:rsid w:val="00B515A0"/>
    <w:rsid w:val="00B54E21"/>
    <w:rsid w:val="00B601CE"/>
    <w:rsid w:val="00B64902"/>
    <w:rsid w:val="00B67F80"/>
    <w:rsid w:val="00B719E8"/>
    <w:rsid w:val="00B74B07"/>
    <w:rsid w:val="00B90B9C"/>
    <w:rsid w:val="00B92582"/>
    <w:rsid w:val="00B94151"/>
    <w:rsid w:val="00B95ABE"/>
    <w:rsid w:val="00B97DC1"/>
    <w:rsid w:val="00BA490D"/>
    <w:rsid w:val="00BC3A67"/>
    <w:rsid w:val="00BC6B2F"/>
    <w:rsid w:val="00BC723D"/>
    <w:rsid w:val="00BD0074"/>
    <w:rsid w:val="00BD0EE8"/>
    <w:rsid w:val="00BD2E03"/>
    <w:rsid w:val="00BD3D60"/>
    <w:rsid w:val="00BE0192"/>
    <w:rsid w:val="00BE02B9"/>
    <w:rsid w:val="00BE1715"/>
    <w:rsid w:val="00BE1AEA"/>
    <w:rsid w:val="00BE3650"/>
    <w:rsid w:val="00BE6961"/>
    <w:rsid w:val="00BF2CE9"/>
    <w:rsid w:val="00C05C12"/>
    <w:rsid w:val="00C07EC0"/>
    <w:rsid w:val="00C14E20"/>
    <w:rsid w:val="00C17E1B"/>
    <w:rsid w:val="00C21244"/>
    <w:rsid w:val="00C21326"/>
    <w:rsid w:val="00C23653"/>
    <w:rsid w:val="00C2495E"/>
    <w:rsid w:val="00C30B0C"/>
    <w:rsid w:val="00C31EC4"/>
    <w:rsid w:val="00C33A7B"/>
    <w:rsid w:val="00C35D77"/>
    <w:rsid w:val="00C50711"/>
    <w:rsid w:val="00C55354"/>
    <w:rsid w:val="00C571AE"/>
    <w:rsid w:val="00C63E4F"/>
    <w:rsid w:val="00C70D2D"/>
    <w:rsid w:val="00C72D5D"/>
    <w:rsid w:val="00C87B03"/>
    <w:rsid w:val="00C924A7"/>
    <w:rsid w:val="00C95320"/>
    <w:rsid w:val="00CA09D5"/>
    <w:rsid w:val="00CA1284"/>
    <w:rsid w:val="00CB123C"/>
    <w:rsid w:val="00CB1F49"/>
    <w:rsid w:val="00CB2F01"/>
    <w:rsid w:val="00CB74C2"/>
    <w:rsid w:val="00CC2CD0"/>
    <w:rsid w:val="00CC3CF3"/>
    <w:rsid w:val="00CC6A9F"/>
    <w:rsid w:val="00CD13C9"/>
    <w:rsid w:val="00CD4F1F"/>
    <w:rsid w:val="00CD7CF9"/>
    <w:rsid w:val="00CE72D9"/>
    <w:rsid w:val="00CF1510"/>
    <w:rsid w:val="00CF1880"/>
    <w:rsid w:val="00CF3990"/>
    <w:rsid w:val="00CF683F"/>
    <w:rsid w:val="00D04B3D"/>
    <w:rsid w:val="00D10A7A"/>
    <w:rsid w:val="00D120AC"/>
    <w:rsid w:val="00D127DB"/>
    <w:rsid w:val="00D146B1"/>
    <w:rsid w:val="00D17425"/>
    <w:rsid w:val="00D21CEB"/>
    <w:rsid w:val="00D3327F"/>
    <w:rsid w:val="00D33AAB"/>
    <w:rsid w:val="00D43D8C"/>
    <w:rsid w:val="00D469BF"/>
    <w:rsid w:val="00D46A1D"/>
    <w:rsid w:val="00D52E9A"/>
    <w:rsid w:val="00D5437E"/>
    <w:rsid w:val="00D67CFB"/>
    <w:rsid w:val="00D806A2"/>
    <w:rsid w:val="00D84924"/>
    <w:rsid w:val="00D86954"/>
    <w:rsid w:val="00D86B06"/>
    <w:rsid w:val="00D87E15"/>
    <w:rsid w:val="00DA08FC"/>
    <w:rsid w:val="00DA5732"/>
    <w:rsid w:val="00DA58D8"/>
    <w:rsid w:val="00DD4578"/>
    <w:rsid w:val="00DD4EFF"/>
    <w:rsid w:val="00DD6D65"/>
    <w:rsid w:val="00DE3D44"/>
    <w:rsid w:val="00DE5D10"/>
    <w:rsid w:val="00DE7EC0"/>
    <w:rsid w:val="00DF3335"/>
    <w:rsid w:val="00E025AC"/>
    <w:rsid w:val="00E03BC5"/>
    <w:rsid w:val="00E06AB0"/>
    <w:rsid w:val="00E10BD2"/>
    <w:rsid w:val="00E148BA"/>
    <w:rsid w:val="00E14A37"/>
    <w:rsid w:val="00E17615"/>
    <w:rsid w:val="00E41C59"/>
    <w:rsid w:val="00E56616"/>
    <w:rsid w:val="00E62A0D"/>
    <w:rsid w:val="00E666E0"/>
    <w:rsid w:val="00E6750B"/>
    <w:rsid w:val="00E74A59"/>
    <w:rsid w:val="00E863B7"/>
    <w:rsid w:val="00E91064"/>
    <w:rsid w:val="00E95059"/>
    <w:rsid w:val="00E951C2"/>
    <w:rsid w:val="00EB311E"/>
    <w:rsid w:val="00ED06D3"/>
    <w:rsid w:val="00EF1C5D"/>
    <w:rsid w:val="00EF360A"/>
    <w:rsid w:val="00EF5684"/>
    <w:rsid w:val="00F00502"/>
    <w:rsid w:val="00F17146"/>
    <w:rsid w:val="00F227DE"/>
    <w:rsid w:val="00F23636"/>
    <w:rsid w:val="00F267B1"/>
    <w:rsid w:val="00F36C76"/>
    <w:rsid w:val="00F41602"/>
    <w:rsid w:val="00F461CB"/>
    <w:rsid w:val="00F648D5"/>
    <w:rsid w:val="00F65410"/>
    <w:rsid w:val="00F72E82"/>
    <w:rsid w:val="00F74265"/>
    <w:rsid w:val="00F82388"/>
    <w:rsid w:val="00F83353"/>
    <w:rsid w:val="00F93DBF"/>
    <w:rsid w:val="00F9735B"/>
    <w:rsid w:val="00FA049D"/>
    <w:rsid w:val="00FA1F58"/>
    <w:rsid w:val="00FB3BA7"/>
    <w:rsid w:val="00FB5D42"/>
    <w:rsid w:val="00FC2298"/>
    <w:rsid w:val="00FD40ED"/>
    <w:rsid w:val="00FE4D17"/>
    <w:rsid w:val="00FE6B0F"/>
    <w:rsid w:val="00FE76FB"/>
    <w:rsid w:val="00FE7DB0"/>
    <w:rsid w:val="00FF63C6"/>
    <w:rsid w:val="00FF75A1"/>
    <w:rsid w:val="02FD09C8"/>
    <w:rsid w:val="0314D388"/>
    <w:rsid w:val="032ED646"/>
    <w:rsid w:val="03D9610B"/>
    <w:rsid w:val="04DFC999"/>
    <w:rsid w:val="05BEA088"/>
    <w:rsid w:val="07E1FCCA"/>
    <w:rsid w:val="097C5E4D"/>
    <w:rsid w:val="0A044183"/>
    <w:rsid w:val="0ED30374"/>
    <w:rsid w:val="0F31B457"/>
    <w:rsid w:val="0F8B0562"/>
    <w:rsid w:val="122DC550"/>
    <w:rsid w:val="148B353B"/>
    <w:rsid w:val="1538BAD8"/>
    <w:rsid w:val="1B925A7E"/>
    <w:rsid w:val="1C959DB3"/>
    <w:rsid w:val="1EB42EBA"/>
    <w:rsid w:val="209B9B78"/>
    <w:rsid w:val="2107149D"/>
    <w:rsid w:val="23088475"/>
    <w:rsid w:val="255BA801"/>
    <w:rsid w:val="282B4F5F"/>
    <w:rsid w:val="2849D6D6"/>
    <w:rsid w:val="299F8253"/>
    <w:rsid w:val="29E31FD4"/>
    <w:rsid w:val="2B3578AF"/>
    <w:rsid w:val="2B69520A"/>
    <w:rsid w:val="2BD5021A"/>
    <w:rsid w:val="2D715560"/>
    <w:rsid w:val="2EBFFE2E"/>
    <w:rsid w:val="2EED0CF8"/>
    <w:rsid w:val="3022B6B1"/>
    <w:rsid w:val="34DC2407"/>
    <w:rsid w:val="3754873C"/>
    <w:rsid w:val="39C7BB8A"/>
    <w:rsid w:val="3DC21FF9"/>
    <w:rsid w:val="3EDABB34"/>
    <w:rsid w:val="3EFF563C"/>
    <w:rsid w:val="404627E4"/>
    <w:rsid w:val="405A6EDB"/>
    <w:rsid w:val="425A418D"/>
    <w:rsid w:val="43F137FE"/>
    <w:rsid w:val="45C9AD61"/>
    <w:rsid w:val="4A0FCA6C"/>
    <w:rsid w:val="4B9C0A92"/>
    <w:rsid w:val="4BB8B0BF"/>
    <w:rsid w:val="4C8CBC6C"/>
    <w:rsid w:val="4D3F540C"/>
    <w:rsid w:val="4F07FB77"/>
    <w:rsid w:val="53B2B857"/>
    <w:rsid w:val="5410EA02"/>
    <w:rsid w:val="57199B7F"/>
    <w:rsid w:val="5A1CA288"/>
    <w:rsid w:val="5B1256A2"/>
    <w:rsid w:val="5B2470F2"/>
    <w:rsid w:val="5D284525"/>
    <w:rsid w:val="5DA64A69"/>
    <w:rsid w:val="5E9A8170"/>
    <w:rsid w:val="5F153697"/>
    <w:rsid w:val="5F490A3D"/>
    <w:rsid w:val="5F974521"/>
    <w:rsid w:val="6059F0A1"/>
    <w:rsid w:val="60846AF9"/>
    <w:rsid w:val="6501AFEC"/>
    <w:rsid w:val="659705FC"/>
    <w:rsid w:val="66F08116"/>
    <w:rsid w:val="678A64B0"/>
    <w:rsid w:val="69DACB86"/>
    <w:rsid w:val="6A0ED065"/>
    <w:rsid w:val="6E97E504"/>
    <w:rsid w:val="715548E3"/>
    <w:rsid w:val="71E3E071"/>
    <w:rsid w:val="7252DC4C"/>
    <w:rsid w:val="7B1D6B6C"/>
    <w:rsid w:val="7C51FF20"/>
    <w:rsid w:val="7D0A0A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7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6"/>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6"/>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6"/>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semiHidden/>
    <w:unhideWhenUsed/>
    <w:rsid w:val="003F227C"/>
    <w:pPr>
      <w:spacing w:line="240" w:lineRule="auto"/>
    </w:pPr>
    <w:rPr>
      <w:sz w:val="20"/>
    </w:rPr>
  </w:style>
  <w:style w:type="character" w:customStyle="1" w:styleId="CommentTextChar">
    <w:name w:val="Comment Text Char"/>
    <w:basedOn w:val="DefaultParagraphFont"/>
    <w:link w:val="CommentText"/>
    <w:uiPriority w:val="99"/>
    <w:semiHidden/>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8"/>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3D1883"/>
    <w:pPr>
      <w:ind w:left="720"/>
      <w:contextualSpacing/>
    </w:pPr>
  </w:style>
  <w:style w:type="paragraph" w:styleId="NormalWeb">
    <w:name w:val="Normal (Web)"/>
    <w:basedOn w:val="Normal"/>
    <w:uiPriority w:val="99"/>
    <w:semiHidden/>
    <w:unhideWhenUsed/>
    <w:rsid w:val="002265E1"/>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8">
    <w:name w:val="s8"/>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7">
    <w:name w:val="s7"/>
    <w:basedOn w:val="DefaultParagraphFont"/>
    <w:rsid w:val="00B140C3"/>
  </w:style>
  <w:style w:type="paragraph" w:customStyle="1" w:styleId="s11">
    <w:name w:val="s11"/>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10">
    <w:name w:val="s10"/>
    <w:basedOn w:val="DefaultParagraphFont"/>
    <w:rsid w:val="00B140C3"/>
  </w:style>
  <w:style w:type="character" w:customStyle="1" w:styleId="apple-converted-space">
    <w:name w:val="apple-converted-space"/>
    <w:basedOn w:val="DefaultParagraphFont"/>
    <w:rsid w:val="00B140C3"/>
  </w:style>
  <w:style w:type="character" w:customStyle="1" w:styleId="s4">
    <w:name w:val="s4"/>
    <w:basedOn w:val="DefaultParagraphFont"/>
    <w:rsid w:val="00B140C3"/>
  </w:style>
  <w:style w:type="paragraph" w:customStyle="1" w:styleId="s14">
    <w:name w:val="s14"/>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13">
    <w:name w:val="s13"/>
    <w:basedOn w:val="DefaultParagraphFont"/>
    <w:rsid w:val="00B140C3"/>
  </w:style>
  <w:style w:type="paragraph" w:customStyle="1" w:styleId="s16">
    <w:name w:val="s16"/>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19">
    <w:name w:val="s19"/>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20">
    <w:name w:val="s20"/>
    <w:basedOn w:val="DefaultParagraphFont"/>
    <w:rsid w:val="00B140C3"/>
  </w:style>
  <w:style w:type="paragraph" w:customStyle="1" w:styleId="s21">
    <w:name w:val="s21"/>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22">
    <w:name w:val="s22"/>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23">
    <w:name w:val="s23"/>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24">
    <w:name w:val="s24"/>
    <w:basedOn w:val="DefaultParagraphFont"/>
    <w:rsid w:val="00B140C3"/>
  </w:style>
  <w:style w:type="paragraph" w:styleId="Revision">
    <w:name w:val="Revision"/>
    <w:hidden/>
    <w:uiPriority w:val="99"/>
    <w:semiHidden/>
    <w:rsid w:val="00ED06D3"/>
    <w:pPr>
      <w:spacing w:after="0" w:line="240" w:lineRule="auto"/>
    </w:pPr>
    <w:rPr>
      <w:rFonts w:ascii="Corbel" w:eastAsia="Times New Roman" w:hAnsi="Corbel" w:cs="Times New Roman"/>
      <w:color w:val="000000"/>
      <w:sz w:val="23"/>
      <w:szCs w:val="20"/>
      <w:lang w:eastAsia="en-AU"/>
    </w:rPr>
  </w:style>
  <w:style w:type="paragraph" w:customStyle="1" w:styleId="Bullet">
    <w:name w:val="Bullet"/>
    <w:basedOn w:val="Normal"/>
    <w:link w:val="BulletChar"/>
    <w:rsid w:val="009A09E7"/>
    <w:pPr>
      <w:numPr>
        <w:numId w:val="13"/>
      </w:numPr>
    </w:pPr>
    <w:rPr>
      <w:rFonts w:eastAsiaTheme="minorEastAsia"/>
    </w:rPr>
  </w:style>
  <w:style w:type="character" w:customStyle="1" w:styleId="BulletChar">
    <w:name w:val="Bullet Char"/>
    <w:basedOn w:val="OutlineNumbered2Char"/>
    <w:link w:val="Bullet"/>
    <w:rsid w:val="009A09E7"/>
    <w:rPr>
      <w:rFonts w:ascii="Corbel" w:eastAsiaTheme="minorEastAsia" w:hAnsi="Corbel" w:cs="Times New Roman"/>
      <w:color w:val="000000"/>
      <w:sz w:val="23"/>
      <w:szCs w:val="20"/>
      <w:lang w:eastAsia="en-AU"/>
    </w:rPr>
  </w:style>
  <w:style w:type="paragraph" w:customStyle="1" w:styleId="Dash">
    <w:name w:val="Dash"/>
    <w:basedOn w:val="Normal"/>
    <w:link w:val="DashChar"/>
    <w:rsid w:val="009A09E7"/>
    <w:pPr>
      <w:numPr>
        <w:ilvl w:val="1"/>
        <w:numId w:val="13"/>
      </w:numPr>
    </w:pPr>
    <w:rPr>
      <w:rFonts w:eastAsiaTheme="minorEastAsia"/>
    </w:rPr>
  </w:style>
  <w:style w:type="character" w:customStyle="1" w:styleId="DashChar">
    <w:name w:val="Dash Char"/>
    <w:basedOn w:val="OutlineNumbered2Char"/>
    <w:link w:val="Dash"/>
    <w:rsid w:val="009A09E7"/>
    <w:rPr>
      <w:rFonts w:ascii="Corbel" w:eastAsiaTheme="minorEastAsia" w:hAnsi="Corbel" w:cs="Times New Roman"/>
      <w:color w:val="000000"/>
      <w:sz w:val="23"/>
      <w:szCs w:val="20"/>
      <w:lang w:eastAsia="en-AU"/>
    </w:rPr>
  </w:style>
  <w:style w:type="paragraph" w:customStyle="1" w:styleId="DoubleDot">
    <w:name w:val="Double Dot"/>
    <w:basedOn w:val="Normal"/>
    <w:link w:val="DoubleDotChar"/>
    <w:rsid w:val="009A09E7"/>
    <w:pPr>
      <w:numPr>
        <w:ilvl w:val="2"/>
        <w:numId w:val="13"/>
      </w:numPr>
    </w:pPr>
    <w:rPr>
      <w:rFonts w:eastAsiaTheme="minorEastAsia"/>
    </w:rPr>
  </w:style>
  <w:style w:type="character" w:customStyle="1" w:styleId="DoubleDotChar">
    <w:name w:val="Double Dot Char"/>
    <w:basedOn w:val="OutlineNumbered2Char"/>
    <w:link w:val="DoubleDot"/>
    <w:rsid w:val="009A09E7"/>
    <w:rPr>
      <w:rFonts w:ascii="Corbel" w:eastAsiaTheme="minorEastAsia" w:hAnsi="Corbel" w:cs="Times New Roman"/>
      <w:color w:val="000000"/>
      <w:sz w:val="23"/>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A1"/>
    <w:pPr>
      <w:spacing w:after="240" w:line="260" w:lineRule="exact"/>
      <w:jc w:val="both"/>
    </w:pPr>
    <w:rPr>
      <w:rFonts w:ascii="Corbel" w:eastAsia="Times New Roman" w:hAnsi="Corbel" w:cs="Times New Roman"/>
      <w:color w:val="000000"/>
      <w:sz w:val="23"/>
      <w:szCs w:val="20"/>
      <w:lang w:eastAsia="en-AU"/>
    </w:rPr>
  </w:style>
  <w:style w:type="paragraph" w:styleId="Heading1">
    <w:name w:val="heading 1"/>
    <w:basedOn w:val="Normal"/>
    <w:next w:val="Normal"/>
    <w:link w:val="Heading1Char"/>
    <w:uiPriority w:val="9"/>
    <w:qFormat/>
    <w:rsid w:val="00066850"/>
    <w:pPr>
      <w:keepNext/>
      <w:spacing w:before="480" w:after="180" w:line="240" w:lineRule="auto"/>
      <w:jc w:val="left"/>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
    <w:unhideWhenUsed/>
    <w:qFormat/>
    <w:rsid w:val="00066850"/>
    <w:pPr>
      <w:keepNext/>
      <w:spacing w:before="180" w:after="120" w:line="240" w:lineRule="auto"/>
      <w:jc w:val="left"/>
      <w:outlineLvl w:val="1"/>
    </w:pPr>
    <w:rPr>
      <w:rFonts w:cs="Arial"/>
      <w:b/>
      <w:bCs/>
      <w:iCs/>
      <w:color w:val="3D4B67"/>
      <w:sz w:val="29"/>
      <w:szCs w:val="28"/>
    </w:rPr>
  </w:style>
  <w:style w:type="paragraph" w:styleId="Heading9">
    <w:name w:val="heading 9"/>
    <w:basedOn w:val="Normal"/>
    <w:next w:val="Normal"/>
    <w:link w:val="Heading9Char"/>
    <w:uiPriority w:val="9"/>
    <w:semiHidden/>
    <w:unhideWhenUsed/>
    <w:qFormat/>
    <w:rsid w:val="00066850"/>
    <w:pPr>
      <w:keepNext/>
      <w:spacing w:before="120" w:after="120" w:line="240" w:lineRule="auto"/>
      <w:jc w:val="right"/>
      <w:outlineLvl w:val="8"/>
    </w:pPr>
    <w:rPr>
      <w:rFonts w:cs="Arial"/>
      <w:color w:val="3D4B67"/>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850"/>
    <w:rPr>
      <w:rFonts w:ascii="Consolas" w:eastAsia="Times New Roman" w:hAnsi="Consolas" w:cs="Arial"/>
      <w:bCs/>
      <w:caps/>
      <w:color w:val="3D4B67"/>
      <w:kern w:val="32"/>
      <w:sz w:val="32"/>
      <w:szCs w:val="36"/>
      <w:lang w:eastAsia="en-AU"/>
    </w:rPr>
  </w:style>
  <w:style w:type="character" w:customStyle="1" w:styleId="Heading2Char">
    <w:name w:val="Heading 2 Char"/>
    <w:basedOn w:val="DefaultParagraphFont"/>
    <w:link w:val="Heading2"/>
    <w:uiPriority w:val="9"/>
    <w:rsid w:val="00066850"/>
    <w:rPr>
      <w:rFonts w:ascii="Corbel" w:eastAsia="Times New Roman" w:hAnsi="Corbel" w:cs="Arial"/>
      <w:b/>
      <w:bCs/>
      <w:iCs/>
      <w:color w:val="3D4B67"/>
      <w:sz w:val="29"/>
      <w:szCs w:val="28"/>
      <w:lang w:eastAsia="en-AU"/>
    </w:rPr>
  </w:style>
  <w:style w:type="character" w:customStyle="1" w:styleId="Heading9Char">
    <w:name w:val="Heading 9 Char"/>
    <w:basedOn w:val="DefaultParagraphFont"/>
    <w:link w:val="Heading9"/>
    <w:uiPriority w:val="9"/>
    <w:semiHidden/>
    <w:rsid w:val="00066850"/>
    <w:rPr>
      <w:rFonts w:ascii="Corbel" w:eastAsia="Times New Roman" w:hAnsi="Corbel" w:cs="Arial"/>
      <w:color w:val="3D4B67"/>
      <w:sz w:val="36"/>
      <w:lang w:eastAsia="en-AU"/>
    </w:rPr>
  </w:style>
  <w:style w:type="paragraph" w:styleId="Subtitle">
    <w:name w:val="Subtitle"/>
    <w:basedOn w:val="Normal"/>
    <w:link w:val="SubtitleChar"/>
    <w:uiPriority w:val="11"/>
    <w:qFormat/>
    <w:rsid w:val="00066850"/>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066850"/>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066850"/>
    <w:pPr>
      <w:spacing w:after="0" w:line="240" w:lineRule="auto"/>
      <w:jc w:val="left"/>
    </w:pPr>
    <w:rPr>
      <w:color w:val="3D4B67"/>
      <w:sz w:val="72"/>
      <w:szCs w:val="48"/>
      <w:lang w:eastAsia="ja-JP"/>
    </w:rPr>
  </w:style>
  <w:style w:type="character" w:customStyle="1" w:styleId="TitleChar">
    <w:name w:val="Title Char"/>
    <w:basedOn w:val="DefaultParagraphFont"/>
    <w:link w:val="Title"/>
    <w:uiPriority w:val="10"/>
    <w:rsid w:val="00066850"/>
    <w:rPr>
      <w:rFonts w:ascii="Corbel" w:eastAsia="Times New Roman" w:hAnsi="Corbel" w:cs="Times New Roman"/>
      <w:color w:val="3D4B67"/>
      <w:sz w:val="72"/>
      <w:szCs w:val="48"/>
      <w:lang w:eastAsia="ja-JP"/>
    </w:rPr>
  </w:style>
  <w:style w:type="paragraph" w:customStyle="1" w:styleId="SingleParagraph">
    <w:name w:val="Single Paragraph"/>
    <w:basedOn w:val="Normal"/>
    <w:rsid w:val="00066850"/>
    <w:pPr>
      <w:spacing w:after="0"/>
    </w:pPr>
  </w:style>
  <w:style w:type="character" w:customStyle="1" w:styleId="NormalnumberedChar">
    <w:name w:val="Normal numbered Char"/>
    <w:link w:val="Normalnumbered"/>
    <w:locked/>
    <w:rsid w:val="00066850"/>
    <w:rPr>
      <w:rFonts w:ascii="Corbel" w:hAnsi="Corbel"/>
      <w:color w:val="000000"/>
      <w:sz w:val="23"/>
    </w:rPr>
  </w:style>
  <w:style w:type="paragraph" w:customStyle="1" w:styleId="Normalnumbered">
    <w:name w:val="Normal numbered"/>
    <w:basedOn w:val="Normal"/>
    <w:link w:val="NormalnumberedChar"/>
    <w:rsid w:val="00066850"/>
    <w:rPr>
      <w:rFonts w:eastAsiaTheme="minorHAnsi" w:cstheme="minorBidi"/>
      <w:szCs w:val="22"/>
      <w:lang w:eastAsia="en-US"/>
    </w:rPr>
  </w:style>
  <w:style w:type="paragraph" w:customStyle="1" w:styleId="Position">
    <w:name w:val="Position"/>
    <w:basedOn w:val="Normal"/>
    <w:rsid w:val="00066850"/>
    <w:pPr>
      <w:spacing w:after="120"/>
    </w:pPr>
    <w:rPr>
      <w:bCs/>
      <w:sz w:val="20"/>
    </w:rPr>
  </w:style>
  <w:style w:type="character" w:customStyle="1" w:styleId="ScheduleNumberedParaChar">
    <w:name w:val="ScheduleNumberedPara Char"/>
    <w:link w:val="ScheduleNumberedPara"/>
    <w:locked/>
    <w:rsid w:val="00066850"/>
    <w:rPr>
      <w:rFonts w:ascii="Corbel" w:hAnsi="Corbel"/>
      <w:color w:val="000000"/>
      <w:sz w:val="23"/>
    </w:rPr>
  </w:style>
  <w:style w:type="paragraph" w:customStyle="1" w:styleId="ScheduleNumberedPara">
    <w:name w:val="ScheduleNumberedPara"/>
    <w:basedOn w:val="Normalnumbered"/>
    <w:link w:val="ScheduleNumberedParaChar"/>
    <w:rsid w:val="00066850"/>
  </w:style>
  <w:style w:type="character" w:customStyle="1" w:styleId="Bold">
    <w:name w:val="Bold"/>
    <w:rsid w:val="00066850"/>
    <w:rPr>
      <w:b/>
      <w:bCs w:val="0"/>
    </w:rPr>
  </w:style>
  <w:style w:type="paragraph" w:styleId="Header">
    <w:name w:val="header"/>
    <w:basedOn w:val="Normal"/>
    <w:link w:val="HeaderChar"/>
    <w:uiPriority w:val="99"/>
    <w:unhideWhenUsed/>
    <w:rsid w:val="0006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850"/>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06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850"/>
    <w:rPr>
      <w:rFonts w:ascii="Corbel" w:eastAsia="Times New Roman" w:hAnsi="Corbel" w:cs="Times New Roman"/>
      <w:color w:val="000000"/>
      <w:sz w:val="23"/>
      <w:szCs w:val="20"/>
      <w:lang w:eastAsia="en-AU"/>
    </w:rPr>
  </w:style>
  <w:style w:type="paragraph" w:customStyle="1" w:styleId="OutlineNumbered1">
    <w:name w:val="Outline Numbered 1"/>
    <w:basedOn w:val="Normal"/>
    <w:link w:val="OutlineNumbered1Char"/>
    <w:rsid w:val="00695488"/>
    <w:pPr>
      <w:numPr>
        <w:numId w:val="6"/>
      </w:numPr>
    </w:pPr>
  </w:style>
  <w:style w:type="character" w:customStyle="1" w:styleId="OutlineNumbered1Char">
    <w:name w:val="Outline Numbered 1 Char"/>
    <w:basedOn w:val="DefaultParagraphFont"/>
    <w:link w:val="OutlineNumbered1"/>
    <w:rsid w:val="00695488"/>
    <w:rPr>
      <w:rFonts w:ascii="Corbel" w:eastAsia="Times New Roman" w:hAnsi="Corbel" w:cs="Times New Roman"/>
      <w:color w:val="000000"/>
      <w:sz w:val="23"/>
      <w:szCs w:val="20"/>
      <w:lang w:eastAsia="en-AU"/>
    </w:rPr>
  </w:style>
  <w:style w:type="paragraph" w:customStyle="1" w:styleId="OutlineNumbered2">
    <w:name w:val="Outline Numbered 2"/>
    <w:basedOn w:val="Normal"/>
    <w:link w:val="OutlineNumbered2Char"/>
    <w:rsid w:val="00695488"/>
    <w:pPr>
      <w:numPr>
        <w:ilvl w:val="1"/>
        <w:numId w:val="6"/>
      </w:numPr>
    </w:pPr>
  </w:style>
  <w:style w:type="character" w:customStyle="1" w:styleId="OutlineNumbered2Char">
    <w:name w:val="Outline Numbered 2 Char"/>
    <w:basedOn w:val="DefaultParagraphFont"/>
    <w:link w:val="OutlineNumbered2"/>
    <w:rsid w:val="00695488"/>
    <w:rPr>
      <w:rFonts w:ascii="Corbel" w:eastAsia="Times New Roman" w:hAnsi="Corbel" w:cs="Times New Roman"/>
      <w:color w:val="000000"/>
      <w:sz w:val="23"/>
      <w:szCs w:val="20"/>
      <w:lang w:eastAsia="en-AU"/>
    </w:rPr>
  </w:style>
  <w:style w:type="paragraph" w:customStyle="1" w:styleId="OutlineNumbered3">
    <w:name w:val="Outline Numbered 3"/>
    <w:basedOn w:val="Normal"/>
    <w:link w:val="OutlineNumbered3Char"/>
    <w:rsid w:val="00695488"/>
    <w:pPr>
      <w:numPr>
        <w:ilvl w:val="2"/>
        <w:numId w:val="6"/>
      </w:numPr>
    </w:pPr>
  </w:style>
  <w:style w:type="character" w:customStyle="1" w:styleId="OutlineNumbered3Char">
    <w:name w:val="Outline Numbered 3 Char"/>
    <w:basedOn w:val="DefaultParagraphFont"/>
    <w:link w:val="OutlineNumbered3"/>
    <w:rsid w:val="00695488"/>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3F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27C"/>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3F227C"/>
    <w:rPr>
      <w:sz w:val="16"/>
      <w:szCs w:val="16"/>
    </w:rPr>
  </w:style>
  <w:style w:type="paragraph" w:styleId="CommentText">
    <w:name w:val="annotation text"/>
    <w:basedOn w:val="Normal"/>
    <w:link w:val="CommentTextChar"/>
    <w:uiPriority w:val="99"/>
    <w:semiHidden/>
    <w:unhideWhenUsed/>
    <w:rsid w:val="003F227C"/>
    <w:pPr>
      <w:spacing w:line="240" w:lineRule="auto"/>
    </w:pPr>
    <w:rPr>
      <w:sz w:val="20"/>
    </w:rPr>
  </w:style>
  <w:style w:type="character" w:customStyle="1" w:styleId="CommentTextChar">
    <w:name w:val="Comment Text Char"/>
    <w:basedOn w:val="DefaultParagraphFont"/>
    <w:link w:val="CommentText"/>
    <w:uiPriority w:val="99"/>
    <w:semiHidden/>
    <w:rsid w:val="003F227C"/>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3F227C"/>
    <w:rPr>
      <w:b/>
      <w:bCs/>
    </w:rPr>
  </w:style>
  <w:style w:type="character" w:customStyle="1" w:styleId="CommentSubjectChar">
    <w:name w:val="Comment Subject Char"/>
    <w:basedOn w:val="CommentTextChar"/>
    <w:link w:val="CommentSubject"/>
    <w:uiPriority w:val="99"/>
    <w:semiHidden/>
    <w:rsid w:val="003F227C"/>
    <w:rPr>
      <w:rFonts w:ascii="Corbel" w:eastAsia="Times New Roman" w:hAnsi="Corbel" w:cs="Times New Roman"/>
      <w:b/>
      <w:bCs/>
      <w:color w:val="000000"/>
      <w:sz w:val="20"/>
      <w:szCs w:val="20"/>
      <w:lang w:eastAsia="en-AU"/>
    </w:rPr>
  </w:style>
  <w:style w:type="table" w:styleId="TableGrid">
    <w:name w:val="Table Grid"/>
    <w:basedOn w:val="TableNormal"/>
    <w:uiPriority w:val="59"/>
    <w:rsid w:val="009D1D2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tandTableFootnoteAlpha">
    <w:name w:val="Chart and Table Footnote Alpha"/>
    <w:rsid w:val="00921ED9"/>
    <w:pPr>
      <w:numPr>
        <w:numId w:val="8"/>
      </w:numPr>
      <w:tabs>
        <w:tab w:val="clear" w:pos="360"/>
        <w:tab w:val="num" w:pos="283"/>
        <w:tab w:val="num" w:pos="543"/>
      </w:tabs>
      <w:spacing w:after="0" w:line="240" w:lineRule="auto"/>
      <w:ind w:left="283" w:hanging="283"/>
      <w:jc w:val="both"/>
    </w:pPr>
    <w:rPr>
      <w:rFonts w:ascii="Arial" w:eastAsia="Times New Roman" w:hAnsi="Arial" w:cs="Times New Roman"/>
      <w:color w:val="000000"/>
      <w:sz w:val="16"/>
      <w:szCs w:val="16"/>
      <w:lang w:eastAsia="en-AU"/>
    </w:rPr>
  </w:style>
  <w:style w:type="paragraph" w:styleId="ListParagraph">
    <w:name w:val="List Paragraph"/>
    <w:basedOn w:val="Normal"/>
    <w:uiPriority w:val="34"/>
    <w:qFormat/>
    <w:rsid w:val="003D1883"/>
    <w:pPr>
      <w:ind w:left="720"/>
      <w:contextualSpacing/>
    </w:pPr>
  </w:style>
  <w:style w:type="paragraph" w:styleId="NormalWeb">
    <w:name w:val="Normal (Web)"/>
    <w:basedOn w:val="Normal"/>
    <w:uiPriority w:val="99"/>
    <w:semiHidden/>
    <w:unhideWhenUsed/>
    <w:rsid w:val="002265E1"/>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8">
    <w:name w:val="s8"/>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7">
    <w:name w:val="s7"/>
    <w:basedOn w:val="DefaultParagraphFont"/>
    <w:rsid w:val="00B140C3"/>
  </w:style>
  <w:style w:type="paragraph" w:customStyle="1" w:styleId="s11">
    <w:name w:val="s11"/>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10">
    <w:name w:val="s10"/>
    <w:basedOn w:val="DefaultParagraphFont"/>
    <w:rsid w:val="00B140C3"/>
  </w:style>
  <w:style w:type="character" w:customStyle="1" w:styleId="apple-converted-space">
    <w:name w:val="apple-converted-space"/>
    <w:basedOn w:val="DefaultParagraphFont"/>
    <w:rsid w:val="00B140C3"/>
  </w:style>
  <w:style w:type="character" w:customStyle="1" w:styleId="s4">
    <w:name w:val="s4"/>
    <w:basedOn w:val="DefaultParagraphFont"/>
    <w:rsid w:val="00B140C3"/>
  </w:style>
  <w:style w:type="paragraph" w:customStyle="1" w:styleId="s14">
    <w:name w:val="s14"/>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13">
    <w:name w:val="s13"/>
    <w:basedOn w:val="DefaultParagraphFont"/>
    <w:rsid w:val="00B140C3"/>
  </w:style>
  <w:style w:type="paragraph" w:customStyle="1" w:styleId="s16">
    <w:name w:val="s16"/>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19">
    <w:name w:val="s19"/>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20">
    <w:name w:val="s20"/>
    <w:basedOn w:val="DefaultParagraphFont"/>
    <w:rsid w:val="00B140C3"/>
  </w:style>
  <w:style w:type="paragraph" w:customStyle="1" w:styleId="s21">
    <w:name w:val="s21"/>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22">
    <w:name w:val="s22"/>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paragraph" w:customStyle="1" w:styleId="s23">
    <w:name w:val="s23"/>
    <w:basedOn w:val="Normal"/>
    <w:rsid w:val="00B140C3"/>
    <w:pPr>
      <w:spacing w:before="100" w:beforeAutospacing="1" w:after="100" w:afterAutospacing="1" w:line="240" w:lineRule="auto"/>
      <w:jc w:val="left"/>
    </w:pPr>
    <w:rPr>
      <w:rFonts w:ascii="Times New Roman" w:eastAsiaTheme="minorEastAsia" w:hAnsi="Times New Roman"/>
      <w:color w:val="auto"/>
      <w:sz w:val="24"/>
      <w:szCs w:val="24"/>
      <w:lang w:eastAsia="en-GB"/>
    </w:rPr>
  </w:style>
  <w:style w:type="character" w:customStyle="1" w:styleId="s24">
    <w:name w:val="s24"/>
    <w:basedOn w:val="DefaultParagraphFont"/>
    <w:rsid w:val="00B140C3"/>
  </w:style>
  <w:style w:type="paragraph" w:styleId="Revision">
    <w:name w:val="Revision"/>
    <w:hidden/>
    <w:uiPriority w:val="99"/>
    <w:semiHidden/>
    <w:rsid w:val="00ED06D3"/>
    <w:pPr>
      <w:spacing w:after="0" w:line="240" w:lineRule="auto"/>
    </w:pPr>
    <w:rPr>
      <w:rFonts w:ascii="Corbel" w:eastAsia="Times New Roman" w:hAnsi="Corbel" w:cs="Times New Roman"/>
      <w:color w:val="000000"/>
      <w:sz w:val="23"/>
      <w:szCs w:val="20"/>
      <w:lang w:eastAsia="en-AU"/>
    </w:rPr>
  </w:style>
  <w:style w:type="paragraph" w:customStyle="1" w:styleId="Bullet">
    <w:name w:val="Bullet"/>
    <w:basedOn w:val="Normal"/>
    <w:link w:val="BulletChar"/>
    <w:rsid w:val="009A09E7"/>
    <w:pPr>
      <w:numPr>
        <w:numId w:val="13"/>
      </w:numPr>
    </w:pPr>
    <w:rPr>
      <w:rFonts w:eastAsiaTheme="minorEastAsia"/>
    </w:rPr>
  </w:style>
  <w:style w:type="character" w:customStyle="1" w:styleId="BulletChar">
    <w:name w:val="Bullet Char"/>
    <w:basedOn w:val="OutlineNumbered2Char"/>
    <w:link w:val="Bullet"/>
    <w:rsid w:val="009A09E7"/>
    <w:rPr>
      <w:rFonts w:ascii="Corbel" w:eastAsiaTheme="minorEastAsia" w:hAnsi="Corbel" w:cs="Times New Roman"/>
      <w:color w:val="000000"/>
      <w:sz w:val="23"/>
      <w:szCs w:val="20"/>
      <w:lang w:eastAsia="en-AU"/>
    </w:rPr>
  </w:style>
  <w:style w:type="paragraph" w:customStyle="1" w:styleId="Dash">
    <w:name w:val="Dash"/>
    <w:basedOn w:val="Normal"/>
    <w:link w:val="DashChar"/>
    <w:rsid w:val="009A09E7"/>
    <w:pPr>
      <w:numPr>
        <w:ilvl w:val="1"/>
        <w:numId w:val="13"/>
      </w:numPr>
    </w:pPr>
    <w:rPr>
      <w:rFonts w:eastAsiaTheme="minorEastAsia"/>
    </w:rPr>
  </w:style>
  <w:style w:type="character" w:customStyle="1" w:styleId="DashChar">
    <w:name w:val="Dash Char"/>
    <w:basedOn w:val="OutlineNumbered2Char"/>
    <w:link w:val="Dash"/>
    <w:rsid w:val="009A09E7"/>
    <w:rPr>
      <w:rFonts w:ascii="Corbel" w:eastAsiaTheme="minorEastAsia" w:hAnsi="Corbel" w:cs="Times New Roman"/>
      <w:color w:val="000000"/>
      <w:sz w:val="23"/>
      <w:szCs w:val="20"/>
      <w:lang w:eastAsia="en-AU"/>
    </w:rPr>
  </w:style>
  <w:style w:type="paragraph" w:customStyle="1" w:styleId="DoubleDot">
    <w:name w:val="Double Dot"/>
    <w:basedOn w:val="Normal"/>
    <w:link w:val="DoubleDotChar"/>
    <w:rsid w:val="009A09E7"/>
    <w:pPr>
      <w:numPr>
        <w:ilvl w:val="2"/>
        <w:numId w:val="13"/>
      </w:numPr>
    </w:pPr>
    <w:rPr>
      <w:rFonts w:eastAsiaTheme="minorEastAsia"/>
    </w:rPr>
  </w:style>
  <w:style w:type="character" w:customStyle="1" w:styleId="DoubleDotChar">
    <w:name w:val="Double Dot Char"/>
    <w:basedOn w:val="OutlineNumbered2Char"/>
    <w:link w:val="DoubleDot"/>
    <w:rsid w:val="009A09E7"/>
    <w:rPr>
      <w:rFonts w:ascii="Corbel" w:eastAsiaTheme="minorEastAsia" w:hAnsi="Corbel" w:cs="Times New Roman"/>
      <w:color w:val="000000"/>
      <w:sz w:val="23"/>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8118">
      <w:bodyDiv w:val="1"/>
      <w:marLeft w:val="0"/>
      <w:marRight w:val="0"/>
      <w:marTop w:val="0"/>
      <w:marBottom w:val="0"/>
      <w:divBdr>
        <w:top w:val="none" w:sz="0" w:space="0" w:color="auto"/>
        <w:left w:val="none" w:sz="0" w:space="0" w:color="auto"/>
        <w:bottom w:val="none" w:sz="0" w:space="0" w:color="auto"/>
        <w:right w:val="none" w:sz="0" w:space="0" w:color="auto"/>
      </w:divBdr>
      <w:divsChild>
        <w:div w:id="1837962289">
          <w:marLeft w:val="0"/>
          <w:marRight w:val="0"/>
          <w:marTop w:val="0"/>
          <w:marBottom w:val="0"/>
          <w:divBdr>
            <w:top w:val="none" w:sz="0" w:space="0" w:color="auto"/>
            <w:left w:val="none" w:sz="0" w:space="0" w:color="auto"/>
            <w:bottom w:val="none" w:sz="0" w:space="0" w:color="auto"/>
            <w:right w:val="none" w:sz="0" w:space="0" w:color="auto"/>
          </w:divBdr>
        </w:div>
        <w:div w:id="412287126">
          <w:marLeft w:val="0"/>
          <w:marRight w:val="0"/>
          <w:marTop w:val="0"/>
          <w:marBottom w:val="0"/>
          <w:divBdr>
            <w:top w:val="none" w:sz="0" w:space="0" w:color="auto"/>
            <w:left w:val="none" w:sz="0" w:space="0" w:color="auto"/>
            <w:bottom w:val="none" w:sz="0" w:space="0" w:color="auto"/>
            <w:right w:val="none" w:sz="0" w:space="0" w:color="auto"/>
          </w:divBdr>
        </w:div>
        <w:div w:id="95635965">
          <w:marLeft w:val="0"/>
          <w:marRight w:val="0"/>
          <w:marTop w:val="0"/>
          <w:marBottom w:val="0"/>
          <w:divBdr>
            <w:top w:val="none" w:sz="0" w:space="0" w:color="auto"/>
            <w:left w:val="none" w:sz="0" w:space="0" w:color="auto"/>
            <w:bottom w:val="none" w:sz="0" w:space="0" w:color="auto"/>
            <w:right w:val="none" w:sz="0" w:space="0" w:color="auto"/>
          </w:divBdr>
        </w:div>
        <w:div w:id="1927567276">
          <w:marLeft w:val="0"/>
          <w:marRight w:val="0"/>
          <w:marTop w:val="0"/>
          <w:marBottom w:val="0"/>
          <w:divBdr>
            <w:top w:val="none" w:sz="0" w:space="0" w:color="auto"/>
            <w:left w:val="none" w:sz="0" w:space="0" w:color="auto"/>
            <w:bottom w:val="none" w:sz="0" w:space="0" w:color="auto"/>
            <w:right w:val="none" w:sz="0" w:space="0" w:color="auto"/>
          </w:divBdr>
        </w:div>
        <w:div w:id="2038192953">
          <w:marLeft w:val="0"/>
          <w:marRight w:val="0"/>
          <w:marTop w:val="0"/>
          <w:marBottom w:val="0"/>
          <w:divBdr>
            <w:top w:val="none" w:sz="0" w:space="0" w:color="auto"/>
            <w:left w:val="none" w:sz="0" w:space="0" w:color="auto"/>
            <w:bottom w:val="none" w:sz="0" w:space="0" w:color="auto"/>
            <w:right w:val="none" w:sz="0" w:space="0" w:color="auto"/>
          </w:divBdr>
        </w:div>
        <w:div w:id="1610041741">
          <w:marLeft w:val="0"/>
          <w:marRight w:val="0"/>
          <w:marTop w:val="0"/>
          <w:marBottom w:val="0"/>
          <w:divBdr>
            <w:top w:val="none" w:sz="0" w:space="0" w:color="auto"/>
            <w:left w:val="none" w:sz="0" w:space="0" w:color="auto"/>
            <w:bottom w:val="none" w:sz="0" w:space="0" w:color="auto"/>
            <w:right w:val="none" w:sz="0" w:space="0" w:color="auto"/>
          </w:divBdr>
        </w:div>
        <w:div w:id="1227687962">
          <w:marLeft w:val="0"/>
          <w:marRight w:val="0"/>
          <w:marTop w:val="0"/>
          <w:marBottom w:val="0"/>
          <w:divBdr>
            <w:top w:val="none" w:sz="0" w:space="0" w:color="auto"/>
            <w:left w:val="none" w:sz="0" w:space="0" w:color="auto"/>
            <w:bottom w:val="none" w:sz="0" w:space="0" w:color="auto"/>
            <w:right w:val="none" w:sz="0" w:space="0" w:color="auto"/>
          </w:divBdr>
        </w:div>
        <w:div w:id="2019771420">
          <w:marLeft w:val="0"/>
          <w:marRight w:val="0"/>
          <w:marTop w:val="0"/>
          <w:marBottom w:val="0"/>
          <w:divBdr>
            <w:top w:val="none" w:sz="0" w:space="0" w:color="auto"/>
            <w:left w:val="none" w:sz="0" w:space="0" w:color="auto"/>
            <w:bottom w:val="none" w:sz="0" w:space="0" w:color="auto"/>
            <w:right w:val="none" w:sz="0" w:space="0" w:color="auto"/>
          </w:divBdr>
        </w:div>
        <w:div w:id="1385368008">
          <w:marLeft w:val="0"/>
          <w:marRight w:val="0"/>
          <w:marTop w:val="0"/>
          <w:marBottom w:val="0"/>
          <w:divBdr>
            <w:top w:val="none" w:sz="0" w:space="0" w:color="auto"/>
            <w:left w:val="none" w:sz="0" w:space="0" w:color="auto"/>
            <w:bottom w:val="none" w:sz="0" w:space="0" w:color="auto"/>
            <w:right w:val="none" w:sz="0" w:space="0" w:color="auto"/>
          </w:divBdr>
        </w:div>
      </w:divsChild>
    </w:div>
    <w:div w:id="498622962">
      <w:bodyDiv w:val="1"/>
      <w:marLeft w:val="0"/>
      <w:marRight w:val="0"/>
      <w:marTop w:val="0"/>
      <w:marBottom w:val="0"/>
      <w:divBdr>
        <w:top w:val="none" w:sz="0" w:space="0" w:color="auto"/>
        <w:left w:val="none" w:sz="0" w:space="0" w:color="auto"/>
        <w:bottom w:val="none" w:sz="0" w:space="0" w:color="auto"/>
        <w:right w:val="none" w:sz="0" w:space="0" w:color="auto"/>
      </w:divBdr>
    </w:div>
    <w:div w:id="546339005">
      <w:bodyDiv w:val="1"/>
      <w:marLeft w:val="0"/>
      <w:marRight w:val="0"/>
      <w:marTop w:val="0"/>
      <w:marBottom w:val="0"/>
      <w:divBdr>
        <w:top w:val="none" w:sz="0" w:space="0" w:color="auto"/>
        <w:left w:val="none" w:sz="0" w:space="0" w:color="auto"/>
        <w:bottom w:val="none" w:sz="0" w:space="0" w:color="auto"/>
        <w:right w:val="none" w:sz="0" w:space="0" w:color="auto"/>
      </w:divBdr>
    </w:div>
    <w:div w:id="564947975">
      <w:bodyDiv w:val="1"/>
      <w:marLeft w:val="0"/>
      <w:marRight w:val="0"/>
      <w:marTop w:val="0"/>
      <w:marBottom w:val="0"/>
      <w:divBdr>
        <w:top w:val="none" w:sz="0" w:space="0" w:color="auto"/>
        <w:left w:val="none" w:sz="0" w:space="0" w:color="auto"/>
        <w:bottom w:val="none" w:sz="0" w:space="0" w:color="auto"/>
        <w:right w:val="none" w:sz="0" w:space="0" w:color="auto"/>
      </w:divBdr>
      <w:divsChild>
        <w:div w:id="1435128280">
          <w:marLeft w:val="0"/>
          <w:marRight w:val="0"/>
          <w:marTop w:val="0"/>
          <w:marBottom w:val="0"/>
          <w:divBdr>
            <w:top w:val="none" w:sz="0" w:space="0" w:color="auto"/>
            <w:left w:val="none" w:sz="0" w:space="0" w:color="auto"/>
            <w:bottom w:val="none" w:sz="0" w:space="0" w:color="auto"/>
            <w:right w:val="none" w:sz="0" w:space="0" w:color="auto"/>
          </w:divBdr>
        </w:div>
        <w:div w:id="1554998053">
          <w:marLeft w:val="0"/>
          <w:marRight w:val="0"/>
          <w:marTop w:val="0"/>
          <w:marBottom w:val="0"/>
          <w:divBdr>
            <w:top w:val="none" w:sz="0" w:space="0" w:color="auto"/>
            <w:left w:val="none" w:sz="0" w:space="0" w:color="auto"/>
            <w:bottom w:val="none" w:sz="0" w:space="0" w:color="auto"/>
            <w:right w:val="none" w:sz="0" w:space="0" w:color="auto"/>
          </w:divBdr>
        </w:div>
        <w:div w:id="569460122">
          <w:marLeft w:val="0"/>
          <w:marRight w:val="0"/>
          <w:marTop w:val="0"/>
          <w:marBottom w:val="0"/>
          <w:divBdr>
            <w:top w:val="none" w:sz="0" w:space="0" w:color="auto"/>
            <w:left w:val="none" w:sz="0" w:space="0" w:color="auto"/>
            <w:bottom w:val="none" w:sz="0" w:space="0" w:color="auto"/>
            <w:right w:val="none" w:sz="0" w:space="0" w:color="auto"/>
          </w:divBdr>
        </w:div>
        <w:div w:id="902715496">
          <w:marLeft w:val="0"/>
          <w:marRight w:val="0"/>
          <w:marTop w:val="0"/>
          <w:marBottom w:val="0"/>
          <w:divBdr>
            <w:top w:val="none" w:sz="0" w:space="0" w:color="auto"/>
            <w:left w:val="none" w:sz="0" w:space="0" w:color="auto"/>
            <w:bottom w:val="none" w:sz="0" w:space="0" w:color="auto"/>
            <w:right w:val="none" w:sz="0" w:space="0" w:color="auto"/>
          </w:divBdr>
        </w:div>
      </w:divsChild>
    </w:div>
    <w:div w:id="616568913">
      <w:bodyDiv w:val="1"/>
      <w:marLeft w:val="0"/>
      <w:marRight w:val="0"/>
      <w:marTop w:val="0"/>
      <w:marBottom w:val="0"/>
      <w:divBdr>
        <w:top w:val="none" w:sz="0" w:space="0" w:color="auto"/>
        <w:left w:val="none" w:sz="0" w:space="0" w:color="auto"/>
        <w:bottom w:val="none" w:sz="0" w:space="0" w:color="auto"/>
        <w:right w:val="none" w:sz="0" w:space="0" w:color="auto"/>
      </w:divBdr>
    </w:div>
    <w:div w:id="720981210">
      <w:bodyDiv w:val="1"/>
      <w:marLeft w:val="0"/>
      <w:marRight w:val="0"/>
      <w:marTop w:val="0"/>
      <w:marBottom w:val="0"/>
      <w:divBdr>
        <w:top w:val="none" w:sz="0" w:space="0" w:color="auto"/>
        <w:left w:val="none" w:sz="0" w:space="0" w:color="auto"/>
        <w:bottom w:val="none" w:sz="0" w:space="0" w:color="auto"/>
        <w:right w:val="none" w:sz="0" w:space="0" w:color="auto"/>
      </w:divBdr>
    </w:div>
    <w:div w:id="916745943">
      <w:bodyDiv w:val="1"/>
      <w:marLeft w:val="0"/>
      <w:marRight w:val="0"/>
      <w:marTop w:val="0"/>
      <w:marBottom w:val="0"/>
      <w:divBdr>
        <w:top w:val="none" w:sz="0" w:space="0" w:color="auto"/>
        <w:left w:val="none" w:sz="0" w:space="0" w:color="auto"/>
        <w:bottom w:val="none" w:sz="0" w:space="0" w:color="auto"/>
        <w:right w:val="none" w:sz="0" w:space="0" w:color="auto"/>
      </w:divBdr>
    </w:div>
    <w:div w:id="916867826">
      <w:bodyDiv w:val="1"/>
      <w:marLeft w:val="0"/>
      <w:marRight w:val="0"/>
      <w:marTop w:val="0"/>
      <w:marBottom w:val="0"/>
      <w:divBdr>
        <w:top w:val="none" w:sz="0" w:space="0" w:color="auto"/>
        <w:left w:val="none" w:sz="0" w:space="0" w:color="auto"/>
        <w:bottom w:val="none" w:sz="0" w:space="0" w:color="auto"/>
        <w:right w:val="none" w:sz="0" w:space="0" w:color="auto"/>
      </w:divBdr>
    </w:div>
    <w:div w:id="1265114427">
      <w:bodyDiv w:val="1"/>
      <w:marLeft w:val="0"/>
      <w:marRight w:val="0"/>
      <w:marTop w:val="0"/>
      <w:marBottom w:val="0"/>
      <w:divBdr>
        <w:top w:val="none" w:sz="0" w:space="0" w:color="auto"/>
        <w:left w:val="none" w:sz="0" w:space="0" w:color="auto"/>
        <w:bottom w:val="none" w:sz="0" w:space="0" w:color="auto"/>
        <w:right w:val="none" w:sz="0" w:space="0" w:color="auto"/>
      </w:divBdr>
    </w:div>
    <w:div w:id="1355887480">
      <w:bodyDiv w:val="1"/>
      <w:marLeft w:val="0"/>
      <w:marRight w:val="0"/>
      <w:marTop w:val="0"/>
      <w:marBottom w:val="0"/>
      <w:divBdr>
        <w:top w:val="none" w:sz="0" w:space="0" w:color="auto"/>
        <w:left w:val="none" w:sz="0" w:space="0" w:color="auto"/>
        <w:bottom w:val="none" w:sz="0" w:space="0" w:color="auto"/>
        <w:right w:val="none" w:sz="0" w:space="0" w:color="auto"/>
      </w:divBdr>
    </w:div>
    <w:div w:id="1377926522">
      <w:bodyDiv w:val="1"/>
      <w:marLeft w:val="0"/>
      <w:marRight w:val="0"/>
      <w:marTop w:val="0"/>
      <w:marBottom w:val="0"/>
      <w:divBdr>
        <w:top w:val="none" w:sz="0" w:space="0" w:color="auto"/>
        <w:left w:val="none" w:sz="0" w:space="0" w:color="auto"/>
        <w:bottom w:val="none" w:sz="0" w:space="0" w:color="auto"/>
        <w:right w:val="none" w:sz="0" w:space="0" w:color="auto"/>
      </w:divBdr>
    </w:div>
    <w:div w:id="1471243275">
      <w:bodyDiv w:val="1"/>
      <w:marLeft w:val="0"/>
      <w:marRight w:val="0"/>
      <w:marTop w:val="0"/>
      <w:marBottom w:val="0"/>
      <w:divBdr>
        <w:top w:val="none" w:sz="0" w:space="0" w:color="auto"/>
        <w:left w:val="none" w:sz="0" w:space="0" w:color="auto"/>
        <w:bottom w:val="none" w:sz="0" w:space="0" w:color="auto"/>
        <w:right w:val="none" w:sz="0" w:space="0" w:color="auto"/>
      </w:divBdr>
    </w:div>
    <w:div w:id="16954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2084" ma:contentTypeDescription=" " ma:contentTypeScope="" ma:versionID="c14ea7248ea6a5e24f05c4897b99043f">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2018FG-64-46682</_dlc_DocId>
    <_dlc_DocIdUrl xmlns="e544e5cc-ab70-42e1-849e-1a0f8bb1f4ef">
      <Url>http://tweb/sites/fg/csrd/_layouts/15/DocIdRedir.aspx?ID=2018FG-64-46682</Url>
      <Description>2018FG-64-46682</Description>
    </_dlc_DocIdUrl>
  </documentManagement>
</p:propertie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5C27E06A-014A-402A-8C25-26E831C1E91E}"/>
</file>

<file path=customXml/itemProps2.xml><?xml version="1.0" encoding="utf-8"?>
<ds:datastoreItem xmlns:ds="http://schemas.openxmlformats.org/officeDocument/2006/customXml" ds:itemID="{5936336E-FF0C-4E9A-81AC-3D838B752CFF}">
  <ds:schemaRefs>
    <ds:schemaRef ds:uri="http://schemas.microsoft.com/sharepoint/v3/contenttype/forms"/>
  </ds:schemaRefs>
</ds:datastoreItem>
</file>

<file path=customXml/itemProps3.xml><?xml version="1.0" encoding="utf-8"?>
<ds:datastoreItem xmlns:ds="http://schemas.openxmlformats.org/officeDocument/2006/customXml" ds:itemID="{E1B9E172-617A-4C99-B51C-EE256F026E05}">
  <ds:schemaRefs>
    <ds:schemaRef ds:uri="office.server.policy"/>
  </ds:schemaRefs>
</ds:datastoreItem>
</file>

<file path=customXml/itemProps4.xml><?xml version="1.0" encoding="utf-8"?>
<ds:datastoreItem xmlns:ds="http://schemas.openxmlformats.org/officeDocument/2006/customXml" ds:itemID="{378723A5-716C-4E0A-BF70-361DD08E7631}">
  <ds:schemaRefs>
    <ds:schemaRef ds:uri="http://schemas.microsoft.com/office/2006/metadata/properties"/>
    <ds:schemaRef ds:uri="http://schemas.microsoft.com/office/infopath/2007/PartnerControls"/>
    <ds:schemaRef ds:uri="http://schemas.microsoft.com/sharepoint/v4"/>
    <ds:schemaRef ds:uri="e544e5cc-ab70-42e1-849e-1a0f8bb1f4ef"/>
  </ds:schemaRefs>
</ds:datastoreItem>
</file>

<file path=customXml/itemProps5.xml><?xml version="1.0" encoding="utf-8"?>
<ds:datastoreItem xmlns:ds="http://schemas.openxmlformats.org/officeDocument/2006/customXml" ds:itemID="{15B584ED-FDFE-4629-8B64-79A7FE6515D6}"/>
</file>

<file path=customXml/itemProps6.xml><?xml version="1.0" encoding="utf-8"?>
<ds:datastoreItem xmlns:ds="http://schemas.openxmlformats.org/officeDocument/2006/customXml" ds:itemID="{A81985BF-1786-4367-97C9-0FF755A08147}">
  <ds:schemaRefs>
    <ds:schemaRef ds:uri="http://schemas.openxmlformats.org/officeDocument/2006/bibliography"/>
  </ds:schemaRefs>
</ds:datastoreItem>
</file>

<file path=customXml/itemProps7.xml><?xml version="1.0" encoding="utf-8"?>
<ds:datastoreItem xmlns:ds="http://schemas.openxmlformats.org/officeDocument/2006/customXml" ds:itemID="{37D0D942-D770-421B-AE90-BBC2BDF12FD3}"/>
</file>

<file path=docProps/app.xml><?xml version="1.0" encoding="utf-8"?>
<Properties xmlns="http://schemas.openxmlformats.org/officeDocument/2006/extended-properties" xmlns:vt="http://schemas.openxmlformats.org/officeDocument/2006/docPropsVTypes">
  <Template>Normal</Template>
  <TotalTime>1</TotalTime>
  <Pages>8</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 Alyson</dc:creator>
  <cp:lastModifiedBy>Catherine Burgess</cp:lastModifiedBy>
  <cp:revision>3</cp:revision>
  <cp:lastPrinted>2018-06-05T23:40:00Z</cp:lastPrinted>
  <dcterms:created xsi:type="dcterms:W3CDTF">2018-06-12T01:39:00Z</dcterms:created>
  <dcterms:modified xsi:type="dcterms:W3CDTF">2018-06-12T01:59:00Z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SYRecordClass">
    <vt:lpwstr>2;#TSY RA-8748 - Retain as national archives|243f2231-dbfc-4282-b24a-c9b768286bd0</vt:lpwstr>
  </property>
  <property fmtid="{D5CDD505-2E9C-101B-9397-08002B2CF9AE}" pid="4" name="RecordPoint_WorkflowType">
    <vt:lpwstr>ActiveSubmitStub</vt:lpwstr>
  </property>
  <property fmtid="{D5CDD505-2E9C-101B-9397-08002B2CF9AE}" pid="5" name="RecordPoint_ActiveItemListId">
    <vt:lpwstr>{4435c73b-6585-4bc2-a76a-5d21b1a02e06}</vt:lpwstr>
  </property>
  <property fmtid="{D5CDD505-2E9C-101B-9397-08002B2CF9AE}" pid="6" name="RecordPoint_ActiveItemWebId">
    <vt:lpwstr>{a4589788-615f-4b8b-8296-7f9f6dfbab44}</vt:lpwstr>
  </property>
  <property fmtid="{D5CDD505-2E9C-101B-9397-08002B2CF9AE}" pid="7" name="RecordPoint_ActiveItemSiteId">
    <vt:lpwstr>{a3a280d1-e8f1-4ce7-94f0-aaa2322da0dd}</vt:lpwstr>
  </property>
  <property fmtid="{D5CDD505-2E9C-101B-9397-08002B2CF9AE}" pid="8" name="RecordPoint_SubmissionDate">
    <vt:lpwstr/>
  </property>
  <property fmtid="{D5CDD505-2E9C-101B-9397-08002B2CF9AE}" pid="9" name="RecordPoint_ActiveItemMoved">
    <vt:lpwstr/>
  </property>
  <property fmtid="{D5CDD505-2E9C-101B-9397-08002B2CF9AE}" pid="10" name="RecordPoint_RecordFormat">
    <vt:lpwstr/>
  </property>
  <property fmtid="{D5CDD505-2E9C-101B-9397-08002B2CF9AE}" pid="11" name="_NewReviewCycle">
    <vt:lpwstr/>
  </property>
  <property fmtid="{D5CDD505-2E9C-101B-9397-08002B2CF9AE}" pid="12" name="RecordPoint_ActiveItemUniqueId">
    <vt:lpwstr>{e9d4ebd7-410f-4b61-b262-31c28609c3e8}</vt:lpwstr>
  </property>
  <property fmtid="{D5CDD505-2E9C-101B-9397-08002B2CF9AE}" pid="13" name="_dlc_DocIdItemGuid">
    <vt:lpwstr>e9d4ebd7-410f-4b61-b262-31c28609c3e8</vt:lpwstr>
  </property>
  <property fmtid="{D5CDD505-2E9C-101B-9397-08002B2CF9AE}" pid="14" name="RecordPoint_RecordNumberSubmitted">
    <vt:lpwstr>R0001755712</vt:lpwstr>
  </property>
  <property fmtid="{D5CDD505-2E9C-101B-9397-08002B2CF9AE}" pid="15" name="RecordPoint_SubmissionCompleted">
    <vt:lpwstr>2018-06-19T12:05:47.9328191+10:00</vt:lpwstr>
  </property>
  <property fmtid="{D5CDD505-2E9C-101B-9397-08002B2CF9AE}" pid="16" name="_AdHocReviewCycleID">
    <vt:i4>-329835494</vt:i4>
  </property>
  <property fmtid="{D5CDD505-2E9C-101B-9397-08002B2CF9AE}" pid="17" name="_EmailSubject">
    <vt:lpwstr>Publishing of NHHA [DLM=For-Official-Use-Only]</vt:lpwstr>
  </property>
  <property fmtid="{D5CDD505-2E9C-101B-9397-08002B2CF9AE}" pid="18" name="_AuthorEmail">
    <vt:lpwstr>Helen.Sykes@treasury.gov.au</vt:lpwstr>
  </property>
  <property fmtid="{D5CDD505-2E9C-101B-9397-08002B2CF9AE}" pid="19" name="_AuthorEmailDisplayName">
    <vt:lpwstr>Sykes, Helen</vt:lpwstr>
  </property>
</Properties>
</file>