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17AAF" w14:textId="716AD953" w:rsidR="006B7F68" w:rsidRPr="00A768CA" w:rsidRDefault="006B7F68" w:rsidP="006B7F68">
      <w:pPr>
        <w:pStyle w:val="Normalnumbered"/>
        <w:keepNext/>
        <w:tabs>
          <w:tab w:val="clear" w:pos="283"/>
        </w:tabs>
        <w:spacing w:line="240" w:lineRule="auto"/>
        <w:ind w:left="357" w:hanging="357"/>
        <w:jc w:val="right"/>
        <w:rPr>
          <w:rFonts w:ascii="Consolas" w:hAnsi="Consolas" w:cs="Consolas"/>
          <w:sz w:val="32"/>
          <w:szCs w:val="32"/>
        </w:rPr>
      </w:pPr>
      <w:r w:rsidRPr="00A768CA">
        <w:rPr>
          <w:rFonts w:ascii="Consolas" w:hAnsi="Consolas" w:cs="Consolas"/>
          <w:sz w:val="32"/>
          <w:szCs w:val="32"/>
        </w:rPr>
        <w:t>Schedule A</w:t>
      </w:r>
    </w:p>
    <w:p w14:paraId="4A3C45F1" w14:textId="161159AE" w:rsidR="006B7F68" w:rsidRPr="00A768CA" w:rsidRDefault="006B7F68" w:rsidP="006B7F68">
      <w:pPr>
        <w:pStyle w:val="Normalnumbered"/>
        <w:keepNext/>
        <w:tabs>
          <w:tab w:val="clear" w:pos="283"/>
        </w:tabs>
        <w:ind w:left="0" w:hanging="360"/>
        <w:rPr>
          <w:b/>
          <w:sz w:val="29"/>
          <w:szCs w:val="29"/>
        </w:rPr>
      </w:pPr>
      <w:r w:rsidRPr="00A768CA">
        <w:rPr>
          <w:b/>
          <w:sz w:val="29"/>
          <w:szCs w:val="29"/>
        </w:rPr>
        <w:t>Project milestones, reporting and payments – Australian Capital Territory</w:t>
      </w:r>
      <w:r w:rsidR="002669D2" w:rsidRPr="00A768CA">
        <w:rPr>
          <w:b/>
          <w:sz w:val="29"/>
          <w:szCs w:val="29"/>
        </w:rPr>
        <w:t xml:space="preserve"> </w:t>
      </w:r>
    </w:p>
    <w:p w14:paraId="71576E50" w14:textId="0590D611" w:rsidR="00860F89" w:rsidRPr="00A768CA" w:rsidRDefault="00860F89" w:rsidP="00860F89">
      <w:pPr>
        <w:ind w:left="567" w:hanging="567"/>
      </w:pPr>
      <w:r w:rsidRPr="00A768CA">
        <w:t>A1.</w:t>
      </w:r>
      <w:r w:rsidRPr="00A768CA">
        <w:tab/>
        <w:t>To deliver the outputs of this Agreement, the following projects will be delivered by the Australian Capital Territory in 2016</w:t>
      </w:r>
      <w:r w:rsidR="00CF24EF" w:rsidRPr="00A768CA">
        <w:t>-17 and 2017-18</w:t>
      </w:r>
      <w:r w:rsidRPr="00A768CA">
        <w:t>:</w:t>
      </w:r>
    </w:p>
    <w:p w14:paraId="493E7F0D" w14:textId="4488828E" w:rsidR="00860F89" w:rsidRPr="00A768CA" w:rsidRDefault="00860F89" w:rsidP="00860F89">
      <w:pPr>
        <w:pStyle w:val="Normalnumbered"/>
        <w:numPr>
          <w:ilvl w:val="0"/>
          <w:numId w:val="2"/>
        </w:numPr>
        <w:tabs>
          <w:tab w:val="clear" w:pos="567"/>
          <w:tab w:val="clear" w:pos="1418"/>
          <w:tab w:val="left" w:pos="1134"/>
        </w:tabs>
        <w:jc w:val="left"/>
      </w:pPr>
      <w:r w:rsidRPr="00A768CA">
        <w:t>Project 8 -</w:t>
      </w:r>
      <w:r w:rsidRPr="00A768CA">
        <w:rPr>
          <w:i/>
        </w:rPr>
        <w:t xml:space="preserve"> Chairlift and mountain bike trails planning phase - Stage 1</w:t>
      </w:r>
      <w:r w:rsidRPr="00A768CA">
        <w:t xml:space="preserve"> ($100,000</w:t>
      </w:r>
      <w:r w:rsidR="001D2473" w:rsidRPr="00A768CA">
        <w:t>, comprising $70,000 in 2016-17 and $30,000 in 2017-18</w:t>
      </w:r>
      <w:r w:rsidRPr="00A768CA">
        <w:t>). This Stage 1 project is for planning</w:t>
      </w:r>
      <w:r w:rsidR="00131721" w:rsidRPr="00A768CA">
        <w:t>, design</w:t>
      </w:r>
      <w:r w:rsidRPr="00A768CA">
        <w:t xml:space="preserve"> and preliminary works for the future construction of a chairlift and supporting ski trail, as well as mountain bike trails. The two types of trails and infrastructure will support year round use of </w:t>
      </w:r>
      <w:proofErr w:type="spellStart"/>
      <w:r w:rsidRPr="00A768CA">
        <w:t>Corin</w:t>
      </w:r>
      <w:proofErr w:type="spellEnd"/>
      <w:r w:rsidRPr="00A768CA">
        <w:t xml:space="preserve"> Forest.</w:t>
      </w:r>
    </w:p>
    <w:p w14:paraId="4A41C3FA" w14:textId="5E503DE7" w:rsidR="00860F89" w:rsidRPr="00A768CA" w:rsidRDefault="00860F89" w:rsidP="00364C73">
      <w:pPr>
        <w:pStyle w:val="Normalnumbered"/>
        <w:numPr>
          <w:ilvl w:val="0"/>
          <w:numId w:val="2"/>
        </w:numPr>
        <w:tabs>
          <w:tab w:val="clear" w:pos="567"/>
          <w:tab w:val="clear" w:pos="1418"/>
          <w:tab w:val="left" w:pos="1134"/>
        </w:tabs>
        <w:jc w:val="left"/>
      </w:pPr>
      <w:r w:rsidRPr="00A768CA">
        <w:t xml:space="preserve">Project 9 - </w:t>
      </w:r>
      <w:r w:rsidRPr="00A768CA">
        <w:rPr>
          <w:i/>
        </w:rPr>
        <w:t>Urban Stays Tourism 2020 Strategy – Young International Travellers</w:t>
      </w:r>
      <w:r w:rsidRPr="00A768CA">
        <w:t xml:space="preserve"> ($285,750</w:t>
      </w:r>
      <w:r w:rsidR="00364C73" w:rsidRPr="00A768CA">
        <w:t>, comprising $142,875 in 2016-17 and $ 142,875</w:t>
      </w:r>
      <w:r w:rsidR="007E60C8">
        <w:t xml:space="preserve"> in 2017-18</w:t>
      </w:r>
      <w:r w:rsidRPr="00A768CA">
        <w:t>). This project will see the refurbishment of accommodation facility in Canberra - Urban Stays. Improvements include energy efficient upgrades and refurbishment of dormitor</w:t>
      </w:r>
      <w:r w:rsidR="00131721" w:rsidRPr="00A768CA">
        <w:t>ies</w:t>
      </w:r>
      <w:r w:rsidRPr="00A768CA">
        <w:t>, kitchen, laundry and recreation rooms and fixtures.</w:t>
      </w:r>
    </w:p>
    <w:p w14:paraId="3367AE3A" w14:textId="55B5CB39" w:rsidR="00860F89" w:rsidRPr="00857F82" w:rsidRDefault="00860F89" w:rsidP="007E109D">
      <w:pPr>
        <w:pStyle w:val="Normalnumbered"/>
        <w:numPr>
          <w:ilvl w:val="0"/>
          <w:numId w:val="2"/>
        </w:numPr>
        <w:tabs>
          <w:tab w:val="clear" w:pos="567"/>
          <w:tab w:val="clear" w:pos="1418"/>
          <w:tab w:val="left" w:pos="1134"/>
        </w:tabs>
        <w:jc w:val="left"/>
      </w:pPr>
      <w:r w:rsidRPr="00A768CA">
        <w:t xml:space="preserve">Project 10 - </w:t>
      </w:r>
      <w:r w:rsidRPr="00A768CA">
        <w:rPr>
          <w:i/>
        </w:rPr>
        <w:t>The National Conservatory</w:t>
      </w:r>
      <w:r w:rsidRPr="00A768CA">
        <w:t xml:space="preserve"> ($500,000, comprising $250,000 in 2016-17 and $250,000 in 2017-18). </w:t>
      </w:r>
      <w:r w:rsidR="007E109D" w:rsidRPr="007E109D">
        <w:t>Occurring alongside the construction of the National Conservatory, the project is for the design of external lighting and interpretation, as well as for the installation of site infrastructure including electrical and hydraulic services</w:t>
      </w:r>
      <w:r w:rsidR="007E109D">
        <w:t>.</w:t>
      </w:r>
      <w:r w:rsidR="007E109D">
        <w:br/>
      </w:r>
      <w:r w:rsidR="00857F82">
        <w:t>(</w:t>
      </w:r>
      <w:r w:rsidR="007E109D" w:rsidRPr="00857F82">
        <w:t>Previous project description:</w:t>
      </w:r>
      <w:r w:rsidR="007E109D" w:rsidRPr="00857F82">
        <w:rPr>
          <w:i/>
        </w:rPr>
        <w:t xml:space="preserve"> </w:t>
      </w:r>
      <w:r w:rsidR="00713516" w:rsidRPr="00713516">
        <w:rPr>
          <w:i/>
        </w:rPr>
        <w:t>Occurring alongside the construction of the National Conservatory, this project is for the design and installation of external lighting, and the development and installation of interpretation in the facility.</w:t>
      </w:r>
      <w:r w:rsidR="00857F82">
        <w:t>)</w:t>
      </w:r>
    </w:p>
    <w:p w14:paraId="576FB02B" w14:textId="07B13B8E" w:rsidR="00364C73" w:rsidRPr="00DD5BD1" w:rsidRDefault="00364C73" w:rsidP="00F44739">
      <w:pPr>
        <w:pStyle w:val="Normalnumbered"/>
        <w:numPr>
          <w:ilvl w:val="0"/>
          <w:numId w:val="2"/>
        </w:numPr>
        <w:tabs>
          <w:tab w:val="clear" w:pos="567"/>
          <w:tab w:val="clear" w:pos="1418"/>
          <w:tab w:val="left" w:pos="1134"/>
        </w:tabs>
        <w:jc w:val="left"/>
      </w:pPr>
      <w:r w:rsidRPr="00DD5BD1">
        <w:rPr>
          <w:color w:val="auto"/>
        </w:rPr>
        <w:t xml:space="preserve">Project 11 – </w:t>
      </w:r>
      <w:r w:rsidR="00657FD8" w:rsidRPr="00DD5BD1">
        <w:rPr>
          <w:i/>
          <w:color w:val="auto"/>
        </w:rPr>
        <w:t>Developing a premium visitor experience at Mulligans Flat</w:t>
      </w:r>
      <w:r w:rsidR="00105E16" w:rsidRPr="00DD5BD1">
        <w:t xml:space="preserve"> </w:t>
      </w:r>
      <w:r w:rsidR="00105E16" w:rsidRPr="00DD5BD1">
        <w:rPr>
          <w:i/>
        </w:rPr>
        <w:t>Woodland Sanctuary</w:t>
      </w:r>
      <w:r w:rsidRPr="00DD5BD1">
        <w:rPr>
          <w:color w:val="auto"/>
        </w:rPr>
        <w:t xml:space="preserve"> </w:t>
      </w:r>
      <w:r w:rsidR="00684C08" w:rsidRPr="00DD5BD1">
        <w:t>($384,250, comprising $109,275 in 2016-17 and $275,000 in 2017-18)</w:t>
      </w:r>
      <w:r w:rsidRPr="00DD5BD1">
        <w:rPr>
          <w:color w:val="auto"/>
        </w:rPr>
        <w:t xml:space="preserve">. </w:t>
      </w:r>
      <w:r w:rsidR="00F44739" w:rsidRPr="00F44739">
        <w:rPr>
          <w:color w:val="auto"/>
        </w:rPr>
        <w:t>This project will deliver a design and interpretation plan for the development</w:t>
      </w:r>
      <w:r w:rsidR="00922E36">
        <w:rPr>
          <w:color w:val="auto"/>
        </w:rPr>
        <w:t xml:space="preserve"> of</w:t>
      </w:r>
      <w:bookmarkStart w:id="0" w:name="_GoBack"/>
      <w:bookmarkEnd w:id="0"/>
      <w:r w:rsidR="00F44739" w:rsidRPr="00F44739">
        <w:rPr>
          <w:color w:val="auto"/>
        </w:rPr>
        <w:t xml:space="preserve"> new visitor infrastructure at the Mulligans Flat Woodland Sanctuary, and implement the plan recommendation. This work is expected to include walking trails, look-outs, way-finding markers, new narratives, interpretive signage, design of a self-guided tour app, and the installation of new predator-free enclosure.</w:t>
      </w:r>
    </w:p>
    <w:p w14:paraId="40E0EBCD" w14:textId="76DD3BBE" w:rsidR="00364C73" w:rsidRPr="00A768CA" w:rsidRDefault="00364C73" w:rsidP="00F44739">
      <w:pPr>
        <w:pStyle w:val="Normalnumbered"/>
        <w:numPr>
          <w:ilvl w:val="0"/>
          <w:numId w:val="2"/>
        </w:numPr>
        <w:tabs>
          <w:tab w:val="clear" w:pos="567"/>
          <w:tab w:val="clear" w:pos="1418"/>
          <w:tab w:val="left" w:pos="1134"/>
        </w:tabs>
        <w:jc w:val="left"/>
      </w:pPr>
      <w:r w:rsidRPr="00A768CA">
        <w:t xml:space="preserve">Project 12 – </w:t>
      </w:r>
      <w:r w:rsidR="00657FD8" w:rsidRPr="00A768CA">
        <w:rPr>
          <w:i/>
        </w:rPr>
        <w:t>Encounter Tidbinbilla: digital &amp; exhibition experience plan development</w:t>
      </w:r>
      <w:r w:rsidRPr="00A768CA">
        <w:t xml:space="preserve">. </w:t>
      </w:r>
      <w:r w:rsidR="00684C08" w:rsidRPr="00A768CA">
        <w:rPr>
          <w:color w:val="auto"/>
        </w:rPr>
        <w:t xml:space="preserve">($30,000 in 2016-17) </w:t>
      </w:r>
      <w:r w:rsidR="00F44739" w:rsidRPr="00F44739">
        <w:t>This project will deliver a concept plan and construction drawings in order to enhance visitor experience and interpretation information available at the Tidbinbilla Visitor Centre. The deliverables will be developed by a design consultant and will address visitor area redesign; digital content and infrastructure; and interpretive presentations and displays.</w:t>
      </w:r>
    </w:p>
    <w:p w14:paraId="05541B80" w14:textId="45693D09" w:rsidR="006B7F68" w:rsidRPr="00A768CA" w:rsidRDefault="006B7F68" w:rsidP="006B7F68">
      <w:pPr>
        <w:ind w:left="567" w:hanging="567"/>
      </w:pPr>
      <w:r w:rsidRPr="00A768CA">
        <w:tab/>
        <w:t>To deliver the outputs of this Agreement, the following project</w:t>
      </w:r>
      <w:r w:rsidR="00954FF2" w:rsidRPr="00A768CA">
        <w:t>s</w:t>
      </w:r>
      <w:r w:rsidRPr="00A768CA">
        <w:t xml:space="preserve"> will be delivered by the Australian Capital Territory in 2015-16:</w:t>
      </w:r>
    </w:p>
    <w:p w14:paraId="06AFB507" w14:textId="3C248C1E" w:rsidR="006B7F68" w:rsidRPr="00A768CA" w:rsidRDefault="006B7F68" w:rsidP="00EA6A8D">
      <w:pPr>
        <w:pStyle w:val="Normalnumbered"/>
        <w:numPr>
          <w:ilvl w:val="0"/>
          <w:numId w:val="2"/>
        </w:numPr>
        <w:tabs>
          <w:tab w:val="clear" w:pos="567"/>
          <w:tab w:val="clear" w:pos="1418"/>
          <w:tab w:val="left" w:pos="1134"/>
        </w:tabs>
        <w:jc w:val="left"/>
      </w:pPr>
      <w:r w:rsidRPr="00A768CA">
        <w:t xml:space="preserve">Project 5 – </w:t>
      </w:r>
      <w:r w:rsidR="00EA6A8D" w:rsidRPr="00A768CA">
        <w:rPr>
          <w:i/>
        </w:rPr>
        <w:t xml:space="preserve">Bushland Precinct Walking Trail </w:t>
      </w:r>
      <w:r w:rsidRPr="00A768CA">
        <w:t>($</w:t>
      </w:r>
      <w:r w:rsidR="00EA6A8D" w:rsidRPr="00A768CA">
        <w:t>80</w:t>
      </w:r>
      <w:r w:rsidRPr="00A768CA">
        <w:t>,000)</w:t>
      </w:r>
      <w:proofErr w:type="gramStart"/>
      <w:r w:rsidRPr="00A768CA">
        <w:t xml:space="preserve">.  </w:t>
      </w:r>
      <w:proofErr w:type="gramEnd"/>
      <w:r w:rsidR="00EA6A8D" w:rsidRPr="00A768CA">
        <w:t xml:space="preserve">The project will see a </w:t>
      </w:r>
      <w:proofErr w:type="spellStart"/>
      <w:r w:rsidR="00EA6A8D" w:rsidRPr="00A768CA">
        <w:t>2km</w:t>
      </w:r>
      <w:proofErr w:type="spellEnd"/>
      <w:r w:rsidR="00EA6A8D" w:rsidRPr="00A768CA">
        <w:t xml:space="preserve"> bushland walking trail developed through the Australia</w:t>
      </w:r>
      <w:r w:rsidR="00954FF2" w:rsidRPr="00A768CA">
        <w:t>n</w:t>
      </w:r>
      <w:r w:rsidR="00EA6A8D" w:rsidRPr="00A768CA">
        <w:t xml:space="preserve"> National Botanic Gardens Bushland Precinct. It will provide visitors with a nature-based experience, and in the future will be part of a connection, through the Black Mountain Nature Reserve to the National Arboretum Canberra.</w:t>
      </w:r>
    </w:p>
    <w:p w14:paraId="25B6201E" w14:textId="01C82A4F" w:rsidR="00EA6A8D" w:rsidRPr="00A768CA" w:rsidRDefault="00EA6A8D" w:rsidP="00334610">
      <w:pPr>
        <w:pStyle w:val="Normalnumbered"/>
        <w:numPr>
          <w:ilvl w:val="0"/>
          <w:numId w:val="2"/>
        </w:numPr>
        <w:tabs>
          <w:tab w:val="clear" w:pos="567"/>
          <w:tab w:val="clear" w:pos="1418"/>
          <w:tab w:val="left" w:pos="1134"/>
        </w:tabs>
        <w:jc w:val="left"/>
      </w:pPr>
      <w:r w:rsidRPr="00A768CA">
        <w:t xml:space="preserve">Project 6 - </w:t>
      </w:r>
      <w:r w:rsidRPr="00A768CA">
        <w:rPr>
          <w:i/>
        </w:rPr>
        <w:t>Canberra and Regional Visitors Centre - Technology Solutions</w:t>
      </w:r>
      <w:r w:rsidRPr="00A768CA">
        <w:t xml:space="preserve"> ($655,0</w:t>
      </w:r>
      <w:r w:rsidR="000C133F" w:rsidRPr="00A768CA">
        <w:t>25</w:t>
      </w:r>
      <w:r w:rsidRPr="00A768CA">
        <w:t>)</w:t>
      </w:r>
      <w:proofErr w:type="gramStart"/>
      <w:r w:rsidRPr="00A768CA">
        <w:t xml:space="preserve">.  </w:t>
      </w:r>
      <w:proofErr w:type="gramEnd"/>
      <w:r w:rsidR="00334610" w:rsidRPr="00A768CA">
        <w:t xml:space="preserve">As part of the relocation of the Canberra and Regional Visitors Centre this project is for the </w:t>
      </w:r>
      <w:r w:rsidR="00430AC8" w:rsidRPr="00A768CA">
        <w:t xml:space="preserve">installation of </w:t>
      </w:r>
      <w:r w:rsidR="00334610" w:rsidRPr="00A768CA">
        <w:t>digital platform soft</w:t>
      </w:r>
      <w:r w:rsidR="004459EF" w:rsidRPr="00A768CA">
        <w:t>-</w:t>
      </w:r>
      <w:r w:rsidR="00334610" w:rsidRPr="00A768CA">
        <w:t xml:space="preserve"> and hardware infrastructure requirements. The hardware will support the transfer of visitor information to a digital platform.</w:t>
      </w:r>
    </w:p>
    <w:p w14:paraId="7A8B5B8F" w14:textId="3C25A89D" w:rsidR="00EA6A8D" w:rsidRPr="00A768CA" w:rsidRDefault="00EA6A8D" w:rsidP="00EA6A8D">
      <w:pPr>
        <w:pStyle w:val="Normalnumbered"/>
        <w:numPr>
          <w:ilvl w:val="0"/>
          <w:numId w:val="2"/>
        </w:numPr>
        <w:tabs>
          <w:tab w:val="clear" w:pos="567"/>
          <w:tab w:val="clear" w:pos="1418"/>
          <w:tab w:val="left" w:pos="1134"/>
        </w:tabs>
        <w:jc w:val="left"/>
      </w:pPr>
      <w:r w:rsidRPr="00A768CA">
        <w:lastRenderedPageBreak/>
        <w:t xml:space="preserve">Project 7 - </w:t>
      </w:r>
      <w:r w:rsidRPr="00A768CA">
        <w:rPr>
          <w:i/>
        </w:rPr>
        <w:t>Augmented Reality App for National Arboretum</w:t>
      </w:r>
      <w:r w:rsidRPr="00A768CA">
        <w:t xml:space="preserve"> ($40,000)</w:t>
      </w:r>
      <w:proofErr w:type="gramStart"/>
      <w:r w:rsidRPr="00A768CA">
        <w:t xml:space="preserve">.  </w:t>
      </w:r>
      <w:proofErr w:type="gramEnd"/>
      <w:r w:rsidRPr="00A768CA">
        <w:t xml:space="preserve">This project is for the development and implementation of an </w:t>
      </w:r>
      <w:r w:rsidR="00E77E0B" w:rsidRPr="00A768CA">
        <w:t>AR-</w:t>
      </w:r>
      <w:proofErr w:type="spellStart"/>
      <w:r w:rsidR="00E77E0B" w:rsidRPr="00A768CA">
        <w:t>boretum</w:t>
      </w:r>
      <w:proofErr w:type="spellEnd"/>
      <w:r w:rsidR="00E77E0B" w:rsidRPr="00A768CA">
        <w:t xml:space="preserve"> </w:t>
      </w:r>
      <w:r w:rsidRPr="00A768CA">
        <w:t xml:space="preserve">App unique to the National </w:t>
      </w:r>
      <w:r w:rsidR="00EF3E3B" w:rsidRPr="00A768CA">
        <w:t>Arboretum</w:t>
      </w:r>
      <w:r w:rsidRPr="00A768CA">
        <w:t xml:space="preserve"> Canberra. The App will be site specific, providing </w:t>
      </w:r>
      <w:r w:rsidR="00EF3E3B" w:rsidRPr="00A768CA">
        <w:t>insights</w:t>
      </w:r>
      <w:r w:rsidRPr="00A768CA">
        <w:t xml:space="preserve"> into the sights and sounds native to the forest country of origin. The prototype app having been developed, this project will finalise the AR-</w:t>
      </w:r>
      <w:proofErr w:type="spellStart"/>
      <w:r w:rsidRPr="00A768CA">
        <w:t>boretum</w:t>
      </w:r>
      <w:proofErr w:type="spellEnd"/>
      <w:r w:rsidRPr="00A768CA">
        <w:t xml:space="preserve"> App and make it available to visitors.</w:t>
      </w:r>
    </w:p>
    <w:p w14:paraId="3825CEE0" w14:textId="6120363C" w:rsidR="006B7F68" w:rsidRPr="00A768CA" w:rsidRDefault="006B7F68" w:rsidP="006B7F68">
      <w:r w:rsidRPr="00A768CA">
        <w:t>To deliver the outputs of this Agreement, the following project</w:t>
      </w:r>
      <w:r w:rsidR="00954FF2" w:rsidRPr="00A768CA">
        <w:t>s</w:t>
      </w:r>
      <w:r w:rsidRPr="00A768CA">
        <w:t xml:space="preserve"> will be delivered by the Australian Capital Territory in 2014-15:</w:t>
      </w:r>
    </w:p>
    <w:p w14:paraId="1D7E4125" w14:textId="77777777" w:rsidR="006B7F68" w:rsidRPr="00A768CA" w:rsidRDefault="006B7F68" w:rsidP="00860F89">
      <w:pPr>
        <w:pStyle w:val="Normalnumbered"/>
        <w:numPr>
          <w:ilvl w:val="0"/>
          <w:numId w:val="3"/>
        </w:numPr>
        <w:tabs>
          <w:tab w:val="clear" w:pos="567"/>
          <w:tab w:val="clear" w:pos="1418"/>
          <w:tab w:val="left" w:pos="1134"/>
        </w:tabs>
        <w:jc w:val="left"/>
      </w:pPr>
      <w:r w:rsidRPr="00A768CA">
        <w:t xml:space="preserve">Project 1 – </w:t>
      </w:r>
      <w:r w:rsidRPr="00A768CA">
        <w:rPr>
          <w:i/>
        </w:rPr>
        <w:t>Canberra Attractions Online Booking System</w:t>
      </w:r>
      <w:r w:rsidRPr="00A768CA">
        <w:t xml:space="preserve"> ($250,000)</w:t>
      </w:r>
      <w:proofErr w:type="gramStart"/>
      <w:r w:rsidRPr="00A768CA">
        <w:t xml:space="preserve">.  </w:t>
      </w:r>
      <w:proofErr w:type="gramEnd"/>
      <w:r w:rsidRPr="00A768CA">
        <w:t xml:space="preserve">Develop an online booking system for 10 key attractions in Canberra, specifically servicing the school excursion market.  </w:t>
      </w:r>
    </w:p>
    <w:p w14:paraId="0F95E3CA" w14:textId="77777777" w:rsidR="006B7F68" w:rsidRPr="00A768CA" w:rsidRDefault="006B7F68" w:rsidP="00860F89">
      <w:pPr>
        <w:pStyle w:val="Normalnumbered"/>
        <w:numPr>
          <w:ilvl w:val="0"/>
          <w:numId w:val="3"/>
        </w:numPr>
        <w:tabs>
          <w:tab w:val="clear" w:pos="567"/>
          <w:tab w:val="clear" w:pos="1418"/>
          <w:tab w:val="left" w:pos="1134"/>
        </w:tabs>
        <w:jc w:val="left"/>
      </w:pPr>
      <w:r w:rsidRPr="00A768CA">
        <w:t xml:space="preserve">Project 2 – </w:t>
      </w:r>
      <w:r w:rsidRPr="00A768CA">
        <w:rPr>
          <w:i/>
        </w:rPr>
        <w:t>Canberra Airport Augmented Reality Project</w:t>
      </w:r>
      <w:r w:rsidRPr="00A768CA">
        <w:t xml:space="preserve"> ($226,120)</w:t>
      </w:r>
      <w:proofErr w:type="gramStart"/>
      <w:r w:rsidRPr="00A768CA">
        <w:t xml:space="preserve">.  </w:t>
      </w:r>
      <w:proofErr w:type="gramEnd"/>
      <w:r w:rsidRPr="00A768CA">
        <w:t xml:space="preserve">Using digital technology to engage and educate travellers at Canberra Airport on the tourist attractions and experiences available in the Canberra region.  </w:t>
      </w:r>
    </w:p>
    <w:p w14:paraId="04506A78" w14:textId="77777777" w:rsidR="006B7F68" w:rsidRPr="00A768CA" w:rsidRDefault="006B7F68" w:rsidP="00860F89">
      <w:pPr>
        <w:pStyle w:val="Normalnumbered"/>
        <w:numPr>
          <w:ilvl w:val="0"/>
          <w:numId w:val="3"/>
        </w:numPr>
        <w:tabs>
          <w:tab w:val="clear" w:pos="567"/>
          <w:tab w:val="clear" w:pos="1418"/>
          <w:tab w:val="left" w:pos="1134"/>
        </w:tabs>
        <w:jc w:val="left"/>
      </w:pPr>
      <w:r w:rsidRPr="00A768CA">
        <w:t xml:space="preserve">Project 3 – </w:t>
      </w:r>
      <w:r w:rsidRPr="00A768CA">
        <w:rPr>
          <w:i/>
        </w:rPr>
        <w:t>ACT Tourism Gateway Signage</w:t>
      </w:r>
      <w:r w:rsidRPr="00A768CA">
        <w:t xml:space="preserve"> ($250,000)</w:t>
      </w:r>
      <w:proofErr w:type="gramStart"/>
      <w:r w:rsidRPr="00A768CA">
        <w:t xml:space="preserve">.  </w:t>
      </w:r>
      <w:proofErr w:type="gramEnd"/>
      <w:r w:rsidRPr="00A768CA">
        <w:t xml:space="preserve">Gateway signage will feature large scale experience lead images that help communicate the essence of the Canberra brand, contribute to enhancing perceptions of the city and deliver a welcoming entry point for visitors and the community.  </w:t>
      </w:r>
    </w:p>
    <w:p w14:paraId="1C1125E8" w14:textId="0A5642F7" w:rsidR="006B7F68" w:rsidRPr="00A768CA" w:rsidRDefault="006B7F68" w:rsidP="00860F89">
      <w:pPr>
        <w:pStyle w:val="Normalnumbered"/>
        <w:numPr>
          <w:ilvl w:val="0"/>
          <w:numId w:val="3"/>
        </w:numPr>
        <w:tabs>
          <w:tab w:val="clear" w:pos="567"/>
          <w:tab w:val="clear" w:pos="1418"/>
          <w:tab w:val="left" w:pos="1134"/>
        </w:tabs>
        <w:jc w:val="left"/>
      </w:pPr>
      <w:r w:rsidRPr="00A768CA">
        <w:t xml:space="preserve">Project 4 – </w:t>
      </w:r>
      <w:proofErr w:type="spellStart"/>
      <w:r w:rsidRPr="00A768CA">
        <w:rPr>
          <w:i/>
        </w:rPr>
        <w:t>Corin</w:t>
      </w:r>
      <w:proofErr w:type="spellEnd"/>
      <w:r w:rsidRPr="00A768CA">
        <w:rPr>
          <w:i/>
        </w:rPr>
        <w:t xml:space="preserve"> Forest Alpine Resort – Base Infrastructure Enhancements </w:t>
      </w:r>
      <w:r w:rsidRPr="00A768CA">
        <w:t>($23,000)</w:t>
      </w:r>
      <w:proofErr w:type="gramStart"/>
      <w:r w:rsidRPr="00A768CA">
        <w:t xml:space="preserve">.  </w:t>
      </w:r>
      <w:proofErr w:type="gramEnd"/>
      <w:r w:rsidRPr="00A768CA">
        <w:t xml:space="preserve">Expansion of car park and additional prepared snow terrain to increase capacity, ease congestion and provide a safer visitor experience. </w:t>
      </w:r>
      <w:r w:rsidR="000C7628" w:rsidRPr="00A768CA">
        <w:t xml:space="preserve"> </w:t>
      </w:r>
    </w:p>
    <w:p w14:paraId="58E8047B" w14:textId="77777777" w:rsidR="006B7F68" w:rsidRPr="00A768CA" w:rsidRDefault="006B7F68" w:rsidP="006B7F68">
      <w:pPr>
        <w:pStyle w:val="Normalnumbered"/>
        <w:tabs>
          <w:tab w:val="clear" w:pos="283"/>
          <w:tab w:val="left" w:pos="567"/>
        </w:tabs>
        <w:jc w:val="left"/>
      </w:pPr>
      <w:proofErr w:type="spellStart"/>
      <w:r w:rsidRPr="00A768CA">
        <w:t>A2</w:t>
      </w:r>
      <w:proofErr w:type="spellEnd"/>
      <w:r w:rsidRPr="00A768CA">
        <w:t>.</w:t>
      </w:r>
      <w:r w:rsidRPr="00A768CA">
        <w:tab/>
        <w:t xml:space="preserve">Table 1 summarises the milestones for </w:t>
      </w:r>
      <w:r w:rsidRPr="00A768CA">
        <w:rPr>
          <w:color w:val="auto"/>
        </w:rPr>
        <w:t>agreed projects</w:t>
      </w:r>
      <w:r w:rsidRPr="00A768CA">
        <w:t>, their relationship to the outputs, expected completion dates, relevant reporting dates and expected payments to be made</w:t>
      </w:r>
      <w:proofErr w:type="gramStart"/>
      <w:r w:rsidRPr="00A768CA">
        <w:t xml:space="preserve">.  </w:t>
      </w:r>
      <w:proofErr w:type="gramEnd"/>
      <w:r w:rsidRPr="00A768CA">
        <w:t xml:space="preserve">The Commonwealth will make payments subject to the twice annual performance reports demonstrating that relevant milestones have been met.    </w:t>
      </w:r>
    </w:p>
    <w:p w14:paraId="5800BC4C" w14:textId="77777777" w:rsidR="006B7F68" w:rsidRPr="00A768CA" w:rsidRDefault="006B7F68" w:rsidP="006B7F68">
      <w:pPr>
        <w:pStyle w:val="Normalnumbered"/>
        <w:tabs>
          <w:tab w:val="clear" w:pos="283"/>
          <w:tab w:val="left" w:pos="567"/>
        </w:tabs>
        <w:jc w:val="left"/>
      </w:pPr>
      <w:proofErr w:type="spellStart"/>
      <w:r w:rsidRPr="00A768CA">
        <w:t>A3</w:t>
      </w:r>
      <w:proofErr w:type="spellEnd"/>
      <w:r w:rsidRPr="00A768CA">
        <w:t>.</w:t>
      </w:r>
      <w:r w:rsidRPr="00A768CA">
        <w:tab/>
        <w:t>This Schedule will be varied from time to time to include additional projects up to the maximum estimated Commonwealth financial contribution, subject to the written agreement of Commonwealth and State portfolio ministers, in accordance with clause 22 of this Agreement.</w:t>
      </w:r>
    </w:p>
    <w:p w14:paraId="2F4492BE" w14:textId="77777777" w:rsidR="006B7F68" w:rsidRPr="00A768CA" w:rsidRDefault="006B7F68" w:rsidP="006B7F68">
      <w:pPr>
        <w:pStyle w:val="Normalnumbered"/>
        <w:tabs>
          <w:tab w:val="clear" w:pos="283"/>
          <w:tab w:val="left" w:pos="567"/>
        </w:tabs>
        <w:jc w:val="left"/>
      </w:pPr>
      <w:proofErr w:type="spellStart"/>
      <w:r w:rsidRPr="00A768CA">
        <w:t>A4</w:t>
      </w:r>
      <w:proofErr w:type="spellEnd"/>
      <w:r w:rsidRPr="00A768CA">
        <w:t>.</w:t>
      </w:r>
      <w:r w:rsidRPr="00A768CA">
        <w:tab/>
        <w:t>Where additional projects are agreed, Table 1 will be varied to include those projects and associated milestones and payments</w:t>
      </w:r>
      <w:proofErr w:type="gramStart"/>
      <w:r w:rsidRPr="00A768CA">
        <w:t xml:space="preserve">.  </w:t>
      </w:r>
      <w:proofErr w:type="gramEnd"/>
      <w:r w:rsidRPr="00A768CA">
        <w:t>Milestone payments for additional projects will require demonstration, through provision of a progress report, that scheduled stages for those projects have been completed and that all previously agreed projects that were scheduled to be completed, have been completed within agreed timeframes</w:t>
      </w:r>
      <w:proofErr w:type="gramStart"/>
      <w:r w:rsidRPr="00A768CA">
        <w:t xml:space="preserve">.  </w:t>
      </w:r>
      <w:proofErr w:type="gramEnd"/>
      <w:r w:rsidRPr="00A768CA">
        <w:t xml:space="preserve">Milestones for additional projects will be worded in accordance with this clause. </w:t>
      </w:r>
    </w:p>
    <w:p w14:paraId="74BE4269" w14:textId="77777777" w:rsidR="006B7F68" w:rsidRPr="00A768CA" w:rsidRDefault="006B7F68" w:rsidP="006B7F68">
      <w:pPr>
        <w:pStyle w:val="Normalnumbered"/>
        <w:tabs>
          <w:tab w:val="clear" w:pos="283"/>
          <w:tab w:val="left" w:pos="567"/>
        </w:tabs>
        <w:jc w:val="left"/>
      </w:pPr>
      <w:proofErr w:type="spellStart"/>
      <w:r w:rsidRPr="00A768CA">
        <w:t>A5</w:t>
      </w:r>
      <w:proofErr w:type="spellEnd"/>
      <w:r w:rsidRPr="00A768CA">
        <w:t>.</w:t>
      </w:r>
      <w:r w:rsidRPr="00A768CA">
        <w:tab/>
        <w:t xml:space="preserve">If a milestone is met in advance of the due date, where the relevant performance report demonstrates the milestone has been met, the Commonwealth may make the associated payment earlier than scheduled provided it falls within the same financial year as the original milestone date. </w:t>
      </w:r>
    </w:p>
    <w:p w14:paraId="3EBD772A" w14:textId="77777777" w:rsidR="00657FD8" w:rsidRPr="00A768CA" w:rsidRDefault="00657FD8">
      <w:pPr>
        <w:spacing w:after="160" w:line="259" w:lineRule="auto"/>
        <w:jc w:val="left"/>
        <w:rPr>
          <w:b/>
        </w:rPr>
      </w:pPr>
      <w:r w:rsidRPr="00A768CA">
        <w:rPr>
          <w:b/>
        </w:rPr>
        <w:br w:type="page"/>
      </w:r>
    </w:p>
    <w:p w14:paraId="4206A99C" w14:textId="3C9F1A37" w:rsidR="006B7F68" w:rsidRPr="00A768CA" w:rsidRDefault="006B7F68" w:rsidP="006B7F68">
      <w:pPr>
        <w:pStyle w:val="Normalnumbered"/>
        <w:keepNext/>
        <w:tabs>
          <w:tab w:val="clear" w:pos="283"/>
        </w:tabs>
        <w:ind w:left="360" w:hanging="360"/>
        <w:rPr>
          <w:b/>
        </w:rPr>
      </w:pPr>
      <w:r w:rsidRPr="00A768CA">
        <w:rPr>
          <w:b/>
        </w:rPr>
        <w:lastRenderedPageBreak/>
        <w:t>Table 1</w:t>
      </w:r>
      <w:r w:rsidRPr="00A768CA">
        <w:t xml:space="preserve">: </w:t>
      </w:r>
      <w:r w:rsidRPr="00A768CA">
        <w:rPr>
          <w:b/>
        </w:rPr>
        <w:t>Performance requirements, reporting and payment summary</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3402"/>
        <w:gridCol w:w="1984"/>
        <w:gridCol w:w="1985"/>
      </w:tblGrid>
      <w:tr w:rsidR="006B7F68" w:rsidRPr="00A768CA" w14:paraId="67B28AAC" w14:textId="77777777" w:rsidTr="00657FD8">
        <w:trPr>
          <w:trHeight w:val="1171"/>
        </w:trPr>
        <w:tc>
          <w:tcPr>
            <w:tcW w:w="2235" w:type="dxa"/>
            <w:tcBorders>
              <w:bottom w:val="single" w:sz="18" w:space="0" w:color="4F81BD"/>
            </w:tcBorders>
            <w:shd w:val="clear" w:color="auto" w:fill="D5DCE4" w:themeFill="text2" w:themeFillTint="33"/>
          </w:tcPr>
          <w:p w14:paraId="14A59C11" w14:textId="77777777" w:rsidR="006B7F68" w:rsidRPr="00A768CA" w:rsidRDefault="006B7F68" w:rsidP="00BA456D">
            <w:pPr>
              <w:pStyle w:val="Heading2"/>
              <w:rPr>
                <w:bCs w:val="0"/>
                <w:sz w:val="24"/>
                <w:szCs w:val="24"/>
              </w:rPr>
            </w:pPr>
            <w:r w:rsidRPr="00A768CA">
              <w:rPr>
                <w:bCs w:val="0"/>
                <w:sz w:val="24"/>
                <w:szCs w:val="24"/>
              </w:rPr>
              <w:t>Outputs</w:t>
            </w:r>
            <w:r w:rsidRPr="00A768CA">
              <w:rPr>
                <w:bCs w:val="0"/>
                <w:sz w:val="24"/>
                <w:szCs w:val="24"/>
              </w:rPr>
              <w:br/>
            </w:r>
          </w:p>
        </w:tc>
        <w:tc>
          <w:tcPr>
            <w:tcW w:w="3402" w:type="dxa"/>
            <w:tcBorders>
              <w:bottom w:val="single" w:sz="18" w:space="0" w:color="4F81BD"/>
            </w:tcBorders>
            <w:shd w:val="clear" w:color="auto" w:fill="D5DCE4" w:themeFill="text2" w:themeFillTint="33"/>
          </w:tcPr>
          <w:p w14:paraId="3060FC36" w14:textId="77777777" w:rsidR="006B7F68" w:rsidRPr="00A768CA" w:rsidRDefault="006B7F68" w:rsidP="00BA456D">
            <w:pPr>
              <w:pStyle w:val="Heading2"/>
              <w:rPr>
                <w:bCs w:val="0"/>
                <w:sz w:val="24"/>
                <w:szCs w:val="24"/>
              </w:rPr>
            </w:pPr>
            <w:r w:rsidRPr="00A768CA">
              <w:rPr>
                <w:bCs w:val="0"/>
                <w:sz w:val="24"/>
                <w:szCs w:val="24"/>
              </w:rPr>
              <w:t>Milestones</w:t>
            </w:r>
          </w:p>
        </w:tc>
        <w:tc>
          <w:tcPr>
            <w:tcW w:w="1984" w:type="dxa"/>
            <w:tcBorders>
              <w:bottom w:val="single" w:sz="18" w:space="0" w:color="4F81BD"/>
            </w:tcBorders>
            <w:shd w:val="clear" w:color="auto" w:fill="D5DCE4" w:themeFill="text2" w:themeFillTint="33"/>
          </w:tcPr>
          <w:p w14:paraId="13B87AC3" w14:textId="77777777" w:rsidR="006B7F68" w:rsidRPr="00A768CA" w:rsidRDefault="006B7F68" w:rsidP="00BA456D">
            <w:pPr>
              <w:pStyle w:val="Heading2"/>
              <w:rPr>
                <w:sz w:val="18"/>
                <w:szCs w:val="18"/>
              </w:rPr>
            </w:pPr>
            <w:r w:rsidRPr="00A768CA">
              <w:rPr>
                <w:bCs w:val="0"/>
                <w:sz w:val="24"/>
                <w:szCs w:val="24"/>
              </w:rPr>
              <w:t xml:space="preserve">Report due </w:t>
            </w:r>
          </w:p>
        </w:tc>
        <w:tc>
          <w:tcPr>
            <w:tcW w:w="1985" w:type="dxa"/>
            <w:tcBorders>
              <w:bottom w:val="single" w:sz="18" w:space="0" w:color="4F81BD"/>
            </w:tcBorders>
            <w:shd w:val="clear" w:color="auto" w:fill="D5DCE4" w:themeFill="text2" w:themeFillTint="33"/>
          </w:tcPr>
          <w:p w14:paraId="274A47D5" w14:textId="77777777" w:rsidR="006B7F68" w:rsidRPr="00A768CA" w:rsidRDefault="006B7F68" w:rsidP="00BA456D">
            <w:pPr>
              <w:pStyle w:val="Heading2"/>
              <w:rPr>
                <w:bCs w:val="0"/>
                <w:sz w:val="24"/>
                <w:szCs w:val="24"/>
              </w:rPr>
            </w:pPr>
            <w:r w:rsidRPr="00A768CA">
              <w:rPr>
                <w:bCs w:val="0"/>
                <w:sz w:val="24"/>
                <w:szCs w:val="24"/>
              </w:rPr>
              <w:t>Payment</w:t>
            </w:r>
          </w:p>
        </w:tc>
      </w:tr>
      <w:tr w:rsidR="00657FD8" w:rsidRPr="00A768CA" w14:paraId="7BD104B3" w14:textId="77777777" w:rsidTr="00657FD8">
        <w:trPr>
          <w:trHeight w:val="600"/>
        </w:trPr>
        <w:tc>
          <w:tcPr>
            <w:tcW w:w="2235" w:type="dxa"/>
            <w:vMerge w:val="restart"/>
            <w:tcBorders>
              <w:top w:val="single" w:sz="18" w:space="0" w:color="4F81BD"/>
            </w:tcBorders>
            <w:shd w:val="clear" w:color="auto" w:fill="auto"/>
          </w:tcPr>
          <w:p w14:paraId="525AD891" w14:textId="2E374577" w:rsidR="00657FD8" w:rsidRPr="00A768CA" w:rsidRDefault="00657FD8" w:rsidP="00860F89">
            <w:pPr>
              <w:pStyle w:val="Normalnumbered"/>
              <w:numPr>
                <w:ilvl w:val="0"/>
                <w:numId w:val="1"/>
              </w:numPr>
              <w:tabs>
                <w:tab w:val="clear" w:pos="567"/>
                <w:tab w:val="clear" w:pos="1134"/>
                <w:tab w:val="clear" w:pos="1418"/>
              </w:tabs>
              <w:ind w:left="0"/>
              <w:jc w:val="left"/>
              <w:rPr>
                <w:b/>
              </w:rPr>
            </w:pPr>
            <w:r w:rsidRPr="00A768CA">
              <w:rPr>
                <w:b/>
              </w:rPr>
              <w:t>2017-18</w:t>
            </w:r>
            <w:r w:rsidRPr="00A768CA">
              <w:t xml:space="preserve"> Projects that deliver tourism demand-driver infrastructure and support Tourism 2020 outcomes.</w:t>
            </w:r>
          </w:p>
        </w:tc>
        <w:tc>
          <w:tcPr>
            <w:tcW w:w="3402" w:type="dxa"/>
            <w:tcBorders>
              <w:top w:val="single" w:sz="18" w:space="0" w:color="4F81BD"/>
              <w:bottom w:val="single" w:sz="18" w:space="0" w:color="4F81BD"/>
            </w:tcBorders>
            <w:shd w:val="clear" w:color="auto" w:fill="auto"/>
          </w:tcPr>
          <w:p w14:paraId="02330DCB" w14:textId="650DF761" w:rsidR="00657FD8" w:rsidRPr="00F44739" w:rsidRDefault="00657FD8" w:rsidP="00B32953">
            <w:pPr>
              <w:pStyle w:val="Normalnumbered"/>
              <w:tabs>
                <w:tab w:val="clear" w:pos="283"/>
              </w:tabs>
              <w:ind w:left="0" w:firstLine="0"/>
              <w:jc w:val="left"/>
            </w:pPr>
            <w:r w:rsidRPr="00F44739">
              <w:t>Demonstration, through provision of a progress report, that scheduled stages have been completed for Project 10 and 12.</w:t>
            </w:r>
          </w:p>
        </w:tc>
        <w:tc>
          <w:tcPr>
            <w:tcW w:w="1984" w:type="dxa"/>
            <w:tcBorders>
              <w:top w:val="single" w:sz="18" w:space="0" w:color="4F81BD"/>
              <w:bottom w:val="single" w:sz="18" w:space="0" w:color="4F81BD"/>
            </w:tcBorders>
            <w:shd w:val="clear" w:color="auto" w:fill="auto"/>
          </w:tcPr>
          <w:p w14:paraId="7BA4D36C" w14:textId="087FD322" w:rsidR="00657FD8" w:rsidRPr="00A768CA" w:rsidRDefault="00657FD8" w:rsidP="00657FD8">
            <w:pPr>
              <w:pStyle w:val="Normalnumbered"/>
              <w:tabs>
                <w:tab w:val="clear" w:pos="283"/>
              </w:tabs>
              <w:ind w:left="0" w:firstLine="0"/>
              <w:jc w:val="left"/>
            </w:pPr>
            <w:r w:rsidRPr="00A768CA">
              <w:t>20 May 2018</w:t>
            </w:r>
          </w:p>
        </w:tc>
        <w:tc>
          <w:tcPr>
            <w:tcW w:w="1985" w:type="dxa"/>
            <w:tcBorders>
              <w:top w:val="single" w:sz="18" w:space="0" w:color="4F81BD"/>
              <w:bottom w:val="single" w:sz="18" w:space="0" w:color="4F81BD"/>
            </w:tcBorders>
            <w:shd w:val="clear" w:color="auto" w:fill="auto"/>
          </w:tcPr>
          <w:p w14:paraId="7D4FDCA8" w14:textId="5A17D0F7" w:rsidR="00657FD8" w:rsidRPr="00A768CA" w:rsidRDefault="00657FD8" w:rsidP="003061BA">
            <w:pPr>
              <w:pStyle w:val="Normalnumbered"/>
              <w:tabs>
                <w:tab w:val="clear" w:pos="283"/>
              </w:tabs>
              <w:ind w:left="0" w:firstLine="0"/>
              <w:jc w:val="left"/>
            </w:pPr>
            <w:r w:rsidRPr="00A768CA">
              <w:t>$525,000</w:t>
            </w:r>
          </w:p>
        </w:tc>
      </w:tr>
      <w:tr w:rsidR="00657FD8" w:rsidRPr="00A768CA" w14:paraId="25A81C6C" w14:textId="77777777" w:rsidTr="00657FD8">
        <w:trPr>
          <w:trHeight w:val="600"/>
        </w:trPr>
        <w:tc>
          <w:tcPr>
            <w:tcW w:w="2235" w:type="dxa"/>
            <w:vMerge/>
            <w:shd w:val="clear" w:color="auto" w:fill="auto"/>
          </w:tcPr>
          <w:p w14:paraId="41BA086C" w14:textId="77777777" w:rsidR="00657FD8" w:rsidRPr="00A768CA" w:rsidRDefault="00657FD8" w:rsidP="00860F89">
            <w:pPr>
              <w:pStyle w:val="Normalnumbered"/>
              <w:numPr>
                <w:ilvl w:val="0"/>
                <w:numId w:val="1"/>
              </w:numPr>
              <w:tabs>
                <w:tab w:val="clear" w:pos="567"/>
                <w:tab w:val="clear" w:pos="1134"/>
                <w:tab w:val="clear" w:pos="1418"/>
              </w:tabs>
              <w:ind w:left="0"/>
              <w:jc w:val="left"/>
              <w:rPr>
                <w:b/>
              </w:rPr>
            </w:pPr>
          </w:p>
        </w:tc>
        <w:tc>
          <w:tcPr>
            <w:tcW w:w="3402" w:type="dxa"/>
            <w:tcBorders>
              <w:top w:val="single" w:sz="18" w:space="0" w:color="4F81BD"/>
              <w:bottom w:val="single" w:sz="18" w:space="0" w:color="4F81BD"/>
            </w:tcBorders>
            <w:shd w:val="clear" w:color="auto" w:fill="auto"/>
          </w:tcPr>
          <w:p w14:paraId="18E1F25A" w14:textId="575110B4" w:rsidR="00657FD8" w:rsidRPr="00F44739" w:rsidRDefault="00657FD8" w:rsidP="00657FD8">
            <w:pPr>
              <w:pStyle w:val="Normalnumbered"/>
              <w:tabs>
                <w:tab w:val="clear" w:pos="283"/>
              </w:tabs>
              <w:ind w:left="0" w:firstLine="0"/>
              <w:jc w:val="left"/>
            </w:pPr>
            <w:r w:rsidRPr="00F44739">
              <w:t>Demonstration, through provision of a progress report, that scheduled stages have been completed for Projects 8 and 9.</w:t>
            </w:r>
          </w:p>
        </w:tc>
        <w:tc>
          <w:tcPr>
            <w:tcW w:w="1984" w:type="dxa"/>
            <w:tcBorders>
              <w:top w:val="single" w:sz="18" w:space="0" w:color="4F81BD"/>
              <w:bottom w:val="single" w:sz="18" w:space="0" w:color="4F81BD"/>
            </w:tcBorders>
            <w:shd w:val="clear" w:color="auto" w:fill="auto"/>
          </w:tcPr>
          <w:p w14:paraId="2F1B1561" w14:textId="77F2154F" w:rsidR="00657FD8" w:rsidRPr="00A768CA" w:rsidRDefault="00657FD8" w:rsidP="00B32953">
            <w:pPr>
              <w:pStyle w:val="Normalnumbered"/>
              <w:tabs>
                <w:tab w:val="clear" w:pos="283"/>
              </w:tabs>
              <w:ind w:left="0" w:firstLine="0"/>
              <w:jc w:val="left"/>
            </w:pPr>
            <w:r w:rsidRPr="00A768CA">
              <w:t>20 October 201</w:t>
            </w:r>
            <w:r w:rsidR="00B32953" w:rsidRPr="00A768CA">
              <w:t>7</w:t>
            </w:r>
          </w:p>
        </w:tc>
        <w:tc>
          <w:tcPr>
            <w:tcW w:w="1985" w:type="dxa"/>
            <w:tcBorders>
              <w:top w:val="single" w:sz="18" w:space="0" w:color="4F81BD"/>
              <w:bottom w:val="single" w:sz="18" w:space="0" w:color="4F81BD"/>
            </w:tcBorders>
            <w:shd w:val="clear" w:color="auto" w:fill="auto"/>
          </w:tcPr>
          <w:p w14:paraId="3D0FE3EF" w14:textId="7A2AE172" w:rsidR="00657FD8" w:rsidRPr="00A768CA" w:rsidRDefault="00657FD8" w:rsidP="00657FD8">
            <w:pPr>
              <w:pStyle w:val="Normalnumbered"/>
              <w:tabs>
                <w:tab w:val="clear" w:pos="283"/>
              </w:tabs>
              <w:ind w:left="0" w:firstLine="0"/>
              <w:jc w:val="left"/>
            </w:pPr>
            <w:r w:rsidRPr="00A768CA">
              <w:t>$172,875</w:t>
            </w:r>
          </w:p>
        </w:tc>
      </w:tr>
      <w:tr w:rsidR="00860F89" w:rsidRPr="00A768CA" w14:paraId="2BD01BC9" w14:textId="77777777" w:rsidTr="00657FD8">
        <w:trPr>
          <w:trHeight w:val="815"/>
        </w:trPr>
        <w:tc>
          <w:tcPr>
            <w:tcW w:w="2235" w:type="dxa"/>
            <w:vMerge w:val="restart"/>
            <w:tcBorders>
              <w:top w:val="single" w:sz="18" w:space="0" w:color="4F81BD"/>
            </w:tcBorders>
            <w:shd w:val="clear" w:color="auto" w:fill="auto"/>
          </w:tcPr>
          <w:p w14:paraId="6B313C51" w14:textId="2F94B189" w:rsidR="00860F89" w:rsidRPr="00A768CA" w:rsidRDefault="00860F89" w:rsidP="00860F89">
            <w:pPr>
              <w:pStyle w:val="Normalnumbered"/>
              <w:numPr>
                <w:ilvl w:val="0"/>
                <w:numId w:val="1"/>
              </w:numPr>
              <w:tabs>
                <w:tab w:val="clear" w:pos="567"/>
                <w:tab w:val="clear" w:pos="1134"/>
                <w:tab w:val="clear" w:pos="1418"/>
              </w:tabs>
              <w:ind w:left="0"/>
              <w:jc w:val="left"/>
              <w:rPr>
                <w:b/>
              </w:rPr>
            </w:pPr>
            <w:r w:rsidRPr="00A768CA">
              <w:rPr>
                <w:b/>
              </w:rPr>
              <w:t>2016-17</w:t>
            </w:r>
            <w:r w:rsidRPr="00A768CA">
              <w:t xml:space="preserve"> 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5AE3EFA0" w14:textId="2EA0C6BF" w:rsidR="00860F89" w:rsidRPr="00F44739" w:rsidRDefault="00860F89" w:rsidP="00DB0877">
            <w:pPr>
              <w:pStyle w:val="Normalnumbered"/>
              <w:tabs>
                <w:tab w:val="clear" w:pos="283"/>
              </w:tabs>
              <w:ind w:left="0" w:firstLine="0"/>
              <w:jc w:val="left"/>
            </w:pPr>
            <w:r w:rsidRPr="00F44739">
              <w:t>Demonstration, through provision of a progress report, that scheduled stages have been completed for Project 8 to 10.</w:t>
            </w:r>
          </w:p>
        </w:tc>
        <w:tc>
          <w:tcPr>
            <w:tcW w:w="1984" w:type="dxa"/>
            <w:tcBorders>
              <w:top w:val="single" w:sz="18" w:space="0" w:color="4F81BD"/>
              <w:bottom w:val="single" w:sz="8" w:space="0" w:color="4F81BD"/>
            </w:tcBorders>
            <w:shd w:val="clear" w:color="auto" w:fill="auto"/>
          </w:tcPr>
          <w:p w14:paraId="756CC53B" w14:textId="32667B53" w:rsidR="00860F89" w:rsidRPr="00A768CA" w:rsidRDefault="00DF1201" w:rsidP="00236744">
            <w:pPr>
              <w:pStyle w:val="Normalnumbered"/>
              <w:tabs>
                <w:tab w:val="clear" w:pos="283"/>
              </w:tabs>
              <w:ind w:left="0" w:firstLine="0"/>
              <w:jc w:val="left"/>
            </w:pPr>
            <w:r w:rsidRPr="00A768CA">
              <w:t xml:space="preserve">17 </w:t>
            </w:r>
            <w:r w:rsidR="00236744" w:rsidRPr="00A768CA">
              <w:t>January</w:t>
            </w:r>
            <w:r w:rsidR="00CF24EF" w:rsidRPr="00A768CA">
              <w:t xml:space="preserve"> 201</w:t>
            </w:r>
            <w:r w:rsidR="00236744" w:rsidRPr="00A768CA">
              <w:t>7</w:t>
            </w:r>
          </w:p>
        </w:tc>
        <w:tc>
          <w:tcPr>
            <w:tcW w:w="1985" w:type="dxa"/>
            <w:tcBorders>
              <w:top w:val="single" w:sz="18" w:space="0" w:color="4F81BD"/>
              <w:bottom w:val="single" w:sz="8" w:space="0" w:color="4F81BD"/>
            </w:tcBorders>
            <w:shd w:val="clear" w:color="auto" w:fill="auto"/>
          </w:tcPr>
          <w:p w14:paraId="68D76F27" w14:textId="6639454E" w:rsidR="00860F89" w:rsidRPr="00A768CA" w:rsidRDefault="00CF24EF" w:rsidP="00B67C60">
            <w:pPr>
              <w:pStyle w:val="Normalnumbered"/>
              <w:tabs>
                <w:tab w:val="clear" w:pos="283"/>
              </w:tabs>
              <w:ind w:left="0" w:firstLine="0"/>
              <w:jc w:val="left"/>
            </w:pPr>
            <w:r w:rsidRPr="00A768CA">
              <w:t>$</w:t>
            </w:r>
            <w:r w:rsidR="00236744" w:rsidRPr="00A768CA">
              <w:t>3</w:t>
            </w:r>
            <w:r w:rsidR="00B67C60" w:rsidRPr="00A768CA">
              <w:t>17,875</w:t>
            </w:r>
          </w:p>
        </w:tc>
      </w:tr>
      <w:tr w:rsidR="00B67C60" w:rsidRPr="00A768CA" w14:paraId="6C128FDD" w14:textId="77777777" w:rsidTr="006B476B">
        <w:trPr>
          <w:trHeight w:val="815"/>
        </w:trPr>
        <w:tc>
          <w:tcPr>
            <w:tcW w:w="2235" w:type="dxa"/>
            <w:vMerge/>
            <w:shd w:val="clear" w:color="auto" w:fill="auto"/>
          </w:tcPr>
          <w:p w14:paraId="3C528168" w14:textId="77777777" w:rsidR="00B67C60" w:rsidRPr="00A768CA" w:rsidRDefault="00B67C60" w:rsidP="00B67C60">
            <w:pPr>
              <w:pStyle w:val="Normalnumbered"/>
              <w:numPr>
                <w:ilvl w:val="0"/>
                <w:numId w:val="1"/>
              </w:numPr>
              <w:tabs>
                <w:tab w:val="clear" w:pos="567"/>
                <w:tab w:val="clear" w:pos="1134"/>
                <w:tab w:val="clear" w:pos="1418"/>
              </w:tabs>
              <w:ind w:left="0"/>
              <w:jc w:val="left"/>
              <w:rPr>
                <w:b/>
              </w:rPr>
            </w:pPr>
          </w:p>
        </w:tc>
        <w:tc>
          <w:tcPr>
            <w:tcW w:w="3402" w:type="dxa"/>
            <w:tcBorders>
              <w:top w:val="single" w:sz="18" w:space="0" w:color="4F81BD"/>
              <w:bottom w:val="single" w:sz="8" w:space="0" w:color="4F81BD"/>
            </w:tcBorders>
            <w:shd w:val="clear" w:color="auto" w:fill="auto"/>
          </w:tcPr>
          <w:p w14:paraId="443B4B92" w14:textId="5D1B7E12" w:rsidR="00B67C60" w:rsidRPr="00F44739" w:rsidRDefault="00B67C60" w:rsidP="00F95887">
            <w:pPr>
              <w:pStyle w:val="Normalnumbered"/>
              <w:tabs>
                <w:tab w:val="clear" w:pos="283"/>
              </w:tabs>
              <w:ind w:left="0" w:firstLine="0"/>
              <w:jc w:val="left"/>
            </w:pPr>
            <w:r w:rsidRPr="00F44739">
              <w:t>Demonstration, through provision of a progress report, that scheduled stages have been completed for Project 10</w:t>
            </w:r>
            <w:r w:rsidR="00F95887" w:rsidRPr="00F44739">
              <w:t xml:space="preserve"> to 12</w:t>
            </w:r>
            <w:r w:rsidRPr="00F44739">
              <w:t>.</w:t>
            </w:r>
          </w:p>
        </w:tc>
        <w:tc>
          <w:tcPr>
            <w:tcW w:w="1984" w:type="dxa"/>
            <w:tcBorders>
              <w:top w:val="single" w:sz="18" w:space="0" w:color="4F81BD"/>
              <w:bottom w:val="single" w:sz="8" w:space="0" w:color="4F81BD"/>
            </w:tcBorders>
            <w:shd w:val="clear" w:color="auto" w:fill="auto"/>
          </w:tcPr>
          <w:p w14:paraId="31CF033F" w14:textId="7969055E" w:rsidR="00B67C60" w:rsidRPr="00A768CA" w:rsidRDefault="00B67C60" w:rsidP="00B67C60">
            <w:pPr>
              <w:pStyle w:val="Normalnumbered"/>
              <w:tabs>
                <w:tab w:val="clear" w:pos="283"/>
              </w:tabs>
              <w:ind w:left="0" w:firstLine="0"/>
              <w:jc w:val="left"/>
            </w:pPr>
            <w:r w:rsidRPr="00A768CA">
              <w:t>20 May 2017</w:t>
            </w:r>
          </w:p>
        </w:tc>
        <w:tc>
          <w:tcPr>
            <w:tcW w:w="1985" w:type="dxa"/>
            <w:tcBorders>
              <w:top w:val="single" w:sz="18" w:space="0" w:color="4F81BD"/>
              <w:bottom w:val="single" w:sz="8" w:space="0" w:color="4F81BD"/>
            </w:tcBorders>
            <w:shd w:val="clear" w:color="auto" w:fill="auto"/>
          </w:tcPr>
          <w:p w14:paraId="6DBC4E3E" w14:textId="2A860849" w:rsidR="00B67C60" w:rsidRPr="00A768CA" w:rsidRDefault="00B67C60" w:rsidP="003061BA">
            <w:pPr>
              <w:pStyle w:val="Normalnumbered"/>
              <w:tabs>
                <w:tab w:val="clear" w:pos="283"/>
              </w:tabs>
              <w:ind w:left="0" w:firstLine="0"/>
              <w:jc w:val="left"/>
            </w:pPr>
            <w:r w:rsidRPr="00A768CA">
              <w:t>$</w:t>
            </w:r>
            <w:r w:rsidR="003061BA" w:rsidRPr="00A768CA">
              <w:t>284,275</w:t>
            </w:r>
          </w:p>
        </w:tc>
      </w:tr>
      <w:tr w:rsidR="004C5830" w:rsidRPr="00A768CA" w14:paraId="3E3883AC" w14:textId="77777777" w:rsidTr="00BA456D">
        <w:trPr>
          <w:trHeight w:val="815"/>
        </w:trPr>
        <w:tc>
          <w:tcPr>
            <w:tcW w:w="2235" w:type="dxa"/>
            <w:tcBorders>
              <w:top w:val="single" w:sz="18" w:space="0" w:color="4F81BD"/>
            </w:tcBorders>
            <w:shd w:val="clear" w:color="auto" w:fill="auto"/>
          </w:tcPr>
          <w:p w14:paraId="14836E08" w14:textId="372AC85A" w:rsidR="004C5830" w:rsidRPr="00A768CA" w:rsidRDefault="004C5830" w:rsidP="004C5830">
            <w:pPr>
              <w:pStyle w:val="Normalnumbered"/>
              <w:numPr>
                <w:ilvl w:val="0"/>
                <w:numId w:val="1"/>
              </w:numPr>
              <w:tabs>
                <w:tab w:val="clear" w:pos="567"/>
                <w:tab w:val="clear" w:pos="1134"/>
                <w:tab w:val="clear" w:pos="1418"/>
              </w:tabs>
              <w:ind w:left="0"/>
              <w:jc w:val="left"/>
            </w:pPr>
            <w:r w:rsidRPr="00A768CA">
              <w:rPr>
                <w:b/>
              </w:rPr>
              <w:t>2015-16</w:t>
            </w:r>
            <w:r w:rsidRPr="00A768CA">
              <w:t xml:space="preserve"> 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1120E60D" w14:textId="0122412A" w:rsidR="004C5830" w:rsidRPr="00A768CA" w:rsidRDefault="004C5830" w:rsidP="004C5830">
            <w:pPr>
              <w:pStyle w:val="Normalnumbered"/>
              <w:tabs>
                <w:tab w:val="clear" w:pos="283"/>
              </w:tabs>
              <w:ind w:left="0" w:firstLine="0"/>
              <w:jc w:val="left"/>
            </w:pPr>
            <w:r w:rsidRPr="00A768CA">
              <w:t>Demonstration, through provision of a progress report, that scheduled stages have been completed for Project 5 to 7.</w:t>
            </w:r>
            <w:r w:rsidRPr="00A768CA">
              <w:rPr>
                <w:sz w:val="20"/>
              </w:rPr>
              <w:t xml:space="preserve"> </w:t>
            </w:r>
          </w:p>
        </w:tc>
        <w:tc>
          <w:tcPr>
            <w:tcW w:w="1984" w:type="dxa"/>
            <w:tcBorders>
              <w:top w:val="single" w:sz="18" w:space="0" w:color="4F81BD"/>
              <w:bottom w:val="single" w:sz="8" w:space="0" w:color="4F81BD"/>
            </w:tcBorders>
            <w:shd w:val="clear" w:color="auto" w:fill="auto"/>
          </w:tcPr>
          <w:p w14:paraId="36263C97" w14:textId="15E97177" w:rsidR="004C5830" w:rsidRPr="00A768CA" w:rsidRDefault="004C5830" w:rsidP="004C5830">
            <w:pPr>
              <w:pStyle w:val="Normalnumbered"/>
              <w:tabs>
                <w:tab w:val="clear" w:pos="283"/>
              </w:tabs>
              <w:ind w:left="0" w:firstLine="0"/>
              <w:jc w:val="left"/>
            </w:pPr>
            <w:r w:rsidRPr="00A768CA">
              <w:t>18 May 2016</w:t>
            </w:r>
          </w:p>
        </w:tc>
        <w:tc>
          <w:tcPr>
            <w:tcW w:w="1985" w:type="dxa"/>
            <w:tcBorders>
              <w:top w:val="single" w:sz="18" w:space="0" w:color="4F81BD"/>
              <w:bottom w:val="single" w:sz="8" w:space="0" w:color="4F81BD"/>
            </w:tcBorders>
            <w:shd w:val="clear" w:color="auto" w:fill="auto"/>
          </w:tcPr>
          <w:p w14:paraId="73EF4BB6" w14:textId="369A6428" w:rsidR="004C5830" w:rsidRPr="00A768CA" w:rsidRDefault="004C5830" w:rsidP="000C133F">
            <w:pPr>
              <w:pStyle w:val="Normalnumbered"/>
              <w:tabs>
                <w:tab w:val="clear" w:pos="283"/>
              </w:tabs>
              <w:ind w:left="0" w:firstLine="0"/>
              <w:jc w:val="left"/>
            </w:pPr>
            <w:r w:rsidRPr="00A768CA">
              <w:t>$775,0</w:t>
            </w:r>
            <w:r w:rsidR="000C133F" w:rsidRPr="00A768CA">
              <w:t>25</w:t>
            </w:r>
          </w:p>
        </w:tc>
      </w:tr>
      <w:tr w:rsidR="004C5830" w:rsidRPr="00A768CA" w14:paraId="501541C5" w14:textId="77777777" w:rsidTr="00BA456D">
        <w:trPr>
          <w:trHeight w:val="815"/>
        </w:trPr>
        <w:tc>
          <w:tcPr>
            <w:tcW w:w="2235" w:type="dxa"/>
            <w:vMerge w:val="restart"/>
            <w:tcBorders>
              <w:top w:val="single" w:sz="18" w:space="0" w:color="4F81BD"/>
            </w:tcBorders>
            <w:shd w:val="clear" w:color="auto" w:fill="auto"/>
          </w:tcPr>
          <w:p w14:paraId="477ECF96" w14:textId="76E44B69" w:rsidR="004C5830" w:rsidRPr="00A768CA" w:rsidRDefault="004C5830" w:rsidP="004C5830">
            <w:pPr>
              <w:pStyle w:val="Normalnumbered"/>
              <w:numPr>
                <w:ilvl w:val="0"/>
                <w:numId w:val="1"/>
              </w:numPr>
              <w:tabs>
                <w:tab w:val="clear" w:pos="567"/>
                <w:tab w:val="clear" w:pos="1134"/>
                <w:tab w:val="clear" w:pos="1418"/>
              </w:tabs>
              <w:ind w:left="0"/>
              <w:jc w:val="left"/>
            </w:pPr>
            <w:r w:rsidRPr="00A768CA">
              <w:rPr>
                <w:b/>
              </w:rPr>
              <w:t>2014-15</w:t>
            </w:r>
            <w:r w:rsidRPr="00A768CA">
              <w:t xml:space="preserve"> 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66EE84EE" w14:textId="77777777" w:rsidR="004C5830" w:rsidRPr="00A768CA" w:rsidRDefault="004C5830" w:rsidP="004C5830">
            <w:pPr>
              <w:pStyle w:val="Normalnumbered"/>
              <w:tabs>
                <w:tab w:val="clear" w:pos="283"/>
              </w:tabs>
              <w:ind w:left="0" w:firstLine="0"/>
              <w:jc w:val="left"/>
            </w:pPr>
            <w:r w:rsidRPr="00A768CA">
              <w:t xml:space="preserve">Initial contribution to support implementation of projects </w:t>
            </w:r>
          </w:p>
        </w:tc>
        <w:tc>
          <w:tcPr>
            <w:tcW w:w="1984" w:type="dxa"/>
            <w:tcBorders>
              <w:top w:val="single" w:sz="18" w:space="0" w:color="4F81BD"/>
              <w:bottom w:val="single" w:sz="8" w:space="0" w:color="4F81BD"/>
            </w:tcBorders>
            <w:shd w:val="clear" w:color="auto" w:fill="auto"/>
          </w:tcPr>
          <w:p w14:paraId="676E9DB0" w14:textId="77777777" w:rsidR="004C5830" w:rsidRPr="00A768CA" w:rsidRDefault="004C5830" w:rsidP="004C5830">
            <w:pPr>
              <w:pStyle w:val="Normalnumbered"/>
              <w:tabs>
                <w:tab w:val="clear" w:pos="283"/>
              </w:tabs>
              <w:ind w:left="0" w:firstLine="0"/>
              <w:jc w:val="left"/>
            </w:pPr>
            <w:r w:rsidRPr="00A768CA">
              <w:t>29 April 2015</w:t>
            </w:r>
          </w:p>
        </w:tc>
        <w:tc>
          <w:tcPr>
            <w:tcW w:w="1985" w:type="dxa"/>
            <w:tcBorders>
              <w:top w:val="single" w:sz="18" w:space="0" w:color="4F81BD"/>
              <w:bottom w:val="single" w:sz="8" w:space="0" w:color="4F81BD"/>
            </w:tcBorders>
            <w:shd w:val="clear" w:color="auto" w:fill="auto"/>
          </w:tcPr>
          <w:p w14:paraId="19A4531D" w14:textId="77777777" w:rsidR="004C5830" w:rsidRPr="00A768CA" w:rsidRDefault="004C5830" w:rsidP="004C5830">
            <w:pPr>
              <w:pStyle w:val="Normalnumbered"/>
              <w:tabs>
                <w:tab w:val="clear" w:pos="283"/>
              </w:tabs>
              <w:ind w:left="0" w:firstLine="0"/>
              <w:jc w:val="left"/>
            </w:pPr>
            <w:r w:rsidRPr="00A768CA">
              <w:t>$50,000</w:t>
            </w:r>
          </w:p>
        </w:tc>
      </w:tr>
      <w:tr w:rsidR="004C5830" w:rsidRPr="00A768CA" w14:paraId="382DDF5A" w14:textId="77777777" w:rsidTr="00BA456D">
        <w:trPr>
          <w:trHeight w:val="815"/>
        </w:trPr>
        <w:tc>
          <w:tcPr>
            <w:tcW w:w="2235" w:type="dxa"/>
            <w:vMerge/>
            <w:shd w:val="clear" w:color="auto" w:fill="auto"/>
          </w:tcPr>
          <w:p w14:paraId="5A891248" w14:textId="77777777" w:rsidR="004C5830" w:rsidRPr="00A768CA" w:rsidRDefault="004C5830" w:rsidP="004C5830">
            <w:pPr>
              <w:pStyle w:val="Normalnumbered"/>
              <w:tabs>
                <w:tab w:val="clear" w:pos="283"/>
              </w:tabs>
              <w:ind w:left="0" w:firstLine="0"/>
              <w:jc w:val="left"/>
              <w:rPr>
                <w:b/>
                <w:bCs/>
                <w:szCs w:val="23"/>
              </w:rPr>
            </w:pPr>
          </w:p>
        </w:tc>
        <w:tc>
          <w:tcPr>
            <w:tcW w:w="3402" w:type="dxa"/>
            <w:tcBorders>
              <w:top w:val="single" w:sz="18" w:space="0" w:color="4F81BD"/>
              <w:bottom w:val="single" w:sz="8" w:space="0" w:color="4F81BD"/>
            </w:tcBorders>
            <w:shd w:val="clear" w:color="auto" w:fill="auto"/>
          </w:tcPr>
          <w:p w14:paraId="578F4DB0" w14:textId="77777777" w:rsidR="004C5830" w:rsidRPr="00A768CA" w:rsidRDefault="004C5830" w:rsidP="004C5830">
            <w:pPr>
              <w:pStyle w:val="Normalnumbered"/>
              <w:tabs>
                <w:tab w:val="clear" w:pos="283"/>
              </w:tabs>
              <w:ind w:left="0" w:firstLine="0"/>
              <w:jc w:val="left"/>
            </w:pPr>
            <w:r w:rsidRPr="00A768CA">
              <w:t>Demonstration, through provision of a progress report, that scheduled stages have been completed for Project 1 to 4.</w:t>
            </w:r>
            <w:r w:rsidRPr="00A768CA">
              <w:rPr>
                <w:sz w:val="20"/>
              </w:rPr>
              <w:t xml:space="preserve"> </w:t>
            </w:r>
          </w:p>
        </w:tc>
        <w:tc>
          <w:tcPr>
            <w:tcW w:w="1984" w:type="dxa"/>
            <w:tcBorders>
              <w:top w:val="single" w:sz="18" w:space="0" w:color="4F81BD"/>
              <w:bottom w:val="single" w:sz="8" w:space="0" w:color="4F81BD"/>
            </w:tcBorders>
            <w:shd w:val="clear" w:color="auto" w:fill="auto"/>
          </w:tcPr>
          <w:p w14:paraId="2FA44A9B" w14:textId="3B4C9068" w:rsidR="004C5830" w:rsidRPr="00A768CA" w:rsidRDefault="004C5830" w:rsidP="004C5830">
            <w:pPr>
              <w:pStyle w:val="Normalnumbered"/>
              <w:tabs>
                <w:tab w:val="clear" w:pos="283"/>
              </w:tabs>
              <w:ind w:left="0" w:firstLine="0"/>
              <w:jc w:val="left"/>
            </w:pPr>
            <w:r w:rsidRPr="00A768CA">
              <w:t>22 May</w:t>
            </w:r>
            <w:r w:rsidR="004A40F5" w:rsidRPr="00A768CA">
              <w:t xml:space="preserve"> </w:t>
            </w:r>
            <w:r w:rsidRPr="00A768CA">
              <w:t>2015</w:t>
            </w:r>
          </w:p>
        </w:tc>
        <w:tc>
          <w:tcPr>
            <w:tcW w:w="1985" w:type="dxa"/>
            <w:tcBorders>
              <w:top w:val="single" w:sz="18" w:space="0" w:color="4F81BD"/>
              <w:bottom w:val="single" w:sz="8" w:space="0" w:color="4F81BD"/>
            </w:tcBorders>
            <w:shd w:val="clear" w:color="auto" w:fill="auto"/>
          </w:tcPr>
          <w:p w14:paraId="4CCEE4D7" w14:textId="77777777" w:rsidR="004C5830" w:rsidRPr="00A768CA" w:rsidRDefault="004C5830" w:rsidP="004C5830">
            <w:pPr>
              <w:pStyle w:val="Normalnumbered"/>
              <w:tabs>
                <w:tab w:val="clear" w:pos="283"/>
              </w:tabs>
              <w:ind w:left="0" w:firstLine="0"/>
              <w:jc w:val="left"/>
            </w:pPr>
            <w:r w:rsidRPr="00A768CA">
              <w:t>$699,120</w:t>
            </w:r>
          </w:p>
        </w:tc>
      </w:tr>
    </w:tbl>
    <w:p w14:paraId="06F2377D" w14:textId="7938E50C" w:rsidR="004C5830" w:rsidRPr="00A768CA" w:rsidRDefault="004C5830"/>
    <w:p w14:paraId="16B8000A" w14:textId="77777777" w:rsidR="004C5830" w:rsidRPr="00A768CA" w:rsidRDefault="004C5830">
      <w:pPr>
        <w:spacing w:after="160" w:line="259" w:lineRule="auto"/>
        <w:jc w:val="left"/>
      </w:pPr>
      <w:r w:rsidRPr="00A768CA">
        <w:br w:type="page"/>
      </w:r>
    </w:p>
    <w:p w14:paraId="793A7F6A" w14:textId="77777777" w:rsidR="00EF3E3B" w:rsidRPr="00A768CA" w:rsidRDefault="00EF3E3B" w:rsidP="00EF3E3B"/>
    <w:p w14:paraId="54370CE7" w14:textId="77777777" w:rsidR="00EF3E3B" w:rsidRPr="00A768CA" w:rsidRDefault="00EF3E3B" w:rsidP="00EF3E3B">
      <w:pPr>
        <w:pStyle w:val="Normalnumbered"/>
        <w:keepNext/>
        <w:tabs>
          <w:tab w:val="clear" w:pos="283"/>
        </w:tabs>
        <w:spacing w:after="220" w:line="240" w:lineRule="auto"/>
        <w:ind w:left="357" w:hanging="357"/>
        <w:rPr>
          <w:b/>
          <w:sz w:val="29"/>
          <w:szCs w:val="29"/>
        </w:rPr>
      </w:pPr>
      <w:r w:rsidRPr="00A768CA">
        <w:rPr>
          <w:b/>
          <w:sz w:val="29"/>
          <w:szCs w:val="29"/>
        </w:rPr>
        <w:t>Sign off</w:t>
      </w:r>
    </w:p>
    <w:p w14:paraId="5EF6DC72" w14:textId="77777777" w:rsidR="00EF3E3B" w:rsidRPr="00A768CA" w:rsidRDefault="00EF3E3B" w:rsidP="00EF3E3B">
      <w:pPr>
        <w:rPr>
          <w:rFonts w:cs="Calibri"/>
          <w:szCs w:val="23"/>
          <w:lang w:val="en-GB"/>
        </w:rPr>
      </w:pPr>
      <w:r w:rsidRPr="00A768CA">
        <w:rPr>
          <w:rFonts w:cs="Calibri"/>
          <w:szCs w:val="23"/>
          <w:lang w:val="en-GB"/>
        </w:rPr>
        <w:t>The Parties have confirmed their commitment to this Schedule as follows:</w:t>
      </w:r>
    </w:p>
    <w:p w14:paraId="3F73FC26" w14:textId="77777777" w:rsidR="00EF3E3B" w:rsidRPr="00A768CA" w:rsidRDefault="00EF3E3B" w:rsidP="00EF3E3B">
      <w:pPr>
        <w:rPr>
          <w:rFonts w:cs="Calibri"/>
          <w:szCs w:val="23"/>
          <w:lang w:val="en-GB"/>
        </w:rPr>
      </w:pPr>
      <w:r w:rsidRPr="00A768CA">
        <w:rPr>
          <w:rFonts w:cs="Calibri"/>
          <w:b/>
          <w:szCs w:val="23"/>
          <w:lang w:val="en-GB"/>
        </w:rPr>
        <w:t xml:space="preserve">Signed </w:t>
      </w:r>
      <w:r w:rsidRPr="00A768CA">
        <w:rPr>
          <w:rFonts w:cs="Calibri"/>
          <w:i/>
          <w:szCs w:val="23"/>
          <w:lang w:val="en-GB"/>
        </w:rPr>
        <w:t>for and on behalf of the Commonwealth of Australia by</w:t>
      </w:r>
    </w:p>
    <w:p w14:paraId="5F9D0582" w14:textId="77777777" w:rsidR="00EF3E3B" w:rsidRPr="00A768CA" w:rsidRDefault="00EF3E3B" w:rsidP="00EF3E3B">
      <w:pPr>
        <w:rPr>
          <w:rFonts w:cs="Calibri"/>
          <w:szCs w:val="23"/>
          <w:lang w:val="en-GB"/>
        </w:rPr>
      </w:pPr>
    </w:p>
    <w:p w14:paraId="25E945E9" w14:textId="77777777" w:rsidR="00EF3E3B" w:rsidRPr="00A768CA" w:rsidRDefault="00EF3E3B" w:rsidP="00EF3E3B">
      <w:pPr>
        <w:rPr>
          <w:rFonts w:cs="Calibri"/>
          <w:szCs w:val="23"/>
          <w:lang w:val="en-GB"/>
        </w:rPr>
      </w:pPr>
    </w:p>
    <w:p w14:paraId="012BD4E3" w14:textId="77777777" w:rsidR="00EF3E3B" w:rsidRPr="00A768CA" w:rsidRDefault="00EF3E3B" w:rsidP="00EF3E3B">
      <w:pPr>
        <w:rPr>
          <w:rFonts w:cs="Calibri"/>
          <w:szCs w:val="23"/>
          <w:lang w:val="en-GB"/>
        </w:rPr>
      </w:pPr>
    </w:p>
    <w:p w14:paraId="0992C8C2" w14:textId="77777777" w:rsidR="00EF3E3B" w:rsidRPr="00A768CA" w:rsidRDefault="00EF3E3B" w:rsidP="00EF3E3B">
      <w:pPr>
        <w:rPr>
          <w:rFonts w:cs="Calibri"/>
          <w:szCs w:val="23"/>
          <w:lang w:val="en-GB"/>
        </w:rPr>
      </w:pPr>
      <w:r w:rsidRPr="00A768CA">
        <w:rPr>
          <w:rFonts w:cs="Calibri"/>
          <w:szCs w:val="23"/>
          <w:lang w:val="en-GB"/>
        </w:rPr>
        <w:t>__________________________________________</w:t>
      </w:r>
    </w:p>
    <w:p w14:paraId="5F2C681C" w14:textId="2AF7BE93" w:rsidR="00EF3E3B" w:rsidRPr="00A768CA" w:rsidRDefault="00EF3E3B" w:rsidP="00EF3E3B">
      <w:pPr>
        <w:pStyle w:val="SingleParagraph"/>
        <w:spacing w:after="240"/>
        <w:rPr>
          <w:rStyle w:val="Bold"/>
          <w:szCs w:val="23"/>
        </w:rPr>
      </w:pPr>
      <w:r w:rsidRPr="00A768CA">
        <w:rPr>
          <w:rStyle w:val="Bold"/>
          <w:szCs w:val="23"/>
        </w:rPr>
        <w:t xml:space="preserve">The Honourable </w:t>
      </w:r>
      <w:r w:rsidR="00654A93" w:rsidRPr="00A768CA">
        <w:rPr>
          <w:rStyle w:val="Bold"/>
          <w:szCs w:val="23"/>
        </w:rPr>
        <w:t>Stephen Ciobo</w:t>
      </w:r>
      <w:r w:rsidRPr="00A768CA">
        <w:rPr>
          <w:rStyle w:val="Bold"/>
          <w:szCs w:val="23"/>
        </w:rPr>
        <w:t xml:space="preserve"> MP</w:t>
      </w:r>
    </w:p>
    <w:p w14:paraId="45A2D0E7" w14:textId="2653A10D" w:rsidR="00EF3E3B" w:rsidRPr="00A768CA" w:rsidRDefault="00EF3E3B" w:rsidP="00EF3E3B">
      <w:pPr>
        <w:pStyle w:val="Position"/>
        <w:spacing w:after="240"/>
        <w:rPr>
          <w:sz w:val="23"/>
          <w:szCs w:val="23"/>
          <w:lang w:val="en-GB"/>
        </w:rPr>
      </w:pPr>
      <w:r w:rsidRPr="00A768CA">
        <w:rPr>
          <w:sz w:val="23"/>
          <w:szCs w:val="23"/>
          <w:lang w:val="en-GB"/>
        </w:rPr>
        <w:t xml:space="preserve">Minister for </w:t>
      </w:r>
      <w:r w:rsidR="00654A93" w:rsidRPr="00A768CA">
        <w:rPr>
          <w:sz w:val="23"/>
          <w:szCs w:val="23"/>
          <w:lang w:val="en-GB"/>
        </w:rPr>
        <w:t xml:space="preserve">Trade, </w:t>
      </w:r>
      <w:r w:rsidRPr="00A768CA">
        <w:rPr>
          <w:sz w:val="23"/>
          <w:szCs w:val="23"/>
          <w:lang w:val="en-GB"/>
        </w:rPr>
        <w:t xml:space="preserve">Tourism and </w:t>
      </w:r>
      <w:r w:rsidR="00654A93" w:rsidRPr="00A768CA">
        <w:rPr>
          <w:sz w:val="23"/>
          <w:szCs w:val="23"/>
          <w:lang w:val="en-GB"/>
        </w:rPr>
        <w:t xml:space="preserve">Investment </w:t>
      </w:r>
    </w:p>
    <w:p w14:paraId="1234FE18" w14:textId="68BF53E7" w:rsidR="00EF3E3B" w:rsidRPr="00A768CA" w:rsidRDefault="00EF3E3B" w:rsidP="00EF3E3B">
      <w:pPr>
        <w:rPr>
          <w:rFonts w:cs="Calibri"/>
          <w:szCs w:val="23"/>
          <w:lang w:val="en-GB"/>
        </w:rPr>
      </w:pPr>
      <w:r w:rsidRPr="00A768CA">
        <w:rPr>
          <w:szCs w:val="23"/>
          <w:lang w:val="en-GB"/>
        </w:rPr>
        <w:t xml:space="preserve"> /       /</w:t>
      </w:r>
      <w:r w:rsidR="00654A93" w:rsidRPr="00A768CA">
        <w:rPr>
          <w:szCs w:val="23"/>
          <w:lang w:val="en-GB"/>
        </w:rPr>
        <w:t xml:space="preserve"> </w:t>
      </w:r>
      <w:r w:rsidRPr="00A768CA">
        <w:rPr>
          <w:szCs w:val="23"/>
          <w:lang w:val="en-GB"/>
        </w:rPr>
        <w:t>201</w:t>
      </w:r>
      <w:r w:rsidR="00D130D1" w:rsidRPr="00A768CA">
        <w:rPr>
          <w:szCs w:val="23"/>
          <w:lang w:val="en-GB"/>
        </w:rPr>
        <w:t>7</w:t>
      </w:r>
    </w:p>
    <w:p w14:paraId="16049FD6" w14:textId="77777777" w:rsidR="00EF3E3B" w:rsidRPr="00A768CA" w:rsidRDefault="00EF3E3B" w:rsidP="00EF3E3B">
      <w:pPr>
        <w:rPr>
          <w:rFonts w:cs="Calibri"/>
          <w:szCs w:val="23"/>
          <w:lang w:val="en-GB"/>
        </w:rPr>
      </w:pPr>
    </w:p>
    <w:p w14:paraId="4A74824C" w14:textId="77777777" w:rsidR="00EF3E3B" w:rsidRPr="00A768CA" w:rsidRDefault="00EF3E3B" w:rsidP="00EF3E3B">
      <w:pPr>
        <w:rPr>
          <w:rFonts w:cs="Calibri"/>
          <w:szCs w:val="23"/>
          <w:lang w:val="en-GB"/>
        </w:rPr>
      </w:pPr>
    </w:p>
    <w:p w14:paraId="72B7883B" w14:textId="58B9B21D" w:rsidR="00EF3E3B" w:rsidRPr="00A768CA" w:rsidRDefault="00EF3E3B" w:rsidP="00EF3E3B">
      <w:pPr>
        <w:rPr>
          <w:rFonts w:cs="Calibri"/>
          <w:i/>
          <w:szCs w:val="23"/>
          <w:lang w:val="en-GB"/>
        </w:rPr>
      </w:pPr>
      <w:r w:rsidRPr="00A768CA">
        <w:rPr>
          <w:rFonts w:cs="Calibri"/>
          <w:b/>
          <w:szCs w:val="23"/>
          <w:lang w:val="en-GB"/>
        </w:rPr>
        <w:t>Signed</w:t>
      </w:r>
      <w:r w:rsidRPr="00A768CA">
        <w:rPr>
          <w:rFonts w:cs="Calibri"/>
          <w:szCs w:val="23"/>
          <w:lang w:val="en-GB"/>
        </w:rPr>
        <w:t xml:space="preserve"> </w:t>
      </w:r>
      <w:r w:rsidRPr="00A768CA">
        <w:rPr>
          <w:rFonts w:cs="Calibri"/>
          <w:i/>
          <w:szCs w:val="23"/>
          <w:lang w:val="en-GB"/>
        </w:rPr>
        <w:t>for and on behalf of the Australian Capital Territory by</w:t>
      </w:r>
    </w:p>
    <w:p w14:paraId="05F22B7C" w14:textId="77777777" w:rsidR="00EF3E3B" w:rsidRPr="00A768CA" w:rsidRDefault="00EF3E3B" w:rsidP="00EF3E3B">
      <w:pPr>
        <w:rPr>
          <w:rFonts w:cs="Calibri"/>
          <w:szCs w:val="23"/>
          <w:lang w:val="en-GB"/>
        </w:rPr>
      </w:pPr>
    </w:p>
    <w:p w14:paraId="367AE4D3" w14:textId="77777777" w:rsidR="00EF3E3B" w:rsidRPr="00A768CA" w:rsidRDefault="00EF3E3B" w:rsidP="00EF3E3B">
      <w:pPr>
        <w:rPr>
          <w:rFonts w:cs="Calibri"/>
          <w:szCs w:val="23"/>
          <w:lang w:val="en-GB"/>
        </w:rPr>
      </w:pPr>
    </w:p>
    <w:p w14:paraId="23A95602" w14:textId="77777777" w:rsidR="00EF3E3B" w:rsidRPr="00A768CA" w:rsidRDefault="00EF3E3B" w:rsidP="00EF3E3B">
      <w:pPr>
        <w:rPr>
          <w:rFonts w:cs="Calibri"/>
          <w:szCs w:val="23"/>
          <w:lang w:val="en-GB"/>
        </w:rPr>
      </w:pPr>
    </w:p>
    <w:p w14:paraId="32555F06" w14:textId="77777777" w:rsidR="00EF3E3B" w:rsidRPr="00A768CA" w:rsidRDefault="00EF3E3B" w:rsidP="00EF3E3B">
      <w:pPr>
        <w:rPr>
          <w:rFonts w:cs="Calibri"/>
          <w:szCs w:val="23"/>
          <w:lang w:val="en-GB"/>
        </w:rPr>
      </w:pPr>
      <w:r w:rsidRPr="00A768CA">
        <w:rPr>
          <w:rFonts w:cs="Calibri"/>
          <w:szCs w:val="23"/>
          <w:lang w:val="en-GB"/>
        </w:rPr>
        <w:t>__________________________________________</w:t>
      </w:r>
    </w:p>
    <w:p w14:paraId="3064B805" w14:textId="77777777" w:rsidR="000A281C" w:rsidRPr="00A768CA" w:rsidRDefault="000A281C" w:rsidP="000A281C">
      <w:pPr>
        <w:pStyle w:val="SingleParagraph"/>
        <w:spacing w:after="240"/>
        <w:rPr>
          <w:rStyle w:val="Bold"/>
        </w:rPr>
      </w:pPr>
      <w:r w:rsidRPr="00A768CA">
        <w:rPr>
          <w:rStyle w:val="Bold"/>
        </w:rPr>
        <w:t>Andrew Barr MLA</w:t>
      </w:r>
    </w:p>
    <w:p w14:paraId="609C8C8F" w14:textId="70C941AF" w:rsidR="000A281C" w:rsidRPr="00A768CA" w:rsidRDefault="000A281C" w:rsidP="000A281C">
      <w:pPr>
        <w:pStyle w:val="Position"/>
        <w:spacing w:after="240"/>
        <w:rPr>
          <w:sz w:val="23"/>
          <w:szCs w:val="23"/>
          <w:lang w:val="en-GB"/>
        </w:rPr>
      </w:pPr>
      <w:r w:rsidRPr="00A768CA">
        <w:rPr>
          <w:sz w:val="23"/>
          <w:szCs w:val="23"/>
          <w:lang w:val="en-GB"/>
        </w:rPr>
        <w:t>Chief Minister</w:t>
      </w:r>
    </w:p>
    <w:p w14:paraId="2FE26255" w14:textId="3D2FF4D3" w:rsidR="00967EB5" w:rsidRPr="00A768CA" w:rsidRDefault="00967EB5" w:rsidP="000A281C">
      <w:pPr>
        <w:pStyle w:val="Position"/>
        <w:spacing w:after="240"/>
        <w:rPr>
          <w:sz w:val="23"/>
          <w:szCs w:val="23"/>
          <w:lang w:val="en-GB"/>
        </w:rPr>
      </w:pPr>
      <w:r w:rsidRPr="00A768CA">
        <w:rPr>
          <w:sz w:val="23"/>
          <w:szCs w:val="23"/>
          <w:lang w:val="en-GB"/>
        </w:rPr>
        <w:t>Minister for Tourism and Events</w:t>
      </w:r>
      <w:r w:rsidR="00E141F3" w:rsidRPr="00A768CA">
        <w:rPr>
          <w:sz w:val="23"/>
          <w:szCs w:val="23"/>
          <w:lang w:val="en-GB"/>
        </w:rPr>
        <w:t xml:space="preserve"> </w:t>
      </w:r>
    </w:p>
    <w:p w14:paraId="43DD4B6D" w14:textId="76A1DB54" w:rsidR="00EF3E3B" w:rsidRPr="00823329" w:rsidRDefault="00EF3E3B" w:rsidP="00823329">
      <w:pPr>
        <w:pStyle w:val="Position"/>
        <w:spacing w:after="240"/>
        <w:rPr>
          <w:sz w:val="23"/>
          <w:szCs w:val="23"/>
          <w:lang w:val="en-GB"/>
        </w:rPr>
      </w:pPr>
      <w:r w:rsidRPr="00A768CA" w:rsidDel="00542A8C">
        <w:rPr>
          <w:sz w:val="23"/>
          <w:szCs w:val="23"/>
          <w:lang w:val="en-GB"/>
        </w:rPr>
        <w:t xml:space="preserve"> </w:t>
      </w:r>
      <w:r w:rsidRPr="00A768CA">
        <w:rPr>
          <w:sz w:val="23"/>
          <w:szCs w:val="23"/>
          <w:lang w:val="en-GB"/>
        </w:rPr>
        <w:t xml:space="preserve">    /       </w:t>
      </w:r>
      <w:proofErr w:type="gramStart"/>
      <w:r w:rsidRPr="00A768CA">
        <w:rPr>
          <w:sz w:val="23"/>
          <w:szCs w:val="23"/>
          <w:lang w:val="en-GB"/>
        </w:rPr>
        <w:t>/  201</w:t>
      </w:r>
      <w:r w:rsidR="00D130D1" w:rsidRPr="00A768CA">
        <w:rPr>
          <w:sz w:val="23"/>
          <w:szCs w:val="23"/>
          <w:lang w:val="en-GB"/>
        </w:rPr>
        <w:t>7</w:t>
      </w:r>
      <w:proofErr w:type="gramEnd"/>
    </w:p>
    <w:sectPr w:rsidR="00EF3E3B" w:rsidRPr="00823329" w:rsidSect="006B7F68">
      <w:headerReference w:type="default" r:id="rId12"/>
      <w:footerReference w:type="first" r:id="rId13"/>
      <w:pgSz w:w="11906" w:h="16838" w:code="9"/>
      <w:pgMar w:top="1134" w:right="1134" w:bottom="1134" w:left="1134" w:header="709" w:footer="709" w:gutter="0"/>
      <w:pgNumType w:chapStyle="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243" w14:textId="77777777" w:rsidR="00C82926" w:rsidRDefault="00FE42E4">
      <w:pPr>
        <w:spacing w:after="0" w:line="240" w:lineRule="auto"/>
      </w:pPr>
      <w:r>
        <w:separator/>
      </w:r>
    </w:p>
  </w:endnote>
  <w:endnote w:type="continuationSeparator" w:id="0">
    <w:p w14:paraId="6EB6E522" w14:textId="77777777" w:rsidR="00C82926" w:rsidRDefault="00FE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34C4" w14:textId="77777777" w:rsidR="000E7236" w:rsidRPr="00E76CF8" w:rsidRDefault="004A40F5" w:rsidP="00E76CF8">
    <w:pPr>
      <w:pStyle w:val="Footer"/>
    </w:pPr>
    <w:r>
      <w:t xml:space="preserve">Page 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9E97D" w14:textId="77777777" w:rsidR="00C82926" w:rsidRDefault="00FE42E4">
      <w:pPr>
        <w:spacing w:after="0" w:line="240" w:lineRule="auto"/>
      </w:pPr>
      <w:r>
        <w:separator/>
      </w:r>
    </w:p>
  </w:footnote>
  <w:footnote w:type="continuationSeparator" w:id="0">
    <w:p w14:paraId="13D3A614" w14:textId="77777777" w:rsidR="00C82926" w:rsidRDefault="00FE4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2981" w14:textId="77777777" w:rsidR="00EF3E3B" w:rsidRPr="00814590" w:rsidRDefault="00EF3E3B" w:rsidP="00EF3E3B">
    <w:pPr>
      <w:pStyle w:val="HeaderOdd"/>
      <w:tabs>
        <w:tab w:val="num" w:pos="1134"/>
      </w:tabs>
      <w:rPr>
        <w:color w:val="800000"/>
      </w:rPr>
    </w:pPr>
    <w:r>
      <w:rPr>
        <w:color w:val="800000"/>
      </w:rPr>
      <w:t>Project Agreement for the Delivery of Tourism Demand-Driver Infrastructure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F41060"/>
    <w:multiLevelType w:val="hybridMultilevel"/>
    <w:tmpl w:val="DD3CFCD0"/>
    <w:lvl w:ilvl="0" w:tplc="E4760E08">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5E3928"/>
    <w:multiLevelType w:val="hybridMultilevel"/>
    <w:tmpl w:val="DD3CFCD0"/>
    <w:lvl w:ilvl="0" w:tplc="E4760E08">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68"/>
    <w:rsid w:val="000647B8"/>
    <w:rsid w:val="000A281C"/>
    <w:rsid w:val="000C133F"/>
    <w:rsid w:val="000C7628"/>
    <w:rsid w:val="00105E16"/>
    <w:rsid w:val="00131721"/>
    <w:rsid w:val="001B19EB"/>
    <w:rsid w:val="001D2473"/>
    <w:rsid w:val="00201493"/>
    <w:rsid w:val="00236744"/>
    <w:rsid w:val="002620D7"/>
    <w:rsid w:val="002669D2"/>
    <w:rsid w:val="00286363"/>
    <w:rsid w:val="003061BA"/>
    <w:rsid w:val="00334610"/>
    <w:rsid w:val="00340C3C"/>
    <w:rsid w:val="00364C73"/>
    <w:rsid w:val="00430AC8"/>
    <w:rsid w:val="004459EF"/>
    <w:rsid w:val="0049565A"/>
    <w:rsid w:val="004A40F5"/>
    <w:rsid w:val="004C5830"/>
    <w:rsid w:val="00654A93"/>
    <w:rsid w:val="00657FD8"/>
    <w:rsid w:val="00684C08"/>
    <w:rsid w:val="006B3AC1"/>
    <w:rsid w:val="006B7F68"/>
    <w:rsid w:val="00713516"/>
    <w:rsid w:val="00744177"/>
    <w:rsid w:val="007650BC"/>
    <w:rsid w:val="007B5B0E"/>
    <w:rsid w:val="007E109D"/>
    <w:rsid w:val="007E60C8"/>
    <w:rsid w:val="00803FB1"/>
    <w:rsid w:val="00823329"/>
    <w:rsid w:val="00830D5D"/>
    <w:rsid w:val="00855E7E"/>
    <w:rsid w:val="00857F82"/>
    <w:rsid w:val="00860F89"/>
    <w:rsid w:val="008A51C6"/>
    <w:rsid w:val="00922E36"/>
    <w:rsid w:val="00954FF2"/>
    <w:rsid w:val="00967EB5"/>
    <w:rsid w:val="009851A1"/>
    <w:rsid w:val="009F2AAE"/>
    <w:rsid w:val="00A768CA"/>
    <w:rsid w:val="00B32953"/>
    <w:rsid w:val="00B67C60"/>
    <w:rsid w:val="00B705D9"/>
    <w:rsid w:val="00B72C5E"/>
    <w:rsid w:val="00C42DFC"/>
    <w:rsid w:val="00C82926"/>
    <w:rsid w:val="00CF24EF"/>
    <w:rsid w:val="00D130D1"/>
    <w:rsid w:val="00D34305"/>
    <w:rsid w:val="00D573DA"/>
    <w:rsid w:val="00DD5BD1"/>
    <w:rsid w:val="00DF1201"/>
    <w:rsid w:val="00E141F3"/>
    <w:rsid w:val="00E77E0B"/>
    <w:rsid w:val="00EA6A8D"/>
    <w:rsid w:val="00EF3E3B"/>
    <w:rsid w:val="00F44739"/>
    <w:rsid w:val="00F574CD"/>
    <w:rsid w:val="00F95887"/>
    <w:rsid w:val="00FD7C71"/>
    <w:rsid w:val="00FE4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BD9D"/>
  <w15:chartTrackingRefBased/>
  <w15:docId w15:val="{3153EE0C-D590-48A9-AD7F-C1428C9C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68"/>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6B7F68"/>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B7F68"/>
    <w:rPr>
      <w:rFonts w:ascii="Corbel" w:eastAsia="Times New Roman" w:hAnsi="Corbel" w:cs="Arial"/>
      <w:b/>
      <w:bCs/>
      <w:iCs/>
      <w:color w:val="3D4B67"/>
      <w:sz w:val="29"/>
      <w:szCs w:val="28"/>
      <w:lang w:eastAsia="en-AU"/>
    </w:rPr>
  </w:style>
  <w:style w:type="paragraph" w:styleId="Footer">
    <w:name w:val="footer"/>
    <w:basedOn w:val="Normal"/>
    <w:link w:val="FooterChar"/>
    <w:uiPriority w:val="99"/>
    <w:rsid w:val="006B7F68"/>
    <w:pPr>
      <w:keepNext/>
      <w:spacing w:after="0" w:line="240" w:lineRule="auto"/>
      <w:jc w:val="left"/>
    </w:pPr>
    <w:rPr>
      <w:color w:val="3D4B67"/>
      <w:sz w:val="18"/>
    </w:rPr>
  </w:style>
  <w:style w:type="character" w:customStyle="1" w:styleId="FooterChar">
    <w:name w:val="Footer Char"/>
    <w:basedOn w:val="DefaultParagraphFont"/>
    <w:link w:val="Footer"/>
    <w:uiPriority w:val="99"/>
    <w:rsid w:val="006B7F68"/>
    <w:rPr>
      <w:rFonts w:ascii="Corbel" w:eastAsia="Times New Roman" w:hAnsi="Corbel" w:cs="Times New Roman"/>
      <w:color w:val="3D4B67"/>
      <w:sz w:val="18"/>
      <w:szCs w:val="20"/>
      <w:lang w:eastAsia="en-AU"/>
    </w:rPr>
  </w:style>
  <w:style w:type="paragraph" w:styleId="Header">
    <w:name w:val="header"/>
    <w:basedOn w:val="Normal"/>
    <w:link w:val="HeaderChar"/>
    <w:uiPriority w:val="99"/>
    <w:rsid w:val="006B7F68"/>
    <w:pPr>
      <w:keepNext/>
      <w:spacing w:after="0" w:line="240" w:lineRule="auto"/>
      <w:jc w:val="left"/>
    </w:pPr>
    <w:rPr>
      <w:color w:val="3D4B67"/>
      <w:sz w:val="18"/>
    </w:rPr>
  </w:style>
  <w:style w:type="character" w:customStyle="1" w:styleId="HeaderChar">
    <w:name w:val="Header Char"/>
    <w:basedOn w:val="DefaultParagraphFont"/>
    <w:link w:val="Header"/>
    <w:uiPriority w:val="99"/>
    <w:rsid w:val="006B7F68"/>
    <w:rPr>
      <w:rFonts w:ascii="Corbel" w:eastAsia="Times New Roman" w:hAnsi="Corbel" w:cs="Times New Roman"/>
      <w:color w:val="3D4B67"/>
      <w:sz w:val="18"/>
      <w:szCs w:val="20"/>
      <w:lang w:eastAsia="en-AU"/>
    </w:rPr>
  </w:style>
  <w:style w:type="paragraph" w:customStyle="1" w:styleId="Normalnumbered">
    <w:name w:val="Normal numbered"/>
    <w:basedOn w:val="Normal"/>
    <w:link w:val="NormalnumberedChar"/>
    <w:rsid w:val="006B7F68"/>
    <w:pPr>
      <w:tabs>
        <w:tab w:val="num" w:pos="283"/>
        <w:tab w:val="num" w:pos="567"/>
        <w:tab w:val="num" w:pos="1134"/>
        <w:tab w:val="num" w:pos="1418"/>
      </w:tabs>
      <w:ind w:left="567" w:hanging="567"/>
    </w:pPr>
  </w:style>
  <w:style w:type="character" w:customStyle="1" w:styleId="NormalnumberedChar">
    <w:name w:val="Normal numbered Char"/>
    <w:link w:val="Normalnumbered"/>
    <w:locked/>
    <w:rsid w:val="006B7F68"/>
    <w:rPr>
      <w:rFonts w:ascii="Corbel" w:eastAsia="Times New Roman" w:hAnsi="Corbel" w:cs="Times New Roman"/>
      <w:color w:val="000000"/>
      <w:sz w:val="23"/>
      <w:szCs w:val="20"/>
      <w:lang w:eastAsia="en-AU"/>
    </w:rPr>
  </w:style>
  <w:style w:type="paragraph" w:customStyle="1" w:styleId="SingleParagraph">
    <w:name w:val="Single Paragraph"/>
    <w:basedOn w:val="Normal"/>
    <w:rsid w:val="00EF3E3B"/>
    <w:pPr>
      <w:spacing w:after="0"/>
    </w:pPr>
  </w:style>
  <w:style w:type="character" w:customStyle="1" w:styleId="Bold">
    <w:name w:val="Bold"/>
    <w:rsid w:val="00EF3E3B"/>
    <w:rPr>
      <w:b/>
    </w:rPr>
  </w:style>
  <w:style w:type="paragraph" w:customStyle="1" w:styleId="Position">
    <w:name w:val="Position"/>
    <w:basedOn w:val="Normal"/>
    <w:rsid w:val="00EF3E3B"/>
    <w:pPr>
      <w:spacing w:after="120"/>
    </w:pPr>
    <w:rPr>
      <w:bCs/>
      <w:sz w:val="20"/>
    </w:rPr>
  </w:style>
  <w:style w:type="paragraph" w:customStyle="1" w:styleId="HeaderOdd">
    <w:name w:val="Header Odd"/>
    <w:basedOn w:val="Header"/>
    <w:rsid w:val="00EF3E3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2021FG-64-96847</_dlc_DocId>
    <_dlc_DocIdUrl xmlns="0f563589-9cf9-4143-b1eb-fb0534803d38">
      <Url>http://tweb/sites/fg/csrd/_layouts/15/DocIdRedir.aspx?ID=2021FG-64-96847</Url>
      <Description>2021FG-64-96847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666" ma:contentTypeDescription=" " ma:contentTypeScope="" ma:versionID="2dc9a5b166b5261cf229b8ebf92cc34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35927-A427-48D4-A1BC-7072A43BCEDC}"/>
</file>

<file path=customXml/itemProps2.xml><?xml version="1.0" encoding="utf-8"?>
<ds:datastoreItem xmlns:ds="http://schemas.openxmlformats.org/officeDocument/2006/customXml" ds:itemID="{F3E435CA-6596-44A6-959A-DDD9826137D2}"/>
</file>

<file path=customXml/itemProps3.xml><?xml version="1.0" encoding="utf-8"?>
<ds:datastoreItem xmlns:ds="http://schemas.openxmlformats.org/officeDocument/2006/customXml" ds:itemID="{BC142790-4B3E-4F9B-836C-4B1AE8F34439}"/>
</file>

<file path=customXml/itemProps4.xml><?xml version="1.0" encoding="utf-8"?>
<ds:datastoreItem xmlns:ds="http://schemas.openxmlformats.org/officeDocument/2006/customXml" ds:itemID="{4BA39E0E-DA65-44BB-B6A9-D81A0E04AE38}"/>
</file>

<file path=customXml/itemProps5.xml><?xml version="1.0" encoding="utf-8"?>
<ds:datastoreItem xmlns:ds="http://schemas.openxmlformats.org/officeDocument/2006/customXml" ds:itemID="{76FAADCF-A050-4DE9-945D-FC9EBB1B550E}"/>
</file>

<file path=customXml/itemProps6.xml><?xml version="1.0" encoding="utf-8"?>
<ds:datastoreItem xmlns:ds="http://schemas.openxmlformats.org/officeDocument/2006/customXml" ds:itemID="{FD6B77FB-9CA2-45C4-9592-E14CB946EBA1}"/>
</file>

<file path=docProps/app.xml><?xml version="1.0" encoding="utf-8"?>
<Properties xmlns="http://schemas.openxmlformats.org/officeDocument/2006/extended-properties" xmlns:vt="http://schemas.openxmlformats.org/officeDocument/2006/docPropsVTypes">
  <Template>Normal.dotm</Template>
  <TotalTime>145</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Austrade</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Katina-Devril (Canberra)</dc:creator>
  <cp:keywords/>
  <dc:description/>
  <cp:lastModifiedBy>Katina-Devril (Canberra)</cp:lastModifiedBy>
  <cp:revision>27</cp:revision>
  <dcterms:created xsi:type="dcterms:W3CDTF">2017-02-15T02:35:00Z</dcterms:created>
  <dcterms:modified xsi:type="dcterms:W3CDTF">2017-03-29T21:58:00Z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Protective_x0020_Markings">
    <vt:lpwstr/>
  </property>
  <property fmtid="{D5CDD505-2E9C-101B-9397-08002B2CF9AE}" pid="4" name="_dlc_DocIdItemGuid">
    <vt:lpwstr>ca01b66f-bcbf-4f07-a529-da85223e022b</vt:lpwstr>
  </property>
  <property fmtid="{D5CDD505-2E9C-101B-9397-08002B2CF9AE}" pid="5" name="Protective Markings">
    <vt:lpwstr/>
  </property>
  <property fmtid="{D5CDD505-2E9C-101B-9397-08002B2CF9AE}" pid="6" name="TSYRecordClass">
    <vt:lpwstr>2;#TSY RA-8748 - Retain as national archives|243f2231-dbfc-4282-b24a-c9b768286bd0</vt:lpwstr>
  </property>
  <property fmtid="{D5CDD505-2E9C-101B-9397-08002B2CF9AE}" pid="7" name="RecordPoint_WorkflowType">
    <vt:lpwstr>ActiveSubmitStub</vt:lpwstr>
  </property>
  <property fmtid="{D5CDD505-2E9C-101B-9397-08002B2CF9AE}" pid="8" name="RecordPoint_ActiveItemSiteId">
    <vt:lpwstr>{a3a280d1-e8f1-4ce7-94f0-aaa2322da0dd}</vt:lpwstr>
  </property>
  <property fmtid="{D5CDD505-2E9C-101B-9397-08002B2CF9AE}" pid="9" name="RecordPoint_ActiveItemListId">
    <vt:lpwstr>{4435c73b-6585-4bc2-a76a-5d21b1a02e06}</vt:lpwstr>
  </property>
  <property fmtid="{D5CDD505-2E9C-101B-9397-08002B2CF9AE}" pid="10" name="RecordPoint_ActiveItemUniqueId">
    <vt:lpwstr>{ce25172a-8065-4bf8-a5a1-cbb328fd8295}</vt:lpwstr>
  </property>
  <property fmtid="{D5CDD505-2E9C-101B-9397-08002B2CF9AE}" pid="11" name="RecordPoint_ActiveItemWebId">
    <vt:lpwstr>{a4589788-615f-4b8b-8296-7f9f6dfbab44}</vt:lpwstr>
  </property>
  <property fmtid="{D5CDD505-2E9C-101B-9397-08002B2CF9AE}" pid="12" name="RecordPoint_RecordNumberSubmitted">
    <vt:lpwstr>R0001366280</vt:lpwstr>
  </property>
  <property fmtid="{D5CDD505-2E9C-101B-9397-08002B2CF9AE}" pid="13" name="RecordPoint_SubmissionCompleted">
    <vt:lpwstr>2017-07-06T20:51:36.9741087+10:00</vt:lpwstr>
  </property>
</Properties>
</file>