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E2E1D" w14:textId="77777777" w:rsidR="00831A8F" w:rsidRPr="00BE42CA" w:rsidRDefault="00597789" w:rsidP="007A3F4D">
      <w:pPr>
        <w:pStyle w:val="Normalnumbered"/>
        <w:keepNext/>
        <w:tabs>
          <w:tab w:val="clear" w:pos="283"/>
        </w:tabs>
        <w:spacing w:line="240" w:lineRule="auto"/>
        <w:ind w:left="357" w:hanging="357"/>
        <w:jc w:val="right"/>
        <w:rPr>
          <w:rFonts w:ascii="Consolas" w:hAnsi="Consolas" w:cs="Consolas"/>
          <w:sz w:val="32"/>
          <w:szCs w:val="32"/>
        </w:rPr>
      </w:pPr>
      <w:bookmarkStart w:id="0" w:name="_GoBack"/>
      <w:bookmarkEnd w:id="0"/>
      <w:r w:rsidRPr="00BE42CA">
        <w:rPr>
          <w:rFonts w:ascii="Consolas" w:hAnsi="Consolas" w:cs="Consolas"/>
          <w:sz w:val="32"/>
          <w:szCs w:val="32"/>
        </w:rPr>
        <w:t>Schedule A</w:t>
      </w:r>
    </w:p>
    <w:p w14:paraId="2C2E2E1E" w14:textId="77777777" w:rsidR="00831A8F" w:rsidRPr="00BE42CA" w:rsidRDefault="00597789" w:rsidP="00831A8F">
      <w:pPr>
        <w:pStyle w:val="Normalnumbered"/>
        <w:keepNext/>
        <w:tabs>
          <w:tab w:val="clear" w:pos="283"/>
        </w:tabs>
        <w:ind w:left="360" w:hanging="360"/>
        <w:rPr>
          <w:b/>
          <w:sz w:val="29"/>
          <w:szCs w:val="29"/>
        </w:rPr>
      </w:pPr>
      <w:r w:rsidRPr="00BE42CA">
        <w:rPr>
          <w:b/>
          <w:color w:val="auto"/>
          <w:sz w:val="29"/>
          <w:szCs w:val="29"/>
        </w:rPr>
        <w:t>Project milestones</w:t>
      </w:r>
      <w:r w:rsidRPr="00BE42CA">
        <w:rPr>
          <w:b/>
          <w:sz w:val="29"/>
          <w:szCs w:val="29"/>
        </w:rPr>
        <w:t>, reporting and payments – New South Wales</w:t>
      </w:r>
    </w:p>
    <w:p w14:paraId="2C2E2E1F" w14:textId="77777777" w:rsidR="00B2008D" w:rsidRPr="00BE42CA" w:rsidRDefault="00597789" w:rsidP="00831A8F">
      <w:r w:rsidRPr="00BE42CA">
        <w:t>A1.</w:t>
      </w:r>
      <w:r w:rsidRPr="00BE42CA">
        <w:tab/>
        <w:t>To deliver the outputs of this Agreement the following projects will be delivered by New South Wales in 2016-17 and 2017-18:</w:t>
      </w:r>
    </w:p>
    <w:p w14:paraId="2C2E2E20" w14:textId="3BA400C8" w:rsidR="00B2008D" w:rsidRPr="00002123" w:rsidRDefault="00597789" w:rsidP="007A3F4D">
      <w:pPr>
        <w:pStyle w:val="Normalnumbered"/>
        <w:numPr>
          <w:ilvl w:val="0"/>
          <w:numId w:val="17"/>
        </w:numPr>
        <w:tabs>
          <w:tab w:val="clear" w:pos="567"/>
          <w:tab w:val="clear" w:pos="1418"/>
          <w:tab w:val="left" w:pos="1134"/>
        </w:tabs>
        <w:jc w:val="left"/>
      </w:pPr>
      <w:r w:rsidRPr="00185943">
        <w:t xml:space="preserve">Project 4 - </w:t>
      </w:r>
      <w:r w:rsidRPr="00185943">
        <w:rPr>
          <w:i/>
        </w:rPr>
        <w:t>Jerriewerri Indigenous Eco Tourism Enterprise Development Project</w:t>
      </w:r>
      <w:r w:rsidRPr="00185943">
        <w:t xml:space="preserve"> ($149,000</w:t>
      </w:r>
      <w:r w:rsidR="00EC21A2" w:rsidRPr="00185943">
        <w:t>, comprising $70,000</w:t>
      </w:r>
      <w:r w:rsidRPr="00185943">
        <w:t xml:space="preserve"> in 2016-17</w:t>
      </w:r>
      <w:r w:rsidR="00EC21A2" w:rsidRPr="00185943">
        <w:t xml:space="preserve"> and $79,000 in 2017-18</w:t>
      </w:r>
      <w:r w:rsidRPr="00185943">
        <w:t>).</w:t>
      </w:r>
      <w:r w:rsidRPr="00002123">
        <w:t xml:space="preserve"> This project will contribute to</w:t>
      </w:r>
      <w:r>
        <w:t xml:space="preserve"> a viable I</w:t>
      </w:r>
      <w:r w:rsidRPr="00002123">
        <w:t>ndigenous ecotourism industry in Jervis Bay, through a feasibility report, land management plan, operational plan and infrastructure design for camping, glamping and eco-cabin facilities on Aboriginal owned land. When implemented the project will support the area to develop a sustainable employment income as well as opportunities for upskilling.</w:t>
      </w:r>
    </w:p>
    <w:p w14:paraId="2C2E2E21" w14:textId="77777777" w:rsidR="00D40DE8" w:rsidRPr="00002123" w:rsidRDefault="00597789" w:rsidP="007A3F4D">
      <w:pPr>
        <w:pStyle w:val="Normalnumbered"/>
        <w:numPr>
          <w:ilvl w:val="0"/>
          <w:numId w:val="17"/>
        </w:numPr>
        <w:tabs>
          <w:tab w:val="clear" w:pos="567"/>
          <w:tab w:val="clear" w:pos="1418"/>
          <w:tab w:val="left" w:pos="1134"/>
        </w:tabs>
        <w:jc w:val="left"/>
      </w:pPr>
      <w:r w:rsidRPr="00002123">
        <w:t xml:space="preserve">Project 5 - </w:t>
      </w:r>
      <w:r w:rsidRPr="00002123">
        <w:rPr>
          <w:i/>
        </w:rPr>
        <w:t>Visitors Centre and Railway Square Revitalisation Project</w:t>
      </w:r>
      <w:r w:rsidRPr="00002123">
        <w:t xml:space="preserve"> ($260,750, comprised of $160,000 in 2016-17 and $100,750 in 2017-18). This project will refurbish the Byron Bay visitor centre internal facilities and surrounding outside space. The aim of the completed work is to revitalise the location and make the arrival hub a welcoming space to reflect the values of Byron Bay. The refurbishment will include installation of technology and improved service spaces.</w:t>
      </w:r>
    </w:p>
    <w:p w14:paraId="2C2E2E22" w14:textId="5F9DBD01" w:rsidR="00D40DE8" w:rsidRPr="00002123" w:rsidRDefault="00597789" w:rsidP="007A3F4D">
      <w:pPr>
        <w:pStyle w:val="Normalnumbered"/>
        <w:numPr>
          <w:ilvl w:val="0"/>
          <w:numId w:val="17"/>
        </w:numPr>
        <w:tabs>
          <w:tab w:val="clear" w:pos="567"/>
          <w:tab w:val="clear" w:pos="1418"/>
          <w:tab w:val="left" w:pos="1134"/>
        </w:tabs>
        <w:jc w:val="left"/>
      </w:pPr>
      <w:r w:rsidRPr="00185943">
        <w:t xml:space="preserve">Project 6 - </w:t>
      </w:r>
      <w:r w:rsidRPr="00185943">
        <w:rPr>
          <w:i/>
        </w:rPr>
        <w:t>Copper City Hotel and Conference Centre</w:t>
      </w:r>
      <w:r w:rsidRPr="00185943">
        <w:t xml:space="preserve"> ($375,000, comprised of $</w:t>
      </w:r>
      <w:r w:rsidR="00F643DA" w:rsidRPr="00185943">
        <w:t>35</w:t>
      </w:r>
      <w:r w:rsidRPr="00185943">
        <w:t>,000 in 2016</w:t>
      </w:r>
      <w:r w:rsidR="00F643DA" w:rsidRPr="00185943">
        <w:noBreakHyphen/>
      </w:r>
      <w:r w:rsidRPr="00185943">
        <w:t>17 and $</w:t>
      </w:r>
      <w:r w:rsidR="00F643DA" w:rsidRPr="00185943">
        <w:t>340</w:t>
      </w:r>
      <w:r w:rsidRPr="00185943">
        <w:t>,000 in 2017-18). This project will construct a conference facility in Cobar to meet the need of NSW's Far West. The completed venue will be able to host a 220 person</w:t>
      </w:r>
      <w:r w:rsidRPr="00002123">
        <w:t xml:space="preserve"> conference or can be split into three 60 person venues. The project will provide employment for local Aboriginal people.</w:t>
      </w:r>
    </w:p>
    <w:p w14:paraId="2C2E2E23" w14:textId="77777777" w:rsidR="00D40DE8" w:rsidRPr="00002123" w:rsidRDefault="00597789" w:rsidP="007A3F4D">
      <w:pPr>
        <w:pStyle w:val="Normalnumbered"/>
        <w:numPr>
          <w:ilvl w:val="0"/>
          <w:numId w:val="17"/>
        </w:numPr>
        <w:tabs>
          <w:tab w:val="clear" w:pos="567"/>
          <w:tab w:val="clear" w:pos="1418"/>
          <w:tab w:val="left" w:pos="1134"/>
        </w:tabs>
        <w:jc w:val="left"/>
      </w:pPr>
      <w:r w:rsidRPr="00002123">
        <w:t xml:space="preserve">Project 7 - </w:t>
      </w:r>
      <w:r w:rsidRPr="00002123">
        <w:rPr>
          <w:i/>
        </w:rPr>
        <w:t>NSW Tourism and Hospitality Alternative Labour Pool Pilot Program</w:t>
      </w:r>
      <w:r w:rsidRPr="00002123">
        <w:t xml:space="preserve"> ($50,000 comprised of $20,000 in 2016-17 and $30,000 in 2017-18). </w:t>
      </w:r>
      <w:r w:rsidRPr="009137B6">
        <w:t xml:space="preserve">This project will implement a pilot program to harness, upskill and provide employment pathways for alternative labour sources such as young or </w:t>
      </w:r>
      <w:r>
        <w:t>I</w:t>
      </w:r>
      <w:r w:rsidRPr="009137B6">
        <w:t>ndigenous people, resettled refugees, and women seeking to return to work or the mature aged in Western Sydney. Industry partners will provide mentoring</w:t>
      </w:r>
      <w:r>
        <w:t>,</w:t>
      </w:r>
      <w:r w:rsidRPr="009137B6">
        <w:t xml:space="preserve"> and a job pool to link candidates to post-training employment pathways. </w:t>
      </w:r>
    </w:p>
    <w:p w14:paraId="2C2E2E24" w14:textId="77777777" w:rsidR="00F11225" w:rsidRPr="00002123" w:rsidRDefault="00597789" w:rsidP="007A3F4D">
      <w:pPr>
        <w:pStyle w:val="Normalnumbered"/>
        <w:numPr>
          <w:ilvl w:val="0"/>
          <w:numId w:val="17"/>
        </w:numPr>
        <w:tabs>
          <w:tab w:val="clear" w:pos="567"/>
          <w:tab w:val="clear" w:pos="1418"/>
          <w:tab w:val="left" w:pos="1134"/>
        </w:tabs>
        <w:jc w:val="left"/>
      </w:pPr>
      <w:r w:rsidRPr="00002123">
        <w:t xml:space="preserve">Project 8 - </w:t>
      </w:r>
      <w:r w:rsidRPr="00002123">
        <w:rPr>
          <w:i/>
        </w:rPr>
        <w:t>All-weather large event venue for a high quality Riverina tourism experience</w:t>
      </w:r>
      <w:r w:rsidRPr="00002123">
        <w:t xml:space="preserve"> ($62,294 in 2016-17). This project will renovate the existing area to increase the all-weather outdoor capacity to 120 people at a cooking school/ private dining venue which holds classes from some of Australia’s best chefs. The renovated venue, in Wagga Wagga, will enable events such as masterclass weekends, private dining, corporate launches, conferences and corporate team building events.</w:t>
      </w:r>
    </w:p>
    <w:p w14:paraId="2C2E2E25" w14:textId="06FFA485" w:rsidR="00F11225" w:rsidRPr="00426DA7" w:rsidRDefault="00597789" w:rsidP="007A3F4D">
      <w:pPr>
        <w:pStyle w:val="Normalnumbered"/>
        <w:numPr>
          <w:ilvl w:val="0"/>
          <w:numId w:val="17"/>
        </w:numPr>
        <w:tabs>
          <w:tab w:val="clear" w:pos="567"/>
          <w:tab w:val="clear" w:pos="1418"/>
          <w:tab w:val="left" w:pos="1134"/>
        </w:tabs>
        <w:jc w:val="left"/>
        <w:rPr>
          <w:strike/>
        </w:rPr>
      </w:pPr>
      <w:r w:rsidRPr="00426DA7">
        <w:rPr>
          <w:strike/>
        </w:rPr>
        <w:t xml:space="preserve">Project 9 - </w:t>
      </w:r>
      <w:r w:rsidRPr="00426DA7">
        <w:rPr>
          <w:i/>
          <w:strike/>
        </w:rPr>
        <w:t>Luxury Eco Wilderness Cabins</w:t>
      </w:r>
      <w:r w:rsidRPr="00426DA7">
        <w:rPr>
          <w:strike/>
        </w:rPr>
        <w:t xml:space="preserve"> ($250,000</w:t>
      </w:r>
      <w:r w:rsidR="00DA7DE0" w:rsidRPr="00426DA7">
        <w:rPr>
          <w:strike/>
        </w:rPr>
        <w:t>, comprising $75,000</w:t>
      </w:r>
      <w:r w:rsidRPr="00426DA7">
        <w:rPr>
          <w:strike/>
        </w:rPr>
        <w:t xml:space="preserve"> in 2016-17</w:t>
      </w:r>
      <w:r w:rsidR="00DA7DE0" w:rsidRPr="00426DA7">
        <w:rPr>
          <w:strike/>
        </w:rPr>
        <w:t xml:space="preserve"> and $175,000 in 2017-18</w:t>
      </w:r>
      <w:r w:rsidRPr="00426DA7">
        <w:rPr>
          <w:strike/>
        </w:rPr>
        <w:t xml:space="preserve">). </w:t>
      </w:r>
      <w:r w:rsidR="00EC28B7" w:rsidRPr="00426DA7">
        <w:rPr>
          <w:strike/>
        </w:rPr>
        <w:t>This project has</w:t>
      </w:r>
      <w:r w:rsidR="00426DA7" w:rsidRPr="00426DA7">
        <w:rPr>
          <w:strike/>
        </w:rPr>
        <w:t xml:space="preserve"> withdrawn.</w:t>
      </w:r>
    </w:p>
    <w:p w14:paraId="2C2E2E26" w14:textId="1FFAE921" w:rsidR="00F11225" w:rsidRPr="00002123" w:rsidRDefault="00597789" w:rsidP="007A3F4D">
      <w:pPr>
        <w:pStyle w:val="Normalnumbered"/>
        <w:numPr>
          <w:ilvl w:val="0"/>
          <w:numId w:val="17"/>
        </w:numPr>
        <w:tabs>
          <w:tab w:val="clear" w:pos="567"/>
          <w:tab w:val="clear" w:pos="1418"/>
          <w:tab w:val="left" w:pos="1134"/>
        </w:tabs>
        <w:jc w:val="left"/>
      </w:pPr>
      <w:r w:rsidRPr="00002123">
        <w:t xml:space="preserve"> </w:t>
      </w:r>
      <w:r w:rsidRPr="00185943">
        <w:t xml:space="preserve">Project 10 - </w:t>
      </w:r>
      <w:r w:rsidRPr="00185943">
        <w:rPr>
          <w:i/>
        </w:rPr>
        <w:t>Oyster Processing Centre</w:t>
      </w:r>
      <w:r w:rsidRPr="00185943">
        <w:t xml:space="preserve"> ($105,305, comprised of $</w:t>
      </w:r>
      <w:r w:rsidR="00DA7DE0" w:rsidRPr="00185943">
        <w:t>45,000</w:t>
      </w:r>
      <w:r w:rsidRPr="00185943">
        <w:t xml:space="preserve"> in 2016-17 and $</w:t>
      </w:r>
      <w:r w:rsidR="00DA7DE0" w:rsidRPr="00185943">
        <w:t>60,305</w:t>
      </w:r>
      <w:r w:rsidRPr="00185943">
        <w:t xml:space="preserve"> in 2017-18).</w:t>
      </w:r>
      <w:r w:rsidRPr="00002123">
        <w:t xml:space="preserve"> This project will develop an oyster tourism facility with an interpretative centre, oyster nursery and grading machine, and cafe with degustation area at Shoalhaven. The project will provide a unique visitor experience at an existing, working oyster farm. It will link with local restaurants and wineries to increase the region’s attractiveness.</w:t>
      </w:r>
    </w:p>
    <w:p w14:paraId="2C2E2E27" w14:textId="44654BDB" w:rsidR="00F11225" w:rsidRPr="00002123" w:rsidRDefault="00597789" w:rsidP="007A3F4D">
      <w:pPr>
        <w:pStyle w:val="Normalnumbered"/>
        <w:numPr>
          <w:ilvl w:val="0"/>
          <w:numId w:val="17"/>
        </w:numPr>
        <w:tabs>
          <w:tab w:val="clear" w:pos="567"/>
          <w:tab w:val="clear" w:pos="1418"/>
          <w:tab w:val="left" w:pos="1134"/>
        </w:tabs>
        <w:jc w:val="left"/>
      </w:pPr>
      <w:r w:rsidRPr="00185943">
        <w:t xml:space="preserve">Project 11 - </w:t>
      </w:r>
      <w:r w:rsidRPr="00185943">
        <w:rPr>
          <w:i/>
        </w:rPr>
        <w:t>Field Study Centre (Design, Development Application and Business Case package).</w:t>
      </w:r>
      <w:r w:rsidRPr="00185943">
        <w:t xml:space="preserve"> ($45,000</w:t>
      </w:r>
      <w:r w:rsidR="00CF3160" w:rsidRPr="00185943">
        <w:t>, comprising $20,000</w:t>
      </w:r>
      <w:r w:rsidRPr="00185943">
        <w:t xml:space="preserve"> in 2016-17</w:t>
      </w:r>
      <w:r w:rsidR="00CF3160" w:rsidRPr="00185943">
        <w:t xml:space="preserve"> and $25,000 in 2017-18</w:t>
      </w:r>
      <w:r w:rsidRPr="00185943">
        <w:t>).</w:t>
      </w:r>
      <w:r w:rsidRPr="00002123">
        <w:t xml:space="preserve"> This project is for the design, DA approval and business case development for investment into a 50 person, dormitory style accommodation at Walgett. The proposal will be targeted toward educational groups which place high demand on the limited existing accommodation.</w:t>
      </w:r>
    </w:p>
    <w:p w14:paraId="2C2E2E28" w14:textId="0E6F5FB5" w:rsidR="00F11225" w:rsidRPr="00002123" w:rsidRDefault="00597789" w:rsidP="007A3F4D">
      <w:pPr>
        <w:pStyle w:val="Normalnumbered"/>
        <w:numPr>
          <w:ilvl w:val="0"/>
          <w:numId w:val="17"/>
        </w:numPr>
        <w:tabs>
          <w:tab w:val="clear" w:pos="567"/>
          <w:tab w:val="clear" w:pos="1418"/>
          <w:tab w:val="left" w:pos="1134"/>
        </w:tabs>
        <w:jc w:val="left"/>
      </w:pPr>
      <w:r w:rsidRPr="00185943">
        <w:lastRenderedPageBreak/>
        <w:t xml:space="preserve">Project 12 - </w:t>
      </w:r>
      <w:r w:rsidRPr="00185943">
        <w:rPr>
          <w:i/>
        </w:rPr>
        <w:t xml:space="preserve">Albert Park Baseball Complex – Stage 1 </w:t>
      </w:r>
      <w:r w:rsidRPr="00185943">
        <w:t>($1,000,000, comprised of $</w:t>
      </w:r>
      <w:r w:rsidR="00CF3160" w:rsidRPr="00185943">
        <w:t>1</w:t>
      </w:r>
      <w:r w:rsidRPr="00185943">
        <w:t>00,000 in 2016-17 and $</w:t>
      </w:r>
      <w:r w:rsidR="00CF3160" w:rsidRPr="00185943">
        <w:t>9</w:t>
      </w:r>
      <w:r w:rsidRPr="00185943">
        <w:t>00,000 in 2017-18). This project will upgrade the existing infrastructure and construct new infrastructure to develop a world-</w:t>
      </w:r>
      <w:r w:rsidRPr="00002123">
        <w:t>class baseball facility at Albert Park, Lismore. Baseball Australia has committed to five years of key national events, international team training camps and national team activities, providing over $9 million a year in economic return.</w:t>
      </w:r>
    </w:p>
    <w:p w14:paraId="2C2E2E29" w14:textId="37E1F18D" w:rsidR="00F11225" w:rsidRPr="00002123" w:rsidRDefault="00597789" w:rsidP="007A3F4D">
      <w:pPr>
        <w:pStyle w:val="Normalnumbered"/>
        <w:numPr>
          <w:ilvl w:val="0"/>
          <w:numId w:val="17"/>
        </w:numPr>
        <w:tabs>
          <w:tab w:val="clear" w:pos="567"/>
          <w:tab w:val="clear" w:pos="1418"/>
          <w:tab w:val="left" w:pos="1134"/>
        </w:tabs>
        <w:jc w:val="left"/>
      </w:pPr>
      <w:r w:rsidRPr="00185943">
        <w:t xml:space="preserve">Project 13 - </w:t>
      </w:r>
      <w:r w:rsidRPr="00185943">
        <w:rPr>
          <w:i/>
        </w:rPr>
        <w:t>Blast Furnace Cultural Heritage Masterplan Implementation</w:t>
      </w:r>
      <w:r w:rsidRPr="00185943">
        <w:t xml:space="preserve"> ($350,000, comprised of $</w:t>
      </w:r>
      <w:r w:rsidR="009A16CE" w:rsidRPr="00185943">
        <w:t>1</w:t>
      </w:r>
      <w:r w:rsidRPr="00185943">
        <w:t>30,000 in 2016-17 and $</w:t>
      </w:r>
      <w:r w:rsidR="009A16CE" w:rsidRPr="00185943">
        <w:t>2</w:t>
      </w:r>
      <w:r w:rsidRPr="00185943">
        <w:t>20,000 in 2017-18). This project will upgrade the furnace works to enable public use of the state heritage listed facility</w:t>
      </w:r>
      <w:r w:rsidRPr="00002123">
        <w:t>, and create a new exciting cultural and heritage experience in the Lithgow area. It will be linked with the other cultural and heritage facilities in the area, and it will create a performance space for events such as the established Iron Fest, Lithglo, film festivals, vintage car events, music festivals and art installations.</w:t>
      </w:r>
    </w:p>
    <w:p w14:paraId="2C2E2E2A" w14:textId="52D71336" w:rsidR="00F11225" w:rsidRPr="00002123" w:rsidRDefault="00597789" w:rsidP="007A3F4D">
      <w:pPr>
        <w:pStyle w:val="Normalnumbered"/>
        <w:numPr>
          <w:ilvl w:val="0"/>
          <w:numId w:val="17"/>
        </w:numPr>
        <w:tabs>
          <w:tab w:val="clear" w:pos="567"/>
          <w:tab w:val="clear" w:pos="1418"/>
          <w:tab w:val="left" w:pos="1134"/>
        </w:tabs>
        <w:jc w:val="left"/>
      </w:pPr>
      <w:r w:rsidRPr="00185943">
        <w:t xml:space="preserve">Project 14 - </w:t>
      </w:r>
      <w:r w:rsidRPr="00185943">
        <w:rPr>
          <w:i/>
        </w:rPr>
        <w:t>Enabling accessible tourism in regional NSW</w:t>
      </w:r>
      <w:r w:rsidRPr="00185943">
        <w:t xml:space="preserve"> ($140,000</w:t>
      </w:r>
      <w:r w:rsidR="009A16CE" w:rsidRPr="00185943">
        <w:t>, comprising $20,000</w:t>
      </w:r>
      <w:r w:rsidRPr="00185943">
        <w:t xml:space="preserve"> in 2016-17</w:t>
      </w:r>
      <w:r w:rsidR="009A16CE" w:rsidRPr="00185943">
        <w:t xml:space="preserve"> and $120,000 in 2017-18</w:t>
      </w:r>
      <w:r w:rsidRPr="00185943">
        <w:t>). This project will 1) establish a sustainable information database on accessible tourism in the</w:t>
      </w:r>
      <w:r w:rsidRPr="00002123">
        <w:t xml:space="preserve"> regional South Coast, Northern Rivers and Central West areas, 2) create a toolkit for small, medium and large businesses to self-assess their level of accessibility, and 3) develop informal and formal networks to share information regarding accessible tourism activities.</w:t>
      </w:r>
    </w:p>
    <w:p w14:paraId="2C2E2E2B" w14:textId="6A5DB767" w:rsidR="00F11225" w:rsidRPr="00002123" w:rsidRDefault="00597789" w:rsidP="007A3F4D">
      <w:pPr>
        <w:pStyle w:val="Normalnumbered"/>
        <w:numPr>
          <w:ilvl w:val="0"/>
          <w:numId w:val="17"/>
        </w:numPr>
        <w:tabs>
          <w:tab w:val="clear" w:pos="567"/>
          <w:tab w:val="clear" w:pos="1418"/>
          <w:tab w:val="left" w:pos="1134"/>
        </w:tabs>
        <w:jc w:val="left"/>
      </w:pPr>
      <w:r w:rsidRPr="00185943">
        <w:t xml:space="preserve">Project 15 - </w:t>
      </w:r>
      <w:r w:rsidRPr="00185943">
        <w:rPr>
          <w:i/>
        </w:rPr>
        <w:t xml:space="preserve">Great Lakes Great Walk and Aquatic Trails feasibility assessment and masterplan </w:t>
      </w:r>
      <w:r w:rsidRPr="00185943">
        <w:t>($100,000, comprised of $</w:t>
      </w:r>
      <w:r w:rsidR="008D38E6" w:rsidRPr="00185943">
        <w:t>15</w:t>
      </w:r>
      <w:r w:rsidRPr="00185943">
        <w:t>,000 in 2016-17 and $</w:t>
      </w:r>
      <w:r w:rsidR="008D38E6" w:rsidRPr="00185943">
        <w:t>85</w:t>
      </w:r>
      <w:r w:rsidRPr="00185943">
        <w:t>,000 in 2017-18). This project will deliver</w:t>
      </w:r>
      <w:r w:rsidRPr="00002123">
        <w:t xml:space="preserve"> a feasibility assessment and masterplan for a 100 km walking trail between Forster and Hawks Nest. The research will identify routes and track requirements, as well as opportunities for accommodation and high quality tourism products. If feasible, a prospectus will be developed to attract investment in tourism infrastructure or experiences.</w:t>
      </w:r>
    </w:p>
    <w:p w14:paraId="2C2E2E2C" w14:textId="5E8866E6" w:rsidR="00F11225" w:rsidRPr="00002123" w:rsidRDefault="00597789" w:rsidP="007A3F4D">
      <w:pPr>
        <w:pStyle w:val="Normalnumbered"/>
        <w:numPr>
          <w:ilvl w:val="0"/>
          <w:numId w:val="17"/>
        </w:numPr>
        <w:tabs>
          <w:tab w:val="clear" w:pos="567"/>
          <w:tab w:val="clear" w:pos="1418"/>
          <w:tab w:val="left" w:pos="1134"/>
        </w:tabs>
        <w:jc w:val="left"/>
      </w:pPr>
      <w:r w:rsidRPr="00185943">
        <w:t xml:space="preserve">Project 16 - </w:t>
      </w:r>
      <w:r w:rsidRPr="00185943">
        <w:rPr>
          <w:i/>
        </w:rPr>
        <w:t>Warm Up Winter – All Weather Enclosure</w:t>
      </w:r>
      <w:r w:rsidRPr="00185943">
        <w:t xml:space="preserve"> ($199,696, comprised of $1</w:t>
      </w:r>
      <w:r w:rsidR="008D38E6" w:rsidRPr="00185943">
        <w:t>0,000</w:t>
      </w:r>
      <w:r w:rsidRPr="00185943">
        <w:t xml:space="preserve"> in 2016-17 and $</w:t>
      </w:r>
      <w:r w:rsidR="008D38E6" w:rsidRPr="00185943">
        <w:t>189,696</w:t>
      </w:r>
      <w:r w:rsidRPr="00185943">
        <w:t xml:space="preserve"> in 2017-18). The project will construct all-weather facilities at the Moree Artesian Aquatic Centre, to maintain high year round visitation rates. The work</w:t>
      </w:r>
      <w:r w:rsidRPr="00002123">
        <w:t xml:space="preserve"> includes covered walkways around the existing pools, with a combination of fixed, louvered and roll down wall panels as protection to improve the visitor experience and increase visitation.</w:t>
      </w:r>
    </w:p>
    <w:p w14:paraId="2C2E2E2D" w14:textId="64199FBE" w:rsidR="00F11225" w:rsidRPr="00185943" w:rsidRDefault="00597789" w:rsidP="007A3F4D">
      <w:pPr>
        <w:pStyle w:val="Normalnumbered"/>
        <w:numPr>
          <w:ilvl w:val="0"/>
          <w:numId w:val="17"/>
        </w:numPr>
        <w:tabs>
          <w:tab w:val="clear" w:pos="567"/>
          <w:tab w:val="clear" w:pos="1418"/>
          <w:tab w:val="left" w:pos="1134"/>
        </w:tabs>
        <w:jc w:val="left"/>
      </w:pPr>
      <w:r w:rsidRPr="00185943">
        <w:t xml:space="preserve">Project 17 - </w:t>
      </w:r>
      <w:r w:rsidRPr="00185943">
        <w:rPr>
          <w:i/>
        </w:rPr>
        <w:t>Great Southern Nature Walk – Kamay Botany Bay and Malabar Headland</w:t>
      </w:r>
      <w:r w:rsidRPr="00185943">
        <w:t xml:space="preserve"> ($750,000, comprised of $</w:t>
      </w:r>
      <w:r w:rsidR="005F3CAC" w:rsidRPr="00185943">
        <w:t>1</w:t>
      </w:r>
      <w:r w:rsidRPr="00185943">
        <w:t>40,000 in 2016-17 and $</w:t>
      </w:r>
      <w:r w:rsidR="005F3CAC" w:rsidRPr="00185943">
        <w:t>610</w:t>
      </w:r>
      <w:r w:rsidRPr="00185943">
        <w:t>,000 in 2017-18). This project will construct two walking tracks which will become part of the Great Southern Nature Walk.</w:t>
      </w:r>
      <w:r w:rsidRPr="00002123">
        <w:t xml:space="preserve"> The walk is intended to become a first class walking experience between Sydney Harbour </w:t>
      </w:r>
      <w:r w:rsidRPr="00185943">
        <w:t>and Wollongong.</w:t>
      </w:r>
    </w:p>
    <w:p w14:paraId="2C2E2E2E" w14:textId="720DE6D7" w:rsidR="00F11225" w:rsidRPr="00002123" w:rsidRDefault="00597789" w:rsidP="007A3F4D">
      <w:pPr>
        <w:pStyle w:val="Normalnumbered"/>
        <w:numPr>
          <w:ilvl w:val="0"/>
          <w:numId w:val="17"/>
        </w:numPr>
        <w:tabs>
          <w:tab w:val="clear" w:pos="567"/>
          <w:tab w:val="clear" w:pos="1418"/>
          <w:tab w:val="left" w:pos="1134"/>
        </w:tabs>
        <w:jc w:val="left"/>
      </w:pPr>
      <w:r w:rsidRPr="00185943">
        <w:t xml:space="preserve">Project 18 - </w:t>
      </w:r>
      <w:r w:rsidRPr="00185943">
        <w:rPr>
          <w:i/>
        </w:rPr>
        <w:t>Birubi Point Aboriginal Place Tourism Interchange design and planning</w:t>
      </w:r>
      <w:r w:rsidRPr="00185943">
        <w:t xml:space="preserve"> ($150,000, comprised of $</w:t>
      </w:r>
      <w:r w:rsidR="005F3CAC" w:rsidRPr="00185943">
        <w:t>25</w:t>
      </w:r>
      <w:r w:rsidRPr="00185943">
        <w:t>,000 in 2016-17 and $</w:t>
      </w:r>
      <w:r w:rsidR="005F3CAC" w:rsidRPr="00185943">
        <w:t>125</w:t>
      </w:r>
      <w:r w:rsidRPr="00185943">
        <w:t>,000 in 2017-18). This project will see the design</w:t>
      </w:r>
      <w:r w:rsidRPr="00002123">
        <w:t xml:space="preserve"> and planning of infrastructure to manage independent and tour group visitors to the sand dunes at Port Stephens. Stage 2 will see the construction and installation of the new infrastructure, designed to create better and quicker access for independent visitors and tour groups. </w:t>
      </w:r>
    </w:p>
    <w:p w14:paraId="2C2E2E2F" w14:textId="57661FD6" w:rsidR="00F11225" w:rsidRPr="00002123" w:rsidRDefault="00597789" w:rsidP="007A3F4D">
      <w:pPr>
        <w:pStyle w:val="Normalnumbered"/>
        <w:numPr>
          <w:ilvl w:val="0"/>
          <w:numId w:val="17"/>
        </w:numPr>
        <w:tabs>
          <w:tab w:val="clear" w:pos="567"/>
          <w:tab w:val="clear" w:pos="1418"/>
          <w:tab w:val="left" w:pos="1134"/>
        </w:tabs>
        <w:jc w:val="left"/>
      </w:pPr>
      <w:r w:rsidRPr="00185943">
        <w:t xml:space="preserve">Project 19 - </w:t>
      </w:r>
      <w:r w:rsidRPr="00185943">
        <w:rPr>
          <w:i/>
        </w:rPr>
        <w:t>Development of Arts and Cultural Event Sector in Wollongong City</w:t>
      </w:r>
      <w:r w:rsidRPr="00185943">
        <w:t xml:space="preserve"> ($116,560</w:t>
      </w:r>
      <w:r w:rsidR="005F3CAC" w:rsidRPr="00185943">
        <w:t>, comprising $25,000</w:t>
      </w:r>
      <w:r w:rsidRPr="00185943">
        <w:t xml:space="preserve"> in 2016-17</w:t>
      </w:r>
      <w:r w:rsidR="005F3CAC" w:rsidRPr="00185943">
        <w:t xml:space="preserve"> and $91,560 in 2017-18</w:t>
      </w:r>
      <w:r w:rsidRPr="00185943">
        <w:t>). This project will develop a database</w:t>
      </w:r>
      <w:r w:rsidRPr="00002123">
        <w:t xml:space="preserve"> and a report following the pilot of a 10-day festival. The database and report will assist Wollongong City Council, Destination Wollongong and the Yours and Owls festival to develop the necessary organisational infrastructure to help attract, deliver and maintain high quality arts based tourism events throughout the year to the area.</w:t>
      </w:r>
    </w:p>
    <w:p w14:paraId="2C2E2E30" w14:textId="6D7EC3B8" w:rsidR="00F11225" w:rsidRPr="00002123" w:rsidRDefault="00597789" w:rsidP="007A3F4D">
      <w:pPr>
        <w:pStyle w:val="Normalnumbered"/>
        <w:numPr>
          <w:ilvl w:val="0"/>
          <w:numId w:val="17"/>
        </w:numPr>
        <w:tabs>
          <w:tab w:val="clear" w:pos="567"/>
          <w:tab w:val="clear" w:pos="1418"/>
          <w:tab w:val="left" w:pos="1134"/>
        </w:tabs>
        <w:jc w:val="left"/>
      </w:pPr>
      <w:r w:rsidRPr="00185943">
        <w:lastRenderedPageBreak/>
        <w:t xml:space="preserve">Project 20 - </w:t>
      </w:r>
      <w:r w:rsidRPr="00185943">
        <w:rPr>
          <w:i/>
        </w:rPr>
        <w:t>Seaplane Tourism Expansion – tourism facility at Moruya Airport and pontoon at Moruya Town</w:t>
      </w:r>
      <w:r w:rsidRPr="00185943">
        <w:t xml:space="preserve"> ($452,000, comprised of $85,000 in 2016-17 and $</w:t>
      </w:r>
      <w:r w:rsidR="00DF0497" w:rsidRPr="00185943">
        <w:t>3</w:t>
      </w:r>
      <w:r w:rsidRPr="00185943">
        <w:t>67,000 in 2017-18). This project will expand the seaplane operational facility with a new tourism reception area at the airport and install a pontoon near town for easier visitor access to local attractions.</w:t>
      </w:r>
    </w:p>
    <w:p w14:paraId="2C2E2E31" w14:textId="06FFF1A5" w:rsidR="00F11225" w:rsidRPr="00002123" w:rsidRDefault="00597789" w:rsidP="007A3F4D">
      <w:pPr>
        <w:pStyle w:val="Normalnumbered"/>
        <w:numPr>
          <w:ilvl w:val="0"/>
          <w:numId w:val="17"/>
        </w:numPr>
        <w:tabs>
          <w:tab w:val="clear" w:pos="567"/>
          <w:tab w:val="clear" w:pos="1418"/>
          <w:tab w:val="left" w:pos="1134"/>
        </w:tabs>
        <w:jc w:val="left"/>
      </w:pPr>
      <w:r w:rsidRPr="00185943">
        <w:t xml:space="preserve">Project 21 - </w:t>
      </w:r>
      <w:r w:rsidRPr="00185943">
        <w:rPr>
          <w:i/>
        </w:rPr>
        <w:t>Cook 2020 – events opportunities and capabilities assessment</w:t>
      </w:r>
      <w:r w:rsidRPr="00185943">
        <w:t xml:space="preserve"> ($36,500</w:t>
      </w:r>
      <w:r w:rsidR="00DF0497" w:rsidRPr="00185943">
        <w:t>, comprising $10,000</w:t>
      </w:r>
      <w:r w:rsidRPr="00185943">
        <w:t xml:space="preserve"> in 2016</w:t>
      </w:r>
      <w:r w:rsidRPr="00185943">
        <w:noBreakHyphen/>
        <w:t>17</w:t>
      </w:r>
      <w:r w:rsidR="00DF0497" w:rsidRPr="00185943">
        <w:t xml:space="preserve"> and $26,500 in 2017-18</w:t>
      </w:r>
      <w:r w:rsidRPr="00185943">
        <w:t>). This project will deliver an</w:t>
      </w:r>
      <w:r w:rsidRPr="00002123">
        <w:t xml:space="preserve"> opportunity and capability assessment report which identifies ten events for delivery in 2020 - the 250th anniversary of Captain Cook's landing in Botany Bay. The work is part of the Shire's destination management plan, and will leverage with other anniversary celebration events.</w:t>
      </w:r>
    </w:p>
    <w:p w14:paraId="2C2E2E32" w14:textId="37D658ED" w:rsidR="00F11225" w:rsidRPr="00002123" w:rsidRDefault="00597789" w:rsidP="007A3F4D">
      <w:pPr>
        <w:pStyle w:val="Normalnumbered"/>
        <w:numPr>
          <w:ilvl w:val="0"/>
          <w:numId w:val="17"/>
        </w:numPr>
        <w:tabs>
          <w:tab w:val="clear" w:pos="567"/>
          <w:tab w:val="clear" w:pos="1418"/>
          <w:tab w:val="left" w:pos="1134"/>
        </w:tabs>
        <w:jc w:val="left"/>
      </w:pPr>
      <w:r w:rsidRPr="00185943">
        <w:t xml:space="preserve">Project 22 - </w:t>
      </w:r>
      <w:r w:rsidRPr="00185943">
        <w:rPr>
          <w:i/>
        </w:rPr>
        <w:t>Electric Vehicle Touring Infrastructure</w:t>
      </w:r>
      <w:r w:rsidRPr="00185943">
        <w:t xml:space="preserve"> ($750,000, comprised of $</w:t>
      </w:r>
      <w:r w:rsidR="00DF0497" w:rsidRPr="00185943">
        <w:t>3</w:t>
      </w:r>
      <w:r w:rsidRPr="00185943">
        <w:t>24,000 in 2016</w:t>
      </w:r>
      <w:r w:rsidRPr="00185943">
        <w:noBreakHyphen/>
        <w:t>17 and $</w:t>
      </w:r>
      <w:r w:rsidR="00DF0497" w:rsidRPr="00185943">
        <w:t>4</w:t>
      </w:r>
      <w:r w:rsidRPr="00185943">
        <w:t>26,000 in 2017-18). The project will develop a comprehensive network of</w:t>
      </w:r>
      <w:r w:rsidRPr="00002123">
        <w:t xml:space="preserve"> electric vehicle charging infrastructure in regional NSW towns. Two types of chargers will support inter</w:t>
      </w:r>
      <w:r w:rsidRPr="00002123">
        <w:noBreakHyphen/>
        <w:t>region travel and overnight stays by people using electric vehicles. Installed in five NSW tourism regions, possibly Cooma, Nowra, Narooma, Lithgow and Parkes, making the network the most comprehensive in the country.</w:t>
      </w:r>
    </w:p>
    <w:p w14:paraId="2C2E2E33" w14:textId="443A39D3" w:rsidR="00F11225" w:rsidRPr="00002123" w:rsidRDefault="00597789" w:rsidP="007A3F4D">
      <w:pPr>
        <w:pStyle w:val="Normalnumbered"/>
        <w:numPr>
          <w:ilvl w:val="0"/>
          <w:numId w:val="17"/>
        </w:numPr>
        <w:tabs>
          <w:tab w:val="clear" w:pos="567"/>
          <w:tab w:val="clear" w:pos="1418"/>
          <w:tab w:val="left" w:pos="1134"/>
        </w:tabs>
        <w:jc w:val="left"/>
      </w:pPr>
      <w:r w:rsidRPr="00185943">
        <w:t xml:space="preserve">Project 23 - </w:t>
      </w:r>
      <w:r w:rsidRPr="00185943">
        <w:rPr>
          <w:i/>
        </w:rPr>
        <w:t>Digital Visitor Experience</w:t>
      </w:r>
      <w:r w:rsidRPr="00185943">
        <w:t xml:space="preserve"> ($160,000</w:t>
      </w:r>
      <w:r w:rsidR="00DF0497" w:rsidRPr="00185943">
        <w:t>, comprising $60,000</w:t>
      </w:r>
      <w:r w:rsidRPr="00185943">
        <w:t xml:space="preserve"> in 2016-17</w:t>
      </w:r>
      <w:r w:rsidR="00DF0497" w:rsidRPr="00185943">
        <w:t xml:space="preserve"> and $100,000 in 2017-18</w:t>
      </w:r>
      <w:r w:rsidRPr="00185943">
        <w:t>). This project will deliver an Android 'Hello Bondi' app, free public Wi-Fi, and a</w:t>
      </w:r>
      <w:r w:rsidRPr="00002123">
        <w:t xml:space="preserve"> creative lighting installation at Bondi Junction. The app will provide information about Bondi Junction's commercial hub, but will not include marketing, and will link into a website with interactive maps and features including recreational walking trails, public art, what's on and surf conditions. The creative lighting installation will add vibrancy through digital/visual art.</w:t>
      </w:r>
    </w:p>
    <w:p w14:paraId="2C2E2E34" w14:textId="0FED0756" w:rsidR="00F11225" w:rsidRPr="00002123" w:rsidRDefault="00597789" w:rsidP="007A3F4D">
      <w:pPr>
        <w:pStyle w:val="Normalnumbered"/>
        <w:numPr>
          <w:ilvl w:val="0"/>
          <w:numId w:val="17"/>
        </w:numPr>
        <w:tabs>
          <w:tab w:val="clear" w:pos="567"/>
          <w:tab w:val="clear" w:pos="1418"/>
          <w:tab w:val="left" w:pos="1134"/>
        </w:tabs>
        <w:jc w:val="left"/>
      </w:pPr>
      <w:r w:rsidRPr="00185943">
        <w:t xml:space="preserve">Project 24 - </w:t>
      </w:r>
      <w:r w:rsidRPr="00185943">
        <w:rPr>
          <w:i/>
        </w:rPr>
        <w:t>Mt Keira Summit Park - kiosk and visitor facilities, bike track scoping study</w:t>
      </w:r>
      <w:r w:rsidRPr="00185943">
        <w:t xml:space="preserve"> ($635,000</w:t>
      </w:r>
      <w:r w:rsidR="00DF0497" w:rsidRPr="00185943">
        <w:t>, comprising $335,000</w:t>
      </w:r>
      <w:r w:rsidRPr="00185943">
        <w:t xml:space="preserve"> in 2016-17</w:t>
      </w:r>
      <w:r w:rsidR="00DF0497" w:rsidRPr="00185943">
        <w:t xml:space="preserve"> and $300,000 in 2017-18</w:t>
      </w:r>
      <w:r w:rsidRPr="00185943">
        <w:t>). This project will 1) construct a kiosk/café and 2) deliver a feasibility study for a mountain bike</w:t>
      </w:r>
      <w:r w:rsidRPr="00002123">
        <w:t xml:space="preserve"> trail at Mt Keira Summit Park. These are steps in a staged approach to realise Mt Keira's tourism potential. Summit Park's prime location and unique views will help build Wollongong as an adventure destination with a world class mountain bike trail.</w:t>
      </w:r>
    </w:p>
    <w:p w14:paraId="2C2E2E35" w14:textId="77777777" w:rsidR="00831A8F" w:rsidRPr="00BE42CA" w:rsidRDefault="00597789" w:rsidP="00831A8F">
      <w:r w:rsidRPr="00BE42CA">
        <w:t xml:space="preserve">To deliver the outputs of this Agreement, the following projects will be delivered by New South Wales in 2015-16 and 2016-17: </w:t>
      </w:r>
    </w:p>
    <w:p w14:paraId="2C2E2E36" w14:textId="77777777" w:rsidR="00831A8F" w:rsidRPr="00BE42CA" w:rsidRDefault="00597789" w:rsidP="007A3F4D">
      <w:pPr>
        <w:pStyle w:val="Normalnumbered"/>
        <w:numPr>
          <w:ilvl w:val="0"/>
          <w:numId w:val="18"/>
        </w:numPr>
        <w:tabs>
          <w:tab w:val="clear" w:pos="567"/>
          <w:tab w:val="clear" w:pos="1418"/>
          <w:tab w:val="left" w:pos="1134"/>
        </w:tabs>
        <w:jc w:val="left"/>
      </w:pPr>
      <w:r w:rsidRPr="00BE42CA">
        <w:t xml:space="preserve">Project 1 – </w:t>
      </w:r>
      <w:r w:rsidRPr="00BE42CA">
        <w:rPr>
          <w:i/>
        </w:rPr>
        <w:t>Upgrade of the mooring bollards at the Port of Newcastle</w:t>
      </w:r>
      <w:r w:rsidRPr="00BE42CA">
        <w:t xml:space="preserve"> ($400,000, comprised of $300,000 in 2015-16 and $100,000 in 2016-17).This project is to upgrade the mooring bollards of the Newcastle cruise ship terminal. The upgrade will facilitate the berthing of the increasing number of larger cruise ships coming to Newcastle and the dispersion of visitors to the wider Hunter Region.</w:t>
      </w:r>
    </w:p>
    <w:p w14:paraId="2C2E2E37" w14:textId="77777777" w:rsidR="00831A8F" w:rsidRPr="00BE42CA" w:rsidRDefault="00597789" w:rsidP="007A3F4D">
      <w:pPr>
        <w:pStyle w:val="Normalnumbered"/>
        <w:numPr>
          <w:ilvl w:val="0"/>
          <w:numId w:val="18"/>
        </w:numPr>
        <w:tabs>
          <w:tab w:val="clear" w:pos="567"/>
          <w:tab w:val="clear" w:pos="1418"/>
          <w:tab w:val="left" w:pos="1134"/>
        </w:tabs>
        <w:jc w:val="left"/>
      </w:pPr>
      <w:r w:rsidRPr="00BE42CA">
        <w:t xml:space="preserve">Project 2 – </w:t>
      </w:r>
      <w:r w:rsidRPr="00BE42CA">
        <w:rPr>
          <w:i/>
        </w:rPr>
        <w:t xml:space="preserve">Mapping culture in regional NSW – Research Project </w:t>
      </w:r>
      <w:r w:rsidRPr="00BE42CA">
        <w:t>($60,000). Mapping culture is a research project to identify cultural infrastructure in key NSW regional centres. The research project aims to identify opportunities to support, harness and promote the cultural product available, and find development and investment opportunities.</w:t>
      </w:r>
    </w:p>
    <w:p w14:paraId="2C2E2E38" w14:textId="77777777" w:rsidR="00831A8F" w:rsidRPr="00BE42CA" w:rsidRDefault="00597789" w:rsidP="007A3F4D">
      <w:pPr>
        <w:pStyle w:val="Normalnumbered"/>
        <w:numPr>
          <w:ilvl w:val="0"/>
          <w:numId w:val="18"/>
        </w:numPr>
        <w:tabs>
          <w:tab w:val="clear" w:pos="567"/>
          <w:tab w:val="clear" w:pos="1418"/>
          <w:tab w:val="left" w:pos="1134"/>
        </w:tabs>
        <w:jc w:val="left"/>
      </w:pPr>
      <w:r w:rsidRPr="00BE42CA">
        <w:t xml:space="preserve">Project 3 – </w:t>
      </w:r>
      <w:r w:rsidRPr="00BE42CA">
        <w:rPr>
          <w:i/>
        </w:rPr>
        <w:t xml:space="preserve">The Development of a Sydney Culture Pass: User-side analysis and investigation of technology interfaces stage. </w:t>
      </w:r>
      <w:r w:rsidRPr="00BE42CA">
        <w:t xml:space="preserve">($20,000). The project will focus on user-side investigation and analysis of technology interfaces as part of the delivery of the 'Sydney Culture Pass'. The Pass will be a one-stop-shop digital platform that will provide information and facilitate access to art and cultural offerings in Sydney. </w:t>
      </w:r>
    </w:p>
    <w:p w14:paraId="2C2E2E39" w14:textId="77777777" w:rsidR="00831A8F" w:rsidRPr="00BE42CA" w:rsidRDefault="00934D41" w:rsidP="00831A8F">
      <w:pPr>
        <w:pStyle w:val="Normalnumbered"/>
        <w:tabs>
          <w:tab w:val="clear" w:pos="283"/>
          <w:tab w:val="left" w:pos="1134"/>
        </w:tabs>
        <w:ind w:left="1134" w:firstLine="0"/>
        <w:jc w:val="left"/>
        <w:rPr>
          <w:sz w:val="18"/>
          <w:szCs w:val="18"/>
        </w:rPr>
      </w:pPr>
    </w:p>
    <w:p w14:paraId="2C2E2E3A" w14:textId="77777777" w:rsidR="00831A8F" w:rsidRPr="00BE42CA" w:rsidRDefault="00597789" w:rsidP="00831A8F">
      <w:pPr>
        <w:pStyle w:val="Normalnumbered"/>
        <w:tabs>
          <w:tab w:val="clear" w:pos="283"/>
          <w:tab w:val="left" w:pos="567"/>
        </w:tabs>
        <w:jc w:val="left"/>
      </w:pPr>
      <w:r w:rsidRPr="00BE42CA">
        <w:lastRenderedPageBreak/>
        <w:t>A2.</w:t>
      </w:r>
      <w:r w:rsidRPr="00BE42CA">
        <w:tab/>
        <w:t xml:space="preserve">Table 1 summarises the milestones for </w:t>
      </w:r>
      <w:r w:rsidRPr="00BE42CA">
        <w:rPr>
          <w:color w:val="auto"/>
        </w:rPr>
        <w:t>agreed projects</w:t>
      </w:r>
      <w:r w:rsidRPr="00BE42CA">
        <w:t xml:space="preserve">, their relationship to the outputs, expected completion dates, relevant reporting dates and expected payments to be made.  The Commonwealth will make payments subject to the annual performance report demonstrating that relevant milestones have been met.    </w:t>
      </w:r>
    </w:p>
    <w:p w14:paraId="2C2E2E3B" w14:textId="77777777" w:rsidR="00831A8F" w:rsidRPr="00BE42CA" w:rsidRDefault="00597789" w:rsidP="00831A8F">
      <w:pPr>
        <w:pStyle w:val="Normalnumbered"/>
        <w:tabs>
          <w:tab w:val="clear" w:pos="283"/>
          <w:tab w:val="left" w:pos="567"/>
        </w:tabs>
        <w:jc w:val="left"/>
      </w:pPr>
      <w:r w:rsidRPr="00BE42CA">
        <w:t>A3.</w:t>
      </w:r>
      <w:r w:rsidRPr="00BE42CA">
        <w:tab/>
        <w:t>This Schedule will be varied from time to time to include additional projects up to the maximum estimated Commonwealth financial contribution, subject to the written agreement of Commonwealth and State portfolio ministers, in accordance with clause 22 of this Agreement.</w:t>
      </w:r>
    </w:p>
    <w:p w14:paraId="2C2E2E3C" w14:textId="77777777" w:rsidR="00831A8F" w:rsidRPr="00BE42CA" w:rsidRDefault="00597789" w:rsidP="00831A8F">
      <w:pPr>
        <w:pStyle w:val="Normalnumbered"/>
        <w:tabs>
          <w:tab w:val="clear" w:pos="283"/>
          <w:tab w:val="left" w:pos="567"/>
        </w:tabs>
        <w:jc w:val="left"/>
      </w:pPr>
      <w:r w:rsidRPr="00BE42CA">
        <w:t>A4.</w:t>
      </w:r>
      <w:r w:rsidRPr="00BE42CA">
        <w:tab/>
        <w:t xml:space="preserve">Where additional projects are agreed, Table 1 will be varied to include those projects and associated milestones and payments.  Milestone payments for additional projects will require demonstration, through provision of a progress report, that scheduled stages for those projects have been completed and that all previously agreed projects that were scheduled to be completed, have been completed within agreed timeframes.  Milestones for additional projects will be worded in accordance with this clause. </w:t>
      </w:r>
    </w:p>
    <w:p w14:paraId="2C2E2E3D" w14:textId="77777777" w:rsidR="00831A8F" w:rsidRPr="00BE42CA" w:rsidRDefault="00597789" w:rsidP="00831A8F">
      <w:pPr>
        <w:pStyle w:val="Normalnumbered"/>
        <w:tabs>
          <w:tab w:val="clear" w:pos="283"/>
          <w:tab w:val="left" w:pos="567"/>
        </w:tabs>
        <w:jc w:val="left"/>
      </w:pPr>
      <w:r w:rsidRPr="00BE42CA">
        <w:t>A5.</w:t>
      </w:r>
      <w:r w:rsidRPr="00BE42CA">
        <w:tab/>
        <w:t xml:space="preserve">If a milestone is met in advance of the due date, where the relevant performance report demonstrates the milestone has been met, the Commonwealth may make the associated payment earlier than scheduled provided it falls within the same financial year as the original milestone date. </w:t>
      </w:r>
    </w:p>
    <w:p w14:paraId="2C2E2E3E" w14:textId="77777777" w:rsidR="00831A8F" w:rsidRPr="00BE42CA" w:rsidRDefault="00597789" w:rsidP="00831A8F">
      <w:pPr>
        <w:pStyle w:val="Normalnumbered"/>
        <w:keepNext/>
        <w:tabs>
          <w:tab w:val="clear" w:pos="283"/>
        </w:tabs>
        <w:ind w:left="360" w:hanging="360"/>
        <w:rPr>
          <w:b/>
        </w:rPr>
      </w:pPr>
      <w:r w:rsidRPr="00BE42CA">
        <w:rPr>
          <w:b/>
        </w:rPr>
        <w:t>Table 1</w:t>
      </w:r>
      <w:r w:rsidRPr="00BE42CA">
        <w:t xml:space="preserve">: </w:t>
      </w:r>
      <w:r w:rsidRPr="00BE42CA">
        <w:rPr>
          <w:b/>
        </w:rPr>
        <w:t>Performance requirements, reporting and payment summary</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35"/>
        <w:gridCol w:w="3543"/>
        <w:gridCol w:w="1985"/>
        <w:gridCol w:w="1843"/>
      </w:tblGrid>
      <w:tr w:rsidR="008075AF" w14:paraId="2C2E2E43" w14:textId="77777777" w:rsidTr="00037F93">
        <w:trPr>
          <w:trHeight w:val="1171"/>
        </w:trPr>
        <w:tc>
          <w:tcPr>
            <w:tcW w:w="2235" w:type="dxa"/>
            <w:tcBorders>
              <w:bottom w:val="single" w:sz="18" w:space="0" w:color="4F81BD"/>
            </w:tcBorders>
            <w:shd w:val="clear" w:color="auto" w:fill="C6D9F1" w:themeFill="text2" w:themeFillTint="33"/>
          </w:tcPr>
          <w:p w14:paraId="2C2E2E3F" w14:textId="77777777" w:rsidR="00831A8F" w:rsidRPr="00BE42CA" w:rsidRDefault="00597789" w:rsidP="00E641A0">
            <w:pPr>
              <w:pStyle w:val="Heading2"/>
              <w:rPr>
                <w:bCs w:val="0"/>
                <w:sz w:val="24"/>
                <w:szCs w:val="24"/>
              </w:rPr>
            </w:pPr>
            <w:r w:rsidRPr="00BE42CA">
              <w:rPr>
                <w:bCs w:val="0"/>
                <w:sz w:val="24"/>
                <w:szCs w:val="24"/>
              </w:rPr>
              <w:t>Outputs</w:t>
            </w:r>
            <w:r w:rsidRPr="00BE42CA">
              <w:rPr>
                <w:bCs w:val="0"/>
                <w:sz w:val="24"/>
                <w:szCs w:val="24"/>
              </w:rPr>
              <w:br/>
            </w:r>
          </w:p>
        </w:tc>
        <w:tc>
          <w:tcPr>
            <w:tcW w:w="3543" w:type="dxa"/>
            <w:tcBorders>
              <w:bottom w:val="single" w:sz="18" w:space="0" w:color="4F81BD"/>
            </w:tcBorders>
            <w:shd w:val="clear" w:color="auto" w:fill="C6D9F1" w:themeFill="text2" w:themeFillTint="33"/>
          </w:tcPr>
          <w:p w14:paraId="2C2E2E40" w14:textId="77777777" w:rsidR="00831A8F" w:rsidRPr="00BE42CA" w:rsidRDefault="00597789" w:rsidP="00E641A0">
            <w:pPr>
              <w:pStyle w:val="Heading2"/>
              <w:rPr>
                <w:bCs w:val="0"/>
                <w:sz w:val="24"/>
                <w:szCs w:val="24"/>
              </w:rPr>
            </w:pPr>
            <w:r w:rsidRPr="00BE42CA">
              <w:rPr>
                <w:bCs w:val="0"/>
                <w:sz w:val="24"/>
                <w:szCs w:val="24"/>
              </w:rPr>
              <w:t>Milestones</w:t>
            </w:r>
          </w:p>
        </w:tc>
        <w:tc>
          <w:tcPr>
            <w:tcW w:w="1985" w:type="dxa"/>
            <w:tcBorders>
              <w:bottom w:val="single" w:sz="18" w:space="0" w:color="4F81BD"/>
            </w:tcBorders>
            <w:shd w:val="clear" w:color="auto" w:fill="C6D9F1" w:themeFill="text2" w:themeFillTint="33"/>
          </w:tcPr>
          <w:p w14:paraId="2C2E2E41" w14:textId="77777777" w:rsidR="00831A8F" w:rsidRPr="00BE42CA" w:rsidRDefault="00597789" w:rsidP="00E641A0">
            <w:pPr>
              <w:pStyle w:val="Heading2"/>
              <w:rPr>
                <w:sz w:val="18"/>
                <w:szCs w:val="18"/>
              </w:rPr>
            </w:pPr>
            <w:r w:rsidRPr="00BE42CA">
              <w:rPr>
                <w:bCs w:val="0"/>
                <w:sz w:val="24"/>
                <w:szCs w:val="24"/>
              </w:rPr>
              <w:t xml:space="preserve">Report due </w:t>
            </w:r>
          </w:p>
        </w:tc>
        <w:tc>
          <w:tcPr>
            <w:tcW w:w="1843" w:type="dxa"/>
            <w:tcBorders>
              <w:bottom w:val="single" w:sz="18" w:space="0" w:color="4F81BD"/>
            </w:tcBorders>
            <w:shd w:val="clear" w:color="auto" w:fill="C6D9F1" w:themeFill="text2" w:themeFillTint="33"/>
          </w:tcPr>
          <w:p w14:paraId="2C2E2E42" w14:textId="77777777" w:rsidR="00831A8F" w:rsidRPr="00BE42CA" w:rsidRDefault="00597789" w:rsidP="00E641A0">
            <w:pPr>
              <w:pStyle w:val="Heading2"/>
              <w:rPr>
                <w:bCs w:val="0"/>
                <w:sz w:val="24"/>
                <w:szCs w:val="24"/>
              </w:rPr>
            </w:pPr>
            <w:r w:rsidRPr="00BE42CA">
              <w:rPr>
                <w:bCs w:val="0"/>
                <w:sz w:val="24"/>
                <w:szCs w:val="24"/>
              </w:rPr>
              <w:t>Payment</w:t>
            </w:r>
          </w:p>
        </w:tc>
      </w:tr>
      <w:tr w:rsidR="00C776D6" w14:paraId="6F2F35CD" w14:textId="77777777" w:rsidTr="00037F93">
        <w:trPr>
          <w:trHeight w:val="1309"/>
        </w:trPr>
        <w:tc>
          <w:tcPr>
            <w:tcW w:w="2235" w:type="dxa"/>
            <w:vMerge w:val="restart"/>
            <w:tcBorders>
              <w:top w:val="single" w:sz="18" w:space="0" w:color="4F81BD"/>
            </w:tcBorders>
            <w:shd w:val="clear" w:color="auto" w:fill="auto"/>
          </w:tcPr>
          <w:p w14:paraId="03EACE93" w14:textId="77777777" w:rsidR="00C776D6" w:rsidRPr="00BE42CA" w:rsidRDefault="00C776D6" w:rsidP="00C776D6">
            <w:pPr>
              <w:pStyle w:val="Normalnumbered"/>
              <w:numPr>
                <w:ilvl w:val="0"/>
                <w:numId w:val="1"/>
              </w:numPr>
              <w:tabs>
                <w:tab w:val="clear" w:pos="567"/>
                <w:tab w:val="clear" w:pos="1134"/>
                <w:tab w:val="clear" w:pos="1418"/>
              </w:tabs>
              <w:ind w:left="0"/>
              <w:jc w:val="left"/>
            </w:pPr>
            <w:r w:rsidRPr="00BE42CA">
              <w:rPr>
                <w:b/>
              </w:rPr>
              <w:t>2017-18</w:t>
            </w:r>
          </w:p>
          <w:p w14:paraId="35B1951E" w14:textId="6203A1BC" w:rsidR="00C776D6" w:rsidRPr="00BE42CA" w:rsidRDefault="00C776D6" w:rsidP="00C776D6">
            <w:pPr>
              <w:pStyle w:val="Normalnumbered"/>
              <w:numPr>
                <w:ilvl w:val="0"/>
                <w:numId w:val="1"/>
              </w:numPr>
              <w:ind w:left="0"/>
              <w:jc w:val="left"/>
              <w:rPr>
                <w:b/>
              </w:rPr>
            </w:pPr>
            <w:r w:rsidRPr="00BE42CA">
              <w:t>Projects that deliver tourism demand-driver infrastructure and support Tourism 2020 outcomes.</w:t>
            </w:r>
          </w:p>
        </w:tc>
        <w:tc>
          <w:tcPr>
            <w:tcW w:w="3543" w:type="dxa"/>
            <w:tcBorders>
              <w:top w:val="single" w:sz="18" w:space="0" w:color="4F81BD"/>
              <w:bottom w:val="single" w:sz="18" w:space="0" w:color="4F81BD"/>
            </w:tcBorders>
            <w:shd w:val="clear" w:color="auto" w:fill="auto"/>
          </w:tcPr>
          <w:p w14:paraId="78B2802E" w14:textId="1DC1A1A2" w:rsidR="00C776D6" w:rsidRPr="00307912" w:rsidRDefault="00C776D6" w:rsidP="00C776D6">
            <w:pPr>
              <w:pStyle w:val="Normalnumbered"/>
              <w:tabs>
                <w:tab w:val="clear" w:pos="283"/>
                <w:tab w:val="clear" w:pos="567"/>
                <w:tab w:val="clear" w:pos="1134"/>
                <w:tab w:val="clear" w:pos="1418"/>
              </w:tabs>
              <w:ind w:left="0" w:firstLine="0"/>
              <w:jc w:val="left"/>
            </w:pPr>
            <w:r w:rsidRPr="00307912">
              <w:t>Demonstration, through provision of a progress report, that scheduled stages for each project have been completed for Projects 5, 6, 7, 12, 13, 14, 16, 20.</w:t>
            </w:r>
          </w:p>
        </w:tc>
        <w:tc>
          <w:tcPr>
            <w:tcW w:w="1985" w:type="dxa"/>
            <w:tcBorders>
              <w:top w:val="single" w:sz="18" w:space="0" w:color="4F81BD"/>
              <w:bottom w:val="single" w:sz="18" w:space="0" w:color="4F81BD"/>
            </w:tcBorders>
            <w:shd w:val="clear" w:color="auto" w:fill="auto"/>
          </w:tcPr>
          <w:p w14:paraId="72EC4E35" w14:textId="6204E0F8" w:rsidR="00C776D6" w:rsidRPr="00307912" w:rsidRDefault="00C776D6" w:rsidP="00C776D6">
            <w:pPr>
              <w:pStyle w:val="Normalnumbered"/>
              <w:tabs>
                <w:tab w:val="clear" w:pos="283"/>
                <w:tab w:val="clear" w:pos="567"/>
                <w:tab w:val="clear" w:pos="1134"/>
                <w:tab w:val="clear" w:pos="1418"/>
              </w:tabs>
              <w:ind w:left="33" w:firstLine="0"/>
              <w:jc w:val="left"/>
            </w:pPr>
            <w:r w:rsidRPr="00307912">
              <w:t>17 May 2018</w:t>
            </w:r>
          </w:p>
        </w:tc>
        <w:tc>
          <w:tcPr>
            <w:tcW w:w="1843" w:type="dxa"/>
            <w:tcBorders>
              <w:top w:val="single" w:sz="18" w:space="0" w:color="4F81BD"/>
              <w:bottom w:val="single" w:sz="18" w:space="0" w:color="4F81BD"/>
            </w:tcBorders>
            <w:shd w:val="clear" w:color="auto" w:fill="auto"/>
          </w:tcPr>
          <w:p w14:paraId="6E813DDD" w14:textId="6033730B" w:rsidR="00C776D6" w:rsidRPr="00BE42CA" w:rsidRDefault="00C776D6" w:rsidP="008F0840">
            <w:pPr>
              <w:pStyle w:val="Normalnumbered"/>
              <w:tabs>
                <w:tab w:val="clear" w:pos="283"/>
                <w:tab w:val="clear" w:pos="567"/>
                <w:tab w:val="clear" w:pos="1134"/>
                <w:tab w:val="clear" w:pos="1418"/>
              </w:tabs>
              <w:ind w:left="34" w:firstLine="0"/>
              <w:jc w:val="left"/>
            </w:pPr>
            <w:r>
              <w:t>$</w:t>
            </w:r>
            <w:r w:rsidR="00552FBD" w:rsidRPr="00552FBD">
              <w:t>1</w:t>
            </w:r>
            <w:r w:rsidR="00552FBD">
              <w:t>,</w:t>
            </w:r>
            <w:r w:rsidR="00552FBD" w:rsidRPr="00552FBD">
              <w:t>966</w:t>
            </w:r>
            <w:r w:rsidR="00552FBD">
              <w:t>,</w:t>
            </w:r>
            <w:r w:rsidR="00552FBD" w:rsidRPr="00552FBD">
              <w:t>750</w:t>
            </w:r>
          </w:p>
        </w:tc>
      </w:tr>
      <w:tr w:rsidR="00C776D6" w14:paraId="2C2E2E49" w14:textId="77777777" w:rsidTr="00037F93">
        <w:trPr>
          <w:trHeight w:val="1289"/>
        </w:trPr>
        <w:tc>
          <w:tcPr>
            <w:tcW w:w="2235" w:type="dxa"/>
            <w:vMerge/>
            <w:shd w:val="clear" w:color="auto" w:fill="auto"/>
          </w:tcPr>
          <w:p w14:paraId="2C2E2E45" w14:textId="12C3FDC3" w:rsidR="00C776D6" w:rsidRPr="00BE42CA" w:rsidRDefault="00C776D6" w:rsidP="00C776D6">
            <w:pPr>
              <w:pStyle w:val="Normalnumbered"/>
              <w:numPr>
                <w:ilvl w:val="0"/>
                <w:numId w:val="1"/>
              </w:numPr>
              <w:tabs>
                <w:tab w:val="clear" w:pos="567"/>
                <w:tab w:val="clear" w:pos="1134"/>
                <w:tab w:val="clear" w:pos="1418"/>
              </w:tabs>
              <w:ind w:left="0"/>
              <w:jc w:val="left"/>
            </w:pPr>
          </w:p>
        </w:tc>
        <w:tc>
          <w:tcPr>
            <w:tcW w:w="3543" w:type="dxa"/>
            <w:tcBorders>
              <w:top w:val="single" w:sz="18" w:space="0" w:color="4F81BD"/>
              <w:bottom w:val="single" w:sz="18" w:space="0" w:color="4F81BD"/>
            </w:tcBorders>
            <w:shd w:val="clear" w:color="auto" w:fill="auto"/>
          </w:tcPr>
          <w:p w14:paraId="2C2E2E46" w14:textId="5066F4B4" w:rsidR="00C776D6" w:rsidRPr="00307912" w:rsidRDefault="00C776D6" w:rsidP="00037F93">
            <w:pPr>
              <w:pStyle w:val="Normalnumbered"/>
              <w:tabs>
                <w:tab w:val="clear" w:pos="283"/>
                <w:tab w:val="clear" w:pos="567"/>
                <w:tab w:val="clear" w:pos="1134"/>
                <w:tab w:val="clear" w:pos="1418"/>
              </w:tabs>
              <w:ind w:left="0" w:firstLine="0"/>
              <w:jc w:val="left"/>
            </w:pPr>
            <w:r w:rsidRPr="00307912">
              <w:t>Demonstration, through provision of a progress report, that scheduled stages for each project have been completed for Projects 4</w:t>
            </w:r>
            <w:r w:rsidR="00037F93">
              <w:t>, 5,</w:t>
            </w:r>
            <w:r w:rsidRPr="00307912">
              <w:t xml:space="preserve"> 6, </w:t>
            </w:r>
            <w:r w:rsidR="00C77BA4">
              <w:t>10</w:t>
            </w:r>
            <w:r w:rsidR="00037F93">
              <w:t>, 11,</w:t>
            </w:r>
            <w:r w:rsidRPr="00307912">
              <w:t xml:space="preserve"> 12 </w:t>
            </w:r>
            <w:r w:rsidR="00037F93">
              <w:t>&amp;</w:t>
            </w:r>
            <w:r w:rsidRPr="00307912">
              <w:t xml:space="preserve"> 14 to 24.</w:t>
            </w:r>
          </w:p>
        </w:tc>
        <w:tc>
          <w:tcPr>
            <w:tcW w:w="1985" w:type="dxa"/>
            <w:tcBorders>
              <w:top w:val="single" w:sz="18" w:space="0" w:color="4F81BD"/>
              <w:bottom w:val="single" w:sz="18" w:space="0" w:color="4F81BD"/>
            </w:tcBorders>
            <w:shd w:val="clear" w:color="auto" w:fill="auto"/>
          </w:tcPr>
          <w:p w14:paraId="2C2E2E47" w14:textId="77777777" w:rsidR="00C776D6" w:rsidRPr="00307912" w:rsidRDefault="00C776D6" w:rsidP="00C776D6">
            <w:pPr>
              <w:pStyle w:val="Normalnumbered"/>
              <w:tabs>
                <w:tab w:val="clear" w:pos="283"/>
                <w:tab w:val="clear" w:pos="567"/>
                <w:tab w:val="clear" w:pos="1134"/>
                <w:tab w:val="clear" w:pos="1418"/>
              </w:tabs>
              <w:ind w:left="33" w:firstLine="0"/>
              <w:jc w:val="left"/>
            </w:pPr>
            <w:r w:rsidRPr="00307912">
              <w:t>17 October 2017</w:t>
            </w:r>
          </w:p>
        </w:tc>
        <w:tc>
          <w:tcPr>
            <w:tcW w:w="1843" w:type="dxa"/>
            <w:tcBorders>
              <w:top w:val="single" w:sz="18" w:space="0" w:color="4F81BD"/>
              <w:bottom w:val="single" w:sz="18" w:space="0" w:color="4F81BD"/>
            </w:tcBorders>
            <w:shd w:val="clear" w:color="auto" w:fill="auto"/>
          </w:tcPr>
          <w:p w14:paraId="2C2E2E48" w14:textId="509F7FC0" w:rsidR="00C776D6" w:rsidRPr="00552FBD" w:rsidRDefault="00C77BA4" w:rsidP="00C776D6">
            <w:pPr>
              <w:pStyle w:val="Normalnumbered"/>
              <w:tabs>
                <w:tab w:val="clear" w:pos="283"/>
                <w:tab w:val="clear" w:pos="567"/>
                <w:tab w:val="clear" w:pos="1134"/>
                <w:tab w:val="clear" w:pos="1418"/>
              </w:tabs>
              <w:ind w:left="34" w:firstLine="0"/>
              <w:jc w:val="left"/>
            </w:pPr>
            <w:r w:rsidRPr="00552FBD">
              <w:t>$</w:t>
            </w:r>
            <w:r w:rsidR="00552FBD" w:rsidRPr="00552FBD">
              <w:t>2</w:t>
            </w:r>
            <w:r w:rsidR="00552FBD">
              <w:t>,</w:t>
            </w:r>
            <w:r w:rsidR="00552FBD" w:rsidRPr="00552FBD">
              <w:t>229</w:t>
            </w:r>
            <w:r w:rsidR="00552FBD">
              <w:t>,</w:t>
            </w:r>
            <w:r w:rsidR="00552FBD" w:rsidRPr="00552FBD">
              <w:t>061</w:t>
            </w:r>
          </w:p>
        </w:tc>
      </w:tr>
      <w:tr w:rsidR="00767B3B" w14:paraId="2C2E2E4F" w14:textId="77777777" w:rsidTr="00037F93">
        <w:trPr>
          <w:trHeight w:val="1854"/>
        </w:trPr>
        <w:tc>
          <w:tcPr>
            <w:tcW w:w="2235" w:type="dxa"/>
            <w:tcBorders>
              <w:top w:val="single" w:sz="18" w:space="0" w:color="4F81BD"/>
            </w:tcBorders>
            <w:shd w:val="clear" w:color="auto" w:fill="auto"/>
          </w:tcPr>
          <w:p w14:paraId="2C2E2E4A" w14:textId="77777777" w:rsidR="00767B3B" w:rsidRPr="00BE42CA" w:rsidRDefault="00767B3B" w:rsidP="00002123">
            <w:pPr>
              <w:pStyle w:val="Normalnumbered"/>
              <w:numPr>
                <w:ilvl w:val="0"/>
                <w:numId w:val="1"/>
              </w:numPr>
              <w:tabs>
                <w:tab w:val="clear" w:pos="567"/>
                <w:tab w:val="clear" w:pos="1134"/>
                <w:tab w:val="clear" w:pos="1418"/>
              </w:tabs>
              <w:ind w:left="0"/>
              <w:jc w:val="left"/>
              <w:rPr>
                <w:b/>
              </w:rPr>
            </w:pPr>
            <w:r w:rsidRPr="00BE42CA">
              <w:rPr>
                <w:b/>
              </w:rPr>
              <w:t>2016-17</w:t>
            </w:r>
            <w:r w:rsidRPr="00BE42CA">
              <w:t xml:space="preserve"> </w:t>
            </w:r>
          </w:p>
          <w:p w14:paraId="2C2E2E4B" w14:textId="77777777" w:rsidR="00767B3B" w:rsidRPr="00BE42CA" w:rsidRDefault="00767B3B" w:rsidP="00002123">
            <w:pPr>
              <w:pStyle w:val="Normalnumbered"/>
              <w:numPr>
                <w:ilvl w:val="0"/>
                <w:numId w:val="1"/>
              </w:numPr>
              <w:tabs>
                <w:tab w:val="clear" w:pos="567"/>
                <w:tab w:val="clear" w:pos="1134"/>
                <w:tab w:val="clear" w:pos="1418"/>
              </w:tabs>
              <w:ind w:left="0"/>
              <w:jc w:val="left"/>
              <w:rPr>
                <w:b/>
              </w:rPr>
            </w:pPr>
            <w:r w:rsidRPr="00BE42CA">
              <w:t>Projects that deliver tourism demand-driver infrastructure and support Tourism 2020 outcomes.</w:t>
            </w:r>
          </w:p>
        </w:tc>
        <w:tc>
          <w:tcPr>
            <w:tcW w:w="3543" w:type="dxa"/>
            <w:tcBorders>
              <w:top w:val="single" w:sz="18" w:space="0" w:color="4F81BD"/>
            </w:tcBorders>
            <w:shd w:val="clear" w:color="auto" w:fill="auto"/>
          </w:tcPr>
          <w:p w14:paraId="2C2E2E4C" w14:textId="5DBE0743" w:rsidR="00767B3B" w:rsidRPr="00BE42CA" w:rsidRDefault="00767B3B" w:rsidP="00767B3B">
            <w:pPr>
              <w:pStyle w:val="Normalnumbered"/>
              <w:tabs>
                <w:tab w:val="clear" w:pos="283"/>
                <w:tab w:val="clear" w:pos="567"/>
                <w:tab w:val="clear" w:pos="1134"/>
                <w:tab w:val="clear" w:pos="1418"/>
              </w:tabs>
              <w:ind w:left="0" w:firstLine="0"/>
              <w:jc w:val="left"/>
            </w:pPr>
            <w:r w:rsidRPr="00BE42CA">
              <w:t xml:space="preserve">Demonstration, through provision of a progress report, that scheduled stages for each project have been completed for Projects </w:t>
            </w:r>
            <w:r>
              <w:t xml:space="preserve">1 and </w:t>
            </w:r>
            <w:r w:rsidRPr="00BE42CA">
              <w:t>4 to 24.</w:t>
            </w:r>
            <w:r w:rsidRPr="00BE42CA">
              <w:rPr>
                <w:sz w:val="20"/>
              </w:rPr>
              <w:t xml:space="preserve"> </w:t>
            </w:r>
          </w:p>
        </w:tc>
        <w:tc>
          <w:tcPr>
            <w:tcW w:w="1985" w:type="dxa"/>
            <w:tcBorders>
              <w:top w:val="single" w:sz="18" w:space="0" w:color="4F81BD"/>
            </w:tcBorders>
            <w:shd w:val="clear" w:color="auto" w:fill="auto"/>
          </w:tcPr>
          <w:p w14:paraId="2C2E2E4D" w14:textId="77777777" w:rsidR="00767B3B" w:rsidRPr="00552FBD" w:rsidRDefault="00767B3B" w:rsidP="00002123">
            <w:pPr>
              <w:pStyle w:val="Normalnumbered"/>
              <w:tabs>
                <w:tab w:val="clear" w:pos="283"/>
                <w:tab w:val="clear" w:pos="567"/>
                <w:tab w:val="clear" w:pos="1134"/>
                <w:tab w:val="clear" w:pos="1418"/>
              </w:tabs>
              <w:ind w:left="33" w:firstLine="0"/>
              <w:jc w:val="left"/>
            </w:pPr>
            <w:r w:rsidRPr="00552FBD">
              <w:t>17 May 2017</w:t>
            </w:r>
          </w:p>
        </w:tc>
        <w:tc>
          <w:tcPr>
            <w:tcW w:w="1843" w:type="dxa"/>
            <w:tcBorders>
              <w:top w:val="single" w:sz="18" w:space="0" w:color="4F81BD"/>
            </w:tcBorders>
            <w:shd w:val="clear" w:color="auto" w:fill="auto"/>
          </w:tcPr>
          <w:p w14:paraId="2C2E2E4E" w14:textId="27C76380" w:rsidR="00767B3B" w:rsidRPr="00552FBD" w:rsidRDefault="00767B3B" w:rsidP="00002123">
            <w:pPr>
              <w:pStyle w:val="Normalnumbered"/>
              <w:tabs>
                <w:tab w:val="clear" w:pos="283"/>
                <w:tab w:val="clear" w:pos="567"/>
                <w:tab w:val="clear" w:pos="1134"/>
                <w:tab w:val="clear" w:pos="1418"/>
              </w:tabs>
              <w:ind w:left="34" w:firstLine="0"/>
              <w:jc w:val="left"/>
            </w:pPr>
            <w:r w:rsidRPr="00552FBD">
              <w:t>$</w:t>
            </w:r>
            <w:r w:rsidR="00C77BA4" w:rsidRPr="00552FBD">
              <w:t>1,791,294</w:t>
            </w:r>
          </w:p>
        </w:tc>
      </w:tr>
      <w:tr w:rsidR="008075AF" w14:paraId="2C2E2E5A" w14:textId="77777777" w:rsidTr="00037F93">
        <w:trPr>
          <w:trHeight w:val="1675"/>
        </w:trPr>
        <w:tc>
          <w:tcPr>
            <w:tcW w:w="2235" w:type="dxa"/>
            <w:tcBorders>
              <w:top w:val="single" w:sz="18" w:space="0" w:color="4F81BD"/>
            </w:tcBorders>
            <w:shd w:val="clear" w:color="auto" w:fill="auto"/>
          </w:tcPr>
          <w:p w14:paraId="2C2E2E55" w14:textId="77777777" w:rsidR="000E2D94" w:rsidRPr="00BE42CA" w:rsidRDefault="00597789" w:rsidP="00B2008D">
            <w:pPr>
              <w:pStyle w:val="Normalnumbered"/>
              <w:numPr>
                <w:ilvl w:val="0"/>
                <w:numId w:val="1"/>
              </w:numPr>
              <w:tabs>
                <w:tab w:val="clear" w:pos="567"/>
                <w:tab w:val="clear" w:pos="1134"/>
                <w:tab w:val="clear" w:pos="1418"/>
              </w:tabs>
              <w:ind w:left="0"/>
              <w:jc w:val="left"/>
              <w:rPr>
                <w:b/>
              </w:rPr>
            </w:pPr>
            <w:r w:rsidRPr="00BE42CA">
              <w:rPr>
                <w:b/>
              </w:rPr>
              <w:t>2015-16</w:t>
            </w:r>
          </w:p>
          <w:p w14:paraId="2C2E2E56" w14:textId="77777777" w:rsidR="00B2008D" w:rsidRPr="00BE42CA" w:rsidRDefault="00597789" w:rsidP="00B2008D">
            <w:pPr>
              <w:pStyle w:val="Normalnumbered"/>
              <w:numPr>
                <w:ilvl w:val="0"/>
                <w:numId w:val="1"/>
              </w:numPr>
              <w:tabs>
                <w:tab w:val="clear" w:pos="567"/>
                <w:tab w:val="clear" w:pos="1134"/>
                <w:tab w:val="clear" w:pos="1418"/>
              </w:tabs>
              <w:ind w:left="0"/>
              <w:jc w:val="left"/>
              <w:rPr>
                <w:b/>
              </w:rPr>
            </w:pPr>
            <w:r w:rsidRPr="00BE42CA">
              <w:t xml:space="preserve"> Projects that deliver tourism demand-driver infrastructure and support Tourism 2020 outcomes.</w:t>
            </w:r>
          </w:p>
        </w:tc>
        <w:tc>
          <w:tcPr>
            <w:tcW w:w="3543" w:type="dxa"/>
            <w:tcBorders>
              <w:top w:val="single" w:sz="18" w:space="0" w:color="4F81BD"/>
            </w:tcBorders>
            <w:shd w:val="clear" w:color="auto" w:fill="auto"/>
          </w:tcPr>
          <w:p w14:paraId="2C2E2E57" w14:textId="77777777" w:rsidR="00B2008D" w:rsidRPr="00BE42CA" w:rsidRDefault="00597789" w:rsidP="00B2008D">
            <w:pPr>
              <w:pStyle w:val="Normalnumbered"/>
              <w:tabs>
                <w:tab w:val="clear" w:pos="283"/>
                <w:tab w:val="clear" w:pos="567"/>
                <w:tab w:val="clear" w:pos="1134"/>
                <w:tab w:val="clear" w:pos="1418"/>
              </w:tabs>
              <w:ind w:left="0" w:firstLine="0"/>
              <w:jc w:val="left"/>
            </w:pPr>
            <w:r w:rsidRPr="00BE42CA">
              <w:t>Demonstration, through provision of a progress report, that scheduled stages for each project have been completed for Projects 1 to 3.</w:t>
            </w:r>
            <w:r w:rsidRPr="00BE42CA">
              <w:rPr>
                <w:sz w:val="20"/>
              </w:rPr>
              <w:t xml:space="preserve"> </w:t>
            </w:r>
          </w:p>
        </w:tc>
        <w:tc>
          <w:tcPr>
            <w:tcW w:w="1985" w:type="dxa"/>
            <w:tcBorders>
              <w:top w:val="single" w:sz="18" w:space="0" w:color="4F81BD"/>
            </w:tcBorders>
            <w:shd w:val="clear" w:color="auto" w:fill="auto"/>
          </w:tcPr>
          <w:p w14:paraId="2C2E2E58" w14:textId="77777777" w:rsidR="00B2008D" w:rsidRPr="00BE42CA" w:rsidRDefault="00597789" w:rsidP="00B2008D">
            <w:pPr>
              <w:pStyle w:val="Normalnumbered"/>
              <w:tabs>
                <w:tab w:val="clear" w:pos="283"/>
                <w:tab w:val="clear" w:pos="567"/>
                <w:tab w:val="clear" w:pos="1134"/>
                <w:tab w:val="clear" w:pos="1418"/>
              </w:tabs>
              <w:ind w:left="33" w:firstLine="0"/>
              <w:jc w:val="left"/>
            </w:pPr>
            <w:r w:rsidRPr="00BE42CA">
              <w:t>18 May 2016</w:t>
            </w:r>
          </w:p>
        </w:tc>
        <w:tc>
          <w:tcPr>
            <w:tcW w:w="1843" w:type="dxa"/>
            <w:tcBorders>
              <w:top w:val="single" w:sz="18" w:space="0" w:color="4F81BD"/>
            </w:tcBorders>
            <w:shd w:val="clear" w:color="auto" w:fill="auto"/>
          </w:tcPr>
          <w:p w14:paraId="2C2E2E59" w14:textId="77777777" w:rsidR="00B2008D" w:rsidRPr="00BE42CA" w:rsidRDefault="00597789" w:rsidP="00B2008D">
            <w:pPr>
              <w:pStyle w:val="Normalnumbered"/>
              <w:tabs>
                <w:tab w:val="clear" w:pos="283"/>
                <w:tab w:val="clear" w:pos="567"/>
                <w:tab w:val="clear" w:pos="1134"/>
                <w:tab w:val="clear" w:pos="1418"/>
              </w:tabs>
              <w:ind w:left="34" w:firstLine="0"/>
              <w:jc w:val="left"/>
            </w:pPr>
            <w:r w:rsidRPr="00BE42CA">
              <w:t>$380,000</w:t>
            </w:r>
          </w:p>
        </w:tc>
      </w:tr>
    </w:tbl>
    <w:p w14:paraId="0C80DF83" w14:textId="6BDF2FC3" w:rsidR="00CA2DE7" w:rsidRDefault="00CA2DE7">
      <w:pPr>
        <w:spacing w:after="0" w:line="240" w:lineRule="auto"/>
        <w:jc w:val="left"/>
        <w:rPr>
          <w:b/>
          <w:sz w:val="29"/>
          <w:szCs w:val="29"/>
        </w:rPr>
      </w:pPr>
    </w:p>
    <w:p w14:paraId="470B61E2" w14:textId="77777777" w:rsidR="00CA2DE7" w:rsidRDefault="00CA2DE7" w:rsidP="00F5754B">
      <w:pPr>
        <w:pStyle w:val="Normalnumbered"/>
        <w:keepNext/>
        <w:tabs>
          <w:tab w:val="clear" w:pos="283"/>
        </w:tabs>
        <w:spacing w:after="220" w:line="240" w:lineRule="auto"/>
        <w:ind w:left="357" w:hanging="357"/>
        <w:rPr>
          <w:b/>
          <w:sz w:val="29"/>
          <w:szCs w:val="29"/>
        </w:rPr>
      </w:pPr>
    </w:p>
    <w:p w14:paraId="1AB6E4E9" w14:textId="77777777" w:rsidR="00CA2DE7" w:rsidRDefault="00CA2DE7" w:rsidP="00F5754B">
      <w:pPr>
        <w:pStyle w:val="Normalnumbered"/>
        <w:keepNext/>
        <w:tabs>
          <w:tab w:val="clear" w:pos="283"/>
        </w:tabs>
        <w:spacing w:after="220" w:line="240" w:lineRule="auto"/>
        <w:ind w:left="357" w:hanging="357"/>
        <w:rPr>
          <w:b/>
          <w:sz w:val="29"/>
          <w:szCs w:val="29"/>
        </w:rPr>
      </w:pPr>
    </w:p>
    <w:p w14:paraId="2C2E2E5D" w14:textId="208AEBB2" w:rsidR="00F5754B" w:rsidRPr="00BE42CA" w:rsidRDefault="00597789" w:rsidP="00F5754B">
      <w:pPr>
        <w:pStyle w:val="Normalnumbered"/>
        <w:keepNext/>
        <w:tabs>
          <w:tab w:val="clear" w:pos="283"/>
        </w:tabs>
        <w:spacing w:after="220" w:line="240" w:lineRule="auto"/>
        <w:ind w:left="357" w:hanging="357"/>
        <w:rPr>
          <w:b/>
          <w:sz w:val="29"/>
          <w:szCs w:val="29"/>
        </w:rPr>
      </w:pPr>
      <w:r w:rsidRPr="00BE42CA">
        <w:rPr>
          <w:b/>
          <w:sz w:val="29"/>
          <w:szCs w:val="29"/>
        </w:rPr>
        <w:t>Sign off</w:t>
      </w:r>
    </w:p>
    <w:p w14:paraId="2C2E2E5E" w14:textId="77777777" w:rsidR="00F5754B" w:rsidRPr="00BE42CA" w:rsidRDefault="00597789" w:rsidP="00F5754B">
      <w:pPr>
        <w:rPr>
          <w:rFonts w:cs="Calibri"/>
          <w:szCs w:val="23"/>
          <w:lang w:val="en-GB"/>
        </w:rPr>
      </w:pPr>
      <w:r w:rsidRPr="00BE42CA">
        <w:rPr>
          <w:rFonts w:cs="Calibri"/>
          <w:szCs w:val="23"/>
          <w:lang w:val="en-GB"/>
        </w:rPr>
        <w:t>The Parties have confirmed their commitment to this Schedule as follows:</w:t>
      </w:r>
    </w:p>
    <w:p w14:paraId="2C2E2E5F" w14:textId="77777777" w:rsidR="00F5754B" w:rsidRPr="00BE42CA" w:rsidRDefault="00597789" w:rsidP="00F5754B">
      <w:pPr>
        <w:rPr>
          <w:rFonts w:cs="Calibri"/>
          <w:szCs w:val="23"/>
          <w:lang w:val="en-GB"/>
        </w:rPr>
      </w:pPr>
      <w:r w:rsidRPr="00BE42CA">
        <w:rPr>
          <w:rFonts w:cs="Calibri"/>
          <w:b/>
          <w:szCs w:val="23"/>
          <w:lang w:val="en-GB"/>
        </w:rPr>
        <w:t xml:space="preserve">Signed </w:t>
      </w:r>
      <w:r w:rsidRPr="00BE42CA">
        <w:rPr>
          <w:rFonts w:cs="Calibri"/>
          <w:i/>
          <w:szCs w:val="23"/>
          <w:lang w:val="en-GB"/>
        </w:rPr>
        <w:t>for and on behalf of the Commonwealth of Australia by</w:t>
      </w:r>
    </w:p>
    <w:p w14:paraId="2C2E2E60" w14:textId="77777777" w:rsidR="00F5754B" w:rsidRPr="00BE42CA" w:rsidRDefault="00934D41" w:rsidP="00F5754B">
      <w:pPr>
        <w:rPr>
          <w:rFonts w:cs="Calibri"/>
          <w:szCs w:val="23"/>
          <w:lang w:val="en-GB"/>
        </w:rPr>
      </w:pPr>
    </w:p>
    <w:p w14:paraId="2C2E2E61" w14:textId="77777777" w:rsidR="00F5754B" w:rsidRPr="00BE42CA" w:rsidRDefault="00934D41" w:rsidP="00F5754B">
      <w:pPr>
        <w:rPr>
          <w:rFonts w:cs="Calibri"/>
          <w:szCs w:val="23"/>
          <w:lang w:val="en-GB"/>
        </w:rPr>
      </w:pPr>
    </w:p>
    <w:p w14:paraId="2C2E2E62" w14:textId="77777777" w:rsidR="00F5754B" w:rsidRPr="00BE42CA" w:rsidRDefault="00934D41" w:rsidP="00F5754B">
      <w:pPr>
        <w:rPr>
          <w:rFonts w:cs="Calibri"/>
          <w:szCs w:val="23"/>
          <w:lang w:val="en-GB"/>
        </w:rPr>
      </w:pPr>
    </w:p>
    <w:p w14:paraId="2C2E2E63" w14:textId="77777777" w:rsidR="00F5754B" w:rsidRPr="00BE42CA" w:rsidRDefault="00597789" w:rsidP="00F5754B">
      <w:pPr>
        <w:rPr>
          <w:rFonts w:cs="Calibri"/>
          <w:szCs w:val="23"/>
          <w:lang w:val="en-GB"/>
        </w:rPr>
      </w:pPr>
      <w:r w:rsidRPr="00BE42CA">
        <w:rPr>
          <w:rFonts w:cs="Calibri"/>
          <w:szCs w:val="23"/>
          <w:lang w:val="en-GB"/>
        </w:rPr>
        <w:t>__________________________________________</w:t>
      </w:r>
    </w:p>
    <w:p w14:paraId="2C2E2E64" w14:textId="77777777" w:rsidR="00994D40" w:rsidRPr="00BE42CA" w:rsidRDefault="00597789" w:rsidP="00994D40">
      <w:pPr>
        <w:rPr>
          <w:rFonts w:cs="Calibri"/>
          <w:b/>
          <w:szCs w:val="23"/>
          <w:lang w:val="en-GB"/>
        </w:rPr>
      </w:pPr>
      <w:r w:rsidRPr="00BE42CA">
        <w:rPr>
          <w:rFonts w:cs="Calibri"/>
          <w:b/>
          <w:szCs w:val="23"/>
          <w:lang w:val="en-GB"/>
        </w:rPr>
        <w:t>The Honourable Steven Ciobo MP</w:t>
      </w:r>
    </w:p>
    <w:p w14:paraId="2C2E2E65" w14:textId="77777777" w:rsidR="00994D40" w:rsidRPr="00BE42CA" w:rsidRDefault="00597789" w:rsidP="00994D40">
      <w:pPr>
        <w:rPr>
          <w:rFonts w:cs="Calibri"/>
          <w:szCs w:val="23"/>
          <w:lang w:val="en-GB"/>
        </w:rPr>
      </w:pPr>
      <w:r w:rsidRPr="00BE42CA">
        <w:rPr>
          <w:rFonts w:cs="Calibri"/>
          <w:szCs w:val="23"/>
          <w:lang w:val="en-GB"/>
        </w:rPr>
        <w:t xml:space="preserve">Minister for </w:t>
      </w:r>
      <w:r>
        <w:rPr>
          <w:rFonts w:cs="Calibri"/>
          <w:szCs w:val="23"/>
          <w:lang w:val="en-GB"/>
        </w:rPr>
        <w:t xml:space="preserve">Trade, </w:t>
      </w:r>
      <w:r w:rsidRPr="00BE42CA">
        <w:rPr>
          <w:rFonts w:cs="Calibri"/>
          <w:szCs w:val="23"/>
          <w:lang w:val="en-GB"/>
        </w:rPr>
        <w:t>Tourism</w:t>
      </w:r>
      <w:r>
        <w:rPr>
          <w:rFonts w:cs="Calibri"/>
          <w:szCs w:val="23"/>
          <w:lang w:val="en-GB"/>
        </w:rPr>
        <w:t xml:space="preserve"> and Investment</w:t>
      </w:r>
    </w:p>
    <w:p w14:paraId="2C2E2E66" w14:textId="7EF88ECB" w:rsidR="00994D40" w:rsidRPr="00BE42CA" w:rsidRDefault="00CA2DE7" w:rsidP="00994D40">
      <w:pPr>
        <w:rPr>
          <w:rFonts w:cs="Calibri"/>
          <w:szCs w:val="23"/>
          <w:lang w:val="en-GB"/>
        </w:rPr>
      </w:pPr>
      <w:r>
        <w:rPr>
          <w:szCs w:val="23"/>
          <w:lang w:val="en-GB"/>
        </w:rPr>
        <w:t xml:space="preserve">      /       / 2017</w:t>
      </w:r>
    </w:p>
    <w:p w14:paraId="2C2E2E67" w14:textId="77777777" w:rsidR="00994D40" w:rsidRPr="00BE42CA" w:rsidRDefault="00934D41" w:rsidP="00994D40">
      <w:pPr>
        <w:rPr>
          <w:rFonts w:cs="Calibri"/>
          <w:szCs w:val="23"/>
          <w:lang w:val="en-GB"/>
        </w:rPr>
      </w:pPr>
    </w:p>
    <w:p w14:paraId="2C2E2E68" w14:textId="77777777" w:rsidR="00F5754B" w:rsidRPr="00BE42CA" w:rsidRDefault="00934D41" w:rsidP="00F5754B">
      <w:pPr>
        <w:rPr>
          <w:rFonts w:cs="Calibri"/>
          <w:szCs w:val="23"/>
          <w:lang w:val="en-GB"/>
        </w:rPr>
      </w:pPr>
    </w:p>
    <w:p w14:paraId="2C2E2E69" w14:textId="77777777" w:rsidR="00F5754B" w:rsidRPr="00BE42CA" w:rsidRDefault="00934D41" w:rsidP="00F5754B">
      <w:pPr>
        <w:rPr>
          <w:rFonts w:cs="Calibri"/>
          <w:szCs w:val="23"/>
          <w:lang w:val="en-GB"/>
        </w:rPr>
      </w:pPr>
    </w:p>
    <w:p w14:paraId="2C2E2E6A" w14:textId="77777777" w:rsidR="00F5754B" w:rsidRPr="00BE42CA" w:rsidRDefault="00597789" w:rsidP="00F5754B">
      <w:pPr>
        <w:rPr>
          <w:rFonts w:cs="Calibri"/>
          <w:i/>
          <w:szCs w:val="23"/>
          <w:lang w:val="en-GB"/>
        </w:rPr>
      </w:pPr>
      <w:r w:rsidRPr="00BE42CA">
        <w:rPr>
          <w:rFonts w:cs="Calibri"/>
          <w:b/>
          <w:szCs w:val="23"/>
          <w:lang w:val="en-GB"/>
        </w:rPr>
        <w:t>Signed</w:t>
      </w:r>
      <w:r w:rsidRPr="00BE42CA">
        <w:rPr>
          <w:rFonts w:cs="Calibri"/>
          <w:szCs w:val="23"/>
          <w:lang w:val="en-GB"/>
        </w:rPr>
        <w:t xml:space="preserve"> </w:t>
      </w:r>
      <w:r w:rsidRPr="00BE42CA">
        <w:rPr>
          <w:rFonts w:cs="Calibri"/>
          <w:i/>
          <w:szCs w:val="23"/>
          <w:lang w:val="en-GB"/>
        </w:rPr>
        <w:t>for and on behalf of the State of New South Wales by</w:t>
      </w:r>
    </w:p>
    <w:p w14:paraId="2C2E2E6B" w14:textId="77777777" w:rsidR="00F5754B" w:rsidRPr="00BE42CA" w:rsidRDefault="00934D41" w:rsidP="00F5754B">
      <w:pPr>
        <w:rPr>
          <w:rFonts w:cs="Calibri"/>
          <w:szCs w:val="23"/>
          <w:lang w:val="en-GB"/>
        </w:rPr>
      </w:pPr>
    </w:p>
    <w:p w14:paraId="2C2E2E6C" w14:textId="77777777" w:rsidR="00F5754B" w:rsidRPr="00BE42CA" w:rsidRDefault="00934D41" w:rsidP="00F5754B">
      <w:pPr>
        <w:rPr>
          <w:rFonts w:cs="Calibri"/>
          <w:szCs w:val="23"/>
          <w:lang w:val="en-GB"/>
        </w:rPr>
      </w:pPr>
    </w:p>
    <w:p w14:paraId="2C2E2E6D" w14:textId="77777777" w:rsidR="00F5754B" w:rsidRPr="00BE42CA" w:rsidRDefault="00934D41" w:rsidP="00F5754B">
      <w:pPr>
        <w:rPr>
          <w:rFonts w:cs="Calibri"/>
          <w:szCs w:val="23"/>
          <w:lang w:val="en-GB"/>
        </w:rPr>
      </w:pPr>
    </w:p>
    <w:p w14:paraId="2C2E2E6E" w14:textId="77777777" w:rsidR="00F5754B" w:rsidRPr="00BE42CA" w:rsidRDefault="00597789" w:rsidP="00F5754B">
      <w:pPr>
        <w:rPr>
          <w:rFonts w:cs="Calibri"/>
          <w:szCs w:val="23"/>
          <w:lang w:val="en-GB"/>
        </w:rPr>
      </w:pPr>
      <w:r w:rsidRPr="00BE42CA">
        <w:rPr>
          <w:rFonts w:cs="Calibri"/>
          <w:szCs w:val="23"/>
          <w:lang w:val="en-GB"/>
        </w:rPr>
        <w:t>__________________________________________</w:t>
      </w:r>
    </w:p>
    <w:p w14:paraId="2C2E2E6F" w14:textId="20471CB8" w:rsidR="00F5754B" w:rsidRPr="00BE42CA" w:rsidRDefault="00597789" w:rsidP="00F5754B">
      <w:pPr>
        <w:pStyle w:val="SingleParagraph"/>
        <w:spacing w:after="240"/>
        <w:rPr>
          <w:rStyle w:val="Bold"/>
        </w:rPr>
      </w:pPr>
      <w:r w:rsidRPr="00BE42CA">
        <w:rPr>
          <w:rStyle w:val="Bold"/>
        </w:rPr>
        <w:t xml:space="preserve">The Honourable </w:t>
      </w:r>
      <w:r w:rsidR="00CA2DE7">
        <w:rPr>
          <w:rStyle w:val="Bold"/>
        </w:rPr>
        <w:t xml:space="preserve">Adam Marshall </w:t>
      </w:r>
      <w:r w:rsidRPr="00BE42CA">
        <w:rPr>
          <w:rStyle w:val="Bold"/>
        </w:rPr>
        <w:t>MP</w:t>
      </w:r>
    </w:p>
    <w:p w14:paraId="2C2E2E70" w14:textId="014524B6" w:rsidR="00F5754B" w:rsidRPr="00CA2DE7" w:rsidRDefault="00597789" w:rsidP="00CA2DE7">
      <w:pPr>
        <w:rPr>
          <w:rFonts w:cs="Calibri"/>
          <w:szCs w:val="23"/>
          <w:lang w:val="en-GB"/>
        </w:rPr>
      </w:pPr>
      <w:r w:rsidRPr="00CA2DE7">
        <w:rPr>
          <w:rFonts w:cs="Calibri"/>
          <w:szCs w:val="23"/>
          <w:lang w:val="en-GB"/>
        </w:rPr>
        <w:t>Minister for Tourism and Major Events</w:t>
      </w:r>
    </w:p>
    <w:p w14:paraId="2C2E2E71" w14:textId="4B407723" w:rsidR="00F5754B" w:rsidRDefault="00597789" w:rsidP="00F5754B">
      <w:pPr>
        <w:rPr>
          <w:rFonts w:cs="Calibri"/>
          <w:szCs w:val="23"/>
          <w:lang w:val="en-GB"/>
        </w:rPr>
      </w:pPr>
      <w:r w:rsidRPr="00CA2DE7">
        <w:rPr>
          <w:rFonts w:cs="Calibri"/>
          <w:szCs w:val="23"/>
          <w:lang w:val="en-GB"/>
        </w:rPr>
        <w:t xml:space="preserve"> </w:t>
      </w:r>
      <w:r w:rsidR="00CA2DE7">
        <w:rPr>
          <w:rFonts w:cs="Calibri"/>
          <w:szCs w:val="23"/>
          <w:lang w:val="en-GB"/>
        </w:rPr>
        <w:t xml:space="preserve">    /       /  2017</w:t>
      </w:r>
    </w:p>
    <w:p w14:paraId="2C2E2E72" w14:textId="77777777" w:rsidR="007C77EE" w:rsidRDefault="00934D41" w:rsidP="00006C17"/>
    <w:sectPr w:rsidR="007C77EE" w:rsidSect="00D92581">
      <w:headerReference w:type="first" r:id="rId15"/>
      <w:footerReference w:type="first" r:id="rId16"/>
      <w:type w:val="oddPage"/>
      <w:pgSz w:w="11906" w:h="16838" w:code="9"/>
      <w:pgMar w:top="1134" w:right="1134" w:bottom="1134" w:left="1134" w:header="709" w:footer="709" w:gutter="0"/>
      <w:pgNumType w:chapStyle="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E2E79" w14:textId="77777777" w:rsidR="001B7694" w:rsidRDefault="00597789">
      <w:pPr>
        <w:spacing w:after="0" w:line="240" w:lineRule="auto"/>
      </w:pPr>
      <w:r>
        <w:separator/>
      </w:r>
    </w:p>
  </w:endnote>
  <w:endnote w:type="continuationSeparator" w:id="0">
    <w:p w14:paraId="2C2E2E7B" w14:textId="77777777" w:rsidR="001B7694" w:rsidRDefault="0059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2E74" w14:textId="77777777" w:rsidR="000E7236" w:rsidRPr="00E76CF8" w:rsidRDefault="00597789" w:rsidP="00E76CF8">
    <w:pPr>
      <w:pStyle w:val="Footer"/>
    </w:pPr>
    <w:r>
      <w:t xml:space="preserve">Page 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E2E75" w14:textId="77777777" w:rsidR="001B7694" w:rsidRDefault="00597789">
      <w:pPr>
        <w:spacing w:after="0" w:line="240" w:lineRule="auto"/>
      </w:pPr>
      <w:r>
        <w:separator/>
      </w:r>
    </w:p>
  </w:footnote>
  <w:footnote w:type="continuationSeparator" w:id="0">
    <w:p w14:paraId="2C2E2E77" w14:textId="77777777" w:rsidR="001B7694" w:rsidRDefault="00597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2E73" w14:textId="77777777" w:rsidR="000E7236" w:rsidRPr="00751725" w:rsidRDefault="00934D41" w:rsidP="00751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nsid w:val="0CDC7973"/>
    <w:multiLevelType w:val="multilevel"/>
    <w:tmpl w:val="85DCB1C2"/>
    <w:lvl w:ilvl="0">
      <w:start w:val="1"/>
      <w:numFmt w:val="lowerRoman"/>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nsid w:val="19C960FD"/>
    <w:multiLevelType w:val="multilevel"/>
    <w:tmpl w:val="F9EA08CE"/>
    <w:name w:val="OneLevelNumberedParagraphList"/>
    <w:lvl w:ilvl="0">
      <w:start w:val="1"/>
      <w:numFmt w:val="decimal"/>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nsid w:val="1BF41060"/>
    <w:multiLevelType w:val="hybridMultilevel"/>
    <w:tmpl w:val="DD3CFCD0"/>
    <w:lvl w:ilvl="0" w:tplc="ED906450">
      <w:start w:val="1"/>
      <w:numFmt w:val="lowerLetter"/>
      <w:lvlText w:val="(%1)"/>
      <w:lvlJc w:val="left"/>
      <w:pPr>
        <w:ind w:left="927" w:hanging="360"/>
      </w:pPr>
      <w:rPr>
        <w:rFonts w:hint="default"/>
      </w:rPr>
    </w:lvl>
    <w:lvl w:ilvl="1" w:tplc="E702FE7A">
      <w:start w:val="1"/>
      <w:numFmt w:val="lowerLetter"/>
      <w:lvlText w:val="%2."/>
      <w:lvlJc w:val="left"/>
      <w:pPr>
        <w:ind w:left="1440" w:hanging="360"/>
      </w:pPr>
    </w:lvl>
    <w:lvl w:ilvl="2" w:tplc="2BDCFBAE" w:tentative="1">
      <w:start w:val="1"/>
      <w:numFmt w:val="lowerRoman"/>
      <w:lvlText w:val="%3."/>
      <w:lvlJc w:val="right"/>
      <w:pPr>
        <w:ind w:left="2160" w:hanging="180"/>
      </w:pPr>
    </w:lvl>
    <w:lvl w:ilvl="3" w:tplc="E29AB6B8" w:tentative="1">
      <w:start w:val="1"/>
      <w:numFmt w:val="decimal"/>
      <w:lvlText w:val="%4."/>
      <w:lvlJc w:val="left"/>
      <w:pPr>
        <w:ind w:left="2880" w:hanging="360"/>
      </w:pPr>
    </w:lvl>
    <w:lvl w:ilvl="4" w:tplc="6A4EC2A0" w:tentative="1">
      <w:start w:val="1"/>
      <w:numFmt w:val="lowerLetter"/>
      <w:lvlText w:val="%5."/>
      <w:lvlJc w:val="left"/>
      <w:pPr>
        <w:ind w:left="3600" w:hanging="360"/>
      </w:pPr>
    </w:lvl>
    <w:lvl w:ilvl="5" w:tplc="0630D150" w:tentative="1">
      <w:start w:val="1"/>
      <w:numFmt w:val="lowerRoman"/>
      <w:lvlText w:val="%6."/>
      <w:lvlJc w:val="right"/>
      <w:pPr>
        <w:ind w:left="4320" w:hanging="180"/>
      </w:pPr>
    </w:lvl>
    <w:lvl w:ilvl="6" w:tplc="5FA22400" w:tentative="1">
      <w:start w:val="1"/>
      <w:numFmt w:val="decimal"/>
      <w:lvlText w:val="%7."/>
      <w:lvlJc w:val="left"/>
      <w:pPr>
        <w:ind w:left="5040" w:hanging="360"/>
      </w:pPr>
    </w:lvl>
    <w:lvl w:ilvl="7" w:tplc="8F961B10" w:tentative="1">
      <w:start w:val="1"/>
      <w:numFmt w:val="lowerLetter"/>
      <w:lvlText w:val="%8."/>
      <w:lvlJc w:val="left"/>
      <w:pPr>
        <w:ind w:left="5760" w:hanging="360"/>
      </w:pPr>
    </w:lvl>
    <w:lvl w:ilvl="8" w:tplc="A8206EA4" w:tentative="1">
      <w:start w:val="1"/>
      <w:numFmt w:val="lowerRoman"/>
      <w:lvlText w:val="%9."/>
      <w:lvlJc w:val="right"/>
      <w:pPr>
        <w:ind w:left="6480" w:hanging="180"/>
      </w:pPr>
    </w:lvl>
  </w:abstractNum>
  <w:abstractNum w:abstractNumId="4">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22B242CC"/>
    <w:multiLevelType w:val="multilevel"/>
    <w:tmpl w:val="E60E4706"/>
    <w:name w:val="AGSTableDash"/>
    <w:lvl w:ilvl="0">
      <w:start w:val="1"/>
      <w:numFmt w:val="none"/>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nsid w:val="27440C8B"/>
    <w:multiLevelType w:val="multilevel"/>
    <w:tmpl w:val="F2A403A2"/>
    <w:lvl w:ilvl="0">
      <w:start w:val="1"/>
      <w:numFmt w:val="bullet"/>
      <w:pStyle w:val="Bullet"/>
      <w:lvlText w:val="•"/>
      <w:lvlJc w:val="left"/>
      <w:pPr>
        <w:tabs>
          <w:tab w:val="num" w:pos="566"/>
        </w:tabs>
        <w:ind w:left="566" w:hanging="283"/>
      </w:pPr>
      <w:rPr>
        <w:rFonts w:ascii="Times New Roman" w:hAnsi="Times New Roman"/>
        <w:b w:val="0"/>
        <w:i w:val="0"/>
      </w:rPr>
    </w:lvl>
    <w:lvl w:ilvl="1">
      <w:start w:val="1"/>
      <w:numFmt w:val="bullet"/>
      <w:pStyle w:val="Dash"/>
      <w:lvlText w:val="–"/>
      <w:lvlJc w:val="left"/>
      <w:pPr>
        <w:tabs>
          <w:tab w:val="num" w:pos="850"/>
        </w:tabs>
        <w:ind w:left="850" w:hanging="284"/>
      </w:pPr>
      <w:rPr>
        <w:rFonts w:ascii="Times New Roman" w:hAnsi="Times New Roman"/>
        <w:b w:val="0"/>
        <w:i w:val="0"/>
      </w:rPr>
    </w:lvl>
    <w:lvl w:ilvl="2">
      <w:start w:val="1"/>
      <w:numFmt w:val="bullet"/>
      <w:pStyle w:val="DoubleDot"/>
      <w:lvlText w:val=":"/>
      <w:lvlJc w:val="left"/>
      <w:pPr>
        <w:tabs>
          <w:tab w:val="num" w:pos="1133"/>
        </w:tabs>
        <w:ind w:left="1133" w:hanging="283"/>
      </w:pPr>
      <w:rPr>
        <w:rFonts w:ascii="Times New Roman" w:hAnsi="Times New Roman"/>
        <w:b w:val="0"/>
        <w:i w:val="0"/>
      </w:rPr>
    </w:lvl>
    <w:lvl w:ilvl="3">
      <w:start w:val="1"/>
      <w:numFmt w:val="decimal"/>
      <w:lvlText w:val="(%4)"/>
      <w:lvlJc w:val="left"/>
      <w:pPr>
        <w:tabs>
          <w:tab w:val="num" w:pos="1723"/>
        </w:tabs>
        <w:ind w:left="1723" w:hanging="360"/>
      </w:pPr>
      <w:rPr>
        <w:rFonts w:cs="Times New Roman"/>
        <w:b w:val="0"/>
        <w:i w:val="0"/>
      </w:rPr>
    </w:lvl>
    <w:lvl w:ilvl="4">
      <w:start w:val="1"/>
      <w:numFmt w:val="lowerLetter"/>
      <w:lvlText w:val="(%5)"/>
      <w:lvlJc w:val="left"/>
      <w:pPr>
        <w:tabs>
          <w:tab w:val="num" w:pos="2083"/>
        </w:tabs>
        <w:ind w:left="2083" w:hanging="360"/>
      </w:pPr>
      <w:rPr>
        <w:rFonts w:cs="Times New Roman"/>
        <w:b w:val="0"/>
        <w:i w:val="0"/>
      </w:rPr>
    </w:lvl>
    <w:lvl w:ilvl="5">
      <w:start w:val="1"/>
      <w:numFmt w:val="lowerRoman"/>
      <w:lvlText w:val="(%6)"/>
      <w:lvlJc w:val="left"/>
      <w:pPr>
        <w:tabs>
          <w:tab w:val="num" w:pos="2443"/>
        </w:tabs>
        <w:ind w:left="2443" w:hanging="360"/>
      </w:pPr>
      <w:rPr>
        <w:rFonts w:cs="Times New Roman"/>
        <w:b w:val="0"/>
        <w:i w:val="0"/>
      </w:rPr>
    </w:lvl>
    <w:lvl w:ilvl="6">
      <w:start w:val="1"/>
      <w:numFmt w:val="decimal"/>
      <w:lvlText w:val="%7."/>
      <w:lvlJc w:val="left"/>
      <w:pPr>
        <w:tabs>
          <w:tab w:val="num" w:pos="2803"/>
        </w:tabs>
        <w:ind w:left="2803" w:hanging="360"/>
      </w:pPr>
      <w:rPr>
        <w:rFonts w:cs="Times New Roman"/>
        <w:b w:val="0"/>
        <w:i w:val="0"/>
      </w:rPr>
    </w:lvl>
    <w:lvl w:ilvl="7">
      <w:start w:val="1"/>
      <w:numFmt w:val="lowerLetter"/>
      <w:lvlText w:val="%8."/>
      <w:lvlJc w:val="left"/>
      <w:pPr>
        <w:tabs>
          <w:tab w:val="num" w:pos="3163"/>
        </w:tabs>
        <w:ind w:left="3163" w:hanging="360"/>
      </w:pPr>
      <w:rPr>
        <w:rFonts w:cs="Times New Roman"/>
        <w:b w:val="0"/>
        <w:i w:val="0"/>
      </w:rPr>
    </w:lvl>
    <w:lvl w:ilvl="8">
      <w:start w:val="1"/>
      <w:numFmt w:val="lowerRoman"/>
      <w:lvlText w:val="%9."/>
      <w:lvlJc w:val="left"/>
      <w:pPr>
        <w:tabs>
          <w:tab w:val="num" w:pos="3523"/>
        </w:tabs>
        <w:ind w:left="3523" w:hanging="360"/>
      </w:pPr>
      <w:rPr>
        <w:rFonts w:cs="Times New Roman"/>
        <w:b w:val="0"/>
        <w:i w:val="0"/>
      </w:rPr>
    </w:lvl>
  </w:abstractNum>
  <w:abstractNum w:abstractNumId="8">
    <w:nsid w:val="278D78E7"/>
    <w:multiLevelType w:val="multilevel"/>
    <w:tmpl w:val="5C4AE05C"/>
    <w:lvl w:ilvl="0">
      <w:start w:val="1"/>
      <w:numFmt w:val="lowerRoman"/>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nsid w:val="297A625E"/>
    <w:multiLevelType w:val="multilevel"/>
    <w:tmpl w:val="4412DE6C"/>
    <w:name w:val="AGSDash"/>
    <w:lvl w:ilvl="0">
      <w:start w:val="1"/>
      <w:numFmt w:val="none"/>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nsid w:val="4CE06931"/>
    <w:multiLevelType w:val="singleLevel"/>
    <w:tmpl w:val="4366EF18"/>
    <w:lvl w:ilvl="0">
      <w:start w:val="1"/>
      <w:numFmt w:val="lowerLetter"/>
      <w:pStyle w:val="ChartandTableFootnoteAlpha"/>
      <w:lvlText w:val="(%1)"/>
      <w:lvlJc w:val="left"/>
      <w:pPr>
        <w:tabs>
          <w:tab w:val="num" w:pos="283"/>
        </w:tabs>
        <w:ind w:left="283" w:hanging="283"/>
      </w:pPr>
      <w:rPr>
        <w:rFonts w:ascii="Arial" w:hAnsi="Arial" w:cs="Arial" w:hint="default"/>
        <w:b w:val="0"/>
        <w:i w:val="0"/>
        <w:sz w:val="16"/>
      </w:rPr>
    </w:lvl>
  </w:abstractNum>
  <w:abstractNum w:abstractNumId="12">
    <w:nsid w:val="55CE0768"/>
    <w:multiLevelType w:val="hybridMultilevel"/>
    <w:tmpl w:val="9190AFEA"/>
    <w:lvl w:ilvl="0" w:tplc="77A689C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3D80E82A" w:tentative="1">
      <w:start w:val="1"/>
      <w:numFmt w:val="bullet"/>
      <w:lvlText w:val="o"/>
      <w:lvlJc w:val="left"/>
      <w:pPr>
        <w:tabs>
          <w:tab w:val="num" w:pos="1440"/>
        </w:tabs>
        <w:ind w:left="1440" w:hanging="360"/>
      </w:pPr>
      <w:rPr>
        <w:rFonts w:ascii="Courier New" w:hAnsi="Courier New" w:hint="default"/>
      </w:rPr>
    </w:lvl>
    <w:lvl w:ilvl="2" w:tplc="250EFE80" w:tentative="1">
      <w:start w:val="1"/>
      <w:numFmt w:val="bullet"/>
      <w:lvlText w:val=""/>
      <w:lvlJc w:val="left"/>
      <w:pPr>
        <w:tabs>
          <w:tab w:val="num" w:pos="2160"/>
        </w:tabs>
        <w:ind w:left="2160" w:hanging="360"/>
      </w:pPr>
      <w:rPr>
        <w:rFonts w:ascii="Wingdings" w:hAnsi="Wingdings" w:hint="default"/>
      </w:rPr>
    </w:lvl>
    <w:lvl w:ilvl="3" w:tplc="36F6D16E" w:tentative="1">
      <w:start w:val="1"/>
      <w:numFmt w:val="bullet"/>
      <w:lvlText w:val=""/>
      <w:lvlJc w:val="left"/>
      <w:pPr>
        <w:tabs>
          <w:tab w:val="num" w:pos="2880"/>
        </w:tabs>
        <w:ind w:left="2880" w:hanging="360"/>
      </w:pPr>
      <w:rPr>
        <w:rFonts w:ascii="Symbol" w:hAnsi="Symbol" w:hint="default"/>
      </w:rPr>
    </w:lvl>
    <w:lvl w:ilvl="4" w:tplc="2832612C" w:tentative="1">
      <w:start w:val="1"/>
      <w:numFmt w:val="bullet"/>
      <w:lvlText w:val="o"/>
      <w:lvlJc w:val="left"/>
      <w:pPr>
        <w:tabs>
          <w:tab w:val="num" w:pos="3600"/>
        </w:tabs>
        <w:ind w:left="3600" w:hanging="360"/>
      </w:pPr>
      <w:rPr>
        <w:rFonts w:ascii="Courier New" w:hAnsi="Courier New" w:hint="default"/>
      </w:rPr>
    </w:lvl>
    <w:lvl w:ilvl="5" w:tplc="58B4755A" w:tentative="1">
      <w:start w:val="1"/>
      <w:numFmt w:val="bullet"/>
      <w:lvlText w:val=""/>
      <w:lvlJc w:val="left"/>
      <w:pPr>
        <w:tabs>
          <w:tab w:val="num" w:pos="4320"/>
        </w:tabs>
        <w:ind w:left="4320" w:hanging="360"/>
      </w:pPr>
      <w:rPr>
        <w:rFonts w:ascii="Wingdings" w:hAnsi="Wingdings" w:hint="default"/>
      </w:rPr>
    </w:lvl>
    <w:lvl w:ilvl="6" w:tplc="58122F76" w:tentative="1">
      <w:start w:val="1"/>
      <w:numFmt w:val="bullet"/>
      <w:lvlText w:val=""/>
      <w:lvlJc w:val="left"/>
      <w:pPr>
        <w:tabs>
          <w:tab w:val="num" w:pos="5040"/>
        </w:tabs>
        <w:ind w:left="5040" w:hanging="360"/>
      </w:pPr>
      <w:rPr>
        <w:rFonts w:ascii="Symbol" w:hAnsi="Symbol" w:hint="default"/>
      </w:rPr>
    </w:lvl>
    <w:lvl w:ilvl="7" w:tplc="519A1938" w:tentative="1">
      <w:start w:val="1"/>
      <w:numFmt w:val="bullet"/>
      <w:lvlText w:val="o"/>
      <w:lvlJc w:val="left"/>
      <w:pPr>
        <w:tabs>
          <w:tab w:val="num" w:pos="5760"/>
        </w:tabs>
        <w:ind w:left="5760" w:hanging="360"/>
      </w:pPr>
      <w:rPr>
        <w:rFonts w:ascii="Courier New" w:hAnsi="Courier New" w:hint="default"/>
      </w:rPr>
    </w:lvl>
    <w:lvl w:ilvl="8" w:tplc="F72E2D6C" w:tentative="1">
      <w:start w:val="1"/>
      <w:numFmt w:val="bullet"/>
      <w:lvlText w:val=""/>
      <w:lvlJc w:val="left"/>
      <w:pPr>
        <w:tabs>
          <w:tab w:val="num" w:pos="6480"/>
        </w:tabs>
        <w:ind w:left="6480" w:hanging="360"/>
      </w:pPr>
      <w:rPr>
        <w:rFonts w:ascii="Wingdings" w:hAnsi="Wingdings" w:hint="default"/>
      </w:rPr>
    </w:lvl>
  </w:abstractNum>
  <w:abstractNum w:abstractNumId="13">
    <w:nsid w:val="58101827"/>
    <w:multiLevelType w:val="multilevel"/>
    <w:tmpl w:val="072C6E52"/>
    <w:lvl w:ilvl="0">
      <w:start w:val="1"/>
      <w:numFmt w:val="bullet"/>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nsid w:val="5E0A6F8D"/>
    <w:multiLevelType w:val="multilevel"/>
    <w:tmpl w:val="51941ED6"/>
    <w:lvl w:ilvl="0">
      <w:start w:val="1"/>
      <w:numFmt w:val="bullet"/>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6">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17">
    <w:nsid w:val="7AF1371D"/>
    <w:multiLevelType w:val="hybridMultilevel"/>
    <w:tmpl w:val="DD3CFCD0"/>
    <w:lvl w:ilvl="0" w:tplc="99DC2A84">
      <w:start w:val="1"/>
      <w:numFmt w:val="lowerLetter"/>
      <w:lvlText w:val="(%1)"/>
      <w:lvlJc w:val="left"/>
      <w:pPr>
        <w:ind w:left="927" w:hanging="360"/>
      </w:pPr>
      <w:rPr>
        <w:rFonts w:hint="default"/>
      </w:rPr>
    </w:lvl>
    <w:lvl w:ilvl="1" w:tplc="55061A86" w:tentative="1">
      <w:start w:val="1"/>
      <w:numFmt w:val="lowerLetter"/>
      <w:lvlText w:val="%2."/>
      <w:lvlJc w:val="left"/>
      <w:pPr>
        <w:ind w:left="1440" w:hanging="360"/>
      </w:pPr>
    </w:lvl>
    <w:lvl w:ilvl="2" w:tplc="E3CA6C10" w:tentative="1">
      <w:start w:val="1"/>
      <w:numFmt w:val="lowerRoman"/>
      <w:lvlText w:val="%3."/>
      <w:lvlJc w:val="right"/>
      <w:pPr>
        <w:ind w:left="2160" w:hanging="180"/>
      </w:pPr>
    </w:lvl>
    <w:lvl w:ilvl="3" w:tplc="19C26C5E" w:tentative="1">
      <w:start w:val="1"/>
      <w:numFmt w:val="decimal"/>
      <w:lvlText w:val="%4."/>
      <w:lvlJc w:val="left"/>
      <w:pPr>
        <w:ind w:left="2880" w:hanging="360"/>
      </w:pPr>
    </w:lvl>
    <w:lvl w:ilvl="4" w:tplc="DBFCFF2A" w:tentative="1">
      <w:start w:val="1"/>
      <w:numFmt w:val="lowerLetter"/>
      <w:lvlText w:val="%5."/>
      <w:lvlJc w:val="left"/>
      <w:pPr>
        <w:ind w:left="3600" w:hanging="360"/>
      </w:pPr>
    </w:lvl>
    <w:lvl w:ilvl="5" w:tplc="BC2A519C" w:tentative="1">
      <w:start w:val="1"/>
      <w:numFmt w:val="lowerRoman"/>
      <w:lvlText w:val="%6."/>
      <w:lvlJc w:val="right"/>
      <w:pPr>
        <w:ind w:left="4320" w:hanging="180"/>
      </w:pPr>
    </w:lvl>
    <w:lvl w:ilvl="6" w:tplc="42EA912C" w:tentative="1">
      <w:start w:val="1"/>
      <w:numFmt w:val="decimal"/>
      <w:lvlText w:val="%7."/>
      <w:lvlJc w:val="left"/>
      <w:pPr>
        <w:ind w:left="5040" w:hanging="360"/>
      </w:pPr>
    </w:lvl>
    <w:lvl w:ilvl="7" w:tplc="E9C00A36" w:tentative="1">
      <w:start w:val="1"/>
      <w:numFmt w:val="lowerLetter"/>
      <w:lvlText w:val="%8."/>
      <w:lvlJc w:val="left"/>
      <w:pPr>
        <w:ind w:left="5760" w:hanging="360"/>
      </w:pPr>
    </w:lvl>
    <w:lvl w:ilvl="8" w:tplc="0DF48C06"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3"/>
  </w:num>
  <w:num w:numId="5">
    <w:abstractNumId w:val="2"/>
  </w:num>
  <w:num w:numId="6">
    <w:abstractNumId w:val="14"/>
  </w:num>
  <w:num w:numId="7">
    <w:abstractNumId w:val="7"/>
  </w:num>
  <w:num w:numId="8">
    <w:abstractNumId w:val="4"/>
  </w:num>
  <w:num w:numId="9">
    <w:abstractNumId w:val="8"/>
  </w:num>
  <w:num w:numId="10">
    <w:abstractNumId w:val="1"/>
  </w:num>
  <w:num w:numId="11">
    <w:abstractNumId w:val="12"/>
  </w:num>
  <w:num w:numId="12">
    <w:abstractNumId w:val="15"/>
  </w:num>
  <w:num w:numId="13">
    <w:abstractNumId w:val="10"/>
  </w:num>
  <w:num w:numId="14">
    <w:abstractNumId w:val="16"/>
  </w:num>
  <w:num w:numId="15">
    <w:abstractNumId w:val="5"/>
  </w:num>
  <w:num w:numId="16">
    <w:abstractNumId w:val="9"/>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AF"/>
    <w:rsid w:val="00037F93"/>
    <w:rsid w:val="000F3284"/>
    <w:rsid w:val="00185943"/>
    <w:rsid w:val="001B7694"/>
    <w:rsid w:val="00307912"/>
    <w:rsid w:val="00426DA7"/>
    <w:rsid w:val="004A382A"/>
    <w:rsid w:val="004A7557"/>
    <w:rsid w:val="00552FBD"/>
    <w:rsid w:val="00597789"/>
    <w:rsid w:val="005A7845"/>
    <w:rsid w:val="005F3CAC"/>
    <w:rsid w:val="0060112F"/>
    <w:rsid w:val="0075783B"/>
    <w:rsid w:val="00767B3B"/>
    <w:rsid w:val="008075AF"/>
    <w:rsid w:val="008D38E6"/>
    <w:rsid w:val="008F0840"/>
    <w:rsid w:val="00934D41"/>
    <w:rsid w:val="009A16CE"/>
    <w:rsid w:val="00B72332"/>
    <w:rsid w:val="00C776D6"/>
    <w:rsid w:val="00C77BA4"/>
    <w:rsid w:val="00CA2DE7"/>
    <w:rsid w:val="00CF3160"/>
    <w:rsid w:val="00D578E1"/>
    <w:rsid w:val="00DA7DE0"/>
    <w:rsid w:val="00DF0497"/>
    <w:rsid w:val="00EC21A2"/>
    <w:rsid w:val="00EC28B7"/>
    <w:rsid w:val="00F64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E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7"/>
      </w:numPr>
    </w:pPr>
  </w:style>
  <w:style w:type="paragraph" w:customStyle="1" w:styleId="Dash">
    <w:name w:val="Dash"/>
    <w:basedOn w:val="Normal"/>
    <w:rsid w:val="00D51386"/>
    <w:pPr>
      <w:numPr>
        <w:ilvl w:val="1"/>
        <w:numId w:val="7"/>
      </w:numPr>
    </w:pPr>
  </w:style>
  <w:style w:type="paragraph" w:customStyle="1" w:styleId="DoubleDot">
    <w:name w:val="Double Dot"/>
    <w:basedOn w:val="Normal"/>
    <w:rsid w:val="00D51386"/>
    <w:pPr>
      <w:numPr>
        <w:ilvl w:val="2"/>
        <w:numId w:val="7"/>
      </w:numPr>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tabs>
        <w:tab w:val="num" w:pos="283"/>
        <w:tab w:val="num" w:pos="567"/>
        <w:tab w:val="num" w:pos="1134"/>
        <w:tab w:val="num" w:pos="1418"/>
      </w:tabs>
      <w:ind w:left="567" w:hanging="567"/>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numPr>
        <w:numId w:val="0"/>
      </w:numPr>
      <w:spacing w:before="40" w:after="6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clear" w:pos="1134"/>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szCs w:val="22"/>
      <w:lang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7644B5"/>
    <w:rPr>
      <w:rFonts w:ascii="Corbel" w:hAnsi="Corbel"/>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7"/>
      </w:numPr>
    </w:pPr>
  </w:style>
  <w:style w:type="paragraph" w:customStyle="1" w:styleId="Dash">
    <w:name w:val="Dash"/>
    <w:basedOn w:val="Normal"/>
    <w:rsid w:val="00D51386"/>
    <w:pPr>
      <w:numPr>
        <w:ilvl w:val="1"/>
        <w:numId w:val="7"/>
      </w:numPr>
    </w:pPr>
  </w:style>
  <w:style w:type="paragraph" w:customStyle="1" w:styleId="DoubleDot">
    <w:name w:val="Double Dot"/>
    <w:basedOn w:val="Normal"/>
    <w:rsid w:val="00D51386"/>
    <w:pPr>
      <w:numPr>
        <w:ilvl w:val="2"/>
        <w:numId w:val="7"/>
      </w:numPr>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tabs>
        <w:tab w:val="num" w:pos="283"/>
        <w:tab w:val="num" w:pos="567"/>
        <w:tab w:val="num" w:pos="1134"/>
        <w:tab w:val="num" w:pos="1418"/>
      </w:tabs>
      <w:ind w:left="567" w:hanging="567"/>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numPr>
        <w:numId w:val="0"/>
      </w:numPr>
      <w:spacing w:before="40" w:after="6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clear" w:pos="1134"/>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szCs w:val="22"/>
      <w:lang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7644B5"/>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3196">
      <w:bodyDiv w:val="1"/>
      <w:marLeft w:val="0"/>
      <w:marRight w:val="0"/>
      <w:marTop w:val="0"/>
      <w:marBottom w:val="0"/>
      <w:divBdr>
        <w:top w:val="none" w:sz="0" w:space="0" w:color="auto"/>
        <w:left w:val="none" w:sz="0" w:space="0" w:color="auto"/>
        <w:bottom w:val="none" w:sz="0" w:space="0" w:color="auto"/>
        <w:right w:val="none" w:sz="0" w:space="0" w:color="auto"/>
      </w:divBdr>
    </w:div>
    <w:div w:id="7644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2021FG-64-96841</_dlc_DocId>
    <_dlc_DocIdUrl xmlns="0f563589-9cf9-4143-b1eb-fb0534803d38">
      <Url>http://tweb/sites/fg/csrd/_layouts/15/DocIdRedir.aspx?ID=2021FG-64-96841</Url>
      <Description>2021FG-64-96841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9666" ma:contentTypeDescription=" " ma:contentTypeScope="" ma:versionID="2dc9a5b166b5261cf229b8ebf92cc34f">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2C01-1D10-47A8-8868-ECDDAD2F6AC0}">
  <ds:schemaRefs>
    <ds:schemaRef ds:uri="http://schemas.microsoft.com/sharepoint/v3"/>
    <ds:schemaRef ds:uri="http://purl.org/dc/terms/"/>
    <ds:schemaRef ds:uri="http://schemas.microsoft.com/sharepoint/v4"/>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e544e5cc-ab70-42e1-849e-1a0f8bb1f4e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336F12-DD33-4BE9-A744-D312303E7B2D}">
  <ds:schemaRefs>
    <ds:schemaRef ds:uri="http://schemas.microsoft.com/sharepoint/v3/contenttype/forms"/>
  </ds:schemaRefs>
</ds:datastoreItem>
</file>

<file path=customXml/itemProps3.xml><?xml version="1.0" encoding="utf-8"?>
<ds:datastoreItem xmlns:ds="http://schemas.openxmlformats.org/officeDocument/2006/customXml" ds:itemID="{CF17D8B5-07A3-40EF-80D6-5EE5EE10AA83}"/>
</file>

<file path=customXml/itemProps4.xml><?xml version="1.0" encoding="utf-8"?>
<ds:datastoreItem xmlns:ds="http://schemas.openxmlformats.org/officeDocument/2006/customXml" ds:itemID="{2DEC5B8B-7000-422A-923F-4B78A9A8D4C1}">
  <ds:schemaRefs>
    <ds:schemaRef ds:uri="Microsoft.SharePoint.Taxonomy.ContentTypeSync"/>
  </ds:schemaRefs>
</ds:datastoreItem>
</file>

<file path=customXml/itemProps5.xml><?xml version="1.0" encoding="utf-8"?>
<ds:datastoreItem xmlns:ds="http://schemas.openxmlformats.org/officeDocument/2006/customXml" ds:itemID="{4B2B968F-53C2-4077-8E03-434B09354897}">
  <ds:schemaRefs>
    <ds:schemaRef ds:uri="http://schemas.microsoft.com/sharepoint/events"/>
  </ds:schemaRefs>
</ds:datastoreItem>
</file>

<file path=customXml/itemProps6.xml><?xml version="1.0" encoding="utf-8"?>
<ds:datastoreItem xmlns:ds="http://schemas.openxmlformats.org/officeDocument/2006/customXml" ds:itemID="{39C85B6C-E8A3-4630-8818-97C90ED116A6}"/>
</file>

<file path=customXml/itemProps7.xml><?xml version="1.0" encoding="utf-8"?>
<ds:datastoreItem xmlns:ds="http://schemas.openxmlformats.org/officeDocument/2006/customXml" ds:itemID="{3B08D2F5-4C36-4D1A-9947-E1D1F97A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TotalTime>
  <Pages>4</Pages>
  <Words>2107</Words>
  <Characters>12016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New South Wales Tourism Demand Driver Infrastructure (TDDI) 2016-17 Projects</dc:subject>
  <dc:creator>Council of Australian Governments</dc:creator>
  <cp:lastModifiedBy>Grover Johnson, Charlotte</cp:lastModifiedBy>
  <cp:revision>2</cp:revision>
  <cp:lastPrinted>2016-11-22T05:42:00Z</cp:lastPrinted>
  <dcterms:created xsi:type="dcterms:W3CDTF">2017-07-10T02:09:00Z</dcterms:created>
  <dcterms:modified xsi:type="dcterms:W3CDTF">2017-07-10T02:09:00Z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29 November 2016</vt:lpwstr>
  </property>
  <property fmtid="{D5CDD505-2E9C-101B-9397-08002B2CF9AE}" pid="4" name="ClearanceDueDate">
    <vt:lpwstr/>
  </property>
  <property fmtid="{D5CDD505-2E9C-101B-9397-08002B2CF9AE}" pid="5" name="ContentTypeId">
    <vt:lpwstr>0x010100348D01E61E107C4DA4B97E380EA20D47005CDF45B49E80F24CAD80DFC012154DA9</vt:lpwstr>
  </property>
  <property fmtid="{D5CDD505-2E9C-101B-9397-08002B2CF9AE}" pid="6" name="Electorates">
    <vt:lpwstr> </vt:lpwstr>
  </property>
  <property fmtid="{D5CDD505-2E9C-101B-9397-08002B2CF9AE}" pid="7" name="GroupResponsible">
    <vt:lpwstr>TIEP - Tourism</vt:lpwstr>
  </property>
  <property fmtid="{D5CDD505-2E9C-101B-9397-08002B2CF9AE}" pid="8" name="HandlingProtocol">
    <vt:lpwstr>Standard</vt:lpwstr>
  </property>
  <property fmtid="{D5CDD505-2E9C-101B-9397-08002B2CF9AE}" pid="9" name="InformationMinister">
    <vt:lpwstr> </vt:lpwstr>
  </property>
  <property fmtid="{D5CDD505-2E9C-101B-9397-08002B2CF9AE}" pid="10" name="LastClearingOfficer">
    <vt:lpwstr>Jane Madden</vt:lpwstr>
  </property>
  <property fmtid="{D5CDD505-2E9C-101B-9397-08002B2CF9AE}" pid="11" name="Ministers">
    <vt:lpwstr>Steven Ciobo</vt:lpwstr>
  </property>
  <property fmtid="{D5CDD505-2E9C-101B-9397-08002B2CF9AE}" pid="12" name="PdrId">
    <vt:lpwstr>MS16-000456</vt:lpwstr>
  </property>
  <property fmtid="{D5CDD505-2E9C-101B-9397-08002B2CF9AE}" pid="13" name="Principal">
    <vt:lpwstr>Minister</vt:lpwstr>
  </property>
  <property fmtid="{D5CDD505-2E9C-101B-9397-08002B2CF9AE}" pid="14" name="Protective Markings">
    <vt:lpwstr/>
  </property>
  <property fmtid="{D5CDD505-2E9C-101B-9397-08002B2CF9AE}" pid="15" name="Protective_x0020_Markings">
    <vt:lpwstr/>
  </property>
  <property fmtid="{D5CDD505-2E9C-101B-9397-08002B2CF9AE}" pid="16" name="ReasonForSensitivity">
    <vt:lpwstr/>
  </property>
  <property fmtid="{D5CDD505-2E9C-101B-9397-08002B2CF9AE}" pid="17" name="RegisteredDate">
    <vt:lpwstr>02 November 2016</vt:lpwstr>
  </property>
  <property fmtid="{D5CDD505-2E9C-101B-9397-08002B2CF9AE}" pid="18" name="RequestedAction">
    <vt:lpwstr>Signature</vt:lpwstr>
  </property>
  <property fmtid="{D5CDD505-2E9C-101B-9397-08002B2CF9AE}" pid="19" name="ResponsibleMinister">
    <vt:lpwstr>Steven Ciobo</vt:lpwstr>
  </property>
  <property fmtid="{D5CDD505-2E9C-101B-9397-08002B2CF9AE}" pid="20" name="SecurityClassification">
    <vt:lpwstr>UNCLASSIFIED  </vt:lpwstr>
  </property>
  <property fmtid="{D5CDD505-2E9C-101B-9397-08002B2CF9AE}" pid="21" name="Subject">
    <vt:lpwstr>New South Wales Tourism Demand Driver Infrastructure (TDDI) 2016-17 Projects</vt:lpwstr>
  </property>
  <property fmtid="{D5CDD505-2E9C-101B-9397-08002B2CF9AE}" pid="22" name="TaskSeqNo">
    <vt:lpwstr>0</vt:lpwstr>
  </property>
  <property fmtid="{D5CDD505-2E9C-101B-9397-08002B2CF9AE}" pid="23" name="TemplateSubType">
    <vt:lpwstr>Standard With Letter</vt:lpwstr>
  </property>
  <property fmtid="{D5CDD505-2E9C-101B-9397-08002B2CF9AE}" pid="24" name="TemplateType">
    <vt:lpwstr>Action Submission</vt:lpwstr>
  </property>
  <property fmtid="{D5CDD505-2E9C-101B-9397-08002B2CF9AE}" pid="25" name="TrustedGroups">
    <vt:lpwstr>Parliamentary Coordinator MS, DLO, Ministerial Staff - Coalition 2013, Business Administrator, Limited Distribution MS</vt:lpwstr>
  </property>
  <property fmtid="{D5CDD505-2E9C-101B-9397-08002B2CF9AE}" pid="26" name="_dlc_DocIdItemGuid">
    <vt:lpwstr>bd5ecb93-473e-41c8-a360-70c38ed8f836</vt:lpwstr>
  </property>
  <property fmtid="{D5CDD505-2E9C-101B-9397-08002B2CF9AE}" pid="27" name="_NewReviewCycle">
    <vt:lpwstr/>
  </property>
  <property fmtid="{D5CDD505-2E9C-101B-9397-08002B2CF9AE}" pid="28" name="TSYRecordClass">
    <vt:lpwstr>2;#TSY RA-8748 - Retain as national archives|243f2231-dbfc-4282-b24a-c9b768286bd0</vt:lpwstr>
  </property>
  <property fmtid="{D5CDD505-2E9C-101B-9397-08002B2CF9AE}" pid="29" name="RecordPoint_WorkflowType">
    <vt:lpwstr>ActiveSubmitStub</vt:lpwstr>
  </property>
  <property fmtid="{D5CDD505-2E9C-101B-9397-08002B2CF9AE}" pid="30" name="RecordPoint_ActiveItemWebId">
    <vt:lpwstr>{a4589788-615f-4b8b-8296-7f9f6dfbab44}</vt:lpwstr>
  </property>
  <property fmtid="{D5CDD505-2E9C-101B-9397-08002B2CF9AE}" pid="31" name="RecordPoint_ActiveItemSiteId">
    <vt:lpwstr>{a3a280d1-e8f1-4ce7-94f0-aaa2322da0dd}</vt:lpwstr>
  </property>
  <property fmtid="{D5CDD505-2E9C-101B-9397-08002B2CF9AE}" pid="32" name="RecordPoint_ActiveItemListId">
    <vt:lpwstr>{4435c73b-6585-4bc2-a76a-5d21b1a02e06}</vt:lpwstr>
  </property>
  <property fmtid="{D5CDD505-2E9C-101B-9397-08002B2CF9AE}" pid="33" name="RecordPoint_ActiveItemUniqueId">
    <vt:lpwstr>{cd06c77d-93b1-47a7-86cf-88cb22d9bcc7}</vt:lpwstr>
  </property>
</Properties>
</file>