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D23FA" w14:textId="77777777" w:rsidR="00964D0B" w:rsidRPr="00A57667" w:rsidRDefault="00964D0B" w:rsidP="004D7BBF">
      <w:pPr>
        <w:pStyle w:val="Normalnumbered"/>
        <w:keepNext/>
        <w:numPr>
          <w:ilvl w:val="0"/>
          <w:numId w:val="0"/>
        </w:numPr>
        <w:spacing w:line="240" w:lineRule="auto"/>
        <w:ind w:left="357" w:hanging="357"/>
        <w:jc w:val="right"/>
        <w:rPr>
          <w:rFonts w:ascii="Consolas" w:hAnsi="Consolas" w:cs="Consolas"/>
          <w:sz w:val="32"/>
          <w:szCs w:val="32"/>
        </w:rPr>
      </w:pPr>
      <w:bookmarkStart w:id="0" w:name="_GoBack"/>
      <w:bookmarkEnd w:id="0"/>
      <w:r w:rsidRPr="00A57667">
        <w:rPr>
          <w:rFonts w:ascii="Consolas" w:hAnsi="Consolas" w:cs="Consolas"/>
          <w:sz w:val="32"/>
          <w:szCs w:val="32"/>
        </w:rPr>
        <w:t>Schedule A</w:t>
      </w:r>
    </w:p>
    <w:p w14:paraId="519A16A5" w14:textId="6D826E9C" w:rsidR="00964D0B" w:rsidRPr="00A57667" w:rsidRDefault="00981DC7" w:rsidP="00964D0B">
      <w:pPr>
        <w:pStyle w:val="Normalnumbered"/>
        <w:keepNext/>
        <w:numPr>
          <w:ilvl w:val="0"/>
          <w:numId w:val="0"/>
        </w:numPr>
        <w:ind w:left="360" w:hanging="360"/>
        <w:rPr>
          <w:b/>
          <w:sz w:val="29"/>
          <w:szCs w:val="29"/>
        </w:rPr>
      </w:pPr>
      <w:r w:rsidRPr="00A57667">
        <w:rPr>
          <w:b/>
          <w:sz w:val="29"/>
          <w:szCs w:val="29"/>
        </w:rPr>
        <w:t>Project m</w:t>
      </w:r>
      <w:r w:rsidR="00964D0B" w:rsidRPr="00A57667">
        <w:rPr>
          <w:b/>
          <w:sz w:val="29"/>
          <w:szCs w:val="29"/>
        </w:rPr>
        <w:t>ilestone</w:t>
      </w:r>
      <w:r w:rsidRPr="00A57667">
        <w:rPr>
          <w:b/>
          <w:sz w:val="29"/>
          <w:szCs w:val="29"/>
        </w:rPr>
        <w:t>s</w:t>
      </w:r>
      <w:r w:rsidR="00964D0B" w:rsidRPr="00A57667">
        <w:rPr>
          <w:b/>
          <w:sz w:val="29"/>
          <w:szCs w:val="29"/>
        </w:rPr>
        <w:t>, reporting and payment</w:t>
      </w:r>
      <w:r w:rsidRPr="00A57667">
        <w:rPr>
          <w:b/>
          <w:sz w:val="29"/>
          <w:szCs w:val="29"/>
        </w:rPr>
        <w:t>s</w:t>
      </w:r>
      <w:r w:rsidR="00964D0B" w:rsidRPr="00A57667">
        <w:rPr>
          <w:b/>
          <w:sz w:val="29"/>
          <w:szCs w:val="29"/>
        </w:rPr>
        <w:t xml:space="preserve"> –</w:t>
      </w:r>
      <w:r w:rsidR="00884D89" w:rsidRPr="00A57667">
        <w:rPr>
          <w:b/>
          <w:sz w:val="29"/>
          <w:szCs w:val="29"/>
        </w:rPr>
        <w:t xml:space="preserve"> Q</w:t>
      </w:r>
      <w:r w:rsidR="00FE766D" w:rsidRPr="00A57667">
        <w:rPr>
          <w:b/>
          <w:sz w:val="29"/>
          <w:szCs w:val="29"/>
        </w:rPr>
        <w:t>ueensland</w:t>
      </w:r>
    </w:p>
    <w:p w14:paraId="27E93920" w14:textId="53687F23" w:rsidR="00A44591" w:rsidRDefault="00A44591" w:rsidP="00A44591">
      <w:pPr>
        <w:tabs>
          <w:tab w:val="left" w:pos="567"/>
        </w:tabs>
      </w:pPr>
      <w:r w:rsidRPr="00A57667">
        <w:t>A1.</w:t>
      </w:r>
      <w:r w:rsidRPr="00A57667">
        <w:tab/>
        <w:t>To deliver the outputs of this Agreement, the following projects will be delivered by Queensland in 201</w:t>
      </w:r>
      <w:r>
        <w:t>7</w:t>
      </w:r>
      <w:r w:rsidR="00111462">
        <w:t>-18</w:t>
      </w:r>
      <w:r w:rsidRPr="00A57667">
        <w:t>:</w:t>
      </w:r>
    </w:p>
    <w:p w14:paraId="181BB8BA" w14:textId="7ADE2CF3" w:rsidR="00111462" w:rsidRDefault="00111462" w:rsidP="00111462">
      <w:pPr>
        <w:pStyle w:val="ListParagraph"/>
        <w:numPr>
          <w:ilvl w:val="0"/>
          <w:numId w:val="7"/>
        </w:numPr>
        <w:spacing w:after="120" w:line="260" w:lineRule="exact"/>
        <w:rPr>
          <w:rFonts w:ascii="Corbel" w:hAnsi="Corbel"/>
          <w:sz w:val="23"/>
          <w:szCs w:val="23"/>
        </w:rPr>
      </w:pPr>
      <w:r w:rsidRPr="00111462">
        <w:rPr>
          <w:rFonts w:ascii="Corbel" w:hAnsi="Corbel"/>
          <w:sz w:val="23"/>
          <w:szCs w:val="23"/>
        </w:rPr>
        <w:t xml:space="preserve">Project 29 </w:t>
      </w:r>
      <w:r>
        <w:rPr>
          <w:rFonts w:ascii="Corbel" w:hAnsi="Corbel"/>
          <w:sz w:val="23"/>
          <w:szCs w:val="23"/>
        </w:rPr>
        <w:t>–</w:t>
      </w:r>
      <w:r w:rsidRPr="00111462">
        <w:rPr>
          <w:rFonts w:ascii="Corbel" w:hAnsi="Corbel"/>
          <w:sz w:val="23"/>
          <w:szCs w:val="23"/>
        </w:rPr>
        <w:t xml:space="preserve"> </w:t>
      </w:r>
      <w:r w:rsidRPr="00111462">
        <w:rPr>
          <w:rFonts w:ascii="Corbel" w:hAnsi="Corbel"/>
          <w:i/>
          <w:sz w:val="23"/>
          <w:szCs w:val="23"/>
        </w:rPr>
        <w:t>Burketown Visitor Information Centre Upgrade</w:t>
      </w:r>
      <w:r>
        <w:rPr>
          <w:rFonts w:ascii="Corbel" w:hAnsi="Corbel"/>
          <w:sz w:val="23"/>
          <w:szCs w:val="23"/>
        </w:rPr>
        <w:t xml:space="preserve"> ($</w:t>
      </w:r>
      <w:r w:rsidRPr="00111462">
        <w:rPr>
          <w:rFonts w:ascii="Corbel" w:hAnsi="Corbel"/>
          <w:sz w:val="23"/>
          <w:szCs w:val="23"/>
        </w:rPr>
        <w:t>100</w:t>
      </w:r>
      <w:r>
        <w:rPr>
          <w:rFonts w:ascii="Corbel" w:hAnsi="Corbel"/>
          <w:sz w:val="23"/>
          <w:szCs w:val="23"/>
        </w:rPr>
        <w:t>,</w:t>
      </w:r>
      <w:r w:rsidRPr="00111462">
        <w:rPr>
          <w:rFonts w:ascii="Corbel" w:hAnsi="Corbel"/>
          <w:sz w:val="23"/>
          <w:szCs w:val="23"/>
        </w:rPr>
        <w:t>012</w:t>
      </w:r>
      <w:r>
        <w:rPr>
          <w:rFonts w:ascii="Corbel" w:hAnsi="Corbel"/>
          <w:sz w:val="23"/>
          <w:szCs w:val="23"/>
        </w:rPr>
        <w:t xml:space="preserve">). </w:t>
      </w:r>
      <w:r w:rsidRPr="00111462">
        <w:rPr>
          <w:rFonts w:ascii="Corbel" w:hAnsi="Corbel"/>
          <w:sz w:val="23"/>
          <w:szCs w:val="23"/>
        </w:rPr>
        <w:t>The project will see the upgrade and restoration of the heritage-listed Burketown Visitor Information Centre. Work includes shoring up the structure</w:t>
      </w:r>
      <w:r w:rsidR="00BC7D1A">
        <w:rPr>
          <w:rFonts w:ascii="Corbel" w:hAnsi="Corbel"/>
          <w:sz w:val="23"/>
          <w:szCs w:val="23"/>
        </w:rPr>
        <w:t>,</w:t>
      </w:r>
      <w:r w:rsidRPr="00111462">
        <w:rPr>
          <w:rFonts w:ascii="Corbel" w:hAnsi="Corbel"/>
          <w:sz w:val="23"/>
          <w:szCs w:val="23"/>
        </w:rPr>
        <w:t xml:space="preserve"> strengthening and improving resilience to flooding, restoration works to heritage elements, refurbishing existing amenities and creating a fully accessible toilet facility, and upgrading aged mechanical infrastructure, </w:t>
      </w:r>
      <w:r w:rsidR="00BC7D1A">
        <w:rPr>
          <w:rFonts w:ascii="Corbel" w:hAnsi="Corbel"/>
          <w:sz w:val="23"/>
          <w:szCs w:val="23"/>
        </w:rPr>
        <w:t>including</w:t>
      </w:r>
      <w:r w:rsidRPr="00111462">
        <w:rPr>
          <w:rFonts w:ascii="Corbel" w:hAnsi="Corbel"/>
          <w:sz w:val="23"/>
          <w:szCs w:val="23"/>
        </w:rPr>
        <w:t xml:space="preserve"> the </w:t>
      </w:r>
      <w:r w:rsidR="00BC7D1A">
        <w:rPr>
          <w:rFonts w:ascii="Corbel" w:hAnsi="Corbel"/>
          <w:sz w:val="23"/>
          <w:szCs w:val="23"/>
        </w:rPr>
        <w:t>air-</w:t>
      </w:r>
      <w:r w:rsidRPr="00111462">
        <w:rPr>
          <w:rFonts w:ascii="Corbel" w:hAnsi="Corbel"/>
          <w:sz w:val="23"/>
          <w:szCs w:val="23"/>
        </w:rPr>
        <w:t>conditioning units.</w:t>
      </w:r>
    </w:p>
    <w:p w14:paraId="7F90FC24" w14:textId="504F7E6A" w:rsidR="00111462" w:rsidRDefault="00111462" w:rsidP="00111462">
      <w:pPr>
        <w:pStyle w:val="ListParagraph"/>
        <w:numPr>
          <w:ilvl w:val="0"/>
          <w:numId w:val="7"/>
        </w:numPr>
        <w:spacing w:after="120" w:line="260" w:lineRule="exact"/>
        <w:rPr>
          <w:rFonts w:ascii="Corbel" w:hAnsi="Corbel"/>
          <w:sz w:val="23"/>
          <w:szCs w:val="23"/>
        </w:rPr>
      </w:pPr>
      <w:r w:rsidRPr="00111462">
        <w:rPr>
          <w:rFonts w:ascii="Corbel" w:hAnsi="Corbel"/>
          <w:sz w:val="23"/>
          <w:szCs w:val="23"/>
        </w:rPr>
        <w:t xml:space="preserve">Project 30 </w:t>
      </w:r>
      <w:r>
        <w:rPr>
          <w:rFonts w:ascii="Corbel" w:hAnsi="Corbel"/>
          <w:sz w:val="23"/>
          <w:szCs w:val="23"/>
        </w:rPr>
        <w:t>–</w:t>
      </w:r>
      <w:r w:rsidRPr="00111462">
        <w:rPr>
          <w:rFonts w:ascii="Corbel" w:hAnsi="Corbel"/>
          <w:sz w:val="23"/>
          <w:szCs w:val="23"/>
        </w:rPr>
        <w:t xml:space="preserve"> </w:t>
      </w:r>
      <w:r w:rsidRPr="00111462">
        <w:rPr>
          <w:rFonts w:ascii="Corbel" w:hAnsi="Corbel"/>
          <w:i/>
          <w:sz w:val="23"/>
          <w:szCs w:val="23"/>
        </w:rPr>
        <w:t>C</w:t>
      </w:r>
      <w:r>
        <w:rPr>
          <w:rFonts w:ascii="Corbel" w:hAnsi="Corbel"/>
          <w:i/>
          <w:sz w:val="23"/>
          <w:szCs w:val="23"/>
        </w:rPr>
        <w:t>a</w:t>
      </w:r>
      <w:r w:rsidRPr="00111462">
        <w:rPr>
          <w:rFonts w:ascii="Corbel" w:hAnsi="Corbel"/>
          <w:i/>
          <w:sz w:val="23"/>
          <w:szCs w:val="23"/>
        </w:rPr>
        <w:t>stle Hill Walking Track Upgrade</w:t>
      </w:r>
      <w:r w:rsidRPr="00111462">
        <w:rPr>
          <w:rFonts w:ascii="Corbel" w:hAnsi="Corbel"/>
          <w:sz w:val="23"/>
          <w:szCs w:val="23"/>
        </w:rPr>
        <w:t xml:space="preserve"> </w:t>
      </w:r>
      <w:r>
        <w:rPr>
          <w:rFonts w:ascii="Corbel" w:hAnsi="Corbel"/>
          <w:sz w:val="23"/>
          <w:szCs w:val="23"/>
        </w:rPr>
        <w:t xml:space="preserve">($300,000). </w:t>
      </w:r>
      <w:r w:rsidRPr="00111462">
        <w:rPr>
          <w:rFonts w:ascii="Corbel" w:hAnsi="Corbel"/>
          <w:sz w:val="23"/>
          <w:szCs w:val="23"/>
        </w:rPr>
        <w:t>This project is for track improvement works to increase walkability and safety through erosion reduction and repair, and the installation of additional lookout areas, seating and interpretative signage.</w:t>
      </w:r>
    </w:p>
    <w:p w14:paraId="282A2C78" w14:textId="50704742" w:rsidR="00111462" w:rsidRDefault="00111462" w:rsidP="00111462">
      <w:pPr>
        <w:pStyle w:val="ListParagraph"/>
        <w:numPr>
          <w:ilvl w:val="0"/>
          <w:numId w:val="7"/>
        </w:numPr>
        <w:spacing w:after="120" w:line="260" w:lineRule="exact"/>
        <w:rPr>
          <w:rFonts w:ascii="Corbel" w:hAnsi="Corbel"/>
          <w:sz w:val="23"/>
          <w:szCs w:val="23"/>
        </w:rPr>
      </w:pPr>
      <w:r w:rsidRPr="00111462">
        <w:rPr>
          <w:rFonts w:ascii="Corbel" w:hAnsi="Corbel"/>
          <w:sz w:val="23"/>
          <w:szCs w:val="23"/>
        </w:rPr>
        <w:t xml:space="preserve">Project 31 </w:t>
      </w:r>
      <w:r>
        <w:rPr>
          <w:rFonts w:ascii="Corbel" w:hAnsi="Corbel"/>
          <w:sz w:val="23"/>
          <w:szCs w:val="23"/>
        </w:rPr>
        <w:t>–</w:t>
      </w:r>
      <w:r w:rsidRPr="00111462">
        <w:rPr>
          <w:rFonts w:ascii="Corbel" w:hAnsi="Corbel"/>
          <w:sz w:val="23"/>
          <w:szCs w:val="23"/>
        </w:rPr>
        <w:t xml:space="preserve"> </w:t>
      </w:r>
      <w:r w:rsidRPr="00111462">
        <w:rPr>
          <w:rFonts w:ascii="Corbel" w:hAnsi="Corbel"/>
          <w:i/>
          <w:sz w:val="23"/>
          <w:szCs w:val="23"/>
        </w:rPr>
        <w:t>Signage at Cairns Aquarium</w:t>
      </w:r>
      <w:r>
        <w:rPr>
          <w:rFonts w:ascii="Corbel" w:hAnsi="Corbel"/>
          <w:sz w:val="23"/>
          <w:szCs w:val="23"/>
        </w:rPr>
        <w:t xml:space="preserve"> ($150,000). </w:t>
      </w:r>
      <w:r w:rsidRPr="00111462">
        <w:rPr>
          <w:rFonts w:ascii="Corbel" w:hAnsi="Corbel"/>
          <w:sz w:val="23"/>
          <w:szCs w:val="23"/>
        </w:rPr>
        <w:t>This project will see the design, production and installation within the aquarium</w:t>
      </w:r>
      <w:r w:rsidR="00BC7D1A">
        <w:rPr>
          <w:rFonts w:ascii="Corbel" w:hAnsi="Corbel"/>
          <w:sz w:val="23"/>
          <w:szCs w:val="23"/>
        </w:rPr>
        <w:t xml:space="preserve"> of</w:t>
      </w:r>
      <w:r w:rsidRPr="00111462">
        <w:rPr>
          <w:rFonts w:ascii="Corbel" w:hAnsi="Corbel"/>
          <w:sz w:val="23"/>
          <w:szCs w:val="23"/>
        </w:rPr>
        <w:t xml:space="preserve"> interpretive signage which promotes conservation and protection of the regions natural environmental assets.</w:t>
      </w:r>
    </w:p>
    <w:p w14:paraId="4411B578" w14:textId="7D6B5CB5" w:rsidR="00111462" w:rsidRDefault="00111462" w:rsidP="00111462">
      <w:pPr>
        <w:pStyle w:val="ListParagraph"/>
        <w:numPr>
          <w:ilvl w:val="0"/>
          <w:numId w:val="7"/>
        </w:numPr>
        <w:spacing w:after="120" w:line="260" w:lineRule="exact"/>
        <w:rPr>
          <w:rFonts w:ascii="Corbel" w:hAnsi="Corbel"/>
          <w:sz w:val="23"/>
          <w:szCs w:val="23"/>
        </w:rPr>
      </w:pPr>
      <w:r w:rsidRPr="00111462">
        <w:rPr>
          <w:rFonts w:ascii="Corbel" w:hAnsi="Corbel"/>
          <w:sz w:val="23"/>
          <w:szCs w:val="23"/>
        </w:rPr>
        <w:t xml:space="preserve">Project 32 </w:t>
      </w:r>
      <w:r>
        <w:rPr>
          <w:rFonts w:ascii="Corbel" w:hAnsi="Corbel"/>
          <w:sz w:val="23"/>
          <w:szCs w:val="23"/>
        </w:rPr>
        <w:t>–</w:t>
      </w:r>
      <w:r w:rsidRPr="00111462">
        <w:rPr>
          <w:rFonts w:ascii="Corbel" w:hAnsi="Corbel"/>
          <w:sz w:val="23"/>
          <w:szCs w:val="23"/>
        </w:rPr>
        <w:t xml:space="preserve"> </w:t>
      </w:r>
      <w:r w:rsidRPr="00111462">
        <w:rPr>
          <w:rFonts w:ascii="Corbel" w:hAnsi="Corbel"/>
          <w:i/>
          <w:sz w:val="23"/>
          <w:szCs w:val="23"/>
        </w:rPr>
        <w:t>Arts Attracting Tourists (Mount Isa Regional Gallery Upgrade)</w:t>
      </w:r>
      <w:r>
        <w:rPr>
          <w:rFonts w:ascii="Corbel" w:hAnsi="Corbel"/>
          <w:sz w:val="23"/>
          <w:szCs w:val="23"/>
        </w:rPr>
        <w:t xml:space="preserve"> ($155,000). </w:t>
      </w:r>
      <w:r w:rsidRPr="00111462">
        <w:rPr>
          <w:rFonts w:ascii="Corbel" w:hAnsi="Corbel"/>
          <w:sz w:val="23"/>
          <w:szCs w:val="23"/>
        </w:rPr>
        <w:t>Th</w:t>
      </w:r>
      <w:r>
        <w:rPr>
          <w:rFonts w:ascii="Corbel" w:hAnsi="Corbel"/>
          <w:sz w:val="23"/>
          <w:szCs w:val="23"/>
        </w:rPr>
        <w:t>e</w:t>
      </w:r>
      <w:r w:rsidRPr="00111462">
        <w:rPr>
          <w:rFonts w:ascii="Corbel" w:hAnsi="Corbel"/>
          <w:sz w:val="23"/>
          <w:szCs w:val="23"/>
        </w:rPr>
        <w:t xml:space="preserve"> aim of this project is to upgrade the gallery to add multi-functional spaces capable of hosting a diverse range of exhibitions &amp; activities. Work includes major structural construction and redesign of the building.</w:t>
      </w:r>
    </w:p>
    <w:p w14:paraId="69390099" w14:textId="7687116A" w:rsidR="00111462" w:rsidRDefault="00111462" w:rsidP="00111462">
      <w:pPr>
        <w:pStyle w:val="ListParagraph"/>
        <w:numPr>
          <w:ilvl w:val="0"/>
          <w:numId w:val="7"/>
        </w:numPr>
        <w:spacing w:after="120" w:line="260" w:lineRule="exact"/>
        <w:rPr>
          <w:rFonts w:ascii="Corbel" w:hAnsi="Corbel"/>
          <w:sz w:val="23"/>
          <w:szCs w:val="23"/>
        </w:rPr>
      </w:pPr>
      <w:r w:rsidRPr="00111462">
        <w:rPr>
          <w:rFonts w:ascii="Corbel" w:hAnsi="Corbel"/>
          <w:sz w:val="23"/>
          <w:szCs w:val="23"/>
        </w:rPr>
        <w:t xml:space="preserve">Project 33 </w:t>
      </w:r>
      <w:r>
        <w:rPr>
          <w:rFonts w:ascii="Corbel" w:hAnsi="Corbel"/>
          <w:sz w:val="23"/>
          <w:szCs w:val="23"/>
        </w:rPr>
        <w:t>–</w:t>
      </w:r>
      <w:r w:rsidRPr="00111462">
        <w:rPr>
          <w:rFonts w:ascii="Corbel" w:hAnsi="Corbel"/>
          <w:sz w:val="23"/>
          <w:szCs w:val="23"/>
        </w:rPr>
        <w:t xml:space="preserve"> </w:t>
      </w:r>
      <w:r w:rsidRPr="00111462">
        <w:rPr>
          <w:rFonts w:ascii="Corbel" w:hAnsi="Corbel"/>
          <w:i/>
          <w:sz w:val="23"/>
          <w:szCs w:val="23"/>
        </w:rPr>
        <w:t>Point Lookout Coastal Trail Network on North Stradbroke Island</w:t>
      </w:r>
      <w:r>
        <w:rPr>
          <w:rFonts w:ascii="Corbel" w:hAnsi="Corbel"/>
          <w:sz w:val="23"/>
          <w:szCs w:val="23"/>
        </w:rPr>
        <w:t xml:space="preserve"> ($300,000). </w:t>
      </w:r>
      <w:r w:rsidRPr="00111462">
        <w:rPr>
          <w:rFonts w:ascii="Corbel" w:hAnsi="Corbel"/>
          <w:sz w:val="23"/>
          <w:szCs w:val="23"/>
        </w:rPr>
        <w:t>This project will see the upgrade of an existing walking track between Snapper Street and the Gorge Walk Trailhead, through the construction of a timber boardwalk. There will be viewing areas and rest stops, way-finding and interpretive signage installed along the walk.</w:t>
      </w:r>
    </w:p>
    <w:p w14:paraId="7FA5D7A0" w14:textId="40147F68" w:rsidR="00111462" w:rsidRDefault="00111462" w:rsidP="00111462">
      <w:pPr>
        <w:pStyle w:val="ListParagraph"/>
        <w:numPr>
          <w:ilvl w:val="0"/>
          <w:numId w:val="7"/>
        </w:numPr>
        <w:spacing w:after="120" w:line="260" w:lineRule="exact"/>
        <w:rPr>
          <w:rFonts w:ascii="Corbel" w:hAnsi="Corbel"/>
          <w:sz w:val="23"/>
          <w:szCs w:val="23"/>
        </w:rPr>
      </w:pPr>
      <w:r w:rsidRPr="00111462">
        <w:rPr>
          <w:rFonts w:ascii="Corbel" w:hAnsi="Corbel"/>
          <w:sz w:val="23"/>
          <w:szCs w:val="23"/>
        </w:rPr>
        <w:t xml:space="preserve">Project 34 </w:t>
      </w:r>
      <w:r>
        <w:rPr>
          <w:rFonts w:ascii="Corbel" w:hAnsi="Corbel"/>
          <w:sz w:val="23"/>
          <w:szCs w:val="23"/>
        </w:rPr>
        <w:t>–</w:t>
      </w:r>
      <w:r w:rsidRPr="00111462">
        <w:rPr>
          <w:rFonts w:ascii="Corbel" w:hAnsi="Corbel"/>
          <w:sz w:val="23"/>
          <w:szCs w:val="23"/>
        </w:rPr>
        <w:t xml:space="preserve"> </w:t>
      </w:r>
      <w:proofErr w:type="spellStart"/>
      <w:r w:rsidRPr="00111462">
        <w:rPr>
          <w:rFonts w:ascii="Corbel" w:hAnsi="Corbel"/>
          <w:i/>
          <w:sz w:val="23"/>
          <w:szCs w:val="23"/>
        </w:rPr>
        <w:t>Coolgaree</w:t>
      </w:r>
      <w:proofErr w:type="spellEnd"/>
      <w:r w:rsidRPr="00111462">
        <w:rPr>
          <w:rFonts w:ascii="Corbel" w:hAnsi="Corbel"/>
          <w:i/>
          <w:sz w:val="23"/>
          <w:szCs w:val="23"/>
        </w:rPr>
        <w:t xml:space="preserve"> Bay Foreshore Redevelopment Stage 1</w:t>
      </w:r>
      <w:r>
        <w:rPr>
          <w:rFonts w:ascii="Corbel" w:hAnsi="Corbel"/>
          <w:sz w:val="23"/>
          <w:szCs w:val="23"/>
        </w:rPr>
        <w:t xml:space="preserve"> ($</w:t>
      </w:r>
      <w:r w:rsidRPr="00111462">
        <w:rPr>
          <w:rFonts w:ascii="Corbel" w:hAnsi="Corbel"/>
          <w:sz w:val="23"/>
          <w:szCs w:val="23"/>
        </w:rPr>
        <w:t>164</w:t>
      </w:r>
      <w:r>
        <w:rPr>
          <w:rFonts w:ascii="Corbel" w:hAnsi="Corbel"/>
          <w:sz w:val="23"/>
          <w:szCs w:val="23"/>
        </w:rPr>
        <w:t>,</w:t>
      </w:r>
      <w:r w:rsidRPr="00111462">
        <w:rPr>
          <w:rFonts w:ascii="Corbel" w:hAnsi="Corbel"/>
          <w:sz w:val="23"/>
          <w:szCs w:val="23"/>
        </w:rPr>
        <w:t>650</w:t>
      </w:r>
      <w:r>
        <w:rPr>
          <w:rFonts w:ascii="Corbel" w:hAnsi="Corbel"/>
          <w:sz w:val="23"/>
          <w:szCs w:val="23"/>
        </w:rPr>
        <w:t xml:space="preserve">). </w:t>
      </w:r>
      <w:r w:rsidRPr="00111462">
        <w:rPr>
          <w:rFonts w:ascii="Corbel" w:hAnsi="Corbel"/>
          <w:sz w:val="23"/>
          <w:szCs w:val="23"/>
        </w:rPr>
        <w:t xml:space="preserve">This project is the first stage of the foreshore redevelopment. Project activities comprise public seating, electrical work including lighting and first fit wiring for stage two installation of CCTV surveillance, landscaping design and development, and a permanent public use </w:t>
      </w:r>
      <w:proofErr w:type="spellStart"/>
      <w:r w:rsidRPr="00111462">
        <w:rPr>
          <w:rFonts w:ascii="Corbel" w:hAnsi="Corbel"/>
          <w:sz w:val="23"/>
          <w:szCs w:val="23"/>
        </w:rPr>
        <w:t>Kup</w:t>
      </w:r>
      <w:proofErr w:type="spellEnd"/>
      <w:r w:rsidRPr="00111462">
        <w:rPr>
          <w:rFonts w:ascii="Corbel" w:hAnsi="Corbel"/>
          <w:sz w:val="23"/>
          <w:szCs w:val="23"/>
        </w:rPr>
        <w:t xml:space="preserve"> Murri (underground oven) pit, as well as ceremonial representations of local cultural groups.</w:t>
      </w:r>
    </w:p>
    <w:p w14:paraId="6D687D43" w14:textId="3BAE5DBF" w:rsidR="00111462" w:rsidRDefault="00111462" w:rsidP="00111462">
      <w:pPr>
        <w:pStyle w:val="ListParagraph"/>
        <w:numPr>
          <w:ilvl w:val="0"/>
          <w:numId w:val="7"/>
        </w:numPr>
        <w:spacing w:after="120" w:line="260" w:lineRule="exact"/>
        <w:rPr>
          <w:rFonts w:ascii="Corbel" w:hAnsi="Corbel"/>
          <w:sz w:val="23"/>
          <w:szCs w:val="23"/>
        </w:rPr>
      </w:pPr>
      <w:r w:rsidRPr="00111462">
        <w:rPr>
          <w:rFonts w:ascii="Corbel" w:hAnsi="Corbel"/>
          <w:sz w:val="23"/>
          <w:szCs w:val="23"/>
        </w:rPr>
        <w:t xml:space="preserve">Project 35 - </w:t>
      </w:r>
      <w:r w:rsidRPr="00111462">
        <w:rPr>
          <w:rFonts w:ascii="Corbel" w:hAnsi="Corbel"/>
          <w:i/>
          <w:sz w:val="23"/>
          <w:szCs w:val="23"/>
        </w:rPr>
        <w:t>Bring the Super Constellation to Longreach</w:t>
      </w:r>
      <w:r>
        <w:rPr>
          <w:rFonts w:ascii="Corbel" w:hAnsi="Corbel"/>
          <w:sz w:val="23"/>
          <w:szCs w:val="23"/>
        </w:rPr>
        <w:t xml:space="preserve"> ($300,000). </w:t>
      </w:r>
      <w:r w:rsidRPr="00111462">
        <w:rPr>
          <w:rFonts w:ascii="Corbel" w:hAnsi="Corbel"/>
          <w:sz w:val="23"/>
          <w:szCs w:val="23"/>
        </w:rPr>
        <w:t>This project is to transport the Super Constellation from Manila to Longreach, and to undertake external restoration and reassembly at Longreach.</w:t>
      </w:r>
    </w:p>
    <w:p w14:paraId="2B4F2A1A" w14:textId="05D88791" w:rsidR="00111462" w:rsidRPr="00111462" w:rsidRDefault="00111462" w:rsidP="00111462">
      <w:pPr>
        <w:pStyle w:val="ListParagraph"/>
        <w:numPr>
          <w:ilvl w:val="0"/>
          <w:numId w:val="7"/>
        </w:numPr>
        <w:spacing w:after="120" w:line="260" w:lineRule="exact"/>
        <w:rPr>
          <w:rFonts w:ascii="Corbel" w:hAnsi="Corbel"/>
          <w:sz w:val="23"/>
          <w:szCs w:val="23"/>
        </w:rPr>
      </w:pPr>
      <w:r w:rsidRPr="00111462">
        <w:rPr>
          <w:rFonts w:ascii="Corbel" w:hAnsi="Corbel"/>
          <w:sz w:val="23"/>
          <w:szCs w:val="23"/>
        </w:rPr>
        <w:t xml:space="preserve">Project 36 - </w:t>
      </w:r>
      <w:r w:rsidRPr="00111462">
        <w:rPr>
          <w:rFonts w:ascii="Corbel" w:hAnsi="Corbel"/>
          <w:i/>
          <w:sz w:val="23"/>
          <w:szCs w:val="23"/>
        </w:rPr>
        <w:t>Wreck Point</w:t>
      </w:r>
      <w:r>
        <w:rPr>
          <w:rFonts w:ascii="Corbel" w:hAnsi="Corbel"/>
          <w:sz w:val="23"/>
          <w:szCs w:val="23"/>
        </w:rPr>
        <w:t xml:space="preserve"> ($</w:t>
      </w:r>
      <w:r w:rsidRPr="00111462">
        <w:rPr>
          <w:rFonts w:ascii="Corbel" w:hAnsi="Corbel"/>
          <w:sz w:val="23"/>
          <w:szCs w:val="23"/>
        </w:rPr>
        <w:t>148</w:t>
      </w:r>
      <w:r>
        <w:rPr>
          <w:rFonts w:ascii="Corbel" w:hAnsi="Corbel"/>
          <w:sz w:val="23"/>
          <w:szCs w:val="23"/>
        </w:rPr>
        <w:t>,</w:t>
      </w:r>
      <w:r w:rsidRPr="00111462">
        <w:rPr>
          <w:rFonts w:ascii="Corbel" w:hAnsi="Corbel"/>
          <w:sz w:val="23"/>
          <w:szCs w:val="23"/>
        </w:rPr>
        <w:t>800</w:t>
      </w:r>
      <w:r>
        <w:rPr>
          <w:rFonts w:ascii="Corbel" w:hAnsi="Corbel"/>
          <w:sz w:val="23"/>
          <w:szCs w:val="23"/>
        </w:rPr>
        <w:t xml:space="preserve">). </w:t>
      </w:r>
      <w:r w:rsidRPr="00111462">
        <w:rPr>
          <w:rFonts w:ascii="Corbel" w:hAnsi="Corbel"/>
          <w:sz w:val="23"/>
          <w:szCs w:val="23"/>
        </w:rPr>
        <w:t xml:space="preserve">The project is to create a new </w:t>
      </w:r>
      <w:r w:rsidR="00B8785E">
        <w:rPr>
          <w:rFonts w:ascii="Corbel" w:hAnsi="Corbel"/>
          <w:sz w:val="23"/>
          <w:szCs w:val="23"/>
        </w:rPr>
        <w:t xml:space="preserve">walking track and </w:t>
      </w:r>
      <w:r w:rsidR="00813311">
        <w:rPr>
          <w:rFonts w:ascii="Corbel" w:hAnsi="Corbel"/>
          <w:sz w:val="23"/>
          <w:szCs w:val="23"/>
        </w:rPr>
        <w:t xml:space="preserve">viewing point </w:t>
      </w:r>
      <w:r w:rsidR="00B8785E">
        <w:rPr>
          <w:rFonts w:ascii="Corbel" w:hAnsi="Corbel"/>
          <w:sz w:val="23"/>
          <w:szCs w:val="23"/>
        </w:rPr>
        <w:t xml:space="preserve">below </w:t>
      </w:r>
      <w:r w:rsidRPr="00111462">
        <w:rPr>
          <w:rFonts w:ascii="Corbel" w:hAnsi="Corbel"/>
          <w:sz w:val="23"/>
          <w:szCs w:val="23"/>
        </w:rPr>
        <w:t>the current Wreck Point Lookout. The new viewing point will have timber decking, picnic tables and seating, as well as a fixed viewing telescope to view the offshore islands.</w:t>
      </w:r>
    </w:p>
    <w:p w14:paraId="2D04B039" w14:textId="77777777" w:rsidR="00A44591" w:rsidRDefault="00A44591" w:rsidP="007213AB">
      <w:pPr>
        <w:tabs>
          <w:tab w:val="left" w:pos="567"/>
        </w:tabs>
      </w:pPr>
    </w:p>
    <w:p w14:paraId="2C4A4E66" w14:textId="77777777" w:rsidR="00111462" w:rsidRDefault="00111462">
      <w:pPr>
        <w:spacing w:after="200" w:line="276" w:lineRule="auto"/>
        <w:jc w:val="left"/>
      </w:pPr>
      <w:r>
        <w:br w:type="page"/>
      </w:r>
    </w:p>
    <w:p w14:paraId="2E2C55B3" w14:textId="4CD897F4" w:rsidR="007213AB" w:rsidRDefault="007213AB" w:rsidP="007213AB">
      <w:pPr>
        <w:tabs>
          <w:tab w:val="left" w:pos="567"/>
        </w:tabs>
      </w:pPr>
      <w:r w:rsidRPr="00A57667">
        <w:lastRenderedPageBreak/>
        <w:t>To deliver the outputs of this Agreement, the following projects will be delivered by Queensland in 2016</w:t>
      </w:r>
      <w:r>
        <w:t>-17</w:t>
      </w:r>
      <w:r w:rsidRPr="00A57667">
        <w:t>:</w:t>
      </w:r>
    </w:p>
    <w:p w14:paraId="761C0FD5" w14:textId="792AA2CA" w:rsidR="003C78BE" w:rsidRDefault="003C78BE" w:rsidP="007213AB">
      <w:pPr>
        <w:tabs>
          <w:tab w:val="left" w:pos="567"/>
        </w:tabs>
      </w:pPr>
      <w:r>
        <w:t>Tranche 2 projects</w:t>
      </w:r>
    </w:p>
    <w:p w14:paraId="73B413BE" w14:textId="561F11A5" w:rsidR="003C78BE" w:rsidRPr="00111462" w:rsidRDefault="00303724" w:rsidP="00111462">
      <w:pPr>
        <w:pStyle w:val="ListParagraph"/>
        <w:numPr>
          <w:ilvl w:val="0"/>
          <w:numId w:val="35"/>
        </w:numPr>
        <w:spacing w:after="120" w:line="260" w:lineRule="exact"/>
        <w:rPr>
          <w:rFonts w:ascii="Corbel" w:hAnsi="Corbel"/>
          <w:sz w:val="23"/>
          <w:szCs w:val="23"/>
        </w:rPr>
      </w:pPr>
      <w:r w:rsidRPr="00111462">
        <w:rPr>
          <w:rFonts w:ascii="Corbel" w:hAnsi="Corbel"/>
          <w:sz w:val="23"/>
          <w:szCs w:val="23"/>
        </w:rPr>
        <w:t>Project 27 – Tourism Industry Capability ($388,983). Through this capacity building project small-to-medium tourism operators in regional Queensland will be assisted to develop their skills in four key priority areas: quality service, digital capability, business capability, and events capability. The project will be delivered through the Regional Tourism Organisations.</w:t>
      </w:r>
    </w:p>
    <w:p w14:paraId="1FFB86A5" w14:textId="432B10C4" w:rsidR="00303724" w:rsidRPr="00111462" w:rsidRDefault="00303724" w:rsidP="00111462">
      <w:pPr>
        <w:pStyle w:val="ListParagraph"/>
        <w:numPr>
          <w:ilvl w:val="0"/>
          <w:numId w:val="35"/>
        </w:numPr>
        <w:spacing w:after="120" w:line="260" w:lineRule="exact"/>
        <w:rPr>
          <w:rFonts w:ascii="Corbel" w:hAnsi="Corbel"/>
          <w:sz w:val="23"/>
          <w:szCs w:val="23"/>
        </w:rPr>
      </w:pPr>
      <w:r w:rsidRPr="00111462">
        <w:rPr>
          <w:rFonts w:ascii="Corbel" w:hAnsi="Corbel"/>
          <w:sz w:val="23"/>
          <w:szCs w:val="23"/>
        </w:rPr>
        <w:t>Project 28 – ‘Be-My-Guest’ Embracing 2018 ($60,000). This project is the continued implementation of action plan recommendations outcomes from the 2014-15 TDDI Project 3 - Commonwealth Games Service Initiative. This project will facilitate Cairns and Townsville businesses to gain knowledge and skills to respond to and meet the rising expectation of guests. The project will support front-line operators and business managers and owners to shift their customer service from a functional service focus to a responsive, flexible and inclusive way.</w:t>
      </w:r>
    </w:p>
    <w:p w14:paraId="2D9857B0" w14:textId="77777777" w:rsidR="003C78BE" w:rsidRDefault="003C78BE" w:rsidP="007213AB">
      <w:pPr>
        <w:tabs>
          <w:tab w:val="left" w:pos="567"/>
        </w:tabs>
      </w:pPr>
    </w:p>
    <w:p w14:paraId="23D09CF9" w14:textId="1BC5C253" w:rsidR="007213AB" w:rsidRPr="00A43004" w:rsidRDefault="007213AB" w:rsidP="007213AB">
      <w:pPr>
        <w:pStyle w:val="Normalnumbered"/>
        <w:numPr>
          <w:ilvl w:val="0"/>
          <w:numId w:val="0"/>
        </w:numPr>
        <w:spacing w:after="120"/>
        <w:ind w:left="284"/>
        <w:jc w:val="left"/>
        <w:rPr>
          <w:szCs w:val="23"/>
        </w:rPr>
      </w:pPr>
      <w:r w:rsidRPr="00A43004">
        <w:rPr>
          <w:szCs w:val="23"/>
        </w:rPr>
        <w:t xml:space="preserve">Tranche </w:t>
      </w:r>
      <w:r>
        <w:rPr>
          <w:szCs w:val="23"/>
        </w:rPr>
        <w:t>1</w:t>
      </w:r>
      <w:r w:rsidRPr="00A43004">
        <w:rPr>
          <w:szCs w:val="23"/>
        </w:rPr>
        <w:t xml:space="preserve"> projects</w:t>
      </w:r>
    </w:p>
    <w:p w14:paraId="1522C584" w14:textId="704A50FE" w:rsidR="007213AB" w:rsidRPr="00A43004" w:rsidRDefault="007213AB" w:rsidP="00111462">
      <w:pPr>
        <w:pStyle w:val="ListParagraph"/>
        <w:numPr>
          <w:ilvl w:val="0"/>
          <w:numId w:val="34"/>
        </w:numPr>
        <w:spacing w:after="120" w:line="260" w:lineRule="exact"/>
        <w:rPr>
          <w:rFonts w:ascii="Corbel" w:hAnsi="Corbel"/>
          <w:sz w:val="23"/>
          <w:szCs w:val="23"/>
        </w:rPr>
      </w:pPr>
      <w:r w:rsidRPr="00A43004">
        <w:rPr>
          <w:rFonts w:ascii="Corbel" w:hAnsi="Corbel"/>
          <w:sz w:val="23"/>
          <w:szCs w:val="23"/>
        </w:rPr>
        <w:t xml:space="preserve">Project 16 – </w:t>
      </w:r>
      <w:r w:rsidRPr="00A43004">
        <w:rPr>
          <w:rFonts w:ascii="Corbel" w:hAnsi="Corbel"/>
          <w:i/>
          <w:sz w:val="23"/>
          <w:szCs w:val="23"/>
        </w:rPr>
        <w:t xml:space="preserve">Dinosaur Canyon Pathway </w:t>
      </w:r>
      <w:r>
        <w:rPr>
          <w:rFonts w:ascii="Corbel" w:hAnsi="Corbel"/>
          <w:i/>
          <w:sz w:val="23"/>
          <w:szCs w:val="23"/>
        </w:rPr>
        <w:t>Infrastructure</w:t>
      </w:r>
      <w:r w:rsidRPr="00A43004">
        <w:rPr>
          <w:rFonts w:ascii="Corbel" w:hAnsi="Corbel"/>
          <w:sz w:val="23"/>
          <w:szCs w:val="23"/>
        </w:rPr>
        <w:t xml:space="preserve"> ($151,000</w:t>
      </w:r>
      <w:r w:rsidRPr="00521ACF">
        <w:rPr>
          <w:rFonts w:ascii="Corbel" w:hAnsi="Corbel"/>
          <w:sz w:val="23"/>
          <w:szCs w:val="23"/>
        </w:rPr>
        <w:t>).  This project is to construct</w:t>
      </w:r>
      <w:r w:rsidRPr="00A43004">
        <w:rPr>
          <w:rFonts w:ascii="Corbel" w:hAnsi="Corbel"/>
          <w:sz w:val="23"/>
          <w:szCs w:val="23"/>
        </w:rPr>
        <w:t xml:space="preserve"> fully accessible disabled-certified pathway infrastructure from the reception area to the Cretaceous Garden and the viewing areas of the first of four Outdoor Galleries at the Dinosaur Canyon.</w:t>
      </w:r>
    </w:p>
    <w:p w14:paraId="7200103F" w14:textId="6E120E57" w:rsidR="007213AB" w:rsidRPr="00521ACF" w:rsidRDefault="007213AB" w:rsidP="00111462">
      <w:pPr>
        <w:pStyle w:val="ListParagraph"/>
        <w:numPr>
          <w:ilvl w:val="0"/>
          <w:numId w:val="34"/>
        </w:numPr>
        <w:spacing w:after="120" w:line="260" w:lineRule="exact"/>
        <w:rPr>
          <w:rFonts w:ascii="Corbel" w:hAnsi="Corbel"/>
          <w:sz w:val="23"/>
          <w:szCs w:val="23"/>
        </w:rPr>
      </w:pPr>
      <w:r w:rsidRPr="00521ACF">
        <w:rPr>
          <w:rFonts w:ascii="Corbel" w:hAnsi="Corbel"/>
          <w:sz w:val="23"/>
          <w:szCs w:val="23"/>
        </w:rPr>
        <w:t xml:space="preserve">Project 17 – </w:t>
      </w:r>
      <w:r w:rsidRPr="00521ACF">
        <w:rPr>
          <w:rFonts w:ascii="Corbel" w:hAnsi="Corbel"/>
          <w:i/>
          <w:sz w:val="23"/>
          <w:szCs w:val="23"/>
        </w:rPr>
        <w:t xml:space="preserve">Muttaburrasaurus Interpretation Centre – Stage 1 </w:t>
      </w:r>
      <w:r w:rsidRPr="00521ACF">
        <w:rPr>
          <w:rFonts w:ascii="Corbel" w:hAnsi="Corbel"/>
          <w:sz w:val="23"/>
          <w:szCs w:val="23"/>
        </w:rPr>
        <w:t xml:space="preserve">($262,750).  This project will see the construction of an interpretation centre building. It will house the skeleton of the </w:t>
      </w:r>
      <w:proofErr w:type="spellStart"/>
      <w:r w:rsidRPr="00521ACF">
        <w:rPr>
          <w:rFonts w:ascii="Corbel" w:hAnsi="Corbel"/>
          <w:sz w:val="23"/>
          <w:szCs w:val="23"/>
        </w:rPr>
        <w:t>Muttaburrasaurus</w:t>
      </w:r>
      <w:proofErr w:type="spellEnd"/>
      <w:r w:rsidRPr="00521ACF">
        <w:rPr>
          <w:rFonts w:ascii="Corbel" w:hAnsi="Corbel"/>
          <w:sz w:val="23"/>
          <w:szCs w:val="23"/>
        </w:rPr>
        <w:t xml:space="preserve"> </w:t>
      </w:r>
      <w:proofErr w:type="spellStart"/>
      <w:r w:rsidRPr="00521ACF">
        <w:rPr>
          <w:rFonts w:ascii="Corbel" w:hAnsi="Corbel"/>
          <w:sz w:val="23"/>
          <w:szCs w:val="23"/>
        </w:rPr>
        <w:t>Langdoni</w:t>
      </w:r>
      <w:proofErr w:type="spellEnd"/>
      <w:r w:rsidRPr="00521ACF">
        <w:rPr>
          <w:rFonts w:ascii="Corbel" w:hAnsi="Corbel"/>
          <w:sz w:val="23"/>
          <w:szCs w:val="23"/>
        </w:rPr>
        <w:t xml:space="preserve"> and have interpretation on the ornithopod group of dinosaurs. The facility will have an area able to be hired for events.</w:t>
      </w:r>
    </w:p>
    <w:p w14:paraId="077C430A" w14:textId="45BD195D" w:rsidR="007213AB" w:rsidRPr="00521ACF" w:rsidRDefault="007213AB" w:rsidP="00111462">
      <w:pPr>
        <w:pStyle w:val="ListParagraph"/>
        <w:numPr>
          <w:ilvl w:val="0"/>
          <w:numId w:val="34"/>
        </w:numPr>
        <w:spacing w:after="120" w:line="260" w:lineRule="exact"/>
        <w:rPr>
          <w:rFonts w:ascii="Corbel" w:hAnsi="Corbel"/>
          <w:sz w:val="23"/>
          <w:szCs w:val="23"/>
        </w:rPr>
      </w:pPr>
      <w:r w:rsidRPr="00521ACF">
        <w:rPr>
          <w:rFonts w:ascii="Corbel" w:hAnsi="Corbel"/>
          <w:sz w:val="23"/>
          <w:szCs w:val="23"/>
        </w:rPr>
        <w:t xml:space="preserve">Project 18 – </w:t>
      </w:r>
      <w:r w:rsidRPr="00521ACF">
        <w:rPr>
          <w:rFonts w:ascii="Corbel" w:hAnsi="Corbel"/>
          <w:i/>
          <w:sz w:val="23"/>
          <w:szCs w:val="23"/>
        </w:rPr>
        <w:t xml:space="preserve">Construction of the Sapphire Gemfields Interpretive Trail </w:t>
      </w:r>
      <w:r w:rsidRPr="00521ACF">
        <w:rPr>
          <w:rFonts w:ascii="Corbel" w:hAnsi="Corbel"/>
          <w:sz w:val="23"/>
          <w:szCs w:val="23"/>
        </w:rPr>
        <w:t>($245,950).  This project entails the construction and installation of an interpretive trail and infrastructure across the Sapphire Gemfields area. Interpretation includes information panels, displays, exhibits and place markers, as well as geo-caching technology to guide and direct, and art features that are reflective of the local region.</w:t>
      </w:r>
    </w:p>
    <w:p w14:paraId="45249DBD" w14:textId="43FA3A0A" w:rsidR="007213AB" w:rsidRPr="00521ACF" w:rsidRDefault="007213AB" w:rsidP="00111462">
      <w:pPr>
        <w:pStyle w:val="ListParagraph"/>
        <w:numPr>
          <w:ilvl w:val="0"/>
          <w:numId w:val="34"/>
        </w:numPr>
        <w:spacing w:after="120" w:line="260" w:lineRule="exact"/>
        <w:rPr>
          <w:rFonts w:ascii="Corbel" w:hAnsi="Corbel"/>
          <w:sz w:val="23"/>
          <w:szCs w:val="23"/>
        </w:rPr>
      </w:pPr>
      <w:r w:rsidRPr="00521ACF">
        <w:rPr>
          <w:rFonts w:ascii="Corbel" w:hAnsi="Corbel"/>
          <w:sz w:val="23"/>
          <w:szCs w:val="23"/>
        </w:rPr>
        <w:t xml:space="preserve">Project 19 – </w:t>
      </w:r>
      <w:r w:rsidRPr="00521ACF">
        <w:rPr>
          <w:rFonts w:ascii="Corbel" w:hAnsi="Corbel"/>
          <w:i/>
          <w:sz w:val="23"/>
          <w:szCs w:val="23"/>
        </w:rPr>
        <w:t xml:space="preserve">Cloncurry Equestrian Events Centre </w:t>
      </w:r>
      <w:r w:rsidRPr="00521ACF">
        <w:rPr>
          <w:rFonts w:ascii="Corbel" w:hAnsi="Corbel"/>
          <w:sz w:val="23"/>
          <w:szCs w:val="23"/>
        </w:rPr>
        <w:t xml:space="preserve">($100,000).  The project is to construct a shaded equestrian events centre with catering, bar, storage, and ancillary spectator facilities. The new facilities will </w:t>
      </w:r>
      <w:r w:rsidR="00DF7175">
        <w:rPr>
          <w:rFonts w:ascii="Corbel" w:hAnsi="Corbel"/>
          <w:sz w:val="23"/>
          <w:szCs w:val="23"/>
        </w:rPr>
        <w:t xml:space="preserve">add to existing facilities and </w:t>
      </w:r>
      <w:r w:rsidRPr="00521ACF">
        <w:rPr>
          <w:rFonts w:ascii="Corbel" w:hAnsi="Corbel"/>
          <w:sz w:val="23"/>
          <w:szCs w:val="23"/>
        </w:rPr>
        <w:t>enhance the spectator experience at the many events held there.</w:t>
      </w:r>
    </w:p>
    <w:p w14:paraId="28C443F6" w14:textId="71916A7F" w:rsidR="007213AB" w:rsidRPr="00521ACF" w:rsidRDefault="007213AB" w:rsidP="00111462">
      <w:pPr>
        <w:pStyle w:val="ListParagraph"/>
        <w:numPr>
          <w:ilvl w:val="0"/>
          <w:numId w:val="34"/>
        </w:numPr>
        <w:spacing w:after="120" w:line="260" w:lineRule="exact"/>
        <w:rPr>
          <w:rFonts w:ascii="Corbel" w:hAnsi="Corbel"/>
          <w:sz w:val="23"/>
          <w:szCs w:val="23"/>
        </w:rPr>
      </w:pPr>
      <w:r w:rsidRPr="00521ACF">
        <w:rPr>
          <w:rFonts w:ascii="Corbel" w:hAnsi="Corbel"/>
          <w:sz w:val="23"/>
          <w:szCs w:val="23"/>
        </w:rPr>
        <w:t xml:space="preserve">Project 20 – </w:t>
      </w:r>
      <w:r w:rsidRPr="00521ACF">
        <w:rPr>
          <w:rFonts w:ascii="Corbel" w:hAnsi="Corbel"/>
          <w:i/>
          <w:sz w:val="23"/>
          <w:szCs w:val="23"/>
        </w:rPr>
        <w:t xml:space="preserve">Croydon BIG Metal Exhibition Project </w:t>
      </w:r>
      <w:r w:rsidRPr="00521ACF">
        <w:rPr>
          <w:rFonts w:ascii="Corbel" w:hAnsi="Corbel"/>
          <w:sz w:val="23"/>
          <w:szCs w:val="23"/>
        </w:rPr>
        <w:t>($110,606).  The aim of this project is to develop an exhibition building with facilities and displays. Project activities include 1) build an exhibition shed, 2) the construct</w:t>
      </w:r>
      <w:r w:rsidR="00DF7175">
        <w:rPr>
          <w:rFonts w:ascii="Corbel" w:hAnsi="Corbel"/>
          <w:sz w:val="23"/>
          <w:szCs w:val="23"/>
        </w:rPr>
        <w:t>ion</w:t>
      </w:r>
      <w:r w:rsidRPr="00521ACF">
        <w:rPr>
          <w:rFonts w:ascii="Corbel" w:hAnsi="Corbel"/>
          <w:sz w:val="23"/>
          <w:szCs w:val="23"/>
        </w:rPr>
        <w:t xml:space="preserve"> of a steel sculpture, which will include information on </w:t>
      </w:r>
      <w:proofErr w:type="spellStart"/>
      <w:r w:rsidRPr="00521ACF">
        <w:rPr>
          <w:rFonts w:ascii="Corbel" w:hAnsi="Corbel"/>
          <w:sz w:val="23"/>
          <w:szCs w:val="23"/>
        </w:rPr>
        <w:t>Croyden's</w:t>
      </w:r>
      <w:proofErr w:type="spellEnd"/>
      <w:r w:rsidRPr="00521ACF">
        <w:rPr>
          <w:rFonts w:ascii="Corbel" w:hAnsi="Corbel"/>
          <w:sz w:val="23"/>
          <w:szCs w:val="23"/>
        </w:rPr>
        <w:t xml:space="preserve"> heritage and cultural tourism attractions, and 3) the restoration of historic cars.</w:t>
      </w:r>
    </w:p>
    <w:p w14:paraId="0C700837" w14:textId="0282E512" w:rsidR="007213AB" w:rsidRPr="00521ACF" w:rsidRDefault="007213AB" w:rsidP="00111462">
      <w:pPr>
        <w:pStyle w:val="ListParagraph"/>
        <w:numPr>
          <w:ilvl w:val="0"/>
          <w:numId w:val="34"/>
        </w:numPr>
        <w:spacing w:after="120" w:line="260" w:lineRule="exact"/>
        <w:rPr>
          <w:rFonts w:ascii="Corbel" w:hAnsi="Corbel"/>
          <w:sz w:val="23"/>
          <w:szCs w:val="23"/>
        </w:rPr>
      </w:pPr>
      <w:r w:rsidRPr="00521ACF">
        <w:rPr>
          <w:rFonts w:ascii="Corbel" w:hAnsi="Corbel"/>
          <w:sz w:val="23"/>
          <w:szCs w:val="23"/>
        </w:rPr>
        <w:t xml:space="preserve">Project 21 – </w:t>
      </w:r>
      <w:r w:rsidRPr="00521ACF">
        <w:rPr>
          <w:rFonts w:ascii="Corbel" w:hAnsi="Corbel"/>
          <w:i/>
          <w:sz w:val="23"/>
          <w:szCs w:val="23"/>
        </w:rPr>
        <w:t xml:space="preserve">Noosa National Park Coastal Walking Track and Interpretation </w:t>
      </w:r>
      <w:r w:rsidRPr="00521ACF">
        <w:rPr>
          <w:rFonts w:ascii="Corbel" w:hAnsi="Corbel"/>
          <w:sz w:val="23"/>
          <w:szCs w:val="23"/>
        </w:rPr>
        <w:t>($400,000).  This project involves upgrading the existing coastal walking track, and installing and upgrading interpretive signage at the headland section of Noosa National Park. The work will improve accessibility to the track and headlands for people with limited mobility.</w:t>
      </w:r>
    </w:p>
    <w:p w14:paraId="40F7E346" w14:textId="0E468E0E" w:rsidR="007213AB" w:rsidRPr="00521ACF" w:rsidRDefault="007213AB" w:rsidP="00111462">
      <w:pPr>
        <w:pStyle w:val="ListParagraph"/>
        <w:numPr>
          <w:ilvl w:val="0"/>
          <w:numId w:val="34"/>
        </w:numPr>
        <w:spacing w:after="120" w:line="260" w:lineRule="exact"/>
        <w:rPr>
          <w:rFonts w:ascii="Corbel" w:hAnsi="Corbel"/>
          <w:sz w:val="23"/>
          <w:szCs w:val="23"/>
        </w:rPr>
      </w:pPr>
      <w:r w:rsidRPr="00521ACF">
        <w:rPr>
          <w:rFonts w:ascii="Corbel" w:hAnsi="Corbel"/>
          <w:sz w:val="23"/>
          <w:szCs w:val="23"/>
        </w:rPr>
        <w:lastRenderedPageBreak/>
        <w:t xml:space="preserve">Project 22 – </w:t>
      </w:r>
      <w:r w:rsidRPr="00521ACF">
        <w:rPr>
          <w:rFonts w:ascii="Corbel" w:hAnsi="Corbel"/>
          <w:i/>
          <w:sz w:val="23"/>
          <w:szCs w:val="23"/>
        </w:rPr>
        <w:t xml:space="preserve">Maryborough to Hervey Bay Rail Trail </w:t>
      </w:r>
      <w:r w:rsidRPr="00521ACF">
        <w:rPr>
          <w:rFonts w:ascii="Corbel" w:hAnsi="Corbel"/>
          <w:sz w:val="23"/>
          <w:szCs w:val="23"/>
        </w:rPr>
        <w:t xml:space="preserve">($439,750).  This project is for the construction of a section of the Maryborough to Hervey Bay Rail Trail, between Nikenbah and </w:t>
      </w:r>
      <w:proofErr w:type="spellStart"/>
      <w:r w:rsidRPr="00521ACF">
        <w:rPr>
          <w:rFonts w:ascii="Corbel" w:hAnsi="Corbel"/>
          <w:sz w:val="23"/>
          <w:szCs w:val="23"/>
        </w:rPr>
        <w:t>Urrabeen</w:t>
      </w:r>
      <w:proofErr w:type="spellEnd"/>
      <w:r w:rsidRPr="00521ACF">
        <w:rPr>
          <w:rFonts w:ascii="Corbel" w:hAnsi="Corbel"/>
          <w:sz w:val="23"/>
          <w:szCs w:val="23"/>
        </w:rPr>
        <w:t xml:space="preserve">. The trail will be constructed for use by pedestrians, cyclists and horse riders and will be accessible for year round use.  </w:t>
      </w:r>
    </w:p>
    <w:p w14:paraId="00D6BE3D" w14:textId="60EED582" w:rsidR="007213AB" w:rsidRPr="00521ACF" w:rsidRDefault="007213AB" w:rsidP="00111462">
      <w:pPr>
        <w:pStyle w:val="ListParagraph"/>
        <w:numPr>
          <w:ilvl w:val="0"/>
          <w:numId w:val="34"/>
        </w:numPr>
        <w:spacing w:after="120" w:line="260" w:lineRule="exact"/>
        <w:rPr>
          <w:rFonts w:ascii="Corbel" w:hAnsi="Corbel"/>
          <w:sz w:val="23"/>
          <w:szCs w:val="23"/>
        </w:rPr>
      </w:pPr>
      <w:r w:rsidRPr="00521ACF">
        <w:rPr>
          <w:rFonts w:ascii="Corbel" w:hAnsi="Corbel"/>
          <w:sz w:val="23"/>
          <w:szCs w:val="23"/>
        </w:rPr>
        <w:t xml:space="preserve">Project 23 – </w:t>
      </w:r>
      <w:r w:rsidRPr="00521ACF">
        <w:rPr>
          <w:rFonts w:ascii="Corbel" w:hAnsi="Corbel"/>
          <w:i/>
          <w:sz w:val="23"/>
          <w:szCs w:val="23"/>
        </w:rPr>
        <w:t xml:space="preserve">Field of Dreams Parkland Upgrade </w:t>
      </w:r>
      <w:r w:rsidRPr="00521ACF">
        <w:rPr>
          <w:rFonts w:ascii="Corbel" w:hAnsi="Corbel"/>
          <w:sz w:val="23"/>
          <w:szCs w:val="23"/>
        </w:rPr>
        <w:t>($250,000).  The project involves the construction of new large-vehicle parking bays, sealed turning areas and installation of new pathways from vehicles to the parklands attractions. Work also includes upgrades to landscaping in the area.</w:t>
      </w:r>
    </w:p>
    <w:p w14:paraId="494CDA6A" w14:textId="729AA6AC" w:rsidR="007213AB" w:rsidRPr="00521ACF" w:rsidRDefault="007213AB" w:rsidP="00111462">
      <w:pPr>
        <w:pStyle w:val="ListParagraph"/>
        <w:numPr>
          <w:ilvl w:val="0"/>
          <w:numId w:val="34"/>
        </w:numPr>
        <w:spacing w:after="120" w:line="260" w:lineRule="exact"/>
        <w:rPr>
          <w:rFonts w:ascii="Corbel" w:hAnsi="Corbel"/>
          <w:sz w:val="23"/>
          <w:szCs w:val="23"/>
        </w:rPr>
      </w:pPr>
      <w:r w:rsidRPr="00521ACF">
        <w:rPr>
          <w:rFonts w:ascii="Corbel" w:hAnsi="Corbel"/>
          <w:sz w:val="23"/>
          <w:szCs w:val="23"/>
        </w:rPr>
        <w:t xml:space="preserve">Project 24 – </w:t>
      </w:r>
      <w:r w:rsidRPr="00521ACF">
        <w:rPr>
          <w:rFonts w:ascii="Corbel" w:hAnsi="Corbel"/>
          <w:i/>
          <w:sz w:val="23"/>
          <w:szCs w:val="23"/>
        </w:rPr>
        <w:t xml:space="preserve">Installation of Tourism Signage for Maranoa Region </w:t>
      </w:r>
      <w:r w:rsidRPr="00521ACF">
        <w:rPr>
          <w:rFonts w:ascii="Corbel" w:hAnsi="Corbel"/>
          <w:sz w:val="23"/>
          <w:szCs w:val="23"/>
        </w:rPr>
        <w:t>($117,906).  The project involves the installation of tourism signage, in line with the Queensland Drive Tourism Strategy. The aim of this signage is to safely direct drive tourists throughout the region’s tourist attractions, showcase ‘off the beaten track’ drives, and provide insight into the history, culture and lifestyle of the region.</w:t>
      </w:r>
    </w:p>
    <w:p w14:paraId="2463ED73" w14:textId="27C6877B" w:rsidR="007213AB" w:rsidRPr="00521ACF" w:rsidRDefault="007213AB" w:rsidP="00111462">
      <w:pPr>
        <w:pStyle w:val="ListParagraph"/>
        <w:numPr>
          <w:ilvl w:val="0"/>
          <w:numId w:val="34"/>
        </w:numPr>
        <w:spacing w:after="120" w:line="260" w:lineRule="exact"/>
        <w:rPr>
          <w:rFonts w:ascii="Corbel" w:hAnsi="Corbel"/>
          <w:sz w:val="23"/>
          <w:szCs w:val="23"/>
        </w:rPr>
      </w:pPr>
      <w:r w:rsidRPr="00521ACF">
        <w:rPr>
          <w:rFonts w:ascii="Corbel" w:hAnsi="Corbel"/>
          <w:sz w:val="23"/>
          <w:szCs w:val="23"/>
        </w:rPr>
        <w:t xml:space="preserve">Project 25 – </w:t>
      </w:r>
      <w:r w:rsidRPr="00521ACF">
        <w:rPr>
          <w:rFonts w:ascii="Corbel" w:hAnsi="Corbel"/>
          <w:i/>
          <w:sz w:val="23"/>
          <w:szCs w:val="23"/>
        </w:rPr>
        <w:t xml:space="preserve">Multifunctional, all-weather entertainment building for Southern Gold Coast </w:t>
      </w:r>
      <w:r w:rsidRPr="00521ACF">
        <w:rPr>
          <w:rFonts w:ascii="Corbel" w:hAnsi="Corbel"/>
          <w:sz w:val="23"/>
          <w:szCs w:val="23"/>
        </w:rPr>
        <w:t>($225,000).  This project will see the Currumbin Wildlife Sanctuary theatre extended from a capacity of 60 to 400, meeting the increasing demand placed on the facility. It will be developed as a multifunctional all-weather entertainment building. The work also includes replacing animal enclosures and audio visual and staging equipment, as well as creating a foldaway grandstand that form</w:t>
      </w:r>
      <w:r w:rsidR="00877614">
        <w:rPr>
          <w:rFonts w:ascii="Corbel" w:hAnsi="Corbel"/>
          <w:sz w:val="23"/>
          <w:szCs w:val="23"/>
        </w:rPr>
        <w:t>s</w:t>
      </w:r>
      <w:r w:rsidRPr="00521ACF">
        <w:rPr>
          <w:rFonts w:ascii="Corbel" w:hAnsi="Corbel"/>
          <w:sz w:val="23"/>
          <w:szCs w:val="23"/>
        </w:rPr>
        <w:t xml:space="preserve"> part of the theatre.</w:t>
      </w:r>
    </w:p>
    <w:p w14:paraId="28992B06" w14:textId="31F90B19" w:rsidR="007213AB" w:rsidRPr="00A43004" w:rsidRDefault="007213AB" w:rsidP="00111462">
      <w:pPr>
        <w:pStyle w:val="ListParagraph"/>
        <w:numPr>
          <w:ilvl w:val="0"/>
          <w:numId w:val="34"/>
        </w:numPr>
        <w:spacing w:after="120" w:line="260" w:lineRule="exact"/>
        <w:rPr>
          <w:rFonts w:ascii="Corbel" w:hAnsi="Corbel"/>
          <w:sz w:val="23"/>
          <w:szCs w:val="23"/>
        </w:rPr>
      </w:pPr>
      <w:r w:rsidRPr="00521ACF">
        <w:rPr>
          <w:rFonts w:ascii="Corbel" w:hAnsi="Corbel"/>
          <w:sz w:val="23"/>
          <w:szCs w:val="23"/>
        </w:rPr>
        <w:t xml:space="preserve">Project 26 – </w:t>
      </w:r>
      <w:r w:rsidRPr="00521ACF">
        <w:rPr>
          <w:rFonts w:ascii="Corbel" w:hAnsi="Corbel"/>
          <w:i/>
          <w:sz w:val="23"/>
          <w:szCs w:val="23"/>
        </w:rPr>
        <w:t xml:space="preserve">Scenic Rim Story Markers Project </w:t>
      </w:r>
      <w:r w:rsidRPr="00521ACF">
        <w:rPr>
          <w:rFonts w:ascii="Corbel" w:hAnsi="Corbel"/>
          <w:sz w:val="23"/>
          <w:szCs w:val="23"/>
        </w:rPr>
        <w:t>($100,000).  The projects involves</w:t>
      </w:r>
      <w:r w:rsidRPr="00A43004">
        <w:rPr>
          <w:rFonts w:ascii="Corbel" w:hAnsi="Corbel"/>
          <w:sz w:val="23"/>
          <w:szCs w:val="23"/>
        </w:rPr>
        <w:t xml:space="preserve"> the creation and installation of public art and way finder statement signs at two locations of the south eastern entry to the Scenic Rim. The objective overall is to engage visitors by incorporating artworks at key tourism routes to arouse curiosity, provide interpretation and tell stories unique to the region.</w:t>
      </w:r>
    </w:p>
    <w:p w14:paraId="7AAEED40" w14:textId="77777777" w:rsidR="007213AB" w:rsidRDefault="007213AB" w:rsidP="00FE766D">
      <w:pPr>
        <w:tabs>
          <w:tab w:val="left" w:pos="567"/>
        </w:tabs>
      </w:pPr>
    </w:p>
    <w:p w14:paraId="1F639647" w14:textId="3ADF938D" w:rsidR="00964D0B" w:rsidRDefault="00964D0B" w:rsidP="00FE766D">
      <w:pPr>
        <w:tabs>
          <w:tab w:val="left" w:pos="567"/>
        </w:tabs>
      </w:pPr>
      <w:r w:rsidRPr="00A57667">
        <w:t>To deliver the outputs of this Agreement, the following project</w:t>
      </w:r>
      <w:r w:rsidR="00AE276E" w:rsidRPr="00A57667">
        <w:t>s</w:t>
      </w:r>
      <w:r w:rsidRPr="00A57667">
        <w:t xml:space="preserve"> will be delivered </w:t>
      </w:r>
      <w:r w:rsidR="00981DC7" w:rsidRPr="00A57667">
        <w:t>by</w:t>
      </w:r>
      <w:r w:rsidR="00132DEB" w:rsidRPr="00A57667">
        <w:t xml:space="preserve"> Queensland in 2015-16</w:t>
      </w:r>
      <w:r w:rsidRPr="00A57667">
        <w:t>:</w:t>
      </w:r>
    </w:p>
    <w:p w14:paraId="411F60DB" w14:textId="6BD38E8B" w:rsidR="004D7BBF" w:rsidRPr="00A57667" w:rsidRDefault="004D7BBF" w:rsidP="00406FB1">
      <w:pPr>
        <w:tabs>
          <w:tab w:val="left" w:pos="567"/>
        </w:tabs>
        <w:spacing w:after="120"/>
      </w:pPr>
      <w:r>
        <w:t>Tranche 1 projects</w:t>
      </w:r>
    </w:p>
    <w:p w14:paraId="4A88EF91" w14:textId="0602542F" w:rsidR="00964D0B" w:rsidRPr="00A57667" w:rsidRDefault="007C4931" w:rsidP="00111462">
      <w:pPr>
        <w:pStyle w:val="Normalnumbered"/>
        <w:numPr>
          <w:ilvl w:val="0"/>
          <w:numId w:val="34"/>
        </w:numPr>
        <w:spacing w:after="120"/>
        <w:ind w:left="992" w:hanging="425"/>
        <w:jc w:val="left"/>
      </w:pPr>
      <w:r w:rsidRPr="00A57667">
        <w:t xml:space="preserve">Project </w:t>
      </w:r>
      <w:r w:rsidR="000D149E" w:rsidRPr="00A57667">
        <w:t>4</w:t>
      </w:r>
      <w:r w:rsidRPr="00A57667">
        <w:t xml:space="preserve"> </w:t>
      </w:r>
      <w:r w:rsidR="00A54D46" w:rsidRPr="00A57667">
        <w:t xml:space="preserve">– </w:t>
      </w:r>
      <w:r w:rsidR="00916DE7" w:rsidRPr="00A57667">
        <w:rPr>
          <w:i/>
        </w:rPr>
        <w:t>Charters Towers Tourism Infrastructure Development</w:t>
      </w:r>
      <w:r w:rsidR="004C7C9D" w:rsidRPr="00A57667">
        <w:t xml:space="preserve"> </w:t>
      </w:r>
      <w:r w:rsidR="00AA35FC" w:rsidRPr="00A57667">
        <w:t>($</w:t>
      </w:r>
      <w:r w:rsidR="00916DE7" w:rsidRPr="00A57667">
        <w:t>68,925</w:t>
      </w:r>
      <w:r w:rsidR="006D5EB4" w:rsidRPr="00A57667">
        <w:t>)</w:t>
      </w:r>
      <w:r w:rsidR="00AA35FC" w:rsidRPr="00A57667">
        <w:t xml:space="preserve">. </w:t>
      </w:r>
      <w:r w:rsidR="00916DE7" w:rsidRPr="00A57667">
        <w:t>The project will see the improvement of existing infrastructure at Towers Hill</w:t>
      </w:r>
      <w:r w:rsidR="000B4EBD" w:rsidRPr="00A57667">
        <w:t>, and the installation of interactive tourist information signs with directions to Towers Hill</w:t>
      </w:r>
      <w:r w:rsidR="00916DE7" w:rsidRPr="00A57667">
        <w:t xml:space="preserve">. The WWII Bunker Development will be </w:t>
      </w:r>
      <w:r w:rsidR="000B4EBD" w:rsidRPr="00A57667">
        <w:t xml:space="preserve">updated and </w:t>
      </w:r>
      <w:r w:rsidR="00916DE7" w:rsidRPr="00A57667">
        <w:t>made more interactive, and the</w:t>
      </w:r>
      <w:r w:rsidR="000B4EBD" w:rsidRPr="00A57667">
        <w:t xml:space="preserve"> </w:t>
      </w:r>
      <w:r w:rsidR="00916DE7" w:rsidRPr="00A57667">
        <w:t>Towers Hill Board Walk and Lookout will have updated interpretive and way-finding signage</w:t>
      </w:r>
      <w:r w:rsidR="000B4EBD" w:rsidRPr="00A57667">
        <w:t>,</w:t>
      </w:r>
      <w:r w:rsidR="00916DE7" w:rsidRPr="00A57667">
        <w:t xml:space="preserve"> and an all-weather telescope installed. There will be touch screen structures for tourism information </w:t>
      </w:r>
      <w:r w:rsidR="000B4EBD" w:rsidRPr="00A57667">
        <w:t xml:space="preserve">placed in parks </w:t>
      </w:r>
      <w:r w:rsidR="00916DE7" w:rsidRPr="00A57667">
        <w:t>at two high traffic stopping areas</w:t>
      </w:r>
      <w:r w:rsidR="000B4EBD" w:rsidRPr="00A57667">
        <w:t xml:space="preserve">. </w:t>
      </w:r>
    </w:p>
    <w:p w14:paraId="025B7C59" w14:textId="7E3CABA7" w:rsidR="00964D0B" w:rsidRPr="00A57667" w:rsidRDefault="000D149E" w:rsidP="00111462">
      <w:pPr>
        <w:pStyle w:val="Normalnumbered"/>
        <w:numPr>
          <w:ilvl w:val="0"/>
          <w:numId w:val="34"/>
        </w:numPr>
        <w:spacing w:after="120"/>
        <w:ind w:left="992" w:hanging="425"/>
        <w:jc w:val="left"/>
      </w:pPr>
      <w:r w:rsidRPr="00A57667">
        <w:t>Project 5</w:t>
      </w:r>
      <w:r w:rsidR="007C4931" w:rsidRPr="00A57667">
        <w:t xml:space="preserve"> </w:t>
      </w:r>
      <w:r w:rsidR="00A54D46" w:rsidRPr="00A57667">
        <w:t xml:space="preserve">– </w:t>
      </w:r>
      <w:r w:rsidR="00CC73D0" w:rsidRPr="00A57667">
        <w:rPr>
          <w:i/>
        </w:rPr>
        <w:t xml:space="preserve">Tour Access HMAS Gladstone </w:t>
      </w:r>
      <w:r w:rsidR="004C7C9D" w:rsidRPr="00A57667">
        <w:t>($</w:t>
      </w:r>
      <w:r w:rsidR="00CC73D0" w:rsidRPr="00A57667">
        <w:t>116,950</w:t>
      </w:r>
      <w:r w:rsidR="006D5EB4" w:rsidRPr="00A57667">
        <w:t>)</w:t>
      </w:r>
      <w:r w:rsidR="004C7C9D" w:rsidRPr="00A57667">
        <w:t>.</w:t>
      </w:r>
      <w:r w:rsidR="00247600" w:rsidRPr="00A57667">
        <w:t xml:space="preserve"> </w:t>
      </w:r>
      <w:r w:rsidR="00CC73D0" w:rsidRPr="00A57667">
        <w:t>The project will contribute to making the HMAS Gladstone safe for public access</w:t>
      </w:r>
      <w:r w:rsidR="00791A93" w:rsidRPr="00A57667">
        <w:t>, which will occur</w:t>
      </w:r>
      <w:r w:rsidR="00CC73D0" w:rsidRPr="00A57667">
        <w:t xml:space="preserve"> through guided tours. </w:t>
      </w:r>
      <w:r w:rsidR="00791A93" w:rsidRPr="00A57667">
        <w:t>T</w:t>
      </w:r>
      <w:r w:rsidR="00CC73D0" w:rsidRPr="00A57667">
        <w:t xml:space="preserve">he </w:t>
      </w:r>
      <w:r w:rsidR="00791A93" w:rsidRPr="00A57667">
        <w:t xml:space="preserve">work on the HMAS Gladstone </w:t>
      </w:r>
      <w:r w:rsidR="009679CE" w:rsidRPr="00A57667">
        <w:t>will include</w:t>
      </w:r>
      <w:r w:rsidR="009E0C52" w:rsidRPr="00A57667">
        <w:t xml:space="preserve"> the</w:t>
      </w:r>
      <w:r w:rsidR="00CC73D0" w:rsidRPr="00A57667">
        <w:t xml:space="preserve"> fabrication of an access walkway </w:t>
      </w:r>
      <w:r w:rsidR="006D5EB4" w:rsidRPr="00A57667">
        <w:t xml:space="preserve">and </w:t>
      </w:r>
      <w:r w:rsidR="00CC73D0" w:rsidRPr="00A57667">
        <w:t>painting the superstructure.</w:t>
      </w:r>
      <w:r w:rsidR="009E0C52" w:rsidRPr="00A57667">
        <w:t xml:space="preserve"> The vessel is located close to the cruise ship berthing point, which will be utilised during the 2015-16 summer cruise ship season. </w:t>
      </w:r>
    </w:p>
    <w:p w14:paraId="0ABE20AD" w14:textId="1BF4349E" w:rsidR="00964D0B" w:rsidRPr="00A57667" w:rsidRDefault="000D149E" w:rsidP="00111462">
      <w:pPr>
        <w:pStyle w:val="Normalnumbered"/>
        <w:numPr>
          <w:ilvl w:val="0"/>
          <w:numId w:val="34"/>
        </w:numPr>
        <w:spacing w:after="120"/>
        <w:ind w:left="992" w:hanging="425"/>
        <w:jc w:val="left"/>
      </w:pPr>
      <w:r w:rsidRPr="00A57667">
        <w:t>Project 6</w:t>
      </w:r>
      <w:r w:rsidR="007C4931" w:rsidRPr="00A57667">
        <w:t xml:space="preserve"> </w:t>
      </w:r>
      <w:r w:rsidR="00CA64FB" w:rsidRPr="00A57667">
        <w:t xml:space="preserve">– </w:t>
      </w:r>
      <w:r w:rsidR="00706A50" w:rsidRPr="00A57667">
        <w:rPr>
          <w:i/>
        </w:rPr>
        <w:t xml:space="preserve">Gatehouse Gallery Deck </w:t>
      </w:r>
      <w:r w:rsidR="004C7C9D" w:rsidRPr="00A57667">
        <w:t>($</w:t>
      </w:r>
      <w:r w:rsidR="00706A50" w:rsidRPr="00A57667">
        <w:t>135,650</w:t>
      </w:r>
      <w:r w:rsidR="006D5EB4" w:rsidRPr="00A57667">
        <w:t>)</w:t>
      </w:r>
      <w:r w:rsidR="004C7C9D" w:rsidRPr="00A57667">
        <w:t>.</w:t>
      </w:r>
      <w:r w:rsidR="00247600" w:rsidRPr="00A57667">
        <w:t xml:space="preserve"> </w:t>
      </w:r>
      <w:r w:rsidR="00706A50" w:rsidRPr="00A57667">
        <w:t xml:space="preserve">The project will see the construction of a gallery deck/viewing platform at Emu Park, Capricorn Coast. The long raised platform will be flanked by </w:t>
      </w:r>
      <w:r w:rsidR="00791A93" w:rsidRPr="00A57667">
        <w:t xml:space="preserve">seating and </w:t>
      </w:r>
      <w:r w:rsidR="00706A50" w:rsidRPr="00A57667">
        <w:t>interpretive signage on WWI</w:t>
      </w:r>
      <w:r w:rsidR="00791A93" w:rsidRPr="00A57667">
        <w:t xml:space="preserve">. </w:t>
      </w:r>
    </w:p>
    <w:p w14:paraId="5FE9B028" w14:textId="691BFC25" w:rsidR="00884D89" w:rsidRPr="00A57667" w:rsidRDefault="00884D89" w:rsidP="00111462">
      <w:pPr>
        <w:pStyle w:val="Normalnumbered"/>
        <w:numPr>
          <w:ilvl w:val="0"/>
          <w:numId w:val="34"/>
        </w:numPr>
        <w:spacing w:after="120"/>
        <w:ind w:left="992" w:hanging="425"/>
        <w:jc w:val="left"/>
      </w:pPr>
      <w:r w:rsidRPr="00A57667">
        <w:t xml:space="preserve">Project </w:t>
      </w:r>
      <w:r w:rsidR="000D149E" w:rsidRPr="00A57667">
        <w:t>7</w:t>
      </w:r>
      <w:r w:rsidRPr="00A57667">
        <w:t xml:space="preserve"> – </w:t>
      </w:r>
      <w:r w:rsidR="00791A93" w:rsidRPr="00A57667">
        <w:rPr>
          <w:i/>
        </w:rPr>
        <w:t xml:space="preserve">Part of Ingham CBD Master Plan Stage 1 Works – Tully Street Redevelopment </w:t>
      </w:r>
      <w:r w:rsidRPr="00A57667">
        <w:t>($</w:t>
      </w:r>
      <w:r w:rsidR="00791A93" w:rsidRPr="00A57667">
        <w:t>150,000</w:t>
      </w:r>
      <w:r w:rsidR="006D5EB4" w:rsidRPr="00A57667">
        <w:t>)</w:t>
      </w:r>
      <w:r w:rsidRPr="00A57667">
        <w:t xml:space="preserve">. </w:t>
      </w:r>
      <w:r w:rsidR="00791A93" w:rsidRPr="00A57667">
        <w:t xml:space="preserve">The project is the tourism portion of a three stage process to redevelop Ingham. </w:t>
      </w:r>
      <w:r w:rsidR="00905AA2" w:rsidRPr="00A57667">
        <w:t xml:space="preserve">Work includes installation of signs and lighting, and </w:t>
      </w:r>
      <w:r w:rsidR="00905AA2" w:rsidRPr="00A57667">
        <w:lastRenderedPageBreak/>
        <w:t xml:space="preserve">road works to better cater for recreational vehicles. </w:t>
      </w:r>
      <w:r w:rsidR="00791A93" w:rsidRPr="00A57667">
        <w:t xml:space="preserve">The Tully Street redevelopment will improve connectivity with, and encourage direction from the town centre to the principal tourism attraction, </w:t>
      </w:r>
      <w:proofErr w:type="spellStart"/>
      <w:r w:rsidR="00791A93" w:rsidRPr="00A57667">
        <w:t>T</w:t>
      </w:r>
      <w:r w:rsidR="006D5EB4" w:rsidRPr="00A57667">
        <w:t>yto</w:t>
      </w:r>
      <w:proofErr w:type="spellEnd"/>
      <w:r w:rsidR="006D5EB4" w:rsidRPr="00A57667">
        <w:t xml:space="preserve"> </w:t>
      </w:r>
      <w:r w:rsidR="0033420B" w:rsidRPr="00A57667">
        <w:t>W</w:t>
      </w:r>
      <w:r w:rsidR="006D5EB4" w:rsidRPr="00A57667">
        <w:t>etlands</w:t>
      </w:r>
      <w:r w:rsidR="00791A93" w:rsidRPr="00A57667">
        <w:t xml:space="preserve"> precinct, a 90-hectare natural wetland with tourist facilities.</w:t>
      </w:r>
      <w:r w:rsidR="002D23AD" w:rsidRPr="00A57667">
        <w:t xml:space="preserve"> </w:t>
      </w:r>
    </w:p>
    <w:p w14:paraId="2317E871" w14:textId="61FCFB42" w:rsidR="00884D89" w:rsidRPr="00A57667" w:rsidRDefault="00884D89" w:rsidP="00111462">
      <w:pPr>
        <w:pStyle w:val="Normalnumbered"/>
        <w:numPr>
          <w:ilvl w:val="0"/>
          <w:numId w:val="34"/>
        </w:numPr>
        <w:spacing w:after="120"/>
        <w:ind w:left="992" w:hanging="425"/>
        <w:jc w:val="left"/>
      </w:pPr>
      <w:r w:rsidRPr="00A57667">
        <w:t xml:space="preserve">Project </w:t>
      </w:r>
      <w:r w:rsidR="000D149E" w:rsidRPr="00A57667">
        <w:t>8</w:t>
      </w:r>
      <w:r w:rsidRPr="00A57667">
        <w:t xml:space="preserve"> – </w:t>
      </w:r>
      <w:proofErr w:type="gramStart"/>
      <w:r w:rsidR="009137F2" w:rsidRPr="00A57667">
        <w:rPr>
          <w:i/>
        </w:rPr>
        <w:t>Wi-</w:t>
      </w:r>
      <w:proofErr w:type="gramEnd"/>
      <w:r w:rsidR="009137F2" w:rsidRPr="00A57667">
        <w:rPr>
          <w:i/>
        </w:rPr>
        <w:t xml:space="preserve">Fi </w:t>
      </w:r>
      <w:r w:rsidR="009137F2" w:rsidRPr="00032EE6">
        <w:rPr>
          <w:i/>
        </w:rPr>
        <w:t xml:space="preserve">Infrastructure </w:t>
      </w:r>
      <w:r w:rsidRPr="00032EE6">
        <w:t>($</w:t>
      </w:r>
      <w:r w:rsidR="00663292" w:rsidRPr="00032EE6">
        <w:t>54,204</w:t>
      </w:r>
      <w:r w:rsidR="006D5EB4" w:rsidRPr="00032EE6">
        <w:t>)</w:t>
      </w:r>
      <w:r w:rsidRPr="00032EE6">
        <w:t>.</w:t>
      </w:r>
      <w:r w:rsidRPr="00747C79">
        <w:t xml:space="preserve"> </w:t>
      </w:r>
      <w:r w:rsidR="009137F2" w:rsidRPr="00747C79">
        <w:t>The project</w:t>
      </w:r>
      <w:r w:rsidR="009137F2" w:rsidRPr="00A57667">
        <w:t xml:space="preserve"> aims to support the development of an expanded network of free Wi-Fi hotspots throughout Queensland. The project builds on the success of the pilot projects in phase one and continues to target identified priorities </w:t>
      </w:r>
      <w:r w:rsidR="00A379BF" w:rsidRPr="00A57667">
        <w:t>including the aim</w:t>
      </w:r>
      <w:r w:rsidR="009137F2" w:rsidRPr="00A57667">
        <w:t xml:space="preserve"> to have all Visitor Information Centres providing free Wi-Fi for tourists.</w:t>
      </w:r>
      <w:r w:rsidRPr="00A57667">
        <w:t xml:space="preserve"> </w:t>
      </w:r>
      <w:r w:rsidR="009137F2" w:rsidRPr="00A57667">
        <w:t>It will provide opportunities for tourism businesses to promote their products, and for tourists to access user friendly visitor information and to share their experiences.</w:t>
      </w:r>
    </w:p>
    <w:p w14:paraId="673CFED4" w14:textId="2811713A" w:rsidR="00884D89" w:rsidRPr="00A57667" w:rsidRDefault="00884D89" w:rsidP="00111462">
      <w:pPr>
        <w:pStyle w:val="Normalnumbered"/>
        <w:numPr>
          <w:ilvl w:val="0"/>
          <w:numId w:val="34"/>
        </w:numPr>
        <w:spacing w:after="120"/>
        <w:ind w:left="992" w:hanging="425"/>
        <w:jc w:val="left"/>
      </w:pPr>
      <w:r w:rsidRPr="00A57667">
        <w:t xml:space="preserve">Project </w:t>
      </w:r>
      <w:r w:rsidR="000D149E" w:rsidRPr="00A57667">
        <w:t>9</w:t>
      </w:r>
      <w:r w:rsidRPr="00A57667">
        <w:t xml:space="preserve"> – </w:t>
      </w:r>
      <w:r w:rsidR="00F42363" w:rsidRPr="00A57667">
        <w:rPr>
          <w:i/>
        </w:rPr>
        <w:t xml:space="preserve">Phase 1 of Stage 3 Australian Age of Dinosaurs – Outdoor Galleries </w:t>
      </w:r>
      <w:r w:rsidRPr="00A57667">
        <w:t>($</w:t>
      </w:r>
      <w:r w:rsidR="00F42363" w:rsidRPr="00A57667">
        <w:t>395,500</w:t>
      </w:r>
      <w:r w:rsidR="006D5EB4" w:rsidRPr="00A57667">
        <w:t>)</w:t>
      </w:r>
      <w:r w:rsidRPr="00A57667">
        <w:t xml:space="preserve">. </w:t>
      </w:r>
      <w:r w:rsidR="00F42363" w:rsidRPr="00A57667">
        <w:t xml:space="preserve">The project continues the multistage upgrade and development of the facility. This phase 1 of stage 3 will see the design and construction of a concrete </w:t>
      </w:r>
      <w:r w:rsidR="00EE1EA4" w:rsidRPr="00A57667">
        <w:t>sauropod skeleton for Gallery 2;</w:t>
      </w:r>
      <w:r w:rsidR="00F42363" w:rsidRPr="00A57667">
        <w:t xml:space="preserve"> life-size bronze dinosaurs for </w:t>
      </w:r>
      <w:r w:rsidR="00EE1EA4" w:rsidRPr="00A57667">
        <w:t>exhibition galleries 3, 4 and 5;</w:t>
      </w:r>
      <w:r w:rsidR="00F42363" w:rsidRPr="00A57667">
        <w:t xml:space="preserve"> construction of an outpost shelter and amenities</w:t>
      </w:r>
      <w:r w:rsidR="00EE1EA4" w:rsidRPr="00A57667">
        <w:t>; and</w:t>
      </w:r>
      <w:r w:rsidR="00F42363" w:rsidRPr="00A57667">
        <w:t xml:space="preserve"> a 2 km gravel road to the Outdoor Galleries.</w:t>
      </w:r>
    </w:p>
    <w:p w14:paraId="2A090BAB" w14:textId="4536CA03" w:rsidR="00884D89" w:rsidRPr="00A57667" w:rsidRDefault="000D149E" w:rsidP="00111462">
      <w:pPr>
        <w:pStyle w:val="Normalnumbered"/>
        <w:numPr>
          <w:ilvl w:val="0"/>
          <w:numId w:val="34"/>
        </w:numPr>
        <w:spacing w:after="120"/>
        <w:ind w:left="992" w:hanging="425"/>
        <w:jc w:val="left"/>
      </w:pPr>
      <w:r w:rsidRPr="00A57667">
        <w:t>Project 10</w:t>
      </w:r>
      <w:r w:rsidR="00884D89" w:rsidRPr="00A57667">
        <w:t xml:space="preserve"> – </w:t>
      </w:r>
      <w:r w:rsidR="00E51D85" w:rsidRPr="00A57667">
        <w:rPr>
          <w:i/>
        </w:rPr>
        <w:t xml:space="preserve">Mary </w:t>
      </w:r>
      <w:proofErr w:type="spellStart"/>
      <w:r w:rsidR="00E51D85" w:rsidRPr="00A57667">
        <w:rPr>
          <w:i/>
        </w:rPr>
        <w:t>Cairncross</w:t>
      </w:r>
      <w:proofErr w:type="spellEnd"/>
      <w:r w:rsidR="00E51D85" w:rsidRPr="00A57667">
        <w:rPr>
          <w:i/>
        </w:rPr>
        <w:t xml:space="preserve"> Scenic Reserve Building Renewal – Stage 1 </w:t>
      </w:r>
      <w:r w:rsidR="00884D89" w:rsidRPr="00A57667">
        <w:t>($</w:t>
      </w:r>
      <w:r w:rsidR="00E51D85" w:rsidRPr="00A57667">
        <w:t>1,000,000</w:t>
      </w:r>
      <w:r w:rsidR="006D5EB4" w:rsidRPr="00A57667">
        <w:t>)</w:t>
      </w:r>
      <w:r w:rsidR="00884D89" w:rsidRPr="00A57667">
        <w:t xml:space="preserve">. </w:t>
      </w:r>
      <w:r w:rsidR="00E51D85" w:rsidRPr="00A57667">
        <w:t xml:space="preserve">This project will redevelop the existing visitor facility at the </w:t>
      </w:r>
      <w:r w:rsidR="00D24D5A" w:rsidRPr="00A57667">
        <w:t xml:space="preserve">Mary </w:t>
      </w:r>
      <w:proofErr w:type="spellStart"/>
      <w:r w:rsidR="00D24D5A" w:rsidRPr="00A57667">
        <w:t>Cairncross</w:t>
      </w:r>
      <w:proofErr w:type="spellEnd"/>
      <w:r w:rsidR="00D24D5A" w:rsidRPr="00A57667">
        <w:t xml:space="preserve"> Scenic Reserve </w:t>
      </w:r>
      <w:r w:rsidR="00E51D85" w:rsidRPr="00A57667">
        <w:t xml:space="preserve">to modernise the facility and make it more appealing. </w:t>
      </w:r>
      <w:r w:rsidR="00D24D5A" w:rsidRPr="00A57667">
        <w:t>Project work</w:t>
      </w:r>
      <w:r w:rsidR="00E51D85" w:rsidRPr="00A57667">
        <w:t xml:space="preserve"> will include</w:t>
      </w:r>
      <w:r w:rsidR="00D24D5A" w:rsidRPr="00A57667">
        <w:t xml:space="preserve"> refurbishing existing and constructing new structures of the</w:t>
      </w:r>
      <w:r w:rsidR="00E51D85" w:rsidRPr="00A57667">
        <w:t xml:space="preserve"> </w:t>
      </w:r>
      <w:r w:rsidR="00D24D5A" w:rsidRPr="00A57667">
        <w:t>discovery centre</w:t>
      </w:r>
      <w:r w:rsidR="00EE1EA4" w:rsidRPr="00A57667">
        <w:t>;</w:t>
      </w:r>
      <w:r w:rsidR="00E51D85" w:rsidRPr="00A57667">
        <w:t xml:space="preserve"> viewing deck</w:t>
      </w:r>
      <w:r w:rsidR="00EE1EA4" w:rsidRPr="00A57667">
        <w:t xml:space="preserve">; </w:t>
      </w:r>
      <w:r w:rsidR="00E51D85" w:rsidRPr="00A57667">
        <w:t xml:space="preserve">elevated ramp </w:t>
      </w:r>
      <w:r w:rsidR="00D24D5A" w:rsidRPr="00A57667">
        <w:t xml:space="preserve">running alongside </w:t>
      </w:r>
      <w:r w:rsidR="00E51D85" w:rsidRPr="00A57667">
        <w:t>the rainforest</w:t>
      </w:r>
      <w:r w:rsidR="00EE1EA4" w:rsidRPr="00A57667">
        <w:t xml:space="preserve">; </w:t>
      </w:r>
      <w:r w:rsidR="00E51D85" w:rsidRPr="00A57667">
        <w:t>café</w:t>
      </w:r>
      <w:r w:rsidR="00EE1EA4" w:rsidRPr="00A57667">
        <w:t>;</w:t>
      </w:r>
      <w:r w:rsidR="00D24D5A" w:rsidRPr="00A57667">
        <w:t xml:space="preserve"> and </w:t>
      </w:r>
      <w:r w:rsidR="00E51D85" w:rsidRPr="00A57667">
        <w:t xml:space="preserve">meeting </w:t>
      </w:r>
      <w:r w:rsidR="00D24D5A" w:rsidRPr="00A57667">
        <w:t>room/</w:t>
      </w:r>
      <w:r w:rsidR="00E51D85" w:rsidRPr="00A57667">
        <w:t>theatrette</w:t>
      </w:r>
      <w:r w:rsidR="00D24D5A" w:rsidRPr="00A57667">
        <w:t xml:space="preserve">. </w:t>
      </w:r>
    </w:p>
    <w:p w14:paraId="3811743E" w14:textId="0BA1FA53" w:rsidR="00884D89" w:rsidRPr="00A57667" w:rsidRDefault="00884D89" w:rsidP="00111462">
      <w:pPr>
        <w:pStyle w:val="Normalnumbered"/>
        <w:numPr>
          <w:ilvl w:val="0"/>
          <w:numId w:val="34"/>
        </w:numPr>
        <w:spacing w:after="120"/>
        <w:ind w:left="992" w:hanging="425"/>
        <w:jc w:val="left"/>
      </w:pPr>
      <w:r w:rsidRPr="00A57667">
        <w:t xml:space="preserve">Project </w:t>
      </w:r>
      <w:r w:rsidR="000D149E" w:rsidRPr="00A57667">
        <w:t>11</w:t>
      </w:r>
      <w:r w:rsidRPr="00A57667">
        <w:t xml:space="preserve"> – </w:t>
      </w:r>
      <w:r w:rsidR="0039344E" w:rsidRPr="00A57667">
        <w:rPr>
          <w:i/>
        </w:rPr>
        <w:t xml:space="preserve">TripAdvisor capability workshops – monitoring and improving your online reputation </w:t>
      </w:r>
      <w:r w:rsidRPr="00A57667">
        <w:t>($</w:t>
      </w:r>
      <w:r w:rsidR="0039344E" w:rsidRPr="00A57667">
        <w:t>40,670</w:t>
      </w:r>
      <w:r w:rsidRPr="00A57667">
        <w:t xml:space="preserve">). </w:t>
      </w:r>
      <w:r w:rsidR="0039344E" w:rsidRPr="00A57667">
        <w:t>The project involves the engagement of Trip</w:t>
      </w:r>
      <w:r w:rsidR="00032EE6">
        <w:t>A</w:t>
      </w:r>
      <w:r w:rsidR="0039344E" w:rsidRPr="00A57667">
        <w:t>dvisor to deliver capability workshops to tourism operators and representatives in five locations across Queensland. The workshops will provide tips and tools for monitoring and improving a business’ online reputation to attract v</w:t>
      </w:r>
      <w:r w:rsidR="00925D34" w:rsidRPr="00A57667">
        <w:t>isitors and assess performance.</w:t>
      </w:r>
      <w:r w:rsidR="0039344E" w:rsidRPr="00A57667">
        <w:t xml:space="preserve"> These are critical capabilities in the highly competitive and global tourism industry.</w:t>
      </w:r>
      <w:r w:rsidRPr="00A57667">
        <w:t xml:space="preserve"> </w:t>
      </w:r>
    </w:p>
    <w:p w14:paraId="73CCECBF" w14:textId="437EAD5E" w:rsidR="00775572" w:rsidRPr="00A57667" w:rsidRDefault="00775572" w:rsidP="00B40CDF">
      <w:pPr>
        <w:pStyle w:val="Normalnumbered"/>
        <w:numPr>
          <w:ilvl w:val="0"/>
          <w:numId w:val="0"/>
        </w:numPr>
        <w:spacing w:after="120"/>
        <w:ind w:left="284"/>
        <w:jc w:val="left"/>
      </w:pPr>
      <w:r w:rsidRPr="00A57667">
        <w:t xml:space="preserve">Tranche 2 </w:t>
      </w:r>
      <w:r w:rsidR="004D7BBF">
        <w:t>p</w:t>
      </w:r>
      <w:r w:rsidRPr="00A57667">
        <w:t>rojects</w:t>
      </w:r>
    </w:p>
    <w:p w14:paraId="4DE098F4" w14:textId="2E005350" w:rsidR="00775572" w:rsidRPr="00A57667" w:rsidRDefault="00775572" w:rsidP="00111462">
      <w:pPr>
        <w:pStyle w:val="Normalnumbered"/>
        <w:numPr>
          <w:ilvl w:val="0"/>
          <w:numId w:val="34"/>
        </w:numPr>
        <w:spacing w:after="120"/>
        <w:jc w:val="left"/>
      </w:pPr>
      <w:r w:rsidRPr="00A57667">
        <w:t xml:space="preserve">Project 12 – </w:t>
      </w:r>
      <w:r w:rsidRPr="00A57667">
        <w:rPr>
          <w:i/>
        </w:rPr>
        <w:t>Tourism Industry Capability</w:t>
      </w:r>
      <w:r w:rsidRPr="00A57667">
        <w:t xml:space="preserve"> ($450,450). </w:t>
      </w:r>
      <w:r w:rsidR="00033792" w:rsidRPr="00A57667">
        <w:t xml:space="preserve">This project </w:t>
      </w:r>
      <w:r w:rsidR="002917FC" w:rsidRPr="00A57667">
        <w:t>continues</w:t>
      </w:r>
      <w:r w:rsidR="00033792" w:rsidRPr="00A57667">
        <w:t xml:space="preserve"> the delivery of skill</w:t>
      </w:r>
      <w:r w:rsidR="00D44111" w:rsidRPr="00A57667">
        <w:t>s development program</w:t>
      </w:r>
      <w:r w:rsidR="0007380A" w:rsidRPr="00A57667">
        <w:t>me</w:t>
      </w:r>
      <w:r w:rsidR="00D44111" w:rsidRPr="00A57667">
        <w:t>s to small-</w:t>
      </w:r>
      <w:r w:rsidR="00033792" w:rsidRPr="00A57667">
        <w:t>to</w:t>
      </w:r>
      <w:r w:rsidR="00D44111" w:rsidRPr="00A57667">
        <w:t>-</w:t>
      </w:r>
      <w:r w:rsidR="00033792" w:rsidRPr="00A57667">
        <w:t>medium tourism operators in regional Queensland. The program</w:t>
      </w:r>
      <w:r w:rsidR="0007380A" w:rsidRPr="00A57667">
        <w:t>me</w:t>
      </w:r>
      <w:r w:rsidR="00033792" w:rsidRPr="00A57667">
        <w:t xml:space="preserve">s focus upon key areas such as international readiness, hero experience, utilising digital technology, customer service, events development, and trade mentoring. </w:t>
      </w:r>
    </w:p>
    <w:p w14:paraId="6AA48D6E" w14:textId="5F4D6EC8" w:rsidR="00775572" w:rsidRPr="00A57667" w:rsidRDefault="00775572" w:rsidP="00111462">
      <w:pPr>
        <w:pStyle w:val="Normalnumbered"/>
        <w:numPr>
          <w:ilvl w:val="0"/>
          <w:numId w:val="34"/>
        </w:numPr>
        <w:spacing w:after="120"/>
        <w:jc w:val="left"/>
      </w:pPr>
      <w:r w:rsidRPr="00A57667">
        <w:t xml:space="preserve">Project 13 – </w:t>
      </w:r>
      <w:proofErr w:type="spellStart"/>
      <w:r w:rsidRPr="00A57667">
        <w:rPr>
          <w:i/>
        </w:rPr>
        <w:t>DestinationQ</w:t>
      </w:r>
      <w:proofErr w:type="spellEnd"/>
      <w:r w:rsidRPr="00A57667">
        <w:rPr>
          <w:i/>
        </w:rPr>
        <w:t xml:space="preserve"> 2015 going to the regions</w:t>
      </w:r>
      <w:r w:rsidRPr="00A57667">
        <w:t xml:space="preserve"> ($60,000).  </w:t>
      </w:r>
      <w:r w:rsidR="00033792" w:rsidRPr="00A57667">
        <w:t xml:space="preserve">This project involves holding workshops </w:t>
      </w:r>
      <w:r w:rsidR="00D44111" w:rsidRPr="00A57667">
        <w:t xml:space="preserve">across </w:t>
      </w:r>
      <w:r w:rsidR="00445D43" w:rsidRPr="00A57667">
        <w:t xml:space="preserve">Queensland </w:t>
      </w:r>
      <w:r w:rsidR="00033792" w:rsidRPr="00A57667">
        <w:t xml:space="preserve">to share tools and tips on the key outcomes identified at </w:t>
      </w:r>
      <w:r w:rsidR="00D44111" w:rsidRPr="00A57667">
        <w:t xml:space="preserve">the </w:t>
      </w:r>
      <w:proofErr w:type="spellStart"/>
      <w:r w:rsidR="00033792" w:rsidRPr="00A57667">
        <w:t>DestinationQ</w:t>
      </w:r>
      <w:proofErr w:type="spellEnd"/>
      <w:r w:rsidR="00033792" w:rsidRPr="00A57667">
        <w:t xml:space="preserve"> 2015 Forum. These are: Innovative Experiences, Exceeding Expectations, Digital Channels, Asian Markets and Tourism and Transport.</w:t>
      </w:r>
    </w:p>
    <w:p w14:paraId="45D2A9B3" w14:textId="63CC7F54" w:rsidR="00775572" w:rsidRPr="00A66022" w:rsidRDefault="00775572" w:rsidP="00111462">
      <w:pPr>
        <w:pStyle w:val="Normalnumbered"/>
        <w:numPr>
          <w:ilvl w:val="0"/>
          <w:numId w:val="34"/>
        </w:numPr>
        <w:spacing w:after="120"/>
        <w:jc w:val="left"/>
      </w:pPr>
      <w:r w:rsidRPr="00A57667">
        <w:t xml:space="preserve">Project 14 – </w:t>
      </w:r>
      <w:r w:rsidRPr="00A57667">
        <w:rPr>
          <w:i/>
        </w:rPr>
        <w:t>Experience Development - 'On Tour'</w:t>
      </w:r>
      <w:r w:rsidRPr="00A57667">
        <w:t xml:space="preserve"> ($60,000).  </w:t>
      </w:r>
      <w:r w:rsidR="00033792" w:rsidRPr="00A57667">
        <w:t>Th</w:t>
      </w:r>
      <w:r w:rsidR="00D44111" w:rsidRPr="00A57667">
        <w:t>e</w:t>
      </w:r>
      <w:r w:rsidR="00033792" w:rsidRPr="00A57667">
        <w:t xml:space="preserve"> objective </w:t>
      </w:r>
      <w:r w:rsidR="00D44111" w:rsidRPr="00A57667">
        <w:t xml:space="preserve">of this project </w:t>
      </w:r>
      <w:r w:rsidR="00033792" w:rsidRPr="00A57667">
        <w:t xml:space="preserve">is </w:t>
      </w:r>
      <w:r w:rsidR="00445D43" w:rsidRPr="00A57667">
        <w:t xml:space="preserve">to </w:t>
      </w:r>
      <w:r w:rsidR="00033792" w:rsidRPr="00A57667">
        <w:t xml:space="preserve">build </w:t>
      </w:r>
      <w:r w:rsidR="00D44111" w:rsidRPr="00A57667">
        <w:t xml:space="preserve">the capacity of </w:t>
      </w:r>
      <w:r w:rsidR="00033792" w:rsidRPr="00A57667">
        <w:t>small</w:t>
      </w:r>
      <w:r w:rsidR="00D44111" w:rsidRPr="00A57667">
        <w:t>-</w:t>
      </w:r>
      <w:r w:rsidR="00033792" w:rsidRPr="00A57667">
        <w:t>to</w:t>
      </w:r>
      <w:r w:rsidR="00D44111" w:rsidRPr="00A57667">
        <w:t>-</w:t>
      </w:r>
      <w:r w:rsidR="00033792" w:rsidRPr="00A57667">
        <w:t xml:space="preserve">medium tourism business </w:t>
      </w:r>
      <w:r w:rsidR="00D44111" w:rsidRPr="00A57667">
        <w:t xml:space="preserve">across </w:t>
      </w:r>
      <w:r w:rsidR="00D44111" w:rsidRPr="00A66022">
        <w:t xml:space="preserve">Queensland. </w:t>
      </w:r>
      <w:r w:rsidR="005E7C00" w:rsidRPr="00A66022">
        <w:rPr>
          <w:rFonts w:cs="Calibri"/>
        </w:rPr>
        <w:t>The project aim is to encourage operators to make positive changes to their business and offer quality experiences for their customers.</w:t>
      </w:r>
    </w:p>
    <w:p w14:paraId="3DC511B8" w14:textId="3059AD72" w:rsidR="00775572" w:rsidRPr="00A43004" w:rsidRDefault="00775572" w:rsidP="00111462">
      <w:pPr>
        <w:pStyle w:val="Normalnumbered"/>
        <w:numPr>
          <w:ilvl w:val="0"/>
          <w:numId w:val="34"/>
        </w:numPr>
        <w:spacing w:after="120"/>
        <w:jc w:val="left"/>
        <w:rPr>
          <w:szCs w:val="23"/>
        </w:rPr>
      </w:pPr>
      <w:r w:rsidRPr="00A43004">
        <w:rPr>
          <w:szCs w:val="23"/>
        </w:rPr>
        <w:t xml:space="preserve">Project 15 – </w:t>
      </w:r>
      <w:r w:rsidRPr="00A43004">
        <w:rPr>
          <w:i/>
          <w:szCs w:val="23"/>
        </w:rPr>
        <w:t>Implementation of the Embracing 2018 Gold Coast Quality Service Project</w:t>
      </w:r>
      <w:r w:rsidRPr="00A43004">
        <w:rPr>
          <w:szCs w:val="23"/>
        </w:rPr>
        <w:t xml:space="preserve"> ($</w:t>
      </w:r>
      <w:r w:rsidR="00A66022" w:rsidRPr="00A43004">
        <w:rPr>
          <w:szCs w:val="23"/>
        </w:rPr>
        <w:t>100</w:t>
      </w:r>
      <w:r w:rsidRPr="00A43004">
        <w:rPr>
          <w:szCs w:val="23"/>
        </w:rPr>
        <w:t xml:space="preserve">,000).  </w:t>
      </w:r>
      <w:r w:rsidR="00033792" w:rsidRPr="00A43004">
        <w:rPr>
          <w:szCs w:val="23"/>
        </w:rPr>
        <w:t xml:space="preserve">This project </w:t>
      </w:r>
      <w:r w:rsidR="00D030EB" w:rsidRPr="00A43004">
        <w:rPr>
          <w:szCs w:val="23"/>
        </w:rPr>
        <w:t xml:space="preserve">will implement </w:t>
      </w:r>
      <w:r w:rsidR="00033792" w:rsidRPr="00A43004">
        <w:rPr>
          <w:szCs w:val="23"/>
        </w:rPr>
        <w:t xml:space="preserve">the action plan recommendations from </w:t>
      </w:r>
      <w:r w:rsidR="00D030EB" w:rsidRPr="00A43004">
        <w:rPr>
          <w:szCs w:val="23"/>
        </w:rPr>
        <w:t xml:space="preserve">the </w:t>
      </w:r>
      <w:r w:rsidR="00033792" w:rsidRPr="00A43004">
        <w:rPr>
          <w:szCs w:val="23"/>
        </w:rPr>
        <w:t>TDDI Project 3 - Commonwealth Games Service Initiative. The industry led service excellence training program</w:t>
      </w:r>
      <w:r w:rsidR="00C35ECD" w:rsidRPr="00A43004">
        <w:rPr>
          <w:szCs w:val="23"/>
        </w:rPr>
        <w:t>me</w:t>
      </w:r>
      <w:r w:rsidR="00033792" w:rsidRPr="00A43004">
        <w:rPr>
          <w:szCs w:val="23"/>
        </w:rPr>
        <w:t xml:space="preserve"> will be for: Delivering the Guest Experience, Leading the Guest Experience and Destination Host.</w:t>
      </w:r>
    </w:p>
    <w:p w14:paraId="397E8248" w14:textId="77777777" w:rsidR="00BD3619" w:rsidRPr="00BD3619" w:rsidRDefault="00BD3619" w:rsidP="00BD3619">
      <w:pPr>
        <w:pStyle w:val="Normalnumbered"/>
        <w:numPr>
          <w:ilvl w:val="0"/>
          <w:numId w:val="0"/>
        </w:numPr>
        <w:spacing w:after="120"/>
        <w:ind w:left="360" w:hanging="360"/>
        <w:jc w:val="left"/>
      </w:pPr>
    </w:p>
    <w:p w14:paraId="31D5F505" w14:textId="6B6E1DB0" w:rsidR="009774A5" w:rsidRPr="00A57667" w:rsidRDefault="009774A5" w:rsidP="003E4242">
      <w:pPr>
        <w:pStyle w:val="Normalnumbered"/>
        <w:numPr>
          <w:ilvl w:val="0"/>
          <w:numId w:val="0"/>
        </w:numPr>
        <w:tabs>
          <w:tab w:val="left" w:pos="1134"/>
        </w:tabs>
        <w:rPr>
          <w:szCs w:val="23"/>
        </w:rPr>
      </w:pPr>
      <w:r w:rsidRPr="00A57667">
        <w:rPr>
          <w:szCs w:val="23"/>
        </w:rPr>
        <w:lastRenderedPageBreak/>
        <w:t>To deliver the outputs of this Agreement, the following projects will be delivered by Queensland in 2014-15:</w:t>
      </w:r>
    </w:p>
    <w:p w14:paraId="669FB4EE" w14:textId="5D88E925" w:rsidR="00F0035C" w:rsidRPr="00A57667" w:rsidRDefault="00F0035C" w:rsidP="000D149E">
      <w:pPr>
        <w:pStyle w:val="ListParagraph"/>
        <w:numPr>
          <w:ilvl w:val="0"/>
          <w:numId w:val="28"/>
        </w:numPr>
        <w:spacing w:after="240"/>
        <w:ind w:left="992" w:hanging="425"/>
        <w:rPr>
          <w:rFonts w:ascii="Corbel" w:eastAsia="Times New Roman" w:hAnsi="Corbel"/>
          <w:color w:val="000000"/>
          <w:sz w:val="23"/>
          <w:szCs w:val="20"/>
          <w:lang w:eastAsia="en-AU"/>
        </w:rPr>
      </w:pPr>
      <w:r w:rsidRPr="00A57667">
        <w:rPr>
          <w:rFonts w:ascii="Corbel" w:eastAsia="Times New Roman" w:hAnsi="Corbel"/>
          <w:color w:val="000000"/>
          <w:sz w:val="23"/>
          <w:szCs w:val="20"/>
          <w:lang w:eastAsia="en-AU"/>
        </w:rPr>
        <w:t xml:space="preserve">Project 1 – </w:t>
      </w:r>
      <w:r w:rsidRPr="00A57667">
        <w:rPr>
          <w:rFonts w:ascii="Corbel" w:eastAsia="Times New Roman" w:hAnsi="Corbel"/>
          <w:i/>
          <w:color w:val="000000"/>
          <w:sz w:val="23"/>
          <w:szCs w:val="20"/>
          <w:lang w:eastAsia="en-AU"/>
        </w:rPr>
        <w:t>Enhancing</w:t>
      </w:r>
      <w:r w:rsidRPr="00A57667">
        <w:rPr>
          <w:rFonts w:ascii="Corbel" w:eastAsia="Times New Roman" w:hAnsi="Corbel"/>
          <w:color w:val="000000"/>
          <w:sz w:val="23"/>
          <w:szCs w:val="20"/>
          <w:lang w:eastAsia="en-AU"/>
        </w:rPr>
        <w:t xml:space="preserve"> </w:t>
      </w:r>
      <w:r w:rsidRPr="00A57667">
        <w:rPr>
          <w:rFonts w:ascii="Corbel" w:eastAsia="Times New Roman" w:hAnsi="Corbel"/>
          <w:i/>
          <w:color w:val="000000"/>
          <w:sz w:val="23"/>
          <w:szCs w:val="20"/>
          <w:lang w:eastAsia="en-AU"/>
        </w:rPr>
        <w:t xml:space="preserve">industry capability </w:t>
      </w:r>
      <w:r w:rsidRPr="00A57667">
        <w:rPr>
          <w:rFonts w:ascii="Corbel" w:eastAsia="Times New Roman" w:hAnsi="Corbel"/>
          <w:color w:val="000000"/>
          <w:sz w:val="23"/>
          <w:szCs w:val="20"/>
          <w:lang w:eastAsia="en-AU"/>
        </w:rPr>
        <w:t>($</w:t>
      </w:r>
      <w:r w:rsidR="004F696B" w:rsidRPr="00A57667">
        <w:rPr>
          <w:rFonts w:ascii="Corbel" w:eastAsia="Times New Roman" w:hAnsi="Corbel"/>
          <w:color w:val="000000"/>
          <w:sz w:val="23"/>
          <w:szCs w:val="20"/>
          <w:lang w:eastAsia="en-AU"/>
        </w:rPr>
        <w:t>150</w:t>
      </w:r>
      <w:r w:rsidRPr="00A57667">
        <w:rPr>
          <w:rFonts w:ascii="Corbel" w:eastAsia="Times New Roman" w:hAnsi="Corbel"/>
          <w:color w:val="000000"/>
          <w:sz w:val="23"/>
          <w:szCs w:val="20"/>
          <w:lang w:eastAsia="en-AU"/>
        </w:rPr>
        <w:t>,000). Delivery of skills development program</w:t>
      </w:r>
      <w:r w:rsidR="0007380A" w:rsidRPr="00A57667">
        <w:rPr>
          <w:rFonts w:ascii="Corbel" w:eastAsia="Times New Roman" w:hAnsi="Corbel"/>
          <w:color w:val="000000"/>
          <w:sz w:val="23"/>
          <w:szCs w:val="20"/>
          <w:lang w:eastAsia="en-AU"/>
        </w:rPr>
        <w:t>me</w:t>
      </w:r>
      <w:r w:rsidRPr="00A57667">
        <w:rPr>
          <w:rFonts w:ascii="Corbel" w:eastAsia="Times New Roman" w:hAnsi="Corbel"/>
          <w:color w:val="000000"/>
          <w:sz w:val="23"/>
          <w:szCs w:val="20"/>
          <w:lang w:eastAsia="en-AU"/>
        </w:rPr>
        <w:t xml:space="preserve">s </w:t>
      </w:r>
      <w:proofErr w:type="spellStart"/>
      <w:r w:rsidRPr="00A57667">
        <w:rPr>
          <w:rFonts w:ascii="Corbel" w:eastAsia="Times New Roman" w:hAnsi="Corbel"/>
          <w:color w:val="000000"/>
          <w:sz w:val="23"/>
          <w:szCs w:val="20"/>
          <w:lang w:eastAsia="en-AU"/>
        </w:rPr>
        <w:t>to</w:t>
      </w:r>
      <w:proofErr w:type="spellEnd"/>
      <w:r w:rsidRPr="00A57667">
        <w:rPr>
          <w:rFonts w:ascii="Corbel" w:eastAsia="Times New Roman" w:hAnsi="Corbel"/>
          <w:color w:val="000000"/>
          <w:sz w:val="23"/>
          <w:szCs w:val="20"/>
          <w:lang w:eastAsia="en-AU"/>
        </w:rPr>
        <w:t xml:space="preserve"> small to medium tourism operators in regional Queensland. The program</w:t>
      </w:r>
      <w:r w:rsidR="0007380A" w:rsidRPr="00A57667">
        <w:rPr>
          <w:rFonts w:ascii="Corbel" w:eastAsia="Times New Roman" w:hAnsi="Corbel"/>
          <w:color w:val="000000"/>
          <w:sz w:val="23"/>
          <w:szCs w:val="20"/>
          <w:lang w:eastAsia="en-AU"/>
        </w:rPr>
        <w:t>me</w:t>
      </w:r>
      <w:r w:rsidRPr="00A57667">
        <w:rPr>
          <w:rFonts w:ascii="Corbel" w:eastAsia="Times New Roman" w:hAnsi="Corbel"/>
          <w:color w:val="000000"/>
          <w:sz w:val="23"/>
          <w:szCs w:val="20"/>
          <w:lang w:eastAsia="en-AU"/>
        </w:rPr>
        <w:t>s will be focussed upon</w:t>
      </w:r>
      <w:r w:rsidRPr="00A57667" w:rsidDel="0057417A">
        <w:rPr>
          <w:rFonts w:ascii="Corbel" w:eastAsia="Times New Roman" w:hAnsi="Corbel"/>
          <w:color w:val="000000"/>
          <w:sz w:val="23"/>
          <w:szCs w:val="20"/>
          <w:lang w:eastAsia="en-AU"/>
        </w:rPr>
        <w:t xml:space="preserve"> </w:t>
      </w:r>
      <w:r w:rsidRPr="00A57667">
        <w:rPr>
          <w:rFonts w:ascii="Corbel" w:eastAsia="Times New Roman" w:hAnsi="Corbel"/>
          <w:color w:val="000000"/>
          <w:sz w:val="23"/>
          <w:szCs w:val="20"/>
          <w:lang w:eastAsia="en-AU"/>
        </w:rPr>
        <w:t>key areas such as yield management, utilising digital technology for the tourism sector, and preparing operators and products to be marketed through international trade channels. The program</w:t>
      </w:r>
      <w:r w:rsidR="0007380A" w:rsidRPr="00A57667">
        <w:rPr>
          <w:rFonts w:ascii="Corbel" w:eastAsia="Times New Roman" w:hAnsi="Corbel"/>
          <w:color w:val="000000"/>
          <w:sz w:val="23"/>
          <w:szCs w:val="20"/>
          <w:lang w:eastAsia="en-AU"/>
        </w:rPr>
        <w:t>me</w:t>
      </w:r>
      <w:r w:rsidRPr="00A57667">
        <w:rPr>
          <w:rFonts w:ascii="Corbel" w:eastAsia="Times New Roman" w:hAnsi="Corbel"/>
          <w:color w:val="000000"/>
          <w:sz w:val="23"/>
          <w:szCs w:val="20"/>
          <w:lang w:eastAsia="en-AU"/>
        </w:rPr>
        <w:t>s will be tailored to the tourism industry;</w:t>
      </w:r>
    </w:p>
    <w:p w14:paraId="17ECF9E9" w14:textId="7A245661" w:rsidR="00F0035C" w:rsidRPr="00A57667" w:rsidRDefault="00F0035C" w:rsidP="000D149E">
      <w:pPr>
        <w:pStyle w:val="ListParagraph"/>
        <w:numPr>
          <w:ilvl w:val="0"/>
          <w:numId w:val="28"/>
        </w:numPr>
        <w:spacing w:after="240"/>
        <w:ind w:left="992" w:hanging="425"/>
        <w:rPr>
          <w:rFonts w:ascii="Corbel" w:eastAsia="Times New Roman" w:hAnsi="Corbel"/>
          <w:color w:val="000000"/>
          <w:sz w:val="23"/>
          <w:szCs w:val="20"/>
          <w:lang w:eastAsia="en-AU"/>
        </w:rPr>
      </w:pPr>
      <w:r w:rsidRPr="00A57667">
        <w:rPr>
          <w:rFonts w:ascii="Corbel" w:eastAsia="Times New Roman" w:hAnsi="Corbel"/>
          <w:color w:val="000000"/>
          <w:sz w:val="23"/>
          <w:szCs w:val="20"/>
          <w:lang w:eastAsia="en-AU"/>
        </w:rPr>
        <w:t xml:space="preserve">Project 2 – </w:t>
      </w:r>
      <w:r w:rsidRPr="00A57667">
        <w:rPr>
          <w:rFonts w:ascii="Corbel" w:eastAsia="Times New Roman" w:hAnsi="Corbel"/>
          <w:i/>
          <w:color w:val="000000"/>
          <w:sz w:val="23"/>
          <w:szCs w:val="20"/>
          <w:lang w:eastAsia="en-AU"/>
        </w:rPr>
        <w:t xml:space="preserve">Wi-Fi infrastructure development </w:t>
      </w:r>
      <w:r w:rsidRPr="00A57667">
        <w:rPr>
          <w:rFonts w:ascii="Corbel" w:eastAsia="Times New Roman" w:hAnsi="Corbel"/>
          <w:color w:val="000000"/>
          <w:sz w:val="23"/>
          <w:szCs w:val="20"/>
          <w:lang w:eastAsia="en-AU"/>
        </w:rPr>
        <w:t>($</w:t>
      </w:r>
      <w:r w:rsidR="004F696B" w:rsidRPr="00A57667">
        <w:rPr>
          <w:rFonts w:ascii="Corbel" w:eastAsia="Times New Roman" w:hAnsi="Corbel"/>
          <w:color w:val="000000"/>
          <w:sz w:val="23"/>
          <w:szCs w:val="20"/>
          <w:lang w:eastAsia="en-AU"/>
        </w:rPr>
        <w:t>121,150</w:t>
      </w:r>
      <w:r w:rsidRPr="00A57667">
        <w:rPr>
          <w:rFonts w:ascii="Corbel" w:eastAsia="Times New Roman" w:hAnsi="Corbel"/>
          <w:color w:val="000000"/>
          <w:sz w:val="23"/>
          <w:szCs w:val="20"/>
          <w:lang w:eastAsia="en-AU"/>
        </w:rPr>
        <w:t xml:space="preserve">). Delivery of small-scale pilot model projects to support an expanded network of tourist targeted </w:t>
      </w:r>
      <w:proofErr w:type="spellStart"/>
      <w:r w:rsidRPr="00A57667">
        <w:rPr>
          <w:rFonts w:ascii="Corbel" w:eastAsia="Times New Roman" w:hAnsi="Corbel"/>
          <w:color w:val="000000"/>
          <w:sz w:val="23"/>
          <w:szCs w:val="20"/>
          <w:lang w:eastAsia="en-AU"/>
        </w:rPr>
        <w:t>wi-fi</w:t>
      </w:r>
      <w:proofErr w:type="spellEnd"/>
      <w:r w:rsidRPr="00A57667">
        <w:rPr>
          <w:rFonts w:ascii="Corbel" w:eastAsia="Times New Roman" w:hAnsi="Corbel"/>
          <w:color w:val="000000"/>
          <w:sz w:val="23"/>
          <w:szCs w:val="20"/>
          <w:lang w:eastAsia="en-AU"/>
        </w:rPr>
        <w:t xml:space="preserve"> hot-spots to enable sharing of visitor information, experiences and tourism services; and</w:t>
      </w:r>
    </w:p>
    <w:p w14:paraId="793C2540" w14:textId="574A0D4E" w:rsidR="00F0035C" w:rsidRPr="00A57667" w:rsidRDefault="00F0035C" w:rsidP="000D149E">
      <w:pPr>
        <w:pStyle w:val="ListParagraph"/>
        <w:numPr>
          <w:ilvl w:val="0"/>
          <w:numId w:val="28"/>
        </w:numPr>
        <w:ind w:left="993" w:hanging="426"/>
        <w:rPr>
          <w:rFonts w:ascii="Corbel" w:eastAsia="Times New Roman" w:hAnsi="Corbel"/>
          <w:color w:val="000000"/>
          <w:sz w:val="23"/>
          <w:szCs w:val="20"/>
          <w:lang w:eastAsia="en-AU"/>
        </w:rPr>
      </w:pPr>
      <w:r w:rsidRPr="00A57667">
        <w:rPr>
          <w:rFonts w:ascii="Corbel" w:eastAsia="Times New Roman" w:hAnsi="Corbel"/>
          <w:color w:val="000000"/>
          <w:sz w:val="23"/>
          <w:szCs w:val="20"/>
          <w:lang w:eastAsia="en-AU"/>
        </w:rPr>
        <w:t xml:space="preserve">Project 3 – </w:t>
      </w:r>
      <w:r w:rsidRPr="00A57667">
        <w:rPr>
          <w:rFonts w:ascii="Corbel" w:eastAsia="Times New Roman" w:hAnsi="Corbel"/>
          <w:i/>
          <w:color w:val="000000"/>
          <w:sz w:val="23"/>
          <w:szCs w:val="20"/>
          <w:lang w:eastAsia="en-AU"/>
        </w:rPr>
        <w:t>Commonwealth Games Service Initiative</w:t>
      </w:r>
      <w:r w:rsidRPr="00A57667">
        <w:rPr>
          <w:rFonts w:ascii="Corbel" w:eastAsia="Times New Roman" w:hAnsi="Corbel"/>
          <w:color w:val="000000"/>
          <w:sz w:val="23"/>
          <w:szCs w:val="20"/>
          <w:lang w:eastAsia="en-AU"/>
        </w:rPr>
        <w:t xml:space="preserve"> ($</w:t>
      </w:r>
      <w:r w:rsidR="004F696B" w:rsidRPr="00A57667">
        <w:rPr>
          <w:rFonts w:ascii="Corbel" w:eastAsia="Times New Roman" w:hAnsi="Corbel"/>
          <w:color w:val="000000"/>
          <w:sz w:val="23"/>
          <w:szCs w:val="20"/>
          <w:lang w:eastAsia="en-AU"/>
        </w:rPr>
        <w:t>9</w:t>
      </w:r>
      <w:r w:rsidRPr="00A57667">
        <w:rPr>
          <w:rFonts w:ascii="Corbel" w:eastAsia="Times New Roman" w:hAnsi="Corbel"/>
          <w:color w:val="000000"/>
          <w:sz w:val="23"/>
          <w:szCs w:val="20"/>
          <w:lang w:eastAsia="en-AU"/>
        </w:rPr>
        <w:t xml:space="preserve">0,000). Development of tourism-based customer service plan for the Commonwealth Games in 2018. This will benefit the industry as there is currently no funding allocated by the Commonwealth or State Governments for service quality initiatives. </w:t>
      </w:r>
    </w:p>
    <w:p w14:paraId="41D2C61B" w14:textId="77777777" w:rsidR="004C521C" w:rsidRPr="00A57667" w:rsidRDefault="004C521C" w:rsidP="004C521C">
      <w:pPr>
        <w:pStyle w:val="Normalnumbered"/>
        <w:numPr>
          <w:ilvl w:val="0"/>
          <w:numId w:val="0"/>
        </w:numPr>
        <w:tabs>
          <w:tab w:val="left" w:pos="1134"/>
        </w:tabs>
        <w:jc w:val="left"/>
        <w:rPr>
          <w:sz w:val="18"/>
          <w:szCs w:val="18"/>
        </w:rPr>
      </w:pPr>
    </w:p>
    <w:p w14:paraId="43E8C935" w14:textId="5412B1FD" w:rsidR="002E3FD6" w:rsidRPr="00A57667" w:rsidRDefault="00981DC7" w:rsidP="002E3FD6">
      <w:pPr>
        <w:pStyle w:val="Normalnumbered"/>
        <w:numPr>
          <w:ilvl w:val="0"/>
          <w:numId w:val="0"/>
        </w:numPr>
        <w:tabs>
          <w:tab w:val="left" w:pos="567"/>
        </w:tabs>
        <w:ind w:left="567" w:hanging="567"/>
        <w:jc w:val="left"/>
      </w:pPr>
      <w:r w:rsidRPr="00A57667">
        <w:t>A2.</w:t>
      </w:r>
      <w:r w:rsidRPr="00A57667">
        <w:tab/>
      </w:r>
      <w:r w:rsidR="00964D0B" w:rsidRPr="00A57667">
        <w:t>Table 1 summari</w:t>
      </w:r>
      <w:r w:rsidRPr="00A57667">
        <w:t>s</w:t>
      </w:r>
      <w:r w:rsidR="00964D0B" w:rsidRPr="00A57667">
        <w:t xml:space="preserve">es the milestones for </w:t>
      </w:r>
      <w:r w:rsidR="001243DF" w:rsidRPr="00A57667">
        <w:rPr>
          <w:color w:val="auto"/>
        </w:rPr>
        <w:t>agreed projects</w:t>
      </w:r>
      <w:r w:rsidR="00964D0B" w:rsidRPr="00A57667">
        <w:t xml:space="preserve">, their relationship to the outputs, expected completion dates, relevant reporting dates and expected payments to be made. The Commonwealth will make payments subject to the </w:t>
      </w:r>
      <w:r w:rsidR="003D70F4" w:rsidRPr="00A57667">
        <w:t xml:space="preserve">twice </w:t>
      </w:r>
      <w:r w:rsidR="00964D0B" w:rsidRPr="00A57667">
        <w:t>annual performance report</w:t>
      </w:r>
      <w:r w:rsidR="003D70F4" w:rsidRPr="00A57667">
        <w:t>s</w:t>
      </w:r>
      <w:r w:rsidR="00964D0B" w:rsidRPr="00A57667">
        <w:t xml:space="preserve"> demonstrating that relevant milestones have been met.</w:t>
      </w:r>
      <w:r w:rsidR="001A1A14" w:rsidRPr="00A57667">
        <w:t xml:space="preserve">    </w:t>
      </w:r>
    </w:p>
    <w:p w14:paraId="5950DFFE" w14:textId="77777777" w:rsidR="002767B8" w:rsidRPr="00A57667" w:rsidRDefault="002E3FD6" w:rsidP="002E3FD6">
      <w:pPr>
        <w:pStyle w:val="Normalnumbered"/>
        <w:numPr>
          <w:ilvl w:val="0"/>
          <w:numId w:val="0"/>
        </w:numPr>
        <w:tabs>
          <w:tab w:val="left" w:pos="567"/>
        </w:tabs>
        <w:ind w:left="567" w:hanging="567"/>
        <w:jc w:val="left"/>
      </w:pPr>
      <w:r w:rsidRPr="00A57667">
        <w:t>A3.</w:t>
      </w:r>
      <w:r w:rsidRPr="00A57667">
        <w:tab/>
        <w:t>This Schedule will be varied from time to time to include additional projects</w:t>
      </w:r>
      <w:r w:rsidR="002767B8" w:rsidRPr="00A57667">
        <w:t xml:space="preserve"> up to the maximum estimated Commonwealth financial contribution</w:t>
      </w:r>
      <w:r w:rsidRPr="00A57667">
        <w:t>, subject to the written agreement of Commonwealth and State portfolio ministers, in accordance with clause 22 of this Agreement.</w:t>
      </w:r>
    </w:p>
    <w:p w14:paraId="53EBCA9A" w14:textId="42DF3EF6" w:rsidR="00964D0B" w:rsidRPr="00A57667" w:rsidRDefault="002767B8" w:rsidP="002E3FD6">
      <w:pPr>
        <w:pStyle w:val="Normalnumbered"/>
        <w:numPr>
          <w:ilvl w:val="0"/>
          <w:numId w:val="0"/>
        </w:numPr>
        <w:tabs>
          <w:tab w:val="left" w:pos="567"/>
        </w:tabs>
        <w:ind w:left="567" w:hanging="567"/>
        <w:jc w:val="left"/>
      </w:pPr>
      <w:r w:rsidRPr="00A57667">
        <w:t>A4.</w:t>
      </w:r>
      <w:r w:rsidRPr="00A57667">
        <w:tab/>
      </w:r>
      <w:r w:rsidR="002E3FD6" w:rsidRPr="00A57667">
        <w:t xml:space="preserve">Where additional projects are agreed, Table 1 will be varied to include those projects and associated milestones and </w:t>
      </w:r>
      <w:r w:rsidR="00DF5D36" w:rsidRPr="00A57667">
        <w:t>payments.</w:t>
      </w:r>
      <w:r w:rsidR="009F6DA6" w:rsidRPr="00A57667">
        <w:t xml:space="preserve"> </w:t>
      </w:r>
      <w:r w:rsidR="00DF5D36" w:rsidRPr="00A57667">
        <w:t>Milestone</w:t>
      </w:r>
      <w:r w:rsidR="00061477" w:rsidRPr="00A57667">
        <w:t xml:space="preserve"> payments</w:t>
      </w:r>
      <w:r w:rsidR="00DF5D36" w:rsidRPr="00A57667">
        <w:t xml:space="preserve"> for additional projects will require demonstration, through provision of a progress report, that scheduled stages for those projects have been completed and that all previously agreed projects that were scheduled to be completed, have been completed within agreed timeframes.</w:t>
      </w:r>
      <w:r w:rsidR="009F6DA6" w:rsidRPr="00A57667">
        <w:t xml:space="preserve"> </w:t>
      </w:r>
      <w:r w:rsidR="00767A9E" w:rsidRPr="00A57667">
        <w:t>Milestones for additional projects will be worded in accordance with this clause</w:t>
      </w:r>
      <w:r w:rsidR="00061477" w:rsidRPr="00A57667">
        <w:t xml:space="preserve">. </w:t>
      </w:r>
    </w:p>
    <w:p w14:paraId="54C1B019" w14:textId="427CCF63" w:rsidR="007B50EA" w:rsidRPr="00A57667" w:rsidRDefault="007B50EA" w:rsidP="007B50EA">
      <w:pPr>
        <w:pStyle w:val="Normalnumbered"/>
        <w:numPr>
          <w:ilvl w:val="0"/>
          <w:numId w:val="0"/>
        </w:numPr>
        <w:tabs>
          <w:tab w:val="left" w:pos="567"/>
        </w:tabs>
        <w:ind w:left="567" w:hanging="567"/>
        <w:jc w:val="left"/>
      </w:pPr>
      <w:r w:rsidRPr="00A57667">
        <w:t>A5.</w:t>
      </w:r>
      <w:r w:rsidRPr="00A57667">
        <w:tab/>
        <w:t xml:space="preserve">If a milestone is met in advance of the due date, where the relevant performance report demonstrates the milestone has been met, the Commonwealth may make the associated payment earlier than scheduled provided it falls within the same financial year as the original milestone date. </w:t>
      </w:r>
    </w:p>
    <w:p w14:paraId="2634A743" w14:textId="77777777" w:rsidR="00521ACF" w:rsidRDefault="00521ACF">
      <w:pPr>
        <w:spacing w:after="200" w:line="276" w:lineRule="auto"/>
        <w:jc w:val="left"/>
        <w:rPr>
          <w:b/>
        </w:rPr>
      </w:pPr>
      <w:r>
        <w:rPr>
          <w:b/>
        </w:rPr>
        <w:br w:type="page"/>
      </w:r>
    </w:p>
    <w:p w14:paraId="17C8557B" w14:textId="6E2540D2" w:rsidR="00981DC7" w:rsidRPr="00A57667" w:rsidRDefault="00981DC7" w:rsidP="00981DC7">
      <w:pPr>
        <w:pStyle w:val="Normalnumbered"/>
        <w:keepNext/>
        <w:numPr>
          <w:ilvl w:val="0"/>
          <w:numId w:val="0"/>
        </w:numPr>
        <w:ind w:left="360" w:hanging="360"/>
        <w:rPr>
          <w:b/>
        </w:rPr>
      </w:pPr>
      <w:r w:rsidRPr="00A57667">
        <w:rPr>
          <w:b/>
        </w:rPr>
        <w:lastRenderedPageBreak/>
        <w:t>Table 1</w:t>
      </w:r>
      <w:r w:rsidRPr="00A57667">
        <w:t xml:space="preserve">: </w:t>
      </w:r>
      <w:r w:rsidRPr="00A57667">
        <w:rPr>
          <w:b/>
        </w:rPr>
        <w:t>Performance requirements, reporting and payment summary</w:t>
      </w:r>
    </w:p>
    <w:tbl>
      <w:tblPr>
        <w:tblW w:w="9640"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69"/>
        <w:gridCol w:w="3402"/>
        <w:gridCol w:w="1984"/>
        <w:gridCol w:w="1985"/>
      </w:tblGrid>
      <w:tr w:rsidR="00964D0B" w:rsidRPr="00A57667" w14:paraId="2CA5B4DE" w14:textId="77777777" w:rsidTr="008063DA">
        <w:trPr>
          <w:trHeight w:val="856"/>
        </w:trPr>
        <w:tc>
          <w:tcPr>
            <w:tcW w:w="2269" w:type="dxa"/>
            <w:tcBorders>
              <w:bottom w:val="single" w:sz="18" w:space="0" w:color="4F81BD"/>
            </w:tcBorders>
            <w:shd w:val="clear" w:color="auto" w:fill="C6D9F1" w:themeFill="text2" w:themeFillTint="33"/>
          </w:tcPr>
          <w:p w14:paraId="7B8419DC" w14:textId="4FF3A138" w:rsidR="00964D0B" w:rsidRPr="00A57667" w:rsidRDefault="00964D0B" w:rsidP="007213AB">
            <w:pPr>
              <w:pStyle w:val="Heading2"/>
              <w:rPr>
                <w:bCs w:val="0"/>
                <w:sz w:val="24"/>
                <w:szCs w:val="24"/>
              </w:rPr>
            </w:pPr>
            <w:r w:rsidRPr="00A57667">
              <w:rPr>
                <w:bCs w:val="0"/>
                <w:sz w:val="24"/>
                <w:szCs w:val="24"/>
              </w:rPr>
              <w:t>Outputs</w:t>
            </w:r>
          </w:p>
        </w:tc>
        <w:tc>
          <w:tcPr>
            <w:tcW w:w="3402" w:type="dxa"/>
            <w:tcBorders>
              <w:bottom w:val="single" w:sz="18" w:space="0" w:color="4F81BD"/>
            </w:tcBorders>
            <w:shd w:val="clear" w:color="auto" w:fill="C6D9F1" w:themeFill="text2" w:themeFillTint="33"/>
          </w:tcPr>
          <w:p w14:paraId="15E10662" w14:textId="1DAD42D6" w:rsidR="00964D0B" w:rsidRPr="00A57667" w:rsidRDefault="002E3FD6" w:rsidP="00964D0B">
            <w:pPr>
              <w:pStyle w:val="Heading2"/>
              <w:rPr>
                <w:bCs w:val="0"/>
                <w:sz w:val="24"/>
                <w:szCs w:val="24"/>
              </w:rPr>
            </w:pPr>
            <w:r w:rsidRPr="00A57667">
              <w:rPr>
                <w:bCs w:val="0"/>
                <w:sz w:val="24"/>
                <w:szCs w:val="24"/>
              </w:rPr>
              <w:t>M</w:t>
            </w:r>
            <w:r w:rsidR="00964D0B" w:rsidRPr="00A57667">
              <w:rPr>
                <w:bCs w:val="0"/>
                <w:sz w:val="24"/>
                <w:szCs w:val="24"/>
              </w:rPr>
              <w:t>ilestones</w:t>
            </w:r>
          </w:p>
        </w:tc>
        <w:tc>
          <w:tcPr>
            <w:tcW w:w="1984" w:type="dxa"/>
            <w:tcBorders>
              <w:bottom w:val="single" w:sz="18" w:space="0" w:color="4F81BD"/>
            </w:tcBorders>
            <w:shd w:val="clear" w:color="auto" w:fill="C6D9F1" w:themeFill="text2" w:themeFillTint="33"/>
          </w:tcPr>
          <w:p w14:paraId="74BEA202" w14:textId="77777777" w:rsidR="00964D0B" w:rsidRPr="00A57667" w:rsidRDefault="00964D0B" w:rsidP="00436448">
            <w:pPr>
              <w:pStyle w:val="Heading2"/>
              <w:rPr>
                <w:sz w:val="18"/>
                <w:szCs w:val="18"/>
              </w:rPr>
            </w:pPr>
            <w:r w:rsidRPr="00A57667">
              <w:rPr>
                <w:bCs w:val="0"/>
                <w:sz w:val="24"/>
                <w:szCs w:val="24"/>
              </w:rPr>
              <w:t xml:space="preserve">Report due </w:t>
            </w:r>
          </w:p>
        </w:tc>
        <w:tc>
          <w:tcPr>
            <w:tcW w:w="1985" w:type="dxa"/>
            <w:tcBorders>
              <w:bottom w:val="single" w:sz="18" w:space="0" w:color="4F81BD"/>
            </w:tcBorders>
            <w:shd w:val="clear" w:color="auto" w:fill="C6D9F1" w:themeFill="text2" w:themeFillTint="33"/>
          </w:tcPr>
          <w:p w14:paraId="505A20B6" w14:textId="77777777" w:rsidR="00964D0B" w:rsidRPr="00A57667" w:rsidRDefault="00964D0B" w:rsidP="00436448">
            <w:pPr>
              <w:pStyle w:val="Heading2"/>
              <w:rPr>
                <w:bCs w:val="0"/>
                <w:sz w:val="24"/>
                <w:szCs w:val="24"/>
              </w:rPr>
            </w:pPr>
            <w:r w:rsidRPr="00A57667">
              <w:rPr>
                <w:bCs w:val="0"/>
                <w:sz w:val="24"/>
                <w:szCs w:val="24"/>
              </w:rPr>
              <w:t>Payment</w:t>
            </w:r>
          </w:p>
        </w:tc>
      </w:tr>
      <w:tr w:rsidR="00111462" w:rsidRPr="00A57667" w14:paraId="56BE9937" w14:textId="77777777" w:rsidTr="008063DA">
        <w:trPr>
          <w:trHeight w:val="924"/>
        </w:trPr>
        <w:tc>
          <w:tcPr>
            <w:tcW w:w="2269" w:type="dxa"/>
            <w:vMerge w:val="restart"/>
            <w:tcBorders>
              <w:top w:val="single" w:sz="18" w:space="0" w:color="4F81BD"/>
            </w:tcBorders>
            <w:shd w:val="clear" w:color="auto" w:fill="auto"/>
          </w:tcPr>
          <w:p w14:paraId="0C9B88CF" w14:textId="77777777" w:rsidR="00111462" w:rsidRPr="00111462" w:rsidRDefault="00111462" w:rsidP="001E6083">
            <w:pPr>
              <w:pStyle w:val="Normalnumbered"/>
              <w:ind w:left="0"/>
              <w:jc w:val="left"/>
              <w:rPr>
                <w:b/>
                <w:szCs w:val="23"/>
              </w:rPr>
            </w:pPr>
            <w:r>
              <w:rPr>
                <w:b/>
                <w:szCs w:val="23"/>
              </w:rPr>
              <w:t>2017-18</w:t>
            </w:r>
          </w:p>
          <w:p w14:paraId="054A959E" w14:textId="7F5F6206" w:rsidR="00111462" w:rsidRDefault="00111462" w:rsidP="001E6083">
            <w:pPr>
              <w:pStyle w:val="Normalnumbered"/>
              <w:ind w:left="0"/>
              <w:jc w:val="left"/>
              <w:rPr>
                <w:b/>
                <w:szCs w:val="23"/>
              </w:rPr>
            </w:pPr>
            <w:r w:rsidRPr="00A57667">
              <w:rPr>
                <w:szCs w:val="23"/>
              </w:rPr>
              <w:t>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195A7D88" w14:textId="39E026EA" w:rsidR="00111462" w:rsidRPr="00A57667" w:rsidRDefault="00111462" w:rsidP="00FA0C02">
            <w:pPr>
              <w:pStyle w:val="Normalnumbered"/>
              <w:numPr>
                <w:ilvl w:val="0"/>
                <w:numId w:val="0"/>
              </w:numPr>
              <w:jc w:val="left"/>
              <w:rPr>
                <w:szCs w:val="23"/>
              </w:rPr>
            </w:pPr>
            <w:r w:rsidRPr="00A57667">
              <w:rPr>
                <w:szCs w:val="23"/>
              </w:rPr>
              <w:t>Demonstration, through provision of a progress report, that scheduled stages for each project have been completed for Projects</w:t>
            </w:r>
            <w:r>
              <w:rPr>
                <w:szCs w:val="23"/>
              </w:rPr>
              <w:t xml:space="preserve"> </w:t>
            </w:r>
            <w:r w:rsidR="00FA0C02">
              <w:rPr>
                <w:szCs w:val="23"/>
              </w:rPr>
              <w:t>29 through 36</w:t>
            </w:r>
          </w:p>
        </w:tc>
        <w:tc>
          <w:tcPr>
            <w:tcW w:w="1984" w:type="dxa"/>
            <w:tcBorders>
              <w:top w:val="single" w:sz="18" w:space="0" w:color="4F81BD"/>
              <w:bottom w:val="single" w:sz="18" w:space="0" w:color="4F81BD"/>
            </w:tcBorders>
            <w:shd w:val="clear" w:color="auto" w:fill="auto"/>
          </w:tcPr>
          <w:p w14:paraId="3F8E878C" w14:textId="3AD0548B" w:rsidR="00111462" w:rsidRPr="00752474" w:rsidRDefault="008063DA" w:rsidP="00DC7FEA">
            <w:pPr>
              <w:pStyle w:val="Normalnumbered"/>
              <w:numPr>
                <w:ilvl w:val="0"/>
                <w:numId w:val="0"/>
              </w:numPr>
              <w:jc w:val="left"/>
              <w:rPr>
                <w:szCs w:val="23"/>
              </w:rPr>
            </w:pPr>
            <w:r w:rsidRPr="00752474">
              <w:rPr>
                <w:szCs w:val="23"/>
              </w:rPr>
              <w:t xml:space="preserve">17 </w:t>
            </w:r>
            <w:r w:rsidR="00DC7FEA" w:rsidRPr="00752474">
              <w:rPr>
                <w:szCs w:val="23"/>
              </w:rPr>
              <w:t>November</w:t>
            </w:r>
            <w:r w:rsidRPr="00752474">
              <w:rPr>
                <w:szCs w:val="23"/>
              </w:rPr>
              <w:t xml:space="preserve"> 2017</w:t>
            </w:r>
          </w:p>
        </w:tc>
        <w:tc>
          <w:tcPr>
            <w:tcW w:w="1985" w:type="dxa"/>
            <w:tcBorders>
              <w:top w:val="single" w:sz="18" w:space="0" w:color="4F81BD"/>
              <w:bottom w:val="single" w:sz="18" w:space="0" w:color="4F81BD"/>
            </w:tcBorders>
            <w:shd w:val="clear" w:color="auto" w:fill="auto"/>
          </w:tcPr>
          <w:p w14:paraId="59F2E817" w14:textId="0C9D862F" w:rsidR="00111462" w:rsidRPr="00752474" w:rsidRDefault="008063DA" w:rsidP="008063DA">
            <w:pPr>
              <w:pStyle w:val="Normalnumbered"/>
              <w:numPr>
                <w:ilvl w:val="0"/>
                <w:numId w:val="0"/>
              </w:numPr>
              <w:jc w:val="left"/>
              <w:rPr>
                <w:szCs w:val="23"/>
              </w:rPr>
            </w:pPr>
            <w:r w:rsidRPr="00752474">
              <w:rPr>
                <w:szCs w:val="23"/>
              </w:rPr>
              <w:t>$1,</w:t>
            </w:r>
            <w:r w:rsidR="00743608" w:rsidRPr="00752474">
              <w:rPr>
                <w:szCs w:val="23"/>
              </w:rPr>
              <w:t>011,737</w:t>
            </w:r>
          </w:p>
        </w:tc>
      </w:tr>
      <w:tr w:rsidR="00111462" w:rsidRPr="00A57667" w14:paraId="3C0E9A92" w14:textId="77777777" w:rsidTr="008063DA">
        <w:trPr>
          <w:trHeight w:val="924"/>
        </w:trPr>
        <w:tc>
          <w:tcPr>
            <w:tcW w:w="2269" w:type="dxa"/>
            <w:vMerge/>
            <w:shd w:val="clear" w:color="auto" w:fill="auto"/>
          </w:tcPr>
          <w:p w14:paraId="4B1BA9AA" w14:textId="77777777" w:rsidR="00111462" w:rsidRDefault="00111462" w:rsidP="001E6083">
            <w:pPr>
              <w:pStyle w:val="Normalnumbered"/>
              <w:ind w:left="0"/>
              <w:jc w:val="left"/>
              <w:rPr>
                <w:b/>
                <w:szCs w:val="23"/>
              </w:rPr>
            </w:pPr>
          </w:p>
        </w:tc>
        <w:tc>
          <w:tcPr>
            <w:tcW w:w="3402" w:type="dxa"/>
            <w:tcBorders>
              <w:top w:val="single" w:sz="18" w:space="0" w:color="4F81BD"/>
              <w:bottom w:val="single" w:sz="8" w:space="0" w:color="4F81BD"/>
            </w:tcBorders>
            <w:shd w:val="clear" w:color="auto" w:fill="auto"/>
          </w:tcPr>
          <w:p w14:paraId="7F48C2EF" w14:textId="7B7907E8" w:rsidR="00111462" w:rsidRPr="00A57667" w:rsidRDefault="008063DA" w:rsidP="00FA0C02">
            <w:pPr>
              <w:pStyle w:val="Normalnumbered"/>
              <w:numPr>
                <w:ilvl w:val="0"/>
                <w:numId w:val="0"/>
              </w:numPr>
              <w:jc w:val="left"/>
              <w:rPr>
                <w:szCs w:val="23"/>
              </w:rPr>
            </w:pPr>
            <w:r w:rsidRPr="00A57667">
              <w:rPr>
                <w:szCs w:val="23"/>
              </w:rPr>
              <w:t>Demonstration, through provision of a progress report, that scheduled stages for each project have been completed for Projects</w:t>
            </w:r>
            <w:r>
              <w:rPr>
                <w:szCs w:val="23"/>
              </w:rPr>
              <w:t xml:space="preserve"> </w:t>
            </w:r>
            <w:r w:rsidR="00FA0C02">
              <w:rPr>
                <w:szCs w:val="23"/>
              </w:rPr>
              <w:t>30 and 33</w:t>
            </w:r>
            <w:r>
              <w:rPr>
                <w:szCs w:val="23"/>
              </w:rPr>
              <w:t xml:space="preserve"> through </w:t>
            </w:r>
            <w:r w:rsidR="00FA0C02">
              <w:rPr>
                <w:szCs w:val="23"/>
              </w:rPr>
              <w:t>3</w:t>
            </w:r>
            <w:r>
              <w:rPr>
                <w:szCs w:val="23"/>
              </w:rPr>
              <w:t>6</w:t>
            </w:r>
          </w:p>
        </w:tc>
        <w:tc>
          <w:tcPr>
            <w:tcW w:w="1984" w:type="dxa"/>
            <w:tcBorders>
              <w:top w:val="single" w:sz="18" w:space="0" w:color="4F81BD"/>
              <w:bottom w:val="single" w:sz="18" w:space="0" w:color="4F81BD"/>
            </w:tcBorders>
            <w:shd w:val="clear" w:color="auto" w:fill="auto"/>
          </w:tcPr>
          <w:p w14:paraId="256B4569" w14:textId="4D567DE4" w:rsidR="00111462" w:rsidRPr="00752474" w:rsidRDefault="008063DA" w:rsidP="00521ACF">
            <w:pPr>
              <w:pStyle w:val="Normalnumbered"/>
              <w:numPr>
                <w:ilvl w:val="0"/>
                <w:numId w:val="0"/>
              </w:numPr>
              <w:jc w:val="left"/>
              <w:rPr>
                <w:szCs w:val="23"/>
              </w:rPr>
            </w:pPr>
            <w:r w:rsidRPr="00752474">
              <w:rPr>
                <w:szCs w:val="23"/>
              </w:rPr>
              <w:t>20 May 2018</w:t>
            </w:r>
          </w:p>
        </w:tc>
        <w:tc>
          <w:tcPr>
            <w:tcW w:w="1985" w:type="dxa"/>
            <w:tcBorders>
              <w:top w:val="single" w:sz="18" w:space="0" w:color="4F81BD"/>
              <w:bottom w:val="single" w:sz="18" w:space="0" w:color="4F81BD"/>
            </w:tcBorders>
            <w:shd w:val="clear" w:color="auto" w:fill="auto"/>
          </w:tcPr>
          <w:p w14:paraId="1F5286EB" w14:textId="0714373C" w:rsidR="00111462" w:rsidRPr="00752474" w:rsidRDefault="00743608" w:rsidP="00743608">
            <w:pPr>
              <w:pStyle w:val="Normalnumbered"/>
              <w:numPr>
                <w:ilvl w:val="0"/>
                <w:numId w:val="0"/>
              </w:numPr>
              <w:jc w:val="left"/>
              <w:rPr>
                <w:szCs w:val="23"/>
              </w:rPr>
            </w:pPr>
            <w:r w:rsidRPr="00752474">
              <w:rPr>
                <w:szCs w:val="23"/>
              </w:rPr>
              <w:t>$606,725</w:t>
            </w:r>
          </w:p>
        </w:tc>
      </w:tr>
      <w:tr w:rsidR="001E6083" w:rsidRPr="00A57667" w14:paraId="44CC2A99" w14:textId="77777777" w:rsidTr="002B5163">
        <w:trPr>
          <w:trHeight w:val="700"/>
        </w:trPr>
        <w:tc>
          <w:tcPr>
            <w:tcW w:w="2269" w:type="dxa"/>
            <w:vMerge w:val="restart"/>
            <w:tcBorders>
              <w:top w:val="single" w:sz="18" w:space="0" w:color="4F81BD"/>
            </w:tcBorders>
            <w:shd w:val="clear" w:color="auto" w:fill="auto"/>
          </w:tcPr>
          <w:p w14:paraId="567B6091" w14:textId="77777777" w:rsidR="001E6083" w:rsidRDefault="001E6083" w:rsidP="001E6083">
            <w:pPr>
              <w:pStyle w:val="Normalnumbered"/>
              <w:ind w:left="0"/>
              <w:jc w:val="left"/>
              <w:rPr>
                <w:b/>
                <w:szCs w:val="23"/>
              </w:rPr>
            </w:pPr>
            <w:r>
              <w:rPr>
                <w:b/>
                <w:szCs w:val="23"/>
              </w:rPr>
              <w:t>2016-17</w:t>
            </w:r>
          </w:p>
          <w:p w14:paraId="0411624B" w14:textId="60791346" w:rsidR="001E6083" w:rsidRPr="002C18C3" w:rsidRDefault="001E6083" w:rsidP="00523D01">
            <w:pPr>
              <w:pStyle w:val="Normalnumbered"/>
              <w:ind w:left="0"/>
              <w:jc w:val="left"/>
              <w:rPr>
                <w:b/>
                <w:szCs w:val="23"/>
              </w:rPr>
            </w:pPr>
            <w:r w:rsidRPr="00A57667">
              <w:rPr>
                <w:szCs w:val="23"/>
              </w:rPr>
              <w:t>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29F47F69" w14:textId="48D81448" w:rsidR="001E6083" w:rsidRPr="00A57667" w:rsidRDefault="001E6083" w:rsidP="005F6B47">
            <w:pPr>
              <w:pStyle w:val="Normalnumbered"/>
              <w:numPr>
                <w:ilvl w:val="0"/>
                <w:numId w:val="0"/>
              </w:numPr>
              <w:jc w:val="left"/>
              <w:rPr>
                <w:szCs w:val="23"/>
              </w:rPr>
            </w:pPr>
            <w:r w:rsidRPr="00A57667">
              <w:rPr>
                <w:szCs w:val="23"/>
              </w:rPr>
              <w:t>Demonstration, through provision of a progress report, that scheduled stages for each project have been completed for Projects</w:t>
            </w:r>
            <w:r>
              <w:rPr>
                <w:szCs w:val="23"/>
              </w:rPr>
              <w:t xml:space="preserve"> 16 through 2</w:t>
            </w:r>
            <w:r w:rsidR="005F6B47">
              <w:rPr>
                <w:szCs w:val="23"/>
              </w:rPr>
              <w:t>6</w:t>
            </w:r>
          </w:p>
        </w:tc>
        <w:tc>
          <w:tcPr>
            <w:tcW w:w="1984" w:type="dxa"/>
            <w:tcBorders>
              <w:top w:val="single" w:sz="18" w:space="0" w:color="4F81BD"/>
              <w:bottom w:val="single" w:sz="18" w:space="0" w:color="4F81BD"/>
            </w:tcBorders>
            <w:shd w:val="clear" w:color="auto" w:fill="auto"/>
          </w:tcPr>
          <w:p w14:paraId="23C8A069" w14:textId="25BF587D" w:rsidR="001E6083" w:rsidRPr="00A57667" w:rsidRDefault="00521ACF" w:rsidP="00521ACF">
            <w:pPr>
              <w:pStyle w:val="Normalnumbered"/>
              <w:numPr>
                <w:ilvl w:val="0"/>
                <w:numId w:val="0"/>
              </w:numPr>
              <w:jc w:val="left"/>
              <w:rPr>
                <w:szCs w:val="23"/>
              </w:rPr>
            </w:pPr>
            <w:r>
              <w:rPr>
                <w:szCs w:val="23"/>
              </w:rPr>
              <w:t>17</w:t>
            </w:r>
            <w:r w:rsidR="001E6083">
              <w:rPr>
                <w:szCs w:val="23"/>
              </w:rPr>
              <w:t xml:space="preserve"> November 2016</w:t>
            </w:r>
          </w:p>
        </w:tc>
        <w:tc>
          <w:tcPr>
            <w:tcW w:w="1985" w:type="dxa"/>
            <w:tcBorders>
              <w:top w:val="single" w:sz="18" w:space="0" w:color="4F81BD"/>
              <w:bottom w:val="single" w:sz="18" w:space="0" w:color="4F81BD"/>
            </w:tcBorders>
            <w:shd w:val="clear" w:color="auto" w:fill="auto"/>
          </w:tcPr>
          <w:p w14:paraId="62BE97A3" w14:textId="46911BF4" w:rsidR="001E6083" w:rsidRPr="002B5163" w:rsidRDefault="001E6083" w:rsidP="00521ACF">
            <w:pPr>
              <w:pStyle w:val="Normalnumbered"/>
              <w:numPr>
                <w:ilvl w:val="0"/>
                <w:numId w:val="0"/>
              </w:numPr>
              <w:jc w:val="left"/>
              <w:rPr>
                <w:szCs w:val="23"/>
              </w:rPr>
            </w:pPr>
            <w:r>
              <w:rPr>
                <w:szCs w:val="23"/>
              </w:rPr>
              <w:t>$1,</w:t>
            </w:r>
            <w:r w:rsidR="00521ACF">
              <w:rPr>
                <w:szCs w:val="23"/>
              </w:rPr>
              <w:t>572,264</w:t>
            </w:r>
          </w:p>
        </w:tc>
      </w:tr>
      <w:tr w:rsidR="001E6083" w:rsidRPr="00A57667" w14:paraId="2DD8FE2C" w14:textId="77777777" w:rsidTr="002B5163">
        <w:trPr>
          <w:trHeight w:val="699"/>
        </w:trPr>
        <w:tc>
          <w:tcPr>
            <w:tcW w:w="2269" w:type="dxa"/>
            <w:vMerge/>
            <w:tcBorders>
              <w:right w:val="single" w:sz="8" w:space="0" w:color="4F81BD"/>
            </w:tcBorders>
            <w:shd w:val="clear" w:color="auto" w:fill="auto"/>
          </w:tcPr>
          <w:p w14:paraId="0AB00664" w14:textId="77777777" w:rsidR="001E6083" w:rsidRDefault="001E6083" w:rsidP="001E6083">
            <w:pPr>
              <w:pStyle w:val="Normalnumbered"/>
              <w:ind w:left="0"/>
              <w:jc w:val="left"/>
              <w:rPr>
                <w:b/>
                <w:szCs w:val="23"/>
              </w:rPr>
            </w:pPr>
          </w:p>
        </w:tc>
        <w:tc>
          <w:tcPr>
            <w:tcW w:w="3402" w:type="dxa"/>
            <w:tcBorders>
              <w:top w:val="single" w:sz="18" w:space="0" w:color="4F81BD"/>
              <w:left w:val="single" w:sz="8" w:space="0" w:color="4F81BD"/>
              <w:bottom w:val="single" w:sz="8" w:space="0" w:color="4F81BD"/>
              <w:right w:val="single" w:sz="8" w:space="0" w:color="4F81BD"/>
            </w:tcBorders>
            <w:shd w:val="clear" w:color="auto" w:fill="auto"/>
          </w:tcPr>
          <w:p w14:paraId="1DF1D6FD" w14:textId="35C7E639" w:rsidR="001E6083" w:rsidRPr="00A57667" w:rsidRDefault="001E6083" w:rsidP="00F455B2">
            <w:pPr>
              <w:pStyle w:val="Normalnumbered"/>
              <w:numPr>
                <w:ilvl w:val="0"/>
                <w:numId w:val="0"/>
              </w:numPr>
              <w:jc w:val="left"/>
              <w:rPr>
                <w:szCs w:val="23"/>
              </w:rPr>
            </w:pPr>
            <w:r w:rsidRPr="00A57667">
              <w:rPr>
                <w:szCs w:val="23"/>
              </w:rPr>
              <w:t>Demonstration, through provision of a progress report, that scheduled stages for each project have been completed for</w:t>
            </w:r>
            <w:r w:rsidR="00521ACF">
              <w:rPr>
                <w:szCs w:val="23"/>
              </w:rPr>
              <w:t xml:space="preserve"> </w:t>
            </w:r>
            <w:r w:rsidRPr="00A57667">
              <w:rPr>
                <w:szCs w:val="23"/>
              </w:rPr>
              <w:t>Projects</w:t>
            </w:r>
            <w:r>
              <w:rPr>
                <w:szCs w:val="23"/>
              </w:rPr>
              <w:t xml:space="preserve"> </w:t>
            </w:r>
            <w:r w:rsidR="00521ACF">
              <w:rPr>
                <w:szCs w:val="23"/>
              </w:rPr>
              <w:t>16 through 2</w:t>
            </w:r>
            <w:r w:rsidR="00F455B2">
              <w:rPr>
                <w:szCs w:val="23"/>
              </w:rPr>
              <w:t>8</w:t>
            </w:r>
          </w:p>
        </w:tc>
        <w:tc>
          <w:tcPr>
            <w:tcW w:w="1984" w:type="dxa"/>
            <w:tcBorders>
              <w:top w:val="single" w:sz="18" w:space="0" w:color="4F81BD"/>
              <w:left w:val="single" w:sz="8" w:space="0" w:color="4F81BD"/>
              <w:bottom w:val="single" w:sz="18" w:space="0" w:color="4F81BD"/>
              <w:right w:val="single" w:sz="8" w:space="0" w:color="4F81BD"/>
            </w:tcBorders>
            <w:shd w:val="clear" w:color="auto" w:fill="auto"/>
          </w:tcPr>
          <w:p w14:paraId="61D16546" w14:textId="2C9E34CD" w:rsidR="001E6083" w:rsidRPr="00A57667" w:rsidRDefault="001E6083" w:rsidP="001E6083">
            <w:pPr>
              <w:pStyle w:val="Normalnumbered"/>
              <w:numPr>
                <w:ilvl w:val="0"/>
                <w:numId w:val="0"/>
              </w:numPr>
              <w:jc w:val="left"/>
              <w:rPr>
                <w:szCs w:val="23"/>
              </w:rPr>
            </w:pPr>
            <w:r>
              <w:rPr>
                <w:szCs w:val="23"/>
              </w:rPr>
              <w:t>20 April 2017</w:t>
            </w:r>
          </w:p>
        </w:tc>
        <w:tc>
          <w:tcPr>
            <w:tcW w:w="1985" w:type="dxa"/>
            <w:tcBorders>
              <w:top w:val="single" w:sz="18" w:space="0" w:color="4F81BD"/>
              <w:left w:val="single" w:sz="8" w:space="0" w:color="4F81BD"/>
              <w:bottom w:val="single" w:sz="18" w:space="0" w:color="4F81BD"/>
            </w:tcBorders>
            <w:shd w:val="clear" w:color="auto" w:fill="auto"/>
          </w:tcPr>
          <w:p w14:paraId="39272591" w14:textId="79272EDE" w:rsidR="001E6083" w:rsidRPr="002B5163" w:rsidRDefault="001E6083" w:rsidP="00521ACF">
            <w:pPr>
              <w:pStyle w:val="Normalnumbered"/>
              <w:numPr>
                <w:ilvl w:val="0"/>
                <w:numId w:val="0"/>
              </w:numPr>
              <w:jc w:val="left"/>
              <w:rPr>
                <w:szCs w:val="23"/>
              </w:rPr>
            </w:pPr>
            <w:r>
              <w:rPr>
                <w:szCs w:val="23"/>
              </w:rPr>
              <w:t>$</w:t>
            </w:r>
            <w:r w:rsidR="00F455B2" w:rsidRPr="00F455B2">
              <w:rPr>
                <w:szCs w:val="23"/>
              </w:rPr>
              <w:t>1</w:t>
            </w:r>
            <w:r w:rsidR="00F455B2">
              <w:rPr>
                <w:szCs w:val="23"/>
              </w:rPr>
              <w:t>,</w:t>
            </w:r>
            <w:r w:rsidR="00F455B2" w:rsidRPr="00F455B2">
              <w:rPr>
                <w:szCs w:val="23"/>
              </w:rPr>
              <w:t>279</w:t>
            </w:r>
            <w:r w:rsidR="00F455B2">
              <w:rPr>
                <w:szCs w:val="23"/>
              </w:rPr>
              <w:t>,</w:t>
            </w:r>
            <w:r w:rsidR="00F455B2" w:rsidRPr="00F455B2">
              <w:rPr>
                <w:szCs w:val="23"/>
              </w:rPr>
              <w:t>681</w:t>
            </w:r>
          </w:p>
        </w:tc>
      </w:tr>
      <w:tr w:rsidR="001E6083" w:rsidRPr="00A57667" w14:paraId="0D0277AC" w14:textId="77777777" w:rsidTr="002B5163">
        <w:trPr>
          <w:trHeight w:val="815"/>
        </w:trPr>
        <w:tc>
          <w:tcPr>
            <w:tcW w:w="2269" w:type="dxa"/>
            <w:vMerge w:val="restart"/>
            <w:tcBorders>
              <w:top w:val="single" w:sz="18" w:space="0" w:color="4F81BD"/>
            </w:tcBorders>
            <w:shd w:val="clear" w:color="auto" w:fill="auto"/>
          </w:tcPr>
          <w:p w14:paraId="1D6AD5E2" w14:textId="269C0B88" w:rsidR="001E6083" w:rsidRPr="00A57667" w:rsidRDefault="001E6083" w:rsidP="001E6083">
            <w:pPr>
              <w:pStyle w:val="Normalnumbered"/>
              <w:ind w:left="0"/>
              <w:jc w:val="left"/>
              <w:rPr>
                <w:b/>
                <w:szCs w:val="23"/>
              </w:rPr>
            </w:pPr>
            <w:r w:rsidRPr="00A57667">
              <w:rPr>
                <w:b/>
                <w:szCs w:val="23"/>
              </w:rPr>
              <w:t>2015-16</w:t>
            </w:r>
          </w:p>
          <w:p w14:paraId="1F999B30" w14:textId="359EB2B5" w:rsidR="001E6083" w:rsidRPr="00A57667" w:rsidRDefault="001E6083" w:rsidP="001E6083">
            <w:pPr>
              <w:pStyle w:val="Normalnumbered"/>
              <w:ind w:left="0"/>
              <w:jc w:val="left"/>
              <w:rPr>
                <w:szCs w:val="23"/>
              </w:rPr>
            </w:pPr>
            <w:r w:rsidRPr="00A57667">
              <w:rPr>
                <w:szCs w:val="23"/>
              </w:rPr>
              <w:t>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62E33124" w14:textId="61D5399D" w:rsidR="001E6083" w:rsidRPr="00A57667" w:rsidRDefault="001E6083" w:rsidP="001E6083">
            <w:pPr>
              <w:pStyle w:val="Normalnumbered"/>
              <w:numPr>
                <w:ilvl w:val="0"/>
                <w:numId w:val="0"/>
              </w:numPr>
              <w:jc w:val="left"/>
              <w:rPr>
                <w:szCs w:val="23"/>
              </w:rPr>
            </w:pPr>
            <w:r w:rsidRPr="00A57667">
              <w:rPr>
                <w:szCs w:val="23"/>
              </w:rPr>
              <w:t>Demonstration, through provision of a progress report, that scheduled stages for each project have been completed for Projects 4 to 1</w:t>
            </w:r>
            <w:r>
              <w:rPr>
                <w:szCs w:val="23"/>
              </w:rPr>
              <w:t>1</w:t>
            </w:r>
            <w:r w:rsidRPr="00A57667">
              <w:rPr>
                <w:szCs w:val="23"/>
              </w:rPr>
              <w:t>.</w:t>
            </w:r>
          </w:p>
        </w:tc>
        <w:tc>
          <w:tcPr>
            <w:tcW w:w="1984" w:type="dxa"/>
            <w:tcBorders>
              <w:top w:val="single" w:sz="18" w:space="0" w:color="4F81BD"/>
              <w:bottom w:val="single" w:sz="8" w:space="0" w:color="4F81BD"/>
            </w:tcBorders>
            <w:shd w:val="clear" w:color="auto" w:fill="auto"/>
          </w:tcPr>
          <w:p w14:paraId="40E10E77" w14:textId="42DD8B19" w:rsidR="001E6083" w:rsidRPr="00A57667" w:rsidRDefault="001E6083" w:rsidP="001E6083">
            <w:pPr>
              <w:pStyle w:val="Normalnumbered"/>
              <w:numPr>
                <w:ilvl w:val="0"/>
                <w:numId w:val="0"/>
              </w:numPr>
              <w:jc w:val="left"/>
              <w:rPr>
                <w:szCs w:val="23"/>
              </w:rPr>
            </w:pPr>
            <w:r w:rsidRPr="00A57667">
              <w:rPr>
                <w:szCs w:val="23"/>
              </w:rPr>
              <w:t>20 November 2015</w:t>
            </w:r>
          </w:p>
        </w:tc>
        <w:tc>
          <w:tcPr>
            <w:tcW w:w="1985" w:type="dxa"/>
            <w:tcBorders>
              <w:top w:val="single" w:sz="18" w:space="0" w:color="4F81BD"/>
              <w:bottom w:val="single" w:sz="8" w:space="0" w:color="4F81BD"/>
            </w:tcBorders>
            <w:shd w:val="clear" w:color="auto" w:fill="auto"/>
          </w:tcPr>
          <w:p w14:paraId="14F4C3A6" w14:textId="2435C5D6" w:rsidR="001E6083" w:rsidRPr="00A57667" w:rsidRDefault="001E6083" w:rsidP="001E6083">
            <w:pPr>
              <w:pStyle w:val="Normalnumbered"/>
              <w:numPr>
                <w:ilvl w:val="0"/>
                <w:numId w:val="0"/>
              </w:numPr>
              <w:jc w:val="left"/>
              <w:rPr>
                <w:szCs w:val="23"/>
              </w:rPr>
            </w:pPr>
            <w:r w:rsidRPr="00A57667">
              <w:t>$6</w:t>
            </w:r>
            <w:r>
              <w:t>34</w:t>
            </w:r>
            <w:r w:rsidRPr="00A57667">
              <w:t>,310</w:t>
            </w:r>
          </w:p>
        </w:tc>
      </w:tr>
      <w:tr w:rsidR="001E6083" w:rsidRPr="00A57667" w14:paraId="2C7469A3" w14:textId="77777777" w:rsidTr="001F74E6">
        <w:trPr>
          <w:trHeight w:val="815"/>
        </w:trPr>
        <w:tc>
          <w:tcPr>
            <w:tcW w:w="2269" w:type="dxa"/>
            <w:vMerge/>
            <w:shd w:val="clear" w:color="auto" w:fill="auto"/>
          </w:tcPr>
          <w:p w14:paraId="6C187ED0" w14:textId="75B6F0C1" w:rsidR="001E6083" w:rsidRPr="00A57667" w:rsidRDefault="001E6083" w:rsidP="001E6083">
            <w:pPr>
              <w:pStyle w:val="Normalnumbered"/>
              <w:numPr>
                <w:ilvl w:val="0"/>
                <w:numId w:val="0"/>
              </w:numPr>
              <w:jc w:val="left"/>
              <w:rPr>
                <w:b/>
                <w:bCs/>
                <w:szCs w:val="23"/>
              </w:rPr>
            </w:pPr>
          </w:p>
        </w:tc>
        <w:tc>
          <w:tcPr>
            <w:tcW w:w="3402" w:type="dxa"/>
            <w:tcBorders>
              <w:top w:val="single" w:sz="18" w:space="0" w:color="4F81BD"/>
              <w:bottom w:val="single" w:sz="8" w:space="0" w:color="4F81BD"/>
            </w:tcBorders>
            <w:shd w:val="clear" w:color="auto" w:fill="auto"/>
          </w:tcPr>
          <w:p w14:paraId="02C5ED6C" w14:textId="4C61D353" w:rsidR="001E6083" w:rsidRPr="00A57667" w:rsidRDefault="001E6083" w:rsidP="001E6083">
            <w:pPr>
              <w:pStyle w:val="Normalnumbered"/>
              <w:numPr>
                <w:ilvl w:val="0"/>
                <w:numId w:val="0"/>
              </w:numPr>
              <w:jc w:val="left"/>
              <w:rPr>
                <w:szCs w:val="23"/>
              </w:rPr>
            </w:pPr>
            <w:r w:rsidRPr="00A57667">
              <w:rPr>
                <w:szCs w:val="23"/>
              </w:rPr>
              <w:t xml:space="preserve">Demonstration, through provision of a progress report, that scheduled stages for each project have been completed for Projects 4 to 15. </w:t>
            </w:r>
          </w:p>
        </w:tc>
        <w:tc>
          <w:tcPr>
            <w:tcW w:w="1984" w:type="dxa"/>
            <w:tcBorders>
              <w:top w:val="single" w:sz="18" w:space="0" w:color="4F81BD"/>
              <w:bottom w:val="single" w:sz="8" w:space="0" w:color="4F81BD"/>
            </w:tcBorders>
            <w:shd w:val="clear" w:color="auto" w:fill="auto"/>
          </w:tcPr>
          <w:p w14:paraId="7E320573" w14:textId="6BE1C20D" w:rsidR="001E6083" w:rsidRPr="007213AB" w:rsidRDefault="00F03D9B" w:rsidP="00F03D9B">
            <w:pPr>
              <w:pStyle w:val="Normalnumbered"/>
              <w:numPr>
                <w:ilvl w:val="0"/>
                <w:numId w:val="0"/>
              </w:numPr>
              <w:jc w:val="left"/>
              <w:rPr>
                <w:szCs w:val="23"/>
              </w:rPr>
            </w:pPr>
            <w:r>
              <w:rPr>
                <w:szCs w:val="23"/>
              </w:rPr>
              <w:t>18</w:t>
            </w:r>
            <w:r w:rsidR="001E6083" w:rsidRPr="007213AB">
              <w:rPr>
                <w:szCs w:val="23"/>
              </w:rPr>
              <w:t xml:space="preserve"> April 2016</w:t>
            </w:r>
          </w:p>
        </w:tc>
        <w:tc>
          <w:tcPr>
            <w:tcW w:w="1985" w:type="dxa"/>
            <w:tcBorders>
              <w:top w:val="single" w:sz="18" w:space="0" w:color="4F81BD"/>
              <w:bottom w:val="single" w:sz="8" w:space="0" w:color="4F81BD"/>
            </w:tcBorders>
            <w:shd w:val="clear" w:color="auto" w:fill="auto"/>
          </w:tcPr>
          <w:p w14:paraId="6007F5FA" w14:textId="5B0F27E5" w:rsidR="001E6083" w:rsidRPr="007213AB" w:rsidRDefault="001E6083" w:rsidP="001E6083">
            <w:pPr>
              <w:pStyle w:val="Normalnumbered"/>
              <w:numPr>
                <w:ilvl w:val="0"/>
                <w:numId w:val="0"/>
              </w:numPr>
              <w:jc w:val="left"/>
              <w:rPr>
                <w:szCs w:val="23"/>
              </w:rPr>
            </w:pPr>
            <w:r w:rsidRPr="007213AB">
              <w:rPr>
                <w:szCs w:val="23"/>
              </w:rPr>
              <w:t>$1,998,039</w:t>
            </w:r>
          </w:p>
        </w:tc>
      </w:tr>
      <w:tr w:rsidR="001E6083" w:rsidRPr="00A57667" w14:paraId="364E1DCE" w14:textId="77777777" w:rsidTr="001F74E6">
        <w:trPr>
          <w:trHeight w:val="1240"/>
        </w:trPr>
        <w:tc>
          <w:tcPr>
            <w:tcW w:w="2269" w:type="dxa"/>
            <w:vMerge w:val="restart"/>
            <w:tcBorders>
              <w:top w:val="single" w:sz="18" w:space="0" w:color="4F81BD"/>
            </w:tcBorders>
            <w:shd w:val="clear" w:color="auto" w:fill="auto"/>
          </w:tcPr>
          <w:p w14:paraId="06C76BE2" w14:textId="2B826F4E" w:rsidR="001E6083" w:rsidRPr="00A57667" w:rsidRDefault="001E6083" w:rsidP="001E6083">
            <w:pPr>
              <w:pStyle w:val="Normalnumbered"/>
              <w:ind w:left="0"/>
              <w:jc w:val="left"/>
              <w:rPr>
                <w:b/>
                <w:szCs w:val="23"/>
              </w:rPr>
            </w:pPr>
            <w:r w:rsidRPr="00A57667">
              <w:rPr>
                <w:b/>
                <w:szCs w:val="23"/>
              </w:rPr>
              <w:t>2014-15</w:t>
            </w:r>
          </w:p>
          <w:p w14:paraId="7EEA9DD9" w14:textId="77777777" w:rsidR="001E6083" w:rsidRPr="00A57667" w:rsidRDefault="001E6083" w:rsidP="001E6083">
            <w:pPr>
              <w:pStyle w:val="Normalnumbered"/>
              <w:ind w:left="0"/>
              <w:jc w:val="left"/>
              <w:rPr>
                <w:szCs w:val="23"/>
              </w:rPr>
            </w:pPr>
            <w:r w:rsidRPr="00A57667">
              <w:rPr>
                <w:szCs w:val="23"/>
              </w:rPr>
              <w:t>Projects that deliver tourism demand-driver infrastructure and support Tourism 2020 outcomes.</w:t>
            </w:r>
          </w:p>
        </w:tc>
        <w:tc>
          <w:tcPr>
            <w:tcW w:w="3402" w:type="dxa"/>
            <w:tcBorders>
              <w:top w:val="single" w:sz="18" w:space="0" w:color="4F81BD"/>
              <w:bottom w:val="single" w:sz="18" w:space="0" w:color="4F81BD"/>
            </w:tcBorders>
            <w:shd w:val="clear" w:color="auto" w:fill="auto"/>
          </w:tcPr>
          <w:p w14:paraId="09B691C9" w14:textId="77777777" w:rsidR="001E6083" w:rsidRPr="00A57667" w:rsidRDefault="001E6083" w:rsidP="001E6083">
            <w:pPr>
              <w:pStyle w:val="Normalnumbered"/>
              <w:numPr>
                <w:ilvl w:val="0"/>
                <w:numId w:val="0"/>
              </w:numPr>
              <w:jc w:val="left"/>
              <w:rPr>
                <w:szCs w:val="23"/>
              </w:rPr>
            </w:pPr>
            <w:r w:rsidRPr="00A57667">
              <w:rPr>
                <w:szCs w:val="23"/>
              </w:rPr>
              <w:t>Initial contribution to support implementation of projects</w:t>
            </w:r>
          </w:p>
        </w:tc>
        <w:tc>
          <w:tcPr>
            <w:tcW w:w="1984" w:type="dxa"/>
            <w:tcBorders>
              <w:top w:val="single" w:sz="18" w:space="0" w:color="4F81BD"/>
              <w:bottom w:val="single" w:sz="18" w:space="0" w:color="4F81BD"/>
            </w:tcBorders>
            <w:shd w:val="clear" w:color="auto" w:fill="auto"/>
          </w:tcPr>
          <w:p w14:paraId="3C037A8D" w14:textId="77777777" w:rsidR="001E6083" w:rsidRPr="00A57667" w:rsidRDefault="001E6083" w:rsidP="001E6083">
            <w:pPr>
              <w:pStyle w:val="Normalnumbered"/>
              <w:numPr>
                <w:ilvl w:val="0"/>
                <w:numId w:val="0"/>
              </w:numPr>
              <w:jc w:val="left"/>
              <w:rPr>
                <w:szCs w:val="23"/>
              </w:rPr>
            </w:pPr>
            <w:r w:rsidRPr="00A57667">
              <w:rPr>
                <w:szCs w:val="23"/>
              </w:rPr>
              <w:t>29 April 2015</w:t>
            </w:r>
          </w:p>
        </w:tc>
        <w:tc>
          <w:tcPr>
            <w:tcW w:w="1985" w:type="dxa"/>
            <w:tcBorders>
              <w:top w:val="single" w:sz="18" w:space="0" w:color="4F81BD"/>
              <w:bottom w:val="single" w:sz="18" w:space="0" w:color="4F81BD"/>
            </w:tcBorders>
            <w:shd w:val="clear" w:color="auto" w:fill="auto"/>
          </w:tcPr>
          <w:p w14:paraId="6C814557" w14:textId="29E5FE5E" w:rsidR="001E6083" w:rsidRPr="00A57667" w:rsidRDefault="001E6083" w:rsidP="001E6083">
            <w:pPr>
              <w:pStyle w:val="Normalnumbered"/>
              <w:numPr>
                <w:ilvl w:val="0"/>
                <w:numId w:val="0"/>
              </w:numPr>
              <w:jc w:val="left"/>
              <w:rPr>
                <w:szCs w:val="23"/>
              </w:rPr>
            </w:pPr>
            <w:r w:rsidRPr="00A57667">
              <w:rPr>
                <w:szCs w:val="23"/>
              </w:rPr>
              <w:t>$72,230</w:t>
            </w:r>
          </w:p>
        </w:tc>
      </w:tr>
      <w:tr w:rsidR="001E6083" w14:paraId="7A34EA0C" w14:textId="77777777" w:rsidTr="001F74E6">
        <w:trPr>
          <w:trHeight w:val="1240"/>
        </w:trPr>
        <w:tc>
          <w:tcPr>
            <w:tcW w:w="2269" w:type="dxa"/>
            <w:vMerge/>
            <w:shd w:val="clear" w:color="auto" w:fill="auto"/>
          </w:tcPr>
          <w:p w14:paraId="6DDA43C5" w14:textId="77777777" w:rsidR="001E6083" w:rsidRPr="00A57667" w:rsidRDefault="001E6083" w:rsidP="001E6083">
            <w:pPr>
              <w:pStyle w:val="Normalnumbered"/>
              <w:ind w:left="0"/>
              <w:jc w:val="left"/>
              <w:rPr>
                <w:szCs w:val="23"/>
              </w:rPr>
            </w:pPr>
          </w:p>
        </w:tc>
        <w:tc>
          <w:tcPr>
            <w:tcW w:w="3402" w:type="dxa"/>
            <w:tcBorders>
              <w:top w:val="single" w:sz="18" w:space="0" w:color="4F81BD"/>
              <w:bottom w:val="single" w:sz="8" w:space="0" w:color="4F81BD"/>
            </w:tcBorders>
            <w:shd w:val="clear" w:color="auto" w:fill="auto"/>
          </w:tcPr>
          <w:p w14:paraId="6966D7E5" w14:textId="77777777" w:rsidR="001E6083" w:rsidRPr="00A57667" w:rsidRDefault="001E6083" w:rsidP="001E6083">
            <w:pPr>
              <w:pStyle w:val="Normalnumbered"/>
              <w:numPr>
                <w:ilvl w:val="0"/>
                <w:numId w:val="0"/>
              </w:numPr>
              <w:jc w:val="left"/>
              <w:rPr>
                <w:szCs w:val="23"/>
              </w:rPr>
            </w:pPr>
            <w:r w:rsidRPr="00A57667">
              <w:rPr>
                <w:szCs w:val="23"/>
              </w:rPr>
              <w:t>Demonstration, through provision of a progress report, that scheduled stages for each project have been completed for Projects 1 to 3.</w:t>
            </w:r>
          </w:p>
        </w:tc>
        <w:tc>
          <w:tcPr>
            <w:tcW w:w="1984" w:type="dxa"/>
            <w:tcBorders>
              <w:top w:val="single" w:sz="18" w:space="0" w:color="4F81BD"/>
              <w:bottom w:val="single" w:sz="8" w:space="0" w:color="4F81BD"/>
            </w:tcBorders>
            <w:shd w:val="clear" w:color="auto" w:fill="auto"/>
          </w:tcPr>
          <w:p w14:paraId="29756BCC" w14:textId="77777777" w:rsidR="001E6083" w:rsidRPr="00A57667" w:rsidRDefault="001E6083" w:rsidP="001E6083">
            <w:pPr>
              <w:pStyle w:val="Normalnumbered"/>
              <w:numPr>
                <w:ilvl w:val="0"/>
                <w:numId w:val="0"/>
              </w:numPr>
              <w:jc w:val="left"/>
              <w:rPr>
                <w:szCs w:val="23"/>
              </w:rPr>
            </w:pPr>
            <w:r w:rsidRPr="00A57667">
              <w:rPr>
                <w:szCs w:val="23"/>
              </w:rPr>
              <w:t>22 May 2015</w:t>
            </w:r>
          </w:p>
        </w:tc>
        <w:tc>
          <w:tcPr>
            <w:tcW w:w="1985" w:type="dxa"/>
            <w:tcBorders>
              <w:top w:val="single" w:sz="18" w:space="0" w:color="4F81BD"/>
              <w:bottom w:val="single" w:sz="8" w:space="0" w:color="4F81BD"/>
            </w:tcBorders>
            <w:shd w:val="clear" w:color="auto" w:fill="auto"/>
          </w:tcPr>
          <w:p w14:paraId="18B53167" w14:textId="19F969FC" w:rsidR="001E6083" w:rsidRPr="00565E57" w:rsidRDefault="001E6083" w:rsidP="001E6083">
            <w:pPr>
              <w:pStyle w:val="Normalnumbered"/>
              <w:numPr>
                <w:ilvl w:val="0"/>
                <w:numId w:val="0"/>
              </w:numPr>
              <w:jc w:val="left"/>
              <w:rPr>
                <w:szCs w:val="23"/>
              </w:rPr>
            </w:pPr>
            <w:r w:rsidRPr="00A57667">
              <w:rPr>
                <w:szCs w:val="23"/>
              </w:rPr>
              <w:t>$288,920</w:t>
            </w:r>
          </w:p>
        </w:tc>
      </w:tr>
    </w:tbl>
    <w:p w14:paraId="214F46AE" w14:textId="6D3144EB" w:rsidR="0086361C" w:rsidRDefault="0086361C">
      <w:pPr>
        <w:spacing w:after="200" w:line="276" w:lineRule="auto"/>
        <w:jc w:val="left"/>
        <w:rPr>
          <w:rFonts w:cs="Calibri"/>
          <w:szCs w:val="23"/>
          <w:lang w:val="en-GB"/>
        </w:rPr>
      </w:pPr>
    </w:p>
    <w:p w14:paraId="713D4B8D" w14:textId="3F119A0A" w:rsidR="0086361C" w:rsidRDefault="0086361C" w:rsidP="0086361C">
      <w:pPr>
        <w:rPr>
          <w:rFonts w:cs="Calibri"/>
          <w:szCs w:val="23"/>
          <w:lang w:val="en-GB"/>
        </w:rPr>
      </w:pPr>
      <w:r w:rsidRPr="00AC328D">
        <w:rPr>
          <w:rFonts w:cs="Calibri"/>
          <w:szCs w:val="23"/>
          <w:lang w:val="en-GB"/>
        </w:rPr>
        <w:t>The Parties have confirmed their commitment to this Schedule as follows:</w:t>
      </w:r>
    </w:p>
    <w:p w14:paraId="57886033" w14:textId="77777777" w:rsidR="0086361C" w:rsidRDefault="0086361C" w:rsidP="0086361C">
      <w:pPr>
        <w:rPr>
          <w:rFonts w:cs="Calibri"/>
          <w:szCs w:val="23"/>
          <w:lang w:val="en-GB"/>
        </w:rPr>
      </w:pPr>
      <w:r>
        <w:rPr>
          <w:rFonts w:cs="Calibri"/>
          <w:b/>
          <w:szCs w:val="23"/>
          <w:lang w:val="en-GB"/>
        </w:rPr>
        <w:t xml:space="preserve">Signed </w:t>
      </w:r>
      <w:r>
        <w:rPr>
          <w:rFonts w:cs="Calibri"/>
          <w:i/>
          <w:szCs w:val="23"/>
          <w:lang w:val="en-GB"/>
        </w:rPr>
        <w:t>for and on behalf of the Commonwealth of Australia by</w:t>
      </w:r>
    </w:p>
    <w:p w14:paraId="25DF67A9" w14:textId="77777777" w:rsidR="0086361C" w:rsidRPr="00D56365" w:rsidRDefault="0086361C" w:rsidP="0086361C">
      <w:pPr>
        <w:rPr>
          <w:rFonts w:cs="Calibri"/>
          <w:szCs w:val="23"/>
          <w:lang w:val="en-GB"/>
        </w:rPr>
      </w:pPr>
    </w:p>
    <w:p w14:paraId="06987DCA" w14:textId="77777777" w:rsidR="0086361C" w:rsidRDefault="0086361C" w:rsidP="0086361C">
      <w:pPr>
        <w:rPr>
          <w:rFonts w:cs="Calibri"/>
          <w:szCs w:val="23"/>
          <w:lang w:val="en-GB"/>
        </w:rPr>
      </w:pPr>
    </w:p>
    <w:p w14:paraId="231E551F" w14:textId="77777777" w:rsidR="0086361C" w:rsidRDefault="0086361C" w:rsidP="0086361C">
      <w:pPr>
        <w:rPr>
          <w:rFonts w:cs="Calibri"/>
          <w:szCs w:val="23"/>
          <w:lang w:val="en-GB"/>
        </w:rPr>
      </w:pPr>
    </w:p>
    <w:p w14:paraId="5DB45C94" w14:textId="77777777" w:rsidR="0086361C" w:rsidRDefault="0086361C" w:rsidP="0086361C">
      <w:pPr>
        <w:rPr>
          <w:rFonts w:cs="Calibri"/>
          <w:szCs w:val="23"/>
          <w:lang w:val="en-GB"/>
        </w:rPr>
      </w:pPr>
      <w:r>
        <w:rPr>
          <w:rFonts w:cs="Calibri"/>
          <w:szCs w:val="23"/>
          <w:lang w:val="en-GB"/>
        </w:rPr>
        <w:t>__________________________________________</w:t>
      </w:r>
    </w:p>
    <w:p w14:paraId="6B507D31" w14:textId="65D18665" w:rsidR="0086361C" w:rsidRDefault="0086361C" w:rsidP="0086361C">
      <w:pPr>
        <w:rPr>
          <w:rFonts w:cs="Calibri"/>
          <w:b/>
          <w:szCs w:val="23"/>
          <w:lang w:val="en-GB"/>
        </w:rPr>
      </w:pPr>
      <w:r>
        <w:rPr>
          <w:rFonts w:cs="Calibri"/>
          <w:b/>
          <w:szCs w:val="23"/>
          <w:lang w:val="en-GB"/>
        </w:rPr>
        <w:t>The Honourable</w:t>
      </w:r>
      <w:r w:rsidR="005614DB">
        <w:rPr>
          <w:rFonts w:cs="Calibri"/>
          <w:b/>
          <w:szCs w:val="23"/>
          <w:lang w:val="en-GB"/>
        </w:rPr>
        <w:t xml:space="preserve"> </w:t>
      </w:r>
      <w:r w:rsidR="005A677A">
        <w:rPr>
          <w:rFonts w:cs="Calibri"/>
          <w:b/>
          <w:szCs w:val="23"/>
          <w:lang w:val="en-GB"/>
        </w:rPr>
        <w:t xml:space="preserve">Steven Ciobo </w:t>
      </w:r>
      <w:r>
        <w:rPr>
          <w:rFonts w:cs="Calibri"/>
          <w:b/>
          <w:szCs w:val="23"/>
          <w:lang w:val="en-GB"/>
        </w:rPr>
        <w:t>MP</w:t>
      </w:r>
    </w:p>
    <w:p w14:paraId="09DFC26E" w14:textId="67AA7672" w:rsidR="0086361C" w:rsidRDefault="0086361C" w:rsidP="0086361C">
      <w:pPr>
        <w:rPr>
          <w:rFonts w:cs="Calibri"/>
          <w:szCs w:val="23"/>
          <w:lang w:val="en-GB"/>
        </w:rPr>
      </w:pPr>
      <w:r>
        <w:rPr>
          <w:rFonts w:cs="Calibri"/>
          <w:szCs w:val="23"/>
          <w:lang w:val="en-GB"/>
        </w:rPr>
        <w:t xml:space="preserve">Minister for </w:t>
      </w:r>
      <w:r w:rsidR="005614DB">
        <w:rPr>
          <w:rFonts w:cs="Calibri"/>
          <w:szCs w:val="23"/>
          <w:lang w:val="en-GB"/>
        </w:rPr>
        <w:t>Tourism</w:t>
      </w:r>
    </w:p>
    <w:p w14:paraId="689E4B9B" w14:textId="2B30E68B" w:rsidR="005D7889" w:rsidRPr="0033422D" w:rsidRDefault="005D7889" w:rsidP="005D7889">
      <w:pPr>
        <w:rPr>
          <w:rFonts w:cs="Calibri"/>
          <w:szCs w:val="23"/>
          <w:lang w:val="en-GB"/>
        </w:rPr>
      </w:pPr>
      <w:r>
        <w:rPr>
          <w:szCs w:val="23"/>
          <w:lang w:val="en-GB"/>
        </w:rPr>
        <w:t xml:space="preserve">      </w:t>
      </w:r>
      <w:r w:rsidRPr="0033422D">
        <w:rPr>
          <w:szCs w:val="23"/>
          <w:lang w:val="en-GB"/>
        </w:rPr>
        <w:t>/       /</w:t>
      </w:r>
      <w:r w:rsidR="00FA0C02">
        <w:rPr>
          <w:szCs w:val="23"/>
          <w:lang w:val="en-GB"/>
        </w:rPr>
        <w:t xml:space="preserve"> </w:t>
      </w:r>
      <w:r w:rsidRPr="0033422D">
        <w:rPr>
          <w:szCs w:val="23"/>
          <w:lang w:val="en-GB"/>
        </w:rPr>
        <w:t>201</w:t>
      </w:r>
      <w:r w:rsidR="00FA0C02">
        <w:rPr>
          <w:szCs w:val="23"/>
          <w:lang w:val="en-GB"/>
        </w:rPr>
        <w:t>7</w:t>
      </w:r>
    </w:p>
    <w:p w14:paraId="7BFF6F52" w14:textId="77777777" w:rsidR="0086361C" w:rsidRDefault="0086361C" w:rsidP="0086361C">
      <w:pPr>
        <w:rPr>
          <w:rFonts w:cs="Calibri"/>
          <w:szCs w:val="23"/>
          <w:lang w:val="en-GB"/>
        </w:rPr>
      </w:pPr>
    </w:p>
    <w:p w14:paraId="115E9042" w14:textId="77777777" w:rsidR="0086361C" w:rsidRDefault="0086361C" w:rsidP="0086361C">
      <w:pPr>
        <w:rPr>
          <w:rFonts w:cs="Calibri"/>
          <w:szCs w:val="23"/>
          <w:lang w:val="en-GB"/>
        </w:rPr>
      </w:pPr>
    </w:p>
    <w:p w14:paraId="73D0E401" w14:textId="03AC1DEF" w:rsidR="0086361C" w:rsidRPr="00D56365" w:rsidRDefault="0086361C" w:rsidP="0086361C">
      <w:pPr>
        <w:rPr>
          <w:rFonts w:cs="Calibri"/>
          <w:i/>
          <w:szCs w:val="23"/>
          <w:lang w:val="en-GB"/>
        </w:rPr>
      </w:pPr>
      <w:r>
        <w:rPr>
          <w:rFonts w:cs="Calibri"/>
          <w:b/>
          <w:szCs w:val="23"/>
          <w:lang w:val="en-GB"/>
        </w:rPr>
        <w:t>Signed</w:t>
      </w:r>
      <w:r>
        <w:rPr>
          <w:rFonts w:cs="Calibri"/>
          <w:szCs w:val="23"/>
          <w:lang w:val="en-GB"/>
        </w:rPr>
        <w:t xml:space="preserve"> </w:t>
      </w:r>
      <w:r>
        <w:rPr>
          <w:rFonts w:cs="Calibri"/>
          <w:i/>
          <w:szCs w:val="23"/>
          <w:lang w:val="en-GB"/>
        </w:rPr>
        <w:t>for and on behalf of the State of</w:t>
      </w:r>
      <w:r w:rsidR="005614DB">
        <w:rPr>
          <w:rFonts w:cs="Calibri"/>
          <w:i/>
          <w:szCs w:val="23"/>
          <w:lang w:val="en-GB"/>
        </w:rPr>
        <w:t xml:space="preserve"> Queensland</w:t>
      </w:r>
      <w:r>
        <w:rPr>
          <w:rFonts w:cs="Calibri"/>
          <w:i/>
          <w:szCs w:val="23"/>
          <w:lang w:val="en-GB"/>
        </w:rPr>
        <w:t xml:space="preserve"> by</w:t>
      </w:r>
    </w:p>
    <w:p w14:paraId="2FC7E4C3" w14:textId="77777777" w:rsidR="0086361C" w:rsidRPr="00D56365" w:rsidRDefault="0086361C" w:rsidP="0086361C">
      <w:pPr>
        <w:rPr>
          <w:rFonts w:cs="Calibri"/>
          <w:szCs w:val="23"/>
          <w:lang w:val="en-GB"/>
        </w:rPr>
      </w:pPr>
    </w:p>
    <w:p w14:paraId="229FE3FC" w14:textId="77777777" w:rsidR="0086361C" w:rsidRDefault="0086361C" w:rsidP="0086361C">
      <w:pPr>
        <w:rPr>
          <w:rFonts w:cs="Calibri"/>
          <w:szCs w:val="23"/>
          <w:lang w:val="en-GB"/>
        </w:rPr>
      </w:pPr>
    </w:p>
    <w:p w14:paraId="6AF9F789" w14:textId="77777777" w:rsidR="0086361C" w:rsidRDefault="0086361C" w:rsidP="0086361C">
      <w:pPr>
        <w:rPr>
          <w:rFonts w:cs="Calibri"/>
          <w:szCs w:val="23"/>
          <w:lang w:val="en-GB"/>
        </w:rPr>
      </w:pPr>
    </w:p>
    <w:p w14:paraId="129A3D6E" w14:textId="77777777" w:rsidR="0086361C" w:rsidRDefault="0086361C" w:rsidP="0086361C">
      <w:pPr>
        <w:rPr>
          <w:rFonts w:cs="Calibri"/>
          <w:szCs w:val="23"/>
          <w:lang w:val="en-GB"/>
        </w:rPr>
      </w:pPr>
      <w:r>
        <w:rPr>
          <w:rFonts w:cs="Calibri"/>
          <w:szCs w:val="23"/>
          <w:lang w:val="en-GB"/>
        </w:rPr>
        <w:t>__________________________________________</w:t>
      </w:r>
    </w:p>
    <w:p w14:paraId="423365C6" w14:textId="3E276745" w:rsidR="0086361C" w:rsidRDefault="0086361C" w:rsidP="0086361C">
      <w:pPr>
        <w:rPr>
          <w:rFonts w:cs="Calibri"/>
          <w:b/>
          <w:szCs w:val="23"/>
          <w:lang w:val="en-GB"/>
        </w:rPr>
      </w:pPr>
      <w:r>
        <w:rPr>
          <w:rFonts w:cs="Calibri"/>
          <w:b/>
          <w:szCs w:val="23"/>
          <w:lang w:val="en-GB"/>
        </w:rPr>
        <w:t xml:space="preserve">The Honourable </w:t>
      </w:r>
      <w:r w:rsidR="005614DB">
        <w:rPr>
          <w:rFonts w:cs="Calibri"/>
          <w:b/>
          <w:szCs w:val="23"/>
          <w:lang w:val="en-GB"/>
        </w:rPr>
        <w:t>Kate Jones</w:t>
      </w:r>
      <w:r>
        <w:rPr>
          <w:rFonts w:cs="Calibri"/>
          <w:b/>
          <w:szCs w:val="23"/>
          <w:lang w:val="en-GB"/>
        </w:rPr>
        <w:t xml:space="preserve"> MP</w:t>
      </w:r>
    </w:p>
    <w:p w14:paraId="48D43B57" w14:textId="57366CE6" w:rsidR="0086361C" w:rsidRDefault="005614DB" w:rsidP="0086361C">
      <w:pPr>
        <w:rPr>
          <w:rFonts w:cs="Calibri"/>
          <w:szCs w:val="23"/>
          <w:lang w:val="en-GB"/>
        </w:rPr>
      </w:pPr>
      <w:r w:rsidRPr="005614DB">
        <w:rPr>
          <w:rFonts w:cs="Calibri"/>
          <w:szCs w:val="23"/>
          <w:lang w:val="en-GB"/>
        </w:rPr>
        <w:t>Minister for Education and Minister for Tourism and Major Events</w:t>
      </w:r>
    </w:p>
    <w:p w14:paraId="1BC776D1" w14:textId="5CEA7FAD" w:rsidR="005D7889" w:rsidRPr="0033422D" w:rsidRDefault="005D7889" w:rsidP="005D7889">
      <w:pPr>
        <w:rPr>
          <w:rFonts w:cs="Calibri"/>
          <w:szCs w:val="23"/>
          <w:lang w:val="en-GB"/>
        </w:rPr>
      </w:pPr>
      <w:r>
        <w:rPr>
          <w:szCs w:val="23"/>
          <w:lang w:val="en-GB"/>
        </w:rPr>
        <w:t xml:space="preserve">      </w:t>
      </w:r>
      <w:r w:rsidRPr="0033422D">
        <w:rPr>
          <w:szCs w:val="23"/>
          <w:lang w:val="en-GB"/>
        </w:rPr>
        <w:t>/       /</w:t>
      </w:r>
      <w:r w:rsidR="00FA0C02">
        <w:rPr>
          <w:szCs w:val="23"/>
          <w:lang w:val="en-GB"/>
        </w:rPr>
        <w:t xml:space="preserve"> </w:t>
      </w:r>
      <w:r w:rsidRPr="0033422D">
        <w:rPr>
          <w:szCs w:val="23"/>
          <w:lang w:val="en-GB"/>
        </w:rPr>
        <w:t>201</w:t>
      </w:r>
      <w:r w:rsidR="00FA0C02">
        <w:rPr>
          <w:szCs w:val="23"/>
          <w:lang w:val="en-GB"/>
        </w:rPr>
        <w:t>7</w:t>
      </w:r>
    </w:p>
    <w:p w14:paraId="1FE99916" w14:textId="345ECEB4" w:rsidR="00990025" w:rsidRDefault="00990025">
      <w:pPr>
        <w:spacing w:after="200" w:line="276" w:lineRule="auto"/>
        <w:jc w:val="left"/>
      </w:pPr>
    </w:p>
    <w:sectPr w:rsidR="0099002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5829E" w14:textId="77777777" w:rsidR="00243FFE" w:rsidRDefault="00243FFE" w:rsidP="00243FFE">
      <w:pPr>
        <w:spacing w:after="0" w:line="240" w:lineRule="auto"/>
      </w:pPr>
      <w:r>
        <w:separator/>
      </w:r>
    </w:p>
  </w:endnote>
  <w:endnote w:type="continuationSeparator" w:id="0">
    <w:p w14:paraId="7555A74D" w14:textId="77777777" w:rsidR="00243FFE" w:rsidRDefault="00243FFE" w:rsidP="0024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EDD79" w14:textId="77777777" w:rsidR="00243FFE" w:rsidRDefault="00243FFE" w:rsidP="00243FFE">
      <w:pPr>
        <w:spacing w:after="0" w:line="240" w:lineRule="auto"/>
      </w:pPr>
      <w:r>
        <w:separator/>
      </w:r>
    </w:p>
  </w:footnote>
  <w:footnote w:type="continuationSeparator" w:id="0">
    <w:p w14:paraId="06E8E0D6" w14:textId="77777777" w:rsidR="00243FFE" w:rsidRDefault="00243FFE" w:rsidP="00243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DC25" w14:textId="77777777" w:rsidR="00243FFE" w:rsidRPr="00814590" w:rsidRDefault="00243FFE" w:rsidP="00243FFE">
    <w:pPr>
      <w:pStyle w:val="HeaderOdd"/>
      <w:tabs>
        <w:tab w:val="num" w:pos="1134"/>
      </w:tabs>
      <w:rPr>
        <w:color w:val="800000"/>
      </w:rPr>
    </w:pPr>
    <w:r>
      <w:rPr>
        <w:color w:val="800000"/>
      </w:rPr>
      <w:t>Project Agreement for the Delivery of Tourism Demand-Driver Infrastructure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0F44797"/>
    <w:multiLevelType w:val="hybridMultilevel"/>
    <w:tmpl w:val="DE2AAA66"/>
    <w:lvl w:ilvl="0" w:tplc="5C78D2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F1170A"/>
    <w:multiLevelType w:val="hybridMultilevel"/>
    <w:tmpl w:val="3550B9C0"/>
    <w:lvl w:ilvl="0" w:tplc="A83CB0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60478C"/>
    <w:multiLevelType w:val="hybridMultilevel"/>
    <w:tmpl w:val="31807146"/>
    <w:lvl w:ilvl="0" w:tplc="E4760E0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0EF458A5"/>
    <w:multiLevelType w:val="hybridMultilevel"/>
    <w:tmpl w:val="556EF66A"/>
    <w:lvl w:ilvl="0" w:tplc="2E26C670">
      <w:start w:val="1"/>
      <w:numFmt w:val="lowerRoman"/>
      <w:lvlText w:val="(%1)"/>
      <w:lvlJc w:val="left"/>
      <w:pPr>
        <w:ind w:left="1854" w:hanging="720"/>
      </w:pPr>
      <w:rPr>
        <w:rFonts w:ascii="Corbel" w:hAnsi="Corbel" w:cs="Times New Roman" w:hint="default"/>
        <w:sz w:val="23"/>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nsid w:val="1BF41060"/>
    <w:multiLevelType w:val="hybridMultilevel"/>
    <w:tmpl w:val="612AECAE"/>
    <w:lvl w:ilvl="0" w:tplc="5C78D2D8">
      <w:start w:val="1"/>
      <w:numFmt w:val="lowerLetter"/>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703581"/>
    <w:multiLevelType w:val="hybridMultilevel"/>
    <w:tmpl w:val="8DD810C4"/>
    <w:lvl w:ilvl="0" w:tplc="61C88D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B953BD0"/>
    <w:multiLevelType w:val="hybridMultilevel"/>
    <w:tmpl w:val="612AECAE"/>
    <w:lvl w:ilvl="0" w:tplc="5C78D2D8">
      <w:start w:val="1"/>
      <w:numFmt w:val="lowerLetter"/>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C52AEB"/>
    <w:multiLevelType w:val="hybridMultilevel"/>
    <w:tmpl w:val="FF2E4976"/>
    <w:lvl w:ilvl="0" w:tplc="67CC98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8246089"/>
    <w:multiLevelType w:val="hybridMultilevel"/>
    <w:tmpl w:val="612AECAE"/>
    <w:lvl w:ilvl="0" w:tplc="5C78D2D8">
      <w:start w:val="1"/>
      <w:numFmt w:val="lowerLetter"/>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8854AAC"/>
    <w:multiLevelType w:val="hybridMultilevel"/>
    <w:tmpl w:val="BC94F240"/>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0"/>
  </w:num>
  <w:num w:numId="9">
    <w:abstractNumId w:val="0"/>
  </w:num>
  <w:num w:numId="10">
    <w:abstractNumId w:val="0"/>
  </w:num>
  <w:num w:numId="11">
    <w:abstractNumId w:val="0"/>
  </w:num>
  <w:num w:numId="12">
    <w:abstractNumId w:val="0"/>
  </w:num>
  <w:num w:numId="13">
    <w:abstractNumId w:val="0"/>
  </w:num>
  <w:num w:numId="14">
    <w:abstractNumId w:val="8"/>
  </w:num>
  <w:num w:numId="15">
    <w:abstractNumId w:val="6"/>
  </w:num>
  <w:num w:numId="16">
    <w:abstractNumId w:val="0"/>
  </w:num>
  <w:num w:numId="17">
    <w:abstractNumId w:val="0"/>
  </w:num>
  <w:num w:numId="18">
    <w:abstractNumId w:val="4"/>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
  </w:num>
  <w:num w:numId="29">
    <w:abstractNumId w:val="0"/>
  </w:num>
  <w:num w:numId="30">
    <w:abstractNumId w:val="0"/>
  </w:num>
  <w:num w:numId="31">
    <w:abstractNumId w:val="0"/>
  </w:num>
  <w:num w:numId="32">
    <w:abstractNumId w:val="0"/>
  </w:num>
  <w:num w:numId="33">
    <w:abstractNumId w:val="1"/>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0B"/>
    <w:rsid w:val="00032EE6"/>
    <w:rsid w:val="00033792"/>
    <w:rsid w:val="00061477"/>
    <w:rsid w:val="0007380A"/>
    <w:rsid w:val="000832DE"/>
    <w:rsid w:val="000954B5"/>
    <w:rsid w:val="000B4EBD"/>
    <w:rsid w:val="000D149E"/>
    <w:rsid w:val="000E0C22"/>
    <w:rsid w:val="001068CF"/>
    <w:rsid w:val="00111462"/>
    <w:rsid w:val="001243DF"/>
    <w:rsid w:val="00132DEB"/>
    <w:rsid w:val="00142743"/>
    <w:rsid w:val="00153A63"/>
    <w:rsid w:val="001770DA"/>
    <w:rsid w:val="0018094D"/>
    <w:rsid w:val="00181CD6"/>
    <w:rsid w:val="001A1A14"/>
    <w:rsid w:val="001A2A7B"/>
    <w:rsid w:val="001A4FAF"/>
    <w:rsid w:val="001D66DF"/>
    <w:rsid w:val="001E6083"/>
    <w:rsid w:val="001F082F"/>
    <w:rsid w:val="001F74E6"/>
    <w:rsid w:val="00235E9C"/>
    <w:rsid w:val="00243FFE"/>
    <w:rsid w:val="00247600"/>
    <w:rsid w:val="002529CD"/>
    <w:rsid w:val="002633BE"/>
    <w:rsid w:val="002767B8"/>
    <w:rsid w:val="00282A45"/>
    <w:rsid w:val="002917FC"/>
    <w:rsid w:val="00297208"/>
    <w:rsid w:val="002B5163"/>
    <w:rsid w:val="002C18C3"/>
    <w:rsid w:val="002D23AD"/>
    <w:rsid w:val="002E3FD6"/>
    <w:rsid w:val="002F254C"/>
    <w:rsid w:val="002F33FF"/>
    <w:rsid w:val="002F5FC7"/>
    <w:rsid w:val="00303724"/>
    <w:rsid w:val="00314896"/>
    <w:rsid w:val="0033420B"/>
    <w:rsid w:val="00374F4A"/>
    <w:rsid w:val="00385705"/>
    <w:rsid w:val="003903EF"/>
    <w:rsid w:val="0039344E"/>
    <w:rsid w:val="003C0BB8"/>
    <w:rsid w:val="003C78BE"/>
    <w:rsid w:val="003D70F4"/>
    <w:rsid w:val="003E4242"/>
    <w:rsid w:val="00406FB1"/>
    <w:rsid w:val="00414851"/>
    <w:rsid w:val="00445D43"/>
    <w:rsid w:val="00450095"/>
    <w:rsid w:val="004A6B9A"/>
    <w:rsid w:val="004C521C"/>
    <w:rsid w:val="004C7C9D"/>
    <w:rsid w:val="004D2622"/>
    <w:rsid w:val="004D48A5"/>
    <w:rsid w:val="004D7BBF"/>
    <w:rsid w:val="004E4D23"/>
    <w:rsid w:val="004F696B"/>
    <w:rsid w:val="00521ACF"/>
    <w:rsid w:val="00523D01"/>
    <w:rsid w:val="00546924"/>
    <w:rsid w:val="005565D7"/>
    <w:rsid w:val="005614DB"/>
    <w:rsid w:val="00565E57"/>
    <w:rsid w:val="00585242"/>
    <w:rsid w:val="005A0424"/>
    <w:rsid w:val="005A677A"/>
    <w:rsid w:val="005C2DEF"/>
    <w:rsid w:val="005C70C7"/>
    <w:rsid w:val="005C7633"/>
    <w:rsid w:val="005D7889"/>
    <w:rsid w:val="005E7C00"/>
    <w:rsid w:val="005F6B47"/>
    <w:rsid w:val="005F6C72"/>
    <w:rsid w:val="00627A40"/>
    <w:rsid w:val="00636DE3"/>
    <w:rsid w:val="00663292"/>
    <w:rsid w:val="00676C78"/>
    <w:rsid w:val="006A49E7"/>
    <w:rsid w:val="006D5EB4"/>
    <w:rsid w:val="00706A50"/>
    <w:rsid w:val="007213AB"/>
    <w:rsid w:val="00737E54"/>
    <w:rsid w:val="00740D97"/>
    <w:rsid w:val="00741C9F"/>
    <w:rsid w:val="00743608"/>
    <w:rsid w:val="00747C79"/>
    <w:rsid w:val="00752474"/>
    <w:rsid w:val="00753DE0"/>
    <w:rsid w:val="00767A9E"/>
    <w:rsid w:val="00775572"/>
    <w:rsid w:val="00791A93"/>
    <w:rsid w:val="00792C1C"/>
    <w:rsid w:val="007B50EA"/>
    <w:rsid w:val="007B6D91"/>
    <w:rsid w:val="007C4931"/>
    <w:rsid w:val="008063DA"/>
    <w:rsid w:val="00813311"/>
    <w:rsid w:val="00820756"/>
    <w:rsid w:val="00836131"/>
    <w:rsid w:val="008520AD"/>
    <w:rsid w:val="008635A6"/>
    <w:rsid w:val="0086361C"/>
    <w:rsid w:val="00877614"/>
    <w:rsid w:val="00884D89"/>
    <w:rsid w:val="008C30DA"/>
    <w:rsid w:val="008C3619"/>
    <w:rsid w:val="00905AA2"/>
    <w:rsid w:val="009137F2"/>
    <w:rsid w:val="00916DE7"/>
    <w:rsid w:val="00925A81"/>
    <w:rsid w:val="00925D34"/>
    <w:rsid w:val="00942EDB"/>
    <w:rsid w:val="0094593E"/>
    <w:rsid w:val="0095312D"/>
    <w:rsid w:val="00964D0B"/>
    <w:rsid w:val="009679CE"/>
    <w:rsid w:val="009774A5"/>
    <w:rsid w:val="00981DC7"/>
    <w:rsid w:val="00983B29"/>
    <w:rsid w:val="00990025"/>
    <w:rsid w:val="00995AA7"/>
    <w:rsid w:val="009B081D"/>
    <w:rsid w:val="009D43AE"/>
    <w:rsid w:val="009E0C52"/>
    <w:rsid w:val="009F6DA6"/>
    <w:rsid w:val="00A12F0A"/>
    <w:rsid w:val="00A33901"/>
    <w:rsid w:val="00A379BF"/>
    <w:rsid w:val="00A43004"/>
    <w:rsid w:val="00A44591"/>
    <w:rsid w:val="00A54D46"/>
    <w:rsid w:val="00A57667"/>
    <w:rsid w:val="00A66022"/>
    <w:rsid w:val="00A869E4"/>
    <w:rsid w:val="00A95F0E"/>
    <w:rsid w:val="00AA35FC"/>
    <w:rsid w:val="00AE276E"/>
    <w:rsid w:val="00B0426F"/>
    <w:rsid w:val="00B11EB3"/>
    <w:rsid w:val="00B25F7B"/>
    <w:rsid w:val="00B32128"/>
    <w:rsid w:val="00B40CDF"/>
    <w:rsid w:val="00B81D7D"/>
    <w:rsid w:val="00B8785E"/>
    <w:rsid w:val="00BA6E66"/>
    <w:rsid w:val="00BC7D1A"/>
    <w:rsid w:val="00BD3619"/>
    <w:rsid w:val="00C22BB8"/>
    <w:rsid w:val="00C35ECD"/>
    <w:rsid w:val="00CA64FB"/>
    <w:rsid w:val="00CC73D0"/>
    <w:rsid w:val="00D030EB"/>
    <w:rsid w:val="00D12882"/>
    <w:rsid w:val="00D215CE"/>
    <w:rsid w:val="00D24D5A"/>
    <w:rsid w:val="00D44111"/>
    <w:rsid w:val="00D80F9E"/>
    <w:rsid w:val="00DC7FEA"/>
    <w:rsid w:val="00DF5D36"/>
    <w:rsid w:val="00DF7175"/>
    <w:rsid w:val="00E013FC"/>
    <w:rsid w:val="00E10347"/>
    <w:rsid w:val="00E51D85"/>
    <w:rsid w:val="00E92387"/>
    <w:rsid w:val="00E94D17"/>
    <w:rsid w:val="00ED5DAB"/>
    <w:rsid w:val="00EE1EA4"/>
    <w:rsid w:val="00F0035C"/>
    <w:rsid w:val="00F03D9B"/>
    <w:rsid w:val="00F42363"/>
    <w:rsid w:val="00F455B2"/>
    <w:rsid w:val="00F47D0B"/>
    <w:rsid w:val="00F5635F"/>
    <w:rsid w:val="00F60F1E"/>
    <w:rsid w:val="00F635E4"/>
    <w:rsid w:val="00F65EEB"/>
    <w:rsid w:val="00F839BF"/>
    <w:rsid w:val="00F90A5D"/>
    <w:rsid w:val="00FA0C02"/>
    <w:rsid w:val="00FC0D4C"/>
    <w:rsid w:val="00FC54F2"/>
    <w:rsid w:val="00FC7FF6"/>
    <w:rsid w:val="00FE7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0B"/>
    <w:pPr>
      <w:spacing w:after="240" w:line="260" w:lineRule="exact"/>
      <w:jc w:val="both"/>
    </w:pPr>
    <w:rPr>
      <w:rFonts w:ascii="Corbel" w:eastAsia="Times New Roman" w:hAnsi="Corbel" w:cs="Times New Roman"/>
      <w:color w:val="000000"/>
      <w:sz w:val="23"/>
      <w:szCs w:val="20"/>
      <w:lang w:eastAsia="en-AU"/>
    </w:rPr>
  </w:style>
  <w:style w:type="paragraph" w:styleId="Heading2">
    <w:name w:val="heading 2"/>
    <w:basedOn w:val="Normal"/>
    <w:next w:val="Normal"/>
    <w:link w:val="Heading2Char"/>
    <w:uiPriority w:val="99"/>
    <w:qFormat/>
    <w:rsid w:val="00964D0B"/>
    <w:pPr>
      <w:keepNext/>
      <w:spacing w:before="180" w:after="120" w:line="240" w:lineRule="auto"/>
      <w:jc w:val="left"/>
      <w:outlineLvl w:val="1"/>
    </w:pPr>
    <w:rPr>
      <w:rFonts w:cs="Arial"/>
      <w:b/>
      <w:bCs/>
      <w:iCs/>
      <w:color w:val="3D4B67"/>
      <w:sz w:val="2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4D0B"/>
    <w:rPr>
      <w:rFonts w:ascii="Corbel" w:eastAsia="Times New Roman" w:hAnsi="Corbel" w:cs="Arial"/>
      <w:b/>
      <w:bCs/>
      <w:iCs/>
      <w:color w:val="3D4B67"/>
      <w:sz w:val="29"/>
      <w:szCs w:val="28"/>
      <w:lang w:eastAsia="en-AU"/>
    </w:rPr>
  </w:style>
  <w:style w:type="paragraph" w:customStyle="1" w:styleId="Normalnumbered">
    <w:name w:val="Normal numbered"/>
    <w:basedOn w:val="Normal"/>
    <w:link w:val="NormalnumberedChar"/>
    <w:rsid w:val="00964D0B"/>
    <w:pPr>
      <w:numPr>
        <w:numId w:val="1"/>
      </w:numPr>
    </w:pPr>
  </w:style>
  <w:style w:type="character" w:customStyle="1" w:styleId="NormalnumberedChar">
    <w:name w:val="Normal numbered Char"/>
    <w:link w:val="Normalnumbered"/>
    <w:locked/>
    <w:rsid w:val="00964D0B"/>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96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B"/>
    <w:rPr>
      <w:rFonts w:ascii="Tahoma" w:eastAsia="Times New Roman" w:hAnsi="Tahoma" w:cs="Tahoma"/>
      <w:color w:val="000000"/>
      <w:sz w:val="16"/>
      <w:szCs w:val="16"/>
      <w:lang w:eastAsia="en-AU"/>
    </w:rPr>
  </w:style>
  <w:style w:type="paragraph" w:styleId="ListParagraph">
    <w:name w:val="List Paragraph"/>
    <w:basedOn w:val="Normal"/>
    <w:uiPriority w:val="34"/>
    <w:qFormat/>
    <w:rsid w:val="00964D0B"/>
    <w:pPr>
      <w:spacing w:after="0" w:line="240" w:lineRule="auto"/>
      <w:ind w:left="720"/>
      <w:jc w:val="left"/>
    </w:pPr>
    <w:rPr>
      <w:rFonts w:ascii="Calibri" w:eastAsiaTheme="minorHAnsi" w:hAnsi="Calibri"/>
      <w:color w:val="auto"/>
      <w:sz w:val="22"/>
      <w:szCs w:val="22"/>
      <w:lang w:eastAsia="en-US"/>
    </w:rPr>
  </w:style>
  <w:style w:type="character" w:styleId="CommentReference">
    <w:name w:val="annotation reference"/>
    <w:basedOn w:val="DefaultParagraphFont"/>
    <w:uiPriority w:val="99"/>
    <w:semiHidden/>
    <w:unhideWhenUsed/>
    <w:rsid w:val="00414851"/>
    <w:rPr>
      <w:sz w:val="16"/>
      <w:szCs w:val="16"/>
    </w:rPr>
  </w:style>
  <w:style w:type="paragraph" w:styleId="CommentText">
    <w:name w:val="annotation text"/>
    <w:basedOn w:val="Normal"/>
    <w:link w:val="CommentTextChar"/>
    <w:uiPriority w:val="99"/>
    <w:semiHidden/>
    <w:unhideWhenUsed/>
    <w:rsid w:val="00414851"/>
    <w:pPr>
      <w:spacing w:line="240" w:lineRule="auto"/>
    </w:pPr>
    <w:rPr>
      <w:sz w:val="20"/>
    </w:rPr>
  </w:style>
  <w:style w:type="character" w:customStyle="1" w:styleId="CommentTextChar">
    <w:name w:val="Comment Text Char"/>
    <w:basedOn w:val="DefaultParagraphFont"/>
    <w:link w:val="CommentText"/>
    <w:uiPriority w:val="99"/>
    <w:semiHidden/>
    <w:rsid w:val="00414851"/>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414851"/>
    <w:rPr>
      <w:b/>
      <w:bCs/>
    </w:rPr>
  </w:style>
  <w:style w:type="character" w:customStyle="1" w:styleId="CommentSubjectChar">
    <w:name w:val="Comment Subject Char"/>
    <w:basedOn w:val="CommentTextChar"/>
    <w:link w:val="CommentSubject"/>
    <w:uiPriority w:val="99"/>
    <w:semiHidden/>
    <w:rsid w:val="00414851"/>
    <w:rPr>
      <w:rFonts w:ascii="Corbel" w:eastAsia="Times New Roman" w:hAnsi="Corbel" w:cs="Times New Roman"/>
      <w:b/>
      <w:bCs/>
      <w:color w:val="000000"/>
      <w:sz w:val="20"/>
      <w:szCs w:val="20"/>
      <w:lang w:eastAsia="en-AU"/>
    </w:rPr>
  </w:style>
  <w:style w:type="paragraph" w:styleId="Header">
    <w:name w:val="header"/>
    <w:basedOn w:val="Normal"/>
    <w:link w:val="HeaderChar"/>
    <w:uiPriority w:val="99"/>
    <w:unhideWhenUsed/>
    <w:rsid w:val="00243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FFE"/>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243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FE"/>
    <w:rPr>
      <w:rFonts w:ascii="Corbel" w:eastAsia="Times New Roman" w:hAnsi="Corbel" w:cs="Times New Roman"/>
      <w:color w:val="000000"/>
      <w:sz w:val="23"/>
      <w:szCs w:val="20"/>
      <w:lang w:eastAsia="en-AU"/>
    </w:rPr>
  </w:style>
  <w:style w:type="paragraph" w:customStyle="1" w:styleId="HeaderOdd">
    <w:name w:val="Header Odd"/>
    <w:basedOn w:val="Header"/>
    <w:rsid w:val="00243FFE"/>
    <w:pPr>
      <w:keepNext/>
      <w:tabs>
        <w:tab w:val="clear" w:pos="4513"/>
        <w:tab w:val="clear" w:pos="9026"/>
      </w:tabs>
      <w:jc w:val="right"/>
    </w:pPr>
    <w:rPr>
      <w:color w:val="3D4B67"/>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0B"/>
    <w:pPr>
      <w:spacing w:after="240" w:line="260" w:lineRule="exact"/>
      <w:jc w:val="both"/>
    </w:pPr>
    <w:rPr>
      <w:rFonts w:ascii="Corbel" w:eastAsia="Times New Roman" w:hAnsi="Corbel" w:cs="Times New Roman"/>
      <w:color w:val="000000"/>
      <w:sz w:val="23"/>
      <w:szCs w:val="20"/>
      <w:lang w:eastAsia="en-AU"/>
    </w:rPr>
  </w:style>
  <w:style w:type="paragraph" w:styleId="Heading2">
    <w:name w:val="heading 2"/>
    <w:basedOn w:val="Normal"/>
    <w:next w:val="Normal"/>
    <w:link w:val="Heading2Char"/>
    <w:uiPriority w:val="99"/>
    <w:qFormat/>
    <w:rsid w:val="00964D0B"/>
    <w:pPr>
      <w:keepNext/>
      <w:spacing w:before="180" w:after="120" w:line="240" w:lineRule="auto"/>
      <w:jc w:val="left"/>
      <w:outlineLvl w:val="1"/>
    </w:pPr>
    <w:rPr>
      <w:rFonts w:cs="Arial"/>
      <w:b/>
      <w:bCs/>
      <w:iCs/>
      <w:color w:val="3D4B67"/>
      <w:sz w:val="2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4D0B"/>
    <w:rPr>
      <w:rFonts w:ascii="Corbel" w:eastAsia="Times New Roman" w:hAnsi="Corbel" w:cs="Arial"/>
      <w:b/>
      <w:bCs/>
      <w:iCs/>
      <w:color w:val="3D4B67"/>
      <w:sz w:val="29"/>
      <w:szCs w:val="28"/>
      <w:lang w:eastAsia="en-AU"/>
    </w:rPr>
  </w:style>
  <w:style w:type="paragraph" w:customStyle="1" w:styleId="Normalnumbered">
    <w:name w:val="Normal numbered"/>
    <w:basedOn w:val="Normal"/>
    <w:link w:val="NormalnumberedChar"/>
    <w:rsid w:val="00964D0B"/>
    <w:pPr>
      <w:numPr>
        <w:numId w:val="1"/>
      </w:numPr>
    </w:pPr>
  </w:style>
  <w:style w:type="character" w:customStyle="1" w:styleId="NormalnumberedChar">
    <w:name w:val="Normal numbered Char"/>
    <w:link w:val="Normalnumbered"/>
    <w:locked/>
    <w:rsid w:val="00964D0B"/>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96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B"/>
    <w:rPr>
      <w:rFonts w:ascii="Tahoma" w:eastAsia="Times New Roman" w:hAnsi="Tahoma" w:cs="Tahoma"/>
      <w:color w:val="000000"/>
      <w:sz w:val="16"/>
      <w:szCs w:val="16"/>
      <w:lang w:eastAsia="en-AU"/>
    </w:rPr>
  </w:style>
  <w:style w:type="paragraph" w:styleId="ListParagraph">
    <w:name w:val="List Paragraph"/>
    <w:basedOn w:val="Normal"/>
    <w:uiPriority w:val="34"/>
    <w:qFormat/>
    <w:rsid w:val="00964D0B"/>
    <w:pPr>
      <w:spacing w:after="0" w:line="240" w:lineRule="auto"/>
      <w:ind w:left="720"/>
      <w:jc w:val="left"/>
    </w:pPr>
    <w:rPr>
      <w:rFonts w:ascii="Calibri" w:eastAsiaTheme="minorHAnsi" w:hAnsi="Calibri"/>
      <w:color w:val="auto"/>
      <w:sz w:val="22"/>
      <w:szCs w:val="22"/>
      <w:lang w:eastAsia="en-US"/>
    </w:rPr>
  </w:style>
  <w:style w:type="character" w:styleId="CommentReference">
    <w:name w:val="annotation reference"/>
    <w:basedOn w:val="DefaultParagraphFont"/>
    <w:uiPriority w:val="99"/>
    <w:semiHidden/>
    <w:unhideWhenUsed/>
    <w:rsid w:val="00414851"/>
    <w:rPr>
      <w:sz w:val="16"/>
      <w:szCs w:val="16"/>
    </w:rPr>
  </w:style>
  <w:style w:type="paragraph" w:styleId="CommentText">
    <w:name w:val="annotation text"/>
    <w:basedOn w:val="Normal"/>
    <w:link w:val="CommentTextChar"/>
    <w:uiPriority w:val="99"/>
    <w:semiHidden/>
    <w:unhideWhenUsed/>
    <w:rsid w:val="00414851"/>
    <w:pPr>
      <w:spacing w:line="240" w:lineRule="auto"/>
    </w:pPr>
    <w:rPr>
      <w:sz w:val="20"/>
    </w:rPr>
  </w:style>
  <w:style w:type="character" w:customStyle="1" w:styleId="CommentTextChar">
    <w:name w:val="Comment Text Char"/>
    <w:basedOn w:val="DefaultParagraphFont"/>
    <w:link w:val="CommentText"/>
    <w:uiPriority w:val="99"/>
    <w:semiHidden/>
    <w:rsid w:val="00414851"/>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414851"/>
    <w:rPr>
      <w:b/>
      <w:bCs/>
    </w:rPr>
  </w:style>
  <w:style w:type="character" w:customStyle="1" w:styleId="CommentSubjectChar">
    <w:name w:val="Comment Subject Char"/>
    <w:basedOn w:val="CommentTextChar"/>
    <w:link w:val="CommentSubject"/>
    <w:uiPriority w:val="99"/>
    <w:semiHidden/>
    <w:rsid w:val="00414851"/>
    <w:rPr>
      <w:rFonts w:ascii="Corbel" w:eastAsia="Times New Roman" w:hAnsi="Corbel" w:cs="Times New Roman"/>
      <w:b/>
      <w:bCs/>
      <w:color w:val="000000"/>
      <w:sz w:val="20"/>
      <w:szCs w:val="20"/>
      <w:lang w:eastAsia="en-AU"/>
    </w:rPr>
  </w:style>
  <w:style w:type="paragraph" w:styleId="Header">
    <w:name w:val="header"/>
    <w:basedOn w:val="Normal"/>
    <w:link w:val="HeaderChar"/>
    <w:uiPriority w:val="99"/>
    <w:unhideWhenUsed/>
    <w:rsid w:val="00243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FFE"/>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243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FE"/>
    <w:rPr>
      <w:rFonts w:ascii="Corbel" w:eastAsia="Times New Roman" w:hAnsi="Corbel" w:cs="Times New Roman"/>
      <w:color w:val="000000"/>
      <w:sz w:val="23"/>
      <w:szCs w:val="20"/>
      <w:lang w:eastAsia="en-AU"/>
    </w:rPr>
  </w:style>
  <w:style w:type="paragraph" w:customStyle="1" w:styleId="HeaderOdd">
    <w:name w:val="Header Odd"/>
    <w:basedOn w:val="Header"/>
    <w:rsid w:val="00243FFE"/>
    <w:pPr>
      <w:keepNext/>
      <w:tabs>
        <w:tab w:val="clear" w:pos="4513"/>
        <w:tab w:val="clear" w:pos="9026"/>
      </w:tabs>
      <w:jc w:val="right"/>
    </w:pPr>
    <w:rPr>
      <w:color w:val="3D4B6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8637">
      <w:bodyDiv w:val="1"/>
      <w:marLeft w:val="0"/>
      <w:marRight w:val="0"/>
      <w:marTop w:val="0"/>
      <w:marBottom w:val="0"/>
      <w:divBdr>
        <w:top w:val="none" w:sz="0" w:space="0" w:color="auto"/>
        <w:left w:val="none" w:sz="0" w:space="0" w:color="auto"/>
        <w:bottom w:val="none" w:sz="0" w:space="0" w:color="auto"/>
        <w:right w:val="none" w:sz="0" w:space="0" w:color="auto"/>
      </w:divBdr>
    </w:div>
    <w:div w:id="10575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2021FG-64-96843</_dlc_DocId>
    <_dlc_DocIdUrl xmlns="0f563589-9cf9-4143-b1eb-fb0534803d38">
      <Url>http://tweb/sites/fg/csrd/_layouts/15/DocIdRedir.aspx?ID=2021FG-64-96843</Url>
      <Description>2021FG-64-96843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666" ma:contentTypeDescription=" " ma:contentTypeScope="" ma:versionID="2dc9a5b166b5261cf229b8ebf92cc34f">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0DCD7-5D43-4C68-850F-ADEE794C5E3A}">
  <ds:schemaRefs>
    <ds:schemaRef ds:uri="http://schemas.microsoft.com/office/2006/documentManagement/types"/>
    <ds:schemaRef ds:uri="http://www.w3.org/XML/1998/namespace"/>
    <ds:schemaRef ds:uri="e544e5cc-ab70-42e1-849e-1a0f8bb1f4ef"/>
    <ds:schemaRef ds:uri="http://purl.org/dc/dcmitype/"/>
    <ds:schemaRef ds:uri="http://purl.org/dc/elements/1.1/"/>
    <ds:schemaRef ds:uri="http://schemas.microsoft.com/sharepoint/v4"/>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E2BAE273-B690-429A-81E9-9C6458F52439}">
  <ds:schemaRefs>
    <ds:schemaRef ds:uri="http://schemas.microsoft.com/sharepoint/v3/contenttype/forms"/>
  </ds:schemaRefs>
</ds:datastoreItem>
</file>

<file path=customXml/itemProps3.xml><?xml version="1.0" encoding="utf-8"?>
<ds:datastoreItem xmlns:ds="http://schemas.openxmlformats.org/officeDocument/2006/customXml" ds:itemID="{76063B17-E5D1-40A2-B40C-B2E7F2F072E2}"/>
</file>

<file path=customXml/itemProps4.xml><?xml version="1.0" encoding="utf-8"?>
<ds:datastoreItem xmlns:ds="http://schemas.openxmlformats.org/officeDocument/2006/customXml" ds:itemID="{149D430D-1EAA-4021-80E2-C1319F497B54}">
  <ds:schemaRefs>
    <ds:schemaRef ds:uri="Microsoft.SharePoint.Taxonomy.ContentTypeSync"/>
  </ds:schemaRefs>
</ds:datastoreItem>
</file>

<file path=customXml/itemProps5.xml><?xml version="1.0" encoding="utf-8"?>
<ds:datastoreItem xmlns:ds="http://schemas.openxmlformats.org/officeDocument/2006/customXml" ds:itemID="{AE283CAB-666C-4E1A-B1F1-239A435EFAFA}">
  <ds:schemaRefs>
    <ds:schemaRef ds:uri="http://schemas.microsoft.com/sharepoint/events"/>
  </ds:schemaRefs>
</ds:datastoreItem>
</file>

<file path=customXml/itemProps6.xml><?xml version="1.0" encoding="utf-8"?>
<ds:datastoreItem xmlns:ds="http://schemas.openxmlformats.org/officeDocument/2006/customXml" ds:itemID="{E2F9E068-9C93-461D-81B5-3F1ACB465645}"/>
</file>

<file path=customXml/itemProps7.xml><?xml version="1.0" encoding="utf-8"?>
<ds:datastoreItem xmlns:ds="http://schemas.openxmlformats.org/officeDocument/2006/customXml" ds:itemID="{BDBB8D13-2807-4AE7-B2C3-1AEFFEAB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2641</Words>
  <Characters>15057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dc:creator>
  <cp:lastModifiedBy>Grover Johnson, Charlotte</cp:lastModifiedBy>
  <cp:revision>2</cp:revision>
  <cp:lastPrinted>2017-04-04T23:00:00Z</cp:lastPrinted>
  <dcterms:created xsi:type="dcterms:W3CDTF">2017-07-07T06:55:00Z</dcterms:created>
  <dcterms:modified xsi:type="dcterms:W3CDTF">2017-07-07T06:55:00Z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0x010100348D01E61E107C4DA4B97E380EA20D47005CDF45B49E80F24CAD80DFC012154DA9</vt:lpwstr>
  </property>
  <property fmtid="{D5CDD505-2E9C-101B-9397-08002B2CF9AE}" pid="4" name="Protective_x0020_Markings">
    <vt:lpwstr/>
  </property>
  <property fmtid="{D5CDD505-2E9C-101B-9397-08002B2CF9AE}" pid="5" name="_dlc_DocIdItemGuid">
    <vt:lpwstr>cce7d04f-fad6-461a-8d73-4c657af64793</vt:lpwstr>
  </property>
  <property fmtid="{D5CDD505-2E9C-101B-9397-08002B2CF9AE}" pid="6" name="Protective Markings">
    <vt:lpwstr/>
  </property>
  <property fmtid="{D5CDD505-2E9C-101B-9397-08002B2CF9AE}" pid="7" name="TSYRecordClass">
    <vt:lpwstr>2;#TSY RA-8748 - Retain as national archives|243f2231-dbfc-4282-b24a-c9b768286bd0</vt:lpwstr>
  </property>
  <property fmtid="{D5CDD505-2E9C-101B-9397-08002B2CF9AE}" pid="8" name="RecordPoint_WorkflowType">
    <vt:lpwstr>ActiveSubmitStub</vt:lpwstr>
  </property>
  <property fmtid="{D5CDD505-2E9C-101B-9397-08002B2CF9AE}" pid="9" name="RecordPoint_ActiveItemListId">
    <vt:lpwstr>{4435c73b-6585-4bc2-a76a-5d21b1a02e06}</vt:lpwstr>
  </property>
  <property fmtid="{D5CDD505-2E9C-101B-9397-08002B2CF9AE}" pid="10" name="RecordPoint_ActiveItemUniqueId">
    <vt:lpwstr>{270fc29c-58be-4ce9-80d1-8315cbe089fc}</vt:lpwstr>
  </property>
  <property fmtid="{D5CDD505-2E9C-101B-9397-08002B2CF9AE}" pid="11" name="RecordPoint_ActiveItemWebId">
    <vt:lpwstr>{a4589788-615f-4b8b-8296-7f9f6dfbab44}</vt:lpwstr>
  </property>
  <property fmtid="{D5CDD505-2E9C-101B-9397-08002B2CF9AE}" pid="12" name="RecordPoint_ActiveItemSiteId">
    <vt:lpwstr>{a3a280d1-e8f1-4ce7-94f0-aaa2322da0dd}</vt:lpwstr>
  </property>
</Properties>
</file>