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D23FA" w14:textId="77777777" w:rsidR="00964D0B" w:rsidRPr="00981DC7" w:rsidRDefault="00964D0B" w:rsidP="00114492">
      <w:pPr>
        <w:pStyle w:val="Normalnumbered"/>
        <w:keepNext/>
        <w:numPr>
          <w:ilvl w:val="0"/>
          <w:numId w:val="0"/>
        </w:numPr>
        <w:spacing w:line="240" w:lineRule="auto"/>
        <w:ind w:left="357" w:hanging="357"/>
        <w:jc w:val="right"/>
        <w:rPr>
          <w:rFonts w:ascii="Consolas" w:hAnsi="Consolas" w:cs="Consolas"/>
          <w:sz w:val="32"/>
          <w:szCs w:val="32"/>
        </w:rPr>
      </w:pPr>
      <w:r w:rsidRPr="00981DC7">
        <w:rPr>
          <w:rFonts w:ascii="Consolas" w:hAnsi="Consolas" w:cs="Consolas"/>
          <w:sz w:val="32"/>
          <w:szCs w:val="32"/>
        </w:rPr>
        <w:t>Schedule A</w:t>
      </w:r>
    </w:p>
    <w:p w14:paraId="519A16A5" w14:textId="20068E0D" w:rsidR="00964D0B" w:rsidRPr="00981DC7" w:rsidRDefault="00981DC7" w:rsidP="00114492">
      <w:pPr>
        <w:pStyle w:val="Normalnumbered"/>
        <w:keepNext/>
        <w:numPr>
          <w:ilvl w:val="0"/>
          <w:numId w:val="0"/>
        </w:numPr>
        <w:spacing w:line="240" w:lineRule="auto"/>
        <w:ind w:left="357" w:hanging="357"/>
        <w:rPr>
          <w:b/>
          <w:sz w:val="29"/>
          <w:szCs w:val="29"/>
        </w:rPr>
      </w:pPr>
      <w:r>
        <w:rPr>
          <w:b/>
          <w:sz w:val="29"/>
          <w:szCs w:val="29"/>
        </w:rPr>
        <w:t>Project m</w:t>
      </w:r>
      <w:r w:rsidR="00964D0B" w:rsidRPr="00981DC7">
        <w:rPr>
          <w:b/>
          <w:sz w:val="29"/>
          <w:szCs w:val="29"/>
        </w:rPr>
        <w:t>ilestone</w:t>
      </w:r>
      <w:r>
        <w:rPr>
          <w:b/>
          <w:sz w:val="29"/>
          <w:szCs w:val="29"/>
        </w:rPr>
        <w:t>s</w:t>
      </w:r>
      <w:r w:rsidR="00964D0B" w:rsidRPr="00981DC7">
        <w:rPr>
          <w:b/>
          <w:sz w:val="29"/>
          <w:szCs w:val="29"/>
        </w:rPr>
        <w:t>, reporting and payment</w:t>
      </w:r>
      <w:r>
        <w:rPr>
          <w:b/>
          <w:sz w:val="29"/>
          <w:szCs w:val="29"/>
        </w:rPr>
        <w:t>s</w:t>
      </w:r>
      <w:r w:rsidR="00964D0B" w:rsidRPr="00981DC7">
        <w:rPr>
          <w:b/>
          <w:sz w:val="29"/>
          <w:szCs w:val="29"/>
        </w:rPr>
        <w:t xml:space="preserve"> – </w:t>
      </w:r>
      <w:r w:rsidR="004C7C9D" w:rsidRPr="001452E8">
        <w:rPr>
          <w:b/>
          <w:sz w:val="29"/>
          <w:szCs w:val="29"/>
        </w:rPr>
        <w:t>S</w:t>
      </w:r>
      <w:r w:rsidR="00253060" w:rsidRPr="001452E8">
        <w:rPr>
          <w:b/>
          <w:sz w:val="29"/>
          <w:szCs w:val="29"/>
        </w:rPr>
        <w:t>o</w:t>
      </w:r>
      <w:r w:rsidR="00253060">
        <w:rPr>
          <w:b/>
          <w:sz w:val="29"/>
          <w:szCs w:val="29"/>
        </w:rPr>
        <w:t>uth Australia</w:t>
      </w:r>
    </w:p>
    <w:p w14:paraId="581BAA13" w14:textId="005292BC" w:rsidR="000F6573" w:rsidRDefault="000F6573" w:rsidP="000F6573">
      <w:r>
        <w:t>A1.</w:t>
      </w:r>
      <w:r>
        <w:tab/>
      </w:r>
      <w:r w:rsidRPr="00981DC7">
        <w:t>To deliver the outputs of this Agreement, the following project</w:t>
      </w:r>
      <w:r>
        <w:t xml:space="preserve">s will be </w:t>
      </w:r>
      <w:r w:rsidRPr="00981DC7">
        <w:t xml:space="preserve">delivered </w:t>
      </w:r>
      <w:r>
        <w:t>by</w:t>
      </w:r>
      <w:r w:rsidRPr="00981DC7">
        <w:t xml:space="preserve"> </w:t>
      </w:r>
      <w:r>
        <w:t>South Australia in 2017-18</w:t>
      </w:r>
      <w:r w:rsidRPr="00A54D46">
        <w:t>:</w:t>
      </w:r>
    </w:p>
    <w:p w14:paraId="3858908A" w14:textId="790458F6" w:rsidR="000F6573" w:rsidRPr="00D57619" w:rsidRDefault="000F6573" w:rsidP="00D34148">
      <w:pPr>
        <w:pStyle w:val="Normalnumbered"/>
        <w:numPr>
          <w:ilvl w:val="0"/>
          <w:numId w:val="7"/>
        </w:numPr>
        <w:tabs>
          <w:tab w:val="left" w:pos="1134"/>
        </w:tabs>
        <w:jc w:val="left"/>
        <w:rPr>
          <w:szCs w:val="23"/>
        </w:rPr>
      </w:pPr>
      <w:r w:rsidRPr="00D57619">
        <w:rPr>
          <w:szCs w:val="23"/>
        </w:rPr>
        <w:t>Project 1</w:t>
      </w:r>
      <w:r>
        <w:rPr>
          <w:szCs w:val="23"/>
        </w:rPr>
        <w:t>8</w:t>
      </w:r>
      <w:r w:rsidRPr="00D57619">
        <w:rPr>
          <w:szCs w:val="23"/>
        </w:rPr>
        <w:t xml:space="preserve"> –</w:t>
      </w:r>
      <w:r>
        <w:rPr>
          <w:szCs w:val="23"/>
        </w:rPr>
        <w:t xml:space="preserve"> </w:t>
      </w:r>
      <w:bookmarkStart w:id="0" w:name="_GoBack"/>
      <w:proofErr w:type="spellStart"/>
      <w:r w:rsidR="00D34148" w:rsidRPr="00D34148">
        <w:rPr>
          <w:i/>
          <w:szCs w:val="23"/>
        </w:rPr>
        <w:t>Monarto</w:t>
      </w:r>
      <w:proofErr w:type="spellEnd"/>
      <w:r w:rsidR="00D34148" w:rsidRPr="00D34148">
        <w:rPr>
          <w:i/>
          <w:szCs w:val="23"/>
        </w:rPr>
        <w:t xml:space="preserve"> Zoo</w:t>
      </w:r>
      <w:r w:rsidR="00D34148" w:rsidRPr="00D34148">
        <w:rPr>
          <w:szCs w:val="23"/>
        </w:rPr>
        <w:t xml:space="preserve"> </w:t>
      </w:r>
      <w:bookmarkEnd w:id="0"/>
      <w:r>
        <w:rPr>
          <w:i/>
          <w:szCs w:val="23"/>
        </w:rPr>
        <w:t>Predator Experience</w:t>
      </w:r>
      <w:r w:rsidRPr="00D57619">
        <w:rPr>
          <w:i/>
          <w:szCs w:val="23"/>
        </w:rPr>
        <w:t xml:space="preserve"> </w:t>
      </w:r>
      <w:r w:rsidRPr="00D57619">
        <w:rPr>
          <w:szCs w:val="23"/>
        </w:rPr>
        <w:t>($</w:t>
      </w:r>
      <w:r>
        <w:rPr>
          <w:szCs w:val="23"/>
        </w:rPr>
        <w:t>3</w:t>
      </w:r>
      <w:r w:rsidR="00AF3F70">
        <w:rPr>
          <w:szCs w:val="23"/>
        </w:rPr>
        <w:t>5</w:t>
      </w:r>
      <w:r>
        <w:rPr>
          <w:szCs w:val="23"/>
        </w:rPr>
        <w:t>0,000</w:t>
      </w:r>
      <w:r w:rsidRPr="00D57619">
        <w:rPr>
          <w:szCs w:val="23"/>
        </w:rPr>
        <w:t>)</w:t>
      </w:r>
      <w:proofErr w:type="gramStart"/>
      <w:r w:rsidRPr="00D57619">
        <w:rPr>
          <w:szCs w:val="23"/>
        </w:rPr>
        <w:t xml:space="preserve">. </w:t>
      </w:r>
      <w:r>
        <w:rPr>
          <w:szCs w:val="23"/>
        </w:rPr>
        <w:t xml:space="preserve"> </w:t>
      </w:r>
      <w:proofErr w:type="gramEnd"/>
      <w:r w:rsidRPr="000F6573">
        <w:rPr>
          <w:szCs w:val="23"/>
        </w:rPr>
        <w:t>The project is for the development of a fully secure human cage within the zoo’s lion enclosure. Construction includes a tunnel into the lion enclosure and an above ground cage in which paying visitors can be safe while getting close to the lions.</w:t>
      </w:r>
    </w:p>
    <w:p w14:paraId="2050D582" w14:textId="77777777" w:rsidR="000F6573" w:rsidRDefault="000F6573" w:rsidP="00192541"/>
    <w:p w14:paraId="4AA39CA4" w14:textId="5B427A0B" w:rsidR="00A31E57" w:rsidRDefault="00A31E57" w:rsidP="00192541">
      <w:r w:rsidRPr="00981DC7">
        <w:t>To deliver the outputs of this Agreement, the following project</w:t>
      </w:r>
      <w:r>
        <w:t xml:space="preserve">s will be </w:t>
      </w:r>
      <w:r w:rsidRPr="00981DC7">
        <w:t xml:space="preserve">delivered </w:t>
      </w:r>
      <w:r>
        <w:t>by</w:t>
      </w:r>
      <w:r w:rsidRPr="00981DC7">
        <w:t xml:space="preserve"> </w:t>
      </w:r>
      <w:r w:rsidR="00067EA7">
        <w:t>South Australia in 2016-17</w:t>
      </w:r>
      <w:r w:rsidRPr="00A54D46">
        <w:t>:</w:t>
      </w:r>
    </w:p>
    <w:p w14:paraId="2305DCD2" w14:textId="60CE55BD" w:rsidR="00112CE2" w:rsidRPr="00D57619" w:rsidRDefault="00112CE2" w:rsidP="00F9279D">
      <w:pPr>
        <w:pStyle w:val="Normalnumbered"/>
        <w:numPr>
          <w:ilvl w:val="0"/>
          <w:numId w:val="7"/>
        </w:numPr>
        <w:tabs>
          <w:tab w:val="left" w:pos="1134"/>
        </w:tabs>
        <w:jc w:val="left"/>
        <w:rPr>
          <w:szCs w:val="23"/>
        </w:rPr>
      </w:pPr>
      <w:r w:rsidRPr="00D57619">
        <w:rPr>
          <w:szCs w:val="23"/>
        </w:rPr>
        <w:t xml:space="preserve">Project 14 – </w:t>
      </w:r>
      <w:r w:rsidRPr="00D57619">
        <w:rPr>
          <w:i/>
          <w:szCs w:val="23"/>
        </w:rPr>
        <w:t xml:space="preserve">Mount remarkable Mountain Bike Destination  Access Trail Planning &amp; Stage 2 </w:t>
      </w:r>
      <w:proofErr w:type="spellStart"/>
      <w:r w:rsidRPr="00D57619">
        <w:rPr>
          <w:i/>
          <w:szCs w:val="23"/>
        </w:rPr>
        <w:t>Willowie</w:t>
      </w:r>
      <w:proofErr w:type="spellEnd"/>
      <w:r w:rsidRPr="00D57619">
        <w:rPr>
          <w:i/>
          <w:szCs w:val="23"/>
        </w:rPr>
        <w:t xml:space="preserve"> Forest Cycling Project (Project 6) </w:t>
      </w:r>
      <w:r w:rsidRPr="00D57619">
        <w:rPr>
          <w:szCs w:val="23"/>
        </w:rPr>
        <w:t>($5</w:t>
      </w:r>
      <w:r w:rsidR="00F9279D" w:rsidRPr="00D57619">
        <w:rPr>
          <w:szCs w:val="23"/>
        </w:rPr>
        <w:t>8,825</w:t>
      </w:r>
      <w:r w:rsidRPr="00D57619">
        <w:rPr>
          <w:szCs w:val="23"/>
        </w:rPr>
        <w:t>)</w:t>
      </w:r>
      <w:proofErr w:type="gramStart"/>
      <w:r w:rsidRPr="00D57619">
        <w:rPr>
          <w:szCs w:val="23"/>
        </w:rPr>
        <w:t>.</w:t>
      </w:r>
      <w:r w:rsidR="00F9279D" w:rsidRPr="00D57619">
        <w:rPr>
          <w:szCs w:val="23"/>
        </w:rPr>
        <w:t xml:space="preserve"> </w:t>
      </w:r>
      <w:r w:rsidR="00D57619">
        <w:rPr>
          <w:szCs w:val="23"/>
        </w:rPr>
        <w:t xml:space="preserve"> </w:t>
      </w:r>
      <w:proofErr w:type="gramEnd"/>
      <w:r w:rsidR="00F9279D" w:rsidRPr="00D57619">
        <w:rPr>
          <w:szCs w:val="23"/>
        </w:rPr>
        <w:t xml:space="preserve">This project has two parts. The first is a planning study for new mountain biking options for future development in and around the Melrose/Mount Remarkable area. The second part is continued work on cycling infrastructure TDDI Project 6 - </w:t>
      </w:r>
      <w:proofErr w:type="spellStart"/>
      <w:r w:rsidR="00F9279D" w:rsidRPr="00D57619">
        <w:rPr>
          <w:szCs w:val="23"/>
        </w:rPr>
        <w:t>Willowie</w:t>
      </w:r>
      <w:proofErr w:type="spellEnd"/>
      <w:r w:rsidR="00F9279D" w:rsidRPr="00D57619">
        <w:rPr>
          <w:szCs w:val="23"/>
        </w:rPr>
        <w:t xml:space="preserve"> Forest section of Mount Remarkable National Park. This includes creating new sections of the trail loop network, improving some existing vehicle tracks to better accommodate year-round cycling, and developing park infrastructure facilities to improve the visitor experience along the trail.</w:t>
      </w:r>
      <w:r w:rsidRPr="00D57619">
        <w:rPr>
          <w:szCs w:val="23"/>
        </w:rPr>
        <w:t xml:space="preserve">  </w:t>
      </w:r>
    </w:p>
    <w:p w14:paraId="5D8EFC2B" w14:textId="66BC2CBE" w:rsidR="00437CA9" w:rsidRPr="00D57619" w:rsidRDefault="00437CA9" w:rsidP="00F9279D">
      <w:pPr>
        <w:pStyle w:val="ListParagraph"/>
        <w:numPr>
          <w:ilvl w:val="0"/>
          <w:numId w:val="7"/>
        </w:numPr>
        <w:spacing w:after="240" w:line="260" w:lineRule="exact"/>
        <w:ind w:left="924" w:hanging="357"/>
        <w:rPr>
          <w:rFonts w:ascii="Corbel" w:eastAsia="Times New Roman" w:hAnsi="Corbel"/>
          <w:color w:val="000000"/>
          <w:sz w:val="23"/>
          <w:szCs w:val="23"/>
          <w:lang w:eastAsia="en-AU"/>
        </w:rPr>
      </w:pPr>
      <w:r w:rsidRPr="00D57619">
        <w:rPr>
          <w:rFonts w:ascii="Corbel" w:hAnsi="Corbel"/>
          <w:sz w:val="23"/>
          <w:szCs w:val="23"/>
        </w:rPr>
        <w:t xml:space="preserve">Project 15 – </w:t>
      </w:r>
      <w:r w:rsidR="00F9279D" w:rsidRPr="00D57619">
        <w:rPr>
          <w:rFonts w:ascii="Corbel" w:hAnsi="Corbel"/>
          <w:i/>
          <w:sz w:val="23"/>
          <w:szCs w:val="23"/>
        </w:rPr>
        <w:t>Mount Lofty Precinct and Botanic Gardens Digital Visitor Information</w:t>
      </w:r>
      <w:r w:rsidR="00F9279D" w:rsidRPr="00D57619">
        <w:rPr>
          <w:rFonts w:ascii="Corbel" w:hAnsi="Corbel"/>
          <w:sz w:val="23"/>
          <w:szCs w:val="23"/>
        </w:rPr>
        <w:t xml:space="preserve"> ($80,000). </w:t>
      </w:r>
      <w:r w:rsidR="00D57619">
        <w:rPr>
          <w:rFonts w:ascii="Corbel" w:hAnsi="Corbel"/>
          <w:sz w:val="23"/>
          <w:szCs w:val="23"/>
        </w:rPr>
        <w:t xml:space="preserve"> </w:t>
      </w:r>
      <w:r w:rsidR="00F9279D" w:rsidRPr="00D57619">
        <w:rPr>
          <w:rFonts w:ascii="Corbel" w:eastAsia="Times New Roman" w:hAnsi="Corbel"/>
          <w:color w:val="000000"/>
          <w:sz w:val="23"/>
          <w:szCs w:val="23"/>
          <w:lang w:eastAsia="en-AU"/>
        </w:rPr>
        <w:t>This project will see the development and implementation of a mobile app, which provides location specific interpretive information in both English and Mandarin. The project also includes physical signage in the two languages to inform visitors of the app. The project will initially be focused on the Mount Lofty precinct, and includes four of the area</w:t>
      </w:r>
      <w:r w:rsidR="00D57619">
        <w:rPr>
          <w:rFonts w:ascii="Corbel" w:eastAsia="Times New Roman" w:hAnsi="Corbel"/>
          <w:color w:val="000000"/>
          <w:sz w:val="23"/>
          <w:szCs w:val="23"/>
          <w:lang w:eastAsia="en-AU"/>
        </w:rPr>
        <w:t>’</w:t>
      </w:r>
      <w:r w:rsidR="00F9279D" w:rsidRPr="00D57619">
        <w:rPr>
          <w:rFonts w:ascii="Corbel" w:eastAsia="Times New Roman" w:hAnsi="Corbel"/>
          <w:color w:val="000000"/>
          <w:sz w:val="23"/>
          <w:szCs w:val="23"/>
          <w:lang w:eastAsia="en-AU"/>
        </w:rPr>
        <w:t>s major attractions: Cleland Wildlife Park, Mount Lofty Summit, Mount Lofty Botanic Gardens, and Cleland Conservation Park. An existing app at the Adelaide Botanic Gardens will also be upgraded to provide Mandarin-translated content.</w:t>
      </w:r>
    </w:p>
    <w:p w14:paraId="516CD463" w14:textId="5C0D6EB5" w:rsidR="00437CA9" w:rsidRPr="00D57619" w:rsidRDefault="00437CA9" w:rsidP="00F9279D">
      <w:pPr>
        <w:pStyle w:val="Normalnumbered"/>
        <w:numPr>
          <w:ilvl w:val="0"/>
          <w:numId w:val="7"/>
        </w:numPr>
        <w:tabs>
          <w:tab w:val="left" w:pos="1134"/>
        </w:tabs>
        <w:jc w:val="left"/>
        <w:rPr>
          <w:szCs w:val="23"/>
        </w:rPr>
      </w:pPr>
      <w:r w:rsidRPr="00D57619">
        <w:rPr>
          <w:szCs w:val="23"/>
        </w:rPr>
        <w:t xml:space="preserve">Project 16 – </w:t>
      </w:r>
      <w:r w:rsidR="00F9279D" w:rsidRPr="00D57619">
        <w:rPr>
          <w:i/>
          <w:szCs w:val="23"/>
        </w:rPr>
        <w:t>Touring Route Signage and Wi-Fi Project</w:t>
      </w:r>
      <w:r w:rsidR="00F9279D" w:rsidRPr="00D57619">
        <w:rPr>
          <w:szCs w:val="23"/>
        </w:rPr>
        <w:t xml:space="preserve"> ($250,000). </w:t>
      </w:r>
      <w:r w:rsidR="00D57619">
        <w:rPr>
          <w:szCs w:val="23"/>
        </w:rPr>
        <w:t xml:space="preserve"> </w:t>
      </w:r>
      <w:r w:rsidR="00F9279D" w:rsidRPr="00D57619">
        <w:rPr>
          <w:szCs w:val="23"/>
        </w:rPr>
        <w:t>This project comprises two parts and is located across regional South Australia. The first part is the design and installation of directional and information signs along six key touring routes, to encourage visitor engagement with the regional areas. The second part is the establishment of approximately 22 Wi-Fi hotspots at key tourist locations, to facilitate sharing experiences on social media.</w:t>
      </w:r>
    </w:p>
    <w:p w14:paraId="0EDE31E9" w14:textId="0A5CEEFF" w:rsidR="00437CA9" w:rsidRPr="00D57619" w:rsidRDefault="00437CA9" w:rsidP="00F9279D">
      <w:pPr>
        <w:pStyle w:val="Normalnumbered"/>
        <w:numPr>
          <w:ilvl w:val="0"/>
          <w:numId w:val="7"/>
        </w:numPr>
        <w:tabs>
          <w:tab w:val="left" w:pos="1134"/>
        </w:tabs>
        <w:jc w:val="left"/>
        <w:rPr>
          <w:szCs w:val="23"/>
        </w:rPr>
      </w:pPr>
      <w:r w:rsidRPr="00D57619">
        <w:rPr>
          <w:szCs w:val="23"/>
        </w:rPr>
        <w:t xml:space="preserve">Project 17 – </w:t>
      </w:r>
      <w:r w:rsidR="00F9279D" w:rsidRPr="00114492">
        <w:rPr>
          <w:i/>
          <w:szCs w:val="23"/>
        </w:rPr>
        <w:t>Naracoorte Caves Visitor Precincts Upgrades</w:t>
      </w:r>
      <w:r w:rsidR="00F9279D" w:rsidRPr="00D57619">
        <w:rPr>
          <w:szCs w:val="23"/>
        </w:rPr>
        <w:t xml:space="preserve"> ($600,000). </w:t>
      </w:r>
      <w:r w:rsidR="00D57619">
        <w:rPr>
          <w:szCs w:val="23"/>
        </w:rPr>
        <w:t xml:space="preserve"> </w:t>
      </w:r>
      <w:r w:rsidR="00F9279D" w:rsidRPr="00114492">
        <w:t>This project has three main parts. The first part is Stage 2 of the Cave Loop Trail project to complete the trail upgrade, following the successful TDDI Project 9 - Naracoorte Caves Visitor Facilities Upgrade project. The work includes the construction of viewing platforms, lighting, seating and safety fencing. The second part is the extension of the trail to the Wet and the Cathedral caves. The third part is the design, production and installation of interpretation and way finding signage across the main visitor centre precinct and along the Cave Loop Trail, as well as new main entry signage.</w:t>
      </w:r>
    </w:p>
    <w:p w14:paraId="197B2FC9" w14:textId="5B3EF40C" w:rsidR="00067EA7" w:rsidRDefault="00067EA7" w:rsidP="00067EA7">
      <w:r w:rsidRPr="00981DC7">
        <w:lastRenderedPageBreak/>
        <w:t>To deliver the outputs of this Agreement, the following project</w:t>
      </w:r>
      <w:r>
        <w:t xml:space="preserve">s will be </w:t>
      </w:r>
      <w:r w:rsidRPr="00981DC7">
        <w:t xml:space="preserve">delivered </w:t>
      </w:r>
      <w:r>
        <w:t>by</w:t>
      </w:r>
      <w:r w:rsidRPr="00981DC7">
        <w:t xml:space="preserve"> </w:t>
      </w:r>
      <w:r>
        <w:t>South Australia in 2015-16</w:t>
      </w:r>
      <w:r w:rsidRPr="00A54D46">
        <w:t>:</w:t>
      </w:r>
    </w:p>
    <w:p w14:paraId="3000A39A" w14:textId="2DA8D1B8" w:rsidR="00A31E57" w:rsidRPr="003C6801" w:rsidRDefault="00A31E57" w:rsidP="00D57619">
      <w:pPr>
        <w:pStyle w:val="Normalnumbered"/>
        <w:numPr>
          <w:ilvl w:val="0"/>
          <w:numId w:val="29"/>
        </w:numPr>
        <w:tabs>
          <w:tab w:val="left" w:pos="1134"/>
        </w:tabs>
        <w:jc w:val="left"/>
      </w:pPr>
      <w:r w:rsidRPr="003C6801">
        <w:t xml:space="preserve">Project 5 – </w:t>
      </w:r>
      <w:r w:rsidR="002E4ED6" w:rsidRPr="003C6801">
        <w:rPr>
          <w:i/>
        </w:rPr>
        <w:t>Mount Lofty Ranges International Mountain Bike Destination Cobbler Creek Trails</w:t>
      </w:r>
      <w:r w:rsidRPr="003C6801">
        <w:rPr>
          <w:i/>
        </w:rPr>
        <w:t xml:space="preserve"> </w:t>
      </w:r>
      <w:r w:rsidRPr="003C6801">
        <w:t>($</w:t>
      </w:r>
      <w:r w:rsidR="002E4ED6" w:rsidRPr="003C6801">
        <w:t>100,000</w:t>
      </w:r>
      <w:r w:rsidRPr="003C6801">
        <w:t>).</w:t>
      </w:r>
      <w:r w:rsidR="004779E4" w:rsidRPr="003C6801">
        <w:t xml:space="preserve"> </w:t>
      </w:r>
      <w:r w:rsidRPr="003C6801">
        <w:t xml:space="preserve"> </w:t>
      </w:r>
      <w:r w:rsidR="004779E4" w:rsidRPr="003C6801">
        <w:t>This project continues the 2014-15 TDDI project to develop mountain bike trails. This funding proposal is for the construction of additional trails at Cobbler Creek Recreation Park.</w:t>
      </w:r>
    </w:p>
    <w:p w14:paraId="13C3ED19" w14:textId="559D437D" w:rsidR="00A31E57" w:rsidRPr="003C6801" w:rsidRDefault="00A31E57" w:rsidP="00D57619">
      <w:pPr>
        <w:pStyle w:val="Normalnumbered"/>
        <w:numPr>
          <w:ilvl w:val="0"/>
          <w:numId w:val="29"/>
        </w:numPr>
        <w:tabs>
          <w:tab w:val="left" w:pos="1134"/>
        </w:tabs>
        <w:jc w:val="left"/>
      </w:pPr>
      <w:r w:rsidRPr="003C6801">
        <w:t xml:space="preserve">Project 6 – </w:t>
      </w:r>
      <w:r w:rsidR="004779E4" w:rsidRPr="003C6801">
        <w:rPr>
          <w:i/>
        </w:rPr>
        <w:t>Southern Flinders Adventure Tourism</w:t>
      </w:r>
      <w:r w:rsidRPr="003C6801">
        <w:rPr>
          <w:i/>
        </w:rPr>
        <w:t xml:space="preserve"> </w:t>
      </w:r>
      <w:r w:rsidR="004779E4" w:rsidRPr="003C6801">
        <w:t>($17</w:t>
      </w:r>
      <w:r w:rsidR="000D3C54" w:rsidRPr="003C6801">
        <w:t>4</w:t>
      </w:r>
      <w:r w:rsidR="004779E4" w:rsidRPr="003C6801">
        <w:t>,</w:t>
      </w:r>
      <w:r w:rsidR="000D3C54" w:rsidRPr="003C6801">
        <w:t>825</w:t>
      </w:r>
      <w:r w:rsidRPr="003C6801">
        <w:t xml:space="preserve">). </w:t>
      </w:r>
      <w:r w:rsidR="004779E4" w:rsidRPr="003C6801">
        <w:t xml:space="preserve"> This project involves developing </w:t>
      </w:r>
      <w:r w:rsidR="00BA7E41" w:rsidRPr="003C6801">
        <w:t xml:space="preserve">the </w:t>
      </w:r>
      <w:proofErr w:type="spellStart"/>
      <w:r w:rsidR="00BA7E41" w:rsidRPr="003C6801">
        <w:t>Willowie</w:t>
      </w:r>
      <w:proofErr w:type="spellEnd"/>
      <w:r w:rsidR="00BA7E41" w:rsidRPr="003C6801">
        <w:t xml:space="preserve"> Forest </w:t>
      </w:r>
      <w:r w:rsidR="004779E4" w:rsidRPr="003C6801">
        <w:t xml:space="preserve">cycling trail and </w:t>
      </w:r>
      <w:r w:rsidR="00BA7E41" w:rsidRPr="003C6801">
        <w:t xml:space="preserve">the </w:t>
      </w:r>
      <w:r w:rsidR="004779E4" w:rsidRPr="003C6801">
        <w:t xml:space="preserve">redevelopment of </w:t>
      </w:r>
      <w:r w:rsidR="00BA7E41" w:rsidRPr="003C6801">
        <w:t xml:space="preserve">the Mt Remarkable Summit Walking Trail </w:t>
      </w:r>
      <w:r w:rsidR="004779E4" w:rsidRPr="003C6801">
        <w:t xml:space="preserve">walking trail. The cycling trail </w:t>
      </w:r>
      <w:r w:rsidR="00BA7E41" w:rsidRPr="003C6801">
        <w:t>provide a link</w:t>
      </w:r>
      <w:r w:rsidR="004779E4" w:rsidRPr="003C6801">
        <w:t xml:space="preserve"> to the existing Wilmington Rail Trail</w:t>
      </w:r>
      <w:r w:rsidR="00BA7E41" w:rsidRPr="003C6801">
        <w:t>, and the walking trail</w:t>
      </w:r>
      <w:r w:rsidR="004779E4" w:rsidRPr="003C6801">
        <w:t xml:space="preserve"> will be realigned and extended to offer better views of the surrounding area.</w:t>
      </w:r>
    </w:p>
    <w:p w14:paraId="5E6BA615" w14:textId="7371102D" w:rsidR="00A31E57" w:rsidRPr="003C6801" w:rsidRDefault="00A31E57" w:rsidP="00D57619">
      <w:pPr>
        <w:pStyle w:val="Normalnumbered"/>
        <w:numPr>
          <w:ilvl w:val="0"/>
          <w:numId w:val="29"/>
        </w:numPr>
        <w:tabs>
          <w:tab w:val="left" w:pos="1134"/>
        </w:tabs>
        <w:jc w:val="left"/>
      </w:pPr>
      <w:r w:rsidRPr="003C6801">
        <w:t xml:space="preserve">Project 7 – </w:t>
      </w:r>
      <w:proofErr w:type="spellStart"/>
      <w:r w:rsidR="004779E4" w:rsidRPr="003C6801">
        <w:rPr>
          <w:i/>
        </w:rPr>
        <w:t>Yangie</w:t>
      </w:r>
      <w:proofErr w:type="spellEnd"/>
      <w:r w:rsidR="004779E4" w:rsidRPr="003C6801">
        <w:rPr>
          <w:i/>
        </w:rPr>
        <w:t xml:space="preserve"> Bay Campground Redevelopment</w:t>
      </w:r>
      <w:r w:rsidRPr="003C6801">
        <w:rPr>
          <w:i/>
        </w:rPr>
        <w:t xml:space="preserve"> </w:t>
      </w:r>
      <w:r w:rsidRPr="003C6801">
        <w:t>($</w:t>
      </w:r>
      <w:r w:rsidR="004779E4" w:rsidRPr="003C6801">
        <w:t>114,000</w:t>
      </w:r>
      <w:r w:rsidRPr="003C6801">
        <w:t xml:space="preserve">).  </w:t>
      </w:r>
      <w:r w:rsidR="004779E4" w:rsidRPr="003C6801">
        <w:t xml:space="preserve">This project </w:t>
      </w:r>
      <w:r w:rsidR="00604669" w:rsidRPr="003C6801">
        <w:t>will</w:t>
      </w:r>
      <w:r w:rsidR="004779E4" w:rsidRPr="003C6801">
        <w:t xml:space="preserve"> redevelop the </w:t>
      </w:r>
      <w:proofErr w:type="spellStart"/>
      <w:r w:rsidR="004779E4" w:rsidRPr="003C6801">
        <w:t>Yangie</w:t>
      </w:r>
      <w:proofErr w:type="spellEnd"/>
      <w:r w:rsidR="004779E4" w:rsidRPr="003C6801">
        <w:t xml:space="preserve"> Bay Campground in Coffin Bay National Park. Work will improve traffic flow to the campground</w:t>
      </w:r>
      <w:r w:rsidR="00604669" w:rsidRPr="003C6801">
        <w:t>, increase the number of camp sites</w:t>
      </w:r>
      <w:r w:rsidR="004779E4" w:rsidRPr="003C6801">
        <w:t>, make facilities more accessible and revegetate the areas surrounding the camping sites.</w:t>
      </w:r>
    </w:p>
    <w:p w14:paraId="62CF50D7" w14:textId="39C13A9C" w:rsidR="00A31E57" w:rsidRPr="003C6801" w:rsidRDefault="00A31E57" w:rsidP="00D57619">
      <w:pPr>
        <w:pStyle w:val="Normalnumbered"/>
        <w:numPr>
          <w:ilvl w:val="0"/>
          <w:numId w:val="29"/>
        </w:numPr>
        <w:tabs>
          <w:tab w:val="left" w:pos="1134"/>
        </w:tabs>
        <w:jc w:val="left"/>
      </w:pPr>
      <w:r w:rsidRPr="003C6801">
        <w:t xml:space="preserve">Project 8 – </w:t>
      </w:r>
      <w:r w:rsidR="004779E4" w:rsidRPr="003C6801">
        <w:rPr>
          <w:i/>
        </w:rPr>
        <w:t>International Tourists – Visitor Experience Strategy</w:t>
      </w:r>
      <w:r w:rsidRPr="003C6801">
        <w:rPr>
          <w:i/>
        </w:rPr>
        <w:t xml:space="preserve"> </w:t>
      </w:r>
      <w:r w:rsidRPr="003C6801">
        <w:t>($</w:t>
      </w:r>
      <w:r w:rsidR="004779E4" w:rsidRPr="003C6801">
        <w:t>30,000</w:t>
      </w:r>
      <w:r w:rsidRPr="003C6801">
        <w:t xml:space="preserve">).  </w:t>
      </w:r>
      <w:r w:rsidR="004779E4" w:rsidRPr="003C6801">
        <w:t xml:space="preserve">The project </w:t>
      </w:r>
      <w:r w:rsidR="009036E5">
        <w:t xml:space="preserve">is </w:t>
      </w:r>
      <w:r w:rsidR="004779E4" w:rsidRPr="003C6801">
        <w:t xml:space="preserve">to </w:t>
      </w:r>
      <w:r w:rsidR="009036E5">
        <w:t>prepare</w:t>
      </w:r>
      <w:r w:rsidR="004779E4" w:rsidRPr="003C6801">
        <w:t xml:space="preserve"> a feasibility study on the provision of public Wi-Fi facilities and mobile phone hotspots at key tourism locations</w:t>
      </w:r>
      <w:r w:rsidR="009036E5">
        <w:t>. It will include the scoping</w:t>
      </w:r>
      <w:r w:rsidR="004779E4" w:rsidRPr="003C6801">
        <w:t xml:space="preserve"> </w:t>
      </w:r>
      <w:r w:rsidR="009036E5">
        <w:t xml:space="preserve">of </w:t>
      </w:r>
      <w:r w:rsidR="004779E4" w:rsidRPr="003C6801">
        <w:t xml:space="preserve">digital content </w:t>
      </w:r>
      <w:r w:rsidR="009036E5">
        <w:t xml:space="preserve">requirements </w:t>
      </w:r>
      <w:r w:rsidR="00115DDD" w:rsidRPr="003C6801">
        <w:t>for the</w:t>
      </w:r>
      <w:r w:rsidR="00ED30C2" w:rsidRPr="003C6801">
        <w:t xml:space="preserve"> international tourism market</w:t>
      </w:r>
      <w:r w:rsidR="004779E4" w:rsidRPr="003C6801">
        <w:t>.</w:t>
      </w:r>
    </w:p>
    <w:p w14:paraId="465D2072" w14:textId="71CE1501" w:rsidR="00A31E57" w:rsidRPr="003C6801" w:rsidRDefault="00A31E57" w:rsidP="00D57619">
      <w:pPr>
        <w:pStyle w:val="Normalnumbered"/>
        <w:numPr>
          <w:ilvl w:val="0"/>
          <w:numId w:val="29"/>
        </w:numPr>
        <w:tabs>
          <w:tab w:val="left" w:pos="1134"/>
        </w:tabs>
        <w:jc w:val="left"/>
      </w:pPr>
      <w:r w:rsidRPr="003C6801">
        <w:t xml:space="preserve">Project 9 – </w:t>
      </w:r>
      <w:r w:rsidR="004779E4" w:rsidRPr="003C6801">
        <w:rPr>
          <w:i/>
        </w:rPr>
        <w:t>Naracoorte Caves Visitor Facilities Upgrade</w:t>
      </w:r>
      <w:r w:rsidRPr="003C6801">
        <w:rPr>
          <w:i/>
        </w:rPr>
        <w:t xml:space="preserve"> </w:t>
      </w:r>
      <w:r w:rsidRPr="003C6801">
        <w:t>($</w:t>
      </w:r>
      <w:r w:rsidR="004779E4" w:rsidRPr="003C6801">
        <w:t>175,000</w:t>
      </w:r>
      <w:r w:rsidRPr="003C6801">
        <w:t xml:space="preserve">).  </w:t>
      </w:r>
      <w:r w:rsidR="004779E4" w:rsidRPr="003C6801">
        <w:t xml:space="preserve">This project </w:t>
      </w:r>
      <w:r w:rsidR="00311652" w:rsidRPr="003C6801">
        <w:t>see</w:t>
      </w:r>
      <w:r w:rsidR="004779E4" w:rsidRPr="003C6801">
        <w:t xml:space="preserve"> the construction of the ‘Cave Loop Trail’</w:t>
      </w:r>
      <w:r w:rsidR="00311652" w:rsidRPr="003C6801">
        <w:t>,</w:t>
      </w:r>
      <w:r w:rsidR="004779E4" w:rsidRPr="003C6801">
        <w:t xml:space="preserve"> and </w:t>
      </w:r>
      <w:r w:rsidR="00311652" w:rsidRPr="003C6801">
        <w:t xml:space="preserve">the </w:t>
      </w:r>
      <w:r w:rsidR="00717058" w:rsidRPr="003C6801">
        <w:t xml:space="preserve">planning </w:t>
      </w:r>
      <w:r w:rsidR="004779E4" w:rsidRPr="003C6801">
        <w:t xml:space="preserve">and design for the upgrade </w:t>
      </w:r>
      <w:r w:rsidR="00717058" w:rsidRPr="003C6801">
        <w:t>to</w:t>
      </w:r>
      <w:r w:rsidR="004779E4" w:rsidRPr="003C6801">
        <w:t xml:space="preserve"> the Victoria Fossil Cave car park and cave entry precinct.</w:t>
      </w:r>
    </w:p>
    <w:p w14:paraId="7DB2952B" w14:textId="6CEB520F" w:rsidR="00A31E57" w:rsidRPr="003C6801" w:rsidRDefault="00A31E57" w:rsidP="00D57619">
      <w:pPr>
        <w:pStyle w:val="Normalnumbered"/>
        <w:numPr>
          <w:ilvl w:val="0"/>
          <w:numId w:val="29"/>
        </w:numPr>
        <w:tabs>
          <w:tab w:val="left" w:pos="1134"/>
        </w:tabs>
        <w:jc w:val="left"/>
      </w:pPr>
      <w:r w:rsidRPr="003C6801">
        <w:t xml:space="preserve">Project 10 – </w:t>
      </w:r>
      <w:r w:rsidR="004779E4" w:rsidRPr="003C6801">
        <w:rPr>
          <w:i/>
        </w:rPr>
        <w:t>Granite Island Visitor Facilities Upgrade</w:t>
      </w:r>
      <w:r w:rsidRPr="003C6801">
        <w:rPr>
          <w:i/>
        </w:rPr>
        <w:t xml:space="preserve"> </w:t>
      </w:r>
      <w:r w:rsidRPr="003C6801">
        <w:t>($</w:t>
      </w:r>
      <w:r w:rsidR="004779E4" w:rsidRPr="003C6801">
        <w:t>130,000</w:t>
      </w:r>
      <w:r w:rsidRPr="003C6801">
        <w:t xml:space="preserve">).  </w:t>
      </w:r>
      <w:r w:rsidR="004779E4" w:rsidRPr="003C6801">
        <w:t>This project will result in the upgrade of visitor facilities on Granite Island. Work includes sealing the walking trail that circumnavigates the island, improving interpretation and seating facilities at rest spots and viewing locations, and landscaping to improve some key locations.</w:t>
      </w:r>
    </w:p>
    <w:p w14:paraId="47119811" w14:textId="768F35C2" w:rsidR="00A31E57" w:rsidRPr="003C6801" w:rsidRDefault="00A31E57" w:rsidP="00D57619">
      <w:pPr>
        <w:pStyle w:val="Normalnumbered"/>
        <w:numPr>
          <w:ilvl w:val="0"/>
          <w:numId w:val="29"/>
        </w:numPr>
        <w:tabs>
          <w:tab w:val="left" w:pos="1134"/>
        </w:tabs>
        <w:jc w:val="left"/>
      </w:pPr>
      <w:r w:rsidRPr="003C6801">
        <w:t xml:space="preserve">Project 11 – </w:t>
      </w:r>
      <w:r w:rsidR="004779E4" w:rsidRPr="003C6801">
        <w:rPr>
          <w:i/>
        </w:rPr>
        <w:t>Outer Harbor Rail Precinct Welcome Statement and Upgrade</w:t>
      </w:r>
      <w:r w:rsidRPr="003C6801">
        <w:rPr>
          <w:i/>
        </w:rPr>
        <w:t xml:space="preserve"> </w:t>
      </w:r>
      <w:r w:rsidRPr="003C6801">
        <w:t>($</w:t>
      </w:r>
      <w:r w:rsidR="004779E4" w:rsidRPr="003C6801">
        <w:t>30,000</w:t>
      </w:r>
      <w:r w:rsidRPr="003C6801">
        <w:t xml:space="preserve">).  </w:t>
      </w:r>
      <w:r w:rsidR="004779E4" w:rsidRPr="003C6801">
        <w:t xml:space="preserve">This project is to upgrade existing and install new infrastructure at the Outer Harbour Railway Station, </w:t>
      </w:r>
      <w:r w:rsidR="001B4197" w:rsidRPr="003C6801">
        <w:t>which</w:t>
      </w:r>
      <w:r w:rsidR="004779E4" w:rsidRPr="003C6801">
        <w:t xml:space="preserve"> cater</w:t>
      </w:r>
      <w:r w:rsidR="001B4197" w:rsidRPr="003C6801">
        <w:t>s</w:t>
      </w:r>
      <w:r w:rsidR="004779E4" w:rsidRPr="003C6801">
        <w:t xml:space="preserve"> for the 10,000 plus cruise ship visitors travelling to Adelaide by train. Work </w:t>
      </w:r>
      <w:r w:rsidR="001B4197" w:rsidRPr="003C6801">
        <w:t>will include</w:t>
      </w:r>
      <w:r w:rsidR="004779E4" w:rsidRPr="003C6801">
        <w:t xml:space="preserve"> the development and installation of infrastructure and directional/interpretive signs with information in multiple languages.</w:t>
      </w:r>
    </w:p>
    <w:p w14:paraId="0903B15A" w14:textId="233392F0" w:rsidR="00A31E57" w:rsidRPr="003C6801" w:rsidRDefault="00A31E57" w:rsidP="00D57619">
      <w:pPr>
        <w:pStyle w:val="Normalnumbered"/>
        <w:numPr>
          <w:ilvl w:val="0"/>
          <w:numId w:val="29"/>
        </w:numPr>
        <w:tabs>
          <w:tab w:val="left" w:pos="1134"/>
        </w:tabs>
        <w:jc w:val="left"/>
      </w:pPr>
      <w:r w:rsidRPr="003C6801">
        <w:t xml:space="preserve">Project 12 – </w:t>
      </w:r>
      <w:r w:rsidR="004779E4" w:rsidRPr="003C6801">
        <w:rPr>
          <w:i/>
        </w:rPr>
        <w:t>Kelly Hill Caves Upgrade for KI Wilderness Trail (Planning)</w:t>
      </w:r>
      <w:r w:rsidRPr="003C6801">
        <w:rPr>
          <w:i/>
        </w:rPr>
        <w:t xml:space="preserve"> </w:t>
      </w:r>
      <w:r w:rsidRPr="003C6801">
        <w:t>($</w:t>
      </w:r>
      <w:r w:rsidR="004779E4" w:rsidRPr="003C6801">
        <w:t>25,000</w:t>
      </w:r>
      <w:r w:rsidRPr="003C6801">
        <w:t xml:space="preserve">).  </w:t>
      </w:r>
      <w:r w:rsidR="004779E4" w:rsidRPr="003C6801">
        <w:t xml:space="preserve">This project will see the development of a concept plan and design for </w:t>
      </w:r>
      <w:r w:rsidR="00995F93" w:rsidRPr="003C6801">
        <w:t>a</w:t>
      </w:r>
      <w:r w:rsidR="004779E4" w:rsidRPr="003C6801">
        <w:t xml:space="preserve"> proposed upgrade of the Kelly Hill Caves visitor centre and cave entry precinct. The plan</w:t>
      </w:r>
      <w:r w:rsidR="00EA4A08" w:rsidRPr="003C6801">
        <w:t>ned</w:t>
      </w:r>
      <w:r w:rsidR="004779E4" w:rsidRPr="003C6801">
        <w:t xml:space="preserve"> facilities </w:t>
      </w:r>
      <w:r w:rsidR="00EA4A08" w:rsidRPr="003C6801">
        <w:t xml:space="preserve">will be </w:t>
      </w:r>
      <w:r w:rsidR="004779E4" w:rsidRPr="003C6801">
        <w:t>use</w:t>
      </w:r>
      <w:r w:rsidR="00EA4A08" w:rsidRPr="003C6801">
        <w:t>d by walkers</w:t>
      </w:r>
      <w:r w:rsidR="004779E4" w:rsidRPr="003C6801">
        <w:t xml:space="preserve"> after completing the 5-day Kangaroo Island Wilderness Trail.</w:t>
      </w:r>
    </w:p>
    <w:p w14:paraId="6DB76FC2" w14:textId="1D7E0D6A" w:rsidR="00A31E57" w:rsidRPr="00DF1AC4" w:rsidRDefault="00A31E57" w:rsidP="00D57619">
      <w:pPr>
        <w:pStyle w:val="Normalnumbered"/>
        <w:numPr>
          <w:ilvl w:val="0"/>
          <w:numId w:val="29"/>
        </w:numPr>
        <w:tabs>
          <w:tab w:val="left" w:pos="1134"/>
        </w:tabs>
        <w:jc w:val="left"/>
      </w:pPr>
      <w:r w:rsidRPr="003C6801">
        <w:t xml:space="preserve">Project 13 – </w:t>
      </w:r>
      <w:r w:rsidR="004779E4" w:rsidRPr="003C6801">
        <w:rPr>
          <w:i/>
        </w:rPr>
        <w:t>Recreational Fishing in the Barossa Valley a</w:t>
      </w:r>
      <w:r w:rsidR="00995F93" w:rsidRPr="003C6801">
        <w:rPr>
          <w:i/>
        </w:rPr>
        <w:t xml:space="preserve">nd Southern Flinders Rangers  </w:t>
      </w:r>
      <w:r w:rsidRPr="003C6801">
        <w:t>($</w:t>
      </w:r>
      <w:r w:rsidR="004779E4" w:rsidRPr="003C6801">
        <w:t>210,000</w:t>
      </w:r>
      <w:r w:rsidRPr="003C6801">
        <w:t>)</w:t>
      </w:r>
      <w:proofErr w:type="gramStart"/>
      <w:r w:rsidRPr="003C6801">
        <w:t xml:space="preserve">.  </w:t>
      </w:r>
      <w:proofErr w:type="gramEnd"/>
      <w:r w:rsidR="004779E4" w:rsidRPr="003C6801">
        <w:t>The</w:t>
      </w:r>
      <w:r w:rsidR="004779E4" w:rsidRPr="004779E4">
        <w:t xml:space="preserve"> project will improve facilities for tourists at the Warren, </w:t>
      </w:r>
      <w:proofErr w:type="spellStart"/>
      <w:r w:rsidR="004779E4" w:rsidRPr="004779E4">
        <w:t>Baroota</w:t>
      </w:r>
      <w:proofErr w:type="spellEnd"/>
      <w:r w:rsidR="004779E4" w:rsidRPr="004779E4">
        <w:t xml:space="preserve"> and </w:t>
      </w:r>
      <w:proofErr w:type="spellStart"/>
      <w:r w:rsidR="004779E4" w:rsidRPr="004779E4">
        <w:t>Bundaleer</w:t>
      </w:r>
      <w:proofErr w:type="spellEnd"/>
      <w:r w:rsidR="004779E4" w:rsidRPr="004779E4">
        <w:t xml:space="preserve"> Reservoirs.</w:t>
      </w:r>
      <w:r w:rsidR="00995F93">
        <w:t xml:space="preserve"> </w:t>
      </w:r>
      <w:r w:rsidR="004779E4" w:rsidRPr="004779E4">
        <w:t>The project will support development of new infrastructure for recreational fisher-people. The new offerings include road access, parking areas, pathways, and public facilities to improve the tourism experience.</w:t>
      </w:r>
    </w:p>
    <w:p w14:paraId="1F639647" w14:textId="01BD135A" w:rsidR="00964D0B" w:rsidRPr="00A54D46" w:rsidRDefault="00964D0B" w:rsidP="00F250D3">
      <w:pPr>
        <w:jc w:val="left"/>
      </w:pPr>
      <w:r w:rsidRPr="00981DC7">
        <w:t>To deliver the outputs of this Agreement, the following project</w:t>
      </w:r>
      <w:r w:rsidR="00AE276E">
        <w:t>s</w:t>
      </w:r>
      <w:r w:rsidR="00192541">
        <w:t xml:space="preserve"> will be </w:t>
      </w:r>
      <w:r w:rsidRPr="00981DC7">
        <w:t xml:space="preserve">delivered </w:t>
      </w:r>
      <w:r w:rsidR="00981DC7">
        <w:t>by</w:t>
      </w:r>
      <w:r w:rsidRPr="00981DC7">
        <w:t xml:space="preserve"> </w:t>
      </w:r>
      <w:r w:rsidR="00253060">
        <w:t>South Australia</w:t>
      </w:r>
      <w:r w:rsidR="00A31E57">
        <w:t xml:space="preserve"> in 2014-15</w:t>
      </w:r>
      <w:r w:rsidRPr="00A54D46">
        <w:t>:</w:t>
      </w:r>
    </w:p>
    <w:p w14:paraId="28422E15" w14:textId="4DF86303" w:rsidR="00246FFD" w:rsidRPr="00DF1AC4" w:rsidRDefault="00246FFD" w:rsidP="00D57619">
      <w:pPr>
        <w:pStyle w:val="Normalnumbered"/>
        <w:numPr>
          <w:ilvl w:val="0"/>
          <w:numId w:val="30"/>
        </w:numPr>
        <w:tabs>
          <w:tab w:val="left" w:pos="1134"/>
        </w:tabs>
        <w:jc w:val="left"/>
      </w:pPr>
      <w:r>
        <w:lastRenderedPageBreak/>
        <w:t xml:space="preserve">Project 1 </w:t>
      </w:r>
      <w:r w:rsidRPr="00A54D46">
        <w:t xml:space="preserve">– </w:t>
      </w:r>
      <w:r>
        <w:rPr>
          <w:i/>
        </w:rPr>
        <w:t xml:space="preserve">Kangaroo Island Wilderness Trail </w:t>
      </w:r>
      <w:r>
        <w:t xml:space="preserve">($509,350).  </w:t>
      </w:r>
      <w:r w:rsidRPr="004C6513">
        <w:t xml:space="preserve">Construction of the initial stage of a 63 kilometre </w:t>
      </w:r>
      <w:r>
        <w:t xml:space="preserve">long (approximately) </w:t>
      </w:r>
      <w:r w:rsidRPr="004C6513">
        <w:t>walking trail and associated public infrastructure</w:t>
      </w:r>
      <w:r w:rsidR="00A31E57">
        <w:t xml:space="preserve">. </w:t>
      </w:r>
      <w:r>
        <w:t xml:space="preserve">Funds will be used towards constructing approximately 20 kilometres of the trail, designing public </w:t>
      </w:r>
      <w:r w:rsidRPr="00DF1AC4">
        <w:t xml:space="preserve">infrastructure and creating campsite access tracks.  </w:t>
      </w:r>
    </w:p>
    <w:p w14:paraId="0DEEAC1B" w14:textId="2F4D242B" w:rsidR="00246FFD" w:rsidRPr="00DF1AC4" w:rsidRDefault="00246FFD" w:rsidP="00D57619">
      <w:pPr>
        <w:pStyle w:val="Normalnumbered"/>
        <w:numPr>
          <w:ilvl w:val="0"/>
          <w:numId w:val="30"/>
        </w:numPr>
        <w:tabs>
          <w:tab w:val="left" w:pos="1134"/>
        </w:tabs>
        <w:jc w:val="left"/>
      </w:pPr>
      <w:r w:rsidRPr="00DF1AC4">
        <w:t xml:space="preserve">Project 2 – </w:t>
      </w:r>
      <w:r w:rsidRPr="00DF1AC4">
        <w:rPr>
          <w:i/>
        </w:rPr>
        <w:t>Mount Lofty Ranges International Mountain Bike Destination</w:t>
      </w:r>
      <w:r w:rsidRPr="00DF1AC4">
        <w:t xml:space="preserve"> ($200,000).  Construction of mountain bike trails at two sites: Sturt Gorge Recreation Park - approximately 10 kilometres of additional trail will be constructed. Shepherds Hill Recreation Park - approximately 12 kilometres of additional trail will be constructed. Trail head infrastructure, shelters and signage will also be provided.</w:t>
      </w:r>
    </w:p>
    <w:p w14:paraId="184D3E6F" w14:textId="3D71428A" w:rsidR="00246FFD" w:rsidRPr="00DF1AC4" w:rsidRDefault="00246FFD" w:rsidP="00D57619">
      <w:pPr>
        <w:pStyle w:val="Normalnumbered"/>
        <w:numPr>
          <w:ilvl w:val="0"/>
          <w:numId w:val="30"/>
        </w:numPr>
        <w:tabs>
          <w:tab w:val="left" w:pos="1134"/>
        </w:tabs>
        <w:jc w:val="left"/>
      </w:pPr>
      <w:r w:rsidRPr="00DF1AC4">
        <w:t xml:space="preserve">Project 3 – </w:t>
      </w:r>
      <w:r w:rsidRPr="00DF1AC4">
        <w:rPr>
          <w:i/>
        </w:rPr>
        <w:t xml:space="preserve">Bat Observation System at Naracoorte Caves National Park </w:t>
      </w:r>
      <w:r w:rsidRPr="00DF1AC4">
        <w:t xml:space="preserve">($30,000). </w:t>
      </w:r>
      <w:r>
        <w:t xml:space="preserve"> </w:t>
      </w:r>
      <w:r w:rsidRPr="00DF1AC4">
        <w:t xml:space="preserve">Design and installation of a new state-of-the-art observation and surveillance </w:t>
      </w:r>
      <w:r>
        <w:t>system to replace the existing bat o</w:t>
      </w:r>
      <w:r w:rsidRPr="00DF1AC4">
        <w:t xml:space="preserve">bservation system at Naracoorte Caves. The new system will comprise infra-red surveillance cameras in Bat Cave and a new operating system (software and screens) in the Observation Centre.  </w:t>
      </w:r>
    </w:p>
    <w:p w14:paraId="6660EBC2" w14:textId="77777777" w:rsidR="00246FFD" w:rsidRPr="00DF1AC4" w:rsidRDefault="00246FFD" w:rsidP="00D57619">
      <w:pPr>
        <w:pStyle w:val="Normalnumbered"/>
        <w:numPr>
          <w:ilvl w:val="0"/>
          <w:numId w:val="30"/>
        </w:numPr>
        <w:tabs>
          <w:tab w:val="left" w:pos="1134"/>
        </w:tabs>
        <w:jc w:val="left"/>
      </w:pPr>
      <w:r>
        <w:t xml:space="preserve">Project 4 </w:t>
      </w:r>
      <w:r w:rsidRPr="00DF1AC4">
        <w:t xml:space="preserve"> –</w:t>
      </w:r>
      <w:r>
        <w:t xml:space="preserve"> </w:t>
      </w:r>
      <w:r w:rsidRPr="00D82DA2">
        <w:rPr>
          <w:i/>
        </w:rPr>
        <w:t xml:space="preserve">Innes National Park </w:t>
      </w:r>
      <w:r>
        <w:rPr>
          <w:i/>
        </w:rPr>
        <w:t>Road U</w:t>
      </w:r>
      <w:r w:rsidRPr="00D82DA2">
        <w:rPr>
          <w:i/>
        </w:rPr>
        <w:t xml:space="preserve">pgrade - </w:t>
      </w:r>
      <w:proofErr w:type="spellStart"/>
      <w:r w:rsidRPr="00D82DA2">
        <w:rPr>
          <w:i/>
        </w:rPr>
        <w:t>Pondalowie</w:t>
      </w:r>
      <w:proofErr w:type="spellEnd"/>
      <w:r w:rsidRPr="00D82DA2">
        <w:rPr>
          <w:i/>
        </w:rPr>
        <w:t xml:space="preserve"> Bay Surf Break to Shell Beach </w:t>
      </w:r>
      <w:r>
        <w:t>($280,000)</w:t>
      </w:r>
      <w:proofErr w:type="gramStart"/>
      <w:r>
        <w:t xml:space="preserve">.  </w:t>
      </w:r>
      <w:proofErr w:type="gramEnd"/>
      <w:r w:rsidRPr="00682360">
        <w:t xml:space="preserve">Rebuild and upgrade: an unsealed three kilometre stretch of road from the </w:t>
      </w:r>
      <w:proofErr w:type="spellStart"/>
      <w:r w:rsidRPr="00682360">
        <w:t>Pondalowie</w:t>
      </w:r>
      <w:proofErr w:type="spellEnd"/>
      <w:r w:rsidRPr="00682360">
        <w:t xml:space="preserve"> Bay Surf Break Car Park to Shell Beach; and the access road into Dolphin Bay in Innes National Park.</w:t>
      </w:r>
    </w:p>
    <w:p w14:paraId="43E8C935" w14:textId="087EC180" w:rsidR="002E3FD6" w:rsidRDefault="00981DC7" w:rsidP="002E3FD6">
      <w:pPr>
        <w:pStyle w:val="Normalnumbered"/>
        <w:numPr>
          <w:ilvl w:val="0"/>
          <w:numId w:val="0"/>
        </w:numPr>
        <w:tabs>
          <w:tab w:val="left" w:pos="567"/>
        </w:tabs>
        <w:ind w:left="567" w:hanging="567"/>
        <w:jc w:val="left"/>
      </w:pPr>
      <w:r>
        <w:t>A2.</w:t>
      </w:r>
      <w:r>
        <w:tab/>
      </w:r>
      <w:r w:rsidR="00964D0B" w:rsidRPr="00981DC7">
        <w:t>Table 1 summari</w:t>
      </w:r>
      <w:r>
        <w:t>s</w:t>
      </w:r>
      <w:r w:rsidR="00964D0B" w:rsidRPr="00981DC7">
        <w:t xml:space="preserve">es the milestones for </w:t>
      </w:r>
      <w:r w:rsidR="001243DF" w:rsidRPr="00767A9E">
        <w:rPr>
          <w:color w:val="auto"/>
        </w:rPr>
        <w:t>agreed projects</w:t>
      </w:r>
      <w:r w:rsidR="00964D0B" w:rsidRPr="00981DC7">
        <w:t xml:space="preserve">, their relationship to the outputs, expected completion dates, relevant reporting dates and expected payments to be made.  The Commonwealth will make </w:t>
      </w:r>
      <w:r w:rsidR="004551D4">
        <w:t>the payment</w:t>
      </w:r>
      <w:r w:rsidR="00964D0B" w:rsidRPr="00981DC7">
        <w:t xml:space="preserve"> subject to the annual performance report demonstrating that relevant milestones have been met.</w:t>
      </w:r>
    </w:p>
    <w:p w14:paraId="5950DFFE" w14:textId="77777777" w:rsidR="002767B8" w:rsidRDefault="002E3FD6" w:rsidP="002E3FD6">
      <w:pPr>
        <w:pStyle w:val="Normalnumbered"/>
        <w:numPr>
          <w:ilvl w:val="0"/>
          <w:numId w:val="0"/>
        </w:numPr>
        <w:tabs>
          <w:tab w:val="left" w:pos="567"/>
        </w:tabs>
        <w:ind w:left="567" w:hanging="567"/>
        <w:jc w:val="left"/>
      </w:pPr>
      <w:r>
        <w:t>A3.</w:t>
      </w:r>
      <w:r>
        <w:tab/>
      </w:r>
      <w:r w:rsidRPr="00631CDA">
        <w:t xml:space="preserve">This </w:t>
      </w:r>
      <w:r>
        <w:t>S</w:t>
      </w:r>
      <w:r w:rsidRPr="00631CDA">
        <w:t>chedule will be varied from time to time to include additional projects</w:t>
      </w:r>
      <w:r w:rsidR="002767B8">
        <w:t xml:space="preserve"> up to the maximum estimated Commonwealth financial contribution</w:t>
      </w:r>
      <w:r w:rsidRPr="00631CDA">
        <w:t>, subject to the written agreement of Commonwealth and State portfolio ministers, in accordance with clause 22 of this Agreement.</w:t>
      </w:r>
    </w:p>
    <w:p w14:paraId="53EBCA9A" w14:textId="0B82380F" w:rsidR="00964D0B" w:rsidRDefault="002767B8" w:rsidP="002E3FD6">
      <w:pPr>
        <w:pStyle w:val="Normalnumbered"/>
        <w:numPr>
          <w:ilvl w:val="0"/>
          <w:numId w:val="0"/>
        </w:numPr>
        <w:tabs>
          <w:tab w:val="left" w:pos="567"/>
        </w:tabs>
        <w:ind w:left="567" w:hanging="567"/>
        <w:jc w:val="left"/>
      </w:pPr>
      <w:r>
        <w:t>A4.</w:t>
      </w:r>
      <w:r>
        <w:tab/>
      </w:r>
      <w:r w:rsidR="002E3FD6">
        <w:t xml:space="preserve">Where additional projects are agreed, Table 1 will be varied to include those projects and associated milestones and </w:t>
      </w:r>
      <w:r w:rsidR="00DF5D36">
        <w:t>payments.  Milestone</w:t>
      </w:r>
      <w:r w:rsidR="00061477">
        <w:t xml:space="preserve"> payments</w:t>
      </w:r>
      <w:r w:rsidR="00DF5D36">
        <w:t xml:space="preserve"> for additional projects will require demonstration, </w:t>
      </w:r>
      <w:r w:rsidR="00DF5D36" w:rsidRPr="00631CDA">
        <w:t xml:space="preserve">through provision of a progress report, that scheduled stages for </w:t>
      </w:r>
      <w:r w:rsidR="00DF5D36">
        <w:t>those</w:t>
      </w:r>
      <w:r w:rsidR="00DF5D36" w:rsidRPr="00631CDA">
        <w:t xml:space="preserve"> project</w:t>
      </w:r>
      <w:r w:rsidR="00DF5D36">
        <w:t>s</w:t>
      </w:r>
      <w:r w:rsidR="00DF5D36" w:rsidRPr="00631CDA">
        <w:t xml:space="preserve"> have been completed</w:t>
      </w:r>
      <w:r w:rsidR="00DF5D36">
        <w:t xml:space="preserve"> and that all previously agreed projects that were scheduled to be completed, have been completed within agreed timeframes.</w:t>
      </w:r>
      <w:r w:rsidR="00767A9E">
        <w:t xml:space="preserve">  Milestones for additional projects will be worded in accordance with this clause</w:t>
      </w:r>
      <w:r w:rsidR="00061477">
        <w:t xml:space="preserve">. </w:t>
      </w:r>
    </w:p>
    <w:p w14:paraId="54C1B019" w14:textId="427CCF63" w:rsidR="007B50EA" w:rsidRDefault="007B50EA" w:rsidP="007B50EA">
      <w:pPr>
        <w:pStyle w:val="Normalnumbered"/>
        <w:numPr>
          <w:ilvl w:val="0"/>
          <w:numId w:val="0"/>
        </w:numPr>
        <w:tabs>
          <w:tab w:val="left" w:pos="567"/>
        </w:tabs>
        <w:ind w:left="567" w:hanging="567"/>
        <w:jc w:val="left"/>
      </w:pPr>
      <w:r>
        <w:t>A5.</w:t>
      </w:r>
      <w:r>
        <w:tab/>
      </w:r>
      <w:r w:rsidRPr="00981DC7">
        <w:t xml:space="preserve">If a milestone is met in advance of the due date, where the relevant performance report demonstrates the milestone has been met, the Commonwealth may make the associated payment earlier than scheduled provided it falls within the same financial year as the original milestone date. </w:t>
      </w:r>
    </w:p>
    <w:p w14:paraId="17C8557B" w14:textId="77777777" w:rsidR="00981DC7" w:rsidRDefault="00981DC7" w:rsidP="00981DC7">
      <w:pPr>
        <w:pStyle w:val="Normalnumbered"/>
        <w:keepNext/>
        <w:numPr>
          <w:ilvl w:val="0"/>
          <w:numId w:val="0"/>
        </w:numPr>
        <w:ind w:left="360" w:hanging="360"/>
        <w:rPr>
          <w:b/>
        </w:rPr>
      </w:pPr>
      <w:r w:rsidRPr="001D3CAD">
        <w:rPr>
          <w:b/>
        </w:rPr>
        <w:lastRenderedPageBreak/>
        <w:t xml:space="preserve">Table </w:t>
      </w:r>
      <w:r>
        <w:rPr>
          <w:b/>
        </w:rPr>
        <w:t>1</w:t>
      </w:r>
      <w:r w:rsidRPr="001D3CAD">
        <w:t xml:space="preserve">: </w:t>
      </w:r>
      <w:r>
        <w:rPr>
          <w:b/>
        </w:rPr>
        <w:t>Performance requirements</w:t>
      </w:r>
      <w:r w:rsidRPr="001D3CAD">
        <w:rPr>
          <w:b/>
        </w:rPr>
        <w:t>, reporting and payment summary</w:t>
      </w: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35"/>
        <w:gridCol w:w="3402"/>
        <w:gridCol w:w="1984"/>
        <w:gridCol w:w="1985"/>
      </w:tblGrid>
      <w:tr w:rsidR="00964D0B" w:rsidRPr="00C26C5B" w14:paraId="2CA5B4DE" w14:textId="77777777" w:rsidTr="00A31E57">
        <w:trPr>
          <w:trHeight w:val="1171"/>
        </w:trPr>
        <w:tc>
          <w:tcPr>
            <w:tcW w:w="2235" w:type="dxa"/>
            <w:tcBorders>
              <w:bottom w:val="single" w:sz="18" w:space="0" w:color="4F81BD"/>
            </w:tcBorders>
            <w:shd w:val="clear" w:color="auto" w:fill="C6D9F1" w:themeFill="text2" w:themeFillTint="33"/>
          </w:tcPr>
          <w:p w14:paraId="7B8419DC" w14:textId="77777777" w:rsidR="00964D0B" w:rsidRPr="00C26C5B" w:rsidRDefault="00964D0B" w:rsidP="00964D0B">
            <w:pPr>
              <w:pStyle w:val="Heading2"/>
              <w:rPr>
                <w:bCs w:val="0"/>
                <w:sz w:val="24"/>
                <w:szCs w:val="24"/>
              </w:rPr>
            </w:pPr>
            <w:r w:rsidRPr="00C26C5B">
              <w:rPr>
                <w:bCs w:val="0"/>
                <w:sz w:val="24"/>
                <w:szCs w:val="24"/>
              </w:rPr>
              <w:t>Output</w:t>
            </w:r>
            <w:r>
              <w:rPr>
                <w:bCs w:val="0"/>
                <w:sz w:val="24"/>
                <w:szCs w:val="24"/>
              </w:rPr>
              <w:t>s</w:t>
            </w:r>
            <w:r>
              <w:rPr>
                <w:bCs w:val="0"/>
                <w:sz w:val="24"/>
                <w:szCs w:val="24"/>
              </w:rPr>
              <w:br/>
            </w:r>
          </w:p>
        </w:tc>
        <w:tc>
          <w:tcPr>
            <w:tcW w:w="3402" w:type="dxa"/>
            <w:tcBorders>
              <w:bottom w:val="single" w:sz="18" w:space="0" w:color="4F81BD"/>
            </w:tcBorders>
            <w:shd w:val="clear" w:color="auto" w:fill="C6D9F1" w:themeFill="text2" w:themeFillTint="33"/>
          </w:tcPr>
          <w:p w14:paraId="15E10662" w14:textId="1DAD42D6" w:rsidR="00964D0B" w:rsidRPr="00C26C5B" w:rsidRDefault="002E3FD6" w:rsidP="00964D0B">
            <w:pPr>
              <w:pStyle w:val="Heading2"/>
              <w:rPr>
                <w:bCs w:val="0"/>
                <w:sz w:val="24"/>
                <w:szCs w:val="24"/>
              </w:rPr>
            </w:pPr>
            <w:r>
              <w:rPr>
                <w:bCs w:val="0"/>
                <w:sz w:val="24"/>
                <w:szCs w:val="24"/>
              </w:rPr>
              <w:t>M</w:t>
            </w:r>
            <w:r w:rsidR="00964D0B" w:rsidRPr="00C26C5B">
              <w:rPr>
                <w:bCs w:val="0"/>
                <w:sz w:val="24"/>
                <w:szCs w:val="24"/>
              </w:rPr>
              <w:t>ilestone</w:t>
            </w:r>
            <w:r w:rsidR="00964D0B" w:rsidRPr="00A9341B">
              <w:rPr>
                <w:bCs w:val="0"/>
                <w:sz w:val="24"/>
                <w:szCs w:val="24"/>
              </w:rPr>
              <w:t>s</w:t>
            </w:r>
          </w:p>
        </w:tc>
        <w:tc>
          <w:tcPr>
            <w:tcW w:w="1984" w:type="dxa"/>
            <w:tcBorders>
              <w:bottom w:val="single" w:sz="18" w:space="0" w:color="4F81BD"/>
            </w:tcBorders>
            <w:shd w:val="clear" w:color="auto" w:fill="C6D9F1" w:themeFill="text2" w:themeFillTint="33"/>
          </w:tcPr>
          <w:p w14:paraId="74BEA202" w14:textId="77777777" w:rsidR="00964D0B" w:rsidRPr="00D0312C" w:rsidRDefault="00964D0B" w:rsidP="00436448">
            <w:pPr>
              <w:pStyle w:val="Heading2"/>
              <w:rPr>
                <w:sz w:val="18"/>
                <w:szCs w:val="18"/>
              </w:rPr>
            </w:pPr>
            <w:r w:rsidRPr="00DE36EB">
              <w:rPr>
                <w:bCs w:val="0"/>
                <w:sz w:val="24"/>
                <w:szCs w:val="24"/>
              </w:rPr>
              <w:t>Report due</w:t>
            </w:r>
            <w:r>
              <w:rPr>
                <w:bCs w:val="0"/>
                <w:sz w:val="24"/>
                <w:szCs w:val="24"/>
              </w:rPr>
              <w:t xml:space="preserve"> </w:t>
            </w:r>
          </w:p>
        </w:tc>
        <w:tc>
          <w:tcPr>
            <w:tcW w:w="1985" w:type="dxa"/>
            <w:tcBorders>
              <w:bottom w:val="single" w:sz="18" w:space="0" w:color="4F81BD"/>
            </w:tcBorders>
            <w:shd w:val="clear" w:color="auto" w:fill="C6D9F1" w:themeFill="text2" w:themeFillTint="33"/>
          </w:tcPr>
          <w:p w14:paraId="505A20B6" w14:textId="77777777" w:rsidR="00964D0B" w:rsidRPr="00C26C5B" w:rsidRDefault="00964D0B" w:rsidP="00436448">
            <w:pPr>
              <w:pStyle w:val="Heading2"/>
              <w:rPr>
                <w:bCs w:val="0"/>
                <w:sz w:val="24"/>
                <w:szCs w:val="24"/>
              </w:rPr>
            </w:pPr>
            <w:r w:rsidRPr="00C26C5B">
              <w:rPr>
                <w:bCs w:val="0"/>
                <w:sz w:val="24"/>
                <w:szCs w:val="24"/>
              </w:rPr>
              <w:t>Payment</w:t>
            </w:r>
          </w:p>
        </w:tc>
      </w:tr>
      <w:tr w:rsidR="00B238C7" w14:paraId="42E5DB9E" w14:textId="77777777" w:rsidTr="004753C1">
        <w:trPr>
          <w:trHeight w:val="2040"/>
        </w:trPr>
        <w:tc>
          <w:tcPr>
            <w:tcW w:w="2235" w:type="dxa"/>
            <w:tcBorders>
              <w:top w:val="single" w:sz="18" w:space="0" w:color="4F81BD"/>
            </w:tcBorders>
            <w:shd w:val="clear" w:color="auto" w:fill="auto"/>
          </w:tcPr>
          <w:p w14:paraId="4A824B8C" w14:textId="77777777" w:rsidR="00B238C7" w:rsidRDefault="00B238C7" w:rsidP="001B4C00">
            <w:pPr>
              <w:pStyle w:val="Normalnumbered"/>
              <w:ind w:left="0"/>
              <w:jc w:val="left"/>
              <w:rPr>
                <w:b/>
                <w:szCs w:val="23"/>
              </w:rPr>
            </w:pPr>
            <w:r>
              <w:rPr>
                <w:b/>
                <w:szCs w:val="23"/>
              </w:rPr>
              <w:t>2017-18</w:t>
            </w:r>
          </w:p>
          <w:p w14:paraId="5908B34E" w14:textId="03991AAC" w:rsidR="00B238C7" w:rsidRPr="00565E57" w:rsidRDefault="00B238C7" w:rsidP="001B4C00">
            <w:pPr>
              <w:pStyle w:val="Normalnumbered"/>
              <w:ind w:left="0"/>
              <w:jc w:val="left"/>
              <w:rPr>
                <w:b/>
                <w:szCs w:val="23"/>
              </w:rPr>
            </w:pPr>
            <w:r w:rsidRPr="00565E57">
              <w:rPr>
                <w:szCs w:val="23"/>
              </w:rPr>
              <w:t>Projects that deliver tourism demand-driver infrastructure and support Tourism 2020 outcomes.</w:t>
            </w:r>
          </w:p>
        </w:tc>
        <w:tc>
          <w:tcPr>
            <w:tcW w:w="3402" w:type="dxa"/>
            <w:tcBorders>
              <w:top w:val="single" w:sz="18" w:space="0" w:color="4F81BD"/>
            </w:tcBorders>
            <w:shd w:val="clear" w:color="auto" w:fill="auto"/>
          </w:tcPr>
          <w:p w14:paraId="3DD39DC3" w14:textId="37F89DAC" w:rsidR="00B238C7" w:rsidRPr="00565E57" w:rsidRDefault="00B238C7" w:rsidP="00B238C7">
            <w:pPr>
              <w:pStyle w:val="Normalnumbered"/>
              <w:ind w:left="0"/>
              <w:jc w:val="left"/>
              <w:rPr>
                <w:szCs w:val="23"/>
              </w:rPr>
            </w:pPr>
            <w:r w:rsidRPr="00565E57">
              <w:rPr>
                <w:szCs w:val="23"/>
              </w:rPr>
              <w:t xml:space="preserve">Demonstration, through provision of a progress report, that scheduled stages for </w:t>
            </w:r>
            <w:r>
              <w:rPr>
                <w:szCs w:val="23"/>
              </w:rPr>
              <w:t>the</w:t>
            </w:r>
            <w:r w:rsidRPr="00565E57">
              <w:rPr>
                <w:szCs w:val="23"/>
              </w:rPr>
              <w:t xml:space="preserve"> project </w:t>
            </w:r>
            <w:r>
              <w:rPr>
                <w:szCs w:val="23"/>
              </w:rPr>
              <w:t>have been completed for Project 18.</w:t>
            </w:r>
          </w:p>
        </w:tc>
        <w:tc>
          <w:tcPr>
            <w:tcW w:w="1984" w:type="dxa"/>
            <w:tcBorders>
              <w:top w:val="single" w:sz="18" w:space="0" w:color="4F81BD"/>
            </w:tcBorders>
            <w:shd w:val="clear" w:color="auto" w:fill="auto"/>
          </w:tcPr>
          <w:p w14:paraId="7A58274A" w14:textId="34C5C23B" w:rsidR="00B238C7" w:rsidRDefault="00B238C7" w:rsidP="00D57619">
            <w:pPr>
              <w:pStyle w:val="Normalnumbered"/>
              <w:ind w:left="0"/>
              <w:jc w:val="left"/>
              <w:rPr>
                <w:szCs w:val="23"/>
              </w:rPr>
            </w:pPr>
            <w:r>
              <w:rPr>
                <w:szCs w:val="23"/>
              </w:rPr>
              <w:t>17 October 2017</w:t>
            </w:r>
          </w:p>
        </w:tc>
        <w:tc>
          <w:tcPr>
            <w:tcW w:w="1985" w:type="dxa"/>
            <w:tcBorders>
              <w:top w:val="single" w:sz="18" w:space="0" w:color="4F81BD"/>
            </w:tcBorders>
            <w:shd w:val="clear" w:color="auto" w:fill="auto"/>
          </w:tcPr>
          <w:p w14:paraId="22E83FD7" w14:textId="21B91D30" w:rsidR="00B238C7" w:rsidRDefault="00B238C7" w:rsidP="00CF7D41">
            <w:pPr>
              <w:pStyle w:val="Normalnumbered"/>
              <w:numPr>
                <w:ilvl w:val="0"/>
                <w:numId w:val="0"/>
              </w:numPr>
              <w:jc w:val="left"/>
              <w:rPr>
                <w:szCs w:val="23"/>
              </w:rPr>
            </w:pPr>
            <w:r>
              <w:rPr>
                <w:szCs w:val="23"/>
              </w:rPr>
              <w:t>$350,000</w:t>
            </w:r>
          </w:p>
        </w:tc>
      </w:tr>
      <w:tr w:rsidR="001B4C00" w14:paraId="4161A0EE" w14:textId="77777777" w:rsidTr="004753C1">
        <w:trPr>
          <w:trHeight w:val="2040"/>
        </w:trPr>
        <w:tc>
          <w:tcPr>
            <w:tcW w:w="2235" w:type="dxa"/>
            <w:tcBorders>
              <w:top w:val="single" w:sz="18" w:space="0" w:color="4F81BD"/>
            </w:tcBorders>
            <w:shd w:val="clear" w:color="auto" w:fill="auto"/>
          </w:tcPr>
          <w:p w14:paraId="44043A0F" w14:textId="216CEAAD" w:rsidR="001B4C00" w:rsidRPr="00565E57" w:rsidRDefault="001B4C00" w:rsidP="001B4C00">
            <w:pPr>
              <w:pStyle w:val="Normalnumbered"/>
              <w:ind w:left="0"/>
              <w:jc w:val="left"/>
              <w:rPr>
                <w:b/>
                <w:szCs w:val="23"/>
              </w:rPr>
            </w:pPr>
            <w:r w:rsidRPr="00565E57">
              <w:rPr>
                <w:b/>
                <w:szCs w:val="23"/>
              </w:rPr>
              <w:t>2016</w:t>
            </w:r>
            <w:r>
              <w:rPr>
                <w:b/>
                <w:szCs w:val="23"/>
              </w:rPr>
              <w:t>-17</w:t>
            </w:r>
          </w:p>
          <w:p w14:paraId="242CFDE0" w14:textId="71342631" w:rsidR="001B4C00" w:rsidRPr="00565E57" w:rsidRDefault="001B4C00" w:rsidP="001B4C00">
            <w:pPr>
              <w:pStyle w:val="Normalnumbered"/>
              <w:ind w:left="0"/>
              <w:jc w:val="left"/>
              <w:rPr>
                <w:b/>
                <w:szCs w:val="23"/>
              </w:rPr>
            </w:pPr>
            <w:r w:rsidRPr="00565E57">
              <w:rPr>
                <w:szCs w:val="23"/>
              </w:rPr>
              <w:t>Projects that deliver tourism demand-driver infrastructure and support Tourism 2020 outcomes.</w:t>
            </w:r>
          </w:p>
        </w:tc>
        <w:tc>
          <w:tcPr>
            <w:tcW w:w="3402" w:type="dxa"/>
            <w:tcBorders>
              <w:top w:val="single" w:sz="18" w:space="0" w:color="4F81BD"/>
            </w:tcBorders>
            <w:shd w:val="clear" w:color="auto" w:fill="auto"/>
          </w:tcPr>
          <w:p w14:paraId="6D142DEC" w14:textId="6CFD2700" w:rsidR="001B4C00" w:rsidRPr="00565E57" w:rsidRDefault="001B4C00" w:rsidP="003A3A8D">
            <w:pPr>
              <w:pStyle w:val="Normalnumbered"/>
              <w:ind w:left="0"/>
              <w:jc w:val="left"/>
              <w:rPr>
                <w:szCs w:val="23"/>
              </w:rPr>
            </w:pPr>
            <w:r w:rsidRPr="00565E57">
              <w:rPr>
                <w:szCs w:val="23"/>
              </w:rPr>
              <w:t>Demonstration, through provision of a progress report, that scheduled stages for each project have been completed for Projects</w:t>
            </w:r>
            <w:r>
              <w:rPr>
                <w:szCs w:val="23"/>
              </w:rPr>
              <w:t xml:space="preserve"> 14 to 17.</w:t>
            </w:r>
          </w:p>
        </w:tc>
        <w:tc>
          <w:tcPr>
            <w:tcW w:w="1984" w:type="dxa"/>
            <w:tcBorders>
              <w:top w:val="single" w:sz="18" w:space="0" w:color="4F81BD"/>
            </w:tcBorders>
            <w:shd w:val="clear" w:color="auto" w:fill="auto"/>
          </w:tcPr>
          <w:p w14:paraId="3A32B5BD" w14:textId="5A10283C" w:rsidR="001B4C00" w:rsidRPr="00565E57" w:rsidRDefault="00D57619" w:rsidP="00D57619">
            <w:pPr>
              <w:pStyle w:val="Normalnumbered"/>
              <w:ind w:left="0"/>
              <w:jc w:val="left"/>
              <w:rPr>
                <w:szCs w:val="23"/>
              </w:rPr>
            </w:pPr>
            <w:r>
              <w:rPr>
                <w:szCs w:val="23"/>
              </w:rPr>
              <w:t>20 April 2017</w:t>
            </w:r>
          </w:p>
        </w:tc>
        <w:tc>
          <w:tcPr>
            <w:tcW w:w="1985" w:type="dxa"/>
            <w:tcBorders>
              <w:top w:val="single" w:sz="18" w:space="0" w:color="4F81BD"/>
            </w:tcBorders>
            <w:shd w:val="clear" w:color="auto" w:fill="auto"/>
          </w:tcPr>
          <w:p w14:paraId="4672E901" w14:textId="38E46961" w:rsidR="001B4C00" w:rsidRPr="00CF7D41" w:rsidRDefault="00D57619" w:rsidP="00CF7D41">
            <w:pPr>
              <w:pStyle w:val="Normalnumbered"/>
              <w:numPr>
                <w:ilvl w:val="0"/>
                <w:numId w:val="0"/>
              </w:numPr>
              <w:jc w:val="left"/>
              <w:rPr>
                <w:szCs w:val="23"/>
              </w:rPr>
            </w:pPr>
            <w:r>
              <w:rPr>
                <w:szCs w:val="23"/>
              </w:rPr>
              <w:t>$988,825</w:t>
            </w:r>
          </w:p>
        </w:tc>
      </w:tr>
      <w:tr w:rsidR="00CF7D41" w14:paraId="383EBAF9" w14:textId="77777777" w:rsidTr="004753C1">
        <w:trPr>
          <w:trHeight w:val="2040"/>
        </w:trPr>
        <w:tc>
          <w:tcPr>
            <w:tcW w:w="2235" w:type="dxa"/>
            <w:tcBorders>
              <w:top w:val="single" w:sz="18" w:space="0" w:color="4F81BD"/>
            </w:tcBorders>
            <w:shd w:val="clear" w:color="auto" w:fill="auto"/>
          </w:tcPr>
          <w:p w14:paraId="58EAF5DF" w14:textId="77777777" w:rsidR="00CF7D41" w:rsidRPr="00565E57" w:rsidRDefault="00CF7D41" w:rsidP="00602741">
            <w:pPr>
              <w:pStyle w:val="Normalnumbered"/>
              <w:ind w:left="0"/>
              <w:jc w:val="left"/>
              <w:rPr>
                <w:b/>
                <w:szCs w:val="23"/>
              </w:rPr>
            </w:pPr>
            <w:r w:rsidRPr="00565E57">
              <w:rPr>
                <w:b/>
                <w:szCs w:val="23"/>
              </w:rPr>
              <w:t>2015-16</w:t>
            </w:r>
          </w:p>
          <w:p w14:paraId="6F1E6372" w14:textId="5C5F057D" w:rsidR="00CF7D41" w:rsidRPr="00565E57" w:rsidRDefault="00CF7D41" w:rsidP="00A31E57">
            <w:pPr>
              <w:pStyle w:val="Normalnumbered"/>
              <w:ind w:left="0"/>
              <w:jc w:val="left"/>
              <w:rPr>
                <w:szCs w:val="23"/>
              </w:rPr>
            </w:pPr>
            <w:r w:rsidRPr="00565E57">
              <w:rPr>
                <w:szCs w:val="23"/>
              </w:rPr>
              <w:t>Projects that deliver tourism demand-driver infrastructure and support Tourism 2020 outcomes.</w:t>
            </w:r>
          </w:p>
        </w:tc>
        <w:tc>
          <w:tcPr>
            <w:tcW w:w="3402" w:type="dxa"/>
            <w:tcBorders>
              <w:top w:val="single" w:sz="18" w:space="0" w:color="4F81BD"/>
            </w:tcBorders>
            <w:shd w:val="clear" w:color="auto" w:fill="auto"/>
          </w:tcPr>
          <w:p w14:paraId="7BDA032C" w14:textId="40695762" w:rsidR="00CF7D41" w:rsidRPr="00565E57" w:rsidRDefault="00CF7D41" w:rsidP="003A3A8D">
            <w:pPr>
              <w:pStyle w:val="Normalnumbered"/>
              <w:ind w:left="0"/>
              <w:jc w:val="left"/>
              <w:rPr>
                <w:szCs w:val="23"/>
              </w:rPr>
            </w:pPr>
            <w:r w:rsidRPr="00565E57">
              <w:rPr>
                <w:szCs w:val="23"/>
              </w:rPr>
              <w:t xml:space="preserve">Demonstration, through provision of a progress report, that scheduled stages for each project have been completed for Projects </w:t>
            </w:r>
            <w:r>
              <w:rPr>
                <w:szCs w:val="23"/>
              </w:rPr>
              <w:t>5 to 13.</w:t>
            </w:r>
          </w:p>
        </w:tc>
        <w:tc>
          <w:tcPr>
            <w:tcW w:w="1984" w:type="dxa"/>
            <w:tcBorders>
              <w:top w:val="single" w:sz="18" w:space="0" w:color="4F81BD"/>
            </w:tcBorders>
            <w:shd w:val="clear" w:color="auto" w:fill="auto"/>
          </w:tcPr>
          <w:p w14:paraId="75B8AB70" w14:textId="47C1421F" w:rsidR="00CF7D41" w:rsidRPr="00565E57" w:rsidRDefault="00CF7D41" w:rsidP="00602741">
            <w:pPr>
              <w:pStyle w:val="Normalnumbered"/>
              <w:ind w:left="0"/>
              <w:jc w:val="left"/>
              <w:rPr>
                <w:szCs w:val="23"/>
              </w:rPr>
            </w:pPr>
            <w:r w:rsidRPr="00565E57">
              <w:rPr>
                <w:szCs w:val="23"/>
              </w:rPr>
              <w:t>20 April 2016</w:t>
            </w:r>
          </w:p>
        </w:tc>
        <w:tc>
          <w:tcPr>
            <w:tcW w:w="1985" w:type="dxa"/>
            <w:tcBorders>
              <w:top w:val="single" w:sz="18" w:space="0" w:color="4F81BD"/>
            </w:tcBorders>
            <w:shd w:val="clear" w:color="auto" w:fill="auto"/>
          </w:tcPr>
          <w:p w14:paraId="4895DCA6" w14:textId="7EA76F48" w:rsidR="00CF7D41" w:rsidRPr="00CF7D41" w:rsidRDefault="00CF7D41" w:rsidP="00CF7D41">
            <w:pPr>
              <w:pStyle w:val="Normalnumbered"/>
              <w:numPr>
                <w:ilvl w:val="0"/>
                <w:numId w:val="0"/>
              </w:numPr>
              <w:jc w:val="left"/>
              <w:rPr>
                <w:szCs w:val="23"/>
              </w:rPr>
            </w:pPr>
            <w:r w:rsidRPr="00CF7D41">
              <w:rPr>
                <w:szCs w:val="23"/>
              </w:rPr>
              <w:t>$988,825</w:t>
            </w:r>
          </w:p>
        </w:tc>
      </w:tr>
      <w:tr w:rsidR="00246FFD" w14:paraId="0D0277AC" w14:textId="77777777" w:rsidTr="00A31E57">
        <w:trPr>
          <w:trHeight w:val="815"/>
        </w:trPr>
        <w:tc>
          <w:tcPr>
            <w:tcW w:w="2235" w:type="dxa"/>
            <w:vMerge w:val="restart"/>
            <w:tcBorders>
              <w:top w:val="single" w:sz="18" w:space="0" w:color="4F81BD"/>
            </w:tcBorders>
            <w:shd w:val="clear" w:color="auto" w:fill="auto"/>
          </w:tcPr>
          <w:p w14:paraId="282CC769" w14:textId="58EAC6AF" w:rsidR="003A3A8D" w:rsidRDefault="003A3A8D" w:rsidP="00246FFD">
            <w:pPr>
              <w:pStyle w:val="Normalnumbered"/>
              <w:ind w:left="0"/>
              <w:jc w:val="left"/>
            </w:pPr>
            <w:r>
              <w:rPr>
                <w:b/>
              </w:rPr>
              <w:t>2014-15</w:t>
            </w:r>
          </w:p>
          <w:p w14:paraId="1F999B30" w14:textId="0551A4D2" w:rsidR="00246FFD" w:rsidRDefault="00246FFD" w:rsidP="00246FFD">
            <w:pPr>
              <w:pStyle w:val="Normalnumbered"/>
              <w:ind w:left="0"/>
              <w:jc w:val="left"/>
            </w:pPr>
            <w:r>
              <w:t>Projects that deliver tourism demand-driver infrastructure and support Tourism 2020 outcomes.</w:t>
            </w:r>
          </w:p>
        </w:tc>
        <w:tc>
          <w:tcPr>
            <w:tcW w:w="3402" w:type="dxa"/>
            <w:tcBorders>
              <w:top w:val="single" w:sz="18" w:space="0" w:color="4F81BD"/>
              <w:bottom w:val="single" w:sz="8" w:space="0" w:color="4F81BD"/>
            </w:tcBorders>
            <w:shd w:val="clear" w:color="auto" w:fill="auto"/>
          </w:tcPr>
          <w:p w14:paraId="62E33124" w14:textId="71128729" w:rsidR="00246FFD" w:rsidRPr="00964D0B" w:rsidRDefault="00246FFD" w:rsidP="00246FFD">
            <w:pPr>
              <w:pStyle w:val="Normalnumbered"/>
              <w:numPr>
                <w:ilvl w:val="0"/>
                <w:numId w:val="0"/>
              </w:numPr>
              <w:jc w:val="left"/>
            </w:pPr>
            <w:r>
              <w:t xml:space="preserve">Initial contribution to support implementation of projects </w:t>
            </w:r>
          </w:p>
        </w:tc>
        <w:tc>
          <w:tcPr>
            <w:tcW w:w="1984" w:type="dxa"/>
            <w:tcBorders>
              <w:top w:val="single" w:sz="18" w:space="0" w:color="4F81BD"/>
              <w:bottom w:val="single" w:sz="8" w:space="0" w:color="4F81BD"/>
            </w:tcBorders>
            <w:shd w:val="clear" w:color="auto" w:fill="auto"/>
          </w:tcPr>
          <w:p w14:paraId="40E10E77" w14:textId="775DD961" w:rsidR="00246FFD" w:rsidRPr="00964D0B" w:rsidRDefault="00246FFD" w:rsidP="00246FFD">
            <w:pPr>
              <w:pStyle w:val="Normalnumbered"/>
              <w:numPr>
                <w:ilvl w:val="0"/>
                <w:numId w:val="0"/>
              </w:numPr>
              <w:jc w:val="left"/>
            </w:pPr>
            <w:r>
              <w:t>26 March 2015</w:t>
            </w:r>
          </w:p>
        </w:tc>
        <w:tc>
          <w:tcPr>
            <w:tcW w:w="1985" w:type="dxa"/>
            <w:tcBorders>
              <w:top w:val="single" w:sz="18" w:space="0" w:color="4F81BD"/>
              <w:bottom w:val="single" w:sz="8" w:space="0" w:color="4F81BD"/>
            </w:tcBorders>
            <w:shd w:val="clear" w:color="auto" w:fill="auto"/>
          </w:tcPr>
          <w:p w14:paraId="14F4C3A6" w14:textId="72956F97" w:rsidR="00246FFD" w:rsidRDefault="00246FFD" w:rsidP="00246FFD">
            <w:pPr>
              <w:pStyle w:val="Normalnumbered"/>
              <w:numPr>
                <w:ilvl w:val="0"/>
                <w:numId w:val="0"/>
              </w:numPr>
              <w:jc w:val="left"/>
            </w:pPr>
            <w:r w:rsidRPr="00D82DA2">
              <w:t>$203</w:t>
            </w:r>
            <w:r>
              <w:t>,870</w:t>
            </w:r>
          </w:p>
        </w:tc>
      </w:tr>
      <w:tr w:rsidR="00246FFD" w14:paraId="2C7469A3" w14:textId="77777777" w:rsidTr="00A31E57">
        <w:trPr>
          <w:trHeight w:val="815"/>
        </w:trPr>
        <w:tc>
          <w:tcPr>
            <w:tcW w:w="2235" w:type="dxa"/>
            <w:vMerge/>
            <w:shd w:val="clear" w:color="auto" w:fill="auto"/>
          </w:tcPr>
          <w:p w14:paraId="6C187ED0" w14:textId="75B6F0C1" w:rsidR="00246FFD" w:rsidRPr="00C26C5B" w:rsidRDefault="00246FFD" w:rsidP="00246FFD">
            <w:pPr>
              <w:pStyle w:val="Normalnumbered"/>
              <w:numPr>
                <w:ilvl w:val="0"/>
                <w:numId w:val="0"/>
              </w:numPr>
              <w:jc w:val="left"/>
              <w:rPr>
                <w:b/>
                <w:bCs/>
                <w:szCs w:val="23"/>
              </w:rPr>
            </w:pPr>
          </w:p>
        </w:tc>
        <w:tc>
          <w:tcPr>
            <w:tcW w:w="3402" w:type="dxa"/>
            <w:tcBorders>
              <w:top w:val="single" w:sz="18" w:space="0" w:color="4F81BD"/>
              <w:bottom w:val="single" w:sz="8" w:space="0" w:color="4F81BD"/>
            </w:tcBorders>
            <w:shd w:val="clear" w:color="auto" w:fill="auto"/>
          </w:tcPr>
          <w:p w14:paraId="02C5ED6C" w14:textId="5928780F" w:rsidR="00246FFD" w:rsidRPr="00964D0B" w:rsidRDefault="00246FFD" w:rsidP="00246FFD">
            <w:pPr>
              <w:pStyle w:val="Normalnumbered"/>
              <w:numPr>
                <w:ilvl w:val="0"/>
                <w:numId w:val="0"/>
              </w:numPr>
              <w:jc w:val="left"/>
            </w:pPr>
            <w:r w:rsidRPr="00767A9E">
              <w:t>Demonstration, through provision of a progress report, that scheduled stages for each project have been completed</w:t>
            </w:r>
            <w:r>
              <w:t xml:space="preserve"> for </w:t>
            </w:r>
            <w:r w:rsidRPr="00D82DA2">
              <w:t>Projects 1 to 4.</w:t>
            </w:r>
            <w:r w:rsidRPr="00172402">
              <w:rPr>
                <w:sz w:val="20"/>
              </w:rPr>
              <w:t xml:space="preserve"> </w:t>
            </w:r>
          </w:p>
        </w:tc>
        <w:tc>
          <w:tcPr>
            <w:tcW w:w="1984" w:type="dxa"/>
            <w:tcBorders>
              <w:top w:val="single" w:sz="18" w:space="0" w:color="4F81BD"/>
              <w:bottom w:val="single" w:sz="8" w:space="0" w:color="4F81BD"/>
            </w:tcBorders>
            <w:shd w:val="clear" w:color="auto" w:fill="auto"/>
          </w:tcPr>
          <w:p w14:paraId="7E320573" w14:textId="18154522" w:rsidR="00246FFD" w:rsidRPr="00964D0B" w:rsidRDefault="00246FFD" w:rsidP="00246FFD">
            <w:pPr>
              <w:pStyle w:val="Normalnumbered"/>
              <w:numPr>
                <w:ilvl w:val="0"/>
                <w:numId w:val="0"/>
              </w:numPr>
              <w:jc w:val="left"/>
            </w:pPr>
            <w:r>
              <w:t>22</w:t>
            </w:r>
            <w:r w:rsidRPr="00964D0B">
              <w:t xml:space="preserve"> </w:t>
            </w:r>
            <w:r>
              <w:t xml:space="preserve">April </w:t>
            </w:r>
            <w:r w:rsidRPr="00964D0B">
              <w:t>2015</w:t>
            </w:r>
          </w:p>
        </w:tc>
        <w:tc>
          <w:tcPr>
            <w:tcW w:w="1985" w:type="dxa"/>
            <w:tcBorders>
              <w:top w:val="single" w:sz="18" w:space="0" w:color="4F81BD"/>
              <w:bottom w:val="single" w:sz="8" w:space="0" w:color="4F81BD"/>
            </w:tcBorders>
            <w:shd w:val="clear" w:color="auto" w:fill="auto"/>
          </w:tcPr>
          <w:p w14:paraId="6007F5FA" w14:textId="2E66574D" w:rsidR="00246FFD" w:rsidRPr="00964D0B" w:rsidRDefault="00246FFD" w:rsidP="00246FFD">
            <w:pPr>
              <w:pStyle w:val="Normalnumbered"/>
              <w:numPr>
                <w:ilvl w:val="0"/>
                <w:numId w:val="0"/>
              </w:numPr>
              <w:jc w:val="left"/>
            </w:pPr>
            <w:r w:rsidRPr="00D82DA2">
              <w:t>$</w:t>
            </w:r>
            <w:r>
              <w:t>815,480</w:t>
            </w:r>
          </w:p>
        </w:tc>
      </w:tr>
    </w:tbl>
    <w:p w14:paraId="6E816089" w14:textId="77777777" w:rsidR="00735FB0" w:rsidRDefault="00735FB0" w:rsidP="00981DC7">
      <w:pPr>
        <w:pStyle w:val="Normalnumbered"/>
        <w:numPr>
          <w:ilvl w:val="0"/>
          <w:numId w:val="0"/>
        </w:numPr>
        <w:jc w:val="left"/>
        <w:sectPr w:rsidR="00735FB0">
          <w:pgSz w:w="11906" w:h="16838"/>
          <w:pgMar w:top="1440" w:right="1440" w:bottom="1440" w:left="1440" w:header="708" w:footer="708" w:gutter="0"/>
          <w:cols w:space="708"/>
          <w:docGrid w:linePitch="360"/>
        </w:sectPr>
      </w:pPr>
    </w:p>
    <w:p w14:paraId="74616B7E" w14:textId="77777777" w:rsidR="00735FB0" w:rsidRPr="00A50751" w:rsidRDefault="00735FB0" w:rsidP="00735FB0">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5000" w:type="pct"/>
        <w:jc w:val="center"/>
        <w:tblLook w:val="01E0" w:firstRow="1" w:lastRow="1" w:firstColumn="1" w:lastColumn="1" w:noHBand="0" w:noVBand="0"/>
      </w:tblPr>
      <w:tblGrid>
        <w:gridCol w:w="8595"/>
        <w:gridCol w:w="539"/>
      </w:tblGrid>
      <w:tr w:rsidR="00735FB0" w:rsidRPr="00A50751" w14:paraId="25DA8A86" w14:textId="77777777" w:rsidTr="00735FB0">
        <w:trPr>
          <w:cantSplit/>
          <w:jc w:val="center"/>
        </w:trPr>
        <w:tc>
          <w:tcPr>
            <w:tcW w:w="4705" w:type="pct"/>
          </w:tcPr>
          <w:p w14:paraId="5865A733" w14:textId="77777777" w:rsidR="00735FB0" w:rsidRPr="004A0AE7" w:rsidRDefault="00735FB0" w:rsidP="00870A4A">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064E0CB7" w14:textId="77777777" w:rsidR="00735FB0" w:rsidRDefault="00735FB0" w:rsidP="00870A4A">
            <w:pPr>
              <w:pStyle w:val="LineForSignature"/>
            </w:pPr>
          </w:p>
          <w:p w14:paraId="373A990B" w14:textId="77777777" w:rsidR="00EC66DB" w:rsidRDefault="00EC66DB" w:rsidP="00870A4A">
            <w:pPr>
              <w:pStyle w:val="LineForSignature"/>
            </w:pPr>
          </w:p>
          <w:p w14:paraId="4ECC350E" w14:textId="77777777" w:rsidR="00735FB0" w:rsidRPr="00A50751" w:rsidRDefault="00735FB0" w:rsidP="00870A4A">
            <w:pPr>
              <w:pStyle w:val="LineForSignature"/>
            </w:pPr>
            <w:r>
              <w:tab/>
            </w:r>
          </w:p>
          <w:p w14:paraId="0B1C38A6" w14:textId="0C27E99A" w:rsidR="00735FB0" w:rsidRDefault="00735FB0" w:rsidP="00870A4A">
            <w:pPr>
              <w:pStyle w:val="SingleParagraph"/>
              <w:rPr>
                <w:rStyle w:val="Bold"/>
              </w:rPr>
            </w:pPr>
            <w:r>
              <w:rPr>
                <w:rStyle w:val="Bold"/>
              </w:rPr>
              <w:t>The Honourable Steven Ciobo MP</w:t>
            </w:r>
          </w:p>
          <w:p w14:paraId="54B5F49F" w14:textId="72397915" w:rsidR="00735FB0" w:rsidRDefault="00735FB0" w:rsidP="00870A4A">
            <w:pPr>
              <w:pStyle w:val="Position"/>
              <w:rPr>
                <w:lang w:val="en-GB"/>
              </w:rPr>
            </w:pPr>
            <w:r>
              <w:rPr>
                <w:lang w:val="en-GB"/>
              </w:rPr>
              <w:t xml:space="preserve">Minister for Trade, Tourism and Investment </w:t>
            </w:r>
          </w:p>
          <w:p w14:paraId="63765A11" w14:textId="440F1B42" w:rsidR="00735FB0" w:rsidRDefault="00735FB0" w:rsidP="0040668A">
            <w:pPr>
              <w:pStyle w:val="SingleParagraph"/>
              <w:tabs>
                <w:tab w:val="num" w:pos="1134"/>
              </w:tabs>
              <w:spacing w:after="240"/>
              <w:ind w:left="1134" w:hanging="567"/>
              <w:rPr>
                <w:b/>
                <w:lang w:val="en-GB"/>
              </w:rPr>
            </w:pPr>
            <w:r>
              <w:rPr>
                <w:lang w:val="en-GB"/>
              </w:rPr>
              <w:t xml:space="preserve"> /       /</w:t>
            </w:r>
            <w:r w:rsidR="00EC66DB">
              <w:rPr>
                <w:lang w:val="en-GB"/>
              </w:rPr>
              <w:t xml:space="preserve"> </w:t>
            </w:r>
            <w:r>
              <w:rPr>
                <w:lang w:val="en-GB"/>
              </w:rPr>
              <w:t>201</w:t>
            </w:r>
            <w:r w:rsidR="0040668A">
              <w:rPr>
                <w:lang w:val="en-GB"/>
              </w:rPr>
              <w:t>7</w:t>
            </w:r>
          </w:p>
        </w:tc>
        <w:tc>
          <w:tcPr>
            <w:tcW w:w="295" w:type="pct"/>
            <w:tcMar>
              <w:left w:w="0" w:type="dxa"/>
              <w:right w:w="0" w:type="dxa"/>
            </w:tcMar>
          </w:tcPr>
          <w:p w14:paraId="4E6A2401" w14:textId="77777777" w:rsidR="00735FB0" w:rsidRPr="00A50751" w:rsidRDefault="00735FB0" w:rsidP="00870A4A">
            <w:pPr>
              <w:rPr>
                <w:rFonts w:ascii="Book Antiqua" w:hAnsi="Book Antiqua"/>
                <w:lang w:val="en-GB"/>
              </w:rPr>
            </w:pPr>
          </w:p>
        </w:tc>
      </w:tr>
      <w:tr w:rsidR="00735FB0" w:rsidRPr="00A50751" w14:paraId="7D49B700" w14:textId="77777777" w:rsidTr="00735FB0">
        <w:trPr>
          <w:cantSplit/>
          <w:jc w:val="center"/>
        </w:trPr>
        <w:tc>
          <w:tcPr>
            <w:tcW w:w="4705" w:type="pct"/>
          </w:tcPr>
          <w:p w14:paraId="7E4F42AD" w14:textId="77777777" w:rsidR="00735FB0" w:rsidRDefault="00735FB0" w:rsidP="00870A4A">
            <w:pPr>
              <w:pStyle w:val="SingleParagraph"/>
              <w:rPr>
                <w:rFonts w:ascii="Book Antiqua" w:hAnsi="Book Antiqua"/>
                <w:lang w:val="en-GB"/>
              </w:rPr>
            </w:pPr>
          </w:p>
          <w:p w14:paraId="7B4A73F0" w14:textId="77777777" w:rsidR="00735FB0" w:rsidRDefault="00735FB0" w:rsidP="00870A4A">
            <w:pPr>
              <w:pStyle w:val="SingleParagraph"/>
              <w:rPr>
                <w:rFonts w:ascii="Book Antiqua" w:hAnsi="Book Antiqua"/>
                <w:lang w:val="en-GB"/>
              </w:rPr>
            </w:pPr>
          </w:p>
          <w:p w14:paraId="724EA583" w14:textId="77777777" w:rsidR="00735FB0" w:rsidRDefault="00735FB0" w:rsidP="00870A4A">
            <w:pPr>
              <w:pStyle w:val="SingleParagraph"/>
              <w:rPr>
                <w:rFonts w:ascii="Book Antiqua" w:hAnsi="Book Antiqua"/>
                <w:lang w:val="en-GB"/>
              </w:rPr>
            </w:pPr>
          </w:p>
          <w:p w14:paraId="5D6D4579" w14:textId="77777777" w:rsidR="00735FB0" w:rsidRDefault="00735FB0" w:rsidP="00870A4A">
            <w:pPr>
              <w:pStyle w:val="SingleParagraph"/>
              <w:rPr>
                <w:rFonts w:ascii="Book Antiqua" w:hAnsi="Book Antiqua"/>
                <w:lang w:val="en-GB"/>
              </w:rPr>
            </w:pPr>
          </w:p>
          <w:p w14:paraId="4A9C92EA" w14:textId="77777777" w:rsidR="00EC66DB" w:rsidRPr="00A50751" w:rsidRDefault="00EC66DB" w:rsidP="00870A4A">
            <w:pPr>
              <w:pStyle w:val="SingleParagraph"/>
              <w:rPr>
                <w:rFonts w:ascii="Book Antiqua" w:hAnsi="Book Antiqua"/>
                <w:lang w:val="en-GB"/>
              </w:rPr>
            </w:pPr>
          </w:p>
        </w:tc>
        <w:tc>
          <w:tcPr>
            <w:tcW w:w="295" w:type="pct"/>
            <w:tcMar>
              <w:left w:w="0" w:type="dxa"/>
              <w:right w:w="0" w:type="dxa"/>
            </w:tcMar>
          </w:tcPr>
          <w:p w14:paraId="73BCF9DD" w14:textId="77777777" w:rsidR="00735FB0" w:rsidRPr="00A50751" w:rsidRDefault="00735FB0" w:rsidP="00870A4A">
            <w:pPr>
              <w:pStyle w:val="SingleParagraph"/>
              <w:rPr>
                <w:rFonts w:ascii="Book Antiqua" w:hAnsi="Book Antiqua"/>
                <w:lang w:val="en-GB"/>
              </w:rPr>
            </w:pPr>
          </w:p>
        </w:tc>
      </w:tr>
      <w:tr w:rsidR="00735FB0" w:rsidRPr="00A50751" w14:paraId="7A019309" w14:textId="77777777" w:rsidTr="00735FB0">
        <w:trPr>
          <w:cantSplit/>
          <w:trHeight w:val="143"/>
          <w:jc w:val="center"/>
        </w:trPr>
        <w:tc>
          <w:tcPr>
            <w:tcW w:w="4705" w:type="pct"/>
          </w:tcPr>
          <w:p w14:paraId="0FFE694C" w14:textId="7346C039" w:rsidR="00735FB0" w:rsidRPr="004A0AE7" w:rsidRDefault="00735FB0" w:rsidP="00735FB0">
            <w:pPr>
              <w:pStyle w:val="Signed"/>
              <w:jc w:val="left"/>
            </w:pPr>
            <w:r w:rsidRPr="00735FB0">
              <w:rPr>
                <w:b/>
                <w:i w:val="0"/>
              </w:rPr>
              <w:t>Signed</w:t>
            </w:r>
            <w:r w:rsidRPr="004A0AE7">
              <w:t xml:space="preserve"> for and on behalf of the</w:t>
            </w:r>
            <w:r>
              <w:t xml:space="preserve"> </w:t>
            </w:r>
            <w:r w:rsidRPr="004A0AE7">
              <w:t>State of South Australia by</w:t>
            </w:r>
          </w:p>
          <w:p w14:paraId="4E307F03" w14:textId="77777777" w:rsidR="00735FB0" w:rsidRDefault="00735FB0" w:rsidP="00870A4A">
            <w:pPr>
              <w:pStyle w:val="LineForSignature"/>
            </w:pPr>
          </w:p>
          <w:p w14:paraId="5E0E15F5" w14:textId="77777777" w:rsidR="00EC66DB" w:rsidRDefault="00EC66DB" w:rsidP="00870A4A">
            <w:pPr>
              <w:pStyle w:val="LineForSignature"/>
            </w:pPr>
          </w:p>
          <w:p w14:paraId="2E1A4A79" w14:textId="77777777" w:rsidR="00735FB0" w:rsidRPr="00A50751" w:rsidRDefault="00735FB0" w:rsidP="00870A4A">
            <w:pPr>
              <w:pStyle w:val="LineForSignature"/>
            </w:pPr>
            <w:r w:rsidRPr="00A50751">
              <w:tab/>
            </w:r>
          </w:p>
          <w:p w14:paraId="41A7D0D5" w14:textId="77777777" w:rsidR="00735FB0" w:rsidRDefault="00735FB0" w:rsidP="00870A4A">
            <w:pPr>
              <w:pStyle w:val="SingleParagraph"/>
              <w:rPr>
                <w:rStyle w:val="Bold"/>
              </w:rPr>
            </w:pPr>
            <w:r>
              <w:rPr>
                <w:rStyle w:val="Bold"/>
              </w:rPr>
              <w:t>The Honourable Leon Bignell MP</w:t>
            </w:r>
          </w:p>
          <w:p w14:paraId="5E036327" w14:textId="77777777" w:rsidR="00735FB0" w:rsidRDefault="00735FB0" w:rsidP="00870A4A">
            <w:pPr>
              <w:pStyle w:val="Position"/>
              <w:rPr>
                <w:lang w:val="en-GB"/>
              </w:rPr>
            </w:pPr>
            <w:r>
              <w:rPr>
                <w:lang w:val="en-GB"/>
              </w:rPr>
              <w:t>Minister for Tourism</w:t>
            </w:r>
          </w:p>
          <w:p w14:paraId="42FFBEF6" w14:textId="011F4976" w:rsidR="00735FB0" w:rsidRPr="00A50751" w:rsidRDefault="00735FB0" w:rsidP="0040668A">
            <w:pPr>
              <w:pStyle w:val="SingleParagraph"/>
              <w:tabs>
                <w:tab w:val="num" w:pos="1134"/>
              </w:tabs>
              <w:spacing w:after="240"/>
              <w:ind w:left="1134" w:hanging="567"/>
              <w:rPr>
                <w:lang w:val="en-GB"/>
              </w:rPr>
            </w:pPr>
            <w:r w:rsidRPr="00B00778" w:rsidDel="00542A8C">
              <w:rPr>
                <w:bCs/>
                <w:lang w:val="en-GB"/>
              </w:rPr>
              <w:t xml:space="preserve">  </w:t>
            </w:r>
            <w:r>
              <w:rPr>
                <w:lang w:val="en-GB"/>
              </w:rPr>
              <w:t xml:space="preserve"> /       / 201</w:t>
            </w:r>
            <w:r w:rsidR="0040668A">
              <w:rPr>
                <w:lang w:val="en-GB"/>
              </w:rPr>
              <w:t>7</w:t>
            </w:r>
          </w:p>
        </w:tc>
        <w:tc>
          <w:tcPr>
            <w:tcW w:w="295" w:type="pct"/>
            <w:tcMar>
              <w:left w:w="0" w:type="dxa"/>
              <w:right w:w="0" w:type="dxa"/>
            </w:tcMar>
          </w:tcPr>
          <w:p w14:paraId="684DBD81" w14:textId="77777777" w:rsidR="00735FB0" w:rsidRPr="00A50751" w:rsidRDefault="00735FB0" w:rsidP="00870A4A">
            <w:pPr>
              <w:rPr>
                <w:rFonts w:ascii="Book Antiqua" w:hAnsi="Book Antiqua"/>
                <w:lang w:val="en-GB"/>
              </w:rPr>
            </w:pPr>
          </w:p>
        </w:tc>
      </w:tr>
      <w:tr w:rsidR="00735FB0" w:rsidRPr="00A50751" w14:paraId="46649899" w14:textId="77777777" w:rsidTr="00735FB0">
        <w:trPr>
          <w:cantSplit/>
          <w:jc w:val="center"/>
        </w:trPr>
        <w:tc>
          <w:tcPr>
            <w:tcW w:w="4705" w:type="pct"/>
          </w:tcPr>
          <w:p w14:paraId="2972C173" w14:textId="77777777" w:rsidR="00735FB0" w:rsidRPr="00A50751" w:rsidRDefault="00735FB0" w:rsidP="00870A4A">
            <w:pPr>
              <w:pStyle w:val="SingleParagraph"/>
              <w:rPr>
                <w:rFonts w:ascii="Book Antiqua" w:hAnsi="Book Antiqua"/>
                <w:lang w:val="en-GB"/>
              </w:rPr>
            </w:pPr>
          </w:p>
        </w:tc>
        <w:tc>
          <w:tcPr>
            <w:tcW w:w="295" w:type="pct"/>
            <w:tcMar>
              <w:left w:w="0" w:type="dxa"/>
              <w:right w:w="0" w:type="dxa"/>
            </w:tcMar>
          </w:tcPr>
          <w:p w14:paraId="327411F3" w14:textId="77777777" w:rsidR="00735FB0" w:rsidRPr="00A50751" w:rsidRDefault="00735FB0" w:rsidP="00870A4A">
            <w:pPr>
              <w:pStyle w:val="SingleParagraph"/>
              <w:rPr>
                <w:rFonts w:ascii="Book Antiqua" w:hAnsi="Book Antiqua"/>
                <w:lang w:val="en-GB"/>
              </w:rPr>
            </w:pPr>
          </w:p>
        </w:tc>
      </w:tr>
    </w:tbl>
    <w:p w14:paraId="7848630B" w14:textId="50AF41EF" w:rsidR="00E363C4" w:rsidRDefault="00D34148" w:rsidP="00981DC7">
      <w:pPr>
        <w:pStyle w:val="Normalnumbered"/>
        <w:numPr>
          <w:ilvl w:val="0"/>
          <w:numId w:val="0"/>
        </w:numPr>
        <w:jc w:val="left"/>
      </w:pPr>
    </w:p>
    <w:sectPr w:rsidR="00E36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A60478C"/>
    <w:multiLevelType w:val="hybridMultilevel"/>
    <w:tmpl w:val="31807146"/>
    <w:lvl w:ilvl="0" w:tplc="E4760E0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EF458A5"/>
    <w:multiLevelType w:val="hybridMultilevel"/>
    <w:tmpl w:val="556EF66A"/>
    <w:lvl w:ilvl="0" w:tplc="2E26C670">
      <w:start w:val="1"/>
      <w:numFmt w:val="lowerRoman"/>
      <w:lvlText w:val="(%1)"/>
      <w:lvlJc w:val="left"/>
      <w:pPr>
        <w:ind w:left="1854" w:hanging="720"/>
      </w:pPr>
      <w:rPr>
        <w:rFonts w:ascii="Corbel" w:hAnsi="Corbel" w:cs="Times New Roman" w:hint="default"/>
        <w:sz w:val="23"/>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15:restartNumberingAfterBreak="0">
    <w:nsid w:val="1BF41060"/>
    <w:multiLevelType w:val="hybridMultilevel"/>
    <w:tmpl w:val="DD3CFCD0"/>
    <w:lvl w:ilvl="0" w:tplc="E4760E08">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361483"/>
    <w:multiLevelType w:val="hybridMultilevel"/>
    <w:tmpl w:val="DD3CFCD0"/>
    <w:lvl w:ilvl="0" w:tplc="E4760E08">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864C4E"/>
    <w:multiLevelType w:val="hybridMultilevel"/>
    <w:tmpl w:val="DD3CFCD0"/>
    <w:lvl w:ilvl="0" w:tplc="E4760E08">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703581"/>
    <w:multiLevelType w:val="hybridMultilevel"/>
    <w:tmpl w:val="8DD810C4"/>
    <w:lvl w:ilvl="0" w:tplc="61C88D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C52AEB"/>
    <w:multiLevelType w:val="hybridMultilevel"/>
    <w:tmpl w:val="FF2E4976"/>
    <w:lvl w:ilvl="0" w:tplc="67CC98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8854AAC"/>
    <w:multiLevelType w:val="hybridMultilevel"/>
    <w:tmpl w:val="BC94F240"/>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 w:numId="8">
    <w:abstractNumId w:val="0"/>
  </w:num>
  <w:num w:numId="9">
    <w:abstractNumId w:val="0"/>
  </w:num>
  <w:num w:numId="10">
    <w:abstractNumId w:val="0"/>
  </w:num>
  <w:num w:numId="11">
    <w:abstractNumId w:val="0"/>
  </w:num>
  <w:num w:numId="12">
    <w:abstractNumId w:val="0"/>
  </w:num>
  <w:num w:numId="13">
    <w:abstractNumId w:val="0"/>
  </w:num>
  <w:num w:numId="14">
    <w:abstractNumId w:val="7"/>
  </w:num>
  <w:num w:numId="15">
    <w:abstractNumId w:val="6"/>
  </w:num>
  <w:num w:numId="16">
    <w:abstractNumId w:val="0"/>
  </w:num>
  <w:num w:numId="17">
    <w:abstractNumId w:val="0"/>
  </w:num>
  <w:num w:numId="18">
    <w:abstractNumId w:val="2"/>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0B"/>
    <w:rsid w:val="00061477"/>
    <w:rsid w:val="000624C3"/>
    <w:rsid w:val="00067EA7"/>
    <w:rsid w:val="000954B5"/>
    <w:rsid w:val="000D3C54"/>
    <w:rsid w:val="000F6573"/>
    <w:rsid w:val="00112CE2"/>
    <w:rsid w:val="00114492"/>
    <w:rsid w:val="00115DDD"/>
    <w:rsid w:val="001243DF"/>
    <w:rsid w:val="00142743"/>
    <w:rsid w:val="001452E8"/>
    <w:rsid w:val="00161D9C"/>
    <w:rsid w:val="001770DA"/>
    <w:rsid w:val="0018094D"/>
    <w:rsid w:val="00181CD6"/>
    <w:rsid w:val="00192541"/>
    <w:rsid w:val="001A1A14"/>
    <w:rsid w:val="001A2A7B"/>
    <w:rsid w:val="001B4197"/>
    <w:rsid w:val="001B4C00"/>
    <w:rsid w:val="001D2487"/>
    <w:rsid w:val="00235E9C"/>
    <w:rsid w:val="00246FFD"/>
    <w:rsid w:val="00253060"/>
    <w:rsid w:val="00254913"/>
    <w:rsid w:val="002767B8"/>
    <w:rsid w:val="00281843"/>
    <w:rsid w:val="002E3FD6"/>
    <w:rsid w:val="002E4ED6"/>
    <w:rsid w:val="002F5FC7"/>
    <w:rsid w:val="00305031"/>
    <w:rsid w:val="00311652"/>
    <w:rsid w:val="00374F4A"/>
    <w:rsid w:val="00385705"/>
    <w:rsid w:val="003903EF"/>
    <w:rsid w:val="003A3A8D"/>
    <w:rsid w:val="003B1402"/>
    <w:rsid w:val="003C6801"/>
    <w:rsid w:val="003D70F4"/>
    <w:rsid w:val="0040668A"/>
    <w:rsid w:val="00414851"/>
    <w:rsid w:val="00437CA9"/>
    <w:rsid w:val="00450095"/>
    <w:rsid w:val="004551D4"/>
    <w:rsid w:val="004779E4"/>
    <w:rsid w:val="004A6B9A"/>
    <w:rsid w:val="004C6513"/>
    <w:rsid w:val="004C7C9D"/>
    <w:rsid w:val="004D2622"/>
    <w:rsid w:val="004D48A5"/>
    <w:rsid w:val="004E4D23"/>
    <w:rsid w:val="004F1B80"/>
    <w:rsid w:val="005068AB"/>
    <w:rsid w:val="00585242"/>
    <w:rsid w:val="005A0424"/>
    <w:rsid w:val="005B219E"/>
    <w:rsid w:val="005C70C7"/>
    <w:rsid w:val="005C7633"/>
    <w:rsid w:val="005F6C72"/>
    <w:rsid w:val="00604669"/>
    <w:rsid w:val="00682360"/>
    <w:rsid w:val="006E5478"/>
    <w:rsid w:val="00717058"/>
    <w:rsid w:val="00735FB0"/>
    <w:rsid w:val="00753DE0"/>
    <w:rsid w:val="00767A9E"/>
    <w:rsid w:val="007B50EA"/>
    <w:rsid w:val="007C4931"/>
    <w:rsid w:val="007D6426"/>
    <w:rsid w:val="00886437"/>
    <w:rsid w:val="009036E5"/>
    <w:rsid w:val="0094593E"/>
    <w:rsid w:val="00964D0B"/>
    <w:rsid w:val="00981DC7"/>
    <w:rsid w:val="00995F93"/>
    <w:rsid w:val="009D43AE"/>
    <w:rsid w:val="00A12F0A"/>
    <w:rsid w:val="00A31E57"/>
    <w:rsid w:val="00A33901"/>
    <w:rsid w:val="00A54D46"/>
    <w:rsid w:val="00A63661"/>
    <w:rsid w:val="00AA35FC"/>
    <w:rsid w:val="00AC7726"/>
    <w:rsid w:val="00AE276E"/>
    <w:rsid w:val="00AF3F70"/>
    <w:rsid w:val="00B0426F"/>
    <w:rsid w:val="00B11EB3"/>
    <w:rsid w:val="00B238C7"/>
    <w:rsid w:val="00B25F7B"/>
    <w:rsid w:val="00B32128"/>
    <w:rsid w:val="00BA7E41"/>
    <w:rsid w:val="00BE50E9"/>
    <w:rsid w:val="00CA64FB"/>
    <w:rsid w:val="00CF7D41"/>
    <w:rsid w:val="00D00AB9"/>
    <w:rsid w:val="00D12882"/>
    <w:rsid w:val="00D34148"/>
    <w:rsid w:val="00D57619"/>
    <w:rsid w:val="00D82DA2"/>
    <w:rsid w:val="00DD5907"/>
    <w:rsid w:val="00DF1AC4"/>
    <w:rsid w:val="00DF5D36"/>
    <w:rsid w:val="00E013FC"/>
    <w:rsid w:val="00E10347"/>
    <w:rsid w:val="00E47DBA"/>
    <w:rsid w:val="00E667C3"/>
    <w:rsid w:val="00E80450"/>
    <w:rsid w:val="00EA4A08"/>
    <w:rsid w:val="00EC66DB"/>
    <w:rsid w:val="00ED30C2"/>
    <w:rsid w:val="00ED42B4"/>
    <w:rsid w:val="00EE653A"/>
    <w:rsid w:val="00F00E61"/>
    <w:rsid w:val="00F250D3"/>
    <w:rsid w:val="00F26FB5"/>
    <w:rsid w:val="00F47D0B"/>
    <w:rsid w:val="00F5635F"/>
    <w:rsid w:val="00F635E4"/>
    <w:rsid w:val="00F9279D"/>
    <w:rsid w:val="00FC0D4C"/>
    <w:rsid w:val="00FC5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41022EB"/>
  <w15:docId w15:val="{D0A1CBDE-E544-437F-A8E2-6115D963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D0B"/>
    <w:pPr>
      <w:spacing w:after="240" w:line="260" w:lineRule="exact"/>
      <w:jc w:val="both"/>
    </w:pPr>
    <w:rPr>
      <w:rFonts w:ascii="Corbel" w:eastAsia="Times New Roman" w:hAnsi="Corbel" w:cs="Times New Roman"/>
      <w:color w:val="000000"/>
      <w:sz w:val="23"/>
      <w:szCs w:val="20"/>
      <w:lang w:eastAsia="en-AU"/>
    </w:rPr>
  </w:style>
  <w:style w:type="paragraph" w:styleId="Heading2">
    <w:name w:val="heading 2"/>
    <w:basedOn w:val="Normal"/>
    <w:next w:val="Normal"/>
    <w:link w:val="Heading2Char"/>
    <w:uiPriority w:val="99"/>
    <w:qFormat/>
    <w:rsid w:val="00964D0B"/>
    <w:pPr>
      <w:keepNext/>
      <w:spacing w:before="180" w:after="120" w:line="240" w:lineRule="auto"/>
      <w:jc w:val="left"/>
      <w:outlineLvl w:val="1"/>
    </w:pPr>
    <w:rPr>
      <w:rFonts w:cs="Arial"/>
      <w:b/>
      <w:bCs/>
      <w:iCs/>
      <w:color w:val="3D4B67"/>
      <w:sz w:val="29"/>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64D0B"/>
    <w:rPr>
      <w:rFonts w:ascii="Corbel" w:eastAsia="Times New Roman" w:hAnsi="Corbel" w:cs="Arial"/>
      <w:b/>
      <w:bCs/>
      <w:iCs/>
      <w:color w:val="3D4B67"/>
      <w:sz w:val="29"/>
      <w:szCs w:val="28"/>
      <w:lang w:eastAsia="en-AU"/>
    </w:rPr>
  </w:style>
  <w:style w:type="paragraph" w:customStyle="1" w:styleId="Normalnumbered">
    <w:name w:val="Normal numbered"/>
    <w:basedOn w:val="Normal"/>
    <w:link w:val="NormalnumberedChar"/>
    <w:rsid w:val="00964D0B"/>
    <w:pPr>
      <w:numPr>
        <w:numId w:val="1"/>
      </w:numPr>
    </w:pPr>
  </w:style>
  <w:style w:type="character" w:customStyle="1" w:styleId="NormalnumberedChar">
    <w:name w:val="Normal numbered Char"/>
    <w:link w:val="Normalnumbered"/>
    <w:locked/>
    <w:rsid w:val="00964D0B"/>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964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D0B"/>
    <w:rPr>
      <w:rFonts w:ascii="Tahoma" w:eastAsia="Times New Roman" w:hAnsi="Tahoma" w:cs="Tahoma"/>
      <w:color w:val="000000"/>
      <w:sz w:val="16"/>
      <w:szCs w:val="16"/>
      <w:lang w:eastAsia="en-AU"/>
    </w:rPr>
  </w:style>
  <w:style w:type="paragraph" w:styleId="ListParagraph">
    <w:name w:val="List Paragraph"/>
    <w:basedOn w:val="Normal"/>
    <w:uiPriority w:val="34"/>
    <w:qFormat/>
    <w:rsid w:val="00964D0B"/>
    <w:pPr>
      <w:spacing w:after="0" w:line="240" w:lineRule="auto"/>
      <w:ind w:left="720"/>
      <w:jc w:val="left"/>
    </w:pPr>
    <w:rPr>
      <w:rFonts w:ascii="Calibri" w:eastAsiaTheme="minorHAnsi" w:hAnsi="Calibri"/>
      <w:color w:val="auto"/>
      <w:sz w:val="22"/>
      <w:szCs w:val="22"/>
      <w:lang w:eastAsia="en-US"/>
    </w:rPr>
  </w:style>
  <w:style w:type="character" w:styleId="CommentReference">
    <w:name w:val="annotation reference"/>
    <w:basedOn w:val="DefaultParagraphFont"/>
    <w:uiPriority w:val="99"/>
    <w:semiHidden/>
    <w:unhideWhenUsed/>
    <w:rsid w:val="00414851"/>
    <w:rPr>
      <w:sz w:val="16"/>
      <w:szCs w:val="16"/>
    </w:rPr>
  </w:style>
  <w:style w:type="paragraph" w:styleId="CommentText">
    <w:name w:val="annotation text"/>
    <w:basedOn w:val="Normal"/>
    <w:link w:val="CommentTextChar"/>
    <w:uiPriority w:val="99"/>
    <w:semiHidden/>
    <w:unhideWhenUsed/>
    <w:rsid w:val="00414851"/>
    <w:pPr>
      <w:spacing w:line="240" w:lineRule="auto"/>
    </w:pPr>
    <w:rPr>
      <w:sz w:val="20"/>
    </w:rPr>
  </w:style>
  <w:style w:type="character" w:customStyle="1" w:styleId="CommentTextChar">
    <w:name w:val="Comment Text Char"/>
    <w:basedOn w:val="DefaultParagraphFont"/>
    <w:link w:val="CommentText"/>
    <w:uiPriority w:val="99"/>
    <w:semiHidden/>
    <w:rsid w:val="00414851"/>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414851"/>
    <w:rPr>
      <w:b/>
      <w:bCs/>
    </w:rPr>
  </w:style>
  <w:style w:type="character" w:customStyle="1" w:styleId="CommentSubjectChar">
    <w:name w:val="Comment Subject Char"/>
    <w:basedOn w:val="CommentTextChar"/>
    <w:link w:val="CommentSubject"/>
    <w:uiPriority w:val="99"/>
    <w:semiHidden/>
    <w:rsid w:val="00414851"/>
    <w:rPr>
      <w:rFonts w:ascii="Corbel" w:eastAsia="Times New Roman" w:hAnsi="Corbel" w:cs="Times New Roman"/>
      <w:b/>
      <w:bCs/>
      <w:color w:val="000000"/>
      <w:sz w:val="20"/>
      <w:szCs w:val="20"/>
      <w:lang w:eastAsia="en-AU"/>
    </w:rPr>
  </w:style>
  <w:style w:type="paragraph" w:customStyle="1" w:styleId="SingleParagraph">
    <w:name w:val="Single Paragraph"/>
    <w:basedOn w:val="Normal"/>
    <w:rsid w:val="00735FB0"/>
    <w:pPr>
      <w:spacing w:after="0"/>
    </w:pPr>
  </w:style>
  <w:style w:type="character" w:customStyle="1" w:styleId="Bold">
    <w:name w:val="Bold"/>
    <w:rsid w:val="00735FB0"/>
    <w:rPr>
      <w:b/>
    </w:rPr>
  </w:style>
  <w:style w:type="paragraph" w:customStyle="1" w:styleId="Signed">
    <w:name w:val="Signed"/>
    <w:basedOn w:val="Normal"/>
    <w:rsid w:val="00735FB0"/>
    <w:pPr>
      <w:spacing w:after="120" w:line="240" w:lineRule="auto"/>
    </w:pPr>
    <w:rPr>
      <w:rFonts w:ascii="Book Antiqua" w:hAnsi="Book Antiqua"/>
      <w:bCs/>
      <w:i/>
      <w:sz w:val="22"/>
    </w:rPr>
  </w:style>
  <w:style w:type="paragraph" w:customStyle="1" w:styleId="Position">
    <w:name w:val="Position"/>
    <w:basedOn w:val="Normal"/>
    <w:rsid w:val="00735FB0"/>
    <w:pPr>
      <w:spacing w:after="120"/>
    </w:pPr>
    <w:rPr>
      <w:bCs/>
      <w:sz w:val="20"/>
    </w:rPr>
  </w:style>
  <w:style w:type="character" w:customStyle="1" w:styleId="SignedBold">
    <w:name w:val="SignedBold"/>
    <w:rsid w:val="00735FB0"/>
    <w:rPr>
      <w:b/>
      <w:i/>
    </w:rPr>
  </w:style>
  <w:style w:type="paragraph" w:customStyle="1" w:styleId="LineForSignature">
    <w:name w:val="LineForSignature"/>
    <w:basedOn w:val="Normal"/>
    <w:rsid w:val="00735FB0"/>
    <w:pPr>
      <w:tabs>
        <w:tab w:val="left" w:leader="underscore" w:pos="3686"/>
      </w:tabs>
      <w:spacing w:before="360" w:after="60"/>
    </w:pPr>
    <w:rPr>
      <w:rFonts w:ascii="Book Antiqua" w:hAnsi="Book Antiqua"/>
      <w:color w:val="C0C0C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8637">
      <w:bodyDiv w:val="1"/>
      <w:marLeft w:val="0"/>
      <w:marRight w:val="0"/>
      <w:marTop w:val="0"/>
      <w:marBottom w:val="0"/>
      <w:divBdr>
        <w:top w:val="none" w:sz="0" w:space="0" w:color="auto"/>
        <w:left w:val="none" w:sz="0" w:space="0" w:color="auto"/>
        <w:bottom w:val="none" w:sz="0" w:space="0" w:color="auto"/>
        <w:right w:val="none" w:sz="0" w:space="0" w:color="auto"/>
      </w:divBdr>
    </w:div>
    <w:div w:id="1057514209">
      <w:bodyDiv w:val="1"/>
      <w:marLeft w:val="0"/>
      <w:marRight w:val="0"/>
      <w:marTop w:val="0"/>
      <w:marBottom w:val="0"/>
      <w:divBdr>
        <w:top w:val="none" w:sz="0" w:space="0" w:color="auto"/>
        <w:left w:val="none" w:sz="0" w:space="0" w:color="auto"/>
        <w:bottom w:val="none" w:sz="0" w:space="0" w:color="auto"/>
        <w:right w:val="none" w:sz="0" w:space="0" w:color="auto"/>
      </w:divBdr>
    </w:div>
    <w:div w:id="11732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ustomXml" Target="../customXml/item6.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2021FG-64-96845</_dlc_DocId>
    <_dlc_DocIdUrl xmlns="0f563589-9cf9-4143-b1eb-fb0534803d38">
      <Url>http://tweb/sites/fg/csrd/_layouts/15/DocIdRedir.aspx?ID=2021FG-64-96845</Url>
      <Description>2021FG-64-96845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9666" ma:contentTypeDescription=" " ma:contentTypeScope="" ma:versionID="2dc9a5b166b5261cf229b8ebf92cc34f">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A2840-69C7-48A7-8B28-1CDDA87CF127}"/>
</file>

<file path=customXml/itemProps2.xml><?xml version="1.0" encoding="utf-8"?>
<ds:datastoreItem xmlns:ds="http://schemas.openxmlformats.org/officeDocument/2006/customXml" ds:itemID="{3543B983-1971-4F41-8398-F7F6F2AE31C1}"/>
</file>

<file path=customXml/itemProps3.xml><?xml version="1.0" encoding="utf-8"?>
<ds:datastoreItem xmlns:ds="http://schemas.openxmlformats.org/officeDocument/2006/customXml" ds:itemID="{4DF0DCD7-5D43-4C68-850F-ADEE794C5E3A}">
  <ds:schemaRefs>
    <ds:schemaRef ds:uri="http://schemas.microsoft.com/office/infopath/2007/PartnerControls"/>
    <ds:schemaRef ds:uri="2124141f-bf93-4eca-8662-34a4511e35c8"/>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2d2b1bf-f310-45e2-aba7-632ee969a559"/>
    <ds:schemaRef ds:uri="http://www.w3.org/XML/1998/namespace"/>
    <ds:schemaRef ds:uri="http://purl.org/dc/dcmitype/"/>
  </ds:schemaRefs>
</ds:datastoreItem>
</file>

<file path=customXml/itemProps4.xml><?xml version="1.0" encoding="utf-8"?>
<ds:datastoreItem xmlns:ds="http://schemas.openxmlformats.org/officeDocument/2006/customXml" ds:itemID="{E2BAE273-B690-429A-81E9-9C6458F52439}">
  <ds:schemaRefs>
    <ds:schemaRef ds:uri="http://schemas.microsoft.com/sharepoint/v3/contenttype/forms"/>
  </ds:schemaRefs>
</ds:datastoreItem>
</file>

<file path=customXml/itemProps5.xml><?xml version="1.0" encoding="utf-8"?>
<ds:datastoreItem xmlns:ds="http://schemas.openxmlformats.org/officeDocument/2006/customXml" ds:itemID="{77AB1C71-C05E-4D59-A949-3C87EEA02D4D}"/>
</file>

<file path=customXml/itemProps6.xml><?xml version="1.0" encoding="utf-8"?>
<ds:datastoreItem xmlns:ds="http://schemas.openxmlformats.org/officeDocument/2006/customXml" ds:itemID="{20F08E50-5D77-409E-A516-02C28CA38CBA}"/>
</file>

<file path=docProps/app.xml><?xml version="1.0" encoding="utf-8"?>
<Properties xmlns="http://schemas.openxmlformats.org/officeDocument/2006/extended-properties" xmlns:vt="http://schemas.openxmlformats.org/officeDocument/2006/docPropsVTypes">
  <Template>Normal.dotm</Template>
  <TotalTime>6</TotalTime>
  <Pages>5</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Tsy</dc:creator>
  <cp:lastModifiedBy>Katina-Devril (Canberra)</cp:lastModifiedBy>
  <cp:revision>9</cp:revision>
  <cp:lastPrinted>2016-08-31T06:36:00Z</cp:lastPrinted>
  <dcterms:created xsi:type="dcterms:W3CDTF">2017-01-19T21:56:00Z</dcterms:created>
  <dcterms:modified xsi:type="dcterms:W3CDTF">2017-01-31T03:55:00Z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0x010100348D01E61E107C4DA4B97E380EA20D47005CDF45B49E80F24CAD80DFC012154DA9</vt:lpwstr>
  </property>
  <property fmtid="{D5CDD505-2E9C-101B-9397-08002B2CF9AE}" pid="4" name="Protective_x0020_Markings">
    <vt:lpwstr/>
  </property>
  <property fmtid="{D5CDD505-2E9C-101B-9397-08002B2CF9AE}" pid="5" name="_dlc_DocIdItemGuid">
    <vt:lpwstr>6d6a5ad2-09c6-4192-a471-cfd8add28231</vt:lpwstr>
  </property>
  <property fmtid="{D5CDD505-2E9C-101B-9397-08002B2CF9AE}" pid="6" name="Protective Markings">
    <vt:lpwstr/>
  </property>
  <property fmtid="{D5CDD505-2E9C-101B-9397-08002B2CF9AE}" pid="7" name="TSYRecordClass">
    <vt:lpwstr>2;#TSY RA-8748 - Retain as national archives|243f2231-dbfc-4282-b24a-c9b768286bd0</vt:lpwstr>
  </property>
  <property fmtid="{D5CDD505-2E9C-101B-9397-08002B2CF9AE}" pid="8" name="RecordPoint_WorkflowType">
    <vt:lpwstr>ActiveSubmitStub</vt:lpwstr>
  </property>
  <property fmtid="{D5CDD505-2E9C-101B-9397-08002B2CF9AE}" pid="9" name="RecordPoint_ActiveItemUniqueId">
    <vt:lpwstr>{b39fb2de-7799-4083-a934-6c656e27a93f}</vt:lpwstr>
  </property>
  <property fmtid="{D5CDD505-2E9C-101B-9397-08002B2CF9AE}" pid="10" name="RecordPoint_ActiveItemWebId">
    <vt:lpwstr>{a4589788-615f-4b8b-8296-7f9f6dfbab44}</vt:lpwstr>
  </property>
  <property fmtid="{D5CDD505-2E9C-101B-9397-08002B2CF9AE}" pid="11" name="RecordPoint_ActiveItemSiteId">
    <vt:lpwstr>{a3a280d1-e8f1-4ce7-94f0-aaa2322da0dd}</vt:lpwstr>
  </property>
  <property fmtid="{D5CDD505-2E9C-101B-9397-08002B2CF9AE}" pid="12" name="RecordPoint_ActiveItemListId">
    <vt:lpwstr>{4435c73b-6585-4bc2-a76a-5d21b1a02e06}</vt:lpwstr>
  </property>
</Properties>
</file>