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23FA" w14:textId="77777777" w:rsidR="00964D0B" w:rsidRPr="00981DC7" w:rsidRDefault="00964D0B" w:rsidP="00C96FCD">
      <w:pPr>
        <w:pStyle w:val="Normalnumbered"/>
        <w:keepNext/>
        <w:numPr>
          <w:ilvl w:val="0"/>
          <w:numId w:val="0"/>
        </w:numPr>
        <w:spacing w:line="240" w:lineRule="auto"/>
        <w:ind w:left="357" w:hanging="357"/>
        <w:jc w:val="right"/>
        <w:rPr>
          <w:rFonts w:ascii="Consolas" w:hAnsi="Consolas" w:cs="Consolas"/>
          <w:sz w:val="32"/>
          <w:szCs w:val="32"/>
        </w:rPr>
      </w:pPr>
      <w:r w:rsidRPr="00981DC7">
        <w:rPr>
          <w:rFonts w:ascii="Consolas" w:hAnsi="Consolas" w:cs="Consolas"/>
          <w:sz w:val="32"/>
          <w:szCs w:val="32"/>
        </w:rPr>
        <w:t>Schedule A</w:t>
      </w:r>
    </w:p>
    <w:p w14:paraId="519A16A5" w14:textId="15B6448A" w:rsidR="00964D0B" w:rsidRPr="00981DC7" w:rsidRDefault="00981DC7" w:rsidP="00964D0B">
      <w:pPr>
        <w:pStyle w:val="Normalnumbered"/>
        <w:keepNext/>
        <w:numPr>
          <w:ilvl w:val="0"/>
          <w:numId w:val="0"/>
        </w:numPr>
        <w:ind w:left="360" w:hanging="360"/>
        <w:rPr>
          <w:b/>
          <w:sz w:val="29"/>
          <w:szCs w:val="29"/>
        </w:rPr>
      </w:pPr>
      <w:r>
        <w:rPr>
          <w:b/>
          <w:sz w:val="29"/>
          <w:szCs w:val="29"/>
        </w:rPr>
        <w:t>Project m</w:t>
      </w:r>
      <w:r w:rsidR="00964D0B" w:rsidRPr="00981DC7">
        <w:rPr>
          <w:b/>
          <w:sz w:val="29"/>
          <w:szCs w:val="29"/>
        </w:rPr>
        <w:t>ilestone</w:t>
      </w:r>
      <w:r>
        <w:rPr>
          <w:b/>
          <w:sz w:val="29"/>
          <w:szCs w:val="29"/>
        </w:rPr>
        <w:t>s</w:t>
      </w:r>
      <w:r w:rsidR="00964D0B" w:rsidRPr="00981DC7">
        <w:rPr>
          <w:b/>
          <w:sz w:val="29"/>
          <w:szCs w:val="29"/>
        </w:rPr>
        <w:t>, reporting and payment</w:t>
      </w:r>
      <w:r>
        <w:rPr>
          <w:b/>
          <w:sz w:val="29"/>
          <w:szCs w:val="29"/>
        </w:rPr>
        <w:t>s</w:t>
      </w:r>
      <w:r w:rsidR="00964D0B" w:rsidRPr="00981DC7">
        <w:rPr>
          <w:b/>
          <w:sz w:val="29"/>
          <w:szCs w:val="29"/>
        </w:rPr>
        <w:t xml:space="preserve"> – </w:t>
      </w:r>
      <w:r w:rsidR="004340D2">
        <w:rPr>
          <w:b/>
          <w:sz w:val="29"/>
          <w:szCs w:val="29"/>
        </w:rPr>
        <w:t>T</w:t>
      </w:r>
      <w:r w:rsidR="00317BA0">
        <w:rPr>
          <w:b/>
          <w:sz w:val="29"/>
          <w:szCs w:val="29"/>
        </w:rPr>
        <w:t>asmania</w:t>
      </w:r>
    </w:p>
    <w:p w14:paraId="128FDCF2" w14:textId="37C683AB" w:rsidR="00A55F03" w:rsidRPr="00A54D46" w:rsidRDefault="00A55F03" w:rsidP="00A55F03">
      <w:r>
        <w:t>A1.</w:t>
      </w:r>
      <w:r>
        <w:tab/>
      </w:r>
      <w:r w:rsidRPr="00981DC7">
        <w:t>To deliver the outputs of this Agreement, the following project</w:t>
      </w:r>
      <w:r>
        <w:t>s</w:t>
      </w:r>
      <w:r w:rsidRPr="00981DC7">
        <w:t xml:space="preserve"> will be delivered </w:t>
      </w:r>
      <w:r>
        <w:t>by</w:t>
      </w:r>
      <w:r w:rsidRPr="00981DC7">
        <w:t xml:space="preserve"> </w:t>
      </w:r>
      <w:r>
        <w:t>Tasmania in 2016-17</w:t>
      </w:r>
      <w:r w:rsidRPr="00A54D46">
        <w:t>:</w:t>
      </w:r>
    </w:p>
    <w:p w14:paraId="44E9CBB9" w14:textId="6C327603" w:rsidR="00A55F03" w:rsidRPr="00A55F03" w:rsidRDefault="00A55F03" w:rsidP="00517CCE">
      <w:pPr>
        <w:pStyle w:val="ListParagraph"/>
        <w:numPr>
          <w:ilvl w:val="0"/>
          <w:numId w:val="28"/>
        </w:numPr>
        <w:spacing w:after="240" w:line="260" w:lineRule="exact"/>
        <w:ind w:left="924" w:hanging="357"/>
        <w:rPr>
          <w:rFonts w:ascii="Corbel" w:eastAsia="Times New Roman" w:hAnsi="Corbel"/>
          <w:color w:val="000000"/>
          <w:sz w:val="23"/>
          <w:szCs w:val="23"/>
          <w:lang w:eastAsia="en-AU"/>
        </w:rPr>
      </w:pPr>
      <w:r w:rsidRPr="00A55F03">
        <w:rPr>
          <w:rFonts w:ascii="Corbel" w:eastAsia="Times New Roman" w:hAnsi="Corbel"/>
          <w:color w:val="000000"/>
          <w:sz w:val="23"/>
          <w:szCs w:val="23"/>
          <w:lang w:eastAsia="en-AU"/>
        </w:rPr>
        <w:t xml:space="preserve">Project 27 - </w:t>
      </w:r>
      <w:r w:rsidRPr="003E1374">
        <w:rPr>
          <w:rFonts w:ascii="Corbel" w:eastAsia="Times New Roman" w:hAnsi="Corbel"/>
          <w:i/>
          <w:color w:val="000000"/>
          <w:sz w:val="23"/>
          <w:szCs w:val="23"/>
          <w:lang w:eastAsia="en-AU"/>
        </w:rPr>
        <w:t>Waddamana and Great Lake Scheme - Stage 2</w:t>
      </w:r>
      <w:r w:rsidRPr="00A55F03">
        <w:rPr>
          <w:rFonts w:ascii="Corbel" w:eastAsia="Times New Roman" w:hAnsi="Corbel"/>
          <w:color w:val="000000"/>
          <w:sz w:val="23"/>
          <w:szCs w:val="23"/>
          <w:lang w:eastAsia="en-AU"/>
        </w:rPr>
        <w:t xml:space="preserve"> ($75,000)</w:t>
      </w:r>
      <w:proofErr w:type="gramStart"/>
      <w:r w:rsidRPr="00A55F03">
        <w:rPr>
          <w:rFonts w:ascii="Corbel" w:eastAsia="Times New Roman" w:hAnsi="Corbel"/>
          <w:color w:val="000000"/>
          <w:sz w:val="23"/>
          <w:szCs w:val="23"/>
          <w:lang w:eastAsia="en-AU"/>
        </w:rPr>
        <w:t>.</w:t>
      </w:r>
      <w:r w:rsidR="00227010">
        <w:rPr>
          <w:rFonts w:ascii="Corbel" w:eastAsia="Times New Roman" w:hAnsi="Corbel"/>
          <w:color w:val="000000"/>
          <w:sz w:val="23"/>
          <w:szCs w:val="23"/>
          <w:lang w:eastAsia="en-AU"/>
        </w:rPr>
        <w:t xml:space="preserve"> </w:t>
      </w:r>
      <w:r w:rsidRPr="00A55F03">
        <w:rPr>
          <w:rFonts w:ascii="Corbel" w:eastAsia="Times New Roman" w:hAnsi="Corbel"/>
          <w:color w:val="000000"/>
          <w:sz w:val="23"/>
          <w:szCs w:val="23"/>
          <w:lang w:eastAsia="en-AU"/>
        </w:rPr>
        <w:t xml:space="preserve"> </w:t>
      </w:r>
      <w:proofErr w:type="gramEnd"/>
      <w:r w:rsidR="00517CCE" w:rsidRPr="00517CCE">
        <w:rPr>
          <w:rFonts w:ascii="Corbel" w:eastAsia="Times New Roman" w:hAnsi="Corbel"/>
          <w:color w:val="000000"/>
          <w:sz w:val="23"/>
          <w:szCs w:val="23"/>
          <w:lang w:eastAsia="en-AU"/>
        </w:rPr>
        <w:t>Stage 2 of Project 11 will see the implementation of some recommendations from the Waddamana Site Management Plan. The project outcome includes the development of a walking trail and the installation of extensive interpretation at the power station visitor centre and sites along the track, creating the new Highlands Power Trail.</w:t>
      </w:r>
    </w:p>
    <w:p w14:paraId="6A22FA59" w14:textId="7AEBB110" w:rsidR="00A55F03" w:rsidRPr="00A55F03" w:rsidRDefault="00A55F03" w:rsidP="00EB1729">
      <w:pPr>
        <w:pStyle w:val="ListParagraph"/>
        <w:numPr>
          <w:ilvl w:val="0"/>
          <w:numId w:val="28"/>
        </w:numPr>
        <w:spacing w:after="240" w:line="260" w:lineRule="exact"/>
        <w:ind w:left="924" w:hanging="357"/>
        <w:rPr>
          <w:rFonts w:ascii="Corbel" w:eastAsia="Times New Roman" w:hAnsi="Corbel"/>
          <w:color w:val="000000"/>
          <w:sz w:val="23"/>
          <w:szCs w:val="23"/>
          <w:lang w:eastAsia="en-AU"/>
        </w:rPr>
      </w:pPr>
      <w:r w:rsidRPr="00A55F03">
        <w:rPr>
          <w:rFonts w:ascii="Corbel" w:eastAsia="Times New Roman" w:hAnsi="Corbel"/>
          <w:color w:val="000000"/>
          <w:sz w:val="23"/>
          <w:szCs w:val="23"/>
          <w:lang w:eastAsia="en-AU"/>
        </w:rPr>
        <w:t xml:space="preserve">Project 28 - </w:t>
      </w:r>
      <w:r w:rsidRPr="003E1374">
        <w:rPr>
          <w:rFonts w:ascii="Corbel" w:eastAsia="Times New Roman" w:hAnsi="Corbel"/>
          <w:i/>
          <w:color w:val="000000"/>
          <w:sz w:val="23"/>
          <w:szCs w:val="23"/>
          <w:lang w:eastAsia="en-AU"/>
        </w:rPr>
        <w:t>Wildlife veterinary hospital and visitor experience</w:t>
      </w:r>
      <w:r w:rsidRPr="00A55F03">
        <w:rPr>
          <w:rFonts w:ascii="Corbel" w:eastAsia="Times New Roman" w:hAnsi="Corbel"/>
          <w:color w:val="000000"/>
          <w:sz w:val="23"/>
          <w:szCs w:val="23"/>
          <w:lang w:eastAsia="en-AU"/>
        </w:rPr>
        <w:t xml:space="preserve"> ($56,500)</w:t>
      </w:r>
      <w:proofErr w:type="gramStart"/>
      <w:r w:rsidRPr="00A55F03">
        <w:rPr>
          <w:rFonts w:ascii="Corbel" w:eastAsia="Times New Roman" w:hAnsi="Corbel"/>
          <w:color w:val="000000"/>
          <w:sz w:val="23"/>
          <w:szCs w:val="23"/>
          <w:lang w:eastAsia="en-AU"/>
        </w:rPr>
        <w:t xml:space="preserve">. </w:t>
      </w:r>
      <w:r w:rsidR="00227010">
        <w:rPr>
          <w:rFonts w:ascii="Corbel" w:eastAsia="Times New Roman" w:hAnsi="Corbel"/>
          <w:color w:val="000000"/>
          <w:sz w:val="23"/>
          <w:szCs w:val="23"/>
          <w:lang w:eastAsia="en-AU"/>
        </w:rPr>
        <w:t xml:space="preserve"> </w:t>
      </w:r>
      <w:proofErr w:type="gramEnd"/>
      <w:r w:rsidR="00EB1729" w:rsidRPr="00EB1729">
        <w:rPr>
          <w:rFonts w:ascii="Corbel" w:eastAsia="Times New Roman" w:hAnsi="Corbel"/>
          <w:color w:val="000000"/>
          <w:sz w:val="23"/>
          <w:szCs w:val="23"/>
          <w:lang w:eastAsia="en-AU"/>
        </w:rPr>
        <w:t xml:space="preserve">The outcome of this project will be the addition of interpretation and visitor areas during the construction of the purpose built wildlife veterinary hospital at the </w:t>
      </w:r>
      <w:proofErr w:type="spellStart"/>
      <w:r w:rsidR="00EB1729" w:rsidRPr="00EB1729">
        <w:rPr>
          <w:rFonts w:ascii="Corbel" w:eastAsia="Times New Roman" w:hAnsi="Corbel"/>
          <w:color w:val="000000"/>
          <w:sz w:val="23"/>
          <w:szCs w:val="23"/>
          <w:lang w:eastAsia="en-AU"/>
        </w:rPr>
        <w:t>Bonorong</w:t>
      </w:r>
      <w:proofErr w:type="spellEnd"/>
      <w:r w:rsidR="00EB1729" w:rsidRPr="00EB1729">
        <w:rPr>
          <w:rFonts w:ascii="Corbel" w:eastAsia="Times New Roman" w:hAnsi="Corbel"/>
          <w:color w:val="000000"/>
          <w:sz w:val="23"/>
          <w:szCs w:val="23"/>
          <w:lang w:eastAsia="en-AU"/>
        </w:rPr>
        <w:t xml:space="preserve"> Wildlife Sanctuary. The hospital will be constructed so visitors can experience the hospitals treatment of rescued native animals and the rehabilitation and release program. Interpretive signage and guides will engage visitors during their visit to the Sanctuary.</w:t>
      </w:r>
    </w:p>
    <w:p w14:paraId="082D8CEA" w14:textId="43724A0E" w:rsidR="0030091F" w:rsidRPr="00A54D46" w:rsidRDefault="0030091F" w:rsidP="0030091F">
      <w:r w:rsidRPr="00981DC7">
        <w:t>To deliver the outputs of this Agreement, the following project</w:t>
      </w:r>
      <w:r>
        <w:t>s</w:t>
      </w:r>
      <w:r w:rsidRPr="00981DC7">
        <w:t xml:space="preserve"> will be delivered </w:t>
      </w:r>
      <w:r>
        <w:t>by</w:t>
      </w:r>
      <w:r w:rsidRPr="00981DC7">
        <w:t xml:space="preserve"> </w:t>
      </w:r>
      <w:r>
        <w:t>Tasmania in 2015-16</w:t>
      </w:r>
      <w:r w:rsidRPr="00A54D46">
        <w:t>:</w:t>
      </w:r>
    </w:p>
    <w:p w14:paraId="5B047DF7" w14:textId="056F23C2" w:rsidR="0030091F" w:rsidRPr="00713C76" w:rsidRDefault="0030091F" w:rsidP="00572BE5">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11 - </w:t>
      </w:r>
      <w:r w:rsidRPr="00713C76">
        <w:rPr>
          <w:rFonts w:ascii="Corbel" w:eastAsia="Times New Roman" w:hAnsi="Corbel"/>
          <w:i/>
          <w:color w:val="000000"/>
          <w:sz w:val="23"/>
          <w:szCs w:val="23"/>
          <w:lang w:eastAsia="en-AU"/>
        </w:rPr>
        <w:t>Waddamana and Great Lake Scheme - Stage 1</w:t>
      </w:r>
      <w:r w:rsidRPr="00713C76">
        <w:rPr>
          <w:rFonts w:ascii="Corbel" w:eastAsia="Times New Roman" w:hAnsi="Corbel"/>
          <w:color w:val="000000"/>
          <w:sz w:val="23"/>
          <w:szCs w:val="23"/>
          <w:lang w:eastAsia="en-AU"/>
        </w:rPr>
        <w:t xml:space="preserve"> ($50,000)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This is the first stage of a 3 stage project that will culminate in the upgrade of access and interpretation at the Waddamana and Great Lake hydro-electric Scheme. Stage 1 involves planning for the upgrade.</w:t>
      </w:r>
    </w:p>
    <w:p w14:paraId="56614D3D" w14:textId="59DC5055"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12 - </w:t>
      </w:r>
      <w:r w:rsidRPr="00713C76">
        <w:rPr>
          <w:rFonts w:ascii="Corbel" w:eastAsia="Times New Roman" w:hAnsi="Corbel"/>
          <w:i/>
          <w:color w:val="000000"/>
          <w:sz w:val="23"/>
          <w:szCs w:val="23"/>
          <w:lang w:eastAsia="en-AU"/>
        </w:rPr>
        <w:t>Hobart Convention Facilities Demand Study</w:t>
      </w:r>
      <w:r w:rsidRPr="00713C76">
        <w:rPr>
          <w:rFonts w:ascii="Corbel" w:eastAsia="Times New Roman" w:hAnsi="Corbel"/>
          <w:color w:val="000000"/>
          <w:sz w:val="23"/>
          <w:szCs w:val="23"/>
          <w:lang w:eastAsia="en-AU"/>
        </w:rPr>
        <w:t xml:space="preserve"> ($35,000)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is for a </w:t>
      </w:r>
      <w:r w:rsidR="002172DC">
        <w:rPr>
          <w:rFonts w:ascii="Corbel" w:eastAsia="Times New Roman" w:hAnsi="Corbel"/>
          <w:color w:val="000000"/>
          <w:sz w:val="23"/>
          <w:szCs w:val="23"/>
          <w:lang w:eastAsia="en-AU"/>
        </w:rPr>
        <w:t>pre-</w:t>
      </w:r>
      <w:r w:rsidRPr="00713C76">
        <w:rPr>
          <w:rFonts w:ascii="Corbel" w:eastAsia="Times New Roman" w:hAnsi="Corbel"/>
          <w:color w:val="000000"/>
          <w:sz w:val="23"/>
          <w:szCs w:val="23"/>
          <w:lang w:eastAsia="en-AU"/>
        </w:rPr>
        <w:t xml:space="preserve">feasibility study to </w:t>
      </w:r>
      <w:r w:rsidR="00A9467A">
        <w:rPr>
          <w:rFonts w:ascii="Corbel" w:eastAsia="Times New Roman" w:hAnsi="Corbel"/>
          <w:color w:val="000000"/>
          <w:sz w:val="23"/>
          <w:szCs w:val="23"/>
          <w:lang w:eastAsia="en-AU"/>
        </w:rPr>
        <w:t xml:space="preserve">confirm the extent of </w:t>
      </w:r>
      <w:r w:rsidRPr="00713C76">
        <w:rPr>
          <w:rFonts w:ascii="Corbel" w:eastAsia="Times New Roman" w:hAnsi="Corbel"/>
          <w:color w:val="000000"/>
          <w:sz w:val="23"/>
          <w:szCs w:val="23"/>
          <w:lang w:eastAsia="en-AU"/>
        </w:rPr>
        <w:t>the demand for additional convention facilities in Hobart. The report will also determine the suitability of Macquarie Point for potential convention facilities.</w:t>
      </w:r>
    </w:p>
    <w:p w14:paraId="6DDCF533" w14:textId="722A0EDA"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13 - </w:t>
      </w:r>
      <w:r w:rsidRPr="00713C76">
        <w:rPr>
          <w:rFonts w:ascii="Corbel" w:eastAsia="Times New Roman" w:hAnsi="Corbel"/>
          <w:i/>
          <w:color w:val="000000"/>
          <w:sz w:val="23"/>
          <w:szCs w:val="23"/>
          <w:lang w:eastAsia="en-AU"/>
        </w:rPr>
        <w:t>Cascades Female Factory Interpretation and History Centre Master</w:t>
      </w:r>
      <w:r w:rsidR="00317BA0">
        <w:rPr>
          <w:rFonts w:ascii="Corbel" w:eastAsia="Times New Roman" w:hAnsi="Corbel"/>
          <w:i/>
          <w:color w:val="000000"/>
          <w:sz w:val="23"/>
          <w:szCs w:val="23"/>
          <w:lang w:eastAsia="en-AU"/>
        </w:rPr>
        <w:t xml:space="preserve"> P</w:t>
      </w:r>
      <w:r w:rsidRPr="00713C76">
        <w:rPr>
          <w:rFonts w:ascii="Corbel" w:eastAsia="Times New Roman" w:hAnsi="Corbel"/>
          <w:i/>
          <w:color w:val="000000"/>
          <w:sz w:val="23"/>
          <w:szCs w:val="23"/>
          <w:lang w:eastAsia="en-AU"/>
        </w:rPr>
        <w:t>lan</w:t>
      </w:r>
      <w:r w:rsidRPr="00713C76">
        <w:rPr>
          <w:rFonts w:ascii="Corbel" w:eastAsia="Times New Roman" w:hAnsi="Corbel"/>
          <w:color w:val="000000"/>
          <w:sz w:val="23"/>
          <w:szCs w:val="23"/>
          <w:lang w:eastAsia="en-AU"/>
        </w:rPr>
        <w:t xml:space="preserve"> ($35,000)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is for the development of a plan to guide the design and construction of a new Interpretation and History Centre for the Cascades Female Factory. </w:t>
      </w:r>
    </w:p>
    <w:p w14:paraId="50B78FC6" w14:textId="3982EE8F"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14 - </w:t>
      </w:r>
      <w:r w:rsidRPr="00713C76">
        <w:rPr>
          <w:rFonts w:ascii="Corbel" w:eastAsia="Times New Roman" w:hAnsi="Corbel"/>
          <w:i/>
          <w:color w:val="000000"/>
          <w:sz w:val="23"/>
          <w:szCs w:val="23"/>
          <w:lang w:eastAsia="en-AU"/>
        </w:rPr>
        <w:t>Marine Access and Safe Harbour Project</w:t>
      </w:r>
      <w:r w:rsidRPr="00713C76">
        <w:rPr>
          <w:rFonts w:ascii="Corbel" w:eastAsia="Times New Roman" w:hAnsi="Corbel"/>
          <w:color w:val="000000"/>
          <w:sz w:val="23"/>
          <w:szCs w:val="23"/>
          <w:lang w:eastAsia="en-AU"/>
        </w:rPr>
        <w:t xml:space="preserve"> ($40,000)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Development of a preliminary business case for investment in the Flinders Island Marine</w:t>
      </w:r>
      <w:r w:rsidR="00964B14">
        <w:rPr>
          <w:rFonts w:ascii="Corbel" w:eastAsia="Times New Roman" w:hAnsi="Corbel"/>
          <w:color w:val="000000"/>
          <w:sz w:val="23"/>
          <w:szCs w:val="23"/>
          <w:lang w:eastAsia="en-AU"/>
        </w:rPr>
        <w:t xml:space="preserve"> Access and Safe Harbour </w:t>
      </w:r>
      <w:r w:rsidR="00317BA0">
        <w:rPr>
          <w:rFonts w:ascii="Corbel" w:eastAsia="Times New Roman" w:hAnsi="Corbel"/>
          <w:color w:val="000000"/>
          <w:sz w:val="23"/>
          <w:szCs w:val="23"/>
          <w:lang w:eastAsia="en-AU"/>
        </w:rPr>
        <w:t>P</w:t>
      </w:r>
      <w:r w:rsidR="00964B14">
        <w:rPr>
          <w:rFonts w:ascii="Corbel" w:eastAsia="Times New Roman" w:hAnsi="Corbel"/>
          <w:color w:val="000000"/>
          <w:sz w:val="23"/>
          <w:szCs w:val="23"/>
          <w:lang w:eastAsia="en-AU"/>
        </w:rPr>
        <w:t xml:space="preserve">roject. </w:t>
      </w:r>
      <w:r w:rsidRPr="00713C76">
        <w:rPr>
          <w:rFonts w:ascii="Corbel" w:eastAsia="Times New Roman" w:hAnsi="Corbel"/>
          <w:color w:val="000000"/>
          <w:sz w:val="23"/>
          <w:szCs w:val="23"/>
          <w:lang w:eastAsia="en-AU"/>
        </w:rPr>
        <w:t xml:space="preserve">The business case will determine the </w:t>
      </w:r>
      <w:r w:rsidR="00964B14">
        <w:rPr>
          <w:rFonts w:ascii="Corbel" w:eastAsia="Times New Roman" w:hAnsi="Corbel"/>
          <w:color w:val="000000"/>
          <w:sz w:val="23"/>
          <w:szCs w:val="23"/>
          <w:lang w:eastAsia="en-AU"/>
        </w:rPr>
        <w:t xml:space="preserve">requirements for the </w:t>
      </w:r>
      <w:r w:rsidRPr="00713C76">
        <w:rPr>
          <w:rFonts w:ascii="Corbel" w:eastAsia="Times New Roman" w:hAnsi="Corbel"/>
          <w:color w:val="000000"/>
          <w:sz w:val="23"/>
          <w:szCs w:val="23"/>
          <w:lang w:eastAsia="en-AU"/>
        </w:rPr>
        <w:t>provision of a reliable and safe all-weather marine facility and safe harbour on Flinders Island.</w:t>
      </w:r>
    </w:p>
    <w:p w14:paraId="2D138EA6" w14:textId="77777777"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15 - </w:t>
      </w:r>
      <w:proofErr w:type="spellStart"/>
      <w:r w:rsidRPr="00713C76">
        <w:rPr>
          <w:rFonts w:ascii="Corbel" w:eastAsia="Times New Roman" w:hAnsi="Corbel"/>
          <w:i/>
          <w:color w:val="000000"/>
          <w:sz w:val="23"/>
          <w:szCs w:val="23"/>
          <w:lang w:eastAsia="en-AU"/>
        </w:rPr>
        <w:t>Wukalina</w:t>
      </w:r>
      <w:proofErr w:type="spellEnd"/>
      <w:r w:rsidRPr="00713C76">
        <w:rPr>
          <w:rFonts w:ascii="Corbel" w:eastAsia="Times New Roman" w:hAnsi="Corbel"/>
          <w:i/>
          <w:color w:val="000000"/>
          <w:sz w:val="23"/>
          <w:szCs w:val="23"/>
          <w:lang w:eastAsia="en-AU"/>
        </w:rPr>
        <w:t xml:space="preserve"> to </w:t>
      </w:r>
      <w:proofErr w:type="spellStart"/>
      <w:r w:rsidRPr="00713C76">
        <w:rPr>
          <w:rFonts w:ascii="Corbel" w:eastAsia="Times New Roman" w:hAnsi="Corbel"/>
          <w:i/>
          <w:color w:val="000000"/>
          <w:sz w:val="23"/>
          <w:szCs w:val="23"/>
          <w:lang w:eastAsia="en-AU"/>
        </w:rPr>
        <w:t>Larapuna</w:t>
      </w:r>
      <w:proofErr w:type="spellEnd"/>
      <w:r w:rsidRPr="00713C76">
        <w:rPr>
          <w:rFonts w:ascii="Corbel" w:eastAsia="Times New Roman" w:hAnsi="Corbel"/>
          <w:i/>
          <w:color w:val="000000"/>
          <w:sz w:val="23"/>
          <w:szCs w:val="23"/>
          <w:lang w:eastAsia="en-AU"/>
        </w:rPr>
        <w:t xml:space="preserve"> Cultural Walk - Stage 2</w:t>
      </w:r>
      <w:r w:rsidRPr="00713C76">
        <w:rPr>
          <w:rFonts w:ascii="Corbel" w:eastAsia="Times New Roman" w:hAnsi="Corbel"/>
          <w:color w:val="000000"/>
          <w:sz w:val="23"/>
          <w:szCs w:val="23"/>
          <w:lang w:eastAsia="en-AU"/>
        </w:rPr>
        <w:t xml:space="preserve">  ($9,000)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continues the TDDI 2014-15 Project 7 - The </w:t>
      </w:r>
      <w:proofErr w:type="spellStart"/>
      <w:r w:rsidRPr="00713C76">
        <w:rPr>
          <w:rFonts w:ascii="Corbel" w:eastAsia="Times New Roman" w:hAnsi="Corbel"/>
          <w:color w:val="000000"/>
          <w:sz w:val="23"/>
          <w:szCs w:val="23"/>
          <w:lang w:eastAsia="en-AU"/>
        </w:rPr>
        <w:t>Wukalina</w:t>
      </w:r>
      <w:proofErr w:type="spellEnd"/>
      <w:r w:rsidRPr="00713C76">
        <w:rPr>
          <w:rFonts w:ascii="Corbel" w:eastAsia="Times New Roman" w:hAnsi="Corbel"/>
          <w:color w:val="000000"/>
          <w:sz w:val="23"/>
          <w:szCs w:val="23"/>
          <w:lang w:eastAsia="en-AU"/>
        </w:rPr>
        <w:t xml:space="preserve"> to </w:t>
      </w:r>
      <w:proofErr w:type="spellStart"/>
      <w:r w:rsidRPr="00713C76">
        <w:rPr>
          <w:rFonts w:ascii="Corbel" w:eastAsia="Times New Roman" w:hAnsi="Corbel"/>
          <w:color w:val="000000"/>
          <w:sz w:val="23"/>
          <w:szCs w:val="23"/>
          <w:lang w:eastAsia="en-AU"/>
        </w:rPr>
        <w:t>Larapuna</w:t>
      </w:r>
      <w:proofErr w:type="spellEnd"/>
      <w:r w:rsidRPr="00713C76">
        <w:rPr>
          <w:rFonts w:ascii="Corbel" w:eastAsia="Times New Roman" w:hAnsi="Corbel"/>
          <w:color w:val="000000"/>
          <w:sz w:val="23"/>
          <w:szCs w:val="23"/>
          <w:lang w:eastAsia="en-AU"/>
        </w:rPr>
        <w:t xml:space="preserve"> Cultural Walk. This project focuses on consumer research to gauge the levels of awareness of and perceptions around Tasmanian Aboriginal Culture and Heritage of potential target audiences, and the wants and needs of visitors. </w:t>
      </w:r>
    </w:p>
    <w:p w14:paraId="62544979" w14:textId="309FCDE7"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16 - </w:t>
      </w:r>
      <w:r w:rsidRPr="00713C76">
        <w:rPr>
          <w:rFonts w:ascii="Corbel" w:eastAsia="Times New Roman" w:hAnsi="Corbel"/>
          <w:i/>
          <w:color w:val="000000"/>
          <w:sz w:val="23"/>
          <w:szCs w:val="23"/>
          <w:lang w:eastAsia="en-AU"/>
        </w:rPr>
        <w:t>Blue Derby Mountain Bike Trail</w:t>
      </w:r>
      <w:r w:rsidRPr="00713C76">
        <w:rPr>
          <w:rFonts w:ascii="Corbel" w:eastAsia="Times New Roman" w:hAnsi="Corbel"/>
          <w:color w:val="000000"/>
          <w:sz w:val="23"/>
          <w:szCs w:val="23"/>
          <w:lang w:eastAsia="en-AU"/>
        </w:rPr>
        <w:t xml:space="preserve"> ($42,000)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w:t>
      </w:r>
      <w:r w:rsidR="002172DC">
        <w:rPr>
          <w:rFonts w:ascii="Corbel" w:eastAsia="Times New Roman" w:hAnsi="Corbel"/>
          <w:color w:val="000000"/>
          <w:sz w:val="23"/>
          <w:szCs w:val="23"/>
          <w:lang w:eastAsia="en-AU"/>
        </w:rPr>
        <w:t xml:space="preserve">is for the development </w:t>
      </w:r>
      <w:r w:rsidR="00317BA0">
        <w:rPr>
          <w:rFonts w:ascii="Corbel" w:eastAsia="Times New Roman" w:hAnsi="Corbel"/>
          <w:color w:val="000000"/>
          <w:sz w:val="23"/>
          <w:szCs w:val="23"/>
          <w:lang w:eastAsia="en-AU"/>
        </w:rPr>
        <w:t xml:space="preserve">of stage two </w:t>
      </w:r>
      <w:r w:rsidR="002172DC">
        <w:rPr>
          <w:rFonts w:ascii="Corbel" w:eastAsia="Times New Roman" w:hAnsi="Corbel"/>
          <w:color w:val="000000"/>
          <w:sz w:val="23"/>
          <w:szCs w:val="23"/>
          <w:lang w:eastAsia="en-AU"/>
        </w:rPr>
        <w:t xml:space="preserve">of </w:t>
      </w:r>
      <w:r w:rsidR="00317BA0">
        <w:rPr>
          <w:rFonts w:ascii="Corbel" w:eastAsia="Times New Roman" w:hAnsi="Corbel"/>
          <w:color w:val="000000"/>
          <w:sz w:val="23"/>
          <w:szCs w:val="23"/>
          <w:lang w:eastAsia="en-AU"/>
        </w:rPr>
        <w:t xml:space="preserve">the </w:t>
      </w:r>
      <w:r w:rsidRPr="00713C76">
        <w:rPr>
          <w:rFonts w:ascii="Corbel" w:eastAsia="Times New Roman" w:hAnsi="Corbel"/>
          <w:color w:val="000000"/>
          <w:sz w:val="23"/>
          <w:szCs w:val="23"/>
          <w:lang w:eastAsia="en-AU"/>
        </w:rPr>
        <w:t>Trails Master Plan for the Blue Derby Mountain Bike Trail</w:t>
      </w:r>
      <w:r w:rsidR="00317BA0">
        <w:rPr>
          <w:rFonts w:ascii="Corbel" w:eastAsia="Times New Roman" w:hAnsi="Corbel"/>
          <w:color w:val="000000"/>
          <w:sz w:val="23"/>
          <w:szCs w:val="23"/>
          <w:lang w:eastAsia="en-AU"/>
        </w:rPr>
        <w:t>,</w:t>
      </w:r>
      <w:r w:rsidRPr="00713C76">
        <w:rPr>
          <w:rFonts w:ascii="Corbel" w:eastAsia="Times New Roman" w:hAnsi="Corbel"/>
          <w:color w:val="000000"/>
          <w:sz w:val="23"/>
          <w:szCs w:val="23"/>
          <w:lang w:eastAsia="en-AU"/>
        </w:rPr>
        <w:t xml:space="preserve"> in preparation for a construction tender process. Work will include trail on-</w:t>
      </w:r>
      <w:r w:rsidRPr="00713C76">
        <w:rPr>
          <w:rFonts w:ascii="Corbel" w:eastAsia="Times New Roman" w:hAnsi="Corbel"/>
          <w:color w:val="000000"/>
          <w:sz w:val="23"/>
          <w:szCs w:val="23"/>
          <w:lang w:eastAsia="en-AU"/>
        </w:rPr>
        <w:lastRenderedPageBreak/>
        <w:t>ground research to design and layout tracks, and determine any permit and approval requirements prior to tender and construction.</w:t>
      </w:r>
    </w:p>
    <w:p w14:paraId="5693989F" w14:textId="7C972FF6"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17 - </w:t>
      </w:r>
      <w:r w:rsidRPr="00713C76">
        <w:rPr>
          <w:rFonts w:ascii="Corbel" w:eastAsia="Times New Roman" w:hAnsi="Corbel"/>
          <w:i/>
          <w:color w:val="000000"/>
          <w:sz w:val="23"/>
          <w:szCs w:val="23"/>
          <w:lang w:eastAsia="en-AU"/>
        </w:rPr>
        <w:t>Cradle Mountain Visitor Experience Study</w:t>
      </w:r>
      <w:r w:rsidRPr="00713C76">
        <w:rPr>
          <w:rFonts w:ascii="Corbel" w:eastAsia="Times New Roman" w:hAnsi="Corbel"/>
          <w:color w:val="000000"/>
          <w:sz w:val="23"/>
          <w:szCs w:val="23"/>
          <w:lang w:eastAsia="en-AU"/>
        </w:rPr>
        <w:t xml:space="preserve"> ($31,250)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w:t>
      </w:r>
      <w:r w:rsidR="006F2CDC">
        <w:rPr>
          <w:rFonts w:ascii="Corbel" w:eastAsia="Times New Roman" w:hAnsi="Corbel"/>
          <w:color w:val="000000"/>
          <w:sz w:val="23"/>
          <w:szCs w:val="23"/>
          <w:lang w:eastAsia="en-AU"/>
        </w:rPr>
        <w:t xml:space="preserve">builds </w:t>
      </w:r>
      <w:r w:rsidRPr="00713C76">
        <w:rPr>
          <w:rFonts w:ascii="Corbel" w:eastAsia="Times New Roman" w:hAnsi="Corbel"/>
          <w:color w:val="000000"/>
          <w:sz w:val="23"/>
          <w:szCs w:val="23"/>
          <w:lang w:eastAsia="en-AU"/>
        </w:rPr>
        <w:t xml:space="preserve">on the 2014-15 TDDI </w:t>
      </w:r>
      <w:r w:rsidRPr="00317BA0">
        <w:rPr>
          <w:rFonts w:ascii="Corbel" w:eastAsia="Times New Roman" w:hAnsi="Corbel"/>
          <w:i/>
          <w:color w:val="000000"/>
          <w:sz w:val="23"/>
          <w:szCs w:val="23"/>
          <w:lang w:eastAsia="en-AU"/>
        </w:rPr>
        <w:t>Project 2 - Cradle Mountain Visitor Experience Master Plan</w:t>
      </w:r>
      <w:r w:rsidRPr="00713C76">
        <w:rPr>
          <w:rFonts w:ascii="Corbel" w:eastAsia="Times New Roman" w:hAnsi="Corbel"/>
          <w:color w:val="000000"/>
          <w:sz w:val="23"/>
          <w:szCs w:val="23"/>
          <w:lang w:eastAsia="en-AU"/>
        </w:rPr>
        <w:t>. One of the key recommendations from the Plan is to undertake a visitor experience study to add robustness to potential tourism development opportunities.</w:t>
      </w:r>
    </w:p>
    <w:p w14:paraId="7752FAA7" w14:textId="0027490B"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18 - </w:t>
      </w:r>
      <w:r w:rsidRPr="00713C76">
        <w:rPr>
          <w:rFonts w:ascii="Corbel" w:eastAsia="Times New Roman" w:hAnsi="Corbel"/>
          <w:i/>
          <w:color w:val="000000"/>
          <w:sz w:val="23"/>
          <w:szCs w:val="23"/>
          <w:lang w:eastAsia="en-AU"/>
        </w:rPr>
        <w:t>Large Scale Accommodation Business Case and Prospectus for Oatlands</w:t>
      </w:r>
      <w:r w:rsidRPr="00713C76">
        <w:rPr>
          <w:rFonts w:ascii="Corbel" w:eastAsia="Times New Roman" w:hAnsi="Corbel"/>
          <w:color w:val="000000"/>
          <w:sz w:val="23"/>
          <w:szCs w:val="23"/>
          <w:lang w:eastAsia="en-AU"/>
        </w:rPr>
        <w:t xml:space="preserve"> ($20,000)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is to construct a business case and prospectus for </w:t>
      </w:r>
      <w:r w:rsidR="00317BA0">
        <w:rPr>
          <w:rFonts w:ascii="Corbel" w:eastAsia="Times New Roman" w:hAnsi="Corbel"/>
          <w:color w:val="000000"/>
          <w:sz w:val="23"/>
          <w:szCs w:val="23"/>
          <w:lang w:eastAsia="en-AU"/>
        </w:rPr>
        <w:t xml:space="preserve">Southern Midlands </w:t>
      </w:r>
      <w:r w:rsidRPr="00713C76">
        <w:rPr>
          <w:rFonts w:ascii="Corbel" w:eastAsia="Times New Roman" w:hAnsi="Corbel"/>
          <w:color w:val="000000"/>
          <w:sz w:val="23"/>
          <w:szCs w:val="23"/>
          <w:lang w:eastAsia="en-AU"/>
        </w:rPr>
        <w:t>Council to attract private sector investment into a large scale quality accommodation</w:t>
      </w:r>
      <w:r w:rsidR="002172DC">
        <w:rPr>
          <w:rFonts w:ascii="Corbel" w:eastAsia="Times New Roman" w:hAnsi="Corbel"/>
          <w:color w:val="000000"/>
          <w:sz w:val="23"/>
          <w:szCs w:val="23"/>
          <w:lang w:eastAsia="en-AU"/>
        </w:rPr>
        <w:t xml:space="preserve"> facility</w:t>
      </w:r>
      <w:r w:rsidRPr="00713C76">
        <w:rPr>
          <w:rFonts w:ascii="Corbel" w:eastAsia="Times New Roman" w:hAnsi="Corbel"/>
          <w:color w:val="000000"/>
          <w:sz w:val="23"/>
          <w:szCs w:val="23"/>
          <w:lang w:eastAsia="en-AU"/>
        </w:rPr>
        <w:t>. The report will measure the potential social, economic and cultural impacts of an accommodation facility.</w:t>
      </w:r>
    </w:p>
    <w:p w14:paraId="4566D247" w14:textId="536B780D"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19 - </w:t>
      </w:r>
      <w:r w:rsidRPr="00713C76">
        <w:rPr>
          <w:rFonts w:ascii="Corbel" w:eastAsia="Times New Roman" w:hAnsi="Corbel"/>
          <w:i/>
          <w:color w:val="000000"/>
          <w:sz w:val="23"/>
          <w:szCs w:val="23"/>
          <w:lang w:eastAsia="en-AU"/>
        </w:rPr>
        <w:t>Mayfield Road Upgrade</w:t>
      </w:r>
      <w:r w:rsidRPr="00713C76">
        <w:rPr>
          <w:rFonts w:ascii="Corbel" w:eastAsia="Times New Roman" w:hAnsi="Corbel"/>
          <w:color w:val="000000"/>
          <w:sz w:val="23"/>
          <w:szCs w:val="23"/>
          <w:lang w:eastAsia="en-AU"/>
        </w:rPr>
        <w:t xml:space="preserve"> ($20,000)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will see the improvement of signage and access to Mayfield Beach and the Tasman Sea Salt </w:t>
      </w:r>
      <w:proofErr w:type="spellStart"/>
      <w:r w:rsidRPr="00713C76">
        <w:rPr>
          <w:rFonts w:ascii="Corbel" w:eastAsia="Times New Roman" w:hAnsi="Corbel"/>
          <w:color w:val="000000"/>
          <w:sz w:val="23"/>
          <w:szCs w:val="23"/>
          <w:lang w:eastAsia="en-AU"/>
        </w:rPr>
        <w:t>Saltworks</w:t>
      </w:r>
      <w:proofErr w:type="spellEnd"/>
      <w:r w:rsidRPr="00713C76">
        <w:rPr>
          <w:rFonts w:ascii="Corbel" w:eastAsia="Times New Roman" w:hAnsi="Corbel"/>
          <w:color w:val="000000"/>
          <w:sz w:val="23"/>
          <w:szCs w:val="23"/>
          <w:lang w:eastAsia="en-AU"/>
        </w:rPr>
        <w:t>. Th</w:t>
      </w:r>
      <w:r w:rsidR="006F2CDC">
        <w:rPr>
          <w:rFonts w:ascii="Corbel" w:eastAsia="Times New Roman" w:hAnsi="Corbel"/>
          <w:color w:val="000000"/>
          <w:sz w:val="23"/>
          <w:szCs w:val="23"/>
          <w:lang w:eastAsia="en-AU"/>
        </w:rPr>
        <w:t>e</w:t>
      </w:r>
      <w:r w:rsidRPr="00713C76">
        <w:rPr>
          <w:rFonts w:ascii="Corbel" w:eastAsia="Times New Roman" w:hAnsi="Corbel"/>
          <w:color w:val="000000"/>
          <w:sz w:val="23"/>
          <w:szCs w:val="23"/>
          <w:lang w:eastAsia="en-AU"/>
        </w:rPr>
        <w:t xml:space="preserve"> project is the first stage of a five year plan to increase the tourism attraction of </w:t>
      </w:r>
      <w:r w:rsidR="002172DC">
        <w:rPr>
          <w:rFonts w:ascii="Corbel" w:eastAsia="Times New Roman" w:hAnsi="Corbel"/>
          <w:color w:val="000000"/>
          <w:sz w:val="23"/>
          <w:szCs w:val="23"/>
          <w:lang w:eastAsia="en-AU"/>
        </w:rPr>
        <w:t xml:space="preserve">the </w:t>
      </w:r>
      <w:r w:rsidRPr="00713C76">
        <w:rPr>
          <w:rFonts w:ascii="Corbel" w:eastAsia="Times New Roman" w:hAnsi="Corbel"/>
          <w:color w:val="000000"/>
          <w:sz w:val="23"/>
          <w:szCs w:val="23"/>
          <w:lang w:eastAsia="en-AU"/>
        </w:rPr>
        <w:t xml:space="preserve">beach and </w:t>
      </w:r>
      <w:proofErr w:type="spellStart"/>
      <w:r w:rsidRPr="00713C76">
        <w:rPr>
          <w:rFonts w:ascii="Corbel" w:eastAsia="Times New Roman" w:hAnsi="Corbel"/>
          <w:color w:val="000000"/>
          <w:sz w:val="23"/>
          <w:szCs w:val="23"/>
          <w:lang w:eastAsia="en-AU"/>
        </w:rPr>
        <w:t>Saltworks</w:t>
      </w:r>
      <w:proofErr w:type="spellEnd"/>
      <w:r w:rsidRPr="00713C76">
        <w:rPr>
          <w:rFonts w:ascii="Corbel" w:eastAsia="Times New Roman" w:hAnsi="Corbel"/>
          <w:color w:val="000000"/>
          <w:sz w:val="23"/>
          <w:szCs w:val="23"/>
          <w:lang w:eastAsia="en-AU"/>
        </w:rPr>
        <w:t>.</w:t>
      </w:r>
    </w:p>
    <w:p w14:paraId="149DC024" w14:textId="77777777"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20 - </w:t>
      </w:r>
      <w:r w:rsidRPr="00713C76">
        <w:rPr>
          <w:rFonts w:ascii="Corbel" w:eastAsia="Times New Roman" w:hAnsi="Corbel"/>
          <w:i/>
          <w:color w:val="000000"/>
          <w:sz w:val="23"/>
          <w:szCs w:val="23"/>
          <w:lang w:eastAsia="en-AU"/>
        </w:rPr>
        <w:t>Port Arthur and Coal Mines Theatrical Interpretation Plan</w:t>
      </w:r>
      <w:r w:rsidRPr="00713C76">
        <w:rPr>
          <w:rFonts w:ascii="Corbel" w:eastAsia="Times New Roman" w:hAnsi="Corbel"/>
          <w:color w:val="000000"/>
          <w:sz w:val="23"/>
          <w:szCs w:val="23"/>
          <w:lang w:eastAsia="en-AU"/>
        </w:rPr>
        <w:t xml:space="preserve"> ($36,000)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The project will see the development and production of a Theatrical Interpretation Program for the Port Arthur and Coal Mines Historic Sites. The Program will create experiences that are engaging, educational and inspirational, and which add to the existing suite of interpretation offered.</w:t>
      </w:r>
    </w:p>
    <w:p w14:paraId="02E0F076" w14:textId="5CE95E6B"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21 - </w:t>
      </w:r>
      <w:r w:rsidRPr="00713C76">
        <w:rPr>
          <w:rFonts w:ascii="Corbel" w:eastAsia="Times New Roman" w:hAnsi="Corbel"/>
          <w:i/>
          <w:color w:val="000000"/>
          <w:sz w:val="23"/>
          <w:szCs w:val="23"/>
          <w:lang w:eastAsia="en-AU"/>
        </w:rPr>
        <w:t>Tasman Region Feasibility Study</w:t>
      </w:r>
      <w:r w:rsidRPr="00713C76">
        <w:rPr>
          <w:rFonts w:ascii="Corbel" w:eastAsia="Times New Roman" w:hAnsi="Corbel"/>
          <w:color w:val="000000"/>
          <w:sz w:val="23"/>
          <w:szCs w:val="23"/>
          <w:lang w:eastAsia="en-AU"/>
        </w:rPr>
        <w:t xml:space="preserve"> ($12,500)</w:t>
      </w:r>
      <w:proofErr w:type="gramStart"/>
      <w:r w:rsidRPr="00713C76">
        <w:rPr>
          <w:rFonts w:ascii="Corbel" w:eastAsia="Times New Roman" w:hAnsi="Corbel"/>
          <w:color w:val="000000"/>
          <w:sz w:val="23"/>
          <w:szCs w:val="23"/>
          <w:lang w:eastAsia="en-AU"/>
        </w:rPr>
        <w:t xml:space="preserve">.  </w:t>
      </w:r>
      <w:proofErr w:type="gramEnd"/>
      <w:r w:rsidR="00EB683B" w:rsidRPr="00874EB9">
        <w:rPr>
          <w:rFonts w:ascii="Corbel" w:eastAsia="Times New Roman" w:hAnsi="Corbel"/>
          <w:color w:val="000000"/>
          <w:sz w:val="23"/>
          <w:szCs w:val="23"/>
          <w:lang w:eastAsia="en-AU"/>
        </w:rPr>
        <w:t>This project is for the development of a feasibility study to identify potential investment and development opportunities in the Tasman region. The study will be utilised in the development of a structured plan to increase visitor number</w:t>
      </w:r>
      <w:r w:rsidR="006F2CDC">
        <w:rPr>
          <w:rFonts w:ascii="Corbel" w:eastAsia="Times New Roman" w:hAnsi="Corbel"/>
          <w:color w:val="000000"/>
          <w:sz w:val="23"/>
          <w:szCs w:val="23"/>
          <w:lang w:eastAsia="en-AU"/>
        </w:rPr>
        <w:t>s</w:t>
      </w:r>
      <w:r w:rsidR="00EB683B" w:rsidRPr="00874EB9">
        <w:rPr>
          <w:rFonts w:ascii="Corbel" w:eastAsia="Times New Roman" w:hAnsi="Corbel"/>
          <w:color w:val="000000"/>
          <w:sz w:val="23"/>
          <w:szCs w:val="23"/>
          <w:lang w:eastAsia="en-AU"/>
        </w:rPr>
        <w:t>, spending and dispersal throughout the region.</w:t>
      </w:r>
    </w:p>
    <w:p w14:paraId="0A758802" w14:textId="5449040B" w:rsidR="0030091F" w:rsidRPr="00874EB9"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874EB9">
        <w:rPr>
          <w:rFonts w:ascii="Corbel" w:eastAsia="Times New Roman" w:hAnsi="Corbel"/>
          <w:color w:val="000000"/>
          <w:sz w:val="23"/>
          <w:szCs w:val="23"/>
          <w:lang w:eastAsia="en-AU"/>
        </w:rPr>
        <w:t xml:space="preserve">Project 22 - </w:t>
      </w:r>
      <w:r w:rsidRPr="00C96FCD">
        <w:rPr>
          <w:rFonts w:ascii="Corbel" w:eastAsia="Times New Roman" w:hAnsi="Corbel"/>
          <w:i/>
          <w:color w:val="000000"/>
          <w:sz w:val="23"/>
          <w:szCs w:val="23"/>
          <w:lang w:eastAsia="en-AU"/>
        </w:rPr>
        <w:t xml:space="preserve">The Tasmanian Collection - Feasibility and Pilot Phase </w:t>
      </w:r>
      <w:r w:rsidRPr="00874EB9">
        <w:rPr>
          <w:rFonts w:ascii="Corbel" w:eastAsia="Times New Roman" w:hAnsi="Corbel"/>
          <w:color w:val="000000"/>
          <w:sz w:val="23"/>
          <w:szCs w:val="23"/>
          <w:lang w:eastAsia="en-AU"/>
        </w:rPr>
        <w:t>($58,150)</w:t>
      </w:r>
      <w:proofErr w:type="gramStart"/>
      <w:r w:rsidRPr="00874EB9">
        <w:rPr>
          <w:rFonts w:ascii="Corbel" w:eastAsia="Times New Roman" w:hAnsi="Corbel"/>
          <w:color w:val="000000"/>
          <w:sz w:val="23"/>
          <w:szCs w:val="23"/>
          <w:lang w:eastAsia="en-AU"/>
        </w:rPr>
        <w:t xml:space="preserve">.  </w:t>
      </w:r>
      <w:proofErr w:type="gramEnd"/>
      <w:r w:rsidR="0080607E" w:rsidRPr="0080607E">
        <w:rPr>
          <w:rFonts w:ascii="Corbel" w:eastAsia="Times New Roman" w:hAnsi="Corbel"/>
          <w:color w:val="000000"/>
          <w:sz w:val="23"/>
          <w:szCs w:val="23"/>
          <w:lang w:eastAsia="en-AU"/>
        </w:rPr>
        <w:t>This project is for both a feasibility study and a pilot phase of a computer platform that will present Tasmania’s cultural assets online. The information be</w:t>
      </w:r>
      <w:r w:rsidR="0080607E">
        <w:rPr>
          <w:rFonts w:ascii="Corbel" w:eastAsia="Times New Roman" w:hAnsi="Corbel"/>
          <w:color w:val="000000"/>
          <w:sz w:val="23"/>
          <w:szCs w:val="23"/>
          <w:lang w:eastAsia="en-AU"/>
        </w:rPr>
        <w:t>ing</w:t>
      </w:r>
      <w:r w:rsidR="0080607E" w:rsidRPr="0080607E">
        <w:rPr>
          <w:rFonts w:ascii="Corbel" w:eastAsia="Times New Roman" w:hAnsi="Corbel"/>
          <w:color w:val="000000"/>
          <w:sz w:val="23"/>
          <w:szCs w:val="23"/>
          <w:lang w:eastAsia="en-AU"/>
        </w:rPr>
        <w:t xml:space="preserve"> provided include</w:t>
      </w:r>
      <w:r w:rsidR="0080607E">
        <w:rPr>
          <w:rFonts w:ascii="Corbel" w:eastAsia="Times New Roman" w:hAnsi="Corbel"/>
          <w:color w:val="000000"/>
          <w:sz w:val="23"/>
          <w:szCs w:val="23"/>
          <w:lang w:eastAsia="en-AU"/>
        </w:rPr>
        <w:t>s</w:t>
      </w:r>
      <w:r w:rsidR="0080607E" w:rsidRPr="0080607E">
        <w:rPr>
          <w:rFonts w:ascii="Corbel" w:eastAsia="Times New Roman" w:hAnsi="Corbel"/>
          <w:color w:val="000000"/>
          <w:sz w:val="23"/>
          <w:szCs w:val="23"/>
          <w:lang w:eastAsia="en-AU"/>
        </w:rPr>
        <w:t xml:space="preserve"> Tasmania’s cultural and heritage assets.</w:t>
      </w:r>
    </w:p>
    <w:p w14:paraId="59EF5D7D" w14:textId="69A33ED7"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23 - </w:t>
      </w:r>
      <w:proofErr w:type="spellStart"/>
      <w:r w:rsidRPr="00713C76">
        <w:rPr>
          <w:rFonts w:ascii="Corbel" w:eastAsia="Times New Roman" w:hAnsi="Corbel"/>
          <w:i/>
          <w:color w:val="000000"/>
          <w:sz w:val="23"/>
          <w:szCs w:val="23"/>
          <w:lang w:eastAsia="en-AU"/>
        </w:rPr>
        <w:t>Narryna</w:t>
      </w:r>
      <w:proofErr w:type="spellEnd"/>
      <w:r w:rsidRPr="00713C76">
        <w:rPr>
          <w:rFonts w:ascii="Corbel" w:eastAsia="Times New Roman" w:hAnsi="Corbel"/>
          <w:i/>
          <w:color w:val="000000"/>
          <w:sz w:val="23"/>
          <w:szCs w:val="23"/>
          <w:lang w:eastAsia="en-AU"/>
        </w:rPr>
        <w:t xml:space="preserve"> - Redevelopment of museum outbuildings</w:t>
      </w:r>
      <w:r w:rsidRPr="00713C76">
        <w:rPr>
          <w:rFonts w:ascii="Corbel" w:eastAsia="Times New Roman" w:hAnsi="Corbel"/>
          <w:color w:val="000000"/>
          <w:sz w:val="23"/>
          <w:szCs w:val="23"/>
          <w:lang w:eastAsia="en-AU"/>
        </w:rPr>
        <w:t xml:space="preserve"> ($50,000)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The project will redevelop the </w:t>
      </w:r>
      <w:proofErr w:type="spellStart"/>
      <w:r w:rsidRPr="00713C76">
        <w:rPr>
          <w:rFonts w:ascii="Corbel" w:eastAsia="Times New Roman" w:hAnsi="Corbel"/>
          <w:color w:val="000000"/>
          <w:sz w:val="23"/>
          <w:szCs w:val="23"/>
          <w:lang w:eastAsia="en-AU"/>
        </w:rPr>
        <w:t>Narryna</w:t>
      </w:r>
      <w:proofErr w:type="spellEnd"/>
      <w:r w:rsidRPr="00713C76">
        <w:rPr>
          <w:rFonts w:ascii="Corbel" w:eastAsia="Times New Roman" w:hAnsi="Corbel"/>
          <w:color w:val="000000"/>
          <w:sz w:val="23"/>
          <w:szCs w:val="23"/>
          <w:lang w:eastAsia="en-AU"/>
        </w:rPr>
        <w:t xml:space="preserve"> Heritage Museum courtyard outbuildings and stables as infrastructure for events.</w:t>
      </w:r>
      <w:r w:rsidR="00364F28">
        <w:rPr>
          <w:rFonts w:ascii="Corbel" w:eastAsia="Times New Roman" w:hAnsi="Corbel"/>
          <w:color w:val="000000"/>
          <w:sz w:val="23"/>
          <w:szCs w:val="23"/>
          <w:lang w:eastAsia="en-AU"/>
        </w:rPr>
        <w:t xml:space="preserve"> The refurbished areas will include a kitchen and a flexible space for events.</w:t>
      </w:r>
    </w:p>
    <w:p w14:paraId="4EE26E0D" w14:textId="1B43DA22"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24 - </w:t>
      </w:r>
      <w:r w:rsidRPr="00713C76">
        <w:rPr>
          <w:rFonts w:ascii="Corbel" w:eastAsia="Times New Roman" w:hAnsi="Corbel"/>
          <w:i/>
          <w:color w:val="000000"/>
          <w:sz w:val="23"/>
          <w:szCs w:val="23"/>
          <w:lang w:eastAsia="en-AU"/>
        </w:rPr>
        <w:t>Port Arthu</w:t>
      </w:r>
      <w:r w:rsidR="00C96FCD">
        <w:rPr>
          <w:rFonts w:ascii="Corbel" w:eastAsia="Times New Roman" w:hAnsi="Corbel"/>
          <w:i/>
          <w:color w:val="000000"/>
          <w:sz w:val="23"/>
          <w:szCs w:val="23"/>
          <w:lang w:eastAsia="en-AU"/>
        </w:rPr>
        <w:t>r Historic Site Visitor Centre Ma</w:t>
      </w:r>
      <w:r w:rsidRPr="00713C76">
        <w:rPr>
          <w:rFonts w:ascii="Corbel" w:eastAsia="Times New Roman" w:hAnsi="Corbel"/>
          <w:i/>
          <w:color w:val="000000"/>
          <w:sz w:val="23"/>
          <w:szCs w:val="23"/>
          <w:lang w:eastAsia="en-AU"/>
        </w:rPr>
        <w:t>ster</w:t>
      </w:r>
      <w:r w:rsidR="00C96FCD">
        <w:rPr>
          <w:rFonts w:ascii="Corbel" w:eastAsia="Times New Roman" w:hAnsi="Corbel"/>
          <w:i/>
          <w:color w:val="000000"/>
          <w:sz w:val="23"/>
          <w:szCs w:val="23"/>
          <w:lang w:eastAsia="en-AU"/>
        </w:rPr>
        <w:t xml:space="preserve"> P</w:t>
      </w:r>
      <w:r w:rsidRPr="00713C76">
        <w:rPr>
          <w:rFonts w:ascii="Corbel" w:eastAsia="Times New Roman" w:hAnsi="Corbel"/>
          <w:i/>
          <w:color w:val="000000"/>
          <w:sz w:val="23"/>
          <w:szCs w:val="23"/>
          <w:lang w:eastAsia="en-AU"/>
        </w:rPr>
        <w:t>lan</w:t>
      </w:r>
      <w:r w:rsidR="0080607E">
        <w:rPr>
          <w:rFonts w:ascii="Corbel" w:eastAsia="Times New Roman" w:hAnsi="Corbel"/>
          <w:color w:val="000000"/>
          <w:sz w:val="23"/>
          <w:szCs w:val="23"/>
          <w:lang w:eastAsia="en-AU"/>
        </w:rPr>
        <w:t xml:space="preserve"> ($206,125)</w:t>
      </w:r>
      <w:proofErr w:type="gramStart"/>
      <w:r w:rsidR="0080607E">
        <w:rPr>
          <w:rFonts w:ascii="Corbel" w:eastAsia="Times New Roman" w:hAnsi="Corbel"/>
          <w:color w:val="000000"/>
          <w:sz w:val="23"/>
          <w:szCs w:val="23"/>
          <w:lang w:eastAsia="en-AU"/>
        </w:rPr>
        <w:t xml:space="preserve">.  </w:t>
      </w:r>
      <w:proofErr w:type="gramEnd"/>
      <w:r w:rsidR="0080607E">
        <w:rPr>
          <w:rFonts w:ascii="Corbel" w:eastAsia="Times New Roman" w:hAnsi="Corbel"/>
          <w:color w:val="000000"/>
          <w:sz w:val="23"/>
          <w:szCs w:val="23"/>
          <w:lang w:eastAsia="en-AU"/>
        </w:rPr>
        <w:t>T</w:t>
      </w:r>
      <w:r w:rsidRPr="00713C76">
        <w:rPr>
          <w:rFonts w:ascii="Corbel" w:eastAsia="Times New Roman" w:hAnsi="Corbel"/>
          <w:color w:val="000000"/>
          <w:sz w:val="23"/>
          <w:szCs w:val="23"/>
          <w:lang w:eastAsia="en-AU"/>
        </w:rPr>
        <w:t xml:space="preserve">his project </w:t>
      </w:r>
      <w:r w:rsidR="00364F28">
        <w:rPr>
          <w:rFonts w:ascii="Corbel" w:eastAsia="Times New Roman" w:hAnsi="Corbel"/>
          <w:color w:val="000000"/>
          <w:sz w:val="23"/>
          <w:szCs w:val="23"/>
          <w:lang w:eastAsia="en-AU"/>
        </w:rPr>
        <w:t xml:space="preserve">is </w:t>
      </w:r>
      <w:r w:rsidRPr="00713C76">
        <w:rPr>
          <w:rFonts w:ascii="Corbel" w:eastAsia="Times New Roman" w:hAnsi="Corbel"/>
          <w:color w:val="000000"/>
          <w:sz w:val="23"/>
          <w:szCs w:val="23"/>
          <w:lang w:eastAsia="en-AU"/>
        </w:rPr>
        <w:t xml:space="preserve">for the staged redevelopment of the </w:t>
      </w:r>
      <w:r w:rsidR="00C96FCD" w:rsidRPr="00713C76">
        <w:rPr>
          <w:rFonts w:ascii="Corbel" w:eastAsia="Times New Roman" w:hAnsi="Corbel"/>
          <w:color w:val="000000"/>
          <w:sz w:val="23"/>
          <w:szCs w:val="23"/>
          <w:lang w:eastAsia="en-AU"/>
        </w:rPr>
        <w:t xml:space="preserve">visitor centre </w:t>
      </w:r>
      <w:r w:rsidR="00C96FCD">
        <w:rPr>
          <w:rFonts w:ascii="Corbel" w:eastAsia="Times New Roman" w:hAnsi="Corbel"/>
          <w:color w:val="000000"/>
          <w:sz w:val="23"/>
          <w:szCs w:val="23"/>
          <w:lang w:eastAsia="en-AU"/>
        </w:rPr>
        <w:t xml:space="preserve">at </w:t>
      </w:r>
      <w:r w:rsidRPr="00713C76">
        <w:rPr>
          <w:rFonts w:ascii="Corbel" w:eastAsia="Times New Roman" w:hAnsi="Corbel"/>
          <w:color w:val="000000"/>
          <w:sz w:val="23"/>
          <w:szCs w:val="23"/>
          <w:lang w:eastAsia="en-AU"/>
        </w:rPr>
        <w:t>Port Arthur Historic Site.</w:t>
      </w:r>
      <w:r w:rsidR="00364F28">
        <w:rPr>
          <w:rFonts w:ascii="Corbel" w:eastAsia="Times New Roman" w:hAnsi="Corbel"/>
          <w:color w:val="000000"/>
          <w:sz w:val="23"/>
          <w:szCs w:val="23"/>
          <w:lang w:eastAsia="en-AU"/>
        </w:rPr>
        <w:t xml:space="preserve"> This stage will see the preparation of</w:t>
      </w:r>
      <w:r w:rsidR="00364F28" w:rsidRPr="00713C76">
        <w:rPr>
          <w:rFonts w:ascii="Corbel" w:eastAsia="Times New Roman" w:hAnsi="Corbel"/>
          <w:color w:val="000000"/>
          <w:sz w:val="23"/>
          <w:szCs w:val="23"/>
          <w:lang w:eastAsia="en-AU"/>
        </w:rPr>
        <w:t xml:space="preserve"> a </w:t>
      </w:r>
      <w:r w:rsidR="00C96FCD">
        <w:rPr>
          <w:rFonts w:ascii="Corbel" w:eastAsia="Times New Roman" w:hAnsi="Corbel"/>
          <w:color w:val="000000"/>
          <w:sz w:val="23"/>
          <w:szCs w:val="23"/>
          <w:lang w:eastAsia="en-AU"/>
        </w:rPr>
        <w:t>p</w:t>
      </w:r>
      <w:r w:rsidR="00364F28" w:rsidRPr="00713C76">
        <w:rPr>
          <w:rFonts w:ascii="Corbel" w:eastAsia="Times New Roman" w:hAnsi="Corbel"/>
          <w:color w:val="000000"/>
          <w:sz w:val="23"/>
          <w:szCs w:val="23"/>
          <w:lang w:eastAsia="en-AU"/>
        </w:rPr>
        <w:t>lan</w:t>
      </w:r>
      <w:r w:rsidR="00364F28">
        <w:rPr>
          <w:rFonts w:ascii="Corbel" w:eastAsia="Times New Roman" w:hAnsi="Corbel"/>
          <w:color w:val="000000"/>
          <w:sz w:val="23"/>
          <w:szCs w:val="23"/>
          <w:lang w:eastAsia="en-AU"/>
        </w:rPr>
        <w:t xml:space="preserve"> for the redevelopment to completion.</w:t>
      </w:r>
    </w:p>
    <w:p w14:paraId="5FA4B79F" w14:textId="4C366752" w:rsidR="0030091F" w:rsidRPr="00C148A3"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25 - </w:t>
      </w:r>
      <w:r w:rsidRPr="00C96FCD">
        <w:rPr>
          <w:rFonts w:ascii="Corbel" w:eastAsia="Times New Roman" w:hAnsi="Corbel"/>
          <w:i/>
          <w:color w:val="000000"/>
          <w:sz w:val="23"/>
          <w:szCs w:val="23"/>
          <w:lang w:eastAsia="en-AU"/>
        </w:rPr>
        <w:t>Tasmanian Gateway Visitor Engagement Program</w:t>
      </w:r>
      <w:r w:rsidRPr="00713C76">
        <w:rPr>
          <w:rFonts w:ascii="Corbel" w:eastAsia="Times New Roman" w:hAnsi="Corbel"/>
          <w:color w:val="000000"/>
          <w:sz w:val="23"/>
          <w:szCs w:val="23"/>
          <w:lang w:eastAsia="en-AU"/>
        </w:rPr>
        <w:t xml:space="preserve"> ($120,000)</w:t>
      </w:r>
      <w:proofErr w:type="gramStart"/>
      <w:r w:rsidRPr="00713C76">
        <w:rPr>
          <w:rFonts w:ascii="Corbel" w:eastAsia="Times New Roman" w:hAnsi="Corbel"/>
          <w:color w:val="000000"/>
          <w:sz w:val="23"/>
          <w:szCs w:val="23"/>
          <w:lang w:eastAsia="en-AU"/>
        </w:rPr>
        <w:t xml:space="preserve">.  </w:t>
      </w:r>
      <w:proofErr w:type="gramEnd"/>
      <w:r w:rsidR="00C148A3" w:rsidRPr="00C148A3">
        <w:rPr>
          <w:rFonts w:ascii="Corbel" w:eastAsia="Times New Roman" w:hAnsi="Corbel"/>
          <w:color w:val="000000"/>
          <w:sz w:val="23"/>
          <w:szCs w:val="23"/>
          <w:lang w:eastAsia="en-AU"/>
        </w:rPr>
        <w:t>This project will see similarly stylised permanent display booths installed at the Hobart and Launceston airports. The areas will have hard and electronic information available to incoming visitors.</w:t>
      </w:r>
    </w:p>
    <w:p w14:paraId="4D2532DE" w14:textId="77777777" w:rsidR="0030091F" w:rsidRPr="00713C76" w:rsidRDefault="0030091F" w:rsidP="00A55F03">
      <w:pPr>
        <w:pStyle w:val="ListParagraph"/>
        <w:numPr>
          <w:ilvl w:val="0"/>
          <w:numId w:val="29"/>
        </w:numPr>
        <w:spacing w:after="240" w:line="260" w:lineRule="exact"/>
        <w:ind w:left="924" w:hanging="357"/>
        <w:rPr>
          <w:rFonts w:ascii="Corbel" w:eastAsia="Times New Roman" w:hAnsi="Corbel"/>
          <w:color w:val="000000"/>
          <w:sz w:val="23"/>
          <w:szCs w:val="23"/>
          <w:lang w:eastAsia="en-AU"/>
        </w:rPr>
      </w:pPr>
      <w:r w:rsidRPr="00713C76">
        <w:rPr>
          <w:rFonts w:ascii="Corbel" w:eastAsia="Times New Roman" w:hAnsi="Corbel"/>
          <w:color w:val="000000"/>
          <w:sz w:val="23"/>
          <w:szCs w:val="23"/>
          <w:lang w:eastAsia="en-AU"/>
        </w:rPr>
        <w:t xml:space="preserve">Project 26 - </w:t>
      </w:r>
      <w:r w:rsidRPr="00713C76">
        <w:rPr>
          <w:rFonts w:ascii="Corbel" w:eastAsia="Times New Roman" w:hAnsi="Corbel"/>
          <w:i/>
          <w:color w:val="000000"/>
          <w:sz w:val="23"/>
          <w:szCs w:val="23"/>
          <w:lang w:eastAsia="en-AU"/>
        </w:rPr>
        <w:t>The Wonders of Wynyard</w:t>
      </w:r>
      <w:r w:rsidRPr="00713C76">
        <w:rPr>
          <w:rFonts w:ascii="Corbel" w:eastAsia="Times New Roman" w:hAnsi="Corbel"/>
          <w:color w:val="000000"/>
          <w:sz w:val="23"/>
          <w:szCs w:val="23"/>
          <w:lang w:eastAsia="en-AU"/>
        </w:rPr>
        <w:t xml:space="preserve"> ($10,000)</w:t>
      </w:r>
      <w:proofErr w:type="gramStart"/>
      <w:r w:rsidRPr="00713C76">
        <w:rPr>
          <w:rFonts w:ascii="Corbel" w:eastAsia="Times New Roman" w:hAnsi="Corbel"/>
          <w:color w:val="000000"/>
          <w:sz w:val="23"/>
          <w:szCs w:val="23"/>
          <w:lang w:eastAsia="en-AU"/>
        </w:rPr>
        <w:t xml:space="preserve">.  </w:t>
      </w:r>
      <w:proofErr w:type="gramEnd"/>
      <w:r w:rsidRPr="00713C76">
        <w:rPr>
          <w:rFonts w:ascii="Corbel" w:eastAsia="Times New Roman" w:hAnsi="Corbel"/>
          <w:color w:val="000000"/>
          <w:sz w:val="23"/>
          <w:szCs w:val="23"/>
          <w:lang w:eastAsia="en-AU"/>
        </w:rPr>
        <w:t xml:space="preserve">This project involves the design and installation of interactive technologies at the </w:t>
      </w:r>
      <w:proofErr w:type="spellStart"/>
      <w:r w:rsidRPr="00713C76">
        <w:rPr>
          <w:rFonts w:ascii="Corbel" w:eastAsia="Times New Roman" w:hAnsi="Corbel"/>
          <w:color w:val="000000"/>
          <w:sz w:val="23"/>
          <w:szCs w:val="23"/>
          <w:lang w:eastAsia="en-AU"/>
        </w:rPr>
        <w:t>Ransley</w:t>
      </w:r>
      <w:proofErr w:type="spellEnd"/>
      <w:r w:rsidRPr="00713C76">
        <w:rPr>
          <w:rFonts w:ascii="Corbel" w:eastAsia="Times New Roman" w:hAnsi="Corbel"/>
          <w:color w:val="000000"/>
          <w:sz w:val="23"/>
          <w:szCs w:val="23"/>
          <w:lang w:eastAsia="en-AU"/>
        </w:rPr>
        <w:t xml:space="preserve"> Veteran Car Collection. </w:t>
      </w:r>
    </w:p>
    <w:p w14:paraId="48E9E9B7" w14:textId="77777777" w:rsidR="00220366" w:rsidRDefault="00220366" w:rsidP="00A54D46"/>
    <w:p w14:paraId="1F639647" w14:textId="4B039530" w:rsidR="00964D0B" w:rsidRPr="00A54D46" w:rsidRDefault="00964D0B" w:rsidP="00A54D46">
      <w:r w:rsidRPr="00981DC7">
        <w:lastRenderedPageBreak/>
        <w:t>To deliver the outputs of this Agreement, the following project</w:t>
      </w:r>
      <w:r w:rsidR="00AE276E">
        <w:t>s</w:t>
      </w:r>
      <w:r w:rsidRPr="00981DC7">
        <w:t xml:space="preserve"> will be delivered </w:t>
      </w:r>
      <w:r w:rsidR="00981DC7">
        <w:t>by</w:t>
      </w:r>
      <w:r w:rsidRPr="00981DC7">
        <w:t xml:space="preserve"> </w:t>
      </w:r>
      <w:r w:rsidR="004340D2">
        <w:t>Tasmania</w:t>
      </w:r>
      <w:r w:rsidR="0030091F">
        <w:t xml:space="preserve"> in 2014-15</w:t>
      </w:r>
      <w:r w:rsidRPr="00A54D46">
        <w:t>:</w:t>
      </w:r>
    </w:p>
    <w:p w14:paraId="4A88EF91" w14:textId="6D320ED1" w:rsidR="00964D0B" w:rsidRPr="0033601B" w:rsidRDefault="007C4931" w:rsidP="00D1326B">
      <w:pPr>
        <w:pStyle w:val="Normalnumbered"/>
        <w:numPr>
          <w:ilvl w:val="0"/>
          <w:numId w:val="30"/>
        </w:numPr>
        <w:tabs>
          <w:tab w:val="left" w:pos="1134"/>
        </w:tabs>
        <w:ind w:left="924" w:hanging="357"/>
        <w:jc w:val="left"/>
      </w:pPr>
      <w:r w:rsidRPr="0033601B">
        <w:t xml:space="preserve">Project 1 </w:t>
      </w:r>
      <w:r w:rsidR="0098591E" w:rsidRPr="0033601B">
        <w:t>–</w:t>
      </w:r>
      <w:r w:rsidR="004340D2" w:rsidRPr="0033601B">
        <w:rPr>
          <w:i/>
        </w:rPr>
        <w:t xml:space="preserve"> East Cove Jetty at Adventure Bay, Bruny Island </w:t>
      </w:r>
      <w:r w:rsidR="00AA35FC" w:rsidRPr="0033601B">
        <w:t>($</w:t>
      </w:r>
      <w:r w:rsidR="004340D2" w:rsidRPr="0033601B">
        <w:t>250,000</w:t>
      </w:r>
      <w:r w:rsidR="00AA35FC" w:rsidRPr="0033601B">
        <w:t>)</w:t>
      </w:r>
      <w:proofErr w:type="gramStart"/>
      <w:r w:rsidR="00AA35FC" w:rsidRPr="0033601B">
        <w:t>.</w:t>
      </w:r>
      <w:r w:rsidR="0099699D" w:rsidRPr="0033601B">
        <w:t xml:space="preserve"> </w:t>
      </w:r>
      <w:r w:rsidR="00AA35FC" w:rsidRPr="0033601B">
        <w:t xml:space="preserve"> </w:t>
      </w:r>
      <w:proofErr w:type="gramEnd"/>
      <w:r w:rsidR="004340D2" w:rsidRPr="0033601B">
        <w:t>Construction of a public jetty at East Cove, Bruny Island that will provide unrestricted public access and enable the ongoing operation of tour providers</w:t>
      </w:r>
      <w:proofErr w:type="gramStart"/>
      <w:r w:rsidR="004340D2" w:rsidRPr="0033601B">
        <w:t xml:space="preserve">.  </w:t>
      </w:r>
      <w:proofErr w:type="gramEnd"/>
      <w:r w:rsidR="004340D2" w:rsidRPr="0033601B">
        <w:t>This project forms part of a larger $5 million tourist visitor centre project that includes development of a restaurant, gift shop, amenities and an office</w:t>
      </w:r>
      <w:r w:rsidR="00247600" w:rsidRPr="0033601B">
        <w:t>.</w:t>
      </w:r>
    </w:p>
    <w:p w14:paraId="025B7C59" w14:textId="032DED8B" w:rsidR="00964D0B" w:rsidRPr="0033601B" w:rsidRDefault="00B71801" w:rsidP="00D1326B">
      <w:pPr>
        <w:pStyle w:val="Normalnumbered"/>
        <w:numPr>
          <w:ilvl w:val="0"/>
          <w:numId w:val="30"/>
        </w:numPr>
        <w:tabs>
          <w:tab w:val="left" w:pos="1134"/>
        </w:tabs>
        <w:ind w:left="924" w:hanging="357"/>
        <w:jc w:val="left"/>
      </w:pPr>
      <w:r w:rsidRPr="0033601B">
        <w:t xml:space="preserve">Project 2 </w:t>
      </w:r>
      <w:r w:rsidR="00A54D46" w:rsidRPr="0033601B">
        <w:t xml:space="preserve">– </w:t>
      </w:r>
      <w:r w:rsidR="004340D2" w:rsidRPr="0033601B">
        <w:rPr>
          <w:i/>
        </w:rPr>
        <w:t>Cradle Mountain Visitor Experience Master Plan</w:t>
      </w:r>
      <w:r w:rsidR="004C7C9D" w:rsidRPr="0033601B">
        <w:t xml:space="preserve"> ($</w:t>
      </w:r>
      <w:r w:rsidR="004340D2" w:rsidRPr="0033601B">
        <w:t>50,000</w:t>
      </w:r>
      <w:r w:rsidR="004C7C9D" w:rsidRPr="0033601B">
        <w:t>)</w:t>
      </w:r>
      <w:proofErr w:type="gramStart"/>
      <w:r w:rsidR="004C7C9D" w:rsidRPr="0033601B">
        <w:t>.</w:t>
      </w:r>
      <w:r w:rsidR="00247600" w:rsidRPr="0033601B">
        <w:t xml:space="preserve"> </w:t>
      </w:r>
      <w:r w:rsidR="004340D2" w:rsidRPr="0033601B">
        <w:t xml:space="preserve"> </w:t>
      </w:r>
      <w:proofErr w:type="gramEnd"/>
      <w:r w:rsidR="004340D2" w:rsidRPr="0033601B">
        <w:t>Development of a Cradle Mountain Revitalisation Master Plan which will include a comprehensive business plan on a major upgrade of visitor infrastructure at Cradle Mountain.</w:t>
      </w:r>
    </w:p>
    <w:p w14:paraId="0ABE20AD" w14:textId="63FA5E9D" w:rsidR="00964D0B" w:rsidRPr="0033601B" w:rsidRDefault="007C4931" w:rsidP="00D1326B">
      <w:pPr>
        <w:pStyle w:val="Normalnumbered"/>
        <w:numPr>
          <w:ilvl w:val="0"/>
          <w:numId w:val="30"/>
        </w:numPr>
        <w:tabs>
          <w:tab w:val="left" w:pos="1134"/>
        </w:tabs>
        <w:ind w:left="924" w:hanging="357"/>
        <w:jc w:val="left"/>
      </w:pPr>
      <w:r w:rsidRPr="0033601B">
        <w:t xml:space="preserve">Project 3 </w:t>
      </w:r>
      <w:r w:rsidR="00CA64FB" w:rsidRPr="0033601B">
        <w:t xml:space="preserve">– </w:t>
      </w:r>
      <w:r w:rsidR="004340D2" w:rsidRPr="0033601B">
        <w:rPr>
          <w:i/>
        </w:rPr>
        <w:t xml:space="preserve">Devil's Corner Visitor Node </w:t>
      </w:r>
      <w:r w:rsidR="004C7C9D" w:rsidRPr="0033601B">
        <w:t>($</w:t>
      </w:r>
      <w:r w:rsidR="004340D2" w:rsidRPr="0033601B">
        <w:t>110,000</w:t>
      </w:r>
      <w:r w:rsidR="004C7C9D" w:rsidRPr="0033601B">
        <w:t>)</w:t>
      </w:r>
      <w:proofErr w:type="gramStart"/>
      <w:r w:rsidR="004C7C9D" w:rsidRPr="0033601B">
        <w:t>.</w:t>
      </w:r>
      <w:r w:rsidR="00247600" w:rsidRPr="0033601B">
        <w:t xml:space="preserve"> </w:t>
      </w:r>
      <w:r w:rsidR="00B71801" w:rsidRPr="0033601B">
        <w:t xml:space="preserve"> </w:t>
      </w:r>
      <w:proofErr w:type="gramEnd"/>
      <w:r w:rsidR="00B71801" w:rsidRPr="0033601B">
        <w:t xml:space="preserve">Development of a look-out, cellar door, pop-up café and food experience and expansion of the Devil’s Corner Visitor Node to include free </w:t>
      </w:r>
      <w:proofErr w:type="spellStart"/>
      <w:r w:rsidR="00B71801" w:rsidRPr="0033601B">
        <w:t>wi-fi</w:t>
      </w:r>
      <w:proofErr w:type="spellEnd"/>
      <w:r w:rsidR="00B71801" w:rsidRPr="0033601B">
        <w:t>, rest rooms, interpretation and signage, visitor parking and a seasonal, pop-up visitor information centre.</w:t>
      </w:r>
    </w:p>
    <w:p w14:paraId="2B727E5A" w14:textId="22DEA943" w:rsidR="00B71801" w:rsidRPr="0033601B" w:rsidRDefault="00B71801" w:rsidP="00D1326B">
      <w:pPr>
        <w:pStyle w:val="Normalnumbered"/>
        <w:numPr>
          <w:ilvl w:val="0"/>
          <w:numId w:val="30"/>
        </w:numPr>
        <w:tabs>
          <w:tab w:val="left" w:pos="1134"/>
        </w:tabs>
        <w:ind w:left="924" w:hanging="357"/>
        <w:jc w:val="left"/>
      </w:pPr>
      <w:r w:rsidRPr="0033601B">
        <w:t xml:space="preserve">Project 4 – </w:t>
      </w:r>
      <w:r w:rsidRPr="0033601B">
        <w:rPr>
          <w:i/>
        </w:rPr>
        <w:t>Northern Tasmania Cycling Strategy</w:t>
      </w:r>
      <w:r w:rsidR="00890595" w:rsidRPr="0033601B">
        <w:rPr>
          <w:i/>
        </w:rPr>
        <w:t xml:space="preserve"> </w:t>
      </w:r>
      <w:r w:rsidR="00890595" w:rsidRPr="0033601B">
        <w:t>($20,000)</w:t>
      </w:r>
      <w:proofErr w:type="gramStart"/>
      <w:r w:rsidR="00890595" w:rsidRPr="0033601B">
        <w:t xml:space="preserve">.  </w:t>
      </w:r>
      <w:proofErr w:type="gramEnd"/>
      <w:r w:rsidR="00860869" w:rsidRPr="0033601B">
        <w:t xml:space="preserve">Creation of a </w:t>
      </w:r>
      <w:r w:rsidR="00890595" w:rsidRPr="0033601B">
        <w:t>cycling strategy for Northern Tasmania, including a vision, objectives and key priority actions for the development of the region and the state as a cycling destination.</w:t>
      </w:r>
    </w:p>
    <w:p w14:paraId="17A6DCA5" w14:textId="3E474346" w:rsidR="00890595" w:rsidRPr="0033601B" w:rsidRDefault="00890595" w:rsidP="00D1326B">
      <w:pPr>
        <w:pStyle w:val="Normalnumbered"/>
        <w:numPr>
          <w:ilvl w:val="0"/>
          <w:numId w:val="30"/>
        </w:numPr>
        <w:tabs>
          <w:tab w:val="left" w:pos="1134"/>
        </w:tabs>
        <w:ind w:left="924" w:hanging="357"/>
        <w:jc w:val="left"/>
      </w:pPr>
      <w:r w:rsidRPr="0033601B">
        <w:t xml:space="preserve">Project 5 – </w:t>
      </w:r>
      <w:r w:rsidRPr="0033601B">
        <w:rPr>
          <w:i/>
        </w:rPr>
        <w:t>Northern Tasmania Infrastructure Audit</w:t>
      </w:r>
      <w:r w:rsidRPr="0033601B">
        <w:t xml:space="preserve"> ($60,000)</w:t>
      </w:r>
      <w:proofErr w:type="gramStart"/>
      <w:r w:rsidRPr="0033601B">
        <w:t xml:space="preserve">.  </w:t>
      </w:r>
      <w:proofErr w:type="gramEnd"/>
      <w:r w:rsidRPr="0033601B">
        <w:t>Conduct an audit on current and recommended future infrastructure needs of Northern Tasmania with the aim to identify prioritised opportunities for private and public sector tourism investment in the region.</w:t>
      </w:r>
    </w:p>
    <w:p w14:paraId="4EECABB8" w14:textId="14528EA6" w:rsidR="00890595" w:rsidRPr="0033601B" w:rsidRDefault="00890595" w:rsidP="00D1326B">
      <w:pPr>
        <w:pStyle w:val="Normalnumbered"/>
        <w:numPr>
          <w:ilvl w:val="0"/>
          <w:numId w:val="30"/>
        </w:numPr>
        <w:tabs>
          <w:tab w:val="left" w:pos="1134"/>
        </w:tabs>
        <w:ind w:left="924" w:hanging="357"/>
        <w:jc w:val="left"/>
      </w:pPr>
      <w:r w:rsidRPr="0033601B">
        <w:t xml:space="preserve">Project 6 – </w:t>
      </w:r>
      <w:r w:rsidRPr="0033601B">
        <w:rPr>
          <w:i/>
        </w:rPr>
        <w:t xml:space="preserve">Free Tourist Wi-Fi </w:t>
      </w:r>
      <w:r w:rsidRPr="0033601B">
        <w:t xml:space="preserve">($125,000).  Provision of free tourist </w:t>
      </w:r>
      <w:proofErr w:type="spellStart"/>
      <w:r w:rsidRPr="0033601B">
        <w:t>wi-fi</w:t>
      </w:r>
      <w:proofErr w:type="spellEnd"/>
      <w:r w:rsidRPr="0033601B">
        <w:t xml:space="preserve"> in up to 50 locations across Tasmania, including key tourist hubs.  TDDI funds will be used towards the first stage of this four year project. Stage one includes public consultation, scope and design development, location identification, and commencement of procurement and planning processes.</w:t>
      </w:r>
    </w:p>
    <w:p w14:paraId="21E80979" w14:textId="3715758C" w:rsidR="00890595" w:rsidRPr="0033601B" w:rsidRDefault="00890595" w:rsidP="00D1326B">
      <w:pPr>
        <w:pStyle w:val="Normalnumbered"/>
        <w:numPr>
          <w:ilvl w:val="0"/>
          <w:numId w:val="30"/>
        </w:numPr>
        <w:tabs>
          <w:tab w:val="left" w:pos="1134"/>
        </w:tabs>
        <w:ind w:left="924" w:hanging="357"/>
        <w:jc w:val="left"/>
      </w:pPr>
      <w:r w:rsidRPr="0033601B">
        <w:t xml:space="preserve">Project 7 – </w:t>
      </w:r>
      <w:r w:rsidRPr="0033601B">
        <w:rPr>
          <w:i/>
        </w:rPr>
        <w:t xml:space="preserve">The </w:t>
      </w:r>
      <w:proofErr w:type="spellStart"/>
      <w:r w:rsidRPr="0033601B">
        <w:rPr>
          <w:i/>
        </w:rPr>
        <w:t>Wukalina</w:t>
      </w:r>
      <w:proofErr w:type="spellEnd"/>
      <w:r w:rsidRPr="0033601B">
        <w:rPr>
          <w:i/>
        </w:rPr>
        <w:t xml:space="preserve"> to </w:t>
      </w:r>
      <w:proofErr w:type="spellStart"/>
      <w:r w:rsidRPr="0033601B">
        <w:rPr>
          <w:i/>
        </w:rPr>
        <w:t>Larapuna</w:t>
      </w:r>
      <w:proofErr w:type="spellEnd"/>
      <w:r w:rsidRPr="0033601B">
        <w:rPr>
          <w:i/>
        </w:rPr>
        <w:t xml:space="preserve"> Cultural Walk </w:t>
      </w:r>
      <w:r w:rsidRPr="0033601B">
        <w:t>($15,2</w:t>
      </w:r>
      <w:r w:rsidR="005D5576" w:rsidRPr="0033601B">
        <w:t>8</w:t>
      </w:r>
      <w:r w:rsidRPr="0033601B">
        <w:t>0).  TDDI funds will be used towards the first stage of this project.  Stage one comprises a report on consumer research, field trips and competitor research in order to determine the viability of developing the overall project to create an eco-walk in Tasmania’s North East that has a focus on Aboriginal culture and heritage.</w:t>
      </w:r>
    </w:p>
    <w:p w14:paraId="65641D42" w14:textId="6605C58E" w:rsidR="008E43E8" w:rsidRPr="0033601B" w:rsidRDefault="008E43E8" w:rsidP="00D1326B">
      <w:pPr>
        <w:pStyle w:val="Normalnumbered"/>
        <w:numPr>
          <w:ilvl w:val="0"/>
          <w:numId w:val="30"/>
        </w:numPr>
        <w:tabs>
          <w:tab w:val="left" w:pos="1134"/>
        </w:tabs>
        <w:ind w:left="924" w:hanging="357"/>
        <w:jc w:val="left"/>
      </w:pPr>
      <w:r w:rsidRPr="0033601B">
        <w:t xml:space="preserve">Project 8 – </w:t>
      </w:r>
      <w:r w:rsidRPr="0033601B">
        <w:rPr>
          <w:i/>
        </w:rPr>
        <w:t xml:space="preserve">Development of Visitor Amenities at Derwent Bridge </w:t>
      </w:r>
      <w:r w:rsidRPr="0033601B">
        <w:t>($88,670).  Development of visitor amenities including toilet facilities, rest and recreational areas and a visitor information hub.</w:t>
      </w:r>
    </w:p>
    <w:p w14:paraId="663CB6DE" w14:textId="77777777" w:rsidR="00870F03" w:rsidRPr="0033601B" w:rsidRDefault="008E43E8" w:rsidP="00D1326B">
      <w:pPr>
        <w:pStyle w:val="Normalnumbered"/>
        <w:numPr>
          <w:ilvl w:val="0"/>
          <w:numId w:val="30"/>
        </w:numPr>
        <w:tabs>
          <w:tab w:val="left" w:pos="1134"/>
        </w:tabs>
        <w:ind w:left="924" w:hanging="357"/>
        <w:jc w:val="left"/>
      </w:pPr>
      <w:r w:rsidRPr="0033601B">
        <w:t>Project 9</w:t>
      </w:r>
      <w:r w:rsidR="005D5576" w:rsidRPr="0033601B">
        <w:t xml:space="preserve"> </w:t>
      </w:r>
      <w:r w:rsidRPr="0033601B">
        <w:t xml:space="preserve">– </w:t>
      </w:r>
      <w:r w:rsidRPr="0033601B">
        <w:rPr>
          <w:i/>
        </w:rPr>
        <w:t>Launceston Interpretative Information and Way-Finding</w:t>
      </w:r>
      <w:r w:rsidRPr="0033601B">
        <w:t xml:space="preserve"> ($50,000).  Development of a way-finding system using both static and electronic signage to direct and encourage tourists to connect with and explore iconic destinations within Launceston's central business district and its surrounds.</w:t>
      </w:r>
    </w:p>
    <w:p w14:paraId="708D87F7" w14:textId="3A75A1AE" w:rsidR="00870F03" w:rsidRPr="0033601B" w:rsidRDefault="0033601B" w:rsidP="00D1326B">
      <w:pPr>
        <w:pStyle w:val="Normalnumbered"/>
        <w:numPr>
          <w:ilvl w:val="0"/>
          <w:numId w:val="30"/>
        </w:numPr>
        <w:tabs>
          <w:tab w:val="left" w:pos="1134"/>
        </w:tabs>
        <w:ind w:left="924" w:hanging="357"/>
        <w:jc w:val="left"/>
      </w:pPr>
      <w:r>
        <w:t>Project 10</w:t>
      </w:r>
      <w:r w:rsidR="00870F03" w:rsidRPr="0033601B">
        <w:t xml:space="preserve"> – </w:t>
      </w:r>
      <w:r w:rsidR="00870F03" w:rsidRPr="0033601B">
        <w:rPr>
          <w:i/>
        </w:rPr>
        <w:t>Geeveston Visitor Hub Feasibility Study</w:t>
      </w:r>
      <w:r w:rsidR="00870F03" w:rsidRPr="0033601B">
        <w:t xml:space="preserve"> ($30,000).  Conduct a feasibility study to explore the viability of creating a visitor hub in the Geeveston Town Hall including an information centre, forestry heritage museum, gallery and retail space showcasing local produce and products.  The study will also assess the suitability of visitor accommodation in the building and make recommendations to enhance tourism in the region. </w:t>
      </w:r>
    </w:p>
    <w:p w14:paraId="43E8C935" w14:textId="17D74974" w:rsidR="002E3FD6" w:rsidRDefault="00981DC7" w:rsidP="002E3FD6">
      <w:pPr>
        <w:pStyle w:val="Normalnumbered"/>
        <w:numPr>
          <w:ilvl w:val="0"/>
          <w:numId w:val="0"/>
        </w:numPr>
        <w:tabs>
          <w:tab w:val="left" w:pos="567"/>
        </w:tabs>
        <w:ind w:left="567" w:hanging="567"/>
        <w:jc w:val="left"/>
      </w:pPr>
      <w:proofErr w:type="spellStart"/>
      <w:r>
        <w:lastRenderedPageBreak/>
        <w:t>A2</w:t>
      </w:r>
      <w:proofErr w:type="spellEnd"/>
      <w:r>
        <w:t>.</w:t>
      </w:r>
      <w:r>
        <w:tab/>
      </w:r>
      <w:r w:rsidR="00964D0B" w:rsidRPr="00981DC7">
        <w:t>Table 1 summari</w:t>
      </w:r>
      <w:r>
        <w:t>s</w:t>
      </w:r>
      <w:r w:rsidR="00964D0B" w:rsidRPr="00981DC7">
        <w:t xml:space="preserve">es the milestones for </w:t>
      </w:r>
      <w:r w:rsidR="001243DF" w:rsidRPr="00767A9E">
        <w:rPr>
          <w:color w:val="auto"/>
        </w:rPr>
        <w:t>agreed projects</w:t>
      </w:r>
      <w:r w:rsidR="00964D0B" w:rsidRPr="00981DC7">
        <w:t xml:space="preserve">, their relationship to the outputs, expected completion dates, relevant reporting dates and expected payments to be made.  The Commonwealth will make payments subject to the </w:t>
      </w:r>
      <w:r w:rsidR="003D70F4">
        <w:t xml:space="preserve">twice </w:t>
      </w:r>
      <w:r w:rsidR="00964D0B" w:rsidRPr="00981DC7">
        <w:t>annual performance report</w:t>
      </w:r>
      <w:r w:rsidR="003D70F4">
        <w:t>s</w:t>
      </w:r>
      <w:r w:rsidR="00964D0B" w:rsidRPr="00981DC7">
        <w:t xml:space="preserve"> demonstrating that relevant milestones have been met.</w:t>
      </w:r>
      <w:r w:rsidR="001A1A14">
        <w:t xml:space="preserve">    </w:t>
      </w:r>
    </w:p>
    <w:p w14:paraId="5950DFFE" w14:textId="77777777" w:rsidR="002767B8" w:rsidRDefault="002E3FD6" w:rsidP="002E3FD6">
      <w:pPr>
        <w:pStyle w:val="Normalnumbered"/>
        <w:numPr>
          <w:ilvl w:val="0"/>
          <w:numId w:val="0"/>
        </w:numPr>
        <w:tabs>
          <w:tab w:val="left" w:pos="567"/>
        </w:tabs>
        <w:ind w:left="567" w:hanging="567"/>
        <w:jc w:val="left"/>
      </w:pPr>
      <w:proofErr w:type="spellStart"/>
      <w:r>
        <w:t>A3</w:t>
      </w:r>
      <w:proofErr w:type="spellEnd"/>
      <w:r>
        <w:t>.</w:t>
      </w:r>
      <w:r>
        <w:tab/>
      </w:r>
      <w:r w:rsidRPr="00631CDA">
        <w:t xml:space="preserve">This </w:t>
      </w:r>
      <w:r>
        <w:t>S</w:t>
      </w:r>
      <w:r w:rsidRPr="00631CDA">
        <w:t>chedule will be varied from time to time to include additional projects</w:t>
      </w:r>
      <w:r w:rsidR="002767B8">
        <w:t xml:space="preserve"> up to the maximum estimated Commonwealth financial contribution</w:t>
      </w:r>
      <w:r w:rsidRPr="00631CDA">
        <w:t>, subject to the written agreement of Commonwealth and State portfolio ministers, in accordance with clause 22 of this Agreement.</w:t>
      </w:r>
    </w:p>
    <w:p w14:paraId="53EBCA9A" w14:textId="330C2B7B" w:rsidR="00964D0B" w:rsidRDefault="002767B8" w:rsidP="002E3FD6">
      <w:pPr>
        <w:pStyle w:val="Normalnumbered"/>
        <w:numPr>
          <w:ilvl w:val="0"/>
          <w:numId w:val="0"/>
        </w:numPr>
        <w:tabs>
          <w:tab w:val="left" w:pos="567"/>
        </w:tabs>
        <w:ind w:left="567" w:hanging="567"/>
        <w:jc w:val="left"/>
      </w:pPr>
      <w:proofErr w:type="spellStart"/>
      <w:r>
        <w:t>A4</w:t>
      </w:r>
      <w:proofErr w:type="spellEnd"/>
      <w:r>
        <w:t>.</w:t>
      </w:r>
      <w:r>
        <w:tab/>
      </w:r>
      <w:r w:rsidR="002E3FD6">
        <w:t xml:space="preserve">Where additional projects are agreed, Table 1 will be varied to include those projects and associated milestones and </w:t>
      </w:r>
      <w:r w:rsidR="00DF5D36">
        <w:t>payments.  Milestone</w:t>
      </w:r>
      <w:r w:rsidR="00061477">
        <w:t xml:space="preserve"> payments</w:t>
      </w:r>
      <w:r w:rsidR="00DF5D36">
        <w:t xml:space="preserve"> for additional projects will require demonstration, </w:t>
      </w:r>
      <w:r w:rsidR="00DF5D36" w:rsidRPr="00631CDA">
        <w:t xml:space="preserve">through provision of a progress report, that scheduled stages for </w:t>
      </w:r>
      <w:r w:rsidR="00DF5D36">
        <w:t>those</w:t>
      </w:r>
      <w:r w:rsidR="00DF5D36" w:rsidRPr="00631CDA">
        <w:t xml:space="preserve"> project</w:t>
      </w:r>
      <w:r w:rsidR="00DF5D36">
        <w:t>s</w:t>
      </w:r>
      <w:r w:rsidR="00DF5D36" w:rsidRPr="00631CDA">
        <w:t xml:space="preserve"> have been completed</w:t>
      </w:r>
      <w:r w:rsidR="00DF5D36">
        <w:t xml:space="preserve"> and that all previously agreed projects that were scheduled to be completed, have been completed within agreed timeframes.</w:t>
      </w:r>
      <w:r w:rsidR="00767A9E">
        <w:t xml:space="preserve">  Milestones for additional projects will be worded in accordance with this clause</w:t>
      </w:r>
      <w:r w:rsidR="00061477">
        <w:t xml:space="preserve">. </w:t>
      </w:r>
    </w:p>
    <w:p w14:paraId="54C1B019" w14:textId="427CCF63" w:rsidR="007B50EA" w:rsidRDefault="007B50EA" w:rsidP="007B50EA">
      <w:pPr>
        <w:pStyle w:val="Normalnumbered"/>
        <w:numPr>
          <w:ilvl w:val="0"/>
          <w:numId w:val="0"/>
        </w:numPr>
        <w:tabs>
          <w:tab w:val="left" w:pos="567"/>
        </w:tabs>
        <w:ind w:left="567" w:hanging="567"/>
        <w:jc w:val="left"/>
      </w:pPr>
      <w:proofErr w:type="spellStart"/>
      <w:r>
        <w:t>A5</w:t>
      </w:r>
      <w:proofErr w:type="spellEnd"/>
      <w:r>
        <w:t>.</w:t>
      </w:r>
      <w:r>
        <w:tab/>
      </w:r>
      <w:r w:rsidRPr="00981DC7">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17C8557B" w14:textId="77777777" w:rsidR="00981DC7" w:rsidRDefault="00981DC7" w:rsidP="00981DC7">
      <w:pPr>
        <w:pStyle w:val="Normalnumbered"/>
        <w:keepNext/>
        <w:numPr>
          <w:ilvl w:val="0"/>
          <w:numId w:val="0"/>
        </w:numPr>
        <w:ind w:left="360" w:hanging="360"/>
        <w:rPr>
          <w:b/>
        </w:rPr>
      </w:pPr>
      <w:r w:rsidRPr="001D3CAD">
        <w:rPr>
          <w:b/>
        </w:rPr>
        <w:t xml:space="preserve">Table </w:t>
      </w:r>
      <w:r>
        <w:rPr>
          <w:b/>
        </w:rPr>
        <w:t>1</w:t>
      </w:r>
      <w:r w:rsidRPr="001D3CAD">
        <w:t xml:space="preserve">: </w:t>
      </w:r>
      <w:r>
        <w:rPr>
          <w:b/>
        </w:rPr>
        <w:t>Performance requirements</w:t>
      </w:r>
      <w:r w:rsidRPr="001D3CAD">
        <w:rPr>
          <w:b/>
        </w:rPr>
        <w:t>,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402"/>
        <w:gridCol w:w="1984"/>
        <w:gridCol w:w="1985"/>
      </w:tblGrid>
      <w:tr w:rsidR="00964D0B" w:rsidRPr="00C26C5B" w14:paraId="2CA5B4DE" w14:textId="77777777" w:rsidTr="00440F9F">
        <w:trPr>
          <w:trHeight w:val="968"/>
        </w:trPr>
        <w:tc>
          <w:tcPr>
            <w:tcW w:w="2235" w:type="dxa"/>
            <w:tcBorders>
              <w:bottom w:val="single" w:sz="18" w:space="0" w:color="4F81BD"/>
            </w:tcBorders>
            <w:shd w:val="clear" w:color="auto" w:fill="C6D9F1" w:themeFill="text2" w:themeFillTint="33"/>
          </w:tcPr>
          <w:p w14:paraId="7B8419DC" w14:textId="6E4AC4A0" w:rsidR="00964D0B" w:rsidRPr="00C26C5B" w:rsidRDefault="00964D0B" w:rsidP="00440F9F">
            <w:pPr>
              <w:pStyle w:val="Heading2"/>
              <w:rPr>
                <w:bCs w:val="0"/>
                <w:sz w:val="24"/>
                <w:szCs w:val="24"/>
              </w:rPr>
            </w:pPr>
            <w:r w:rsidRPr="00C26C5B">
              <w:rPr>
                <w:bCs w:val="0"/>
                <w:sz w:val="24"/>
                <w:szCs w:val="24"/>
              </w:rPr>
              <w:t>Output</w:t>
            </w:r>
            <w:r>
              <w:rPr>
                <w:bCs w:val="0"/>
                <w:sz w:val="24"/>
                <w:szCs w:val="24"/>
              </w:rPr>
              <w:t>s</w:t>
            </w:r>
          </w:p>
        </w:tc>
        <w:tc>
          <w:tcPr>
            <w:tcW w:w="3402" w:type="dxa"/>
            <w:tcBorders>
              <w:bottom w:val="single" w:sz="18" w:space="0" w:color="4F81BD"/>
            </w:tcBorders>
            <w:shd w:val="clear" w:color="auto" w:fill="C6D9F1" w:themeFill="text2" w:themeFillTint="33"/>
          </w:tcPr>
          <w:p w14:paraId="15E10662" w14:textId="1DAD42D6" w:rsidR="00964D0B" w:rsidRPr="00C26C5B" w:rsidRDefault="002E3FD6" w:rsidP="00964D0B">
            <w:pPr>
              <w:pStyle w:val="Heading2"/>
              <w:rPr>
                <w:bCs w:val="0"/>
                <w:sz w:val="24"/>
                <w:szCs w:val="24"/>
              </w:rPr>
            </w:pPr>
            <w:r>
              <w:rPr>
                <w:bCs w:val="0"/>
                <w:sz w:val="24"/>
                <w:szCs w:val="24"/>
              </w:rPr>
              <w:t>M</w:t>
            </w:r>
            <w:r w:rsidR="00964D0B" w:rsidRPr="00C26C5B">
              <w:rPr>
                <w:bCs w:val="0"/>
                <w:sz w:val="24"/>
                <w:szCs w:val="24"/>
              </w:rPr>
              <w:t>ilestone</w:t>
            </w:r>
            <w:r w:rsidR="00964D0B" w:rsidRPr="00A9341B">
              <w:rPr>
                <w:bCs w:val="0"/>
                <w:sz w:val="24"/>
                <w:szCs w:val="24"/>
              </w:rPr>
              <w:t>s</w:t>
            </w:r>
          </w:p>
        </w:tc>
        <w:tc>
          <w:tcPr>
            <w:tcW w:w="1984" w:type="dxa"/>
            <w:tcBorders>
              <w:bottom w:val="single" w:sz="18" w:space="0" w:color="4F81BD"/>
            </w:tcBorders>
            <w:shd w:val="clear" w:color="auto" w:fill="C6D9F1" w:themeFill="text2" w:themeFillTint="33"/>
          </w:tcPr>
          <w:p w14:paraId="74BEA202" w14:textId="77777777" w:rsidR="00964D0B" w:rsidRPr="00D0312C" w:rsidRDefault="00964D0B" w:rsidP="00436448">
            <w:pPr>
              <w:pStyle w:val="Heading2"/>
              <w:rPr>
                <w:sz w:val="18"/>
                <w:szCs w:val="18"/>
              </w:rPr>
            </w:pPr>
            <w:r w:rsidRPr="00DE36EB">
              <w:rPr>
                <w:bCs w:val="0"/>
                <w:sz w:val="24"/>
                <w:szCs w:val="24"/>
              </w:rPr>
              <w:t>Report due</w:t>
            </w:r>
            <w:r>
              <w:rPr>
                <w:bCs w:val="0"/>
                <w:sz w:val="24"/>
                <w:szCs w:val="24"/>
              </w:rPr>
              <w:t xml:space="preserve"> </w:t>
            </w:r>
          </w:p>
        </w:tc>
        <w:tc>
          <w:tcPr>
            <w:tcW w:w="1985" w:type="dxa"/>
            <w:tcBorders>
              <w:bottom w:val="single" w:sz="18" w:space="0" w:color="4F81BD"/>
            </w:tcBorders>
            <w:shd w:val="clear" w:color="auto" w:fill="C6D9F1" w:themeFill="text2" w:themeFillTint="33"/>
          </w:tcPr>
          <w:p w14:paraId="505A20B6" w14:textId="77777777" w:rsidR="00964D0B" w:rsidRPr="00C26C5B" w:rsidRDefault="00964D0B" w:rsidP="00436448">
            <w:pPr>
              <w:pStyle w:val="Heading2"/>
              <w:rPr>
                <w:bCs w:val="0"/>
                <w:sz w:val="24"/>
                <w:szCs w:val="24"/>
              </w:rPr>
            </w:pPr>
            <w:r w:rsidRPr="00C26C5B">
              <w:rPr>
                <w:bCs w:val="0"/>
                <w:sz w:val="24"/>
                <w:szCs w:val="24"/>
              </w:rPr>
              <w:t>Payment</w:t>
            </w:r>
          </w:p>
        </w:tc>
      </w:tr>
      <w:tr w:rsidR="00572BE5" w14:paraId="1E36D614" w14:textId="77777777" w:rsidTr="008B4FE9">
        <w:trPr>
          <w:trHeight w:val="1800"/>
        </w:trPr>
        <w:tc>
          <w:tcPr>
            <w:tcW w:w="2235" w:type="dxa"/>
            <w:tcBorders>
              <w:top w:val="single" w:sz="18" w:space="0" w:color="4F81BD"/>
            </w:tcBorders>
            <w:shd w:val="clear" w:color="auto" w:fill="auto"/>
          </w:tcPr>
          <w:p w14:paraId="1FA379B0" w14:textId="47A38EA2" w:rsidR="00572BE5" w:rsidRDefault="00572BE5" w:rsidP="00572BE5">
            <w:pPr>
              <w:pStyle w:val="Normalnumbered"/>
              <w:ind w:left="0"/>
              <w:jc w:val="left"/>
            </w:pPr>
            <w:r>
              <w:t>2016-17 Projects that deliver tourism demand-driver infrastructure and support Tourism 2020 outcomes.</w:t>
            </w:r>
          </w:p>
        </w:tc>
        <w:tc>
          <w:tcPr>
            <w:tcW w:w="3402" w:type="dxa"/>
            <w:tcBorders>
              <w:top w:val="single" w:sz="18" w:space="0" w:color="4F81BD"/>
            </w:tcBorders>
            <w:shd w:val="clear" w:color="auto" w:fill="auto"/>
          </w:tcPr>
          <w:p w14:paraId="5D800890" w14:textId="273A9DB3" w:rsidR="00572BE5" w:rsidRPr="00767A9E" w:rsidRDefault="00572BE5" w:rsidP="00572BE5">
            <w:pPr>
              <w:pStyle w:val="Normalnumbered"/>
              <w:ind w:left="0"/>
              <w:jc w:val="left"/>
            </w:pPr>
            <w:r w:rsidRPr="00767A9E">
              <w:t>Demonstration, through provision of a progress report, that scheduled stages for each project have been completed</w:t>
            </w:r>
            <w:r>
              <w:t xml:space="preserve"> for Projects 27 and 28.</w:t>
            </w:r>
          </w:p>
        </w:tc>
        <w:tc>
          <w:tcPr>
            <w:tcW w:w="1984" w:type="dxa"/>
            <w:tcBorders>
              <w:top w:val="single" w:sz="18" w:space="0" w:color="4F81BD"/>
            </w:tcBorders>
            <w:shd w:val="clear" w:color="auto" w:fill="auto"/>
          </w:tcPr>
          <w:p w14:paraId="13D55BED" w14:textId="48C78242" w:rsidR="00572BE5" w:rsidRPr="00C96FCD" w:rsidRDefault="004000DD" w:rsidP="00C22FB2">
            <w:pPr>
              <w:pStyle w:val="Normalnumbered"/>
              <w:ind w:left="0"/>
              <w:jc w:val="left"/>
            </w:pPr>
            <w:r>
              <w:t>20 May 201</w:t>
            </w:r>
            <w:r w:rsidR="00C22FB2">
              <w:t>7</w:t>
            </w:r>
          </w:p>
        </w:tc>
        <w:tc>
          <w:tcPr>
            <w:tcW w:w="1985" w:type="dxa"/>
            <w:tcBorders>
              <w:top w:val="single" w:sz="18" w:space="0" w:color="4F81BD"/>
            </w:tcBorders>
            <w:shd w:val="clear" w:color="auto" w:fill="auto"/>
          </w:tcPr>
          <w:p w14:paraId="7B343DE1" w14:textId="363C4855" w:rsidR="00572BE5" w:rsidRDefault="004000DD" w:rsidP="00F02F42">
            <w:pPr>
              <w:pStyle w:val="Normalnumbered"/>
              <w:ind w:left="0"/>
              <w:jc w:val="left"/>
            </w:pPr>
            <w:r>
              <w:t>$131,500</w:t>
            </w:r>
          </w:p>
        </w:tc>
      </w:tr>
      <w:tr w:rsidR="00F02F42" w14:paraId="7932CBCC" w14:textId="77777777" w:rsidTr="008B4FE9">
        <w:trPr>
          <w:trHeight w:val="1800"/>
        </w:trPr>
        <w:tc>
          <w:tcPr>
            <w:tcW w:w="2235" w:type="dxa"/>
            <w:tcBorders>
              <w:top w:val="single" w:sz="18" w:space="0" w:color="4F81BD"/>
            </w:tcBorders>
            <w:shd w:val="clear" w:color="auto" w:fill="auto"/>
          </w:tcPr>
          <w:p w14:paraId="443B61A1" w14:textId="324C85FD" w:rsidR="00F02F42" w:rsidRDefault="00F02F42" w:rsidP="00C2345C">
            <w:pPr>
              <w:pStyle w:val="Normalnumbered"/>
              <w:ind w:left="0"/>
              <w:jc w:val="left"/>
            </w:pPr>
            <w:r>
              <w:t>2015-16 Projects that deliver tourism demand-driver infrastructure and support Tourism 2020 outcomes.</w:t>
            </w:r>
          </w:p>
        </w:tc>
        <w:tc>
          <w:tcPr>
            <w:tcW w:w="3402" w:type="dxa"/>
            <w:tcBorders>
              <w:top w:val="single" w:sz="18" w:space="0" w:color="4F81BD"/>
            </w:tcBorders>
            <w:shd w:val="clear" w:color="auto" w:fill="auto"/>
          </w:tcPr>
          <w:p w14:paraId="351D3B99" w14:textId="119A9B43" w:rsidR="00F02F42" w:rsidRPr="00964D0B" w:rsidRDefault="00F02F42" w:rsidP="00C2345C">
            <w:pPr>
              <w:pStyle w:val="Normalnumbered"/>
              <w:ind w:left="0"/>
              <w:jc w:val="left"/>
            </w:pPr>
            <w:r w:rsidRPr="00767A9E">
              <w:t>Demonstration, through provision of a progress report, that scheduled stages for each project have been completed</w:t>
            </w:r>
            <w:r>
              <w:t xml:space="preserve"> for Projects 11-26</w:t>
            </w:r>
            <w:r w:rsidRPr="00767A9E">
              <w:t>.</w:t>
            </w:r>
            <w:r w:rsidRPr="00172402">
              <w:rPr>
                <w:sz w:val="20"/>
              </w:rPr>
              <w:t xml:space="preserve"> </w:t>
            </w:r>
          </w:p>
        </w:tc>
        <w:tc>
          <w:tcPr>
            <w:tcW w:w="1984" w:type="dxa"/>
            <w:tcBorders>
              <w:top w:val="single" w:sz="18" w:space="0" w:color="4F81BD"/>
            </w:tcBorders>
            <w:shd w:val="clear" w:color="auto" w:fill="auto"/>
          </w:tcPr>
          <w:p w14:paraId="3D843BD1" w14:textId="6F47749E" w:rsidR="00F02F42" w:rsidRPr="00C96FCD" w:rsidRDefault="00F02F42" w:rsidP="003702C7">
            <w:pPr>
              <w:pStyle w:val="Normalnumbered"/>
              <w:ind w:left="0"/>
              <w:jc w:val="left"/>
            </w:pPr>
            <w:r w:rsidRPr="00C96FCD">
              <w:t>20 April 2016</w:t>
            </w:r>
          </w:p>
        </w:tc>
        <w:tc>
          <w:tcPr>
            <w:tcW w:w="1985" w:type="dxa"/>
            <w:tcBorders>
              <w:top w:val="single" w:sz="18" w:space="0" w:color="4F81BD"/>
            </w:tcBorders>
            <w:shd w:val="clear" w:color="auto" w:fill="auto"/>
          </w:tcPr>
          <w:p w14:paraId="14F79599" w14:textId="1E865278" w:rsidR="00F02F42" w:rsidRPr="00C96FCD" w:rsidRDefault="00F02F42" w:rsidP="00F02F42">
            <w:pPr>
              <w:pStyle w:val="Normalnumbered"/>
              <w:ind w:left="0"/>
              <w:jc w:val="left"/>
            </w:pPr>
            <w:r>
              <w:t>$775,025</w:t>
            </w:r>
          </w:p>
        </w:tc>
      </w:tr>
      <w:tr w:rsidR="005C7633" w14:paraId="0D0277AC" w14:textId="77777777" w:rsidTr="00964D0B">
        <w:trPr>
          <w:trHeight w:val="815"/>
        </w:trPr>
        <w:tc>
          <w:tcPr>
            <w:tcW w:w="2235" w:type="dxa"/>
            <w:vMerge w:val="restart"/>
            <w:tcBorders>
              <w:top w:val="single" w:sz="18" w:space="0" w:color="4F81BD"/>
            </w:tcBorders>
            <w:shd w:val="clear" w:color="auto" w:fill="auto"/>
          </w:tcPr>
          <w:p w14:paraId="1F999B30" w14:textId="3B5F0C1B" w:rsidR="005C7633" w:rsidRDefault="00C2345C" w:rsidP="00C2345C">
            <w:pPr>
              <w:pStyle w:val="Normalnumbered"/>
              <w:ind w:left="0"/>
              <w:jc w:val="left"/>
            </w:pPr>
            <w:r>
              <w:t xml:space="preserve">2014-15 </w:t>
            </w:r>
            <w:r w:rsidR="005C7633">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62E33124" w14:textId="1AE9C5BD" w:rsidR="005C7633" w:rsidRPr="00964D0B" w:rsidRDefault="002E3FD6" w:rsidP="00964D0B">
            <w:pPr>
              <w:pStyle w:val="Normalnumbered"/>
              <w:numPr>
                <w:ilvl w:val="0"/>
                <w:numId w:val="0"/>
              </w:numPr>
              <w:jc w:val="left"/>
            </w:pPr>
            <w:r>
              <w:t xml:space="preserve">Initial </w:t>
            </w:r>
            <w:r w:rsidR="00B11EB3">
              <w:t>contribution to support implementation of projects</w:t>
            </w:r>
            <w:r w:rsidR="005C7633">
              <w:t xml:space="preserve"> </w:t>
            </w:r>
          </w:p>
        </w:tc>
        <w:tc>
          <w:tcPr>
            <w:tcW w:w="1984" w:type="dxa"/>
            <w:tcBorders>
              <w:top w:val="single" w:sz="18" w:space="0" w:color="4F81BD"/>
              <w:bottom w:val="single" w:sz="8" w:space="0" w:color="4F81BD"/>
            </w:tcBorders>
            <w:shd w:val="clear" w:color="auto" w:fill="auto"/>
          </w:tcPr>
          <w:p w14:paraId="40E10E77" w14:textId="68AA84DC" w:rsidR="005C7633" w:rsidRPr="00964D0B" w:rsidRDefault="00890595" w:rsidP="000E0C22">
            <w:pPr>
              <w:pStyle w:val="Normalnumbered"/>
              <w:numPr>
                <w:ilvl w:val="0"/>
                <w:numId w:val="0"/>
              </w:numPr>
              <w:jc w:val="left"/>
            </w:pPr>
            <w:proofErr w:type="spellStart"/>
            <w:r>
              <w:t>29April</w:t>
            </w:r>
            <w:proofErr w:type="spellEnd"/>
            <w:r w:rsidR="005C7633">
              <w:t xml:space="preserve"> 201</w:t>
            </w:r>
            <w:r w:rsidR="000E0C22">
              <w:t>5</w:t>
            </w:r>
          </w:p>
        </w:tc>
        <w:tc>
          <w:tcPr>
            <w:tcW w:w="1985" w:type="dxa"/>
            <w:tcBorders>
              <w:top w:val="single" w:sz="18" w:space="0" w:color="4F81BD"/>
              <w:bottom w:val="single" w:sz="8" w:space="0" w:color="4F81BD"/>
            </w:tcBorders>
            <w:shd w:val="clear" w:color="auto" w:fill="auto"/>
          </w:tcPr>
          <w:p w14:paraId="14F4C3A6" w14:textId="34E9175D" w:rsidR="005C7633" w:rsidRPr="0033601B" w:rsidRDefault="0099699D" w:rsidP="004C7C9D">
            <w:pPr>
              <w:pStyle w:val="Normalnumbered"/>
              <w:numPr>
                <w:ilvl w:val="0"/>
                <w:numId w:val="0"/>
              </w:numPr>
              <w:jc w:val="left"/>
            </w:pPr>
            <w:r w:rsidRPr="0033601B">
              <w:t>$160,000</w:t>
            </w:r>
          </w:p>
        </w:tc>
      </w:tr>
      <w:tr w:rsidR="005C7633" w14:paraId="2C7469A3" w14:textId="77777777" w:rsidTr="00C32954">
        <w:trPr>
          <w:trHeight w:val="815"/>
        </w:trPr>
        <w:tc>
          <w:tcPr>
            <w:tcW w:w="2235" w:type="dxa"/>
            <w:vMerge/>
            <w:shd w:val="clear" w:color="auto" w:fill="auto"/>
          </w:tcPr>
          <w:p w14:paraId="6C187ED0" w14:textId="75B6F0C1" w:rsidR="005C7633" w:rsidRPr="00C26C5B" w:rsidRDefault="005C7633" w:rsidP="00964D0B">
            <w:pPr>
              <w:pStyle w:val="Normalnumbered"/>
              <w:numPr>
                <w:ilvl w:val="0"/>
                <w:numId w:val="0"/>
              </w:numPr>
              <w:jc w:val="left"/>
              <w:rPr>
                <w:b/>
                <w:bCs/>
                <w:szCs w:val="23"/>
              </w:rPr>
            </w:pPr>
          </w:p>
        </w:tc>
        <w:tc>
          <w:tcPr>
            <w:tcW w:w="3402" w:type="dxa"/>
            <w:tcBorders>
              <w:top w:val="single" w:sz="18" w:space="0" w:color="4F81BD"/>
              <w:bottom w:val="single" w:sz="8" w:space="0" w:color="4F81BD"/>
            </w:tcBorders>
            <w:shd w:val="clear" w:color="auto" w:fill="auto"/>
          </w:tcPr>
          <w:p w14:paraId="02C5ED6C" w14:textId="6245181F" w:rsidR="005C7633" w:rsidRPr="00964D0B" w:rsidRDefault="001243DF" w:rsidP="00727472">
            <w:pPr>
              <w:pStyle w:val="Normalnumbered"/>
              <w:numPr>
                <w:ilvl w:val="0"/>
                <w:numId w:val="0"/>
              </w:numPr>
              <w:jc w:val="left"/>
            </w:pPr>
            <w:r w:rsidRPr="00767A9E">
              <w:t>Demonstration, through provision of a progress report, that scheduled stages for each project have been completed</w:t>
            </w:r>
            <w:r w:rsidR="004C7C9D">
              <w:t xml:space="preserve"> for Projects 1 to </w:t>
            </w:r>
            <w:r w:rsidR="00727472">
              <w:t>10</w:t>
            </w:r>
            <w:r w:rsidRPr="00767A9E">
              <w:t>.</w:t>
            </w:r>
            <w:r w:rsidRPr="00172402">
              <w:rPr>
                <w:sz w:val="20"/>
              </w:rPr>
              <w:t xml:space="preserve"> </w:t>
            </w:r>
          </w:p>
        </w:tc>
        <w:tc>
          <w:tcPr>
            <w:tcW w:w="1984" w:type="dxa"/>
            <w:tcBorders>
              <w:top w:val="single" w:sz="18" w:space="0" w:color="4F81BD"/>
              <w:bottom w:val="single" w:sz="8" w:space="0" w:color="4F81BD"/>
            </w:tcBorders>
            <w:shd w:val="clear" w:color="auto" w:fill="auto"/>
          </w:tcPr>
          <w:p w14:paraId="7E320573" w14:textId="3C9ADBCF" w:rsidR="005C7633" w:rsidRPr="00964D0B" w:rsidRDefault="00890595" w:rsidP="00890595">
            <w:pPr>
              <w:pStyle w:val="Normalnumbered"/>
              <w:numPr>
                <w:ilvl w:val="0"/>
                <w:numId w:val="0"/>
              </w:numPr>
              <w:jc w:val="left"/>
            </w:pPr>
            <w:r>
              <w:t>22</w:t>
            </w:r>
            <w:r w:rsidR="005C7633" w:rsidRPr="00964D0B">
              <w:t xml:space="preserve"> </w:t>
            </w:r>
            <w:proofErr w:type="spellStart"/>
            <w:r>
              <w:t>May</w:t>
            </w:r>
            <w:r w:rsidR="005C7633" w:rsidRPr="00964D0B">
              <w:t>2015</w:t>
            </w:r>
            <w:proofErr w:type="spellEnd"/>
          </w:p>
        </w:tc>
        <w:tc>
          <w:tcPr>
            <w:tcW w:w="1985" w:type="dxa"/>
            <w:tcBorders>
              <w:top w:val="single" w:sz="18" w:space="0" w:color="4F81BD"/>
              <w:bottom w:val="single" w:sz="8" w:space="0" w:color="4F81BD"/>
            </w:tcBorders>
            <w:shd w:val="clear" w:color="auto" w:fill="auto"/>
          </w:tcPr>
          <w:p w14:paraId="6007F5FA" w14:textId="65D84557" w:rsidR="005C7633" w:rsidRPr="0033601B" w:rsidRDefault="0099699D" w:rsidP="0094593E">
            <w:pPr>
              <w:pStyle w:val="Normalnumbered"/>
              <w:numPr>
                <w:ilvl w:val="0"/>
                <w:numId w:val="0"/>
              </w:numPr>
              <w:jc w:val="left"/>
            </w:pPr>
            <w:r w:rsidRPr="0033601B">
              <w:t>$638,950</w:t>
            </w:r>
          </w:p>
        </w:tc>
      </w:tr>
    </w:tbl>
    <w:p w14:paraId="5C223A10" w14:textId="1757403D" w:rsidR="00F86AC6" w:rsidRDefault="00F86AC6">
      <w:pPr>
        <w:spacing w:after="200" w:line="276" w:lineRule="auto"/>
        <w:jc w:val="left"/>
        <w:rPr>
          <w:rFonts w:cs="Calibri"/>
          <w:szCs w:val="23"/>
          <w:lang w:val="en-GB"/>
        </w:rPr>
      </w:pPr>
    </w:p>
    <w:p w14:paraId="71ADA3EA" w14:textId="45EACF5F" w:rsidR="00F86AC6" w:rsidRDefault="00F86AC6" w:rsidP="00F86AC6">
      <w:pPr>
        <w:rPr>
          <w:rFonts w:cs="Calibri"/>
          <w:szCs w:val="23"/>
          <w:lang w:val="en-GB"/>
        </w:rPr>
      </w:pPr>
      <w:r w:rsidRPr="00AC328D">
        <w:rPr>
          <w:rFonts w:cs="Calibri"/>
          <w:szCs w:val="23"/>
          <w:lang w:val="en-GB"/>
        </w:rPr>
        <w:lastRenderedPageBreak/>
        <w:t>The Parties have confirmed their commitment to this Schedule as follows:</w:t>
      </w:r>
    </w:p>
    <w:p w14:paraId="2D7630FC" w14:textId="77777777" w:rsidR="00F86AC6" w:rsidRDefault="00F86AC6" w:rsidP="00F86AC6">
      <w:pPr>
        <w:rPr>
          <w:rFonts w:cs="Calibri"/>
          <w:szCs w:val="23"/>
          <w:lang w:val="en-GB"/>
        </w:rPr>
      </w:pPr>
      <w:r>
        <w:rPr>
          <w:rFonts w:cs="Calibri"/>
          <w:b/>
          <w:szCs w:val="23"/>
          <w:lang w:val="en-GB"/>
        </w:rPr>
        <w:t xml:space="preserve">Signed </w:t>
      </w:r>
      <w:r>
        <w:rPr>
          <w:rFonts w:cs="Calibri"/>
          <w:i/>
          <w:szCs w:val="23"/>
          <w:lang w:val="en-GB"/>
        </w:rPr>
        <w:t>for and on behalf of the Commonwealth of Australia by</w:t>
      </w:r>
    </w:p>
    <w:p w14:paraId="2A41F975" w14:textId="77777777" w:rsidR="00F86AC6" w:rsidRPr="00D56365" w:rsidRDefault="00F86AC6" w:rsidP="00F86AC6">
      <w:pPr>
        <w:rPr>
          <w:rFonts w:cs="Calibri"/>
          <w:szCs w:val="23"/>
          <w:lang w:val="en-GB"/>
        </w:rPr>
      </w:pPr>
    </w:p>
    <w:p w14:paraId="400BC30A" w14:textId="77777777" w:rsidR="00F86AC6" w:rsidRDefault="00F86AC6" w:rsidP="00F86AC6">
      <w:pPr>
        <w:rPr>
          <w:rFonts w:cs="Calibri"/>
          <w:szCs w:val="23"/>
          <w:lang w:val="en-GB"/>
        </w:rPr>
      </w:pPr>
    </w:p>
    <w:p w14:paraId="1E461FB1" w14:textId="77777777" w:rsidR="00F86AC6" w:rsidRDefault="00F86AC6" w:rsidP="00F86AC6">
      <w:pPr>
        <w:rPr>
          <w:rFonts w:cs="Calibri"/>
          <w:szCs w:val="23"/>
          <w:lang w:val="en-GB"/>
        </w:rPr>
      </w:pPr>
    </w:p>
    <w:p w14:paraId="033A809A" w14:textId="77777777" w:rsidR="00F86AC6" w:rsidRDefault="00F86AC6" w:rsidP="00F86AC6">
      <w:pPr>
        <w:rPr>
          <w:rFonts w:cs="Calibri"/>
          <w:szCs w:val="23"/>
          <w:lang w:val="en-GB"/>
        </w:rPr>
      </w:pPr>
      <w:r>
        <w:rPr>
          <w:rFonts w:cs="Calibri"/>
          <w:szCs w:val="23"/>
          <w:lang w:val="en-GB"/>
        </w:rPr>
        <w:t>__________________________________________</w:t>
      </w:r>
    </w:p>
    <w:p w14:paraId="7664495E" w14:textId="05121E74" w:rsidR="00F86AC6" w:rsidRDefault="00F86AC6" w:rsidP="00F86AC6">
      <w:pPr>
        <w:rPr>
          <w:rFonts w:cs="Calibri"/>
          <w:b/>
          <w:szCs w:val="23"/>
          <w:lang w:val="en-GB"/>
        </w:rPr>
      </w:pPr>
      <w:r>
        <w:rPr>
          <w:rFonts w:cs="Calibri"/>
          <w:b/>
          <w:szCs w:val="23"/>
          <w:lang w:val="en-GB"/>
        </w:rPr>
        <w:t xml:space="preserve">The Honourable </w:t>
      </w:r>
      <w:r w:rsidR="008F6674">
        <w:rPr>
          <w:rFonts w:cs="Calibri"/>
          <w:b/>
          <w:szCs w:val="23"/>
          <w:lang w:val="en-GB"/>
        </w:rPr>
        <w:t>Steven Ciobo</w:t>
      </w:r>
      <w:r>
        <w:rPr>
          <w:rFonts w:cs="Calibri"/>
          <w:b/>
          <w:szCs w:val="23"/>
          <w:lang w:val="en-GB"/>
        </w:rPr>
        <w:t xml:space="preserve"> MP</w:t>
      </w:r>
    </w:p>
    <w:p w14:paraId="005F888D" w14:textId="75C1D216" w:rsidR="00F86AC6" w:rsidRDefault="00F86AC6" w:rsidP="00F86AC6">
      <w:pPr>
        <w:rPr>
          <w:rFonts w:cs="Calibri"/>
          <w:szCs w:val="23"/>
          <w:lang w:val="en-GB"/>
        </w:rPr>
      </w:pPr>
      <w:r>
        <w:rPr>
          <w:rFonts w:cs="Calibri"/>
          <w:szCs w:val="23"/>
          <w:lang w:val="en-GB"/>
        </w:rPr>
        <w:t xml:space="preserve">Minister for </w:t>
      </w:r>
      <w:r w:rsidR="009012C4">
        <w:rPr>
          <w:rFonts w:cs="Calibri"/>
          <w:szCs w:val="23"/>
          <w:lang w:val="en-GB"/>
        </w:rPr>
        <w:t xml:space="preserve">Trade, </w:t>
      </w:r>
      <w:r w:rsidR="008423E9">
        <w:rPr>
          <w:rFonts w:cs="Calibri"/>
          <w:szCs w:val="23"/>
          <w:lang w:val="en-GB"/>
        </w:rPr>
        <w:t>Tourism</w:t>
      </w:r>
      <w:r w:rsidR="009012C4">
        <w:rPr>
          <w:rFonts w:cs="Calibri"/>
          <w:szCs w:val="23"/>
          <w:lang w:val="en-GB"/>
        </w:rPr>
        <w:t xml:space="preserve"> and Investment</w:t>
      </w:r>
    </w:p>
    <w:p w14:paraId="7AC2A029" w14:textId="77777777" w:rsidR="00A3648E" w:rsidRPr="002E0F7B" w:rsidRDefault="00A3648E" w:rsidP="00A3648E">
      <w:pPr>
        <w:rPr>
          <w:rFonts w:cs="Calibri"/>
          <w:szCs w:val="23"/>
          <w:lang w:val="en-GB"/>
        </w:rPr>
      </w:pPr>
      <w:r w:rsidRPr="002E0F7B">
        <w:rPr>
          <w:szCs w:val="23"/>
          <w:lang w:val="en-GB"/>
        </w:rPr>
        <w:t xml:space="preserve">      /       / 201</w:t>
      </w:r>
      <w:r>
        <w:rPr>
          <w:szCs w:val="23"/>
          <w:lang w:val="en-GB"/>
        </w:rPr>
        <w:t>7</w:t>
      </w:r>
      <w:bookmarkStart w:id="0" w:name="_GoBack"/>
      <w:bookmarkEnd w:id="0"/>
    </w:p>
    <w:p w14:paraId="45287E27" w14:textId="77777777" w:rsidR="00F86AC6" w:rsidRDefault="00F86AC6" w:rsidP="00F86AC6">
      <w:pPr>
        <w:rPr>
          <w:rFonts w:cs="Calibri"/>
          <w:szCs w:val="23"/>
          <w:lang w:val="en-GB"/>
        </w:rPr>
      </w:pPr>
    </w:p>
    <w:p w14:paraId="3D7C662D" w14:textId="77777777" w:rsidR="00F86AC6" w:rsidRDefault="00F86AC6" w:rsidP="00F86AC6">
      <w:pPr>
        <w:rPr>
          <w:rFonts w:cs="Calibri"/>
          <w:szCs w:val="23"/>
          <w:lang w:val="en-GB"/>
        </w:rPr>
      </w:pPr>
    </w:p>
    <w:p w14:paraId="3814542B" w14:textId="77777777" w:rsidR="00A3648E" w:rsidRDefault="00A3648E" w:rsidP="00F86AC6">
      <w:pPr>
        <w:rPr>
          <w:rFonts w:cs="Calibri"/>
          <w:szCs w:val="23"/>
          <w:lang w:val="en-GB"/>
        </w:rPr>
      </w:pPr>
    </w:p>
    <w:p w14:paraId="7EEDB741" w14:textId="77777777" w:rsidR="00A3648E" w:rsidRDefault="00A3648E" w:rsidP="00F86AC6">
      <w:pPr>
        <w:rPr>
          <w:rFonts w:cs="Calibri"/>
          <w:szCs w:val="23"/>
          <w:lang w:val="en-GB"/>
        </w:rPr>
      </w:pPr>
    </w:p>
    <w:p w14:paraId="6868952D" w14:textId="0E55149A" w:rsidR="00F86AC6" w:rsidRPr="00D56365" w:rsidRDefault="00F86AC6" w:rsidP="00F86AC6">
      <w:pPr>
        <w:rPr>
          <w:rFonts w:cs="Calibri"/>
          <w:i/>
          <w:szCs w:val="23"/>
          <w:lang w:val="en-GB"/>
        </w:rPr>
      </w:pPr>
      <w:r>
        <w:rPr>
          <w:rFonts w:cs="Calibri"/>
          <w:b/>
          <w:szCs w:val="23"/>
          <w:lang w:val="en-GB"/>
        </w:rPr>
        <w:t>Signed</w:t>
      </w:r>
      <w:r>
        <w:rPr>
          <w:rFonts w:cs="Calibri"/>
          <w:szCs w:val="23"/>
          <w:lang w:val="en-GB"/>
        </w:rPr>
        <w:t xml:space="preserve"> </w:t>
      </w:r>
      <w:r>
        <w:rPr>
          <w:rFonts w:cs="Calibri"/>
          <w:i/>
          <w:szCs w:val="23"/>
          <w:lang w:val="en-GB"/>
        </w:rPr>
        <w:t xml:space="preserve">for and on behalf of the State of </w:t>
      </w:r>
      <w:r w:rsidR="008423E9">
        <w:rPr>
          <w:rFonts w:cs="Calibri"/>
          <w:i/>
          <w:szCs w:val="23"/>
          <w:lang w:val="en-GB"/>
        </w:rPr>
        <w:t>Tasmania</w:t>
      </w:r>
      <w:r>
        <w:rPr>
          <w:rFonts w:cs="Calibri"/>
          <w:i/>
          <w:szCs w:val="23"/>
          <w:lang w:val="en-GB"/>
        </w:rPr>
        <w:t xml:space="preserve"> by</w:t>
      </w:r>
    </w:p>
    <w:p w14:paraId="0F2FCE78" w14:textId="77777777" w:rsidR="00F86AC6" w:rsidRPr="00D56365" w:rsidRDefault="00F86AC6" w:rsidP="00F86AC6">
      <w:pPr>
        <w:rPr>
          <w:rFonts w:cs="Calibri"/>
          <w:szCs w:val="23"/>
          <w:lang w:val="en-GB"/>
        </w:rPr>
      </w:pPr>
    </w:p>
    <w:p w14:paraId="38109362" w14:textId="77777777" w:rsidR="00F86AC6" w:rsidRDefault="00F86AC6" w:rsidP="00F86AC6">
      <w:pPr>
        <w:rPr>
          <w:rFonts w:cs="Calibri"/>
          <w:szCs w:val="23"/>
          <w:lang w:val="en-GB"/>
        </w:rPr>
      </w:pPr>
    </w:p>
    <w:p w14:paraId="6EF2DC82" w14:textId="77777777" w:rsidR="00F86AC6" w:rsidRDefault="00F86AC6" w:rsidP="00F86AC6">
      <w:pPr>
        <w:rPr>
          <w:rFonts w:cs="Calibri"/>
          <w:szCs w:val="23"/>
          <w:lang w:val="en-GB"/>
        </w:rPr>
      </w:pPr>
    </w:p>
    <w:p w14:paraId="7602531F" w14:textId="77777777" w:rsidR="00F86AC6" w:rsidRDefault="00F86AC6" w:rsidP="00F86AC6">
      <w:pPr>
        <w:rPr>
          <w:rFonts w:cs="Calibri"/>
          <w:szCs w:val="23"/>
          <w:lang w:val="en-GB"/>
        </w:rPr>
      </w:pPr>
      <w:r>
        <w:rPr>
          <w:rFonts w:cs="Calibri"/>
          <w:szCs w:val="23"/>
          <w:lang w:val="en-GB"/>
        </w:rPr>
        <w:t>__________________________________________</w:t>
      </w:r>
    </w:p>
    <w:p w14:paraId="523BBBAE" w14:textId="636B66A8" w:rsidR="00F86AC6" w:rsidRDefault="00F86AC6" w:rsidP="00F86AC6">
      <w:pPr>
        <w:rPr>
          <w:rFonts w:cs="Calibri"/>
          <w:b/>
          <w:szCs w:val="23"/>
          <w:lang w:val="en-GB"/>
        </w:rPr>
      </w:pPr>
      <w:r>
        <w:rPr>
          <w:rFonts w:cs="Calibri"/>
          <w:b/>
          <w:szCs w:val="23"/>
          <w:lang w:val="en-GB"/>
        </w:rPr>
        <w:t xml:space="preserve">The Honourable </w:t>
      </w:r>
      <w:r w:rsidR="008423E9">
        <w:rPr>
          <w:rFonts w:cs="Calibri"/>
          <w:b/>
          <w:szCs w:val="23"/>
          <w:lang w:val="en-GB"/>
        </w:rPr>
        <w:t>Will Hodgman</w:t>
      </w:r>
      <w:r>
        <w:rPr>
          <w:rFonts w:cs="Calibri"/>
          <w:b/>
          <w:szCs w:val="23"/>
          <w:lang w:val="en-GB"/>
        </w:rPr>
        <w:t xml:space="preserve"> MP</w:t>
      </w:r>
    </w:p>
    <w:p w14:paraId="60BCA17D" w14:textId="77777777" w:rsidR="008423E9" w:rsidRDefault="008423E9" w:rsidP="00F86AC6">
      <w:pPr>
        <w:rPr>
          <w:rFonts w:cs="Calibri"/>
          <w:szCs w:val="23"/>
          <w:lang w:val="en-GB"/>
        </w:rPr>
      </w:pPr>
      <w:r>
        <w:rPr>
          <w:rFonts w:cs="Calibri"/>
          <w:szCs w:val="23"/>
          <w:lang w:val="en-GB"/>
        </w:rPr>
        <w:t>Premier</w:t>
      </w:r>
    </w:p>
    <w:p w14:paraId="589BDFF2" w14:textId="7B79A92E" w:rsidR="00F86AC6" w:rsidRDefault="00F86AC6" w:rsidP="00F86AC6">
      <w:pPr>
        <w:rPr>
          <w:rFonts w:cs="Calibri"/>
          <w:szCs w:val="23"/>
          <w:lang w:val="en-GB"/>
        </w:rPr>
      </w:pPr>
      <w:r>
        <w:rPr>
          <w:rFonts w:cs="Calibri"/>
          <w:szCs w:val="23"/>
          <w:lang w:val="en-GB"/>
        </w:rPr>
        <w:t>Minister for</w:t>
      </w:r>
      <w:r w:rsidR="008423E9">
        <w:rPr>
          <w:rFonts w:cs="Calibri"/>
          <w:szCs w:val="23"/>
          <w:lang w:val="en-GB"/>
        </w:rPr>
        <w:t xml:space="preserve"> Tourism</w:t>
      </w:r>
    </w:p>
    <w:p w14:paraId="17872E9F" w14:textId="77777777" w:rsidR="00A3648E" w:rsidRPr="002E0F7B" w:rsidRDefault="00A3648E" w:rsidP="00A3648E">
      <w:pPr>
        <w:rPr>
          <w:rFonts w:cs="Calibri"/>
          <w:szCs w:val="23"/>
          <w:lang w:val="en-GB"/>
        </w:rPr>
      </w:pPr>
      <w:r w:rsidRPr="002E0F7B">
        <w:rPr>
          <w:szCs w:val="23"/>
          <w:lang w:val="en-GB"/>
        </w:rPr>
        <w:t xml:space="preserve">      /       / 201</w:t>
      </w:r>
      <w:r>
        <w:rPr>
          <w:szCs w:val="23"/>
          <w:lang w:val="en-GB"/>
        </w:rPr>
        <w:t>7</w:t>
      </w:r>
    </w:p>
    <w:p w14:paraId="7848630B" w14:textId="3B05AE13" w:rsidR="00E363C4" w:rsidRDefault="00A3648E" w:rsidP="00981DC7">
      <w:pPr>
        <w:pStyle w:val="Normalnumbered"/>
        <w:numPr>
          <w:ilvl w:val="0"/>
          <w:numId w:val="0"/>
        </w:numPr>
        <w:jc w:val="left"/>
      </w:pPr>
    </w:p>
    <w:sectPr w:rsidR="00E3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A60478C"/>
    <w:multiLevelType w:val="hybridMultilevel"/>
    <w:tmpl w:val="31807146"/>
    <w:lvl w:ilvl="0" w:tplc="E4760E0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EF458A5"/>
    <w:multiLevelType w:val="hybridMultilevel"/>
    <w:tmpl w:val="556EF66A"/>
    <w:lvl w:ilvl="0" w:tplc="2E26C670">
      <w:start w:val="1"/>
      <w:numFmt w:val="lowerRoman"/>
      <w:lvlText w:val="(%1)"/>
      <w:lvlJc w:val="left"/>
      <w:pPr>
        <w:ind w:left="1854" w:hanging="720"/>
      </w:pPr>
      <w:rPr>
        <w:rFonts w:ascii="Corbel" w:hAnsi="Corbel" w:cs="Times New Roman" w:hint="default"/>
        <w:sz w:val="23"/>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BF41060"/>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718D1"/>
    <w:multiLevelType w:val="hybridMultilevel"/>
    <w:tmpl w:val="56009784"/>
    <w:lvl w:ilvl="0" w:tplc="E4760E0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26124C62"/>
    <w:multiLevelType w:val="hybridMultilevel"/>
    <w:tmpl w:val="56009784"/>
    <w:lvl w:ilvl="0" w:tplc="E4760E0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F703581"/>
    <w:multiLevelType w:val="hybridMultilevel"/>
    <w:tmpl w:val="8DD810C4"/>
    <w:lvl w:ilvl="0" w:tplc="61C88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BC3E21"/>
    <w:multiLevelType w:val="hybridMultilevel"/>
    <w:tmpl w:val="56009784"/>
    <w:lvl w:ilvl="0" w:tplc="E4760E0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DC52AEB"/>
    <w:multiLevelType w:val="hybridMultilevel"/>
    <w:tmpl w:val="FF2E4976"/>
    <w:lvl w:ilvl="0" w:tplc="67CC9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854AAC"/>
    <w:multiLevelType w:val="hybridMultilevel"/>
    <w:tmpl w:val="BC94F240"/>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6"/>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B"/>
    <w:rsid w:val="00043008"/>
    <w:rsid w:val="00061477"/>
    <w:rsid w:val="000954B5"/>
    <w:rsid w:val="000E0C22"/>
    <w:rsid w:val="001243DF"/>
    <w:rsid w:val="00142743"/>
    <w:rsid w:val="001770DA"/>
    <w:rsid w:val="0018094D"/>
    <w:rsid w:val="00181CD6"/>
    <w:rsid w:val="001A1A14"/>
    <w:rsid w:val="001A2A7B"/>
    <w:rsid w:val="001E69B6"/>
    <w:rsid w:val="002172DC"/>
    <w:rsid w:val="00220366"/>
    <w:rsid w:val="00227010"/>
    <w:rsid w:val="00235E9C"/>
    <w:rsid w:val="00247600"/>
    <w:rsid w:val="002767B8"/>
    <w:rsid w:val="002E3FD6"/>
    <w:rsid w:val="002F5FC7"/>
    <w:rsid w:val="0030091F"/>
    <w:rsid w:val="00317BA0"/>
    <w:rsid w:val="0033601B"/>
    <w:rsid w:val="00364F28"/>
    <w:rsid w:val="00374F4A"/>
    <w:rsid w:val="00385705"/>
    <w:rsid w:val="003903EF"/>
    <w:rsid w:val="003D70F4"/>
    <w:rsid w:val="003E1374"/>
    <w:rsid w:val="004000DD"/>
    <w:rsid w:val="00414851"/>
    <w:rsid w:val="004340D2"/>
    <w:rsid w:val="00440F9F"/>
    <w:rsid w:val="00450095"/>
    <w:rsid w:val="004A6B9A"/>
    <w:rsid w:val="004C7C9D"/>
    <w:rsid w:val="004D2622"/>
    <w:rsid w:val="004D48A5"/>
    <w:rsid w:val="004E4D23"/>
    <w:rsid w:val="00517CCE"/>
    <w:rsid w:val="00572BE5"/>
    <w:rsid w:val="00585242"/>
    <w:rsid w:val="005A0424"/>
    <w:rsid w:val="005C70C7"/>
    <w:rsid w:val="005C7633"/>
    <w:rsid w:val="005D5576"/>
    <w:rsid w:val="005F6C72"/>
    <w:rsid w:val="00635217"/>
    <w:rsid w:val="006F2CDC"/>
    <w:rsid w:val="00727472"/>
    <w:rsid w:val="00753DE0"/>
    <w:rsid w:val="00767A9E"/>
    <w:rsid w:val="007B50EA"/>
    <w:rsid w:val="007C4931"/>
    <w:rsid w:val="007E5BB8"/>
    <w:rsid w:val="0080607E"/>
    <w:rsid w:val="008423E9"/>
    <w:rsid w:val="00843BB5"/>
    <w:rsid w:val="00860869"/>
    <w:rsid w:val="00870F03"/>
    <w:rsid w:val="00874EB9"/>
    <w:rsid w:val="00890595"/>
    <w:rsid w:val="008972FB"/>
    <w:rsid w:val="008E43E8"/>
    <w:rsid w:val="008F6674"/>
    <w:rsid w:val="009012C4"/>
    <w:rsid w:val="0094593E"/>
    <w:rsid w:val="00964B14"/>
    <w:rsid w:val="00964D0B"/>
    <w:rsid w:val="00981DC7"/>
    <w:rsid w:val="0098591E"/>
    <w:rsid w:val="0099699D"/>
    <w:rsid w:val="009D43AE"/>
    <w:rsid w:val="00A12F0A"/>
    <w:rsid w:val="00A33901"/>
    <w:rsid w:val="00A3648E"/>
    <w:rsid w:val="00A54D46"/>
    <w:rsid w:val="00A55F03"/>
    <w:rsid w:val="00A9467A"/>
    <w:rsid w:val="00A95F0E"/>
    <w:rsid w:val="00AA35FC"/>
    <w:rsid w:val="00AD3FD7"/>
    <w:rsid w:val="00AE276E"/>
    <w:rsid w:val="00B0426F"/>
    <w:rsid w:val="00B11EB3"/>
    <w:rsid w:val="00B25F7B"/>
    <w:rsid w:val="00B32128"/>
    <w:rsid w:val="00B71801"/>
    <w:rsid w:val="00BE0E99"/>
    <w:rsid w:val="00BE7F2B"/>
    <w:rsid w:val="00C148A3"/>
    <w:rsid w:val="00C22FB2"/>
    <w:rsid w:val="00C2345C"/>
    <w:rsid w:val="00C711E6"/>
    <w:rsid w:val="00C96FCD"/>
    <w:rsid w:val="00CA64FB"/>
    <w:rsid w:val="00CF7671"/>
    <w:rsid w:val="00D12882"/>
    <w:rsid w:val="00D1326B"/>
    <w:rsid w:val="00DF5D36"/>
    <w:rsid w:val="00E013FC"/>
    <w:rsid w:val="00E10347"/>
    <w:rsid w:val="00EB1729"/>
    <w:rsid w:val="00EB683B"/>
    <w:rsid w:val="00F02F42"/>
    <w:rsid w:val="00F30E3E"/>
    <w:rsid w:val="00F47D0B"/>
    <w:rsid w:val="00F54738"/>
    <w:rsid w:val="00F5635F"/>
    <w:rsid w:val="00F635E4"/>
    <w:rsid w:val="00F86AC6"/>
    <w:rsid w:val="00FC0D4C"/>
    <w:rsid w:val="00FC54F2"/>
    <w:rsid w:val="00FC7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2EB"/>
  <w15:docId w15:val="{63E0AEA3-ED48-4D44-A9CA-0F1DEB7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8637">
      <w:bodyDiv w:val="1"/>
      <w:marLeft w:val="0"/>
      <w:marRight w:val="0"/>
      <w:marTop w:val="0"/>
      <w:marBottom w:val="0"/>
      <w:divBdr>
        <w:top w:val="none" w:sz="0" w:space="0" w:color="auto"/>
        <w:left w:val="none" w:sz="0" w:space="0" w:color="auto"/>
        <w:bottom w:val="none" w:sz="0" w:space="0" w:color="auto"/>
        <w:right w:val="none" w:sz="0" w:space="0" w:color="auto"/>
      </w:divBdr>
    </w:div>
    <w:div w:id="241530731">
      <w:bodyDiv w:val="1"/>
      <w:marLeft w:val="0"/>
      <w:marRight w:val="0"/>
      <w:marTop w:val="0"/>
      <w:marBottom w:val="0"/>
      <w:divBdr>
        <w:top w:val="none" w:sz="0" w:space="0" w:color="auto"/>
        <w:left w:val="none" w:sz="0" w:space="0" w:color="auto"/>
        <w:bottom w:val="none" w:sz="0" w:space="0" w:color="auto"/>
        <w:right w:val="none" w:sz="0" w:space="0" w:color="auto"/>
      </w:divBdr>
    </w:div>
    <w:div w:id="1057514209">
      <w:bodyDiv w:val="1"/>
      <w:marLeft w:val="0"/>
      <w:marRight w:val="0"/>
      <w:marTop w:val="0"/>
      <w:marBottom w:val="0"/>
      <w:divBdr>
        <w:top w:val="none" w:sz="0" w:space="0" w:color="auto"/>
        <w:left w:val="none" w:sz="0" w:space="0" w:color="auto"/>
        <w:bottom w:val="none" w:sz="0" w:space="0" w:color="auto"/>
        <w:right w:val="none" w:sz="0" w:space="0" w:color="auto"/>
      </w:divBdr>
    </w:div>
    <w:div w:id="12650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2021FG-64-96846</_dlc_DocId>
    <_dlc_DocIdUrl xmlns="0f563589-9cf9-4143-b1eb-fb0534803d38">
      <Url>http://tweb/sites/fg/csrd/_layouts/15/DocIdRedir.aspx?ID=2021FG-64-96846</Url>
      <Description>2021FG-64-96846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6C82-C979-4AB1-9995-0BA4582743FD}"/>
</file>

<file path=customXml/itemProps2.xml><?xml version="1.0" encoding="utf-8"?>
<ds:datastoreItem xmlns:ds="http://schemas.openxmlformats.org/officeDocument/2006/customXml" ds:itemID="{4DF0DCD7-5D43-4C68-850F-ADEE794C5E3A}"/>
</file>

<file path=customXml/itemProps3.xml><?xml version="1.0" encoding="utf-8"?>
<ds:datastoreItem xmlns:ds="http://schemas.openxmlformats.org/officeDocument/2006/customXml" ds:itemID="{E2BAE273-B690-429A-81E9-9C6458F52439}"/>
</file>

<file path=customXml/itemProps4.xml><?xml version="1.0" encoding="utf-8"?>
<ds:datastoreItem xmlns:ds="http://schemas.openxmlformats.org/officeDocument/2006/customXml" ds:itemID="{FE569426-CD87-4983-A06D-1433F72DDC8E}"/>
</file>

<file path=customXml/itemProps5.xml><?xml version="1.0" encoding="utf-8"?>
<ds:datastoreItem xmlns:ds="http://schemas.openxmlformats.org/officeDocument/2006/customXml" ds:itemID="{F86F6566-669F-4C0D-9D6F-D1E92396C2CC}"/>
</file>

<file path=customXml/itemProps6.xml><?xml version="1.0" encoding="utf-8"?>
<ds:datastoreItem xmlns:ds="http://schemas.openxmlformats.org/officeDocument/2006/customXml" ds:itemID="{A3F6A698-0466-4CC7-8841-48730178BC85}"/>
</file>

<file path=customXml/itemProps7.xml><?xml version="1.0" encoding="utf-8"?>
<ds:datastoreItem xmlns:ds="http://schemas.openxmlformats.org/officeDocument/2006/customXml" ds:itemID="{48E9B029-ECF5-4071-9DC1-97044AD79ABD}"/>
</file>

<file path=docProps/app.xml><?xml version="1.0" encoding="utf-8"?>
<Properties xmlns="http://schemas.openxmlformats.org/officeDocument/2006/extended-properties" xmlns:vt="http://schemas.openxmlformats.org/officeDocument/2006/docPropsVTypes">
  <Template>Normal.dotm</Template>
  <TotalTime>23</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Tsy</dc:creator>
  <cp:lastModifiedBy>Katina-Devril (Canberra)</cp:lastModifiedBy>
  <cp:revision>15</cp:revision>
  <cp:lastPrinted>2017-03-06T01:27:00Z</cp:lastPrinted>
  <dcterms:created xsi:type="dcterms:W3CDTF">2016-12-05T23:24:00Z</dcterms:created>
  <dcterms:modified xsi:type="dcterms:W3CDTF">2017-03-06T01:27:00Z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Protective_x0020_Markings">
    <vt:lpwstr/>
  </property>
  <property fmtid="{D5CDD505-2E9C-101B-9397-08002B2CF9AE}" pid="5" name="_dlc_DocIdItemGuid">
    <vt:lpwstr>d8fc4fa6-20c6-43a0-8490-144efd7cf68f</vt:lpwstr>
  </property>
  <property fmtid="{D5CDD505-2E9C-101B-9397-08002B2CF9AE}" pid="6" name="Protective Markings">
    <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UniqueId">
    <vt:lpwstr>{cdbe6377-abd9-47e2-92bf-2562721e8d90}</vt:lpwstr>
  </property>
  <property fmtid="{D5CDD505-2E9C-101B-9397-08002B2CF9AE}" pid="12" name="RecordPoint_ActiveItemWebId">
    <vt:lpwstr>{a4589788-615f-4b8b-8296-7f9f6dfbab44}</vt:lpwstr>
  </property>
  <property fmtid="{D5CDD505-2E9C-101B-9397-08002B2CF9AE}" pid="13" name="RecordPoint_RecordNumberSubmitted">
    <vt:lpwstr>R0001366252</vt:lpwstr>
  </property>
  <property fmtid="{D5CDD505-2E9C-101B-9397-08002B2CF9AE}" pid="14" name="RecordPoint_SubmissionCompleted">
    <vt:lpwstr>2017-07-06T20:31:46.0585836+10:00</vt:lpwstr>
  </property>
</Properties>
</file>