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4160C" w14:textId="77777777" w:rsidR="001A1E1B" w:rsidRPr="00981DC7" w:rsidRDefault="001A1E1B" w:rsidP="001A1E1B">
      <w:pPr>
        <w:pStyle w:val="Normalnumbered"/>
        <w:keepNext/>
        <w:tabs>
          <w:tab w:val="clear" w:pos="283"/>
        </w:tabs>
        <w:spacing w:after="220" w:line="240" w:lineRule="auto"/>
        <w:ind w:left="357" w:hanging="357"/>
        <w:jc w:val="right"/>
        <w:rPr>
          <w:rFonts w:ascii="Consolas" w:hAnsi="Consolas" w:cs="Consolas"/>
          <w:sz w:val="32"/>
          <w:szCs w:val="32"/>
        </w:rPr>
      </w:pPr>
      <w:bookmarkStart w:id="0" w:name="_GoBack"/>
      <w:bookmarkEnd w:id="0"/>
      <w:r w:rsidRPr="00981DC7">
        <w:rPr>
          <w:rFonts w:ascii="Consolas" w:hAnsi="Consolas" w:cs="Consolas"/>
          <w:sz w:val="32"/>
          <w:szCs w:val="32"/>
        </w:rPr>
        <w:t>Schedule A</w:t>
      </w:r>
    </w:p>
    <w:p w14:paraId="1B7EAE8B" w14:textId="77777777" w:rsidR="001A1E1B" w:rsidRPr="00981DC7" w:rsidRDefault="001A1E1B" w:rsidP="001A1E1B">
      <w:pPr>
        <w:pStyle w:val="Normalnumbered"/>
        <w:keepNext/>
        <w:tabs>
          <w:tab w:val="clear" w:pos="283"/>
        </w:tabs>
        <w:spacing w:after="220" w:line="240" w:lineRule="auto"/>
        <w:ind w:left="357" w:hanging="357"/>
        <w:rPr>
          <w:b/>
          <w:sz w:val="29"/>
          <w:szCs w:val="29"/>
        </w:rPr>
      </w:pPr>
      <w:r>
        <w:rPr>
          <w:b/>
          <w:sz w:val="29"/>
          <w:szCs w:val="29"/>
        </w:rPr>
        <w:t>Project m</w:t>
      </w:r>
      <w:r w:rsidRPr="00981DC7">
        <w:rPr>
          <w:b/>
          <w:sz w:val="29"/>
          <w:szCs w:val="29"/>
        </w:rPr>
        <w:t>ilestone</w:t>
      </w:r>
      <w:r>
        <w:rPr>
          <w:b/>
          <w:sz w:val="29"/>
          <w:szCs w:val="29"/>
        </w:rPr>
        <w:t>s</w:t>
      </w:r>
      <w:r w:rsidRPr="00981DC7">
        <w:rPr>
          <w:b/>
          <w:sz w:val="29"/>
          <w:szCs w:val="29"/>
        </w:rPr>
        <w:t>, reporting and payment</w:t>
      </w:r>
      <w:r>
        <w:rPr>
          <w:b/>
          <w:sz w:val="29"/>
          <w:szCs w:val="29"/>
        </w:rPr>
        <w:t>s</w:t>
      </w:r>
      <w:r w:rsidRPr="00981DC7">
        <w:rPr>
          <w:b/>
          <w:sz w:val="29"/>
          <w:szCs w:val="29"/>
        </w:rPr>
        <w:t xml:space="preserve"> – </w:t>
      </w:r>
      <w:r>
        <w:rPr>
          <w:b/>
          <w:sz w:val="29"/>
          <w:szCs w:val="29"/>
        </w:rPr>
        <w:t>Victoria</w:t>
      </w:r>
    </w:p>
    <w:p w14:paraId="65FAB85A" w14:textId="77777777" w:rsidR="001A1E1B" w:rsidRDefault="001A1E1B" w:rsidP="001A1E1B">
      <w:r>
        <w:t>A1.</w:t>
      </w:r>
      <w:r>
        <w:tab/>
      </w:r>
      <w:r w:rsidRPr="00981DC7">
        <w:t>To deliver the outputs of this Agreement, the following project</w:t>
      </w:r>
      <w:r>
        <w:t>s</w:t>
      </w:r>
      <w:r w:rsidRPr="00981DC7">
        <w:t xml:space="preserve"> will be delivered </w:t>
      </w:r>
      <w:r>
        <w:t>by Victoria from 2015-16 to 2017-18</w:t>
      </w:r>
      <w:r w:rsidRPr="00A54D46">
        <w:t>:</w:t>
      </w:r>
    </w:p>
    <w:p w14:paraId="5E7F34D4" w14:textId="62CE7395" w:rsidR="001A1E1B" w:rsidRPr="005D61D9" w:rsidRDefault="001A1E1B" w:rsidP="001A1E1B">
      <w:pPr>
        <w:pStyle w:val="Normalnumbered"/>
        <w:numPr>
          <w:ilvl w:val="0"/>
          <w:numId w:val="2"/>
        </w:numPr>
        <w:tabs>
          <w:tab w:val="clear" w:pos="567"/>
          <w:tab w:val="clear" w:pos="1418"/>
          <w:tab w:val="left" w:pos="1134"/>
        </w:tabs>
        <w:jc w:val="left"/>
      </w:pPr>
      <w:r w:rsidRPr="00AC2E3E">
        <w:t xml:space="preserve">Project 1 – </w:t>
      </w:r>
      <w:r w:rsidRPr="00AC2E3E">
        <w:rPr>
          <w:i/>
        </w:rPr>
        <w:t>Deep Blue Hot Springs Warrnambool</w:t>
      </w:r>
      <w:r w:rsidRPr="00AC2E3E">
        <w:t xml:space="preserve"> ($650,000, co</w:t>
      </w:r>
      <w:r w:rsidR="00C11B10">
        <w:t>mprising $270,000 in 2015</w:t>
      </w:r>
      <w:r w:rsidR="00C11B10">
        <w:noBreakHyphen/>
        <w:t xml:space="preserve">16, </w:t>
      </w:r>
      <w:r w:rsidR="00C11B10" w:rsidRPr="005D61D9">
        <w:t>$3</w:t>
      </w:r>
      <w:r w:rsidRPr="005D61D9">
        <w:t>80,000 in 2017-18).  An extension to an existing spa facility creating up to 20 indoor and outdoor geothermal pools with themed limestone caves. It includes a new reception area, lounge areas, change rooms, alfresco café, retail outlet and additional car parking spaces.</w:t>
      </w:r>
    </w:p>
    <w:p w14:paraId="511A8494" w14:textId="78B26898" w:rsidR="001A1E1B" w:rsidRPr="005D61D9" w:rsidRDefault="001A1E1B" w:rsidP="001A1E1B">
      <w:pPr>
        <w:pStyle w:val="Normalnumbered"/>
        <w:numPr>
          <w:ilvl w:val="0"/>
          <w:numId w:val="2"/>
        </w:numPr>
        <w:tabs>
          <w:tab w:val="clear" w:pos="567"/>
          <w:tab w:val="clear" w:pos="1418"/>
          <w:tab w:val="left" w:pos="1134"/>
        </w:tabs>
        <w:jc w:val="left"/>
        <w:rPr>
          <w:strike/>
        </w:rPr>
      </w:pPr>
      <w:r w:rsidRPr="005D61D9">
        <w:rPr>
          <w:strike/>
        </w:rPr>
        <w:t xml:space="preserve">Project 2 – </w:t>
      </w:r>
      <w:r w:rsidRPr="005D61D9">
        <w:rPr>
          <w:i/>
          <w:strike/>
        </w:rPr>
        <w:t xml:space="preserve">Melbourne Cricket Ground (MCG) Rooftop </w:t>
      </w:r>
      <w:proofErr w:type="gramStart"/>
      <w:r w:rsidRPr="005D61D9">
        <w:rPr>
          <w:i/>
          <w:strike/>
        </w:rPr>
        <w:t xml:space="preserve">Experience </w:t>
      </w:r>
      <w:r w:rsidRPr="005D61D9">
        <w:rPr>
          <w:strike/>
        </w:rPr>
        <w:t xml:space="preserve"> (</w:t>
      </w:r>
      <w:proofErr w:type="gramEnd"/>
      <w:r w:rsidRPr="005D61D9">
        <w:rPr>
          <w:strike/>
        </w:rPr>
        <w:t>$650,000, comprising $250,000 in 2015</w:t>
      </w:r>
      <w:r w:rsidRPr="005D61D9">
        <w:rPr>
          <w:strike/>
        </w:rPr>
        <w:noBreakHyphen/>
        <w:t>16 and $400,000 in 2016</w:t>
      </w:r>
      <w:r w:rsidRPr="005D61D9">
        <w:rPr>
          <w:strike/>
        </w:rPr>
        <w:noBreakHyphen/>
        <w:t>17).  Development of infrastructure to allow a walk on the roof of the MCG and a zip-line experience swinging 200 metres above the ground.</w:t>
      </w:r>
      <w:r w:rsidR="00C22ACC" w:rsidRPr="005D61D9">
        <w:rPr>
          <w:strike/>
        </w:rPr>
        <w:t xml:space="preserve"> </w:t>
      </w:r>
    </w:p>
    <w:p w14:paraId="015CFA43" w14:textId="74D72B36" w:rsidR="001A1E1B" w:rsidRPr="005D61D9" w:rsidRDefault="001A1E1B" w:rsidP="001A1E1B">
      <w:pPr>
        <w:pStyle w:val="Normalnumbered"/>
        <w:numPr>
          <w:ilvl w:val="0"/>
          <w:numId w:val="2"/>
        </w:numPr>
        <w:tabs>
          <w:tab w:val="clear" w:pos="567"/>
          <w:tab w:val="clear" w:pos="1418"/>
          <w:tab w:val="left" w:pos="1134"/>
        </w:tabs>
        <w:jc w:val="left"/>
      </w:pPr>
      <w:r w:rsidRPr="005D61D9">
        <w:t xml:space="preserve">Project 3 – </w:t>
      </w:r>
      <w:r w:rsidRPr="005D61D9">
        <w:rPr>
          <w:i/>
        </w:rPr>
        <w:t>Princetown Project</w:t>
      </w:r>
      <w:r w:rsidRPr="005D61D9">
        <w:t xml:space="preserve"> ($650,000, comprising $290,000 in 2015</w:t>
      </w:r>
      <w:r w:rsidRPr="005D61D9">
        <w:noBreakHyphen/>
        <w:t>16, $</w:t>
      </w:r>
      <w:r w:rsidR="00C11B10" w:rsidRPr="005D61D9">
        <w:t>3</w:t>
      </w:r>
      <w:r w:rsidRPr="005D61D9">
        <w:t xml:space="preserve">60,000 in 2017-18) Eco-accommodation comprising 20 room private lodge with private dining room and 20 family style eco-cabins. A restaurant and food facility, soft adventure activity hub and retail centre will also be included. </w:t>
      </w:r>
    </w:p>
    <w:p w14:paraId="66F97D4E" w14:textId="77777777" w:rsidR="001A1E1B" w:rsidRPr="005D61D9" w:rsidRDefault="001A1E1B" w:rsidP="001A1E1B">
      <w:pPr>
        <w:pStyle w:val="Normalnumbered"/>
        <w:numPr>
          <w:ilvl w:val="0"/>
          <w:numId w:val="2"/>
        </w:numPr>
        <w:tabs>
          <w:tab w:val="clear" w:pos="567"/>
          <w:tab w:val="clear" w:pos="1418"/>
          <w:tab w:val="left" w:pos="1134"/>
        </w:tabs>
        <w:jc w:val="left"/>
        <w:rPr>
          <w:strike/>
        </w:rPr>
      </w:pPr>
      <w:r w:rsidRPr="005D61D9">
        <w:rPr>
          <w:strike/>
        </w:rPr>
        <w:t xml:space="preserve">Project 4 </w:t>
      </w:r>
      <w:proofErr w:type="gramStart"/>
      <w:r w:rsidRPr="005D61D9">
        <w:rPr>
          <w:strike/>
        </w:rPr>
        <w:t xml:space="preserve">– </w:t>
      </w:r>
      <w:r w:rsidRPr="005D61D9">
        <w:rPr>
          <w:i/>
          <w:strike/>
        </w:rPr>
        <w:t xml:space="preserve"> </w:t>
      </w:r>
      <w:proofErr w:type="spellStart"/>
      <w:r w:rsidRPr="005D61D9">
        <w:rPr>
          <w:i/>
          <w:strike/>
        </w:rPr>
        <w:t>Sandsculpting</w:t>
      </w:r>
      <w:proofErr w:type="spellEnd"/>
      <w:proofErr w:type="gramEnd"/>
      <w:r w:rsidRPr="005D61D9">
        <w:rPr>
          <w:i/>
          <w:strike/>
        </w:rPr>
        <w:t xml:space="preserve"> Australia Clear Span Structure</w:t>
      </w:r>
      <w:r w:rsidRPr="005D61D9">
        <w:rPr>
          <w:strike/>
        </w:rPr>
        <w:t xml:space="preserve"> ($750,000, comprising $460,000 in 2015</w:t>
      </w:r>
      <w:r w:rsidRPr="005D61D9">
        <w:rPr>
          <w:strike/>
        </w:rPr>
        <w:noBreakHyphen/>
        <w:t>16 and $290,000 in 2016</w:t>
      </w:r>
      <w:r w:rsidRPr="005D61D9">
        <w:rPr>
          <w:strike/>
        </w:rPr>
        <w:noBreakHyphen/>
        <w:t>17).  Installation of clear span structure with lighting facilities. New structure will change four month season to a year round, weatherproofed and lighted display of sand sculptures, as well as larger sculptures.</w:t>
      </w:r>
    </w:p>
    <w:p w14:paraId="0C49168C" w14:textId="77777777" w:rsidR="001A1E1B" w:rsidRPr="005D61D9" w:rsidRDefault="001A1E1B" w:rsidP="001A1E1B">
      <w:pPr>
        <w:pStyle w:val="Normalnumbered"/>
        <w:numPr>
          <w:ilvl w:val="0"/>
          <w:numId w:val="2"/>
        </w:numPr>
        <w:tabs>
          <w:tab w:val="clear" w:pos="567"/>
          <w:tab w:val="clear" w:pos="1418"/>
          <w:tab w:val="left" w:pos="1134"/>
        </w:tabs>
        <w:jc w:val="left"/>
      </w:pPr>
      <w:r w:rsidRPr="005D61D9">
        <w:t xml:space="preserve">Project 5 – </w:t>
      </w:r>
      <w:r w:rsidRPr="005D61D9">
        <w:rPr>
          <w:i/>
        </w:rPr>
        <w:t xml:space="preserve">The Club Hotel </w:t>
      </w:r>
      <w:proofErr w:type="gramStart"/>
      <w:r w:rsidRPr="005D61D9">
        <w:rPr>
          <w:i/>
        </w:rPr>
        <w:t xml:space="preserve">Clunes </w:t>
      </w:r>
      <w:r w:rsidRPr="005D61D9">
        <w:t xml:space="preserve"> (</w:t>
      </w:r>
      <w:proofErr w:type="gramEnd"/>
      <w:r w:rsidRPr="005D61D9">
        <w:t>$300,000, comprising $130,000 in 2015</w:t>
      </w:r>
      <w:r w:rsidRPr="005D61D9">
        <w:noBreakHyphen/>
        <w:t>16 and $170,000 in 2016</w:t>
      </w:r>
      <w:r w:rsidRPr="005D61D9">
        <w:noBreakHyphen/>
        <w:t>17).  Restoration and re-opening of The Club Hotel in Clunes to include a 7-day per week café (60 seat), restaurant, function space, outdoor dining and eight luxury accommodation suites (self-contained).</w:t>
      </w:r>
    </w:p>
    <w:p w14:paraId="6AF2A570" w14:textId="76980FC4" w:rsidR="001A1E1B" w:rsidRPr="005D61D9" w:rsidRDefault="001A1E1B" w:rsidP="001A1E1B">
      <w:pPr>
        <w:pStyle w:val="Normalnumbered"/>
        <w:numPr>
          <w:ilvl w:val="0"/>
          <w:numId w:val="2"/>
        </w:numPr>
        <w:tabs>
          <w:tab w:val="clear" w:pos="567"/>
          <w:tab w:val="clear" w:pos="1418"/>
          <w:tab w:val="left" w:pos="1134"/>
        </w:tabs>
        <w:jc w:val="left"/>
      </w:pPr>
      <w:r w:rsidRPr="005D61D9">
        <w:t xml:space="preserve">Project 6 – </w:t>
      </w:r>
      <w:r w:rsidRPr="005D61D9">
        <w:rPr>
          <w:i/>
        </w:rPr>
        <w:t>World-Class Eco Cruises at Wilson’s Promontory</w:t>
      </w:r>
      <w:r w:rsidRPr="005D61D9">
        <w:t xml:space="preserve"> ($650,000, compri</w:t>
      </w:r>
      <w:r w:rsidR="00C11B10" w:rsidRPr="005D61D9">
        <w:t>sing $260,000 in 2015</w:t>
      </w:r>
      <w:r w:rsidR="00C11B10" w:rsidRPr="005D61D9">
        <w:noBreakHyphen/>
        <w:t>16 and $34</w:t>
      </w:r>
      <w:r w:rsidRPr="005D61D9">
        <w:t>0,000 in 2016</w:t>
      </w:r>
      <w:r w:rsidRPr="005D61D9">
        <w:noBreakHyphen/>
        <w:t>17</w:t>
      </w:r>
      <w:r w:rsidR="00C11B10" w:rsidRPr="005D61D9">
        <w:t xml:space="preserve"> and $50,000 in 2017-18</w:t>
      </w:r>
      <w:r w:rsidRPr="005D61D9">
        <w:t xml:space="preserve">).  Establishment of </w:t>
      </w:r>
      <w:r w:rsidR="00644926" w:rsidRPr="005D61D9">
        <w:t xml:space="preserve">a </w:t>
      </w:r>
      <w:r w:rsidRPr="005D61D9">
        <w:t>wilderness boat tour operation at Wilsons Promontory to explore the coastal environment within the Marine National Park.</w:t>
      </w:r>
    </w:p>
    <w:p w14:paraId="5845ECB7" w14:textId="6E00D87F" w:rsidR="007774BB" w:rsidRDefault="007774BB" w:rsidP="00120957">
      <w:pPr>
        <w:pStyle w:val="Normalnumbered"/>
        <w:numPr>
          <w:ilvl w:val="0"/>
          <w:numId w:val="2"/>
        </w:numPr>
        <w:tabs>
          <w:tab w:val="clear" w:pos="567"/>
          <w:tab w:val="clear" w:pos="1418"/>
          <w:tab w:val="left" w:pos="1134"/>
        </w:tabs>
        <w:jc w:val="left"/>
      </w:pPr>
      <w:r w:rsidRPr="007774BB">
        <w:t xml:space="preserve">Project 7 - </w:t>
      </w:r>
      <w:r w:rsidR="002656D9" w:rsidRPr="002656D9">
        <w:rPr>
          <w:i/>
        </w:rPr>
        <w:t>Peninsular</w:t>
      </w:r>
      <w:r w:rsidRPr="002656D9">
        <w:rPr>
          <w:i/>
        </w:rPr>
        <w:t xml:space="preserve"> Hot Springs</w:t>
      </w:r>
      <w:r>
        <w:t xml:space="preserve"> </w:t>
      </w:r>
      <w:r w:rsidRPr="000C4D0A">
        <w:t>($650,000</w:t>
      </w:r>
      <w:r w:rsidR="000C4D0A">
        <w:t>, comprising $130,000 in 2016-17 and $520,000</w:t>
      </w:r>
      <w:r w:rsidR="00120957" w:rsidRPr="000C4D0A">
        <w:t xml:space="preserve"> in 2017-18</w:t>
      </w:r>
      <w:r w:rsidR="00120957">
        <w:t xml:space="preserve">). </w:t>
      </w:r>
      <w:r w:rsidR="00644926">
        <w:t>C</w:t>
      </w:r>
      <w:r w:rsidR="00120957" w:rsidRPr="00120957">
        <w:t>onstruction</w:t>
      </w:r>
      <w:r w:rsidR="00644926">
        <w:t xml:space="preserve"> and installation</w:t>
      </w:r>
      <w:r w:rsidR="00120957" w:rsidRPr="00120957">
        <w:t xml:space="preserve"> of a pump and pipeline system from Peninsula Hot Springs to nearby water treatment facilities, specifically designed to process waste from the </w:t>
      </w:r>
      <w:proofErr w:type="gramStart"/>
      <w:r w:rsidR="00120957" w:rsidRPr="00120957">
        <w:t>Springs</w:t>
      </w:r>
      <w:proofErr w:type="gramEnd"/>
      <w:r w:rsidR="00120957" w:rsidRPr="00120957">
        <w:t xml:space="preserve">. Expansion works at the </w:t>
      </w:r>
      <w:proofErr w:type="gramStart"/>
      <w:r w:rsidR="00120957" w:rsidRPr="00120957">
        <w:t>Springs</w:t>
      </w:r>
      <w:proofErr w:type="gramEnd"/>
      <w:r w:rsidR="00120957" w:rsidRPr="00120957">
        <w:t xml:space="preserve"> will result in an extra 62 geothermal areas. Upgrading the capacity of the wastewater removal system will support the expansion and the increasing number of visitors to the </w:t>
      </w:r>
      <w:proofErr w:type="gramStart"/>
      <w:r w:rsidR="00120957" w:rsidRPr="00120957">
        <w:t>Springs</w:t>
      </w:r>
      <w:proofErr w:type="gramEnd"/>
      <w:r w:rsidR="00120957" w:rsidRPr="00120957">
        <w:t>.</w:t>
      </w:r>
    </w:p>
    <w:p w14:paraId="2449870A" w14:textId="6D15FFA8" w:rsidR="007774BB" w:rsidRDefault="007774BB" w:rsidP="00120957">
      <w:pPr>
        <w:pStyle w:val="Normalnumbered"/>
        <w:numPr>
          <w:ilvl w:val="0"/>
          <w:numId w:val="2"/>
        </w:numPr>
        <w:tabs>
          <w:tab w:val="clear" w:pos="567"/>
          <w:tab w:val="clear" w:pos="1418"/>
          <w:tab w:val="left" w:pos="1134"/>
        </w:tabs>
        <w:jc w:val="left"/>
      </w:pPr>
      <w:r w:rsidRPr="007774BB">
        <w:t xml:space="preserve">Project 8 - </w:t>
      </w:r>
      <w:r w:rsidRPr="002656D9">
        <w:rPr>
          <w:i/>
        </w:rPr>
        <w:t>Platypi Chocolate</w:t>
      </w:r>
      <w:r w:rsidR="00120957">
        <w:t xml:space="preserve"> ($300,000 in 2017-18). </w:t>
      </w:r>
      <w:r w:rsidR="00644926">
        <w:t>C</w:t>
      </w:r>
      <w:r w:rsidR="00120957" w:rsidRPr="00120957">
        <w:t>onstruction of a building to house a chocolate café, Platypi Chocolate. T</w:t>
      </w:r>
      <w:r w:rsidR="007B74EB">
        <w:t xml:space="preserve">he building will be situated </w:t>
      </w:r>
      <w:r w:rsidR="00644926">
        <w:t>on</w:t>
      </w:r>
      <w:r w:rsidR="00120957" w:rsidRPr="00120957">
        <w:t xml:space="preserve"> the hinterland route </w:t>
      </w:r>
      <w:r w:rsidR="00644926">
        <w:t>of</w:t>
      </w:r>
      <w:r w:rsidR="00120957" w:rsidRPr="00120957">
        <w:t xml:space="preserve"> the Great Ocean Road. The facility will house a licenced café, retail outlet and a chocolate production area with viewing area for visitor.  </w:t>
      </w:r>
      <w:r>
        <w:t xml:space="preserve"> </w:t>
      </w:r>
    </w:p>
    <w:p w14:paraId="63732ACC" w14:textId="6B3FAE5B" w:rsidR="007774BB" w:rsidRDefault="007774BB" w:rsidP="00120957">
      <w:pPr>
        <w:pStyle w:val="Normalnumbered"/>
        <w:numPr>
          <w:ilvl w:val="0"/>
          <w:numId w:val="2"/>
        </w:numPr>
        <w:tabs>
          <w:tab w:val="clear" w:pos="567"/>
          <w:tab w:val="clear" w:pos="1418"/>
          <w:tab w:val="left" w:pos="1134"/>
        </w:tabs>
        <w:jc w:val="left"/>
      </w:pPr>
      <w:r w:rsidRPr="007774BB">
        <w:t xml:space="preserve">Project 9 - </w:t>
      </w:r>
      <w:r w:rsidRPr="002656D9">
        <w:rPr>
          <w:i/>
        </w:rPr>
        <w:t>Wildlife Wonders</w:t>
      </w:r>
      <w:r>
        <w:t xml:space="preserve"> ($557,962,</w:t>
      </w:r>
      <w:r w:rsidR="00120957">
        <w:t xml:space="preserve"> comprising $100,000 in 2016-17 and $</w:t>
      </w:r>
      <w:r w:rsidR="00120957" w:rsidRPr="00120957">
        <w:t>457</w:t>
      </w:r>
      <w:r w:rsidR="00120957">
        <w:t>,</w:t>
      </w:r>
      <w:r w:rsidR="00120957" w:rsidRPr="00120957">
        <w:t>962</w:t>
      </w:r>
      <w:r w:rsidR="00120957">
        <w:t xml:space="preserve"> in 2017-18).</w:t>
      </w:r>
      <w:r>
        <w:t xml:space="preserve"> </w:t>
      </w:r>
      <w:r w:rsidR="00644926">
        <w:t xml:space="preserve">This project will deliver </w:t>
      </w:r>
      <w:r w:rsidR="00120957" w:rsidRPr="00120957">
        <w:t xml:space="preserve">planning, design and business case </w:t>
      </w:r>
      <w:r w:rsidR="007B74EB">
        <w:t>documents</w:t>
      </w:r>
      <w:r w:rsidR="00120957" w:rsidRPr="00120957">
        <w:t xml:space="preserve"> to secure private investment for a new Australian wildlife ecotourism experience. </w:t>
      </w:r>
      <w:r w:rsidR="00644926">
        <w:t xml:space="preserve">The deliverables will be created by a consultant. </w:t>
      </w:r>
      <w:r w:rsidR="00120957" w:rsidRPr="00120957">
        <w:t xml:space="preserve">Located </w:t>
      </w:r>
      <w:r w:rsidR="00644926">
        <w:t>on</w:t>
      </w:r>
      <w:r w:rsidR="00120957" w:rsidRPr="00120957">
        <w:t xml:space="preserve"> the Great Ocean Road, the new facility will </w:t>
      </w:r>
      <w:r w:rsidR="00644926">
        <w:t>house</w:t>
      </w:r>
      <w:r w:rsidR="00120957" w:rsidRPr="00120957">
        <w:t xml:space="preserve"> Australian wildlife in a natural setting and be designed to educate visitors and support conservation efforts for Australian wildlife.</w:t>
      </w:r>
    </w:p>
    <w:p w14:paraId="33933EE8" w14:textId="4E6BC3C0" w:rsidR="002656D9" w:rsidRDefault="002656D9" w:rsidP="00120957">
      <w:pPr>
        <w:pStyle w:val="Normalnumbered"/>
        <w:numPr>
          <w:ilvl w:val="0"/>
          <w:numId w:val="2"/>
        </w:numPr>
        <w:tabs>
          <w:tab w:val="clear" w:pos="567"/>
          <w:tab w:val="clear" w:pos="1418"/>
          <w:tab w:val="left" w:pos="1134"/>
        </w:tabs>
        <w:jc w:val="left"/>
      </w:pPr>
      <w:r w:rsidRPr="002656D9">
        <w:lastRenderedPageBreak/>
        <w:t xml:space="preserve">Project 10 - </w:t>
      </w:r>
      <w:r w:rsidRPr="000C4D0A">
        <w:rPr>
          <w:i/>
        </w:rPr>
        <w:t>Melbourne Cable Park</w:t>
      </w:r>
      <w:r w:rsidRPr="000C4D0A">
        <w:t xml:space="preserve"> ($600,000, </w:t>
      </w:r>
      <w:r w:rsidR="00120957" w:rsidRPr="000C4D0A">
        <w:t xml:space="preserve">comprising </w:t>
      </w:r>
      <w:r w:rsidR="000C4D0A" w:rsidRPr="000C4D0A">
        <w:t>$400,000 in 2016-17 and $2</w:t>
      </w:r>
      <w:r w:rsidR="00120957" w:rsidRPr="000C4D0A">
        <w:t>00,000 in 2017-18).</w:t>
      </w:r>
      <w:r w:rsidR="00120957">
        <w:t xml:space="preserve">  </w:t>
      </w:r>
      <w:r w:rsidR="00644926">
        <w:t>I</w:t>
      </w:r>
      <w:r w:rsidR="00120957" w:rsidRPr="00120957">
        <w:t>nstall</w:t>
      </w:r>
      <w:r w:rsidR="00644926">
        <w:t>ation of</w:t>
      </w:r>
      <w:r w:rsidR="00120957" w:rsidRPr="00120957">
        <w:t xml:space="preserve"> high ropes course equipm</w:t>
      </w:r>
      <w:r w:rsidR="00644926">
        <w:t>ent at the Melbourne Cable Park. The Melbourne Cable Park</w:t>
      </w:r>
      <w:r w:rsidR="00120957" w:rsidRPr="00120957">
        <w:t xml:space="preserve"> is currently under development in South East Melbourne.</w:t>
      </w:r>
    </w:p>
    <w:p w14:paraId="076B9A6F" w14:textId="5683174A" w:rsidR="007774BB" w:rsidRDefault="002656D9" w:rsidP="00120957">
      <w:pPr>
        <w:pStyle w:val="Normalnumbered"/>
        <w:numPr>
          <w:ilvl w:val="0"/>
          <w:numId w:val="2"/>
        </w:numPr>
        <w:tabs>
          <w:tab w:val="clear" w:pos="567"/>
          <w:tab w:val="clear" w:pos="1418"/>
          <w:tab w:val="left" w:pos="1134"/>
        </w:tabs>
        <w:jc w:val="left"/>
      </w:pPr>
      <w:r w:rsidRPr="002656D9">
        <w:t xml:space="preserve">Project 11 - </w:t>
      </w:r>
      <w:r w:rsidRPr="002656D9">
        <w:rPr>
          <w:i/>
        </w:rPr>
        <w:t>Pebble Point Lodge</w:t>
      </w:r>
      <w:r>
        <w:t xml:space="preserve"> ($350,000</w:t>
      </w:r>
      <w:r w:rsidR="000C4D0A">
        <w:t xml:space="preserve"> </w:t>
      </w:r>
      <w:r w:rsidR="000C4D0A" w:rsidRPr="000C4D0A">
        <w:t xml:space="preserve">in </w:t>
      </w:r>
      <w:r w:rsidR="00120957" w:rsidRPr="000C4D0A">
        <w:t>2017-18).</w:t>
      </w:r>
      <w:r w:rsidR="00120957">
        <w:t xml:space="preserve"> </w:t>
      </w:r>
      <w:r w:rsidR="00644926">
        <w:t>C</w:t>
      </w:r>
      <w:r w:rsidR="00120957" w:rsidRPr="00120957">
        <w:t xml:space="preserve">onstruction of seven additional accommodation rooms, a commercial kitchen, a dining room and a new visitor services area at the </w:t>
      </w:r>
      <w:r w:rsidR="00644926">
        <w:t>Pebble Point L</w:t>
      </w:r>
      <w:r w:rsidR="00120957" w:rsidRPr="00120957">
        <w:t>odge.</w:t>
      </w:r>
    </w:p>
    <w:p w14:paraId="4F98FA3D" w14:textId="18E67F07" w:rsidR="002656D9" w:rsidRDefault="002656D9" w:rsidP="00120957">
      <w:pPr>
        <w:pStyle w:val="Normalnumbered"/>
        <w:numPr>
          <w:ilvl w:val="0"/>
          <w:numId w:val="2"/>
        </w:numPr>
        <w:tabs>
          <w:tab w:val="clear" w:pos="567"/>
          <w:tab w:val="clear" w:pos="1418"/>
          <w:tab w:val="left" w:pos="1134"/>
        </w:tabs>
        <w:jc w:val="left"/>
      </w:pPr>
      <w:r w:rsidRPr="002656D9">
        <w:t xml:space="preserve">Project 12 - </w:t>
      </w:r>
      <w:r w:rsidRPr="002656D9">
        <w:rPr>
          <w:i/>
        </w:rPr>
        <w:t xml:space="preserve">Provenance Cellar </w:t>
      </w:r>
      <w:r w:rsidRPr="000C4D0A">
        <w:rPr>
          <w:i/>
        </w:rPr>
        <w:t>Door</w:t>
      </w:r>
      <w:r w:rsidRPr="000C4D0A">
        <w:t xml:space="preserve"> ($332,000</w:t>
      </w:r>
      <w:r w:rsidR="000C4D0A" w:rsidRPr="000C4D0A">
        <w:t xml:space="preserve"> in 2017</w:t>
      </w:r>
      <w:r w:rsidR="007C30B1" w:rsidRPr="000C4D0A">
        <w:t>-1</w:t>
      </w:r>
      <w:r w:rsidR="000C4D0A" w:rsidRPr="000C4D0A">
        <w:t>8</w:t>
      </w:r>
      <w:r w:rsidR="00120957">
        <w:t xml:space="preserve">). </w:t>
      </w:r>
      <w:r w:rsidR="00644926">
        <w:t>C</w:t>
      </w:r>
      <w:r w:rsidR="00120957" w:rsidRPr="00120957">
        <w:t>onstruction of a working winery and cellar door by an established wine company. The project is part of the redevelopment of the Barwon Paper Mills.</w:t>
      </w:r>
    </w:p>
    <w:p w14:paraId="622DDB9D" w14:textId="74E415FE" w:rsidR="002656D9" w:rsidRDefault="002656D9" w:rsidP="00120957">
      <w:pPr>
        <w:pStyle w:val="Normalnumbered"/>
        <w:numPr>
          <w:ilvl w:val="0"/>
          <w:numId w:val="2"/>
        </w:numPr>
        <w:tabs>
          <w:tab w:val="clear" w:pos="567"/>
          <w:tab w:val="clear" w:pos="1418"/>
          <w:tab w:val="left" w:pos="1134"/>
        </w:tabs>
        <w:jc w:val="left"/>
      </w:pPr>
      <w:r w:rsidRPr="002656D9">
        <w:t xml:space="preserve">Project 13 - </w:t>
      </w:r>
      <w:r w:rsidRPr="002656D9">
        <w:rPr>
          <w:i/>
        </w:rPr>
        <w:t>Ballarat Wildlife Park</w:t>
      </w:r>
      <w:r w:rsidR="007C30B1">
        <w:t xml:space="preserve"> ($150,000 in 2017-18</w:t>
      </w:r>
      <w:r w:rsidR="00120957">
        <w:t>)</w:t>
      </w:r>
      <w:r w:rsidR="007C30B1">
        <w:t>.</w:t>
      </w:r>
      <w:r w:rsidR="00120957" w:rsidRPr="00120957">
        <w:t xml:space="preserve"> </w:t>
      </w:r>
      <w:r w:rsidR="00644926">
        <w:t>Construction of</w:t>
      </w:r>
      <w:r w:rsidR="00120957" w:rsidRPr="00120957">
        <w:t xml:space="preserve"> a state-of-the-art conservation-based exhibit space to bring Sumatran Tigers to the Ballarat Wildlife Park. It is the first stage of a South East Asian exhibition at the park.</w:t>
      </w:r>
    </w:p>
    <w:p w14:paraId="54AF1367" w14:textId="5902CF13" w:rsidR="002656D9" w:rsidRDefault="002656D9" w:rsidP="00120957">
      <w:pPr>
        <w:pStyle w:val="Normalnumbered"/>
        <w:numPr>
          <w:ilvl w:val="0"/>
          <w:numId w:val="2"/>
        </w:numPr>
        <w:tabs>
          <w:tab w:val="clear" w:pos="567"/>
          <w:tab w:val="clear" w:pos="1418"/>
          <w:tab w:val="left" w:pos="1134"/>
        </w:tabs>
        <w:jc w:val="left"/>
      </w:pPr>
      <w:r w:rsidRPr="002656D9">
        <w:t xml:space="preserve">Project 14 - </w:t>
      </w:r>
      <w:r w:rsidRPr="002656D9">
        <w:rPr>
          <w:i/>
        </w:rPr>
        <w:t>Wye Beach Hotel</w:t>
      </w:r>
      <w:r>
        <w:t xml:space="preserve"> </w:t>
      </w:r>
      <w:r w:rsidRPr="000C4D0A">
        <w:t>(</w:t>
      </w:r>
      <w:r w:rsidR="000C4D0A">
        <w:t xml:space="preserve">$450,000, comprising </w:t>
      </w:r>
      <w:r w:rsidRPr="000C4D0A">
        <w:t>$</w:t>
      </w:r>
      <w:r w:rsidR="000C4D0A" w:rsidRPr="000C4D0A">
        <w:t>190</w:t>
      </w:r>
      <w:r w:rsidRPr="000C4D0A">
        <w:t>,000</w:t>
      </w:r>
      <w:r w:rsidR="007C30B1" w:rsidRPr="000C4D0A">
        <w:t xml:space="preserve"> in 2016-17</w:t>
      </w:r>
      <w:r w:rsidR="000C4D0A" w:rsidRPr="000C4D0A">
        <w:t xml:space="preserve"> and $</w:t>
      </w:r>
      <w:r w:rsidR="000C4D0A">
        <w:t>260,000 in 2017-18</w:t>
      </w:r>
      <w:r w:rsidR="00120957">
        <w:t xml:space="preserve">).  </w:t>
      </w:r>
      <w:r w:rsidR="00644926">
        <w:t>E</w:t>
      </w:r>
      <w:r w:rsidR="00120957" w:rsidRPr="00120957">
        <w:t xml:space="preserve">xpansion of the </w:t>
      </w:r>
      <w:r w:rsidR="00644926">
        <w:t>Wye Beach H</w:t>
      </w:r>
      <w:r w:rsidR="00120957" w:rsidRPr="00120957">
        <w:t xml:space="preserve">otel to enable </w:t>
      </w:r>
      <w:r w:rsidR="00644926">
        <w:t>servicing of</w:t>
      </w:r>
      <w:r w:rsidR="00120957" w:rsidRPr="00120957">
        <w:t xml:space="preserve"> wedding</w:t>
      </w:r>
      <w:r w:rsidR="00644926">
        <w:t>s</w:t>
      </w:r>
      <w:r w:rsidR="00120957" w:rsidRPr="00120957">
        <w:t xml:space="preserve">, conferences and other events </w:t>
      </w:r>
      <w:r w:rsidR="00644926">
        <w:t>of</w:t>
      </w:r>
      <w:r w:rsidR="00120957" w:rsidRPr="00120957">
        <w:t xml:space="preserve"> up to 190 people.</w:t>
      </w:r>
    </w:p>
    <w:p w14:paraId="148E2D44" w14:textId="76F92CE9" w:rsidR="002656D9" w:rsidRDefault="002656D9" w:rsidP="00120957">
      <w:pPr>
        <w:pStyle w:val="Normalnumbered"/>
        <w:numPr>
          <w:ilvl w:val="0"/>
          <w:numId w:val="2"/>
        </w:numPr>
        <w:tabs>
          <w:tab w:val="clear" w:pos="567"/>
          <w:tab w:val="clear" w:pos="1418"/>
          <w:tab w:val="left" w:pos="1134"/>
        </w:tabs>
        <w:jc w:val="left"/>
      </w:pPr>
      <w:r w:rsidRPr="002656D9">
        <w:t xml:space="preserve">Project 15 - </w:t>
      </w:r>
      <w:r w:rsidRPr="002656D9">
        <w:rPr>
          <w:i/>
        </w:rPr>
        <w:t xml:space="preserve">Greater Melbourne Destination Management </w:t>
      </w:r>
      <w:r w:rsidRPr="000C4D0A">
        <w:rPr>
          <w:i/>
        </w:rPr>
        <w:t>Plan</w:t>
      </w:r>
      <w:r w:rsidRPr="000C4D0A">
        <w:t xml:space="preserve"> (</w:t>
      </w:r>
      <w:r w:rsidR="000C4D0A">
        <w:t xml:space="preserve">$120,000, comprising </w:t>
      </w:r>
      <w:r w:rsidRPr="000C4D0A">
        <w:t>$1</w:t>
      </w:r>
      <w:r w:rsidR="000C4D0A" w:rsidRPr="000C4D0A">
        <w:t>0</w:t>
      </w:r>
      <w:r w:rsidRPr="000C4D0A">
        <w:t>0,000</w:t>
      </w:r>
      <w:r w:rsidR="007C30B1" w:rsidRPr="000C4D0A">
        <w:t xml:space="preserve"> in 2016-17</w:t>
      </w:r>
      <w:r w:rsidR="000C4D0A" w:rsidRPr="000C4D0A">
        <w:t xml:space="preserve"> and</w:t>
      </w:r>
      <w:r w:rsidR="000C4D0A">
        <w:t xml:space="preserve"> $20,000 in 2017-18</w:t>
      </w:r>
      <w:r w:rsidR="00120957">
        <w:t xml:space="preserve">).  </w:t>
      </w:r>
      <w:r w:rsidR="00644926">
        <w:t>D</w:t>
      </w:r>
      <w:r w:rsidR="00120957" w:rsidRPr="00120957">
        <w:t>evelopment of a Destination Management Plan for the Greater Melbourne region. The preliminary research analysis and plan development will be undertaken in consultation with industry stakeholders, visitor businesses and key influencers.</w:t>
      </w:r>
    </w:p>
    <w:p w14:paraId="1552DA15" w14:textId="1AF3E59F" w:rsidR="00C7102F" w:rsidRDefault="00C7102F" w:rsidP="00120957">
      <w:pPr>
        <w:pStyle w:val="Normalnumbered"/>
        <w:numPr>
          <w:ilvl w:val="0"/>
          <w:numId w:val="2"/>
        </w:numPr>
        <w:tabs>
          <w:tab w:val="clear" w:pos="567"/>
          <w:tab w:val="clear" w:pos="1418"/>
          <w:tab w:val="left" w:pos="1134"/>
        </w:tabs>
        <w:jc w:val="left"/>
      </w:pPr>
      <w:r>
        <w:t xml:space="preserve">Project 16 – </w:t>
      </w:r>
      <w:r>
        <w:rPr>
          <w:i/>
        </w:rPr>
        <w:t>Peregrine Ridge Cellar Door and Restaurant</w:t>
      </w:r>
      <w:r>
        <w:t xml:space="preserve"> ($385,000</w:t>
      </w:r>
      <w:r w:rsidR="00C22ACC">
        <w:t>, comprising $</w:t>
      </w:r>
      <w:r w:rsidR="004A127A">
        <w:t>20,000</w:t>
      </w:r>
      <w:r w:rsidR="00C22ACC">
        <w:t xml:space="preserve"> refocussed from funds </w:t>
      </w:r>
      <w:r w:rsidR="00CF3EF2">
        <w:t xml:space="preserve">paid in 2016-17 </w:t>
      </w:r>
      <w:r w:rsidR="00C22ACC">
        <w:t>and $</w:t>
      </w:r>
      <w:r w:rsidR="004A127A">
        <w:t>365,000</w:t>
      </w:r>
      <w:r w:rsidR="00C22ACC">
        <w:t xml:space="preserve"> in 2017-18). </w:t>
      </w:r>
      <w:r w:rsidR="00644926">
        <w:t>C</w:t>
      </w:r>
      <w:r w:rsidR="00C22ACC">
        <w:t xml:space="preserve">onstruction of a </w:t>
      </w:r>
      <w:r w:rsidR="00645782">
        <w:t>350 square meter facility compris</w:t>
      </w:r>
      <w:r w:rsidR="005D61D9">
        <w:t xml:space="preserve">ing </w:t>
      </w:r>
      <w:r w:rsidR="00645782">
        <w:t xml:space="preserve">a </w:t>
      </w:r>
      <w:r w:rsidR="00C22ACC">
        <w:t xml:space="preserve">new cellar door </w:t>
      </w:r>
      <w:r w:rsidR="00645782">
        <w:t>showcasing Mount Carmel Winery and Vineyard products</w:t>
      </w:r>
      <w:r w:rsidR="005D61D9">
        <w:t>,</w:t>
      </w:r>
      <w:r w:rsidR="00645782">
        <w:t xml:space="preserve"> </w:t>
      </w:r>
      <w:r w:rsidR="00C22ACC">
        <w:t xml:space="preserve">and </w:t>
      </w:r>
      <w:r w:rsidR="00645782">
        <w:t xml:space="preserve">a </w:t>
      </w:r>
      <w:r w:rsidR="00C22ACC">
        <w:t>restaurant on the Mount Carmel Range at Toolleen/Colbinabbin.</w:t>
      </w:r>
    </w:p>
    <w:p w14:paraId="4BE95874" w14:textId="6E41A579" w:rsidR="00C22ACC" w:rsidRDefault="00C22ACC" w:rsidP="00120957">
      <w:pPr>
        <w:pStyle w:val="Normalnumbered"/>
        <w:numPr>
          <w:ilvl w:val="0"/>
          <w:numId w:val="2"/>
        </w:numPr>
        <w:tabs>
          <w:tab w:val="clear" w:pos="567"/>
          <w:tab w:val="clear" w:pos="1418"/>
          <w:tab w:val="left" w:pos="1134"/>
        </w:tabs>
        <w:jc w:val="left"/>
      </w:pPr>
      <w:r>
        <w:t xml:space="preserve">Project 17 – </w:t>
      </w:r>
      <w:r>
        <w:rPr>
          <w:i/>
        </w:rPr>
        <w:t>Metung Boardwalk (Stage 3)</w:t>
      </w:r>
      <w:r>
        <w:t xml:space="preserve"> ($300,000</w:t>
      </w:r>
      <w:r w:rsidR="004A127A">
        <w:t xml:space="preserve"> </w:t>
      </w:r>
      <w:r>
        <w:t xml:space="preserve">refocussed from </w:t>
      </w:r>
      <w:r w:rsidR="00CF3EF2">
        <w:t>$205,000 paid in 2015-16 and $95,000 paid in 2016-17</w:t>
      </w:r>
      <w:r>
        <w:t xml:space="preserve">). </w:t>
      </w:r>
      <w:r w:rsidR="00644926">
        <w:t>Construction</w:t>
      </w:r>
      <w:r>
        <w:t xml:space="preserve"> of a continuous</w:t>
      </w:r>
      <w:r w:rsidR="005538D2">
        <w:t>,</w:t>
      </w:r>
      <w:r>
        <w:t xml:space="preserve"> accessible path in Metung Village. The path will extend from the village centre to the Metung Hot Springs site and will link the commercial and tourism precincts with the boating and accommodation hubs of Metung.</w:t>
      </w:r>
    </w:p>
    <w:p w14:paraId="7001084F" w14:textId="6DBC7987" w:rsidR="00C22ACC" w:rsidRDefault="00C22ACC" w:rsidP="00120957">
      <w:pPr>
        <w:pStyle w:val="Normalnumbered"/>
        <w:numPr>
          <w:ilvl w:val="0"/>
          <w:numId w:val="2"/>
        </w:numPr>
        <w:tabs>
          <w:tab w:val="clear" w:pos="567"/>
          <w:tab w:val="clear" w:pos="1418"/>
          <w:tab w:val="left" w:pos="1134"/>
        </w:tabs>
        <w:jc w:val="left"/>
      </w:pPr>
      <w:r>
        <w:t xml:space="preserve">Project 18 – </w:t>
      </w:r>
      <w:r>
        <w:rPr>
          <w:i/>
        </w:rPr>
        <w:t>The Axedale Tavern</w:t>
      </w:r>
      <w:r w:rsidR="004A127A">
        <w:t xml:space="preserve"> ($470,000 </w:t>
      </w:r>
      <w:r>
        <w:t>refocussed from</w:t>
      </w:r>
      <w:r w:rsidR="00CF3EF2">
        <w:t xml:space="preserve"> $300,000 paid in 2015-16 and $170,000 in 2016-17</w:t>
      </w:r>
      <w:r>
        <w:t xml:space="preserve">). </w:t>
      </w:r>
      <w:r w:rsidR="00644926">
        <w:t>C</w:t>
      </w:r>
      <w:r>
        <w:t>onstruction of a 150 person capacity stand-alone function centre</w:t>
      </w:r>
      <w:r w:rsidR="00645782">
        <w:t xml:space="preserve"> and</w:t>
      </w:r>
      <w:r>
        <w:t xml:space="preserve"> an eight unit accommodation building</w:t>
      </w:r>
      <w:r w:rsidR="00645782">
        <w:t xml:space="preserve"> to enhance the capacity of the Axedale Tavern to cater for domestic and international visitors.</w:t>
      </w:r>
    </w:p>
    <w:p w14:paraId="7CBBEBCA" w14:textId="686C8A4D" w:rsidR="00C22ACC" w:rsidRDefault="00C22ACC" w:rsidP="00120957">
      <w:pPr>
        <w:pStyle w:val="Normalnumbered"/>
        <w:numPr>
          <w:ilvl w:val="0"/>
          <w:numId w:val="2"/>
        </w:numPr>
        <w:tabs>
          <w:tab w:val="clear" w:pos="567"/>
          <w:tab w:val="clear" w:pos="1418"/>
          <w:tab w:val="left" w:pos="1134"/>
        </w:tabs>
        <w:jc w:val="left"/>
      </w:pPr>
      <w:r>
        <w:t xml:space="preserve">Project 19 – </w:t>
      </w:r>
      <w:r>
        <w:rPr>
          <w:i/>
        </w:rPr>
        <w:t xml:space="preserve">The </w:t>
      </w:r>
      <w:proofErr w:type="spellStart"/>
      <w:r>
        <w:rPr>
          <w:i/>
        </w:rPr>
        <w:t>Boilerhouse</w:t>
      </w:r>
      <w:proofErr w:type="spellEnd"/>
      <w:r>
        <w:rPr>
          <w:i/>
        </w:rPr>
        <w:t xml:space="preserve"> Precinct Proj</w:t>
      </w:r>
      <w:r w:rsidR="00645782">
        <w:rPr>
          <w:i/>
        </w:rPr>
        <w:t>e</w:t>
      </w:r>
      <w:r>
        <w:rPr>
          <w:i/>
        </w:rPr>
        <w:t>ct (Zone 1, Stage 1)</w:t>
      </w:r>
      <w:r>
        <w:t xml:space="preserve"> ($300,000</w:t>
      </w:r>
      <w:r w:rsidR="004A127A">
        <w:t xml:space="preserve"> </w:t>
      </w:r>
      <w:r>
        <w:t>refocussed from</w:t>
      </w:r>
      <w:r w:rsidR="00CF3EF2">
        <w:t xml:space="preserve"> $205,000 paid in 2015-16 and $95,000 paid in 2016-17</w:t>
      </w:r>
      <w:r>
        <w:t xml:space="preserve">). </w:t>
      </w:r>
      <w:r w:rsidR="00644926">
        <w:t>R</w:t>
      </w:r>
      <w:r>
        <w:t>elocation and expansion of The Spa</w:t>
      </w:r>
      <w:r w:rsidR="00645782">
        <w:t>,</w:t>
      </w:r>
      <w:r>
        <w:t xml:space="preserve"> Beechworth</w:t>
      </w:r>
      <w:r w:rsidR="00645782">
        <w:t xml:space="preserve"> to the </w:t>
      </w:r>
      <w:proofErr w:type="spellStart"/>
      <w:r w:rsidR="00645782">
        <w:t>Boilerhouse</w:t>
      </w:r>
      <w:proofErr w:type="spellEnd"/>
      <w:r w:rsidR="00645782">
        <w:t xml:space="preserve"> Precinct. A 3 hectare site with multiple historic buildings</w:t>
      </w:r>
      <w:r>
        <w:t xml:space="preserve">. The project is the first stage of the redevelopment of </w:t>
      </w:r>
      <w:r w:rsidR="00645782">
        <w:t>the</w:t>
      </w:r>
      <w:r>
        <w:t xml:space="preserve"> heritage listed precinct and buildings to deliver the first ‘Health and Wellness’ destination in the region.</w:t>
      </w:r>
      <w:r w:rsidR="00645782">
        <w:t xml:space="preserve"> The Spa will expand existing offerings and introduce new wellness tourism focused initiatives including retail outlets, café, and movement and education zones.</w:t>
      </w:r>
    </w:p>
    <w:p w14:paraId="79C1BCCF" w14:textId="77777777" w:rsidR="001A1E1B" w:rsidRPr="00981DC7" w:rsidRDefault="001A1E1B" w:rsidP="001A1E1B">
      <w:pPr>
        <w:pStyle w:val="Normalnumbered"/>
        <w:tabs>
          <w:tab w:val="clear" w:pos="283"/>
          <w:tab w:val="clear" w:pos="567"/>
          <w:tab w:val="clear" w:pos="1418"/>
          <w:tab w:val="left" w:pos="1134"/>
        </w:tabs>
        <w:ind w:firstLine="0"/>
        <w:jc w:val="left"/>
      </w:pPr>
    </w:p>
    <w:p w14:paraId="18754C9C" w14:textId="77777777" w:rsidR="001A1E1B" w:rsidRDefault="001A1E1B" w:rsidP="001A1E1B">
      <w:pPr>
        <w:pStyle w:val="Normalnumbered"/>
        <w:tabs>
          <w:tab w:val="clear" w:pos="283"/>
          <w:tab w:val="left" w:pos="567"/>
        </w:tabs>
        <w:jc w:val="left"/>
      </w:pPr>
      <w:r>
        <w:t>A2.</w:t>
      </w:r>
      <w:r>
        <w:tab/>
      </w:r>
      <w:r w:rsidRPr="00981DC7">
        <w:t>Table 1 summari</w:t>
      </w:r>
      <w:r>
        <w:t>s</w:t>
      </w:r>
      <w:r w:rsidRPr="00981DC7">
        <w:t xml:space="preserve">es the milestones for </w:t>
      </w:r>
      <w:r w:rsidRPr="00767A9E">
        <w:rPr>
          <w:color w:val="auto"/>
        </w:rPr>
        <w:t>agreed projects</w:t>
      </w:r>
      <w:r w:rsidRPr="00981DC7">
        <w:t xml:space="preserve">, their relationship to the outputs, expected completion dates, relevant reporting dates and expected payments to be made. The Commonwealth will make payments subject to the </w:t>
      </w:r>
      <w:r>
        <w:t xml:space="preserve">twice </w:t>
      </w:r>
      <w:r w:rsidRPr="00981DC7">
        <w:t>annual performance report</w:t>
      </w:r>
      <w:r>
        <w:t>s</w:t>
      </w:r>
      <w:r w:rsidRPr="00981DC7">
        <w:t xml:space="preserve"> demonstrating that relevant milestones have been met.</w:t>
      </w:r>
      <w:r>
        <w:t xml:space="preserve">    </w:t>
      </w:r>
    </w:p>
    <w:p w14:paraId="6708B671" w14:textId="77777777" w:rsidR="001A1E1B" w:rsidRDefault="001A1E1B" w:rsidP="001A1E1B">
      <w:pPr>
        <w:pStyle w:val="Normalnumbered"/>
        <w:tabs>
          <w:tab w:val="clear" w:pos="283"/>
          <w:tab w:val="left" w:pos="567"/>
        </w:tabs>
        <w:jc w:val="left"/>
      </w:pPr>
      <w:r>
        <w:lastRenderedPageBreak/>
        <w:t>A3.</w:t>
      </w:r>
      <w:r>
        <w:tab/>
      </w:r>
      <w:r w:rsidRPr="00631CDA">
        <w:t xml:space="preserve">This </w:t>
      </w:r>
      <w:r>
        <w:t>S</w:t>
      </w:r>
      <w:r w:rsidRPr="00631CDA">
        <w:t>chedule will be varied from time to time to include additional projects</w:t>
      </w:r>
      <w:r>
        <w:t xml:space="preserve"> up to the maximum estimated Commonwealth financial contribution</w:t>
      </w:r>
      <w:r w:rsidRPr="00631CDA">
        <w:t>, subject to the written agreement of Commonwealth and State portfolio ministers, in accordance with clause 22 of this Agreement.</w:t>
      </w:r>
    </w:p>
    <w:p w14:paraId="544BE89D" w14:textId="77777777" w:rsidR="001A1E1B" w:rsidRDefault="001A1E1B" w:rsidP="001A1E1B">
      <w:pPr>
        <w:pStyle w:val="Normalnumbered"/>
        <w:tabs>
          <w:tab w:val="clear" w:pos="283"/>
          <w:tab w:val="left" w:pos="567"/>
        </w:tabs>
        <w:jc w:val="left"/>
      </w:pPr>
      <w:r>
        <w:t>A4.</w:t>
      </w:r>
      <w:r>
        <w:tab/>
        <w:t xml:space="preserve">Where additional projects are agreed, Table 1 will be varied to include those projects and associated milestones and payments. Milestone payments for additional projects will require demonstration, </w:t>
      </w:r>
      <w:r w:rsidRPr="00631CDA">
        <w:t xml:space="preserve">through provision of a progress report, that scheduled stages for </w:t>
      </w:r>
      <w:r>
        <w:t>those</w:t>
      </w:r>
      <w:r w:rsidRPr="00631CDA">
        <w:t xml:space="preserve"> project</w:t>
      </w:r>
      <w:r>
        <w:t>s</w:t>
      </w:r>
      <w:r w:rsidRPr="00631CDA">
        <w:t xml:space="preserve"> have been completed</w:t>
      </w:r>
      <w:r>
        <w:t xml:space="preserve"> and that all previously agreed projects that were scheduled to be completed, have been completed within agreed timeframes. Milestones for additional projects will be worded in accordance with this clause. </w:t>
      </w:r>
    </w:p>
    <w:p w14:paraId="7F27A786" w14:textId="77777777" w:rsidR="001A1E1B" w:rsidRDefault="001A1E1B" w:rsidP="001A1E1B">
      <w:pPr>
        <w:pStyle w:val="Normalnumbered"/>
        <w:tabs>
          <w:tab w:val="clear" w:pos="283"/>
          <w:tab w:val="left" w:pos="567"/>
        </w:tabs>
        <w:jc w:val="left"/>
      </w:pPr>
      <w:r>
        <w:t>A5.</w:t>
      </w:r>
      <w:r>
        <w:tab/>
      </w:r>
      <w:r w:rsidRPr="00981DC7">
        <w:t xml:space="preserve">If a milestone is met in advance of the due date, where the relevant performance report demonstrates the milestone has been met, the Commonwealth may make the associated payment earlier than scheduled provided it falls within the same financial year as the original milestone date. </w:t>
      </w:r>
    </w:p>
    <w:p w14:paraId="2F52AD60" w14:textId="77777777" w:rsidR="001A1E1B" w:rsidRDefault="001A1E1B" w:rsidP="001A1E1B">
      <w:pPr>
        <w:pStyle w:val="Normalnumbered"/>
        <w:keepNext/>
        <w:tabs>
          <w:tab w:val="clear" w:pos="283"/>
        </w:tabs>
        <w:ind w:left="360" w:hanging="360"/>
        <w:rPr>
          <w:b/>
        </w:rPr>
      </w:pPr>
      <w:r w:rsidRPr="001D3CAD">
        <w:rPr>
          <w:b/>
        </w:rPr>
        <w:t xml:space="preserve">Table </w:t>
      </w:r>
      <w:r>
        <w:rPr>
          <w:b/>
        </w:rPr>
        <w:t>1</w:t>
      </w:r>
      <w:r w:rsidRPr="001D3CAD">
        <w:t xml:space="preserve">: </w:t>
      </w:r>
      <w:r>
        <w:rPr>
          <w:b/>
        </w:rPr>
        <w:t>Performance requirements</w:t>
      </w:r>
      <w:r w:rsidRPr="001D3CAD">
        <w:rPr>
          <w:b/>
        </w:rPr>
        <w:t>, reporting and payment summary</w:t>
      </w: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35"/>
        <w:gridCol w:w="3402"/>
        <w:gridCol w:w="1984"/>
        <w:gridCol w:w="1985"/>
      </w:tblGrid>
      <w:tr w:rsidR="001A1E1B" w:rsidRPr="00C26C5B" w14:paraId="64D30357" w14:textId="77777777" w:rsidTr="005B0E86">
        <w:trPr>
          <w:trHeight w:val="1171"/>
        </w:trPr>
        <w:tc>
          <w:tcPr>
            <w:tcW w:w="2235" w:type="dxa"/>
            <w:tcBorders>
              <w:bottom w:val="single" w:sz="18" w:space="0" w:color="4F81BD"/>
            </w:tcBorders>
            <w:shd w:val="clear" w:color="auto" w:fill="D5DCE4" w:themeFill="text2" w:themeFillTint="33"/>
          </w:tcPr>
          <w:p w14:paraId="11D212B8" w14:textId="77777777" w:rsidR="001A1E1B" w:rsidRPr="00C26C5B" w:rsidRDefault="001A1E1B" w:rsidP="00425452">
            <w:pPr>
              <w:pStyle w:val="Heading2"/>
              <w:rPr>
                <w:bCs w:val="0"/>
                <w:sz w:val="24"/>
                <w:szCs w:val="24"/>
              </w:rPr>
            </w:pPr>
            <w:r w:rsidRPr="00C26C5B">
              <w:rPr>
                <w:bCs w:val="0"/>
                <w:sz w:val="24"/>
                <w:szCs w:val="24"/>
              </w:rPr>
              <w:t>Output</w:t>
            </w:r>
            <w:r>
              <w:rPr>
                <w:bCs w:val="0"/>
                <w:sz w:val="24"/>
                <w:szCs w:val="24"/>
              </w:rPr>
              <w:t>s</w:t>
            </w:r>
            <w:r>
              <w:rPr>
                <w:bCs w:val="0"/>
                <w:sz w:val="24"/>
                <w:szCs w:val="24"/>
              </w:rPr>
              <w:br/>
            </w:r>
          </w:p>
        </w:tc>
        <w:tc>
          <w:tcPr>
            <w:tcW w:w="3402" w:type="dxa"/>
            <w:tcBorders>
              <w:bottom w:val="single" w:sz="18" w:space="0" w:color="4F81BD"/>
            </w:tcBorders>
            <w:shd w:val="clear" w:color="auto" w:fill="D5DCE4" w:themeFill="text2" w:themeFillTint="33"/>
          </w:tcPr>
          <w:p w14:paraId="4324E453" w14:textId="77777777" w:rsidR="001A1E1B" w:rsidRPr="00C26C5B" w:rsidRDefault="001A1E1B" w:rsidP="00425452">
            <w:pPr>
              <w:pStyle w:val="Heading2"/>
              <w:rPr>
                <w:bCs w:val="0"/>
                <w:sz w:val="24"/>
                <w:szCs w:val="24"/>
              </w:rPr>
            </w:pPr>
            <w:r>
              <w:rPr>
                <w:bCs w:val="0"/>
                <w:sz w:val="24"/>
                <w:szCs w:val="24"/>
              </w:rPr>
              <w:t>M</w:t>
            </w:r>
            <w:r w:rsidRPr="00C26C5B">
              <w:rPr>
                <w:bCs w:val="0"/>
                <w:sz w:val="24"/>
                <w:szCs w:val="24"/>
              </w:rPr>
              <w:t>ilestone</w:t>
            </w:r>
            <w:r w:rsidRPr="00A9341B">
              <w:rPr>
                <w:bCs w:val="0"/>
                <w:sz w:val="24"/>
                <w:szCs w:val="24"/>
              </w:rPr>
              <w:t>s</w:t>
            </w:r>
          </w:p>
        </w:tc>
        <w:tc>
          <w:tcPr>
            <w:tcW w:w="1984" w:type="dxa"/>
            <w:tcBorders>
              <w:bottom w:val="single" w:sz="18" w:space="0" w:color="4F81BD"/>
            </w:tcBorders>
            <w:shd w:val="clear" w:color="auto" w:fill="D5DCE4" w:themeFill="text2" w:themeFillTint="33"/>
          </w:tcPr>
          <w:p w14:paraId="795828ED" w14:textId="77777777" w:rsidR="001A1E1B" w:rsidRPr="00D0312C" w:rsidRDefault="001A1E1B" w:rsidP="00425452">
            <w:pPr>
              <w:pStyle w:val="Heading2"/>
              <w:rPr>
                <w:sz w:val="18"/>
                <w:szCs w:val="18"/>
              </w:rPr>
            </w:pPr>
            <w:r w:rsidRPr="00DE36EB">
              <w:rPr>
                <w:bCs w:val="0"/>
                <w:sz w:val="24"/>
                <w:szCs w:val="24"/>
              </w:rPr>
              <w:t>Report due</w:t>
            </w:r>
            <w:r>
              <w:rPr>
                <w:bCs w:val="0"/>
                <w:sz w:val="24"/>
                <w:szCs w:val="24"/>
              </w:rPr>
              <w:t xml:space="preserve"> </w:t>
            </w:r>
          </w:p>
        </w:tc>
        <w:tc>
          <w:tcPr>
            <w:tcW w:w="1985" w:type="dxa"/>
            <w:tcBorders>
              <w:bottom w:val="single" w:sz="18" w:space="0" w:color="4F81BD"/>
            </w:tcBorders>
            <w:shd w:val="clear" w:color="auto" w:fill="D5DCE4" w:themeFill="text2" w:themeFillTint="33"/>
          </w:tcPr>
          <w:p w14:paraId="46271810" w14:textId="77777777" w:rsidR="001A1E1B" w:rsidRPr="00C26C5B" w:rsidRDefault="001A1E1B" w:rsidP="00425452">
            <w:pPr>
              <w:pStyle w:val="Heading2"/>
              <w:rPr>
                <w:bCs w:val="0"/>
                <w:sz w:val="24"/>
                <w:szCs w:val="24"/>
              </w:rPr>
            </w:pPr>
            <w:r w:rsidRPr="00C26C5B">
              <w:rPr>
                <w:bCs w:val="0"/>
                <w:sz w:val="24"/>
                <w:szCs w:val="24"/>
              </w:rPr>
              <w:t>Payment</w:t>
            </w:r>
          </w:p>
        </w:tc>
      </w:tr>
      <w:tr w:rsidR="00C20AFD" w14:paraId="4B00273E" w14:textId="77777777" w:rsidTr="005B0E86">
        <w:trPr>
          <w:trHeight w:val="1800"/>
        </w:trPr>
        <w:tc>
          <w:tcPr>
            <w:tcW w:w="2235" w:type="dxa"/>
            <w:vMerge w:val="restart"/>
            <w:tcBorders>
              <w:top w:val="single" w:sz="18" w:space="0" w:color="4F81BD"/>
              <w:bottom w:val="single" w:sz="18" w:space="0" w:color="4F81BD"/>
            </w:tcBorders>
            <w:shd w:val="clear" w:color="auto" w:fill="auto"/>
          </w:tcPr>
          <w:p w14:paraId="49EEF299" w14:textId="77777777" w:rsidR="00C20AFD" w:rsidRPr="00C26C5B" w:rsidRDefault="00C20AFD" w:rsidP="00425452">
            <w:pPr>
              <w:pStyle w:val="Normalnumbered"/>
              <w:tabs>
                <w:tab w:val="clear" w:pos="283"/>
              </w:tabs>
              <w:ind w:left="0" w:firstLine="0"/>
              <w:jc w:val="left"/>
              <w:rPr>
                <w:b/>
                <w:bCs/>
                <w:szCs w:val="23"/>
              </w:rPr>
            </w:pPr>
            <w:r>
              <w:rPr>
                <w:b/>
                <w:bCs/>
                <w:szCs w:val="23"/>
              </w:rPr>
              <w:t xml:space="preserve">2017-18 </w:t>
            </w:r>
            <w:r>
              <w:t>Projects that deliver tourism demand-driver infrastructure and support Tourism 2020 outcomes.</w:t>
            </w:r>
          </w:p>
        </w:tc>
        <w:tc>
          <w:tcPr>
            <w:tcW w:w="3402" w:type="dxa"/>
            <w:tcBorders>
              <w:top w:val="single" w:sz="18" w:space="0" w:color="4F81BD"/>
              <w:bottom w:val="single" w:sz="18" w:space="0" w:color="4F81BD"/>
            </w:tcBorders>
            <w:shd w:val="clear" w:color="auto" w:fill="auto"/>
          </w:tcPr>
          <w:p w14:paraId="6EDDB324" w14:textId="72DCCFCD" w:rsidR="00C20AFD" w:rsidRPr="005D61D9" w:rsidRDefault="00C20AFD" w:rsidP="005605E8">
            <w:pPr>
              <w:pStyle w:val="Normalnumbered"/>
              <w:tabs>
                <w:tab w:val="clear" w:pos="283"/>
              </w:tabs>
              <w:ind w:left="0" w:firstLine="0"/>
              <w:jc w:val="left"/>
            </w:pPr>
            <w:r w:rsidRPr="005D61D9">
              <w:t xml:space="preserve">Demonstration, through provision of a progress report, that scheduled stages for each project have been completed for </w:t>
            </w:r>
            <w:r w:rsidR="00AA7583" w:rsidRPr="005D61D9">
              <w:t>Projects 1, 3, 6 – 19.</w:t>
            </w:r>
          </w:p>
        </w:tc>
        <w:tc>
          <w:tcPr>
            <w:tcW w:w="1984" w:type="dxa"/>
            <w:tcBorders>
              <w:top w:val="single" w:sz="18" w:space="0" w:color="4F81BD"/>
              <w:bottom w:val="single" w:sz="18" w:space="0" w:color="4F81BD"/>
            </w:tcBorders>
            <w:shd w:val="clear" w:color="auto" w:fill="auto"/>
          </w:tcPr>
          <w:p w14:paraId="4A2E6AEE" w14:textId="77777777" w:rsidR="00C20AFD" w:rsidRPr="005D61D9" w:rsidRDefault="00C20AFD" w:rsidP="00425452">
            <w:pPr>
              <w:pStyle w:val="Normalnumbered"/>
              <w:tabs>
                <w:tab w:val="clear" w:pos="283"/>
              </w:tabs>
              <w:ind w:left="0" w:firstLine="0"/>
              <w:jc w:val="left"/>
            </w:pPr>
            <w:r w:rsidRPr="005D61D9">
              <w:t>20 March 2018</w:t>
            </w:r>
          </w:p>
        </w:tc>
        <w:tc>
          <w:tcPr>
            <w:tcW w:w="1985" w:type="dxa"/>
            <w:tcBorders>
              <w:top w:val="single" w:sz="18" w:space="0" w:color="4F81BD"/>
              <w:bottom w:val="single" w:sz="18" w:space="0" w:color="4F81BD"/>
            </w:tcBorders>
            <w:shd w:val="clear" w:color="auto" w:fill="auto"/>
          </w:tcPr>
          <w:p w14:paraId="71C91A3A" w14:textId="03BB43F2" w:rsidR="00C20AFD" w:rsidRPr="002C0313" w:rsidRDefault="00F32922" w:rsidP="00AA7583">
            <w:pPr>
              <w:pStyle w:val="Normalnumbered"/>
              <w:tabs>
                <w:tab w:val="clear" w:pos="283"/>
              </w:tabs>
              <w:ind w:left="0" w:firstLine="0"/>
              <w:jc w:val="left"/>
            </w:pPr>
            <w:r>
              <w:t>$1,762,962</w:t>
            </w:r>
          </w:p>
        </w:tc>
      </w:tr>
      <w:tr w:rsidR="00C20AFD" w14:paraId="5DBB8829" w14:textId="77777777" w:rsidTr="005B0E86">
        <w:trPr>
          <w:trHeight w:val="1800"/>
        </w:trPr>
        <w:tc>
          <w:tcPr>
            <w:tcW w:w="2235" w:type="dxa"/>
            <w:vMerge/>
            <w:tcBorders>
              <w:bottom w:val="single" w:sz="18" w:space="0" w:color="4F81BD"/>
            </w:tcBorders>
            <w:shd w:val="clear" w:color="auto" w:fill="auto"/>
          </w:tcPr>
          <w:p w14:paraId="57D6AB8A" w14:textId="77777777" w:rsidR="00C20AFD" w:rsidRDefault="00C20AFD" w:rsidP="00425452">
            <w:pPr>
              <w:pStyle w:val="Normalnumbered"/>
              <w:tabs>
                <w:tab w:val="clear" w:pos="283"/>
              </w:tabs>
              <w:ind w:left="0" w:firstLine="0"/>
              <w:jc w:val="left"/>
              <w:rPr>
                <w:b/>
                <w:bCs/>
                <w:szCs w:val="23"/>
              </w:rPr>
            </w:pPr>
          </w:p>
        </w:tc>
        <w:tc>
          <w:tcPr>
            <w:tcW w:w="3402" w:type="dxa"/>
            <w:tcBorders>
              <w:top w:val="single" w:sz="18" w:space="0" w:color="4F81BD"/>
            </w:tcBorders>
            <w:shd w:val="clear" w:color="auto" w:fill="auto"/>
          </w:tcPr>
          <w:p w14:paraId="617FA792" w14:textId="26F0E5C8" w:rsidR="00C20AFD" w:rsidRPr="005D61D9" w:rsidRDefault="00C20AFD" w:rsidP="005605E8">
            <w:pPr>
              <w:pStyle w:val="Normalnumbered"/>
              <w:tabs>
                <w:tab w:val="clear" w:pos="283"/>
              </w:tabs>
              <w:ind w:left="0" w:firstLine="0"/>
              <w:jc w:val="left"/>
            </w:pPr>
            <w:r w:rsidRPr="005D61D9">
              <w:t>Demonstration, through provision of a progress report, that scheduled stages for each project have been completed for Project</w:t>
            </w:r>
            <w:r w:rsidR="00DE4C4E" w:rsidRPr="005D61D9">
              <w:t xml:space="preserve">s </w:t>
            </w:r>
            <w:r w:rsidR="00AA7583" w:rsidRPr="005D61D9">
              <w:t>1, 3, 6 – 19.</w:t>
            </w:r>
          </w:p>
        </w:tc>
        <w:tc>
          <w:tcPr>
            <w:tcW w:w="1984" w:type="dxa"/>
            <w:tcBorders>
              <w:top w:val="single" w:sz="18" w:space="0" w:color="4F81BD"/>
            </w:tcBorders>
            <w:shd w:val="clear" w:color="auto" w:fill="auto"/>
          </w:tcPr>
          <w:p w14:paraId="794C6F17" w14:textId="0EF11A32" w:rsidR="00C20AFD" w:rsidRPr="005D61D9" w:rsidRDefault="005605E8" w:rsidP="00425452">
            <w:pPr>
              <w:pStyle w:val="Normalnumbered"/>
              <w:tabs>
                <w:tab w:val="clear" w:pos="283"/>
              </w:tabs>
              <w:ind w:left="0" w:firstLine="0"/>
              <w:jc w:val="left"/>
            </w:pPr>
            <w:r w:rsidRPr="005D61D9">
              <w:t>17 October 2017</w:t>
            </w:r>
          </w:p>
        </w:tc>
        <w:tc>
          <w:tcPr>
            <w:tcW w:w="1985" w:type="dxa"/>
            <w:tcBorders>
              <w:top w:val="single" w:sz="18" w:space="0" w:color="4F81BD"/>
            </w:tcBorders>
            <w:shd w:val="clear" w:color="auto" w:fill="auto"/>
          </w:tcPr>
          <w:p w14:paraId="044ECA82" w14:textId="708A4663" w:rsidR="00C20AFD" w:rsidRDefault="00F32922" w:rsidP="00425452">
            <w:pPr>
              <w:pStyle w:val="Normalnumbered"/>
              <w:tabs>
                <w:tab w:val="clear" w:pos="283"/>
              </w:tabs>
              <w:ind w:left="0" w:firstLine="0"/>
              <w:jc w:val="left"/>
            </w:pPr>
            <w:r>
              <w:t>$1,982,000</w:t>
            </w:r>
          </w:p>
        </w:tc>
      </w:tr>
      <w:tr w:rsidR="005B0E86" w14:paraId="1BC96862" w14:textId="77777777" w:rsidTr="005B0E86">
        <w:trPr>
          <w:trHeight w:val="664"/>
        </w:trPr>
        <w:tc>
          <w:tcPr>
            <w:tcW w:w="2235" w:type="dxa"/>
            <w:vMerge w:val="restart"/>
            <w:tcBorders>
              <w:top w:val="single" w:sz="18" w:space="0" w:color="4F81BD"/>
            </w:tcBorders>
            <w:shd w:val="clear" w:color="auto" w:fill="auto"/>
          </w:tcPr>
          <w:p w14:paraId="50E11807" w14:textId="77777777" w:rsidR="005B0E86" w:rsidRPr="00C26C5B" w:rsidRDefault="005B0E86" w:rsidP="001C5AAB">
            <w:pPr>
              <w:pStyle w:val="Normalnumbered"/>
              <w:tabs>
                <w:tab w:val="clear" w:pos="283"/>
              </w:tabs>
              <w:ind w:left="0" w:firstLine="0"/>
              <w:jc w:val="left"/>
              <w:rPr>
                <w:b/>
                <w:bCs/>
                <w:szCs w:val="23"/>
              </w:rPr>
            </w:pPr>
            <w:r w:rsidRPr="000D5B00">
              <w:rPr>
                <w:b/>
                <w:bCs/>
                <w:szCs w:val="23"/>
              </w:rPr>
              <w:t>2016-17</w:t>
            </w:r>
            <w:r>
              <w:t xml:space="preserve"> Projects that deliver tourism demand-driver infrastructure and support Tourism 2020 outcomes.</w:t>
            </w:r>
          </w:p>
        </w:tc>
        <w:tc>
          <w:tcPr>
            <w:tcW w:w="3402" w:type="dxa"/>
            <w:tcBorders>
              <w:top w:val="single" w:sz="18" w:space="0" w:color="4F81BD"/>
              <w:bottom w:val="single" w:sz="18" w:space="0" w:color="4F81BD"/>
            </w:tcBorders>
            <w:shd w:val="clear" w:color="auto" w:fill="auto"/>
          </w:tcPr>
          <w:p w14:paraId="6663A02E" w14:textId="72840F38" w:rsidR="005B0E86" w:rsidRPr="005D61D9" w:rsidRDefault="00AA7583" w:rsidP="00AA7583">
            <w:pPr>
              <w:pStyle w:val="Normalnumbered"/>
              <w:tabs>
                <w:tab w:val="clear" w:pos="283"/>
              </w:tabs>
              <w:ind w:left="0" w:firstLine="0"/>
              <w:jc w:val="left"/>
            </w:pPr>
            <w:r w:rsidRPr="005D61D9">
              <w:t>Demonstration, through provision of a progress report, that scheduled stages for each project have been completed for Projects 6, 7, 9, 10, 14 and 15.</w:t>
            </w:r>
          </w:p>
        </w:tc>
        <w:tc>
          <w:tcPr>
            <w:tcW w:w="1984" w:type="dxa"/>
            <w:tcBorders>
              <w:top w:val="single" w:sz="18" w:space="0" w:color="4F81BD"/>
              <w:bottom w:val="single" w:sz="18" w:space="0" w:color="4F81BD"/>
            </w:tcBorders>
            <w:shd w:val="clear" w:color="auto" w:fill="auto"/>
          </w:tcPr>
          <w:p w14:paraId="1015383A" w14:textId="77777777" w:rsidR="00AA7583" w:rsidRPr="005D61D9" w:rsidRDefault="00AA7583" w:rsidP="00AA7583">
            <w:pPr>
              <w:pStyle w:val="Normalnumbered"/>
              <w:tabs>
                <w:tab w:val="clear" w:pos="283"/>
              </w:tabs>
              <w:ind w:left="0" w:firstLine="0"/>
              <w:jc w:val="left"/>
            </w:pPr>
            <w:r w:rsidRPr="005D61D9">
              <w:t>20 May 2017</w:t>
            </w:r>
          </w:p>
          <w:p w14:paraId="1704E42C" w14:textId="6A95CE38" w:rsidR="005B0E86" w:rsidRPr="005D61D9" w:rsidRDefault="005B0E86" w:rsidP="001C5AAB">
            <w:pPr>
              <w:pStyle w:val="Normalnumbered"/>
              <w:tabs>
                <w:tab w:val="clear" w:pos="283"/>
              </w:tabs>
              <w:ind w:left="0" w:firstLine="0"/>
              <w:jc w:val="left"/>
            </w:pPr>
          </w:p>
        </w:tc>
        <w:tc>
          <w:tcPr>
            <w:tcW w:w="1985" w:type="dxa"/>
            <w:tcBorders>
              <w:top w:val="single" w:sz="18" w:space="0" w:color="4F81BD"/>
              <w:bottom w:val="single" w:sz="18" w:space="0" w:color="4F81BD"/>
            </w:tcBorders>
            <w:shd w:val="clear" w:color="auto" w:fill="auto"/>
          </w:tcPr>
          <w:p w14:paraId="76AE8366" w14:textId="77777777" w:rsidR="00AA7583" w:rsidRDefault="00AA7583" w:rsidP="00AA7583">
            <w:pPr>
              <w:pStyle w:val="Normalnumbered"/>
              <w:tabs>
                <w:tab w:val="clear" w:pos="283"/>
              </w:tabs>
              <w:ind w:left="0" w:firstLine="0"/>
              <w:jc w:val="left"/>
            </w:pPr>
            <w:r w:rsidRPr="005D61D9">
              <w:t>$1,220,000</w:t>
            </w:r>
          </w:p>
          <w:p w14:paraId="31B22F32" w14:textId="6904C2B5" w:rsidR="005B0E86" w:rsidRPr="00AC2E3E" w:rsidRDefault="005B0E86" w:rsidP="001C5AAB">
            <w:pPr>
              <w:pStyle w:val="Normalnumbered"/>
              <w:tabs>
                <w:tab w:val="clear" w:pos="283"/>
              </w:tabs>
              <w:ind w:left="0" w:firstLine="0"/>
              <w:jc w:val="left"/>
            </w:pPr>
          </w:p>
        </w:tc>
      </w:tr>
      <w:tr w:rsidR="005B0E86" w14:paraId="171B9B35" w14:textId="77777777" w:rsidTr="001C5AAB">
        <w:trPr>
          <w:trHeight w:val="664"/>
        </w:trPr>
        <w:tc>
          <w:tcPr>
            <w:tcW w:w="2235" w:type="dxa"/>
            <w:vMerge/>
            <w:shd w:val="clear" w:color="auto" w:fill="auto"/>
          </w:tcPr>
          <w:p w14:paraId="18B63B90" w14:textId="77777777" w:rsidR="005B0E86" w:rsidRPr="00C26C5B" w:rsidRDefault="005B0E86" w:rsidP="001C5AAB">
            <w:pPr>
              <w:pStyle w:val="Normalnumbered"/>
              <w:tabs>
                <w:tab w:val="clear" w:pos="283"/>
              </w:tabs>
              <w:ind w:left="0" w:firstLine="0"/>
              <w:jc w:val="left"/>
              <w:rPr>
                <w:b/>
                <w:bCs/>
                <w:szCs w:val="23"/>
              </w:rPr>
            </w:pPr>
          </w:p>
        </w:tc>
        <w:tc>
          <w:tcPr>
            <w:tcW w:w="3402" w:type="dxa"/>
            <w:tcBorders>
              <w:top w:val="single" w:sz="18" w:space="0" w:color="4F81BD"/>
              <w:bottom w:val="single" w:sz="18" w:space="0" w:color="4F81BD"/>
            </w:tcBorders>
            <w:shd w:val="clear" w:color="auto" w:fill="auto"/>
          </w:tcPr>
          <w:p w14:paraId="2217D37D" w14:textId="5E01037C" w:rsidR="00AA7583" w:rsidRPr="002C0313" w:rsidRDefault="00AA7583" w:rsidP="005B0E86">
            <w:pPr>
              <w:pStyle w:val="Normalnumbered"/>
              <w:tabs>
                <w:tab w:val="clear" w:pos="283"/>
              </w:tabs>
              <w:ind w:left="0" w:firstLine="0"/>
              <w:jc w:val="left"/>
              <w:rPr>
                <w:highlight w:val="yellow"/>
              </w:rPr>
            </w:pPr>
            <w:r w:rsidRPr="002C0313">
              <w:t xml:space="preserve">Demonstration, through provision of a progress report, that scheduled stages for each project have been completed for Projects </w:t>
            </w:r>
            <w:r w:rsidRPr="005605E8">
              <w:t>2, 4</w:t>
            </w:r>
            <w:r>
              <w:t xml:space="preserve">, </w:t>
            </w:r>
            <w:r w:rsidRPr="005D61D9">
              <w:t>5 and 6.</w:t>
            </w:r>
          </w:p>
        </w:tc>
        <w:tc>
          <w:tcPr>
            <w:tcW w:w="1984" w:type="dxa"/>
            <w:tcBorders>
              <w:top w:val="single" w:sz="18" w:space="0" w:color="4F81BD"/>
              <w:bottom w:val="single" w:sz="18" w:space="0" w:color="4F81BD"/>
            </w:tcBorders>
            <w:shd w:val="clear" w:color="auto" w:fill="auto"/>
          </w:tcPr>
          <w:p w14:paraId="7EB3AC48" w14:textId="4DE53832" w:rsidR="00AA7583" w:rsidRDefault="00AA7583" w:rsidP="001C5AAB">
            <w:pPr>
              <w:pStyle w:val="Normalnumbered"/>
              <w:tabs>
                <w:tab w:val="clear" w:pos="283"/>
              </w:tabs>
              <w:ind w:left="0" w:firstLine="0"/>
              <w:jc w:val="left"/>
            </w:pPr>
            <w:r w:rsidRPr="002C0313">
              <w:t>20 September 2016</w:t>
            </w:r>
          </w:p>
          <w:p w14:paraId="07192387" w14:textId="77777777" w:rsidR="00AA7583" w:rsidRPr="002C0313" w:rsidRDefault="00AA7583" w:rsidP="001C5AAB">
            <w:pPr>
              <w:pStyle w:val="Normalnumbered"/>
              <w:tabs>
                <w:tab w:val="clear" w:pos="283"/>
              </w:tabs>
              <w:ind w:left="0" w:firstLine="0"/>
              <w:jc w:val="left"/>
            </w:pPr>
          </w:p>
        </w:tc>
        <w:tc>
          <w:tcPr>
            <w:tcW w:w="1985" w:type="dxa"/>
            <w:tcBorders>
              <w:top w:val="single" w:sz="18" w:space="0" w:color="4F81BD"/>
              <w:bottom w:val="single" w:sz="18" w:space="0" w:color="4F81BD"/>
            </w:tcBorders>
            <w:shd w:val="clear" w:color="auto" w:fill="auto"/>
          </w:tcPr>
          <w:p w14:paraId="2740F042" w14:textId="3A6C0B79" w:rsidR="00AA7583" w:rsidRDefault="00AA7583" w:rsidP="001C5AAB">
            <w:pPr>
              <w:pStyle w:val="Normalnumbered"/>
              <w:tabs>
                <w:tab w:val="clear" w:pos="283"/>
              </w:tabs>
              <w:ind w:left="0" w:firstLine="0"/>
              <w:jc w:val="left"/>
            </w:pPr>
            <w:r>
              <w:t>$</w:t>
            </w:r>
            <w:r w:rsidRPr="00AC2E3E">
              <w:t>590,000</w:t>
            </w:r>
          </w:p>
          <w:p w14:paraId="6A749F99" w14:textId="77777777" w:rsidR="00AA7583" w:rsidRPr="00AC2E3E" w:rsidRDefault="00AA7583" w:rsidP="001C5AAB">
            <w:pPr>
              <w:pStyle w:val="Normalnumbered"/>
              <w:tabs>
                <w:tab w:val="clear" w:pos="283"/>
              </w:tabs>
              <w:ind w:left="0" w:firstLine="0"/>
              <w:jc w:val="left"/>
            </w:pPr>
          </w:p>
        </w:tc>
      </w:tr>
      <w:tr w:rsidR="005B0E86" w14:paraId="7D858058" w14:textId="77777777" w:rsidTr="005B0E86">
        <w:trPr>
          <w:trHeight w:val="2045"/>
        </w:trPr>
        <w:tc>
          <w:tcPr>
            <w:tcW w:w="2235" w:type="dxa"/>
            <w:tcBorders>
              <w:top w:val="single" w:sz="18" w:space="0" w:color="4F81BD"/>
              <w:bottom w:val="single" w:sz="18" w:space="0" w:color="4F81BD"/>
            </w:tcBorders>
            <w:shd w:val="clear" w:color="auto" w:fill="auto"/>
          </w:tcPr>
          <w:p w14:paraId="6457C809" w14:textId="77777777" w:rsidR="005B0E86" w:rsidRDefault="005B0E86" w:rsidP="001C5AAB">
            <w:pPr>
              <w:pStyle w:val="Normalnumbered"/>
              <w:numPr>
                <w:ilvl w:val="0"/>
                <w:numId w:val="1"/>
              </w:numPr>
              <w:tabs>
                <w:tab w:val="clear" w:pos="567"/>
                <w:tab w:val="clear" w:pos="1134"/>
                <w:tab w:val="clear" w:pos="1418"/>
              </w:tabs>
              <w:ind w:left="0"/>
              <w:jc w:val="left"/>
            </w:pPr>
            <w:r w:rsidRPr="000D5B00">
              <w:rPr>
                <w:b/>
              </w:rPr>
              <w:lastRenderedPageBreak/>
              <w:t>2015-16</w:t>
            </w:r>
            <w:r>
              <w:t xml:space="preserve"> Projects that deliver tourism demand-driver infrastructure and support Tourism 2020 outcomes.</w:t>
            </w:r>
          </w:p>
        </w:tc>
        <w:tc>
          <w:tcPr>
            <w:tcW w:w="3402" w:type="dxa"/>
            <w:tcBorders>
              <w:top w:val="single" w:sz="18" w:space="0" w:color="4F81BD"/>
              <w:bottom w:val="single" w:sz="18" w:space="0" w:color="4F81BD"/>
            </w:tcBorders>
            <w:shd w:val="clear" w:color="auto" w:fill="auto"/>
          </w:tcPr>
          <w:p w14:paraId="16A1E5E7" w14:textId="77777777" w:rsidR="005B0E86" w:rsidRPr="00964D0B" w:rsidRDefault="005B0E86" w:rsidP="001C5AAB">
            <w:pPr>
              <w:pStyle w:val="Normalnumbered"/>
              <w:tabs>
                <w:tab w:val="clear" w:pos="283"/>
              </w:tabs>
              <w:ind w:left="0" w:firstLine="0"/>
              <w:jc w:val="left"/>
            </w:pPr>
            <w:r w:rsidRPr="002C0313">
              <w:t>Demonstration, through provision of a progress report, that scheduled stages for each project have been completed for Projects 1 to 6.</w:t>
            </w:r>
          </w:p>
        </w:tc>
        <w:tc>
          <w:tcPr>
            <w:tcW w:w="1984" w:type="dxa"/>
            <w:tcBorders>
              <w:top w:val="single" w:sz="18" w:space="0" w:color="4F81BD"/>
              <w:bottom w:val="single" w:sz="18" w:space="0" w:color="4F81BD"/>
            </w:tcBorders>
            <w:shd w:val="clear" w:color="auto" w:fill="auto"/>
          </w:tcPr>
          <w:p w14:paraId="5BFD8038" w14:textId="77777777" w:rsidR="005B0E86" w:rsidRPr="00964D0B" w:rsidRDefault="005B0E86" w:rsidP="001C5AAB">
            <w:pPr>
              <w:pStyle w:val="Normalnumbered"/>
              <w:tabs>
                <w:tab w:val="clear" w:pos="283"/>
              </w:tabs>
              <w:ind w:left="0" w:firstLine="0"/>
              <w:jc w:val="left"/>
            </w:pPr>
            <w:r>
              <w:t>20 March 2016</w:t>
            </w:r>
          </w:p>
        </w:tc>
        <w:tc>
          <w:tcPr>
            <w:tcW w:w="1985" w:type="dxa"/>
            <w:tcBorders>
              <w:top w:val="single" w:sz="18" w:space="0" w:color="4F81BD"/>
              <w:bottom w:val="single" w:sz="18" w:space="0" w:color="4F81BD"/>
            </w:tcBorders>
            <w:shd w:val="clear" w:color="auto" w:fill="auto"/>
          </w:tcPr>
          <w:p w14:paraId="272CD21E" w14:textId="77777777" w:rsidR="005B0E86" w:rsidRDefault="005B0E86" w:rsidP="001C5AAB">
            <w:pPr>
              <w:pStyle w:val="Normalnumbered"/>
              <w:tabs>
                <w:tab w:val="clear" w:pos="283"/>
              </w:tabs>
              <w:ind w:left="0" w:firstLine="0"/>
              <w:jc w:val="left"/>
            </w:pPr>
            <w:r>
              <w:t>$1,660,000</w:t>
            </w:r>
          </w:p>
        </w:tc>
      </w:tr>
    </w:tbl>
    <w:p w14:paraId="5FEE5F3F" w14:textId="77777777" w:rsidR="001A1E1B" w:rsidRDefault="001A1E1B" w:rsidP="001A1E1B"/>
    <w:p w14:paraId="56C8D90A" w14:textId="77777777" w:rsidR="001A1E1B" w:rsidRDefault="001A1E1B" w:rsidP="001A1E1B">
      <w:pPr>
        <w:spacing w:after="0" w:line="240" w:lineRule="auto"/>
        <w:jc w:val="left"/>
      </w:pPr>
      <w:r>
        <w:br w:type="page"/>
      </w:r>
    </w:p>
    <w:p w14:paraId="723B36B6" w14:textId="77777777" w:rsidR="001A1E1B" w:rsidRDefault="001A1E1B" w:rsidP="001A1E1B"/>
    <w:p w14:paraId="64AEDB67" w14:textId="77777777" w:rsidR="001A1E1B" w:rsidRDefault="001A1E1B" w:rsidP="001A1E1B">
      <w:pPr>
        <w:pStyle w:val="Normalnumbered"/>
        <w:keepNext/>
        <w:tabs>
          <w:tab w:val="clear" w:pos="283"/>
        </w:tabs>
        <w:spacing w:after="220" w:line="240" w:lineRule="auto"/>
        <w:ind w:left="357" w:hanging="357"/>
        <w:rPr>
          <w:b/>
          <w:sz w:val="29"/>
          <w:szCs w:val="29"/>
        </w:rPr>
      </w:pPr>
      <w:r>
        <w:rPr>
          <w:b/>
          <w:sz w:val="29"/>
          <w:szCs w:val="29"/>
        </w:rPr>
        <w:t>Sign off</w:t>
      </w:r>
    </w:p>
    <w:p w14:paraId="2323DEDA" w14:textId="77777777" w:rsidR="001A1E1B" w:rsidRDefault="001A1E1B" w:rsidP="001A1E1B">
      <w:pPr>
        <w:rPr>
          <w:rFonts w:cs="Calibri"/>
          <w:szCs w:val="23"/>
          <w:lang w:val="en-GB"/>
        </w:rPr>
      </w:pPr>
      <w:r>
        <w:rPr>
          <w:rFonts w:cs="Calibri"/>
          <w:szCs w:val="23"/>
          <w:lang w:val="en-GB"/>
        </w:rPr>
        <w:t>The Parties have confirmed their commitment to this Schedule as follows:</w:t>
      </w:r>
    </w:p>
    <w:p w14:paraId="32292245" w14:textId="77777777" w:rsidR="001A1E1B" w:rsidRDefault="001A1E1B" w:rsidP="001A1E1B">
      <w:pPr>
        <w:rPr>
          <w:rFonts w:cs="Calibri"/>
          <w:szCs w:val="23"/>
          <w:lang w:val="en-GB"/>
        </w:rPr>
      </w:pPr>
      <w:r>
        <w:rPr>
          <w:rFonts w:cs="Calibri"/>
          <w:b/>
          <w:szCs w:val="23"/>
          <w:lang w:val="en-GB"/>
        </w:rPr>
        <w:t xml:space="preserve">Signed </w:t>
      </w:r>
      <w:r>
        <w:rPr>
          <w:rFonts w:cs="Calibri"/>
          <w:i/>
          <w:szCs w:val="23"/>
          <w:lang w:val="en-GB"/>
        </w:rPr>
        <w:t>for and on behalf of the Commonwealth of Australia by</w:t>
      </w:r>
    </w:p>
    <w:p w14:paraId="6F147912" w14:textId="77777777" w:rsidR="001A1E1B" w:rsidRDefault="001A1E1B" w:rsidP="001A1E1B">
      <w:pPr>
        <w:rPr>
          <w:rFonts w:cs="Calibri"/>
          <w:szCs w:val="23"/>
          <w:lang w:val="en-GB"/>
        </w:rPr>
      </w:pPr>
    </w:p>
    <w:p w14:paraId="7F7596BB" w14:textId="77777777" w:rsidR="001A1E1B" w:rsidRDefault="001A1E1B" w:rsidP="001A1E1B">
      <w:pPr>
        <w:rPr>
          <w:rFonts w:cs="Calibri"/>
          <w:szCs w:val="23"/>
          <w:lang w:val="en-GB"/>
        </w:rPr>
      </w:pPr>
    </w:p>
    <w:p w14:paraId="5D24730D" w14:textId="77777777" w:rsidR="001A1E1B" w:rsidRDefault="001A1E1B" w:rsidP="001A1E1B">
      <w:pPr>
        <w:rPr>
          <w:rFonts w:cs="Calibri"/>
          <w:szCs w:val="23"/>
          <w:lang w:val="en-GB"/>
        </w:rPr>
      </w:pPr>
    </w:p>
    <w:p w14:paraId="5A5EA1F2" w14:textId="77777777" w:rsidR="001A1E1B" w:rsidRDefault="001A1E1B" w:rsidP="001A1E1B">
      <w:pPr>
        <w:rPr>
          <w:rFonts w:cs="Calibri"/>
          <w:szCs w:val="23"/>
          <w:lang w:val="en-GB"/>
        </w:rPr>
      </w:pPr>
      <w:r>
        <w:rPr>
          <w:rFonts w:cs="Calibri"/>
          <w:szCs w:val="23"/>
          <w:lang w:val="en-GB"/>
        </w:rPr>
        <w:t>__________________________________________</w:t>
      </w:r>
    </w:p>
    <w:p w14:paraId="7B77B427" w14:textId="77777777" w:rsidR="001A1E1B" w:rsidRPr="0033422D" w:rsidRDefault="001A1E1B" w:rsidP="001A1E1B">
      <w:pPr>
        <w:pStyle w:val="SingleParagraph"/>
        <w:spacing w:after="240"/>
        <w:rPr>
          <w:rStyle w:val="Bold"/>
          <w:szCs w:val="23"/>
        </w:rPr>
      </w:pPr>
      <w:r w:rsidRPr="0033422D">
        <w:rPr>
          <w:rStyle w:val="Bold"/>
          <w:szCs w:val="23"/>
        </w:rPr>
        <w:t xml:space="preserve">The Honourable </w:t>
      </w:r>
      <w:r>
        <w:rPr>
          <w:rStyle w:val="Bold"/>
          <w:szCs w:val="23"/>
        </w:rPr>
        <w:t xml:space="preserve">Steven Ciobo </w:t>
      </w:r>
      <w:r w:rsidRPr="0033422D">
        <w:rPr>
          <w:rStyle w:val="Bold"/>
          <w:szCs w:val="23"/>
        </w:rPr>
        <w:t>MP</w:t>
      </w:r>
    </w:p>
    <w:p w14:paraId="3A4723F2" w14:textId="77777777" w:rsidR="001A1E1B" w:rsidRPr="0033422D" w:rsidRDefault="001A1E1B" w:rsidP="001A1E1B">
      <w:pPr>
        <w:pStyle w:val="Position"/>
        <w:spacing w:after="240"/>
        <w:rPr>
          <w:sz w:val="23"/>
          <w:szCs w:val="23"/>
          <w:lang w:val="en-GB"/>
        </w:rPr>
      </w:pPr>
      <w:r w:rsidRPr="0033422D">
        <w:rPr>
          <w:sz w:val="23"/>
          <w:szCs w:val="23"/>
          <w:lang w:val="en-GB"/>
        </w:rPr>
        <w:t xml:space="preserve">Minister for </w:t>
      </w:r>
      <w:r>
        <w:rPr>
          <w:sz w:val="23"/>
          <w:szCs w:val="23"/>
          <w:lang w:val="en-GB"/>
        </w:rPr>
        <w:t xml:space="preserve">Trade, </w:t>
      </w:r>
      <w:r w:rsidRPr="0033422D">
        <w:rPr>
          <w:sz w:val="23"/>
          <w:szCs w:val="23"/>
          <w:lang w:val="en-GB"/>
        </w:rPr>
        <w:t xml:space="preserve">Tourism and </w:t>
      </w:r>
      <w:r>
        <w:rPr>
          <w:sz w:val="23"/>
          <w:szCs w:val="23"/>
          <w:lang w:val="en-GB"/>
        </w:rPr>
        <w:t>Investment</w:t>
      </w:r>
    </w:p>
    <w:p w14:paraId="610BB679" w14:textId="1052327F" w:rsidR="000C3016" w:rsidRDefault="000C3016" w:rsidP="000C3016">
      <w:pPr>
        <w:rPr>
          <w:rFonts w:cs="Calibri"/>
          <w:szCs w:val="23"/>
          <w:lang w:val="en-GB"/>
        </w:rPr>
      </w:pPr>
      <w:r w:rsidRPr="00B00778" w:rsidDel="00542A8C">
        <w:rPr>
          <w:bCs/>
          <w:lang w:val="en-GB"/>
        </w:rPr>
        <w:t xml:space="preserve"> </w:t>
      </w:r>
      <w:r w:rsidR="005605E8">
        <w:rPr>
          <w:lang w:val="en-GB"/>
        </w:rPr>
        <w:t xml:space="preserve">    /       </w:t>
      </w:r>
      <w:proofErr w:type="gramStart"/>
      <w:r w:rsidR="005605E8">
        <w:rPr>
          <w:lang w:val="en-GB"/>
        </w:rPr>
        <w:t>/  2017</w:t>
      </w:r>
      <w:proofErr w:type="gramEnd"/>
    </w:p>
    <w:p w14:paraId="278E1DFB" w14:textId="77777777" w:rsidR="001A1E1B" w:rsidRDefault="001A1E1B" w:rsidP="001A1E1B">
      <w:pPr>
        <w:rPr>
          <w:rFonts w:cs="Calibri"/>
          <w:szCs w:val="23"/>
          <w:lang w:val="en-GB"/>
        </w:rPr>
      </w:pPr>
    </w:p>
    <w:p w14:paraId="1220E93F" w14:textId="77777777" w:rsidR="001A1E1B" w:rsidRDefault="001A1E1B" w:rsidP="001A1E1B">
      <w:pPr>
        <w:rPr>
          <w:rFonts w:cs="Calibri"/>
          <w:szCs w:val="23"/>
          <w:lang w:val="en-GB"/>
        </w:rPr>
      </w:pPr>
    </w:p>
    <w:p w14:paraId="13A0DF2B" w14:textId="77777777" w:rsidR="001A1E1B" w:rsidRDefault="001A1E1B" w:rsidP="001A1E1B">
      <w:pPr>
        <w:rPr>
          <w:rFonts w:cs="Calibri"/>
          <w:i/>
          <w:szCs w:val="23"/>
          <w:lang w:val="en-GB"/>
        </w:rPr>
      </w:pPr>
      <w:r>
        <w:rPr>
          <w:rFonts w:cs="Calibri"/>
          <w:b/>
          <w:szCs w:val="23"/>
          <w:lang w:val="en-GB"/>
        </w:rPr>
        <w:t>Signed</w:t>
      </w:r>
      <w:r>
        <w:rPr>
          <w:rFonts w:cs="Calibri"/>
          <w:szCs w:val="23"/>
          <w:lang w:val="en-GB"/>
        </w:rPr>
        <w:t xml:space="preserve"> </w:t>
      </w:r>
      <w:r>
        <w:rPr>
          <w:rFonts w:cs="Calibri"/>
          <w:i/>
          <w:szCs w:val="23"/>
          <w:lang w:val="en-GB"/>
        </w:rPr>
        <w:t>for and on behalf of the State of Victoria by</w:t>
      </w:r>
    </w:p>
    <w:p w14:paraId="1D9E40D3" w14:textId="77777777" w:rsidR="001A1E1B" w:rsidRDefault="001A1E1B" w:rsidP="001A1E1B">
      <w:pPr>
        <w:rPr>
          <w:rFonts w:cs="Calibri"/>
          <w:szCs w:val="23"/>
          <w:lang w:val="en-GB"/>
        </w:rPr>
      </w:pPr>
    </w:p>
    <w:p w14:paraId="5B29AE13" w14:textId="77777777" w:rsidR="001A1E1B" w:rsidRDefault="001A1E1B" w:rsidP="001A1E1B">
      <w:pPr>
        <w:rPr>
          <w:rFonts w:cs="Calibri"/>
          <w:szCs w:val="23"/>
          <w:lang w:val="en-GB"/>
        </w:rPr>
      </w:pPr>
    </w:p>
    <w:p w14:paraId="6907FD6B" w14:textId="77777777" w:rsidR="001A1E1B" w:rsidRDefault="001A1E1B" w:rsidP="001A1E1B">
      <w:pPr>
        <w:rPr>
          <w:rFonts w:cs="Calibri"/>
          <w:szCs w:val="23"/>
          <w:lang w:val="en-GB"/>
        </w:rPr>
      </w:pPr>
    </w:p>
    <w:p w14:paraId="7291EF00" w14:textId="77777777" w:rsidR="001A1E1B" w:rsidRDefault="001A1E1B" w:rsidP="001A1E1B">
      <w:pPr>
        <w:rPr>
          <w:rFonts w:cs="Calibri"/>
          <w:szCs w:val="23"/>
          <w:lang w:val="en-GB"/>
        </w:rPr>
      </w:pPr>
      <w:r>
        <w:rPr>
          <w:rFonts w:cs="Calibri"/>
          <w:szCs w:val="23"/>
          <w:lang w:val="en-GB"/>
        </w:rPr>
        <w:t>__________________________________________</w:t>
      </w:r>
    </w:p>
    <w:p w14:paraId="638AB9E0" w14:textId="77777777" w:rsidR="001A1E1B" w:rsidRDefault="001A1E1B" w:rsidP="001A1E1B">
      <w:pPr>
        <w:pStyle w:val="SingleParagraph"/>
        <w:spacing w:after="240"/>
        <w:rPr>
          <w:rStyle w:val="Bold"/>
        </w:rPr>
      </w:pPr>
      <w:r>
        <w:rPr>
          <w:rStyle w:val="Bold"/>
        </w:rPr>
        <w:t>The Honourable John Eren MP</w:t>
      </w:r>
    </w:p>
    <w:p w14:paraId="5C09AF59" w14:textId="77777777" w:rsidR="001A1E1B" w:rsidRDefault="001A1E1B" w:rsidP="001A1E1B">
      <w:pPr>
        <w:pStyle w:val="Position"/>
        <w:spacing w:after="240"/>
        <w:rPr>
          <w:lang w:val="en-GB"/>
        </w:rPr>
      </w:pPr>
      <w:r>
        <w:rPr>
          <w:lang w:val="en-GB"/>
        </w:rPr>
        <w:t>Minister for Tourism and Major Events</w:t>
      </w:r>
    </w:p>
    <w:p w14:paraId="7A98D586" w14:textId="7B8CAAED" w:rsidR="001A1E1B" w:rsidRDefault="001A1E1B" w:rsidP="001A1E1B">
      <w:pPr>
        <w:rPr>
          <w:rFonts w:cs="Calibri"/>
          <w:szCs w:val="23"/>
          <w:lang w:val="en-GB"/>
        </w:rPr>
      </w:pPr>
      <w:r w:rsidRPr="00B00778" w:rsidDel="00542A8C">
        <w:rPr>
          <w:bCs/>
          <w:lang w:val="en-GB"/>
        </w:rPr>
        <w:t xml:space="preserve"> </w:t>
      </w:r>
      <w:r w:rsidR="005605E8">
        <w:rPr>
          <w:lang w:val="en-GB"/>
        </w:rPr>
        <w:t xml:space="preserve">    /       </w:t>
      </w:r>
      <w:proofErr w:type="gramStart"/>
      <w:r w:rsidR="005605E8">
        <w:rPr>
          <w:lang w:val="en-GB"/>
        </w:rPr>
        <w:t>/  2017</w:t>
      </w:r>
      <w:proofErr w:type="gramEnd"/>
    </w:p>
    <w:sectPr w:rsidR="001A1E1B" w:rsidSect="001A1E1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chapStyle="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32E9D" w14:textId="77777777" w:rsidR="001A1E1B" w:rsidRDefault="001A1E1B" w:rsidP="001A1E1B">
      <w:pPr>
        <w:spacing w:after="0" w:line="240" w:lineRule="auto"/>
      </w:pPr>
      <w:r>
        <w:separator/>
      </w:r>
    </w:p>
  </w:endnote>
  <w:endnote w:type="continuationSeparator" w:id="0">
    <w:p w14:paraId="4BBED103" w14:textId="77777777" w:rsidR="001A1E1B" w:rsidRDefault="001A1E1B" w:rsidP="001A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A5D23" w14:textId="77777777" w:rsidR="00B02FCD" w:rsidRDefault="00B02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E804" w14:textId="77777777" w:rsidR="00B02FCD" w:rsidRDefault="00B02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85746" w14:textId="77777777" w:rsidR="000E7236" w:rsidRPr="00E76CF8" w:rsidRDefault="0096231C" w:rsidP="00E76CF8">
    <w:pPr>
      <w:pStyle w:val="Footer"/>
    </w:pPr>
    <w:r>
      <w:t xml:space="preserve">Page 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C664A" w14:textId="77777777" w:rsidR="001A1E1B" w:rsidRDefault="001A1E1B" w:rsidP="001A1E1B">
      <w:pPr>
        <w:spacing w:after="0" w:line="240" w:lineRule="auto"/>
      </w:pPr>
      <w:r>
        <w:separator/>
      </w:r>
    </w:p>
  </w:footnote>
  <w:footnote w:type="continuationSeparator" w:id="0">
    <w:p w14:paraId="3515DA31" w14:textId="77777777" w:rsidR="001A1E1B" w:rsidRDefault="001A1E1B" w:rsidP="001A1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72AAF" w14:textId="77777777" w:rsidR="00B02FCD" w:rsidRDefault="00B02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3871F" w14:textId="77777777" w:rsidR="001A1E1B" w:rsidRPr="00814590" w:rsidRDefault="001A1E1B" w:rsidP="001A1E1B">
    <w:pPr>
      <w:pStyle w:val="HeaderOdd"/>
      <w:tabs>
        <w:tab w:val="num" w:pos="1134"/>
      </w:tabs>
      <w:rPr>
        <w:color w:val="800000"/>
      </w:rPr>
    </w:pPr>
    <w:r>
      <w:rPr>
        <w:color w:val="800000"/>
      </w:rPr>
      <w:t>Project Agreement for the Delivery of Tourism Demand-Driver Infrastructure</w:t>
    </w:r>
  </w:p>
  <w:p w14:paraId="06E36D55" w14:textId="77777777" w:rsidR="001A1E1B" w:rsidRDefault="001A1E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DFDEB" w14:textId="77777777" w:rsidR="00B02FCD" w:rsidRDefault="00B02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nsid w:val="1BF41060"/>
    <w:multiLevelType w:val="hybridMultilevel"/>
    <w:tmpl w:val="DD3CFCD0"/>
    <w:lvl w:ilvl="0" w:tplc="E4760E08">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1B"/>
    <w:rsid w:val="000647B8"/>
    <w:rsid w:val="000C3016"/>
    <w:rsid w:val="000C4D0A"/>
    <w:rsid w:val="00120957"/>
    <w:rsid w:val="001A1E1B"/>
    <w:rsid w:val="001E746D"/>
    <w:rsid w:val="002656D9"/>
    <w:rsid w:val="003D1704"/>
    <w:rsid w:val="00494C3B"/>
    <w:rsid w:val="004A127A"/>
    <w:rsid w:val="0054317C"/>
    <w:rsid w:val="005538D2"/>
    <w:rsid w:val="005605E8"/>
    <w:rsid w:val="005B0E86"/>
    <w:rsid w:val="005D61D9"/>
    <w:rsid w:val="0060193C"/>
    <w:rsid w:val="00644926"/>
    <w:rsid w:val="00645782"/>
    <w:rsid w:val="00671C41"/>
    <w:rsid w:val="007650BC"/>
    <w:rsid w:val="007774BB"/>
    <w:rsid w:val="007B74EB"/>
    <w:rsid w:val="007C30B1"/>
    <w:rsid w:val="0096231C"/>
    <w:rsid w:val="00A112C0"/>
    <w:rsid w:val="00AA7583"/>
    <w:rsid w:val="00AC2E3E"/>
    <w:rsid w:val="00AF30F9"/>
    <w:rsid w:val="00B02FCD"/>
    <w:rsid w:val="00B077E3"/>
    <w:rsid w:val="00B126EC"/>
    <w:rsid w:val="00B42B6A"/>
    <w:rsid w:val="00B72C5E"/>
    <w:rsid w:val="00C11B10"/>
    <w:rsid w:val="00C20AFD"/>
    <w:rsid w:val="00C22ACC"/>
    <w:rsid w:val="00C7102F"/>
    <w:rsid w:val="00CF3EF2"/>
    <w:rsid w:val="00D34B6A"/>
    <w:rsid w:val="00DE4C4E"/>
    <w:rsid w:val="00F06E35"/>
    <w:rsid w:val="00F32922"/>
    <w:rsid w:val="00F85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6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1B"/>
    <w:pPr>
      <w:spacing w:after="240" w:line="260" w:lineRule="exact"/>
      <w:jc w:val="both"/>
    </w:pPr>
    <w:rPr>
      <w:rFonts w:ascii="Corbel" w:eastAsia="Times New Roman" w:hAnsi="Corbel" w:cs="Times New Roman"/>
      <w:color w:val="000000"/>
      <w:sz w:val="23"/>
      <w:szCs w:val="20"/>
      <w:lang w:eastAsia="en-AU"/>
    </w:rPr>
  </w:style>
  <w:style w:type="paragraph" w:styleId="Heading2">
    <w:name w:val="heading 2"/>
    <w:basedOn w:val="Normal"/>
    <w:next w:val="Normal"/>
    <w:link w:val="Heading2Char"/>
    <w:uiPriority w:val="99"/>
    <w:qFormat/>
    <w:rsid w:val="001A1E1B"/>
    <w:pPr>
      <w:keepNext/>
      <w:spacing w:before="180" w:after="120" w:line="240" w:lineRule="auto"/>
      <w:jc w:val="left"/>
      <w:outlineLvl w:val="1"/>
    </w:pPr>
    <w:rPr>
      <w:rFonts w:cs="Arial"/>
      <w:b/>
      <w:bCs/>
      <w:iCs/>
      <w:color w:val="3D4B67"/>
      <w:sz w:val="2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1E1B"/>
    <w:rPr>
      <w:rFonts w:ascii="Corbel" w:eastAsia="Times New Roman" w:hAnsi="Corbel" w:cs="Arial"/>
      <w:b/>
      <w:bCs/>
      <w:iCs/>
      <w:color w:val="3D4B67"/>
      <w:sz w:val="29"/>
      <w:szCs w:val="28"/>
      <w:lang w:eastAsia="en-AU"/>
    </w:rPr>
  </w:style>
  <w:style w:type="paragraph" w:customStyle="1" w:styleId="SingleParagraph">
    <w:name w:val="Single Paragraph"/>
    <w:basedOn w:val="Normal"/>
    <w:rsid w:val="001A1E1B"/>
    <w:pPr>
      <w:spacing w:after="0"/>
    </w:pPr>
  </w:style>
  <w:style w:type="character" w:customStyle="1" w:styleId="Bold">
    <w:name w:val="Bold"/>
    <w:rsid w:val="001A1E1B"/>
    <w:rPr>
      <w:b/>
    </w:rPr>
  </w:style>
  <w:style w:type="paragraph" w:styleId="Footer">
    <w:name w:val="footer"/>
    <w:basedOn w:val="Normal"/>
    <w:link w:val="FooterChar"/>
    <w:uiPriority w:val="99"/>
    <w:rsid w:val="001A1E1B"/>
    <w:pPr>
      <w:keepNext/>
      <w:spacing w:after="0" w:line="240" w:lineRule="auto"/>
      <w:jc w:val="left"/>
    </w:pPr>
    <w:rPr>
      <w:color w:val="3D4B67"/>
      <w:sz w:val="18"/>
    </w:rPr>
  </w:style>
  <w:style w:type="character" w:customStyle="1" w:styleId="FooterChar">
    <w:name w:val="Footer Char"/>
    <w:basedOn w:val="DefaultParagraphFont"/>
    <w:link w:val="Footer"/>
    <w:uiPriority w:val="99"/>
    <w:rsid w:val="001A1E1B"/>
    <w:rPr>
      <w:rFonts w:ascii="Corbel" w:eastAsia="Times New Roman" w:hAnsi="Corbel" w:cs="Times New Roman"/>
      <w:color w:val="3D4B67"/>
      <w:sz w:val="18"/>
      <w:szCs w:val="20"/>
      <w:lang w:eastAsia="en-AU"/>
    </w:rPr>
  </w:style>
  <w:style w:type="paragraph" w:styleId="Header">
    <w:name w:val="header"/>
    <w:basedOn w:val="Normal"/>
    <w:link w:val="HeaderChar"/>
    <w:uiPriority w:val="99"/>
    <w:rsid w:val="001A1E1B"/>
    <w:pPr>
      <w:keepNext/>
      <w:spacing w:after="0" w:line="240" w:lineRule="auto"/>
      <w:jc w:val="left"/>
    </w:pPr>
    <w:rPr>
      <w:color w:val="3D4B67"/>
      <w:sz w:val="18"/>
    </w:rPr>
  </w:style>
  <w:style w:type="character" w:customStyle="1" w:styleId="HeaderChar">
    <w:name w:val="Header Char"/>
    <w:basedOn w:val="DefaultParagraphFont"/>
    <w:link w:val="Header"/>
    <w:uiPriority w:val="99"/>
    <w:rsid w:val="001A1E1B"/>
    <w:rPr>
      <w:rFonts w:ascii="Corbel" w:eastAsia="Times New Roman" w:hAnsi="Corbel" w:cs="Times New Roman"/>
      <w:color w:val="3D4B67"/>
      <w:sz w:val="18"/>
      <w:szCs w:val="20"/>
      <w:lang w:eastAsia="en-AU"/>
    </w:rPr>
  </w:style>
  <w:style w:type="paragraph" w:customStyle="1" w:styleId="Normalnumbered">
    <w:name w:val="Normal numbered"/>
    <w:basedOn w:val="Normal"/>
    <w:link w:val="NormalnumberedChar"/>
    <w:rsid w:val="001A1E1B"/>
    <w:pPr>
      <w:tabs>
        <w:tab w:val="num" w:pos="283"/>
        <w:tab w:val="num" w:pos="567"/>
        <w:tab w:val="num" w:pos="1134"/>
        <w:tab w:val="num" w:pos="1418"/>
      </w:tabs>
      <w:ind w:left="567" w:hanging="567"/>
    </w:pPr>
  </w:style>
  <w:style w:type="paragraph" w:customStyle="1" w:styleId="Position">
    <w:name w:val="Position"/>
    <w:basedOn w:val="Normal"/>
    <w:rsid w:val="001A1E1B"/>
    <w:pPr>
      <w:spacing w:after="120"/>
    </w:pPr>
    <w:rPr>
      <w:bCs/>
      <w:sz w:val="20"/>
    </w:rPr>
  </w:style>
  <w:style w:type="character" w:customStyle="1" w:styleId="NormalnumberedChar">
    <w:name w:val="Normal numbered Char"/>
    <w:link w:val="Normalnumbered"/>
    <w:locked/>
    <w:rsid w:val="001A1E1B"/>
    <w:rPr>
      <w:rFonts w:ascii="Corbel" w:eastAsia="Times New Roman" w:hAnsi="Corbel" w:cs="Times New Roman"/>
      <w:color w:val="000000"/>
      <w:sz w:val="23"/>
      <w:szCs w:val="20"/>
      <w:lang w:eastAsia="en-AU"/>
    </w:rPr>
  </w:style>
  <w:style w:type="paragraph" w:customStyle="1" w:styleId="HeaderOdd">
    <w:name w:val="Header Odd"/>
    <w:basedOn w:val="Header"/>
    <w:rsid w:val="001A1E1B"/>
    <w:pPr>
      <w:jc w:val="right"/>
    </w:pPr>
  </w:style>
  <w:style w:type="character" w:styleId="CommentReference">
    <w:name w:val="annotation reference"/>
    <w:basedOn w:val="DefaultParagraphFont"/>
    <w:uiPriority w:val="99"/>
    <w:semiHidden/>
    <w:unhideWhenUsed/>
    <w:rsid w:val="007B74EB"/>
    <w:rPr>
      <w:sz w:val="16"/>
      <w:szCs w:val="16"/>
    </w:rPr>
  </w:style>
  <w:style w:type="paragraph" w:styleId="CommentText">
    <w:name w:val="annotation text"/>
    <w:basedOn w:val="Normal"/>
    <w:link w:val="CommentTextChar"/>
    <w:uiPriority w:val="99"/>
    <w:semiHidden/>
    <w:unhideWhenUsed/>
    <w:rsid w:val="007B74EB"/>
    <w:pPr>
      <w:spacing w:line="240" w:lineRule="auto"/>
    </w:pPr>
    <w:rPr>
      <w:sz w:val="20"/>
    </w:rPr>
  </w:style>
  <w:style w:type="character" w:customStyle="1" w:styleId="CommentTextChar">
    <w:name w:val="Comment Text Char"/>
    <w:basedOn w:val="DefaultParagraphFont"/>
    <w:link w:val="CommentText"/>
    <w:uiPriority w:val="99"/>
    <w:semiHidden/>
    <w:rsid w:val="007B74EB"/>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7B74EB"/>
    <w:rPr>
      <w:b/>
      <w:bCs/>
    </w:rPr>
  </w:style>
  <w:style w:type="character" w:customStyle="1" w:styleId="CommentSubjectChar">
    <w:name w:val="Comment Subject Char"/>
    <w:basedOn w:val="CommentTextChar"/>
    <w:link w:val="CommentSubject"/>
    <w:uiPriority w:val="99"/>
    <w:semiHidden/>
    <w:rsid w:val="007B74EB"/>
    <w:rPr>
      <w:rFonts w:ascii="Corbel" w:eastAsia="Times New Roman" w:hAnsi="Corbel" w:cs="Times New Roman"/>
      <w:b/>
      <w:bCs/>
      <w:color w:val="000000"/>
      <w:sz w:val="20"/>
      <w:szCs w:val="20"/>
      <w:lang w:eastAsia="en-AU"/>
    </w:rPr>
  </w:style>
  <w:style w:type="paragraph" w:styleId="BalloonText">
    <w:name w:val="Balloon Text"/>
    <w:basedOn w:val="Normal"/>
    <w:link w:val="BalloonTextChar"/>
    <w:uiPriority w:val="99"/>
    <w:semiHidden/>
    <w:unhideWhenUsed/>
    <w:rsid w:val="007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4EB"/>
    <w:rPr>
      <w:rFonts w:ascii="Segoe UI" w:eastAsia="Times New Roman" w:hAnsi="Segoe UI" w:cs="Segoe UI"/>
      <w:color w:val="000000"/>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1B"/>
    <w:pPr>
      <w:spacing w:after="240" w:line="260" w:lineRule="exact"/>
      <w:jc w:val="both"/>
    </w:pPr>
    <w:rPr>
      <w:rFonts w:ascii="Corbel" w:eastAsia="Times New Roman" w:hAnsi="Corbel" w:cs="Times New Roman"/>
      <w:color w:val="000000"/>
      <w:sz w:val="23"/>
      <w:szCs w:val="20"/>
      <w:lang w:eastAsia="en-AU"/>
    </w:rPr>
  </w:style>
  <w:style w:type="paragraph" w:styleId="Heading2">
    <w:name w:val="heading 2"/>
    <w:basedOn w:val="Normal"/>
    <w:next w:val="Normal"/>
    <w:link w:val="Heading2Char"/>
    <w:uiPriority w:val="99"/>
    <w:qFormat/>
    <w:rsid w:val="001A1E1B"/>
    <w:pPr>
      <w:keepNext/>
      <w:spacing w:before="180" w:after="120" w:line="240" w:lineRule="auto"/>
      <w:jc w:val="left"/>
      <w:outlineLvl w:val="1"/>
    </w:pPr>
    <w:rPr>
      <w:rFonts w:cs="Arial"/>
      <w:b/>
      <w:bCs/>
      <w:iCs/>
      <w:color w:val="3D4B67"/>
      <w:sz w:val="2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1E1B"/>
    <w:rPr>
      <w:rFonts w:ascii="Corbel" w:eastAsia="Times New Roman" w:hAnsi="Corbel" w:cs="Arial"/>
      <w:b/>
      <w:bCs/>
      <w:iCs/>
      <w:color w:val="3D4B67"/>
      <w:sz w:val="29"/>
      <w:szCs w:val="28"/>
      <w:lang w:eastAsia="en-AU"/>
    </w:rPr>
  </w:style>
  <w:style w:type="paragraph" w:customStyle="1" w:styleId="SingleParagraph">
    <w:name w:val="Single Paragraph"/>
    <w:basedOn w:val="Normal"/>
    <w:rsid w:val="001A1E1B"/>
    <w:pPr>
      <w:spacing w:after="0"/>
    </w:pPr>
  </w:style>
  <w:style w:type="character" w:customStyle="1" w:styleId="Bold">
    <w:name w:val="Bold"/>
    <w:rsid w:val="001A1E1B"/>
    <w:rPr>
      <w:b/>
    </w:rPr>
  </w:style>
  <w:style w:type="paragraph" w:styleId="Footer">
    <w:name w:val="footer"/>
    <w:basedOn w:val="Normal"/>
    <w:link w:val="FooterChar"/>
    <w:uiPriority w:val="99"/>
    <w:rsid w:val="001A1E1B"/>
    <w:pPr>
      <w:keepNext/>
      <w:spacing w:after="0" w:line="240" w:lineRule="auto"/>
      <w:jc w:val="left"/>
    </w:pPr>
    <w:rPr>
      <w:color w:val="3D4B67"/>
      <w:sz w:val="18"/>
    </w:rPr>
  </w:style>
  <w:style w:type="character" w:customStyle="1" w:styleId="FooterChar">
    <w:name w:val="Footer Char"/>
    <w:basedOn w:val="DefaultParagraphFont"/>
    <w:link w:val="Footer"/>
    <w:uiPriority w:val="99"/>
    <w:rsid w:val="001A1E1B"/>
    <w:rPr>
      <w:rFonts w:ascii="Corbel" w:eastAsia="Times New Roman" w:hAnsi="Corbel" w:cs="Times New Roman"/>
      <w:color w:val="3D4B67"/>
      <w:sz w:val="18"/>
      <w:szCs w:val="20"/>
      <w:lang w:eastAsia="en-AU"/>
    </w:rPr>
  </w:style>
  <w:style w:type="paragraph" w:styleId="Header">
    <w:name w:val="header"/>
    <w:basedOn w:val="Normal"/>
    <w:link w:val="HeaderChar"/>
    <w:uiPriority w:val="99"/>
    <w:rsid w:val="001A1E1B"/>
    <w:pPr>
      <w:keepNext/>
      <w:spacing w:after="0" w:line="240" w:lineRule="auto"/>
      <w:jc w:val="left"/>
    </w:pPr>
    <w:rPr>
      <w:color w:val="3D4B67"/>
      <w:sz w:val="18"/>
    </w:rPr>
  </w:style>
  <w:style w:type="character" w:customStyle="1" w:styleId="HeaderChar">
    <w:name w:val="Header Char"/>
    <w:basedOn w:val="DefaultParagraphFont"/>
    <w:link w:val="Header"/>
    <w:uiPriority w:val="99"/>
    <w:rsid w:val="001A1E1B"/>
    <w:rPr>
      <w:rFonts w:ascii="Corbel" w:eastAsia="Times New Roman" w:hAnsi="Corbel" w:cs="Times New Roman"/>
      <w:color w:val="3D4B67"/>
      <w:sz w:val="18"/>
      <w:szCs w:val="20"/>
      <w:lang w:eastAsia="en-AU"/>
    </w:rPr>
  </w:style>
  <w:style w:type="paragraph" w:customStyle="1" w:styleId="Normalnumbered">
    <w:name w:val="Normal numbered"/>
    <w:basedOn w:val="Normal"/>
    <w:link w:val="NormalnumberedChar"/>
    <w:rsid w:val="001A1E1B"/>
    <w:pPr>
      <w:tabs>
        <w:tab w:val="num" w:pos="283"/>
        <w:tab w:val="num" w:pos="567"/>
        <w:tab w:val="num" w:pos="1134"/>
        <w:tab w:val="num" w:pos="1418"/>
      </w:tabs>
      <w:ind w:left="567" w:hanging="567"/>
    </w:pPr>
  </w:style>
  <w:style w:type="paragraph" w:customStyle="1" w:styleId="Position">
    <w:name w:val="Position"/>
    <w:basedOn w:val="Normal"/>
    <w:rsid w:val="001A1E1B"/>
    <w:pPr>
      <w:spacing w:after="120"/>
    </w:pPr>
    <w:rPr>
      <w:bCs/>
      <w:sz w:val="20"/>
    </w:rPr>
  </w:style>
  <w:style w:type="character" w:customStyle="1" w:styleId="NormalnumberedChar">
    <w:name w:val="Normal numbered Char"/>
    <w:link w:val="Normalnumbered"/>
    <w:locked/>
    <w:rsid w:val="001A1E1B"/>
    <w:rPr>
      <w:rFonts w:ascii="Corbel" w:eastAsia="Times New Roman" w:hAnsi="Corbel" w:cs="Times New Roman"/>
      <w:color w:val="000000"/>
      <w:sz w:val="23"/>
      <w:szCs w:val="20"/>
      <w:lang w:eastAsia="en-AU"/>
    </w:rPr>
  </w:style>
  <w:style w:type="paragraph" w:customStyle="1" w:styleId="HeaderOdd">
    <w:name w:val="Header Odd"/>
    <w:basedOn w:val="Header"/>
    <w:rsid w:val="001A1E1B"/>
    <w:pPr>
      <w:jc w:val="right"/>
    </w:pPr>
  </w:style>
  <w:style w:type="character" w:styleId="CommentReference">
    <w:name w:val="annotation reference"/>
    <w:basedOn w:val="DefaultParagraphFont"/>
    <w:uiPriority w:val="99"/>
    <w:semiHidden/>
    <w:unhideWhenUsed/>
    <w:rsid w:val="007B74EB"/>
    <w:rPr>
      <w:sz w:val="16"/>
      <w:szCs w:val="16"/>
    </w:rPr>
  </w:style>
  <w:style w:type="paragraph" w:styleId="CommentText">
    <w:name w:val="annotation text"/>
    <w:basedOn w:val="Normal"/>
    <w:link w:val="CommentTextChar"/>
    <w:uiPriority w:val="99"/>
    <w:semiHidden/>
    <w:unhideWhenUsed/>
    <w:rsid w:val="007B74EB"/>
    <w:pPr>
      <w:spacing w:line="240" w:lineRule="auto"/>
    </w:pPr>
    <w:rPr>
      <w:sz w:val="20"/>
    </w:rPr>
  </w:style>
  <w:style w:type="character" w:customStyle="1" w:styleId="CommentTextChar">
    <w:name w:val="Comment Text Char"/>
    <w:basedOn w:val="DefaultParagraphFont"/>
    <w:link w:val="CommentText"/>
    <w:uiPriority w:val="99"/>
    <w:semiHidden/>
    <w:rsid w:val="007B74EB"/>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7B74EB"/>
    <w:rPr>
      <w:b/>
      <w:bCs/>
    </w:rPr>
  </w:style>
  <w:style w:type="character" w:customStyle="1" w:styleId="CommentSubjectChar">
    <w:name w:val="Comment Subject Char"/>
    <w:basedOn w:val="CommentTextChar"/>
    <w:link w:val="CommentSubject"/>
    <w:uiPriority w:val="99"/>
    <w:semiHidden/>
    <w:rsid w:val="007B74EB"/>
    <w:rPr>
      <w:rFonts w:ascii="Corbel" w:eastAsia="Times New Roman" w:hAnsi="Corbel" w:cs="Times New Roman"/>
      <w:b/>
      <w:bCs/>
      <w:color w:val="000000"/>
      <w:sz w:val="20"/>
      <w:szCs w:val="20"/>
      <w:lang w:eastAsia="en-AU"/>
    </w:rPr>
  </w:style>
  <w:style w:type="paragraph" w:styleId="BalloonText">
    <w:name w:val="Balloon Text"/>
    <w:basedOn w:val="Normal"/>
    <w:link w:val="BalloonTextChar"/>
    <w:uiPriority w:val="99"/>
    <w:semiHidden/>
    <w:unhideWhenUsed/>
    <w:rsid w:val="007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4EB"/>
    <w:rPr>
      <w:rFonts w:ascii="Segoe UI" w:eastAsia="Times New Roman" w:hAnsi="Segoe UI" w:cs="Segoe UI"/>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for the Delivery of Tourism Demand-Driver Infrastructure</dc:title>
  <dc:subject>Schedule A - Project milestones, reporting and payments – Victoria</dc:subject>
  <dc:creator/>
  <cp:keywords/>
  <dc:description/>
  <cp:lastModifiedBy/>
  <cp:revision>1</cp:revision>
  <dcterms:created xsi:type="dcterms:W3CDTF">2017-05-31T05:48:00Z</dcterms:created>
  <dcterms:modified xsi:type="dcterms:W3CDTF">2017-05-31T05:48:00Z</dcterms:modified>
</cp:coreProperties>
</file>