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B8FC2" w14:textId="77777777" w:rsidR="00964D0B" w:rsidRPr="002E0F7B" w:rsidRDefault="00863E37" w:rsidP="006005BC">
      <w:pPr>
        <w:pStyle w:val="Normalnumbered"/>
        <w:keepNext/>
        <w:numPr>
          <w:ilvl w:val="0"/>
          <w:numId w:val="0"/>
        </w:numPr>
        <w:spacing w:line="240" w:lineRule="auto"/>
        <w:ind w:left="357" w:hanging="357"/>
        <w:jc w:val="right"/>
        <w:rPr>
          <w:rFonts w:ascii="Consolas" w:hAnsi="Consolas" w:cs="Consolas"/>
          <w:sz w:val="32"/>
          <w:szCs w:val="32"/>
        </w:rPr>
      </w:pPr>
      <w:bookmarkStart w:id="0" w:name="_GoBack"/>
      <w:bookmarkEnd w:id="0"/>
      <w:r w:rsidRPr="002E0F7B">
        <w:rPr>
          <w:rFonts w:ascii="Consolas" w:hAnsi="Consolas" w:cs="Consolas"/>
          <w:sz w:val="32"/>
          <w:szCs w:val="32"/>
        </w:rPr>
        <w:t>Schedule A</w:t>
      </w:r>
    </w:p>
    <w:p w14:paraId="1E1B8FC3" w14:textId="77777777" w:rsidR="00964D0B" w:rsidRPr="002E0F7B" w:rsidRDefault="00863E37" w:rsidP="00964D0B">
      <w:pPr>
        <w:pStyle w:val="Normalnumbered"/>
        <w:keepNext/>
        <w:numPr>
          <w:ilvl w:val="0"/>
          <w:numId w:val="0"/>
        </w:numPr>
        <w:ind w:left="360" w:hanging="360"/>
        <w:rPr>
          <w:b/>
          <w:sz w:val="29"/>
          <w:szCs w:val="29"/>
        </w:rPr>
      </w:pPr>
      <w:r w:rsidRPr="002E0F7B">
        <w:rPr>
          <w:b/>
          <w:sz w:val="29"/>
          <w:szCs w:val="29"/>
        </w:rPr>
        <w:t>Project milestones, reporting and payments – Western Australia</w:t>
      </w:r>
    </w:p>
    <w:p w14:paraId="1E1B8FC4" w14:textId="77777777" w:rsidR="00DD0B97" w:rsidRPr="002E0F7B" w:rsidRDefault="00863E37" w:rsidP="00DD0B97">
      <w:pPr>
        <w:tabs>
          <w:tab w:val="left" w:pos="567"/>
        </w:tabs>
      </w:pPr>
      <w:r w:rsidRPr="002E0F7B">
        <w:t>A1.</w:t>
      </w:r>
      <w:r w:rsidRPr="002E0F7B">
        <w:tab/>
        <w:t>To deliver the outputs of this Agreement, the following projects will be delivered by Western Australia from 2015-16 to 2017-18:</w:t>
      </w:r>
    </w:p>
    <w:p w14:paraId="1E1B8FC5" w14:textId="77777777" w:rsidR="00DD0B97" w:rsidRPr="002E0F7B" w:rsidRDefault="00863E37" w:rsidP="00DD1342">
      <w:pPr>
        <w:pStyle w:val="Normalnumbered"/>
        <w:numPr>
          <w:ilvl w:val="0"/>
          <w:numId w:val="7"/>
        </w:numPr>
        <w:tabs>
          <w:tab w:val="left" w:pos="1134"/>
        </w:tabs>
        <w:jc w:val="left"/>
      </w:pPr>
      <w:r w:rsidRPr="002E0F7B">
        <w:t xml:space="preserve">Project 3 – </w:t>
      </w:r>
      <w:r w:rsidRPr="002E0F7B">
        <w:rPr>
          <w:i/>
        </w:rPr>
        <w:t>Busselton Jetty Projects</w:t>
      </w:r>
      <w:r w:rsidRPr="002E0F7B">
        <w:t xml:space="preserve"> ($200,000. Comprising 2015-16 $100,000 and 2016-17 $100,000).  The heritage listed Busselton Jetty project will update and increase facilities and interpretation offerings. The project will increase activity opportunities at the Jetty; install new interpretation technology in the underwater observatory; and will purchase and install an electronic Jetty Train to increase passenger capacity.</w:t>
      </w:r>
    </w:p>
    <w:p w14:paraId="1E1B8FC6" w14:textId="77777777" w:rsidR="00DD0B97" w:rsidRPr="002E0F7B" w:rsidRDefault="00863E37" w:rsidP="00A776D7">
      <w:pPr>
        <w:pStyle w:val="Normalnumbered"/>
        <w:numPr>
          <w:ilvl w:val="0"/>
          <w:numId w:val="7"/>
        </w:numPr>
        <w:tabs>
          <w:tab w:val="left" w:pos="1134"/>
        </w:tabs>
        <w:jc w:val="left"/>
      </w:pPr>
      <w:r w:rsidRPr="002E0F7B">
        <w:t xml:space="preserve">Project 4 – </w:t>
      </w:r>
      <w:r w:rsidRPr="002E0F7B">
        <w:rPr>
          <w:i/>
        </w:rPr>
        <w:t>Denmark Wilderness Ocean Walk Ride Trail Experience</w:t>
      </w:r>
      <w:r w:rsidRPr="002E0F7B">
        <w:t xml:space="preserve"> ($250,000. Comprising 2015-16 $200,000 and 2016-17 $50,000).  Installation of a new section of the dual use walk, from Wilson Head to Lights Beach linking with William Bay National Park. The gradient and finish of the trail will allow access by a variety of ages and fitness levels. Interpretation signs will be installed along the track. </w:t>
      </w:r>
    </w:p>
    <w:p w14:paraId="1E1B8FC7" w14:textId="77777777" w:rsidR="00DD0B97" w:rsidRPr="002E0F7B" w:rsidRDefault="00863E37" w:rsidP="009A18B8">
      <w:pPr>
        <w:pStyle w:val="Normalnumbered"/>
        <w:numPr>
          <w:ilvl w:val="0"/>
          <w:numId w:val="7"/>
        </w:numPr>
        <w:tabs>
          <w:tab w:val="left" w:pos="1134"/>
        </w:tabs>
        <w:jc w:val="left"/>
      </w:pPr>
      <w:r w:rsidRPr="002E0F7B">
        <w:t xml:space="preserve">Project 5 – </w:t>
      </w:r>
      <w:r w:rsidRPr="002E0F7B">
        <w:rPr>
          <w:i/>
        </w:rPr>
        <w:t>Export Product Distribution Project</w:t>
      </w:r>
      <w:r w:rsidRPr="002E0F7B">
        <w:t xml:space="preserve"> ($265,000. Comprising 2015-16 $67,000, 2016-17 $99,500, and 2017-18 $98,500).  Assistance to approximately 400 tourism businesses to become prepared for selling their product to export/international tourism markets. Using mentoring, training and analytical tools, the project will assist tourism business owners and employees to better distribute their product via digital channels and intermediaries including Regional Tourism Organisation (RTOs), Online Tourism Agents (OTAs), Wholesalers and Inbound Tourism Operators (ITOs).</w:t>
      </w:r>
    </w:p>
    <w:p w14:paraId="1E1B8FC8" w14:textId="77777777" w:rsidR="00DD0B97" w:rsidRPr="002E0F7B" w:rsidRDefault="00863E37" w:rsidP="00C02D97">
      <w:pPr>
        <w:pStyle w:val="Normalnumbered"/>
        <w:numPr>
          <w:ilvl w:val="0"/>
          <w:numId w:val="7"/>
        </w:numPr>
        <w:tabs>
          <w:tab w:val="left" w:pos="1134"/>
        </w:tabs>
        <w:jc w:val="left"/>
      </w:pPr>
      <w:r w:rsidRPr="002E0F7B">
        <w:t xml:space="preserve">Project 6 – </w:t>
      </w:r>
      <w:r w:rsidRPr="002E0F7B">
        <w:rPr>
          <w:i/>
        </w:rPr>
        <w:t>Fremantle Wayfinding Project</w:t>
      </w:r>
      <w:r w:rsidRPr="002E0F7B">
        <w:t xml:space="preserve"> ($200,000. Comprising 2015-16 $150,000 and 2016-17 $50,000).  Design and development of a city‐wide 'way finding' system to improve movement of visitors between key destinations and attractions. Work includes the preparation and implementation of a 'way finding' strategy and system. </w:t>
      </w:r>
    </w:p>
    <w:p w14:paraId="1E1B8FC9" w14:textId="77777777" w:rsidR="00DD0B97" w:rsidRPr="002E0F7B" w:rsidRDefault="00863E37" w:rsidP="005B5D0D">
      <w:pPr>
        <w:pStyle w:val="Normalnumbered"/>
        <w:numPr>
          <w:ilvl w:val="0"/>
          <w:numId w:val="7"/>
        </w:numPr>
        <w:tabs>
          <w:tab w:val="left" w:pos="1134"/>
        </w:tabs>
        <w:jc w:val="left"/>
      </w:pPr>
      <w:r w:rsidRPr="002E0F7B">
        <w:t xml:space="preserve">Project 7 – </w:t>
      </w:r>
      <w:r w:rsidRPr="002E0F7B">
        <w:rPr>
          <w:i/>
        </w:rPr>
        <w:t>Nyamba Buru Yawuru Cultural Facilities Feasibility Study</w:t>
      </w:r>
      <w:r w:rsidRPr="002E0F7B">
        <w:t xml:space="preserve"> ($100,000. Comprising 2015</w:t>
      </w:r>
      <w:r w:rsidRPr="002E0F7B">
        <w:noBreakHyphen/>
        <w:t>16 $33,000 and 2017-18 $67,000).  This project is for a feasibility study for a Yawuru Interpretation Centre in Broome Chinatown. The centre’s aim is to share the richness and diversity of the Yawuru culture with visitors to Broome.</w:t>
      </w:r>
    </w:p>
    <w:p w14:paraId="1E1B8FCA" w14:textId="77777777" w:rsidR="00DD0B97" w:rsidRPr="002E0F7B" w:rsidRDefault="00863E37" w:rsidP="00040EE4">
      <w:pPr>
        <w:pStyle w:val="Normalnumbered"/>
        <w:numPr>
          <w:ilvl w:val="0"/>
          <w:numId w:val="7"/>
        </w:numPr>
        <w:tabs>
          <w:tab w:val="left" w:pos="1134"/>
        </w:tabs>
        <w:jc w:val="left"/>
      </w:pPr>
      <w:r w:rsidRPr="002E0F7B">
        <w:t xml:space="preserve">Project 8 – </w:t>
      </w:r>
      <w:r w:rsidRPr="002E0F7B">
        <w:rPr>
          <w:i/>
        </w:rPr>
        <w:t>Wadjemup Walk Trail West End Rottnest Island</w:t>
      </w:r>
      <w:r w:rsidRPr="002E0F7B">
        <w:t xml:space="preserve"> ($210,000. Comprising 2015-16 $55,000 and 2017-18 $155,000).  This project will develop the West End of the Wadjemup Walk Trail. This section will link the Wadjemup Hill with the Island’s westernmost point and the Cathedral Rocks seal colony attraction, and will complete a 50 kilometre network of walk and cycle trails on Rottnest Island. </w:t>
      </w:r>
    </w:p>
    <w:p w14:paraId="1E1B8FCB" w14:textId="77777777" w:rsidR="00DD0B97" w:rsidRPr="002E0F7B" w:rsidRDefault="00863E37" w:rsidP="00597BFF">
      <w:pPr>
        <w:pStyle w:val="Normalnumbered"/>
        <w:numPr>
          <w:ilvl w:val="0"/>
          <w:numId w:val="7"/>
        </w:numPr>
        <w:tabs>
          <w:tab w:val="left" w:pos="1134"/>
        </w:tabs>
        <w:jc w:val="left"/>
      </w:pPr>
      <w:r w:rsidRPr="002E0F7B">
        <w:t xml:space="preserve">Project 9 – </w:t>
      </w:r>
      <w:r w:rsidRPr="002E0F7B">
        <w:rPr>
          <w:i/>
        </w:rPr>
        <w:t>Albany Visitor’s Centre Relocation</w:t>
      </w:r>
      <w:r w:rsidRPr="002E0F7B">
        <w:t xml:space="preserve"> ($250,000 in 2017-18).  The project will see the Albany Visitors Centre relocated to a wing of the Albany Public Library building, facing the main street of Albany. The Centre will be developed to showcase regional tourism attractions and regional produce, and will also include convenient rentable space for meetings or functions, which will provide additional revenue streams for the ongoing viability and operation of the information hub.</w:t>
      </w:r>
    </w:p>
    <w:p w14:paraId="1EBB7CE0" w14:textId="77777777" w:rsidR="00863E37" w:rsidRDefault="00863E37">
      <w:pPr>
        <w:spacing w:after="200" w:line="276" w:lineRule="auto"/>
        <w:jc w:val="left"/>
      </w:pPr>
      <w:r>
        <w:br w:type="page"/>
      </w:r>
    </w:p>
    <w:p w14:paraId="1E1B8FCC" w14:textId="4678AE17" w:rsidR="00DD0B97" w:rsidRPr="002E0F7B" w:rsidRDefault="00863E37" w:rsidP="00597BFF">
      <w:pPr>
        <w:pStyle w:val="Normalnumbered"/>
        <w:numPr>
          <w:ilvl w:val="0"/>
          <w:numId w:val="7"/>
        </w:numPr>
        <w:tabs>
          <w:tab w:val="left" w:pos="1134"/>
        </w:tabs>
        <w:jc w:val="left"/>
      </w:pPr>
      <w:r w:rsidRPr="002E0F7B">
        <w:lastRenderedPageBreak/>
        <w:t xml:space="preserve">Project 10 – </w:t>
      </w:r>
      <w:r w:rsidRPr="002E0F7B">
        <w:rPr>
          <w:i/>
        </w:rPr>
        <w:t>Bibbulmun Track Terminus</w:t>
      </w:r>
      <w:r w:rsidRPr="002E0F7B">
        <w:t xml:space="preserve"> ($196,500 in 2016-17 )</w:t>
      </w:r>
      <w:proofErr w:type="gramStart"/>
      <w:r w:rsidRPr="002E0F7B">
        <w:t xml:space="preserve">.  </w:t>
      </w:r>
      <w:proofErr w:type="gramEnd"/>
      <w:r w:rsidRPr="002E0F7B">
        <w:t>The project scope involves the construction of a Northern Terminus to the Bibbulmun Track, and establishing a direct trail between the terminus and the Perth Hills Visitor Centre. Interpretation signs will be designed in keeping with existing signage and installed along the Track.</w:t>
      </w:r>
    </w:p>
    <w:p w14:paraId="1E1B8FCD" w14:textId="77777777" w:rsidR="00DD0B97" w:rsidRPr="002E0F7B" w:rsidRDefault="00863E37" w:rsidP="009256EA">
      <w:pPr>
        <w:pStyle w:val="Normalnumbered"/>
        <w:numPr>
          <w:ilvl w:val="0"/>
          <w:numId w:val="7"/>
        </w:numPr>
        <w:tabs>
          <w:tab w:val="left" w:pos="1134"/>
        </w:tabs>
        <w:jc w:val="left"/>
      </w:pPr>
      <w:r w:rsidRPr="002E0F7B">
        <w:t xml:space="preserve">Project 11 – </w:t>
      </w:r>
      <w:r w:rsidRPr="002E0F7B">
        <w:rPr>
          <w:i/>
        </w:rPr>
        <w:t>Margaret River Busselton Tourism Association Lighthouses Project</w:t>
      </w:r>
      <w:r w:rsidRPr="002E0F7B">
        <w:t xml:space="preserve"> ($200,000. Comprising 2016-17 $40,000 and 2017-18 $160,000).  The project involves the restoration and redevelopment of eight buildings across the Cape Leeuwin and Naturaliste lighthouse precincts, to bring them up to a contemporary standard, with improved amenity and interpretation facilities. The restored buildings will house new attractions, such as Indigenous food preparation and tastings, interpretation, and education classrooms.</w:t>
      </w:r>
    </w:p>
    <w:p w14:paraId="1E1B8FCE" w14:textId="77777777" w:rsidR="00DD0B97" w:rsidRPr="002E0F7B" w:rsidRDefault="00863E37" w:rsidP="00A27501">
      <w:pPr>
        <w:pStyle w:val="Normalnumbered"/>
        <w:numPr>
          <w:ilvl w:val="0"/>
          <w:numId w:val="7"/>
        </w:numPr>
        <w:tabs>
          <w:tab w:val="left" w:pos="1134"/>
        </w:tabs>
        <w:jc w:val="left"/>
      </w:pPr>
      <w:r w:rsidRPr="002E0F7B">
        <w:t xml:space="preserve">Project 12 – </w:t>
      </w:r>
      <w:r w:rsidRPr="002E0F7B">
        <w:rPr>
          <w:i/>
        </w:rPr>
        <w:t>Mersey Point Jetty redevelopment</w:t>
      </w:r>
      <w:r w:rsidRPr="002E0F7B">
        <w:t xml:space="preserve"> ($540,000. Comprising 2015-16 $190,000 and 2016-17 $350,000).  The project focus is the Mersey Point Jetty, and has two parts: a feasibility study on maximising its potential as a tourism destination; and the replacement of the deteriorating jetty itself. The Jetty is used by tourism operators taking approximately 90,000 visitors per year to the Penguin Island’s wildlife reserve.</w:t>
      </w:r>
    </w:p>
    <w:p w14:paraId="1E1B8FCF" w14:textId="77777777" w:rsidR="00C02D97" w:rsidRPr="002E0F7B" w:rsidRDefault="00863E37" w:rsidP="00457A73">
      <w:pPr>
        <w:pStyle w:val="Normalnumbered"/>
        <w:numPr>
          <w:ilvl w:val="0"/>
          <w:numId w:val="7"/>
        </w:numPr>
        <w:tabs>
          <w:tab w:val="left" w:pos="1134"/>
        </w:tabs>
        <w:jc w:val="left"/>
      </w:pPr>
      <w:r w:rsidRPr="002E0F7B">
        <w:t xml:space="preserve">Project 13 – </w:t>
      </w:r>
      <w:r w:rsidRPr="002E0F7B">
        <w:rPr>
          <w:i/>
        </w:rPr>
        <w:t>Cruise Ship Passenger Dis/Embarkation Infrastructure</w:t>
      </w:r>
      <w:r w:rsidRPr="002E0F7B">
        <w:t xml:space="preserve"> ($225,000 in 2015</w:t>
      </w:r>
      <w:r w:rsidRPr="002E0F7B">
        <w:noBreakHyphen/>
        <w:t xml:space="preserve">16).  The project involves preliminary works to improve the existing breakwater adjacent to the Esperance Bay Yacht Club, followed by works to create a permanent cruise ship tender jetty with pontoons on the Esperance foreshore. </w:t>
      </w:r>
    </w:p>
    <w:p w14:paraId="1E1B8FD0" w14:textId="77777777" w:rsidR="00C02D97" w:rsidRPr="002E0F7B" w:rsidRDefault="00863E37" w:rsidP="00444E46">
      <w:pPr>
        <w:pStyle w:val="Normalnumbered"/>
        <w:numPr>
          <w:ilvl w:val="0"/>
          <w:numId w:val="7"/>
        </w:numPr>
        <w:tabs>
          <w:tab w:val="left" w:pos="1134"/>
        </w:tabs>
        <w:jc w:val="left"/>
      </w:pPr>
      <w:r w:rsidRPr="002E0F7B">
        <w:t xml:space="preserve">Project 14 – </w:t>
      </w:r>
      <w:r w:rsidRPr="002E0F7B">
        <w:rPr>
          <w:i/>
        </w:rPr>
        <w:t>Roebuck Bay Lookout (Part of Broome Chinatown Redevelopment)</w:t>
      </w:r>
      <w:r w:rsidRPr="002E0F7B">
        <w:t xml:space="preserve"> ($300,000. Comprising 2016-17 $100,000 and 2017-18 $200,000).  This project continues Project 1 below. Funds will be used to finalise the lookout over Roebuck Bay, the road between Frederick Street and Dampier Terrace, and interpretative signage and parking for recreational vehicles.</w:t>
      </w:r>
    </w:p>
    <w:p w14:paraId="1E1B8FD1" w14:textId="77777777" w:rsidR="00D55102" w:rsidRPr="002E0F7B" w:rsidRDefault="00863E37" w:rsidP="00D55102">
      <w:pPr>
        <w:pStyle w:val="Normalnumbered"/>
        <w:numPr>
          <w:ilvl w:val="0"/>
          <w:numId w:val="7"/>
        </w:numPr>
        <w:tabs>
          <w:tab w:val="left" w:pos="1134"/>
        </w:tabs>
        <w:jc w:val="left"/>
      </w:pPr>
      <w:r w:rsidRPr="002E0F7B">
        <w:t xml:space="preserve">Project 15 – </w:t>
      </w:r>
      <w:r w:rsidRPr="002E0F7B">
        <w:rPr>
          <w:i/>
        </w:rPr>
        <w:t>Kalbarri Skywalk</w:t>
      </w:r>
      <w:r w:rsidRPr="002E0F7B">
        <w:t xml:space="preserve"> ($500,000. Comprising 2016-17 $400,000 and 2017-18 $100,000). This project is for the development of a cantilevered see-through ‘skywalk’ lookout over the Murchison River Gorge. The Skywalk is part of a larger project which includes sealed park roads and mobile phone communications infrastructure in the gorge area.  </w:t>
      </w:r>
    </w:p>
    <w:p w14:paraId="1E1B8FD2" w14:textId="77777777" w:rsidR="003E1529" w:rsidRPr="002E0F7B" w:rsidRDefault="00863E37" w:rsidP="007D7BE1">
      <w:pPr>
        <w:pStyle w:val="Normalnumbered"/>
        <w:numPr>
          <w:ilvl w:val="0"/>
          <w:numId w:val="7"/>
        </w:numPr>
        <w:tabs>
          <w:tab w:val="left" w:pos="1134"/>
        </w:tabs>
        <w:jc w:val="left"/>
      </w:pPr>
      <w:r w:rsidRPr="002E0F7B">
        <w:t xml:space="preserve">Project 16 - </w:t>
      </w:r>
      <w:r w:rsidRPr="002E0F7B">
        <w:rPr>
          <w:i/>
        </w:rPr>
        <w:t>Cruise Vessel All Tide Gangway Port of Broome</w:t>
      </w:r>
      <w:r w:rsidRPr="002E0F7B">
        <w:t xml:space="preserve"> ($375,000 in 2017-1</w:t>
      </w:r>
      <w:r w:rsidRPr="002E0F7B">
        <w:rPr>
          <w:color w:val="auto"/>
        </w:rPr>
        <w:t>8). This project will see the installation of a new gangway system to increase the berthing capacity of the Port of Broome to accommodate all cruise vessels at all tides. The increased accessibility will enable more cruise vessels to stay longer, which will in turn increase visitor numbers and spend in Broome town and at nearby attractions</w:t>
      </w:r>
      <w:r w:rsidRPr="002E0F7B">
        <w:t>.</w:t>
      </w:r>
    </w:p>
    <w:p w14:paraId="1E1B8FD3" w14:textId="77777777" w:rsidR="00DD0B97" w:rsidRPr="002E0F7B" w:rsidRDefault="00863E37" w:rsidP="00DD0B97">
      <w:pPr>
        <w:pStyle w:val="Normalnumbered"/>
        <w:numPr>
          <w:ilvl w:val="0"/>
          <w:numId w:val="0"/>
        </w:numPr>
        <w:tabs>
          <w:tab w:val="left" w:pos="1134"/>
        </w:tabs>
        <w:jc w:val="left"/>
        <w:rPr>
          <w:szCs w:val="23"/>
        </w:rPr>
      </w:pPr>
      <w:r w:rsidRPr="002E0F7B">
        <w:rPr>
          <w:szCs w:val="23"/>
        </w:rPr>
        <w:t>To deliver the outputs of this Agreement, the following projects were delivered by Western Australia in 2014-15:</w:t>
      </w:r>
    </w:p>
    <w:p w14:paraId="1E1B8FD4" w14:textId="77777777" w:rsidR="00964D0B" w:rsidRPr="002E0F7B" w:rsidRDefault="00863E37" w:rsidP="00DD0B97">
      <w:pPr>
        <w:pStyle w:val="Normalnumbered"/>
        <w:numPr>
          <w:ilvl w:val="0"/>
          <w:numId w:val="29"/>
        </w:numPr>
        <w:tabs>
          <w:tab w:val="left" w:pos="1134"/>
        </w:tabs>
        <w:jc w:val="left"/>
      </w:pPr>
      <w:r w:rsidRPr="002E0F7B">
        <w:t xml:space="preserve">Project 1 – </w:t>
      </w:r>
      <w:r w:rsidRPr="002E0F7B">
        <w:rPr>
          <w:i/>
        </w:rPr>
        <w:t>Broome Chinatown Redevelopment</w:t>
      </w:r>
      <w:r w:rsidRPr="002E0F7B">
        <w:t xml:space="preserve"> ($299,850).  This project is a small component of an extensive redevelopment of Chinatown, Broome.  Funds will be used to construct a lookout over Roebuck Bay, a new road between Frederick Street and Dampier Terrace, and create interpretative signage and parking for recreational vehicles.</w:t>
      </w:r>
    </w:p>
    <w:p w14:paraId="6DF351E4" w14:textId="77777777" w:rsidR="00863E37" w:rsidRDefault="00863E37">
      <w:pPr>
        <w:spacing w:after="200" w:line="276" w:lineRule="auto"/>
        <w:jc w:val="left"/>
      </w:pPr>
      <w:r>
        <w:br w:type="page"/>
      </w:r>
    </w:p>
    <w:p w14:paraId="1E1B8FD5" w14:textId="19B27305" w:rsidR="00964D0B" w:rsidRPr="002E0F7B" w:rsidRDefault="00863E37" w:rsidP="00DD0B97">
      <w:pPr>
        <w:pStyle w:val="Normalnumbered"/>
        <w:numPr>
          <w:ilvl w:val="0"/>
          <w:numId w:val="29"/>
        </w:numPr>
        <w:tabs>
          <w:tab w:val="left" w:pos="1134"/>
        </w:tabs>
        <w:jc w:val="left"/>
      </w:pPr>
      <w:r w:rsidRPr="002E0F7B">
        <w:lastRenderedPageBreak/>
        <w:t xml:space="preserve">Project 2 – </w:t>
      </w:r>
      <w:r w:rsidRPr="002E0F7B">
        <w:rPr>
          <w:i/>
        </w:rPr>
        <w:t xml:space="preserve">Busselton Jetty Improvements </w:t>
      </w:r>
      <w:r w:rsidRPr="002E0F7B">
        <w:t>($600,000).  Preliminary design works followed by the extension of a 15 metre landing platform into a 35 metre long structure at Busselton Jetty to enable temporary moorings by cruise ship tender (passenger transfer). vessels, charter boats, small expeditionary cruise vessels and private yachts.</w:t>
      </w:r>
    </w:p>
    <w:p w14:paraId="1E1B8FD6" w14:textId="77777777" w:rsidR="002E3FD6" w:rsidRPr="002E0F7B" w:rsidRDefault="00863E37" w:rsidP="002E3FD6">
      <w:pPr>
        <w:pStyle w:val="Normalnumbered"/>
        <w:numPr>
          <w:ilvl w:val="0"/>
          <w:numId w:val="0"/>
        </w:numPr>
        <w:tabs>
          <w:tab w:val="left" w:pos="567"/>
        </w:tabs>
        <w:ind w:left="567" w:hanging="567"/>
        <w:jc w:val="left"/>
      </w:pPr>
      <w:r w:rsidRPr="002E0F7B">
        <w:t>A2.</w:t>
      </w:r>
      <w:r w:rsidRPr="002E0F7B">
        <w:tab/>
        <w:t xml:space="preserve">Table 1 summarises the milestones for </w:t>
      </w:r>
      <w:r w:rsidRPr="002E0F7B">
        <w:rPr>
          <w:color w:val="auto"/>
        </w:rPr>
        <w:t>agreed projects</w:t>
      </w:r>
      <w:r w:rsidRPr="002E0F7B">
        <w:t xml:space="preserve">, their relationship to the outputs, expected completion dates, relevant reporting dates and expected payments to be made.  The Commonwealth will make payments subject to the annual performance reports demonstrating that relevant milestones have been met. </w:t>
      </w:r>
    </w:p>
    <w:p w14:paraId="1E1B8FD7" w14:textId="77777777" w:rsidR="002767B8" w:rsidRPr="002E0F7B" w:rsidRDefault="00863E37" w:rsidP="002E3FD6">
      <w:pPr>
        <w:pStyle w:val="Normalnumbered"/>
        <w:numPr>
          <w:ilvl w:val="0"/>
          <w:numId w:val="0"/>
        </w:numPr>
        <w:tabs>
          <w:tab w:val="left" w:pos="567"/>
        </w:tabs>
        <w:ind w:left="567" w:hanging="567"/>
        <w:jc w:val="left"/>
      </w:pPr>
      <w:r w:rsidRPr="002E0F7B">
        <w:t>A3.</w:t>
      </w:r>
      <w:r w:rsidRPr="002E0F7B">
        <w:tab/>
        <w:t>This Schedule will be varied from time to time to include additional projects up to the maximum estimated Commonwealth financial contribution, subject to the written agreement of Commonwealth and State portfolio ministers, in accordance with clause 22 of this Agreement.</w:t>
      </w:r>
    </w:p>
    <w:p w14:paraId="1E1B8FD8" w14:textId="77777777" w:rsidR="00964D0B" w:rsidRPr="002E0F7B" w:rsidRDefault="00863E37" w:rsidP="002E3FD6">
      <w:pPr>
        <w:pStyle w:val="Normalnumbered"/>
        <w:numPr>
          <w:ilvl w:val="0"/>
          <w:numId w:val="0"/>
        </w:numPr>
        <w:tabs>
          <w:tab w:val="left" w:pos="567"/>
        </w:tabs>
        <w:ind w:left="567" w:hanging="567"/>
        <w:jc w:val="left"/>
      </w:pPr>
      <w:r w:rsidRPr="002E0F7B">
        <w:t>A4.</w:t>
      </w:r>
      <w:r w:rsidRPr="002E0F7B">
        <w:tab/>
        <w:t xml:space="preserve">Where additional projects are agreed, Table 1 will be varied to include those projects and associated milestones and payments.  Milestone payments for additional projects will require demonstration, through provision of a progress report, that scheduled stages for those projects have been completed and that all previously agreed projects that were scheduled to be completed, have been completed within agreed timeframes.  Milestones for additional projects will be worded in accordance with this clause. </w:t>
      </w:r>
    </w:p>
    <w:p w14:paraId="1E1B8FD9" w14:textId="77777777" w:rsidR="007B50EA" w:rsidRPr="002E0F7B" w:rsidRDefault="00863E37" w:rsidP="007B50EA">
      <w:pPr>
        <w:pStyle w:val="Normalnumbered"/>
        <w:numPr>
          <w:ilvl w:val="0"/>
          <w:numId w:val="0"/>
        </w:numPr>
        <w:tabs>
          <w:tab w:val="left" w:pos="567"/>
        </w:tabs>
        <w:ind w:left="567" w:hanging="567"/>
        <w:jc w:val="left"/>
      </w:pPr>
      <w:r w:rsidRPr="002E0F7B">
        <w:t>A5.</w:t>
      </w:r>
      <w:r w:rsidRPr="002E0F7B">
        <w:tab/>
        <w:t xml:space="preserve">If a milestone is met in advance of the due date, where the relevant performance report demonstrates the milestone has been met, the Commonwealth may make the associated payment earlier than scheduled provided it falls within the same financial year as the original milestone date. </w:t>
      </w:r>
    </w:p>
    <w:p w14:paraId="1E1B8FDA" w14:textId="77777777" w:rsidR="00981DC7" w:rsidRPr="002E0F7B" w:rsidRDefault="00863E37" w:rsidP="00981DC7">
      <w:pPr>
        <w:pStyle w:val="Normalnumbered"/>
        <w:keepNext/>
        <w:numPr>
          <w:ilvl w:val="0"/>
          <w:numId w:val="0"/>
        </w:numPr>
        <w:ind w:left="360" w:hanging="360"/>
        <w:rPr>
          <w:b/>
        </w:rPr>
      </w:pPr>
      <w:r w:rsidRPr="002E0F7B">
        <w:rPr>
          <w:b/>
        </w:rPr>
        <w:t>Table 1</w:t>
      </w:r>
      <w:r w:rsidRPr="002E0F7B">
        <w:t xml:space="preserve">: </w:t>
      </w:r>
      <w:r w:rsidRPr="002E0F7B">
        <w:rPr>
          <w:b/>
        </w:rPr>
        <w:t>Performance requirements, reporting and payment summary</w:t>
      </w:r>
    </w:p>
    <w:tbl>
      <w:tblPr>
        <w:tblW w:w="1003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2518"/>
        <w:gridCol w:w="3402"/>
        <w:gridCol w:w="14"/>
        <w:gridCol w:w="2112"/>
        <w:gridCol w:w="1985"/>
      </w:tblGrid>
      <w:tr w:rsidR="00E069C4" w14:paraId="1E1B8FDF" w14:textId="77777777" w:rsidTr="00F563BF">
        <w:trPr>
          <w:trHeight w:val="796"/>
        </w:trPr>
        <w:tc>
          <w:tcPr>
            <w:tcW w:w="2518" w:type="dxa"/>
            <w:tcBorders>
              <w:bottom w:val="single" w:sz="18" w:space="0" w:color="4F81BD"/>
            </w:tcBorders>
            <w:shd w:val="clear" w:color="auto" w:fill="C6D9F1" w:themeFill="text2" w:themeFillTint="33"/>
          </w:tcPr>
          <w:p w14:paraId="1E1B8FDB" w14:textId="77777777" w:rsidR="00964D0B" w:rsidRPr="002E0F7B" w:rsidRDefault="00863E37" w:rsidP="00F563BF">
            <w:pPr>
              <w:pStyle w:val="Heading2"/>
              <w:rPr>
                <w:bCs w:val="0"/>
                <w:sz w:val="24"/>
                <w:szCs w:val="24"/>
              </w:rPr>
            </w:pPr>
            <w:r w:rsidRPr="002E0F7B">
              <w:rPr>
                <w:bCs w:val="0"/>
                <w:sz w:val="24"/>
                <w:szCs w:val="24"/>
              </w:rPr>
              <w:t>Outputs</w:t>
            </w:r>
          </w:p>
        </w:tc>
        <w:tc>
          <w:tcPr>
            <w:tcW w:w="3402" w:type="dxa"/>
            <w:tcBorders>
              <w:bottom w:val="single" w:sz="18" w:space="0" w:color="4F81BD"/>
            </w:tcBorders>
            <w:shd w:val="clear" w:color="auto" w:fill="C6D9F1" w:themeFill="text2" w:themeFillTint="33"/>
          </w:tcPr>
          <w:p w14:paraId="1E1B8FDC" w14:textId="77777777" w:rsidR="00964D0B" w:rsidRPr="002E0F7B" w:rsidRDefault="00863E37" w:rsidP="00964D0B">
            <w:pPr>
              <w:pStyle w:val="Heading2"/>
              <w:rPr>
                <w:bCs w:val="0"/>
                <w:sz w:val="24"/>
                <w:szCs w:val="24"/>
              </w:rPr>
            </w:pPr>
            <w:r w:rsidRPr="002E0F7B">
              <w:rPr>
                <w:bCs w:val="0"/>
                <w:sz w:val="24"/>
                <w:szCs w:val="24"/>
              </w:rPr>
              <w:t>Milestones</w:t>
            </w:r>
          </w:p>
        </w:tc>
        <w:tc>
          <w:tcPr>
            <w:tcW w:w="2126" w:type="dxa"/>
            <w:gridSpan w:val="2"/>
            <w:tcBorders>
              <w:bottom w:val="single" w:sz="18" w:space="0" w:color="4F81BD"/>
            </w:tcBorders>
            <w:shd w:val="clear" w:color="auto" w:fill="C6D9F1" w:themeFill="text2" w:themeFillTint="33"/>
          </w:tcPr>
          <w:p w14:paraId="1E1B8FDD" w14:textId="77777777" w:rsidR="00964D0B" w:rsidRPr="002E0F7B" w:rsidRDefault="00863E37" w:rsidP="00436448">
            <w:pPr>
              <w:pStyle w:val="Heading2"/>
              <w:rPr>
                <w:sz w:val="18"/>
                <w:szCs w:val="18"/>
              </w:rPr>
            </w:pPr>
            <w:r w:rsidRPr="002E0F7B">
              <w:rPr>
                <w:bCs w:val="0"/>
                <w:sz w:val="24"/>
                <w:szCs w:val="24"/>
              </w:rPr>
              <w:t xml:space="preserve">Report due </w:t>
            </w:r>
          </w:p>
        </w:tc>
        <w:tc>
          <w:tcPr>
            <w:tcW w:w="1985" w:type="dxa"/>
            <w:tcBorders>
              <w:bottom w:val="single" w:sz="18" w:space="0" w:color="4F81BD"/>
            </w:tcBorders>
            <w:shd w:val="clear" w:color="auto" w:fill="C6D9F1" w:themeFill="text2" w:themeFillTint="33"/>
          </w:tcPr>
          <w:p w14:paraId="1E1B8FDE" w14:textId="77777777" w:rsidR="00964D0B" w:rsidRPr="002E0F7B" w:rsidRDefault="00863E37" w:rsidP="00436448">
            <w:pPr>
              <w:pStyle w:val="Heading2"/>
              <w:rPr>
                <w:bCs w:val="0"/>
                <w:sz w:val="24"/>
                <w:szCs w:val="24"/>
              </w:rPr>
            </w:pPr>
            <w:r w:rsidRPr="002E0F7B">
              <w:rPr>
                <w:bCs w:val="0"/>
                <w:sz w:val="24"/>
                <w:szCs w:val="24"/>
              </w:rPr>
              <w:t>Payment</w:t>
            </w:r>
          </w:p>
        </w:tc>
      </w:tr>
      <w:tr w:rsidR="00E069C4" w14:paraId="1E1B8FE6" w14:textId="77777777" w:rsidTr="002E0F7B">
        <w:trPr>
          <w:trHeight w:val="1783"/>
        </w:trPr>
        <w:tc>
          <w:tcPr>
            <w:tcW w:w="2518" w:type="dxa"/>
            <w:tcBorders>
              <w:top w:val="single" w:sz="18" w:space="0" w:color="4F81BD"/>
              <w:left w:val="single" w:sz="8" w:space="0" w:color="4F81BD"/>
              <w:right w:val="single" w:sz="8" w:space="0" w:color="4F81BD"/>
            </w:tcBorders>
          </w:tcPr>
          <w:p w14:paraId="1E1B8FE0" w14:textId="77777777" w:rsidR="00D12590" w:rsidRPr="002E0F7B" w:rsidRDefault="00863E37" w:rsidP="001A7EDB">
            <w:pPr>
              <w:pStyle w:val="Normalnumbered"/>
              <w:numPr>
                <w:ilvl w:val="0"/>
                <w:numId w:val="0"/>
              </w:numPr>
              <w:jc w:val="left"/>
              <w:rPr>
                <w:b/>
                <w:szCs w:val="23"/>
                <w:lang w:eastAsia="en-US"/>
              </w:rPr>
            </w:pPr>
            <w:r w:rsidRPr="002E0F7B">
              <w:rPr>
                <w:b/>
                <w:szCs w:val="23"/>
                <w:lang w:eastAsia="en-US"/>
              </w:rPr>
              <w:t>2017-18</w:t>
            </w:r>
          </w:p>
          <w:p w14:paraId="1E1B8FE1" w14:textId="77777777" w:rsidR="00D12590" w:rsidRPr="002E0F7B" w:rsidRDefault="00863E37" w:rsidP="00F563BF">
            <w:pPr>
              <w:pStyle w:val="Normalnumbered"/>
              <w:numPr>
                <w:ilvl w:val="0"/>
                <w:numId w:val="0"/>
              </w:numPr>
              <w:spacing w:after="120" w:line="240" w:lineRule="auto"/>
              <w:jc w:val="left"/>
              <w:rPr>
                <w:szCs w:val="23"/>
                <w:lang w:eastAsia="en-US"/>
              </w:rPr>
            </w:pPr>
            <w:r w:rsidRPr="002E0F7B">
              <w:rPr>
                <w:szCs w:val="23"/>
                <w:lang w:eastAsia="en-US"/>
              </w:rPr>
              <w:t>Projects that deliver tourism demand-driver infrastructure and support Tourism 2020 outcomes.</w:t>
            </w:r>
          </w:p>
        </w:tc>
        <w:tc>
          <w:tcPr>
            <w:tcW w:w="3416" w:type="dxa"/>
            <w:gridSpan w:val="2"/>
            <w:tcBorders>
              <w:top w:val="single" w:sz="18" w:space="0" w:color="4F81BD"/>
              <w:left w:val="single" w:sz="8" w:space="0" w:color="4F81BD"/>
              <w:right w:val="single" w:sz="8" w:space="0" w:color="4F81BD"/>
            </w:tcBorders>
          </w:tcPr>
          <w:p w14:paraId="1E1B8FE2" w14:textId="77777777" w:rsidR="00D12590" w:rsidRPr="002E0F7B" w:rsidRDefault="00863E37" w:rsidP="009A49C6">
            <w:pPr>
              <w:pStyle w:val="Normalnumbered"/>
              <w:tabs>
                <w:tab w:val="left" w:pos="720"/>
              </w:tabs>
              <w:ind w:left="0"/>
              <w:jc w:val="left"/>
              <w:rPr>
                <w:color w:val="auto"/>
                <w:szCs w:val="23"/>
                <w:lang w:eastAsia="en-US"/>
              </w:rPr>
            </w:pPr>
            <w:r w:rsidRPr="002E0F7B">
              <w:rPr>
                <w:color w:val="auto"/>
                <w:szCs w:val="23"/>
                <w:lang w:eastAsia="en-US"/>
              </w:rPr>
              <w:t>Demonstration, through provision of a progress report, that scheduled stages for each project have been completed for Projects 5 ,</w:t>
            </w:r>
            <w:r>
              <w:rPr>
                <w:color w:val="auto"/>
                <w:szCs w:val="23"/>
                <w:lang w:eastAsia="en-US"/>
              </w:rPr>
              <w:t xml:space="preserve"> 7 to</w:t>
            </w:r>
            <w:r w:rsidRPr="002E0F7B">
              <w:rPr>
                <w:color w:val="auto"/>
                <w:szCs w:val="23"/>
                <w:lang w:eastAsia="en-US"/>
              </w:rPr>
              <w:t xml:space="preserve"> 9, 11, 14, 15 and 16.</w:t>
            </w:r>
          </w:p>
        </w:tc>
        <w:tc>
          <w:tcPr>
            <w:tcW w:w="2112" w:type="dxa"/>
            <w:tcBorders>
              <w:top w:val="single" w:sz="18" w:space="0" w:color="4F81BD"/>
              <w:left w:val="single" w:sz="8" w:space="0" w:color="4F81BD"/>
              <w:right w:val="single" w:sz="8" w:space="0" w:color="4F81BD"/>
            </w:tcBorders>
          </w:tcPr>
          <w:p w14:paraId="1E1B8FE3" w14:textId="77777777" w:rsidR="00D12590" w:rsidRPr="002E0F7B" w:rsidRDefault="00863E37" w:rsidP="00D55102">
            <w:pPr>
              <w:pStyle w:val="Normalnumbered"/>
              <w:tabs>
                <w:tab w:val="left" w:pos="720"/>
              </w:tabs>
              <w:ind w:left="0"/>
              <w:jc w:val="left"/>
              <w:rPr>
                <w:szCs w:val="23"/>
                <w:lang w:eastAsia="en-US"/>
              </w:rPr>
            </w:pPr>
            <w:r w:rsidRPr="002E0F7B">
              <w:rPr>
                <w:color w:val="auto"/>
                <w:szCs w:val="23"/>
                <w:lang w:eastAsia="en-US"/>
              </w:rPr>
              <w:t>20 April 2018</w:t>
            </w:r>
          </w:p>
        </w:tc>
        <w:tc>
          <w:tcPr>
            <w:tcW w:w="1985" w:type="dxa"/>
            <w:tcBorders>
              <w:top w:val="single" w:sz="18" w:space="0" w:color="4F81BD"/>
              <w:left w:val="single" w:sz="8" w:space="0" w:color="4F81BD"/>
              <w:right w:val="single" w:sz="8" w:space="0" w:color="4F81BD"/>
            </w:tcBorders>
          </w:tcPr>
          <w:p w14:paraId="1E1B8FE4" w14:textId="77777777" w:rsidR="00D12590" w:rsidRPr="002E0F7B" w:rsidRDefault="00863E37" w:rsidP="00D55102">
            <w:pPr>
              <w:pStyle w:val="Normalnumbered"/>
              <w:numPr>
                <w:ilvl w:val="0"/>
                <w:numId w:val="0"/>
              </w:numPr>
              <w:tabs>
                <w:tab w:val="left" w:pos="720"/>
              </w:tabs>
              <w:jc w:val="left"/>
              <w:rPr>
                <w:szCs w:val="23"/>
                <w:lang w:eastAsia="en-US"/>
              </w:rPr>
            </w:pPr>
            <w:r w:rsidRPr="002E0F7B">
              <w:rPr>
                <w:szCs w:val="23"/>
                <w:lang w:eastAsia="en-US"/>
              </w:rPr>
              <w:t>$1,405,500</w:t>
            </w:r>
          </w:p>
          <w:p w14:paraId="1E1B8FE5" w14:textId="77777777" w:rsidR="00D12590" w:rsidRPr="002E0F7B" w:rsidRDefault="007C1838" w:rsidP="00D12590">
            <w:pPr>
              <w:pStyle w:val="Normalnumbered"/>
              <w:numPr>
                <w:ilvl w:val="0"/>
                <w:numId w:val="0"/>
              </w:numPr>
              <w:tabs>
                <w:tab w:val="left" w:pos="720"/>
              </w:tabs>
              <w:jc w:val="left"/>
              <w:rPr>
                <w:szCs w:val="23"/>
                <w:lang w:eastAsia="en-US"/>
              </w:rPr>
            </w:pPr>
          </w:p>
        </w:tc>
      </w:tr>
      <w:tr w:rsidR="00E069C4" w14:paraId="1E1B8FED" w14:textId="77777777" w:rsidTr="002E0F7B">
        <w:trPr>
          <w:trHeight w:val="1941"/>
        </w:trPr>
        <w:tc>
          <w:tcPr>
            <w:tcW w:w="2518" w:type="dxa"/>
            <w:tcBorders>
              <w:top w:val="single" w:sz="18" w:space="0" w:color="4F81BD"/>
              <w:left w:val="single" w:sz="8" w:space="0" w:color="4F81BD"/>
              <w:right w:val="single" w:sz="8" w:space="0" w:color="4F81BD"/>
            </w:tcBorders>
          </w:tcPr>
          <w:p w14:paraId="1E1B8FE7" w14:textId="77777777" w:rsidR="00D12590" w:rsidRPr="002E0F7B" w:rsidRDefault="00863E37" w:rsidP="00D55102">
            <w:pPr>
              <w:pStyle w:val="Normalnumbered"/>
              <w:numPr>
                <w:ilvl w:val="0"/>
                <w:numId w:val="0"/>
              </w:numPr>
              <w:jc w:val="left"/>
              <w:rPr>
                <w:b/>
                <w:szCs w:val="23"/>
                <w:lang w:eastAsia="en-US"/>
              </w:rPr>
            </w:pPr>
            <w:r w:rsidRPr="002E0F7B">
              <w:rPr>
                <w:b/>
                <w:szCs w:val="23"/>
                <w:lang w:eastAsia="en-US"/>
              </w:rPr>
              <w:t>2016-17</w:t>
            </w:r>
          </w:p>
          <w:p w14:paraId="1E1B8FE8" w14:textId="77777777" w:rsidR="00D12590" w:rsidRPr="002E0F7B" w:rsidRDefault="00863E37" w:rsidP="00D55102">
            <w:pPr>
              <w:pStyle w:val="Normalnumbered"/>
              <w:numPr>
                <w:ilvl w:val="0"/>
                <w:numId w:val="0"/>
              </w:numPr>
              <w:spacing w:after="0" w:line="240" w:lineRule="auto"/>
              <w:jc w:val="left"/>
              <w:rPr>
                <w:szCs w:val="23"/>
                <w:lang w:eastAsia="en-US"/>
              </w:rPr>
            </w:pPr>
            <w:r w:rsidRPr="002E0F7B">
              <w:rPr>
                <w:szCs w:val="23"/>
                <w:lang w:eastAsia="en-US"/>
              </w:rPr>
              <w:t>Projects that deliver tourism demand-driver infrastructure and support Tourism 2020 outcomes.</w:t>
            </w:r>
          </w:p>
        </w:tc>
        <w:tc>
          <w:tcPr>
            <w:tcW w:w="3416" w:type="dxa"/>
            <w:gridSpan w:val="2"/>
            <w:tcBorders>
              <w:top w:val="single" w:sz="18" w:space="0" w:color="4F81BD"/>
              <w:left w:val="single" w:sz="8" w:space="0" w:color="4F81BD"/>
              <w:right w:val="single" w:sz="8" w:space="0" w:color="4F81BD"/>
            </w:tcBorders>
          </w:tcPr>
          <w:p w14:paraId="1E1B8FE9" w14:textId="77777777" w:rsidR="00D12590" w:rsidRPr="002E0F7B" w:rsidRDefault="00863E37" w:rsidP="00690578">
            <w:pPr>
              <w:pStyle w:val="Normalnumbered"/>
              <w:tabs>
                <w:tab w:val="left" w:pos="720"/>
              </w:tabs>
              <w:ind w:left="0"/>
              <w:jc w:val="left"/>
              <w:rPr>
                <w:color w:val="auto"/>
                <w:szCs w:val="23"/>
                <w:lang w:eastAsia="en-US"/>
              </w:rPr>
            </w:pPr>
            <w:r w:rsidRPr="002E0F7B">
              <w:rPr>
                <w:color w:val="auto"/>
                <w:szCs w:val="23"/>
                <w:lang w:eastAsia="en-US"/>
              </w:rPr>
              <w:t xml:space="preserve">Demonstration, through provision of a progress report, that scheduled stages for each project have been completed for Projects 3 to 6, 10 to 12, </w:t>
            </w:r>
            <w:r>
              <w:rPr>
                <w:color w:val="auto"/>
                <w:szCs w:val="23"/>
                <w:lang w:eastAsia="en-US"/>
              </w:rPr>
              <w:t xml:space="preserve">14 </w:t>
            </w:r>
            <w:r w:rsidRPr="002E0F7B">
              <w:rPr>
                <w:color w:val="auto"/>
                <w:szCs w:val="23"/>
                <w:lang w:eastAsia="en-US"/>
              </w:rPr>
              <w:t>and 15.</w:t>
            </w:r>
          </w:p>
        </w:tc>
        <w:tc>
          <w:tcPr>
            <w:tcW w:w="2112" w:type="dxa"/>
            <w:tcBorders>
              <w:top w:val="single" w:sz="18" w:space="0" w:color="4F81BD"/>
              <w:left w:val="single" w:sz="8" w:space="0" w:color="4F81BD"/>
              <w:right w:val="single" w:sz="8" w:space="0" w:color="4F81BD"/>
            </w:tcBorders>
          </w:tcPr>
          <w:p w14:paraId="1E1B8FEA" w14:textId="77777777" w:rsidR="00D12590" w:rsidRPr="002E0F7B" w:rsidRDefault="00863E37" w:rsidP="00D55102">
            <w:pPr>
              <w:pStyle w:val="Normalnumbered"/>
              <w:tabs>
                <w:tab w:val="left" w:pos="720"/>
              </w:tabs>
              <w:ind w:left="0"/>
              <w:jc w:val="left"/>
              <w:rPr>
                <w:szCs w:val="23"/>
                <w:lang w:eastAsia="en-US"/>
              </w:rPr>
            </w:pPr>
            <w:r w:rsidRPr="002E0F7B">
              <w:rPr>
                <w:color w:val="auto"/>
                <w:szCs w:val="23"/>
                <w:lang w:eastAsia="en-US"/>
              </w:rPr>
              <w:t>20 April 2017</w:t>
            </w:r>
          </w:p>
        </w:tc>
        <w:tc>
          <w:tcPr>
            <w:tcW w:w="1985" w:type="dxa"/>
            <w:tcBorders>
              <w:top w:val="single" w:sz="18" w:space="0" w:color="4F81BD"/>
              <w:left w:val="single" w:sz="8" w:space="0" w:color="4F81BD"/>
              <w:right w:val="single" w:sz="8" w:space="0" w:color="4F81BD"/>
            </w:tcBorders>
          </w:tcPr>
          <w:p w14:paraId="1E1B8FEB" w14:textId="77777777" w:rsidR="00D12590" w:rsidRPr="002E0F7B" w:rsidRDefault="00863E37" w:rsidP="00D55102">
            <w:pPr>
              <w:pStyle w:val="Normalnumbered"/>
              <w:numPr>
                <w:ilvl w:val="0"/>
                <w:numId w:val="0"/>
              </w:numPr>
              <w:tabs>
                <w:tab w:val="left" w:pos="720"/>
              </w:tabs>
              <w:jc w:val="left"/>
              <w:rPr>
                <w:szCs w:val="23"/>
                <w:lang w:eastAsia="en-US"/>
              </w:rPr>
            </w:pPr>
            <w:r w:rsidRPr="002E0F7B">
              <w:rPr>
                <w:szCs w:val="23"/>
                <w:lang w:eastAsia="en-US"/>
              </w:rPr>
              <w:t>$1,386,000</w:t>
            </w:r>
          </w:p>
          <w:p w14:paraId="1E1B8FEC" w14:textId="77777777" w:rsidR="00D12590" w:rsidRPr="002E0F7B" w:rsidRDefault="007C1838" w:rsidP="00D55102">
            <w:pPr>
              <w:pStyle w:val="Normalnumbered"/>
              <w:tabs>
                <w:tab w:val="left" w:pos="720"/>
              </w:tabs>
              <w:ind w:left="0"/>
              <w:jc w:val="left"/>
              <w:rPr>
                <w:szCs w:val="23"/>
                <w:lang w:eastAsia="en-US"/>
              </w:rPr>
            </w:pPr>
          </w:p>
        </w:tc>
      </w:tr>
      <w:tr w:rsidR="00E069C4" w14:paraId="1E1B8FF3" w14:textId="77777777" w:rsidTr="00D55102">
        <w:trPr>
          <w:trHeight w:val="815"/>
        </w:trPr>
        <w:tc>
          <w:tcPr>
            <w:tcW w:w="2518" w:type="dxa"/>
            <w:vMerge w:val="restart"/>
            <w:tcBorders>
              <w:top w:val="single" w:sz="18" w:space="0" w:color="4F81BD"/>
              <w:left w:val="single" w:sz="8" w:space="0" w:color="4F81BD"/>
              <w:right w:val="single" w:sz="8" w:space="0" w:color="4F81BD"/>
            </w:tcBorders>
          </w:tcPr>
          <w:p w14:paraId="1E1B8FEE" w14:textId="77777777" w:rsidR="00D55102" w:rsidRPr="002E0F7B" w:rsidRDefault="00863E37" w:rsidP="002E0F7B">
            <w:pPr>
              <w:pStyle w:val="Normalnumbered"/>
              <w:numPr>
                <w:ilvl w:val="0"/>
                <w:numId w:val="0"/>
              </w:numPr>
              <w:tabs>
                <w:tab w:val="left" w:pos="720"/>
              </w:tabs>
              <w:jc w:val="left"/>
              <w:rPr>
                <w:szCs w:val="23"/>
                <w:lang w:eastAsia="en-US"/>
              </w:rPr>
            </w:pPr>
            <w:r w:rsidRPr="002E0F7B">
              <w:rPr>
                <w:szCs w:val="23"/>
                <w:lang w:eastAsia="en-US"/>
              </w:rPr>
              <w:t>2015-16</w:t>
            </w:r>
          </w:p>
          <w:p w14:paraId="1E1B8FEF" w14:textId="77777777" w:rsidR="00D55102" w:rsidRPr="002E0F7B" w:rsidRDefault="00863E37" w:rsidP="002E0F7B">
            <w:pPr>
              <w:pStyle w:val="Normalnumbered"/>
              <w:numPr>
                <w:ilvl w:val="0"/>
                <w:numId w:val="0"/>
              </w:numPr>
              <w:tabs>
                <w:tab w:val="left" w:pos="720"/>
              </w:tabs>
              <w:jc w:val="left"/>
              <w:rPr>
                <w:szCs w:val="23"/>
                <w:lang w:eastAsia="en-US"/>
              </w:rPr>
            </w:pPr>
            <w:r w:rsidRPr="002E0F7B">
              <w:rPr>
                <w:szCs w:val="23"/>
                <w:lang w:eastAsia="en-US"/>
              </w:rPr>
              <w:t xml:space="preserve">Projects that deliver tourism demand-driver infrastructure and support Tourism 2020 </w:t>
            </w:r>
            <w:r w:rsidRPr="002E0F7B">
              <w:rPr>
                <w:szCs w:val="23"/>
                <w:lang w:eastAsia="en-US"/>
              </w:rPr>
              <w:lastRenderedPageBreak/>
              <w:t>outcomes.</w:t>
            </w:r>
          </w:p>
        </w:tc>
        <w:tc>
          <w:tcPr>
            <w:tcW w:w="3416" w:type="dxa"/>
            <w:gridSpan w:val="2"/>
            <w:tcBorders>
              <w:top w:val="single" w:sz="18" w:space="0" w:color="4F81BD"/>
              <w:left w:val="single" w:sz="8" w:space="0" w:color="4F81BD"/>
              <w:bottom w:val="single" w:sz="18" w:space="0" w:color="4F81BD"/>
              <w:right w:val="single" w:sz="8" w:space="0" w:color="4F81BD"/>
            </w:tcBorders>
            <w:hideMark/>
          </w:tcPr>
          <w:p w14:paraId="1E1B8FF0" w14:textId="77777777" w:rsidR="00D55102" w:rsidRPr="002E0F7B" w:rsidRDefault="00863E37" w:rsidP="00D55102">
            <w:pPr>
              <w:pStyle w:val="Normalnumbered"/>
              <w:numPr>
                <w:ilvl w:val="0"/>
                <w:numId w:val="0"/>
              </w:numPr>
              <w:tabs>
                <w:tab w:val="left" w:pos="720"/>
              </w:tabs>
              <w:jc w:val="left"/>
              <w:rPr>
                <w:color w:val="auto"/>
                <w:szCs w:val="23"/>
                <w:lang w:eastAsia="en-US"/>
              </w:rPr>
            </w:pPr>
            <w:r w:rsidRPr="002E0F7B">
              <w:rPr>
                <w:color w:val="auto"/>
                <w:szCs w:val="23"/>
                <w:lang w:eastAsia="en-US"/>
              </w:rPr>
              <w:lastRenderedPageBreak/>
              <w:t>Demonstration, through provision of a progress report, that scheduled stages for each project have been completed for Projects 3 to 8, 12 and 13.</w:t>
            </w:r>
          </w:p>
        </w:tc>
        <w:tc>
          <w:tcPr>
            <w:tcW w:w="2112" w:type="dxa"/>
            <w:tcBorders>
              <w:top w:val="single" w:sz="18" w:space="0" w:color="4F81BD"/>
              <w:left w:val="single" w:sz="8" w:space="0" w:color="4F81BD"/>
              <w:bottom w:val="single" w:sz="18" w:space="0" w:color="4F81BD"/>
              <w:right w:val="single" w:sz="8" w:space="0" w:color="4F81BD"/>
            </w:tcBorders>
            <w:hideMark/>
          </w:tcPr>
          <w:p w14:paraId="1E1B8FF1" w14:textId="77777777" w:rsidR="00D55102" w:rsidRPr="002E0F7B" w:rsidRDefault="00863E37" w:rsidP="00D55102">
            <w:pPr>
              <w:pStyle w:val="Normalnumbered"/>
              <w:numPr>
                <w:ilvl w:val="0"/>
                <w:numId w:val="0"/>
              </w:numPr>
              <w:tabs>
                <w:tab w:val="left" w:pos="720"/>
              </w:tabs>
              <w:jc w:val="left"/>
              <w:rPr>
                <w:szCs w:val="23"/>
                <w:lang w:eastAsia="en-US"/>
              </w:rPr>
            </w:pPr>
            <w:r w:rsidRPr="002E0F7B">
              <w:rPr>
                <w:szCs w:val="23"/>
                <w:lang w:eastAsia="en-US"/>
              </w:rPr>
              <w:t>20 January 2016</w:t>
            </w:r>
          </w:p>
        </w:tc>
        <w:tc>
          <w:tcPr>
            <w:tcW w:w="1985" w:type="dxa"/>
            <w:tcBorders>
              <w:top w:val="single" w:sz="18" w:space="0" w:color="4F81BD"/>
              <w:left w:val="single" w:sz="8" w:space="0" w:color="4F81BD"/>
              <w:bottom w:val="single" w:sz="18" w:space="0" w:color="4F81BD"/>
              <w:right w:val="single" w:sz="8" w:space="0" w:color="4F81BD"/>
            </w:tcBorders>
          </w:tcPr>
          <w:p w14:paraId="1E1B8FF2" w14:textId="77777777" w:rsidR="00D55102" w:rsidRPr="002E0F7B" w:rsidRDefault="00863E37" w:rsidP="00D55102">
            <w:pPr>
              <w:pStyle w:val="Normalnumbered"/>
              <w:numPr>
                <w:ilvl w:val="0"/>
                <w:numId w:val="0"/>
              </w:numPr>
              <w:tabs>
                <w:tab w:val="left" w:pos="720"/>
              </w:tabs>
              <w:jc w:val="left"/>
              <w:rPr>
                <w:szCs w:val="23"/>
                <w:lang w:eastAsia="en-US"/>
              </w:rPr>
            </w:pPr>
            <w:r w:rsidRPr="002E0F7B">
              <w:rPr>
                <w:szCs w:val="23"/>
                <w:lang w:eastAsia="en-US"/>
              </w:rPr>
              <w:t>$550,000</w:t>
            </w:r>
          </w:p>
        </w:tc>
      </w:tr>
      <w:tr w:rsidR="00E069C4" w14:paraId="1E1B8FF8" w14:textId="77777777" w:rsidTr="002E0F7B">
        <w:trPr>
          <w:trHeight w:val="1396"/>
        </w:trPr>
        <w:tc>
          <w:tcPr>
            <w:tcW w:w="2518" w:type="dxa"/>
            <w:vMerge/>
            <w:tcBorders>
              <w:left w:val="single" w:sz="8" w:space="0" w:color="4F81BD"/>
              <w:bottom w:val="single" w:sz="8" w:space="0" w:color="4F81BD"/>
              <w:right w:val="single" w:sz="8" w:space="0" w:color="4F81BD"/>
            </w:tcBorders>
            <w:vAlign w:val="center"/>
            <w:hideMark/>
          </w:tcPr>
          <w:p w14:paraId="1E1B8FF4" w14:textId="77777777" w:rsidR="00D55102" w:rsidRPr="002E0F7B" w:rsidRDefault="007C1838" w:rsidP="00D55102">
            <w:pPr>
              <w:spacing w:line="276" w:lineRule="auto"/>
              <w:rPr>
                <w:szCs w:val="23"/>
              </w:rPr>
            </w:pPr>
          </w:p>
        </w:tc>
        <w:tc>
          <w:tcPr>
            <w:tcW w:w="3402" w:type="dxa"/>
            <w:tcBorders>
              <w:top w:val="single" w:sz="18" w:space="0" w:color="4F81BD"/>
              <w:left w:val="single" w:sz="8" w:space="0" w:color="4F81BD"/>
              <w:bottom w:val="single" w:sz="18" w:space="0" w:color="4F81BD"/>
              <w:right w:val="single" w:sz="8" w:space="0" w:color="4F81BD"/>
            </w:tcBorders>
            <w:hideMark/>
          </w:tcPr>
          <w:p w14:paraId="1E1B8FF5" w14:textId="77777777" w:rsidR="00D55102" w:rsidRPr="002E0F7B" w:rsidRDefault="00863E37" w:rsidP="00D55102">
            <w:pPr>
              <w:pStyle w:val="Normalnumbered"/>
              <w:numPr>
                <w:ilvl w:val="0"/>
                <w:numId w:val="0"/>
              </w:numPr>
              <w:tabs>
                <w:tab w:val="left" w:pos="720"/>
              </w:tabs>
              <w:jc w:val="left"/>
              <w:rPr>
                <w:szCs w:val="23"/>
                <w:lang w:eastAsia="en-US"/>
              </w:rPr>
            </w:pPr>
            <w:r w:rsidRPr="002E0F7B">
              <w:rPr>
                <w:szCs w:val="23"/>
                <w:lang w:eastAsia="en-US"/>
              </w:rPr>
              <w:t xml:space="preserve">Demonstration, through provision of a progress report, that scheduled stages for each project have been completed for Projects </w:t>
            </w:r>
            <w:r w:rsidRPr="002E0F7B">
              <w:rPr>
                <w:color w:val="auto"/>
                <w:szCs w:val="23"/>
                <w:lang w:eastAsia="en-US"/>
              </w:rPr>
              <w:t>3 to 8, 12 and 13</w:t>
            </w:r>
            <w:r w:rsidRPr="002E0F7B">
              <w:rPr>
                <w:szCs w:val="23"/>
                <w:lang w:eastAsia="en-US"/>
              </w:rPr>
              <w:t xml:space="preserve">. </w:t>
            </w:r>
          </w:p>
        </w:tc>
        <w:tc>
          <w:tcPr>
            <w:tcW w:w="2126" w:type="dxa"/>
            <w:gridSpan w:val="2"/>
            <w:tcBorders>
              <w:top w:val="single" w:sz="18" w:space="0" w:color="4F81BD"/>
              <w:left w:val="single" w:sz="8" w:space="0" w:color="4F81BD"/>
              <w:bottom w:val="single" w:sz="18" w:space="0" w:color="4F81BD"/>
              <w:right w:val="single" w:sz="8" w:space="0" w:color="4F81BD"/>
            </w:tcBorders>
            <w:hideMark/>
          </w:tcPr>
          <w:p w14:paraId="1E1B8FF6" w14:textId="77777777" w:rsidR="00D55102" w:rsidRPr="002E0F7B" w:rsidRDefault="00863E37" w:rsidP="00D55102">
            <w:pPr>
              <w:pStyle w:val="Normalnumbered"/>
              <w:numPr>
                <w:ilvl w:val="0"/>
                <w:numId w:val="0"/>
              </w:numPr>
              <w:tabs>
                <w:tab w:val="left" w:pos="720"/>
              </w:tabs>
              <w:jc w:val="left"/>
              <w:rPr>
                <w:szCs w:val="23"/>
                <w:lang w:eastAsia="en-US"/>
              </w:rPr>
            </w:pPr>
            <w:r w:rsidRPr="002E0F7B">
              <w:rPr>
                <w:szCs w:val="23"/>
                <w:lang w:eastAsia="en-US"/>
              </w:rPr>
              <w:t>20 April 2016</w:t>
            </w:r>
          </w:p>
        </w:tc>
        <w:tc>
          <w:tcPr>
            <w:tcW w:w="1985" w:type="dxa"/>
            <w:tcBorders>
              <w:top w:val="single" w:sz="18" w:space="0" w:color="4F81BD"/>
              <w:left w:val="single" w:sz="8" w:space="0" w:color="4F81BD"/>
              <w:bottom w:val="single" w:sz="18" w:space="0" w:color="4F81BD"/>
              <w:right w:val="single" w:sz="8" w:space="0" w:color="4F81BD"/>
            </w:tcBorders>
          </w:tcPr>
          <w:p w14:paraId="1E1B8FF7" w14:textId="77777777" w:rsidR="00D55102" w:rsidRPr="002E0F7B" w:rsidRDefault="00863E37" w:rsidP="00FD5853">
            <w:pPr>
              <w:pStyle w:val="Normalnumbered"/>
              <w:numPr>
                <w:ilvl w:val="0"/>
                <w:numId w:val="0"/>
              </w:numPr>
              <w:tabs>
                <w:tab w:val="left" w:pos="720"/>
              </w:tabs>
              <w:jc w:val="left"/>
              <w:rPr>
                <w:szCs w:val="23"/>
                <w:lang w:eastAsia="en-US"/>
              </w:rPr>
            </w:pPr>
            <w:r w:rsidRPr="002E0F7B">
              <w:rPr>
                <w:szCs w:val="23"/>
                <w:lang w:eastAsia="en-US"/>
              </w:rPr>
              <w:t>$470,000</w:t>
            </w:r>
          </w:p>
        </w:tc>
      </w:tr>
      <w:tr w:rsidR="00E069C4" w14:paraId="1E1B8FFE" w14:textId="77777777" w:rsidTr="00D55102">
        <w:trPr>
          <w:trHeight w:val="701"/>
        </w:trPr>
        <w:tc>
          <w:tcPr>
            <w:tcW w:w="2518" w:type="dxa"/>
            <w:vMerge w:val="restart"/>
            <w:tcBorders>
              <w:top w:val="single" w:sz="18" w:space="0" w:color="4F81BD"/>
            </w:tcBorders>
            <w:shd w:val="clear" w:color="auto" w:fill="auto"/>
          </w:tcPr>
          <w:p w14:paraId="1E1B8FF9" w14:textId="77777777" w:rsidR="00D55102" w:rsidRPr="002E0F7B" w:rsidRDefault="00863E37" w:rsidP="00D55102">
            <w:pPr>
              <w:pStyle w:val="Normalnumbered"/>
              <w:numPr>
                <w:ilvl w:val="0"/>
                <w:numId w:val="0"/>
              </w:numPr>
              <w:jc w:val="left"/>
              <w:rPr>
                <w:b/>
              </w:rPr>
            </w:pPr>
            <w:r w:rsidRPr="002E0F7B">
              <w:rPr>
                <w:b/>
              </w:rPr>
              <w:t>2014-15</w:t>
            </w:r>
          </w:p>
          <w:p w14:paraId="1E1B8FFA" w14:textId="77777777" w:rsidR="00D55102" w:rsidRPr="002E0F7B" w:rsidRDefault="00863E37" w:rsidP="00D55102">
            <w:pPr>
              <w:pStyle w:val="Normalnumbered"/>
              <w:numPr>
                <w:ilvl w:val="0"/>
                <w:numId w:val="0"/>
              </w:numPr>
              <w:jc w:val="left"/>
            </w:pPr>
            <w:r w:rsidRPr="002E0F7B">
              <w:t>Projects that deliver tourism demand-driver infrastructure and support Tourism 2020 outcomes.</w:t>
            </w:r>
          </w:p>
        </w:tc>
        <w:tc>
          <w:tcPr>
            <w:tcW w:w="3402" w:type="dxa"/>
            <w:tcBorders>
              <w:top w:val="single" w:sz="18" w:space="0" w:color="4F81BD"/>
              <w:bottom w:val="single" w:sz="8" w:space="0" w:color="4F81BD"/>
            </w:tcBorders>
            <w:shd w:val="clear" w:color="auto" w:fill="auto"/>
          </w:tcPr>
          <w:p w14:paraId="1E1B8FFB" w14:textId="77777777" w:rsidR="00D55102" w:rsidRPr="002E0F7B" w:rsidRDefault="00863E37" w:rsidP="00D55102">
            <w:pPr>
              <w:pStyle w:val="Normalnumbered"/>
              <w:numPr>
                <w:ilvl w:val="0"/>
                <w:numId w:val="0"/>
              </w:numPr>
              <w:jc w:val="left"/>
            </w:pPr>
            <w:r w:rsidRPr="002E0F7B">
              <w:t xml:space="preserve">Initial contribution to support implementation of projects </w:t>
            </w:r>
          </w:p>
        </w:tc>
        <w:tc>
          <w:tcPr>
            <w:tcW w:w="2126" w:type="dxa"/>
            <w:gridSpan w:val="2"/>
            <w:tcBorders>
              <w:top w:val="single" w:sz="18" w:space="0" w:color="4F81BD"/>
              <w:bottom w:val="single" w:sz="8" w:space="0" w:color="4F81BD"/>
            </w:tcBorders>
            <w:shd w:val="clear" w:color="auto" w:fill="auto"/>
          </w:tcPr>
          <w:p w14:paraId="1E1B8FFC" w14:textId="77777777" w:rsidR="00D55102" w:rsidRPr="002E0F7B" w:rsidRDefault="00863E37" w:rsidP="00D55102">
            <w:pPr>
              <w:pStyle w:val="Normalnumbered"/>
              <w:numPr>
                <w:ilvl w:val="0"/>
                <w:numId w:val="0"/>
              </w:numPr>
              <w:jc w:val="left"/>
            </w:pPr>
            <w:r w:rsidRPr="002E0F7B">
              <w:t>29 April 2015</w:t>
            </w:r>
          </w:p>
        </w:tc>
        <w:tc>
          <w:tcPr>
            <w:tcW w:w="1985" w:type="dxa"/>
            <w:tcBorders>
              <w:top w:val="single" w:sz="18" w:space="0" w:color="4F81BD"/>
              <w:bottom w:val="single" w:sz="8" w:space="0" w:color="4F81BD"/>
            </w:tcBorders>
            <w:shd w:val="clear" w:color="auto" w:fill="auto"/>
          </w:tcPr>
          <w:p w14:paraId="1E1B8FFD" w14:textId="77777777" w:rsidR="00D55102" w:rsidRPr="002E0F7B" w:rsidRDefault="00863E37" w:rsidP="00D55102">
            <w:pPr>
              <w:pStyle w:val="Normalnumbered"/>
              <w:numPr>
                <w:ilvl w:val="0"/>
                <w:numId w:val="0"/>
              </w:numPr>
              <w:jc w:val="left"/>
            </w:pPr>
            <w:r w:rsidRPr="002E0F7B">
              <w:t>$180,000</w:t>
            </w:r>
          </w:p>
        </w:tc>
      </w:tr>
      <w:tr w:rsidR="00E069C4" w14:paraId="1E1B9003" w14:textId="77777777" w:rsidTr="002E0F7B">
        <w:trPr>
          <w:trHeight w:val="381"/>
        </w:trPr>
        <w:tc>
          <w:tcPr>
            <w:tcW w:w="2518" w:type="dxa"/>
            <w:vMerge/>
            <w:tcBorders>
              <w:bottom w:val="single" w:sz="12" w:space="0" w:color="4F81BD"/>
            </w:tcBorders>
            <w:shd w:val="clear" w:color="auto" w:fill="auto"/>
          </w:tcPr>
          <w:p w14:paraId="1E1B8FFF" w14:textId="77777777" w:rsidR="00D55102" w:rsidRPr="002E0F7B" w:rsidRDefault="007C1838" w:rsidP="00D55102">
            <w:pPr>
              <w:pStyle w:val="Normalnumbered"/>
              <w:numPr>
                <w:ilvl w:val="0"/>
                <w:numId w:val="0"/>
              </w:numPr>
              <w:jc w:val="left"/>
              <w:rPr>
                <w:b/>
                <w:bCs/>
                <w:szCs w:val="23"/>
              </w:rPr>
            </w:pPr>
          </w:p>
        </w:tc>
        <w:tc>
          <w:tcPr>
            <w:tcW w:w="3402" w:type="dxa"/>
            <w:tcBorders>
              <w:top w:val="single" w:sz="18" w:space="0" w:color="4F81BD"/>
              <w:bottom w:val="single" w:sz="12" w:space="0" w:color="4F81BD"/>
            </w:tcBorders>
            <w:shd w:val="clear" w:color="auto" w:fill="auto"/>
          </w:tcPr>
          <w:p w14:paraId="1E1B9000" w14:textId="77777777" w:rsidR="00D55102" w:rsidRPr="002E0F7B" w:rsidRDefault="00863E37" w:rsidP="00D55102">
            <w:pPr>
              <w:pStyle w:val="Normalnumbered"/>
              <w:numPr>
                <w:ilvl w:val="0"/>
                <w:numId w:val="0"/>
              </w:numPr>
              <w:jc w:val="left"/>
            </w:pPr>
            <w:r w:rsidRPr="002E0F7B">
              <w:t>Demonstration, through provision of a progress report, that scheduled stages for each project have been completed for Projects 1 and 2.</w:t>
            </w:r>
            <w:r w:rsidRPr="002E0F7B">
              <w:rPr>
                <w:sz w:val="20"/>
              </w:rPr>
              <w:t xml:space="preserve"> </w:t>
            </w:r>
          </w:p>
        </w:tc>
        <w:tc>
          <w:tcPr>
            <w:tcW w:w="2126" w:type="dxa"/>
            <w:gridSpan w:val="2"/>
            <w:tcBorders>
              <w:top w:val="single" w:sz="18" w:space="0" w:color="4F81BD"/>
              <w:bottom w:val="single" w:sz="12" w:space="0" w:color="4F81BD"/>
            </w:tcBorders>
            <w:shd w:val="clear" w:color="auto" w:fill="auto"/>
          </w:tcPr>
          <w:p w14:paraId="1E1B9001" w14:textId="77777777" w:rsidR="00D55102" w:rsidRPr="002E0F7B" w:rsidRDefault="00863E37" w:rsidP="00D55102">
            <w:pPr>
              <w:pStyle w:val="Normalnumbered"/>
              <w:numPr>
                <w:ilvl w:val="0"/>
                <w:numId w:val="0"/>
              </w:numPr>
              <w:jc w:val="left"/>
            </w:pPr>
            <w:r w:rsidRPr="002E0F7B">
              <w:t>22 May 2015</w:t>
            </w:r>
          </w:p>
        </w:tc>
        <w:tc>
          <w:tcPr>
            <w:tcW w:w="1985" w:type="dxa"/>
            <w:tcBorders>
              <w:top w:val="single" w:sz="18" w:space="0" w:color="4F81BD"/>
              <w:bottom w:val="single" w:sz="12" w:space="0" w:color="4F81BD"/>
            </w:tcBorders>
            <w:shd w:val="clear" w:color="auto" w:fill="auto"/>
          </w:tcPr>
          <w:p w14:paraId="1E1B9002" w14:textId="77777777" w:rsidR="00D55102" w:rsidRPr="002E0F7B" w:rsidRDefault="00863E37" w:rsidP="00D55102">
            <w:pPr>
              <w:pStyle w:val="Normalnumbered"/>
              <w:numPr>
                <w:ilvl w:val="0"/>
                <w:numId w:val="0"/>
              </w:numPr>
              <w:jc w:val="left"/>
            </w:pPr>
            <w:r w:rsidRPr="002E0F7B">
              <w:t>$719,850</w:t>
            </w:r>
          </w:p>
        </w:tc>
      </w:tr>
    </w:tbl>
    <w:p w14:paraId="1E1B9004" w14:textId="77777777" w:rsidR="00BB7F8C" w:rsidRPr="002E0F7B" w:rsidRDefault="007C1838">
      <w:pPr>
        <w:spacing w:after="200" w:line="276" w:lineRule="auto"/>
        <w:jc w:val="left"/>
      </w:pPr>
    </w:p>
    <w:p w14:paraId="1E1B9005" w14:textId="77777777" w:rsidR="00690578" w:rsidRPr="002E0F7B" w:rsidRDefault="00863E37">
      <w:pPr>
        <w:spacing w:after="200" w:line="276" w:lineRule="auto"/>
        <w:jc w:val="left"/>
        <w:rPr>
          <w:rFonts w:cs="Calibri"/>
          <w:szCs w:val="23"/>
          <w:lang w:val="en-GB"/>
        </w:rPr>
      </w:pPr>
      <w:r w:rsidRPr="002E0F7B">
        <w:rPr>
          <w:rFonts w:cs="Calibri"/>
          <w:szCs w:val="23"/>
          <w:lang w:val="en-GB"/>
        </w:rPr>
        <w:br w:type="page"/>
      </w:r>
    </w:p>
    <w:p w14:paraId="1E1B9006" w14:textId="77777777" w:rsidR="00BB7F8C" w:rsidRPr="002E0F7B" w:rsidRDefault="00863E37" w:rsidP="00BB7F8C">
      <w:pPr>
        <w:rPr>
          <w:rFonts w:cs="Calibri"/>
          <w:szCs w:val="23"/>
          <w:lang w:val="en-GB"/>
        </w:rPr>
      </w:pPr>
      <w:r w:rsidRPr="002E0F7B">
        <w:rPr>
          <w:rFonts w:cs="Calibri"/>
          <w:szCs w:val="23"/>
          <w:lang w:val="en-GB"/>
        </w:rPr>
        <w:lastRenderedPageBreak/>
        <w:t>The Parties have confirmed their commitment to this Schedule as follows:</w:t>
      </w:r>
    </w:p>
    <w:p w14:paraId="1E1B9007" w14:textId="77777777" w:rsidR="00BB7F8C" w:rsidRPr="002E0F7B" w:rsidRDefault="00863E37" w:rsidP="00BB7F8C">
      <w:pPr>
        <w:rPr>
          <w:rFonts w:cs="Calibri"/>
          <w:szCs w:val="23"/>
          <w:lang w:val="en-GB"/>
        </w:rPr>
      </w:pPr>
      <w:r w:rsidRPr="002E0F7B">
        <w:rPr>
          <w:rFonts w:cs="Calibri"/>
          <w:b/>
          <w:szCs w:val="23"/>
          <w:lang w:val="en-GB"/>
        </w:rPr>
        <w:t xml:space="preserve">Signed </w:t>
      </w:r>
      <w:r w:rsidRPr="002E0F7B">
        <w:rPr>
          <w:rFonts w:cs="Calibri"/>
          <w:i/>
          <w:szCs w:val="23"/>
          <w:lang w:val="en-GB"/>
        </w:rPr>
        <w:t>for and on behalf of the Commonwealth of Australia by</w:t>
      </w:r>
    </w:p>
    <w:p w14:paraId="1E1B9008" w14:textId="77777777" w:rsidR="00BB7F8C" w:rsidRPr="002E0F7B" w:rsidRDefault="007C1838" w:rsidP="00BB7F8C">
      <w:pPr>
        <w:rPr>
          <w:rFonts w:cs="Calibri"/>
          <w:szCs w:val="23"/>
          <w:lang w:val="en-GB"/>
        </w:rPr>
      </w:pPr>
    </w:p>
    <w:p w14:paraId="1E1B9009" w14:textId="77777777" w:rsidR="00BB7F8C" w:rsidRPr="002E0F7B" w:rsidRDefault="007C1838" w:rsidP="00BB7F8C">
      <w:pPr>
        <w:rPr>
          <w:rFonts w:cs="Calibri"/>
          <w:szCs w:val="23"/>
          <w:lang w:val="en-GB"/>
        </w:rPr>
      </w:pPr>
    </w:p>
    <w:p w14:paraId="1E1B900A" w14:textId="77777777" w:rsidR="00BB7F8C" w:rsidRPr="002E0F7B" w:rsidRDefault="007C1838" w:rsidP="00BB7F8C">
      <w:pPr>
        <w:rPr>
          <w:rFonts w:cs="Calibri"/>
          <w:szCs w:val="23"/>
          <w:lang w:val="en-GB"/>
        </w:rPr>
      </w:pPr>
    </w:p>
    <w:p w14:paraId="1E1B900B" w14:textId="77777777" w:rsidR="00BB7F8C" w:rsidRPr="002E0F7B" w:rsidRDefault="00863E37" w:rsidP="00BB7F8C">
      <w:pPr>
        <w:rPr>
          <w:rFonts w:cs="Calibri"/>
          <w:szCs w:val="23"/>
          <w:lang w:val="en-GB"/>
        </w:rPr>
      </w:pPr>
      <w:r w:rsidRPr="002E0F7B">
        <w:rPr>
          <w:rFonts w:cs="Calibri"/>
          <w:szCs w:val="23"/>
          <w:lang w:val="en-GB"/>
        </w:rPr>
        <w:t>__________________________________________</w:t>
      </w:r>
    </w:p>
    <w:p w14:paraId="1E1B900C" w14:textId="77777777" w:rsidR="00BB7F8C" w:rsidRPr="002E0F7B" w:rsidRDefault="00863E37" w:rsidP="00BB7F8C">
      <w:pPr>
        <w:rPr>
          <w:rFonts w:cs="Calibri"/>
          <w:b/>
          <w:szCs w:val="23"/>
          <w:lang w:val="en-GB"/>
        </w:rPr>
      </w:pPr>
      <w:r w:rsidRPr="002E0F7B">
        <w:rPr>
          <w:rFonts w:cs="Calibri"/>
          <w:b/>
          <w:szCs w:val="23"/>
          <w:lang w:val="en-GB"/>
        </w:rPr>
        <w:t xml:space="preserve">The Honourable </w:t>
      </w:r>
      <w:r>
        <w:rPr>
          <w:rFonts w:cs="Calibri"/>
          <w:b/>
          <w:szCs w:val="23"/>
          <w:lang w:val="en-GB"/>
        </w:rPr>
        <w:t>Steven Ciobo</w:t>
      </w:r>
      <w:r w:rsidRPr="002E0F7B">
        <w:rPr>
          <w:rFonts w:cs="Calibri"/>
          <w:b/>
          <w:szCs w:val="23"/>
          <w:lang w:val="en-GB"/>
        </w:rPr>
        <w:t xml:space="preserve"> </w:t>
      </w:r>
      <w:r>
        <w:rPr>
          <w:rFonts w:cs="Calibri"/>
          <w:b/>
          <w:szCs w:val="23"/>
          <w:lang w:val="en-GB"/>
        </w:rPr>
        <w:t>MP</w:t>
      </w:r>
    </w:p>
    <w:p w14:paraId="1E1B900D" w14:textId="77777777" w:rsidR="00BB7F8C" w:rsidRPr="002E0F7B" w:rsidRDefault="00863E37" w:rsidP="00BB7F8C">
      <w:pPr>
        <w:rPr>
          <w:rFonts w:cs="Calibri"/>
          <w:szCs w:val="23"/>
          <w:lang w:val="en-GB"/>
        </w:rPr>
      </w:pPr>
      <w:r w:rsidRPr="002E0F7B">
        <w:rPr>
          <w:rFonts w:cs="Calibri"/>
          <w:szCs w:val="23"/>
          <w:lang w:val="en-GB"/>
        </w:rPr>
        <w:t xml:space="preserve">Minister for </w:t>
      </w:r>
      <w:r>
        <w:rPr>
          <w:rFonts w:cs="Calibri"/>
          <w:szCs w:val="23"/>
          <w:lang w:val="en-GB"/>
        </w:rPr>
        <w:t xml:space="preserve">Trade, </w:t>
      </w:r>
      <w:r w:rsidRPr="002E0F7B">
        <w:rPr>
          <w:rFonts w:cs="Calibri"/>
          <w:szCs w:val="23"/>
          <w:lang w:val="en-GB"/>
        </w:rPr>
        <w:t xml:space="preserve">Tourism and </w:t>
      </w:r>
      <w:r>
        <w:rPr>
          <w:rFonts w:cs="Calibri"/>
          <w:szCs w:val="23"/>
          <w:lang w:val="en-GB"/>
        </w:rPr>
        <w:t>Investment</w:t>
      </w:r>
    </w:p>
    <w:p w14:paraId="1E1B900E" w14:textId="77777777" w:rsidR="00BB7F8C" w:rsidRPr="002E0F7B" w:rsidRDefault="00863E37" w:rsidP="00BB7F8C">
      <w:pPr>
        <w:rPr>
          <w:rFonts w:cs="Calibri"/>
          <w:szCs w:val="23"/>
          <w:lang w:val="en-GB"/>
        </w:rPr>
      </w:pPr>
      <w:r w:rsidRPr="002E0F7B">
        <w:rPr>
          <w:szCs w:val="23"/>
          <w:lang w:val="en-GB"/>
        </w:rPr>
        <w:t xml:space="preserve">      /       / 201</w:t>
      </w:r>
      <w:r>
        <w:rPr>
          <w:szCs w:val="23"/>
          <w:lang w:val="en-GB"/>
        </w:rPr>
        <w:t>7</w:t>
      </w:r>
    </w:p>
    <w:p w14:paraId="1E1B900F" w14:textId="77777777" w:rsidR="00BB7F8C" w:rsidRPr="002E0F7B" w:rsidRDefault="007C1838" w:rsidP="00BB7F8C">
      <w:pPr>
        <w:rPr>
          <w:rFonts w:cs="Calibri"/>
          <w:szCs w:val="23"/>
          <w:lang w:val="en-GB"/>
        </w:rPr>
      </w:pPr>
    </w:p>
    <w:p w14:paraId="1E1B9010" w14:textId="77777777" w:rsidR="00BB7F8C" w:rsidRDefault="007C1838" w:rsidP="00BB7F8C">
      <w:pPr>
        <w:rPr>
          <w:rFonts w:cs="Calibri"/>
          <w:szCs w:val="23"/>
          <w:lang w:val="en-GB"/>
        </w:rPr>
      </w:pPr>
    </w:p>
    <w:p w14:paraId="1E1B9011" w14:textId="77777777" w:rsidR="002E0F7B" w:rsidRDefault="007C1838" w:rsidP="00BB7F8C">
      <w:pPr>
        <w:rPr>
          <w:rFonts w:cs="Calibri"/>
          <w:szCs w:val="23"/>
          <w:lang w:val="en-GB"/>
        </w:rPr>
      </w:pPr>
    </w:p>
    <w:p w14:paraId="1E1B9012" w14:textId="77777777" w:rsidR="002E0F7B" w:rsidRPr="002E0F7B" w:rsidRDefault="007C1838" w:rsidP="00BB7F8C">
      <w:pPr>
        <w:rPr>
          <w:rFonts w:cs="Calibri"/>
          <w:szCs w:val="23"/>
          <w:lang w:val="en-GB"/>
        </w:rPr>
      </w:pPr>
    </w:p>
    <w:p w14:paraId="1E1B9013" w14:textId="77777777" w:rsidR="00BB7F8C" w:rsidRPr="002E0F7B" w:rsidRDefault="00863E37" w:rsidP="00BB7F8C">
      <w:pPr>
        <w:rPr>
          <w:rFonts w:cs="Calibri"/>
          <w:i/>
          <w:szCs w:val="23"/>
          <w:lang w:val="en-GB"/>
        </w:rPr>
      </w:pPr>
      <w:r w:rsidRPr="002E0F7B">
        <w:rPr>
          <w:rFonts w:cs="Calibri"/>
          <w:b/>
          <w:szCs w:val="23"/>
          <w:lang w:val="en-GB"/>
        </w:rPr>
        <w:t>Signed</w:t>
      </w:r>
      <w:r w:rsidRPr="002E0F7B">
        <w:rPr>
          <w:rFonts w:cs="Calibri"/>
          <w:szCs w:val="23"/>
          <w:lang w:val="en-GB"/>
        </w:rPr>
        <w:t xml:space="preserve"> </w:t>
      </w:r>
      <w:r w:rsidRPr="002E0F7B">
        <w:rPr>
          <w:rFonts w:cs="Calibri"/>
          <w:i/>
          <w:szCs w:val="23"/>
          <w:lang w:val="en-GB"/>
        </w:rPr>
        <w:t>for and on behalf of the State of Western Australia by</w:t>
      </w:r>
    </w:p>
    <w:p w14:paraId="1E1B9014" w14:textId="77777777" w:rsidR="00BB7F8C" w:rsidRPr="002E0F7B" w:rsidRDefault="007C1838" w:rsidP="00BB7F8C">
      <w:pPr>
        <w:rPr>
          <w:rFonts w:cs="Calibri"/>
          <w:szCs w:val="23"/>
          <w:lang w:val="en-GB"/>
        </w:rPr>
      </w:pPr>
    </w:p>
    <w:p w14:paraId="1E1B9015" w14:textId="77777777" w:rsidR="00BB7F8C" w:rsidRPr="002E0F7B" w:rsidRDefault="007C1838" w:rsidP="00BB7F8C">
      <w:pPr>
        <w:rPr>
          <w:rFonts w:cs="Calibri"/>
          <w:szCs w:val="23"/>
          <w:lang w:val="en-GB"/>
        </w:rPr>
      </w:pPr>
    </w:p>
    <w:p w14:paraId="1E1B9016" w14:textId="77777777" w:rsidR="00BB7F8C" w:rsidRPr="002E0F7B" w:rsidRDefault="007C1838" w:rsidP="00BB7F8C">
      <w:pPr>
        <w:rPr>
          <w:rFonts w:cs="Calibri"/>
          <w:szCs w:val="23"/>
          <w:lang w:val="en-GB"/>
        </w:rPr>
      </w:pPr>
    </w:p>
    <w:p w14:paraId="1E1B9017" w14:textId="77777777" w:rsidR="00BB7F8C" w:rsidRPr="002E0F7B" w:rsidRDefault="00863E37" w:rsidP="00BB7F8C">
      <w:pPr>
        <w:rPr>
          <w:rFonts w:cs="Calibri"/>
          <w:szCs w:val="23"/>
          <w:lang w:val="en-GB"/>
        </w:rPr>
      </w:pPr>
      <w:r w:rsidRPr="002E0F7B">
        <w:rPr>
          <w:rFonts w:cs="Calibri"/>
          <w:szCs w:val="23"/>
          <w:lang w:val="en-GB"/>
        </w:rPr>
        <w:t>__________________________________________</w:t>
      </w:r>
    </w:p>
    <w:p w14:paraId="1E1B9018" w14:textId="77777777" w:rsidR="00BB7F8C" w:rsidRPr="002E0F7B" w:rsidRDefault="00863E37" w:rsidP="00BB7F8C">
      <w:pPr>
        <w:rPr>
          <w:rFonts w:cs="Calibri"/>
          <w:b/>
          <w:szCs w:val="23"/>
          <w:lang w:val="en-GB"/>
        </w:rPr>
      </w:pPr>
      <w:r w:rsidRPr="002E0F7B">
        <w:rPr>
          <w:rFonts w:cs="Calibri"/>
          <w:b/>
          <w:szCs w:val="23"/>
          <w:lang w:val="en-GB"/>
        </w:rPr>
        <w:t xml:space="preserve">The Honourable </w:t>
      </w:r>
      <w:r>
        <w:rPr>
          <w:rFonts w:cs="Calibri"/>
          <w:b/>
          <w:szCs w:val="23"/>
          <w:lang w:val="en-GB"/>
        </w:rPr>
        <w:t>Paul Papalia CSC, MLA</w:t>
      </w:r>
    </w:p>
    <w:p w14:paraId="1E1B9019" w14:textId="77777777" w:rsidR="00BB7F8C" w:rsidRPr="002E0F7B" w:rsidRDefault="00863E37" w:rsidP="00BB7F8C">
      <w:pPr>
        <w:rPr>
          <w:rFonts w:cs="Calibri"/>
          <w:szCs w:val="23"/>
          <w:lang w:val="en-GB"/>
        </w:rPr>
      </w:pPr>
      <w:r w:rsidRPr="002E0F7B">
        <w:rPr>
          <w:rFonts w:cs="Calibri"/>
          <w:szCs w:val="23"/>
          <w:lang w:val="en-GB"/>
        </w:rPr>
        <w:t>Minister for Tourism</w:t>
      </w:r>
    </w:p>
    <w:p w14:paraId="1E1B901A" w14:textId="77777777" w:rsidR="00BB7F8C" w:rsidRPr="0033422D" w:rsidRDefault="00863E37" w:rsidP="00BB7F8C">
      <w:pPr>
        <w:rPr>
          <w:rFonts w:cs="Calibri"/>
          <w:szCs w:val="23"/>
          <w:lang w:val="en-GB"/>
        </w:rPr>
      </w:pPr>
      <w:r w:rsidRPr="002E0F7B">
        <w:rPr>
          <w:szCs w:val="23"/>
          <w:lang w:val="en-GB"/>
        </w:rPr>
        <w:t xml:space="preserve">      /       / 201</w:t>
      </w:r>
      <w:r>
        <w:rPr>
          <w:szCs w:val="23"/>
          <w:lang w:val="en-GB"/>
        </w:rPr>
        <w:t>7</w:t>
      </w:r>
    </w:p>
    <w:p w14:paraId="1E1B901B" w14:textId="77777777" w:rsidR="00E363C4" w:rsidRDefault="007C1838" w:rsidP="00981DC7">
      <w:pPr>
        <w:pStyle w:val="Normalnumbered"/>
        <w:numPr>
          <w:ilvl w:val="0"/>
          <w:numId w:val="0"/>
        </w:numPr>
        <w:jc w:val="left"/>
      </w:pPr>
    </w:p>
    <w:sectPr w:rsidR="00E363C4" w:rsidSect="006005BC">
      <w:headerReference w:type="default" r:id="rId12"/>
      <w:pgSz w:w="11906" w:h="16838"/>
      <w:pgMar w:top="1440" w:right="1440" w:bottom="1134" w:left="1440" w:header="6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1B9022" w14:textId="77777777" w:rsidR="00715842" w:rsidRDefault="00863E37">
      <w:pPr>
        <w:spacing w:after="0" w:line="240" w:lineRule="auto"/>
      </w:pPr>
      <w:r>
        <w:separator/>
      </w:r>
    </w:p>
  </w:endnote>
  <w:endnote w:type="continuationSeparator" w:id="0">
    <w:p w14:paraId="1E1B9024" w14:textId="77777777" w:rsidR="00715842" w:rsidRDefault="00863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B901E" w14:textId="77777777" w:rsidR="00715842" w:rsidRDefault="00863E37">
      <w:pPr>
        <w:spacing w:after="0" w:line="240" w:lineRule="auto"/>
      </w:pPr>
      <w:r>
        <w:separator/>
      </w:r>
    </w:p>
  </w:footnote>
  <w:footnote w:type="continuationSeparator" w:id="0">
    <w:p w14:paraId="1E1B9020" w14:textId="77777777" w:rsidR="00715842" w:rsidRDefault="00863E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B901C" w14:textId="77777777" w:rsidR="006005BC" w:rsidRPr="00814590" w:rsidRDefault="00863E37" w:rsidP="006005BC">
    <w:pPr>
      <w:pStyle w:val="HeaderOdd"/>
      <w:tabs>
        <w:tab w:val="num" w:pos="1134"/>
      </w:tabs>
      <w:rPr>
        <w:color w:val="800000"/>
      </w:rPr>
    </w:pPr>
    <w:r>
      <w:rPr>
        <w:color w:val="800000"/>
      </w:rPr>
      <w:t>Project Agreement for the Delivery of Tourism Demand-Driver Infrastructure</w:t>
    </w:r>
  </w:p>
  <w:p w14:paraId="1E1B901D" w14:textId="77777777" w:rsidR="006005BC" w:rsidRDefault="007C18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814EA84"/>
    <w:lvl w:ilvl="0">
      <w:start w:val="1"/>
      <w:numFmt w:val="bullet"/>
      <w:pStyle w:val="Normalnumbered"/>
      <w:lvlText w:val=""/>
      <w:lvlJc w:val="left"/>
      <w:pPr>
        <w:tabs>
          <w:tab w:val="num" w:pos="360"/>
        </w:tabs>
        <w:ind w:left="360" w:hanging="360"/>
      </w:pPr>
      <w:rPr>
        <w:rFonts w:ascii="Symbol" w:hAnsi="Symbol" w:hint="default"/>
      </w:rPr>
    </w:lvl>
  </w:abstractNum>
  <w:abstractNum w:abstractNumId="1" w15:restartNumberingAfterBreak="0">
    <w:nsid w:val="0A60478C"/>
    <w:multiLevelType w:val="hybridMultilevel"/>
    <w:tmpl w:val="31807146"/>
    <w:lvl w:ilvl="0" w:tplc="33DE3024">
      <w:start w:val="1"/>
      <w:numFmt w:val="lowerLetter"/>
      <w:lvlText w:val="(%1)"/>
      <w:lvlJc w:val="left"/>
      <w:pPr>
        <w:ind w:left="720" w:hanging="360"/>
      </w:pPr>
    </w:lvl>
    <w:lvl w:ilvl="1" w:tplc="32065BAC">
      <w:start w:val="1"/>
      <w:numFmt w:val="lowerLetter"/>
      <w:lvlText w:val="%2."/>
      <w:lvlJc w:val="left"/>
      <w:pPr>
        <w:ind w:left="1440" w:hanging="360"/>
      </w:pPr>
    </w:lvl>
    <w:lvl w:ilvl="2" w:tplc="3A38FC1E">
      <w:start w:val="1"/>
      <w:numFmt w:val="lowerRoman"/>
      <w:lvlText w:val="%3."/>
      <w:lvlJc w:val="right"/>
      <w:pPr>
        <w:ind w:left="2160" w:hanging="180"/>
      </w:pPr>
    </w:lvl>
    <w:lvl w:ilvl="3" w:tplc="9F527F8E">
      <w:start w:val="1"/>
      <w:numFmt w:val="decimal"/>
      <w:lvlText w:val="%4."/>
      <w:lvlJc w:val="left"/>
      <w:pPr>
        <w:ind w:left="2880" w:hanging="360"/>
      </w:pPr>
    </w:lvl>
    <w:lvl w:ilvl="4" w:tplc="E834A13E">
      <w:start w:val="1"/>
      <w:numFmt w:val="lowerLetter"/>
      <w:lvlText w:val="%5."/>
      <w:lvlJc w:val="left"/>
      <w:pPr>
        <w:ind w:left="3600" w:hanging="360"/>
      </w:pPr>
    </w:lvl>
    <w:lvl w:ilvl="5" w:tplc="49B032BE">
      <w:start w:val="1"/>
      <w:numFmt w:val="lowerRoman"/>
      <w:lvlText w:val="%6."/>
      <w:lvlJc w:val="right"/>
      <w:pPr>
        <w:ind w:left="4320" w:hanging="180"/>
      </w:pPr>
    </w:lvl>
    <w:lvl w:ilvl="6" w:tplc="027EEF98">
      <w:start w:val="1"/>
      <w:numFmt w:val="decimal"/>
      <w:lvlText w:val="%7."/>
      <w:lvlJc w:val="left"/>
      <w:pPr>
        <w:ind w:left="5040" w:hanging="360"/>
      </w:pPr>
    </w:lvl>
    <w:lvl w:ilvl="7" w:tplc="33FA720C">
      <w:start w:val="1"/>
      <w:numFmt w:val="lowerLetter"/>
      <w:lvlText w:val="%8."/>
      <w:lvlJc w:val="left"/>
      <w:pPr>
        <w:ind w:left="5760" w:hanging="360"/>
      </w:pPr>
    </w:lvl>
    <w:lvl w:ilvl="8" w:tplc="A344D880">
      <w:start w:val="1"/>
      <w:numFmt w:val="lowerRoman"/>
      <w:lvlText w:val="%9."/>
      <w:lvlJc w:val="right"/>
      <w:pPr>
        <w:ind w:left="6480" w:hanging="180"/>
      </w:pPr>
    </w:lvl>
  </w:abstractNum>
  <w:abstractNum w:abstractNumId="2" w15:restartNumberingAfterBreak="0">
    <w:nsid w:val="0E660259"/>
    <w:multiLevelType w:val="hybridMultilevel"/>
    <w:tmpl w:val="DD3CFCD0"/>
    <w:lvl w:ilvl="0" w:tplc="B71AF182">
      <w:start w:val="1"/>
      <w:numFmt w:val="lowerLetter"/>
      <w:lvlText w:val="(%1)"/>
      <w:lvlJc w:val="left"/>
      <w:pPr>
        <w:ind w:left="927" w:hanging="360"/>
      </w:pPr>
      <w:rPr>
        <w:rFonts w:hint="default"/>
      </w:rPr>
    </w:lvl>
    <w:lvl w:ilvl="1" w:tplc="8C72681C" w:tentative="1">
      <w:start w:val="1"/>
      <w:numFmt w:val="lowerLetter"/>
      <w:lvlText w:val="%2."/>
      <w:lvlJc w:val="left"/>
      <w:pPr>
        <w:ind w:left="1440" w:hanging="360"/>
      </w:pPr>
    </w:lvl>
    <w:lvl w:ilvl="2" w:tplc="94948DAC" w:tentative="1">
      <w:start w:val="1"/>
      <w:numFmt w:val="lowerRoman"/>
      <w:lvlText w:val="%3."/>
      <w:lvlJc w:val="right"/>
      <w:pPr>
        <w:ind w:left="2160" w:hanging="180"/>
      </w:pPr>
    </w:lvl>
    <w:lvl w:ilvl="3" w:tplc="A0821F02" w:tentative="1">
      <w:start w:val="1"/>
      <w:numFmt w:val="decimal"/>
      <w:lvlText w:val="%4."/>
      <w:lvlJc w:val="left"/>
      <w:pPr>
        <w:ind w:left="2880" w:hanging="360"/>
      </w:pPr>
    </w:lvl>
    <w:lvl w:ilvl="4" w:tplc="00C865A0" w:tentative="1">
      <w:start w:val="1"/>
      <w:numFmt w:val="lowerLetter"/>
      <w:lvlText w:val="%5."/>
      <w:lvlJc w:val="left"/>
      <w:pPr>
        <w:ind w:left="3600" w:hanging="360"/>
      </w:pPr>
    </w:lvl>
    <w:lvl w:ilvl="5" w:tplc="128CE814" w:tentative="1">
      <w:start w:val="1"/>
      <w:numFmt w:val="lowerRoman"/>
      <w:lvlText w:val="%6."/>
      <w:lvlJc w:val="right"/>
      <w:pPr>
        <w:ind w:left="4320" w:hanging="180"/>
      </w:pPr>
    </w:lvl>
    <w:lvl w:ilvl="6" w:tplc="090A156C" w:tentative="1">
      <w:start w:val="1"/>
      <w:numFmt w:val="decimal"/>
      <w:lvlText w:val="%7."/>
      <w:lvlJc w:val="left"/>
      <w:pPr>
        <w:ind w:left="5040" w:hanging="360"/>
      </w:pPr>
    </w:lvl>
    <w:lvl w:ilvl="7" w:tplc="433A9D88" w:tentative="1">
      <w:start w:val="1"/>
      <w:numFmt w:val="lowerLetter"/>
      <w:lvlText w:val="%8."/>
      <w:lvlJc w:val="left"/>
      <w:pPr>
        <w:ind w:left="5760" w:hanging="360"/>
      </w:pPr>
    </w:lvl>
    <w:lvl w:ilvl="8" w:tplc="D5107DEC" w:tentative="1">
      <w:start w:val="1"/>
      <w:numFmt w:val="lowerRoman"/>
      <w:lvlText w:val="%9."/>
      <w:lvlJc w:val="right"/>
      <w:pPr>
        <w:ind w:left="6480" w:hanging="180"/>
      </w:pPr>
    </w:lvl>
  </w:abstractNum>
  <w:abstractNum w:abstractNumId="3" w15:restartNumberingAfterBreak="0">
    <w:nsid w:val="0EF458A5"/>
    <w:multiLevelType w:val="hybridMultilevel"/>
    <w:tmpl w:val="556EF66A"/>
    <w:lvl w:ilvl="0" w:tplc="33BACF0C">
      <w:start w:val="1"/>
      <w:numFmt w:val="lowerRoman"/>
      <w:lvlText w:val="(%1)"/>
      <w:lvlJc w:val="left"/>
      <w:pPr>
        <w:ind w:left="1854" w:hanging="720"/>
      </w:pPr>
      <w:rPr>
        <w:rFonts w:ascii="Corbel" w:hAnsi="Corbel" w:cs="Times New Roman" w:hint="default"/>
        <w:sz w:val="23"/>
      </w:rPr>
    </w:lvl>
    <w:lvl w:ilvl="1" w:tplc="B4025D9A" w:tentative="1">
      <w:start w:val="1"/>
      <w:numFmt w:val="lowerLetter"/>
      <w:lvlText w:val="%2."/>
      <w:lvlJc w:val="left"/>
      <w:pPr>
        <w:ind w:left="2214" w:hanging="360"/>
      </w:pPr>
    </w:lvl>
    <w:lvl w:ilvl="2" w:tplc="579EA5E4" w:tentative="1">
      <w:start w:val="1"/>
      <w:numFmt w:val="lowerRoman"/>
      <w:lvlText w:val="%3."/>
      <w:lvlJc w:val="right"/>
      <w:pPr>
        <w:ind w:left="2934" w:hanging="180"/>
      </w:pPr>
    </w:lvl>
    <w:lvl w:ilvl="3" w:tplc="A1C6A01A" w:tentative="1">
      <w:start w:val="1"/>
      <w:numFmt w:val="decimal"/>
      <w:lvlText w:val="%4."/>
      <w:lvlJc w:val="left"/>
      <w:pPr>
        <w:ind w:left="3654" w:hanging="360"/>
      </w:pPr>
    </w:lvl>
    <w:lvl w:ilvl="4" w:tplc="B66E3286" w:tentative="1">
      <w:start w:val="1"/>
      <w:numFmt w:val="lowerLetter"/>
      <w:lvlText w:val="%5."/>
      <w:lvlJc w:val="left"/>
      <w:pPr>
        <w:ind w:left="4374" w:hanging="360"/>
      </w:pPr>
    </w:lvl>
    <w:lvl w:ilvl="5" w:tplc="C898F2AE" w:tentative="1">
      <w:start w:val="1"/>
      <w:numFmt w:val="lowerRoman"/>
      <w:lvlText w:val="%6."/>
      <w:lvlJc w:val="right"/>
      <w:pPr>
        <w:ind w:left="5094" w:hanging="180"/>
      </w:pPr>
    </w:lvl>
    <w:lvl w:ilvl="6" w:tplc="818C4B20" w:tentative="1">
      <w:start w:val="1"/>
      <w:numFmt w:val="decimal"/>
      <w:lvlText w:val="%7."/>
      <w:lvlJc w:val="left"/>
      <w:pPr>
        <w:ind w:left="5814" w:hanging="360"/>
      </w:pPr>
    </w:lvl>
    <w:lvl w:ilvl="7" w:tplc="66B0C5E8" w:tentative="1">
      <w:start w:val="1"/>
      <w:numFmt w:val="lowerLetter"/>
      <w:lvlText w:val="%8."/>
      <w:lvlJc w:val="left"/>
      <w:pPr>
        <w:ind w:left="6534" w:hanging="360"/>
      </w:pPr>
    </w:lvl>
    <w:lvl w:ilvl="8" w:tplc="F412F1C0" w:tentative="1">
      <w:start w:val="1"/>
      <w:numFmt w:val="lowerRoman"/>
      <w:lvlText w:val="%9."/>
      <w:lvlJc w:val="right"/>
      <w:pPr>
        <w:ind w:left="7254" w:hanging="180"/>
      </w:pPr>
    </w:lvl>
  </w:abstractNum>
  <w:abstractNum w:abstractNumId="4" w15:restartNumberingAfterBreak="0">
    <w:nsid w:val="1BF41060"/>
    <w:multiLevelType w:val="hybridMultilevel"/>
    <w:tmpl w:val="DD3CFCD0"/>
    <w:lvl w:ilvl="0" w:tplc="FD2E5730">
      <w:start w:val="1"/>
      <w:numFmt w:val="lowerLetter"/>
      <w:lvlText w:val="(%1)"/>
      <w:lvlJc w:val="left"/>
      <w:pPr>
        <w:ind w:left="927" w:hanging="360"/>
      </w:pPr>
      <w:rPr>
        <w:rFonts w:hint="default"/>
      </w:rPr>
    </w:lvl>
    <w:lvl w:ilvl="1" w:tplc="294A6556" w:tentative="1">
      <w:start w:val="1"/>
      <w:numFmt w:val="lowerLetter"/>
      <w:lvlText w:val="%2."/>
      <w:lvlJc w:val="left"/>
      <w:pPr>
        <w:ind w:left="1440" w:hanging="360"/>
      </w:pPr>
    </w:lvl>
    <w:lvl w:ilvl="2" w:tplc="057CAABC" w:tentative="1">
      <w:start w:val="1"/>
      <w:numFmt w:val="lowerRoman"/>
      <w:lvlText w:val="%3."/>
      <w:lvlJc w:val="right"/>
      <w:pPr>
        <w:ind w:left="2160" w:hanging="180"/>
      </w:pPr>
    </w:lvl>
    <w:lvl w:ilvl="3" w:tplc="977AB6B0" w:tentative="1">
      <w:start w:val="1"/>
      <w:numFmt w:val="decimal"/>
      <w:lvlText w:val="%4."/>
      <w:lvlJc w:val="left"/>
      <w:pPr>
        <w:ind w:left="2880" w:hanging="360"/>
      </w:pPr>
    </w:lvl>
    <w:lvl w:ilvl="4" w:tplc="22CAE402" w:tentative="1">
      <w:start w:val="1"/>
      <w:numFmt w:val="lowerLetter"/>
      <w:lvlText w:val="%5."/>
      <w:lvlJc w:val="left"/>
      <w:pPr>
        <w:ind w:left="3600" w:hanging="360"/>
      </w:pPr>
    </w:lvl>
    <w:lvl w:ilvl="5" w:tplc="B2FE700C" w:tentative="1">
      <w:start w:val="1"/>
      <w:numFmt w:val="lowerRoman"/>
      <w:lvlText w:val="%6."/>
      <w:lvlJc w:val="right"/>
      <w:pPr>
        <w:ind w:left="4320" w:hanging="180"/>
      </w:pPr>
    </w:lvl>
    <w:lvl w:ilvl="6" w:tplc="DC9498BC" w:tentative="1">
      <w:start w:val="1"/>
      <w:numFmt w:val="decimal"/>
      <w:lvlText w:val="%7."/>
      <w:lvlJc w:val="left"/>
      <w:pPr>
        <w:ind w:left="5040" w:hanging="360"/>
      </w:pPr>
    </w:lvl>
    <w:lvl w:ilvl="7" w:tplc="FAE49946" w:tentative="1">
      <w:start w:val="1"/>
      <w:numFmt w:val="lowerLetter"/>
      <w:lvlText w:val="%8."/>
      <w:lvlJc w:val="left"/>
      <w:pPr>
        <w:ind w:left="5760" w:hanging="360"/>
      </w:pPr>
    </w:lvl>
    <w:lvl w:ilvl="8" w:tplc="ABAC7918" w:tentative="1">
      <w:start w:val="1"/>
      <w:numFmt w:val="lowerRoman"/>
      <w:lvlText w:val="%9."/>
      <w:lvlJc w:val="right"/>
      <w:pPr>
        <w:ind w:left="6480" w:hanging="180"/>
      </w:pPr>
    </w:lvl>
  </w:abstractNum>
  <w:abstractNum w:abstractNumId="5" w15:restartNumberingAfterBreak="0">
    <w:nsid w:val="30C66A10"/>
    <w:multiLevelType w:val="hybridMultilevel"/>
    <w:tmpl w:val="81BA2AE0"/>
    <w:lvl w:ilvl="0" w:tplc="A094C824">
      <w:start w:val="1"/>
      <w:numFmt w:val="bullet"/>
      <w:lvlText w:val=""/>
      <w:lvlJc w:val="left"/>
      <w:pPr>
        <w:ind w:left="720" w:hanging="360"/>
      </w:pPr>
      <w:rPr>
        <w:rFonts w:ascii="Symbol" w:hAnsi="Symbol" w:hint="default"/>
      </w:rPr>
    </w:lvl>
    <w:lvl w:ilvl="1" w:tplc="931ACCB6" w:tentative="1">
      <w:start w:val="1"/>
      <w:numFmt w:val="bullet"/>
      <w:lvlText w:val="o"/>
      <w:lvlJc w:val="left"/>
      <w:pPr>
        <w:ind w:left="1440" w:hanging="360"/>
      </w:pPr>
      <w:rPr>
        <w:rFonts w:ascii="Courier New" w:hAnsi="Courier New" w:cs="Courier New" w:hint="default"/>
      </w:rPr>
    </w:lvl>
    <w:lvl w:ilvl="2" w:tplc="1F6AADEC" w:tentative="1">
      <w:start w:val="1"/>
      <w:numFmt w:val="bullet"/>
      <w:lvlText w:val=""/>
      <w:lvlJc w:val="left"/>
      <w:pPr>
        <w:ind w:left="2160" w:hanging="360"/>
      </w:pPr>
      <w:rPr>
        <w:rFonts w:ascii="Wingdings" w:hAnsi="Wingdings" w:hint="default"/>
      </w:rPr>
    </w:lvl>
    <w:lvl w:ilvl="3" w:tplc="B2D05E48" w:tentative="1">
      <w:start w:val="1"/>
      <w:numFmt w:val="bullet"/>
      <w:lvlText w:val=""/>
      <w:lvlJc w:val="left"/>
      <w:pPr>
        <w:ind w:left="2880" w:hanging="360"/>
      </w:pPr>
      <w:rPr>
        <w:rFonts w:ascii="Symbol" w:hAnsi="Symbol" w:hint="default"/>
      </w:rPr>
    </w:lvl>
    <w:lvl w:ilvl="4" w:tplc="873ED118" w:tentative="1">
      <w:start w:val="1"/>
      <w:numFmt w:val="bullet"/>
      <w:lvlText w:val="o"/>
      <w:lvlJc w:val="left"/>
      <w:pPr>
        <w:ind w:left="3600" w:hanging="360"/>
      </w:pPr>
      <w:rPr>
        <w:rFonts w:ascii="Courier New" w:hAnsi="Courier New" w:cs="Courier New" w:hint="default"/>
      </w:rPr>
    </w:lvl>
    <w:lvl w:ilvl="5" w:tplc="324878B4" w:tentative="1">
      <w:start w:val="1"/>
      <w:numFmt w:val="bullet"/>
      <w:lvlText w:val=""/>
      <w:lvlJc w:val="left"/>
      <w:pPr>
        <w:ind w:left="4320" w:hanging="360"/>
      </w:pPr>
      <w:rPr>
        <w:rFonts w:ascii="Wingdings" w:hAnsi="Wingdings" w:hint="default"/>
      </w:rPr>
    </w:lvl>
    <w:lvl w:ilvl="6" w:tplc="2D9C3A50" w:tentative="1">
      <w:start w:val="1"/>
      <w:numFmt w:val="bullet"/>
      <w:lvlText w:val=""/>
      <w:lvlJc w:val="left"/>
      <w:pPr>
        <w:ind w:left="5040" w:hanging="360"/>
      </w:pPr>
      <w:rPr>
        <w:rFonts w:ascii="Symbol" w:hAnsi="Symbol" w:hint="default"/>
      </w:rPr>
    </w:lvl>
    <w:lvl w:ilvl="7" w:tplc="8E224DF0" w:tentative="1">
      <w:start w:val="1"/>
      <w:numFmt w:val="bullet"/>
      <w:lvlText w:val="o"/>
      <w:lvlJc w:val="left"/>
      <w:pPr>
        <w:ind w:left="5760" w:hanging="360"/>
      </w:pPr>
      <w:rPr>
        <w:rFonts w:ascii="Courier New" w:hAnsi="Courier New" w:cs="Courier New" w:hint="default"/>
      </w:rPr>
    </w:lvl>
    <w:lvl w:ilvl="8" w:tplc="5B80B8CC" w:tentative="1">
      <w:start w:val="1"/>
      <w:numFmt w:val="bullet"/>
      <w:lvlText w:val=""/>
      <w:lvlJc w:val="left"/>
      <w:pPr>
        <w:ind w:left="6480" w:hanging="360"/>
      </w:pPr>
      <w:rPr>
        <w:rFonts w:ascii="Wingdings" w:hAnsi="Wingdings" w:hint="default"/>
      </w:rPr>
    </w:lvl>
  </w:abstractNum>
  <w:abstractNum w:abstractNumId="6" w15:restartNumberingAfterBreak="0">
    <w:nsid w:val="4F703581"/>
    <w:multiLevelType w:val="hybridMultilevel"/>
    <w:tmpl w:val="8DD810C4"/>
    <w:lvl w:ilvl="0" w:tplc="8A880E08">
      <w:start w:val="1"/>
      <w:numFmt w:val="lowerRoman"/>
      <w:lvlText w:val="(%1)"/>
      <w:lvlJc w:val="left"/>
      <w:pPr>
        <w:ind w:left="1080" w:hanging="720"/>
      </w:pPr>
      <w:rPr>
        <w:rFonts w:hint="default"/>
      </w:rPr>
    </w:lvl>
    <w:lvl w:ilvl="1" w:tplc="AB80C266" w:tentative="1">
      <w:start w:val="1"/>
      <w:numFmt w:val="lowerLetter"/>
      <w:lvlText w:val="%2."/>
      <w:lvlJc w:val="left"/>
      <w:pPr>
        <w:ind w:left="1440" w:hanging="360"/>
      </w:pPr>
    </w:lvl>
    <w:lvl w:ilvl="2" w:tplc="48509724" w:tentative="1">
      <w:start w:val="1"/>
      <w:numFmt w:val="lowerRoman"/>
      <w:lvlText w:val="%3."/>
      <w:lvlJc w:val="right"/>
      <w:pPr>
        <w:ind w:left="2160" w:hanging="180"/>
      </w:pPr>
    </w:lvl>
    <w:lvl w:ilvl="3" w:tplc="A484F9F4" w:tentative="1">
      <w:start w:val="1"/>
      <w:numFmt w:val="decimal"/>
      <w:lvlText w:val="%4."/>
      <w:lvlJc w:val="left"/>
      <w:pPr>
        <w:ind w:left="2880" w:hanging="360"/>
      </w:pPr>
    </w:lvl>
    <w:lvl w:ilvl="4" w:tplc="9D58DAE4" w:tentative="1">
      <w:start w:val="1"/>
      <w:numFmt w:val="lowerLetter"/>
      <w:lvlText w:val="%5."/>
      <w:lvlJc w:val="left"/>
      <w:pPr>
        <w:ind w:left="3600" w:hanging="360"/>
      </w:pPr>
    </w:lvl>
    <w:lvl w:ilvl="5" w:tplc="DC1221D4" w:tentative="1">
      <w:start w:val="1"/>
      <w:numFmt w:val="lowerRoman"/>
      <w:lvlText w:val="%6."/>
      <w:lvlJc w:val="right"/>
      <w:pPr>
        <w:ind w:left="4320" w:hanging="180"/>
      </w:pPr>
    </w:lvl>
    <w:lvl w:ilvl="6" w:tplc="0A105ABC" w:tentative="1">
      <w:start w:val="1"/>
      <w:numFmt w:val="decimal"/>
      <w:lvlText w:val="%7."/>
      <w:lvlJc w:val="left"/>
      <w:pPr>
        <w:ind w:left="5040" w:hanging="360"/>
      </w:pPr>
    </w:lvl>
    <w:lvl w:ilvl="7" w:tplc="55DA1448" w:tentative="1">
      <w:start w:val="1"/>
      <w:numFmt w:val="lowerLetter"/>
      <w:lvlText w:val="%8."/>
      <w:lvlJc w:val="left"/>
      <w:pPr>
        <w:ind w:left="5760" w:hanging="360"/>
      </w:pPr>
    </w:lvl>
    <w:lvl w:ilvl="8" w:tplc="749278FC" w:tentative="1">
      <w:start w:val="1"/>
      <w:numFmt w:val="lowerRoman"/>
      <w:lvlText w:val="%9."/>
      <w:lvlJc w:val="right"/>
      <w:pPr>
        <w:ind w:left="6480" w:hanging="180"/>
      </w:pPr>
    </w:lvl>
  </w:abstractNum>
  <w:abstractNum w:abstractNumId="7" w15:restartNumberingAfterBreak="0">
    <w:nsid w:val="5DC52AEB"/>
    <w:multiLevelType w:val="hybridMultilevel"/>
    <w:tmpl w:val="FF2E4976"/>
    <w:lvl w:ilvl="0" w:tplc="CE181092">
      <w:start w:val="1"/>
      <w:numFmt w:val="lowerLetter"/>
      <w:lvlText w:val="(%1)"/>
      <w:lvlJc w:val="left"/>
      <w:pPr>
        <w:ind w:left="720" w:hanging="360"/>
      </w:pPr>
      <w:rPr>
        <w:rFonts w:hint="default"/>
      </w:rPr>
    </w:lvl>
    <w:lvl w:ilvl="1" w:tplc="1A8E21D8" w:tentative="1">
      <w:start w:val="1"/>
      <w:numFmt w:val="lowerLetter"/>
      <w:lvlText w:val="%2."/>
      <w:lvlJc w:val="left"/>
      <w:pPr>
        <w:ind w:left="1440" w:hanging="360"/>
      </w:pPr>
    </w:lvl>
    <w:lvl w:ilvl="2" w:tplc="DB2A58A6" w:tentative="1">
      <w:start w:val="1"/>
      <w:numFmt w:val="lowerRoman"/>
      <w:lvlText w:val="%3."/>
      <w:lvlJc w:val="right"/>
      <w:pPr>
        <w:ind w:left="2160" w:hanging="180"/>
      </w:pPr>
    </w:lvl>
    <w:lvl w:ilvl="3" w:tplc="639E0F32" w:tentative="1">
      <w:start w:val="1"/>
      <w:numFmt w:val="decimal"/>
      <w:lvlText w:val="%4."/>
      <w:lvlJc w:val="left"/>
      <w:pPr>
        <w:ind w:left="2880" w:hanging="360"/>
      </w:pPr>
    </w:lvl>
    <w:lvl w:ilvl="4" w:tplc="4D5AFBC6" w:tentative="1">
      <w:start w:val="1"/>
      <w:numFmt w:val="lowerLetter"/>
      <w:lvlText w:val="%5."/>
      <w:lvlJc w:val="left"/>
      <w:pPr>
        <w:ind w:left="3600" w:hanging="360"/>
      </w:pPr>
    </w:lvl>
    <w:lvl w:ilvl="5" w:tplc="9DEAB42E" w:tentative="1">
      <w:start w:val="1"/>
      <w:numFmt w:val="lowerRoman"/>
      <w:lvlText w:val="%6."/>
      <w:lvlJc w:val="right"/>
      <w:pPr>
        <w:ind w:left="4320" w:hanging="180"/>
      </w:pPr>
    </w:lvl>
    <w:lvl w:ilvl="6" w:tplc="F0FED7D2" w:tentative="1">
      <w:start w:val="1"/>
      <w:numFmt w:val="decimal"/>
      <w:lvlText w:val="%7."/>
      <w:lvlJc w:val="left"/>
      <w:pPr>
        <w:ind w:left="5040" w:hanging="360"/>
      </w:pPr>
    </w:lvl>
    <w:lvl w:ilvl="7" w:tplc="1FA2ECB6" w:tentative="1">
      <w:start w:val="1"/>
      <w:numFmt w:val="lowerLetter"/>
      <w:lvlText w:val="%8."/>
      <w:lvlJc w:val="left"/>
      <w:pPr>
        <w:ind w:left="5760" w:hanging="360"/>
      </w:pPr>
    </w:lvl>
    <w:lvl w:ilvl="8" w:tplc="8C24B08A" w:tentative="1">
      <w:start w:val="1"/>
      <w:numFmt w:val="lowerRoman"/>
      <w:lvlText w:val="%9."/>
      <w:lvlJc w:val="right"/>
      <w:pPr>
        <w:ind w:left="6480" w:hanging="180"/>
      </w:pPr>
    </w:lvl>
  </w:abstractNum>
  <w:abstractNum w:abstractNumId="8" w15:restartNumberingAfterBreak="0">
    <w:nsid w:val="78854AAC"/>
    <w:multiLevelType w:val="hybridMultilevel"/>
    <w:tmpl w:val="BC94F240"/>
    <w:lvl w:ilvl="0" w:tplc="D726535A">
      <w:start w:val="1"/>
      <w:numFmt w:val="decimal"/>
      <w:lvlText w:val="%1."/>
      <w:lvlJc w:val="left"/>
      <w:pPr>
        <w:tabs>
          <w:tab w:val="num" w:pos="567"/>
        </w:tabs>
        <w:ind w:left="567" w:hanging="567"/>
      </w:pPr>
      <w:rPr>
        <w:rFonts w:cs="Times New Roman" w:hint="default"/>
      </w:rPr>
    </w:lvl>
    <w:lvl w:ilvl="1" w:tplc="17FA12B6">
      <w:start w:val="1"/>
      <w:numFmt w:val="lowerLetter"/>
      <w:lvlText w:val="%2."/>
      <w:lvlJc w:val="left"/>
      <w:pPr>
        <w:tabs>
          <w:tab w:val="num" w:pos="1440"/>
        </w:tabs>
        <w:ind w:left="1440" w:hanging="360"/>
      </w:pPr>
      <w:rPr>
        <w:rFonts w:cs="Times New Roman"/>
      </w:rPr>
    </w:lvl>
    <w:lvl w:ilvl="2" w:tplc="13864BCA" w:tentative="1">
      <w:start w:val="1"/>
      <w:numFmt w:val="lowerRoman"/>
      <w:lvlText w:val="%3."/>
      <w:lvlJc w:val="right"/>
      <w:pPr>
        <w:tabs>
          <w:tab w:val="num" w:pos="2160"/>
        </w:tabs>
        <w:ind w:left="2160" w:hanging="180"/>
      </w:pPr>
      <w:rPr>
        <w:rFonts w:cs="Times New Roman"/>
      </w:rPr>
    </w:lvl>
    <w:lvl w:ilvl="3" w:tplc="D9C28C7E" w:tentative="1">
      <w:start w:val="1"/>
      <w:numFmt w:val="decimal"/>
      <w:lvlText w:val="%4."/>
      <w:lvlJc w:val="left"/>
      <w:pPr>
        <w:tabs>
          <w:tab w:val="num" w:pos="2880"/>
        </w:tabs>
        <w:ind w:left="2880" w:hanging="360"/>
      </w:pPr>
      <w:rPr>
        <w:rFonts w:cs="Times New Roman"/>
      </w:rPr>
    </w:lvl>
    <w:lvl w:ilvl="4" w:tplc="63C2A0B2" w:tentative="1">
      <w:start w:val="1"/>
      <w:numFmt w:val="lowerLetter"/>
      <w:lvlText w:val="%5."/>
      <w:lvlJc w:val="left"/>
      <w:pPr>
        <w:tabs>
          <w:tab w:val="num" w:pos="3600"/>
        </w:tabs>
        <w:ind w:left="3600" w:hanging="360"/>
      </w:pPr>
      <w:rPr>
        <w:rFonts w:cs="Times New Roman"/>
      </w:rPr>
    </w:lvl>
    <w:lvl w:ilvl="5" w:tplc="71F07E80" w:tentative="1">
      <w:start w:val="1"/>
      <w:numFmt w:val="lowerRoman"/>
      <w:lvlText w:val="%6."/>
      <w:lvlJc w:val="right"/>
      <w:pPr>
        <w:tabs>
          <w:tab w:val="num" w:pos="4320"/>
        </w:tabs>
        <w:ind w:left="4320" w:hanging="180"/>
      </w:pPr>
      <w:rPr>
        <w:rFonts w:cs="Times New Roman"/>
      </w:rPr>
    </w:lvl>
    <w:lvl w:ilvl="6" w:tplc="70CCB142" w:tentative="1">
      <w:start w:val="1"/>
      <w:numFmt w:val="decimal"/>
      <w:lvlText w:val="%7."/>
      <w:lvlJc w:val="left"/>
      <w:pPr>
        <w:tabs>
          <w:tab w:val="num" w:pos="5040"/>
        </w:tabs>
        <w:ind w:left="5040" w:hanging="360"/>
      </w:pPr>
      <w:rPr>
        <w:rFonts w:cs="Times New Roman"/>
      </w:rPr>
    </w:lvl>
    <w:lvl w:ilvl="7" w:tplc="A1803E1A" w:tentative="1">
      <w:start w:val="1"/>
      <w:numFmt w:val="lowerLetter"/>
      <w:lvlText w:val="%8."/>
      <w:lvlJc w:val="left"/>
      <w:pPr>
        <w:tabs>
          <w:tab w:val="num" w:pos="5760"/>
        </w:tabs>
        <w:ind w:left="5760" w:hanging="360"/>
      </w:pPr>
      <w:rPr>
        <w:rFonts w:cs="Times New Roman"/>
      </w:rPr>
    </w:lvl>
    <w:lvl w:ilvl="8" w:tplc="DE12F592"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num>
  <w:num w:numId="8">
    <w:abstractNumId w:val="0"/>
  </w:num>
  <w:num w:numId="9">
    <w:abstractNumId w:val="0"/>
  </w:num>
  <w:num w:numId="10">
    <w:abstractNumId w:val="0"/>
  </w:num>
  <w:num w:numId="11">
    <w:abstractNumId w:val="0"/>
  </w:num>
  <w:num w:numId="12">
    <w:abstractNumId w:val="0"/>
  </w:num>
  <w:num w:numId="13">
    <w:abstractNumId w:val="0"/>
  </w:num>
  <w:num w:numId="14">
    <w:abstractNumId w:val="7"/>
  </w:num>
  <w:num w:numId="15">
    <w:abstractNumId w:val="6"/>
  </w:num>
  <w:num w:numId="16">
    <w:abstractNumId w:val="0"/>
  </w:num>
  <w:num w:numId="17">
    <w:abstractNumId w:val="0"/>
  </w:num>
  <w:num w:numId="18">
    <w:abstractNumId w:val="3"/>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2"/>
  </w:num>
  <w:num w:numId="30">
    <w:abstractNumId w:val="5"/>
  </w:num>
  <w:num w:numId="31">
    <w:abstractNumId w:val="0"/>
  </w:num>
  <w:num w:numId="32">
    <w:abstractNumId w:val="0"/>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9C4"/>
    <w:rsid w:val="00715842"/>
    <w:rsid w:val="007C1838"/>
    <w:rsid w:val="00863E37"/>
    <w:rsid w:val="00E06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8FC2"/>
  <w15:docId w15:val="{7ABACF69-D804-4F37-9274-249E7AD3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4D0B"/>
    <w:pPr>
      <w:spacing w:after="240" w:line="260" w:lineRule="exact"/>
      <w:jc w:val="both"/>
    </w:pPr>
    <w:rPr>
      <w:rFonts w:ascii="Corbel" w:eastAsia="Times New Roman" w:hAnsi="Corbel" w:cs="Times New Roman"/>
      <w:color w:val="000000"/>
      <w:sz w:val="23"/>
      <w:szCs w:val="20"/>
      <w:lang w:eastAsia="en-AU"/>
    </w:rPr>
  </w:style>
  <w:style w:type="paragraph" w:styleId="Heading2">
    <w:name w:val="heading 2"/>
    <w:basedOn w:val="Normal"/>
    <w:next w:val="Normal"/>
    <w:link w:val="Heading2Char"/>
    <w:uiPriority w:val="99"/>
    <w:qFormat/>
    <w:rsid w:val="00964D0B"/>
    <w:pPr>
      <w:keepNext/>
      <w:spacing w:before="180" w:after="120" w:line="240" w:lineRule="auto"/>
      <w:jc w:val="left"/>
      <w:outlineLvl w:val="1"/>
    </w:pPr>
    <w:rPr>
      <w:rFonts w:cs="Arial"/>
      <w:b/>
      <w:bCs/>
      <w:iCs/>
      <w:color w:val="3D4B67"/>
      <w:sz w:val="29"/>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964D0B"/>
    <w:rPr>
      <w:rFonts w:ascii="Corbel" w:eastAsia="Times New Roman" w:hAnsi="Corbel" w:cs="Arial"/>
      <w:b/>
      <w:bCs/>
      <w:iCs/>
      <w:color w:val="3D4B67"/>
      <w:sz w:val="29"/>
      <w:szCs w:val="28"/>
      <w:lang w:eastAsia="en-AU"/>
    </w:rPr>
  </w:style>
  <w:style w:type="paragraph" w:customStyle="1" w:styleId="Normalnumbered">
    <w:name w:val="Normal numbered"/>
    <w:basedOn w:val="Normal"/>
    <w:link w:val="NormalnumberedChar"/>
    <w:rsid w:val="00964D0B"/>
    <w:pPr>
      <w:numPr>
        <w:numId w:val="1"/>
      </w:numPr>
    </w:pPr>
  </w:style>
  <w:style w:type="character" w:customStyle="1" w:styleId="NormalnumberedChar">
    <w:name w:val="Normal numbered Char"/>
    <w:link w:val="Normalnumbered"/>
    <w:locked/>
    <w:rsid w:val="00964D0B"/>
    <w:rPr>
      <w:rFonts w:ascii="Corbel" w:eastAsia="Times New Roman" w:hAnsi="Corbel" w:cs="Times New Roman"/>
      <w:color w:val="000000"/>
      <w:sz w:val="23"/>
      <w:szCs w:val="20"/>
      <w:lang w:eastAsia="en-AU"/>
    </w:rPr>
  </w:style>
  <w:style w:type="paragraph" w:styleId="BalloonText">
    <w:name w:val="Balloon Text"/>
    <w:basedOn w:val="Normal"/>
    <w:link w:val="BalloonTextChar"/>
    <w:uiPriority w:val="99"/>
    <w:semiHidden/>
    <w:unhideWhenUsed/>
    <w:rsid w:val="00964D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D0B"/>
    <w:rPr>
      <w:rFonts w:ascii="Tahoma" w:eastAsia="Times New Roman" w:hAnsi="Tahoma" w:cs="Tahoma"/>
      <w:color w:val="000000"/>
      <w:sz w:val="16"/>
      <w:szCs w:val="16"/>
      <w:lang w:eastAsia="en-AU"/>
    </w:rPr>
  </w:style>
  <w:style w:type="paragraph" w:styleId="ListParagraph">
    <w:name w:val="List Paragraph"/>
    <w:basedOn w:val="Normal"/>
    <w:uiPriority w:val="34"/>
    <w:qFormat/>
    <w:rsid w:val="00964D0B"/>
    <w:pPr>
      <w:spacing w:after="0" w:line="240" w:lineRule="auto"/>
      <w:ind w:left="720"/>
      <w:jc w:val="left"/>
    </w:pPr>
    <w:rPr>
      <w:rFonts w:ascii="Calibri" w:eastAsiaTheme="minorHAnsi" w:hAnsi="Calibri"/>
      <w:color w:val="auto"/>
      <w:sz w:val="22"/>
      <w:szCs w:val="22"/>
      <w:lang w:eastAsia="en-US"/>
    </w:rPr>
  </w:style>
  <w:style w:type="character" w:styleId="CommentReference">
    <w:name w:val="annotation reference"/>
    <w:basedOn w:val="DefaultParagraphFont"/>
    <w:uiPriority w:val="99"/>
    <w:semiHidden/>
    <w:unhideWhenUsed/>
    <w:rsid w:val="00414851"/>
    <w:rPr>
      <w:sz w:val="16"/>
      <w:szCs w:val="16"/>
    </w:rPr>
  </w:style>
  <w:style w:type="paragraph" w:styleId="CommentText">
    <w:name w:val="annotation text"/>
    <w:basedOn w:val="Normal"/>
    <w:link w:val="CommentTextChar"/>
    <w:uiPriority w:val="99"/>
    <w:semiHidden/>
    <w:unhideWhenUsed/>
    <w:rsid w:val="00414851"/>
    <w:pPr>
      <w:spacing w:line="240" w:lineRule="auto"/>
    </w:pPr>
    <w:rPr>
      <w:sz w:val="20"/>
    </w:rPr>
  </w:style>
  <w:style w:type="character" w:customStyle="1" w:styleId="CommentTextChar">
    <w:name w:val="Comment Text Char"/>
    <w:basedOn w:val="DefaultParagraphFont"/>
    <w:link w:val="CommentText"/>
    <w:uiPriority w:val="99"/>
    <w:semiHidden/>
    <w:rsid w:val="00414851"/>
    <w:rPr>
      <w:rFonts w:ascii="Corbel" w:eastAsia="Times New Roman" w:hAnsi="Corbel"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414851"/>
    <w:rPr>
      <w:b/>
      <w:bCs/>
    </w:rPr>
  </w:style>
  <w:style w:type="character" w:customStyle="1" w:styleId="CommentSubjectChar">
    <w:name w:val="Comment Subject Char"/>
    <w:basedOn w:val="CommentTextChar"/>
    <w:link w:val="CommentSubject"/>
    <w:uiPriority w:val="99"/>
    <w:semiHidden/>
    <w:rsid w:val="00414851"/>
    <w:rPr>
      <w:rFonts w:ascii="Corbel" w:eastAsia="Times New Roman" w:hAnsi="Corbel" w:cs="Times New Roman"/>
      <w:b/>
      <w:bCs/>
      <w:color w:val="000000"/>
      <w:sz w:val="20"/>
      <w:szCs w:val="20"/>
      <w:lang w:eastAsia="en-AU"/>
    </w:rPr>
  </w:style>
  <w:style w:type="paragraph" w:styleId="Header">
    <w:name w:val="header"/>
    <w:basedOn w:val="Normal"/>
    <w:link w:val="HeaderChar"/>
    <w:uiPriority w:val="99"/>
    <w:unhideWhenUsed/>
    <w:rsid w:val="006005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5BC"/>
    <w:rPr>
      <w:rFonts w:ascii="Corbel" w:eastAsia="Times New Roman" w:hAnsi="Corbel" w:cs="Times New Roman"/>
      <w:color w:val="000000"/>
      <w:sz w:val="23"/>
      <w:szCs w:val="20"/>
      <w:lang w:eastAsia="en-AU"/>
    </w:rPr>
  </w:style>
  <w:style w:type="paragraph" w:styleId="Footer">
    <w:name w:val="footer"/>
    <w:basedOn w:val="Normal"/>
    <w:link w:val="FooterChar"/>
    <w:uiPriority w:val="99"/>
    <w:unhideWhenUsed/>
    <w:rsid w:val="006005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5BC"/>
    <w:rPr>
      <w:rFonts w:ascii="Corbel" w:eastAsia="Times New Roman" w:hAnsi="Corbel" w:cs="Times New Roman"/>
      <w:color w:val="000000"/>
      <w:sz w:val="23"/>
      <w:szCs w:val="20"/>
      <w:lang w:eastAsia="en-AU"/>
    </w:rPr>
  </w:style>
  <w:style w:type="paragraph" w:customStyle="1" w:styleId="HeaderOdd">
    <w:name w:val="Header Odd"/>
    <w:basedOn w:val="Header"/>
    <w:rsid w:val="006005BC"/>
    <w:pPr>
      <w:keepNext/>
      <w:tabs>
        <w:tab w:val="clear" w:pos="4513"/>
        <w:tab w:val="clear" w:pos="9026"/>
      </w:tabs>
      <w:jc w:val="right"/>
    </w:pPr>
    <w:rPr>
      <w:color w:val="3D4B67"/>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ustomXml" Target="../customXml/item6.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TaxCatchAll xmlns="0f563589-9cf9-4143-b1eb-fb0534803d38">
      <Value>2</Value>
    </TaxCatchAll>
    <_dlc_DocId xmlns="0f563589-9cf9-4143-b1eb-fb0534803d38">2021FG-64-96844</_dlc_DocId>
    <_dlc_DocIdUrl xmlns="0f563589-9cf9-4143-b1eb-fb0534803d38">
      <Url>http://tweb/sites/fg/csrd/_layouts/15/DocIdRedir.aspx?ID=2021FG-64-96844</Url>
      <Description>2021FG-64-96844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39666" ma:contentTypeDescription=" " ma:contentTypeScope="" ma:versionID="2dc9a5b166b5261cf229b8ebf92cc34f">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5.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4DF0DCD7-5D43-4C68-850F-ADEE794C5E3A}"/>
</file>

<file path=customXml/itemProps2.xml><?xml version="1.0" encoding="utf-8"?>
<ds:datastoreItem xmlns:ds="http://schemas.openxmlformats.org/officeDocument/2006/customXml" ds:itemID="{E2BAE273-B690-429A-81E9-9C6458F52439}"/>
</file>

<file path=customXml/itemProps3.xml><?xml version="1.0" encoding="utf-8"?>
<ds:datastoreItem xmlns:ds="http://schemas.openxmlformats.org/officeDocument/2006/customXml" ds:itemID="{6176B029-5067-4105-B42A-DDF02A109C22}"/>
</file>

<file path=customXml/itemProps4.xml><?xml version="1.0" encoding="utf-8"?>
<ds:datastoreItem xmlns:ds="http://schemas.openxmlformats.org/officeDocument/2006/customXml" ds:itemID="{5CDC9B4F-6F57-4D15-94C2-0DF6E7458477}"/>
</file>

<file path=customXml/itemProps5.xml><?xml version="1.0" encoding="utf-8"?>
<ds:datastoreItem xmlns:ds="http://schemas.openxmlformats.org/officeDocument/2006/customXml" ds:itemID="{A457CA51-28B9-4818-9308-A82EE748255B}"/>
</file>

<file path=customXml/itemProps6.xml><?xml version="1.0" encoding="utf-8"?>
<ds:datastoreItem xmlns:ds="http://schemas.openxmlformats.org/officeDocument/2006/customXml" ds:itemID="{87D98489-748F-4DB4-A3F9-804E4143E29D}"/>
</file>

<file path=docProps/app.xml><?xml version="1.0" encoding="utf-8"?>
<Properties xmlns="http://schemas.openxmlformats.org/officeDocument/2006/extended-properties" xmlns:vt="http://schemas.openxmlformats.org/officeDocument/2006/docPropsVTypes">
  <Template>Normal.dotm</Template>
  <TotalTime>1</TotalTime>
  <Pages>5</Pages>
  <Words>1493</Words>
  <Characters>8515</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9989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Western Australia Tourism Demand Driver Infrastructure (TDDI) 2017-18 Revised Schedule</dc:subject>
  <dc:creator>Tsy</dc:creator>
  <cp:lastModifiedBy>Katina-Devril (Canberra)</cp:lastModifiedBy>
  <cp:revision>2</cp:revision>
  <cp:lastPrinted>2017-03-06T01:27:00Z</cp:lastPrinted>
  <dcterms:created xsi:type="dcterms:W3CDTF">2017-06-08T04:10:00Z</dcterms:created>
  <dcterms:modified xsi:type="dcterms:W3CDTF">2017-06-08T04:10:00Z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earanceActualDate">
    <vt:lpwstr>03 April 2017</vt:lpwstr>
  </property>
  <property fmtid="{D5CDD505-2E9C-101B-9397-08002B2CF9AE}" pid="4" name="ClearanceDueDate">
    <vt:lpwstr/>
  </property>
  <property fmtid="{D5CDD505-2E9C-101B-9397-08002B2CF9AE}" pid="5" name="ContentTypeId">
    <vt:lpwstr>0x010100348D01E61E107C4DA4B97E380EA20D47005CDF45B49E80F24CAD80DFC012154DA9</vt:lpwstr>
  </property>
  <property fmtid="{D5CDD505-2E9C-101B-9397-08002B2CF9AE}" pid="6" name="Electorates">
    <vt:lpwstr> </vt:lpwstr>
  </property>
  <property fmtid="{D5CDD505-2E9C-101B-9397-08002B2CF9AE}" pid="7" name="GroupResponsible">
    <vt:lpwstr>TIEP - Tourism</vt:lpwstr>
  </property>
  <property fmtid="{D5CDD505-2E9C-101B-9397-08002B2CF9AE}" pid="8" name="HandlingProtocol">
    <vt:lpwstr>Standard</vt:lpwstr>
  </property>
  <property fmtid="{D5CDD505-2E9C-101B-9397-08002B2CF9AE}" pid="9" name="InformationMinister">
    <vt:lpwstr> </vt:lpwstr>
  </property>
  <property fmtid="{D5CDD505-2E9C-101B-9397-08002B2CF9AE}" pid="10" name="InitiatorAddressLine1">
    <vt:lpwstr/>
  </property>
  <property fmtid="{D5CDD505-2E9C-101B-9397-08002B2CF9AE}" pid="11" name="InitiatorAddressLine1And2">
    <vt:lpwstr/>
  </property>
  <property fmtid="{D5CDD505-2E9C-101B-9397-08002B2CF9AE}" pid="12" name="InitiatorAddressLine2">
    <vt:lpwstr/>
  </property>
  <property fmtid="{D5CDD505-2E9C-101B-9397-08002B2CF9AE}" pid="13" name="InitiatorContactName">
    <vt:lpwstr/>
  </property>
  <property fmtid="{D5CDD505-2E9C-101B-9397-08002B2CF9AE}" pid="14" name="InitiatorContactPosition">
    <vt:lpwstr/>
  </property>
  <property fmtid="{D5CDD505-2E9C-101B-9397-08002B2CF9AE}" pid="15" name="InitiatorCountry">
    <vt:lpwstr/>
  </property>
  <property fmtid="{D5CDD505-2E9C-101B-9397-08002B2CF9AE}" pid="16" name="InitiatorEmail">
    <vt:lpwstr/>
  </property>
  <property fmtid="{D5CDD505-2E9C-101B-9397-08002B2CF9AE}" pid="17" name="InitiatorFax">
    <vt:lpwstr/>
  </property>
  <property fmtid="{D5CDD505-2E9C-101B-9397-08002B2CF9AE}" pid="18" name="InitiatorFirstName">
    <vt:lpwstr/>
  </property>
  <property fmtid="{D5CDD505-2E9C-101B-9397-08002B2CF9AE}" pid="19" name="InitiatorFormalTitle">
    <vt:lpwstr/>
  </property>
  <property fmtid="{D5CDD505-2E9C-101B-9397-08002B2CF9AE}" pid="20" name="InitiatorFullName">
    <vt:lpwstr/>
  </property>
  <property fmtid="{D5CDD505-2E9C-101B-9397-08002B2CF9AE}" pid="21" name="InitiatorLastName">
    <vt:lpwstr/>
  </property>
  <property fmtid="{D5CDD505-2E9C-101B-9397-08002B2CF9AE}" pid="22" name="InitiatorMobile">
    <vt:lpwstr/>
  </property>
  <property fmtid="{D5CDD505-2E9C-101B-9397-08002B2CF9AE}" pid="23" name="InitiatorMPElectorate">
    <vt:lpwstr/>
  </property>
  <property fmtid="{D5CDD505-2E9C-101B-9397-08002B2CF9AE}" pid="24" name="InitiatorMPState">
    <vt:lpwstr/>
  </property>
  <property fmtid="{D5CDD505-2E9C-101B-9397-08002B2CF9AE}" pid="25" name="InitiatorName">
    <vt:lpwstr/>
  </property>
  <property fmtid="{D5CDD505-2E9C-101B-9397-08002B2CF9AE}" pid="26" name="InitiatorOnBehalfVia">
    <vt:lpwstr/>
  </property>
  <property fmtid="{D5CDD505-2E9C-101B-9397-08002B2CF9AE}" pid="27" name="InitiatorOrganisation">
    <vt:lpwstr/>
  </property>
  <property fmtid="{D5CDD505-2E9C-101B-9397-08002B2CF9AE}" pid="28" name="InitiatorOrganisationContactInformation">
    <vt:lpwstr/>
  </property>
  <property fmtid="{D5CDD505-2E9C-101B-9397-08002B2CF9AE}" pid="29" name="InitiatorOrganisationType">
    <vt:lpwstr/>
  </property>
  <property fmtid="{D5CDD505-2E9C-101B-9397-08002B2CF9AE}" pid="30" name="InitiatorOrganisationWebsite">
    <vt:lpwstr/>
  </property>
  <property fmtid="{D5CDD505-2E9C-101B-9397-08002B2CF9AE}" pid="31" name="InitiatorParliamentaryTitle">
    <vt:lpwstr/>
  </property>
  <property fmtid="{D5CDD505-2E9C-101B-9397-08002B2CF9AE}" pid="32" name="InitiatorPhone">
    <vt:lpwstr/>
  </property>
  <property fmtid="{D5CDD505-2E9C-101B-9397-08002B2CF9AE}" pid="33" name="InitiatorPostCode">
    <vt:lpwstr/>
  </property>
  <property fmtid="{D5CDD505-2E9C-101B-9397-08002B2CF9AE}" pid="34" name="InitiatorPostNominal">
    <vt:lpwstr/>
  </property>
  <property fmtid="{D5CDD505-2E9C-101B-9397-08002B2CF9AE}" pid="35" name="InitiatorState">
    <vt:lpwstr/>
  </property>
  <property fmtid="{D5CDD505-2E9C-101B-9397-08002B2CF9AE}" pid="36" name="InitiatorSuburbOrCity">
    <vt:lpwstr/>
  </property>
  <property fmtid="{D5CDD505-2E9C-101B-9397-08002B2CF9AE}" pid="37" name="InitiatorSuburbStatePostcode">
    <vt:lpwstr/>
  </property>
  <property fmtid="{D5CDD505-2E9C-101B-9397-08002B2CF9AE}" pid="38" name="InitiatorTitle">
    <vt:lpwstr/>
  </property>
  <property fmtid="{D5CDD505-2E9C-101B-9397-08002B2CF9AE}" pid="39" name="InitiatorTitledFullName">
    <vt:lpwstr/>
  </property>
  <property fmtid="{D5CDD505-2E9C-101B-9397-08002B2CF9AE}" pid="40" name="LastClearingOfficer">
    <vt:lpwstr>Dan Williams</vt:lpwstr>
  </property>
  <property fmtid="{D5CDD505-2E9C-101B-9397-08002B2CF9AE}" pid="41" name="Ministers">
    <vt:lpwstr>Steven Ciobo</vt:lpwstr>
  </property>
  <property fmtid="{D5CDD505-2E9C-101B-9397-08002B2CF9AE}" pid="42" name="PdrId">
    <vt:lpwstr>MS17-000068</vt:lpwstr>
  </property>
  <property fmtid="{D5CDD505-2E9C-101B-9397-08002B2CF9AE}" pid="43" name="Principal">
    <vt:lpwstr>Minister</vt:lpwstr>
  </property>
  <property fmtid="{D5CDD505-2E9C-101B-9397-08002B2CF9AE}" pid="44" name="Protective Markings">
    <vt:lpwstr/>
  </property>
  <property fmtid="{D5CDD505-2E9C-101B-9397-08002B2CF9AE}" pid="45" name="Protective_x0020_Markings">
    <vt:lpwstr/>
  </property>
  <property fmtid="{D5CDD505-2E9C-101B-9397-08002B2CF9AE}" pid="46" name="ReasonForSensitivity">
    <vt:lpwstr/>
  </property>
  <property fmtid="{D5CDD505-2E9C-101B-9397-08002B2CF9AE}" pid="47" name="RegisteredDate">
    <vt:lpwstr>23 February 2017</vt:lpwstr>
  </property>
  <property fmtid="{D5CDD505-2E9C-101B-9397-08002B2CF9AE}" pid="48" name="RequestedAction">
    <vt:lpwstr>Signature</vt:lpwstr>
  </property>
  <property fmtid="{D5CDD505-2E9C-101B-9397-08002B2CF9AE}" pid="49" name="ResponsibleMinister">
    <vt:lpwstr>Steven Ciobo</vt:lpwstr>
  </property>
  <property fmtid="{D5CDD505-2E9C-101B-9397-08002B2CF9AE}" pid="50" name="SecurityClassification">
    <vt:lpwstr>UNCLASSIFIED  </vt:lpwstr>
  </property>
  <property fmtid="{D5CDD505-2E9C-101B-9397-08002B2CF9AE}" pid="51" name="Subject">
    <vt:lpwstr>Western Australia Tourism Demand Driver Infrastructure (TDDI) 2017-18 Revised Schedule</vt:lpwstr>
  </property>
  <property fmtid="{D5CDD505-2E9C-101B-9397-08002B2CF9AE}" pid="52" name="TaskSeqNo">
    <vt:lpwstr>0</vt:lpwstr>
  </property>
  <property fmtid="{D5CDD505-2E9C-101B-9397-08002B2CF9AE}" pid="53" name="TemplateSubType">
    <vt:lpwstr>Standard With Letter</vt:lpwstr>
  </property>
  <property fmtid="{D5CDD505-2E9C-101B-9397-08002B2CF9AE}" pid="54" name="TemplateType">
    <vt:lpwstr>Action Submission</vt:lpwstr>
  </property>
  <property fmtid="{D5CDD505-2E9C-101B-9397-08002B2CF9AE}" pid="55" name="TrustedGroups">
    <vt:lpwstr>Parliamentary Coordinator MS, DLO, Ministerial Staff - Coalition 2013, Business Administrator, Limited Distribution MS</vt:lpwstr>
  </property>
  <property fmtid="{D5CDD505-2E9C-101B-9397-08002B2CF9AE}" pid="56" name="_dlc_DocIdItemGuid">
    <vt:lpwstr>8da19690-2a55-4bf1-a6b0-a99234ffdcf0</vt:lpwstr>
  </property>
  <property fmtid="{D5CDD505-2E9C-101B-9397-08002B2CF9AE}" pid="57" name="_NewReviewCycle">
    <vt:lpwstr/>
  </property>
  <property fmtid="{D5CDD505-2E9C-101B-9397-08002B2CF9AE}" pid="58" name="TSYRecordClass">
    <vt:lpwstr>2;#TSY RA-8748 - Retain as national archives|243f2231-dbfc-4282-b24a-c9b768286bd0</vt:lpwstr>
  </property>
  <property fmtid="{D5CDD505-2E9C-101B-9397-08002B2CF9AE}" pid="59" name="RecordPoint_WorkflowType">
    <vt:lpwstr>ActiveSubmitStub</vt:lpwstr>
  </property>
  <property fmtid="{D5CDD505-2E9C-101B-9397-08002B2CF9AE}" pid="60" name="RecordPoint_ActiveItemWebId">
    <vt:lpwstr>{a4589788-615f-4b8b-8296-7f9f6dfbab44}</vt:lpwstr>
  </property>
  <property fmtid="{D5CDD505-2E9C-101B-9397-08002B2CF9AE}" pid="61" name="RecordPoint_ActiveItemSiteId">
    <vt:lpwstr>{a3a280d1-e8f1-4ce7-94f0-aaa2322da0dd}</vt:lpwstr>
  </property>
  <property fmtid="{D5CDD505-2E9C-101B-9397-08002B2CF9AE}" pid="62" name="RecordPoint_ActiveItemListId">
    <vt:lpwstr>{4435c73b-6585-4bc2-a76a-5d21b1a02e06}</vt:lpwstr>
  </property>
  <property fmtid="{D5CDD505-2E9C-101B-9397-08002B2CF9AE}" pid="63" name="RecordPoint_ActiveItemUniqueId">
    <vt:lpwstr>{1758b652-d701-404d-9452-409bbb45301e}</vt:lpwstr>
  </property>
  <property fmtid="{D5CDD505-2E9C-101B-9397-08002B2CF9AE}" pid="64" name="RecordPoint_RecordNumberSubmitted">
    <vt:lpwstr>R0001366272</vt:lpwstr>
  </property>
  <property fmtid="{D5CDD505-2E9C-101B-9397-08002B2CF9AE}" pid="65" name="RecordPoint_SubmissionCompleted">
    <vt:lpwstr>2017-07-06T20:45:33.7117496+10:00</vt:lpwstr>
  </property>
</Properties>
</file>