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1045" w14:textId="77777777" w:rsidR="006C51C3" w:rsidRDefault="006C51C3"/>
    <w:p w14:paraId="6FB0E2C8" w14:textId="1959CBF8" w:rsidR="00C91B5F" w:rsidRPr="00F1227F" w:rsidRDefault="00C91B5F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 w:rsidRPr="00F1227F">
        <w:rPr>
          <w:i w:val="0"/>
          <w:sz w:val="28"/>
          <w:szCs w:val="28"/>
        </w:rPr>
        <w:t xml:space="preserve">Schedule </w:t>
      </w:r>
      <w:r w:rsidR="00375621">
        <w:rPr>
          <w:i w:val="0"/>
          <w:sz w:val="28"/>
          <w:szCs w:val="28"/>
        </w:rPr>
        <w:t>Environment</w:t>
      </w:r>
      <w:r w:rsidR="00971B7F">
        <w:rPr>
          <w:i w:val="0"/>
          <w:sz w:val="28"/>
          <w:szCs w:val="28"/>
        </w:rPr>
        <w:t xml:space="preserve"> </w:t>
      </w:r>
    </w:p>
    <w:p w14:paraId="6FF909F1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</w:p>
    <w:p w14:paraId="3FFF42FC" w14:textId="77777777" w:rsidR="00C273B9" w:rsidRDefault="00C273B9" w:rsidP="00C91B5F">
      <w:pPr>
        <w:pStyle w:val="Subtitle"/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</w:pPr>
      <w:r w:rsidRPr="00C273B9">
        <w:rPr>
          <w:rFonts w:ascii="Corbel" w:hAnsi="Corbel"/>
          <w:b w:val="0"/>
          <w:caps w:val="0"/>
          <w:color w:val="3D4B67"/>
          <w:spacing w:val="0"/>
          <w:sz w:val="40"/>
          <w:szCs w:val="40"/>
        </w:rPr>
        <w:t>DIGITAL ENVIRONMENTAL ASSESSMENT PROGRAM</w:t>
      </w:r>
    </w:p>
    <w:p w14:paraId="3EB98EB2" w14:textId="6F18CBEE" w:rsidR="00C91B5F" w:rsidRPr="00BE249A" w:rsidRDefault="00C91B5F" w:rsidP="00C91B5F">
      <w:pPr>
        <w:pStyle w:val="Subtitle"/>
      </w:pPr>
      <w:r>
        <w:t>National Partnership for streamlined agreements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0445854B" w14:textId="77777777" w:rsidTr="2AB4E114">
        <w:tc>
          <w:tcPr>
            <w:tcW w:w="9629" w:type="dxa"/>
            <w:gridSpan w:val="2"/>
            <w:shd w:val="clear" w:color="auto" w:fill="DEEAF6" w:themeFill="accent1" w:themeFillTint="33"/>
          </w:tcPr>
          <w:p w14:paraId="6FA411A3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5F477F33" w14:textId="77777777" w:rsidTr="2AB4E114">
        <w:tc>
          <w:tcPr>
            <w:tcW w:w="1691" w:type="dxa"/>
            <w:shd w:val="clear" w:color="auto" w:fill="auto"/>
          </w:tcPr>
          <w:p w14:paraId="7A17311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66C3049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6293E866" w14:textId="451DC67B" w:rsidR="00C91B5F" w:rsidRPr="00F00A18" w:rsidRDefault="00400F15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New South Wales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529D2106" w14:textId="77777777" w:rsidTr="2AB4E114">
        <w:tc>
          <w:tcPr>
            <w:tcW w:w="1691" w:type="dxa"/>
            <w:shd w:val="clear" w:color="auto" w:fill="auto"/>
          </w:tcPr>
          <w:p w14:paraId="54E7A1D1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5537A40B" w14:textId="08EDC572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2AB4E114">
              <w:rPr>
                <w:color w:val="auto"/>
              </w:rPr>
              <w:t xml:space="preserve">This Schedule is expected to expire on </w:t>
            </w:r>
            <w:r w:rsidR="00C273B9" w:rsidRPr="2AB4E114">
              <w:rPr>
                <w:color w:val="auto"/>
              </w:rPr>
              <w:t>3</w:t>
            </w:r>
            <w:r w:rsidR="00764A4C">
              <w:rPr>
                <w:color w:val="auto"/>
              </w:rPr>
              <w:t>0</w:t>
            </w:r>
            <w:r w:rsidR="00C273B9" w:rsidRPr="2AB4E114">
              <w:rPr>
                <w:color w:val="auto"/>
              </w:rPr>
              <w:t xml:space="preserve"> </w:t>
            </w:r>
            <w:r w:rsidR="00D34FEC">
              <w:rPr>
                <w:color w:val="auto"/>
              </w:rPr>
              <w:t>June</w:t>
            </w:r>
            <w:r w:rsidR="00D34FEC" w:rsidRPr="2AB4E114">
              <w:rPr>
                <w:color w:val="auto"/>
              </w:rPr>
              <w:t xml:space="preserve"> </w:t>
            </w:r>
            <w:r w:rsidR="00C273B9" w:rsidRPr="2AB4E114">
              <w:rPr>
                <w:color w:val="auto"/>
              </w:rPr>
              <w:t>202</w:t>
            </w:r>
            <w:r w:rsidR="00646BFF">
              <w:rPr>
                <w:color w:val="auto"/>
              </w:rPr>
              <w:t>2</w:t>
            </w:r>
            <w:r w:rsidRPr="2AB4E114">
              <w:rPr>
                <w:color w:val="auto"/>
              </w:rPr>
              <w:t>.</w:t>
            </w:r>
          </w:p>
        </w:tc>
      </w:tr>
      <w:tr w:rsidR="00C91B5F" w:rsidRPr="00F00A18" w14:paraId="5096F28A" w14:textId="77777777" w:rsidTr="2AB4E114">
        <w:tc>
          <w:tcPr>
            <w:tcW w:w="1691" w:type="dxa"/>
            <w:shd w:val="clear" w:color="auto" w:fill="auto"/>
          </w:tcPr>
          <w:p w14:paraId="7108B3A6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698B37EB" w14:textId="77777777" w:rsidR="00C91B5F" w:rsidRDefault="00C91B5F" w:rsidP="006C51C3">
            <w:pPr>
              <w:pStyle w:val="Tableformat"/>
              <w:rPr>
                <w:color w:val="auto"/>
              </w:rPr>
            </w:pPr>
            <w:r w:rsidRPr="07DC23BB">
              <w:rPr>
                <w:color w:val="auto"/>
              </w:rPr>
              <w:t xml:space="preserve">This Schedule will support </w:t>
            </w:r>
            <w:r w:rsidR="00C273B9" w:rsidRPr="07DC23BB">
              <w:rPr>
                <w:color w:val="auto"/>
              </w:rPr>
              <w:t xml:space="preserve">activities to establish </w:t>
            </w:r>
            <w:r w:rsidR="00CE452A" w:rsidRPr="07DC23BB">
              <w:rPr>
                <w:color w:val="auto"/>
              </w:rPr>
              <w:t xml:space="preserve">biodiversity data repository </w:t>
            </w:r>
            <w:r w:rsidR="00C273B9" w:rsidRPr="07DC23BB">
              <w:rPr>
                <w:color w:val="auto"/>
              </w:rPr>
              <w:t>systems</w:t>
            </w:r>
            <w:r w:rsidR="44CCB9DD" w:rsidRPr="07DC23BB">
              <w:rPr>
                <w:color w:val="auto"/>
              </w:rPr>
              <w:t>, interoperability and/or exchange</w:t>
            </w:r>
            <w:r w:rsidR="00C273B9" w:rsidRPr="07DC23BB">
              <w:rPr>
                <w:color w:val="auto"/>
              </w:rPr>
              <w:t xml:space="preserve"> between the Commonwealth and </w:t>
            </w:r>
            <w:r w:rsidR="0088449D" w:rsidRPr="07DC23BB">
              <w:rPr>
                <w:color w:val="auto"/>
              </w:rPr>
              <w:t>New South Wales</w:t>
            </w:r>
            <w:r w:rsidR="00C273B9" w:rsidRPr="07DC23BB">
              <w:rPr>
                <w:color w:val="auto"/>
              </w:rPr>
              <w:t>.</w:t>
            </w:r>
          </w:p>
          <w:p w14:paraId="6B50C443" w14:textId="2554579C" w:rsidR="00891DA7" w:rsidRDefault="00EC0BDC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A key </w:t>
            </w:r>
            <w:r w:rsidR="00B476C4">
              <w:rPr>
                <w:color w:val="auto"/>
              </w:rPr>
              <w:t>focus</w:t>
            </w:r>
            <w:r>
              <w:rPr>
                <w:color w:val="auto"/>
              </w:rPr>
              <w:t xml:space="preserve"> </w:t>
            </w:r>
            <w:r w:rsidR="00E9361B">
              <w:rPr>
                <w:color w:val="auto"/>
              </w:rPr>
              <w:t xml:space="preserve">will </w:t>
            </w:r>
            <w:r w:rsidR="00B633F4">
              <w:rPr>
                <w:color w:val="auto"/>
              </w:rPr>
              <w:t>be</w:t>
            </w:r>
            <w:r w:rsidR="00E9361B">
              <w:rPr>
                <w:color w:val="auto"/>
              </w:rPr>
              <w:t xml:space="preserve"> </w:t>
            </w:r>
            <w:r w:rsidR="0064591F">
              <w:rPr>
                <w:color w:val="auto"/>
              </w:rPr>
              <w:t xml:space="preserve">the </w:t>
            </w:r>
            <w:r w:rsidR="00003140">
              <w:rPr>
                <w:color w:val="auto"/>
              </w:rPr>
              <w:t xml:space="preserve">implementation of </w:t>
            </w:r>
            <w:r w:rsidR="00956C81">
              <w:rPr>
                <w:color w:val="auto"/>
              </w:rPr>
              <w:t xml:space="preserve">a </w:t>
            </w:r>
            <w:r w:rsidR="00770D26">
              <w:rPr>
                <w:color w:val="auto"/>
              </w:rPr>
              <w:t>p</w:t>
            </w:r>
            <w:r w:rsidR="00956C81">
              <w:rPr>
                <w:color w:val="auto"/>
              </w:rPr>
              <w:t>ro</w:t>
            </w:r>
            <w:r w:rsidR="00DB219A">
              <w:rPr>
                <w:color w:val="auto"/>
              </w:rPr>
              <w:t xml:space="preserve">of of concept that demonstrates </w:t>
            </w:r>
            <w:r w:rsidR="00DF7245">
              <w:rPr>
                <w:color w:val="auto"/>
              </w:rPr>
              <w:t>the seamless</w:t>
            </w:r>
            <w:r w:rsidR="00FF48D4">
              <w:rPr>
                <w:color w:val="auto"/>
              </w:rPr>
              <w:t xml:space="preserve"> flow of </w:t>
            </w:r>
            <w:r w:rsidR="00AC628C">
              <w:rPr>
                <w:color w:val="auto"/>
              </w:rPr>
              <w:t>assessment</w:t>
            </w:r>
            <w:r w:rsidR="000D6CCF">
              <w:rPr>
                <w:color w:val="auto"/>
              </w:rPr>
              <w:t xml:space="preserve"> </w:t>
            </w:r>
            <w:r w:rsidR="00CD397C">
              <w:rPr>
                <w:color w:val="auto"/>
              </w:rPr>
              <w:t xml:space="preserve">data from </w:t>
            </w:r>
            <w:r w:rsidR="00077467">
              <w:rPr>
                <w:color w:val="auto"/>
              </w:rPr>
              <w:t xml:space="preserve">the </w:t>
            </w:r>
            <w:r w:rsidR="00CD397C">
              <w:rPr>
                <w:color w:val="auto"/>
              </w:rPr>
              <w:t xml:space="preserve">field capture device through </w:t>
            </w:r>
            <w:r w:rsidR="00CB49AA">
              <w:rPr>
                <w:color w:val="auto"/>
              </w:rPr>
              <w:t xml:space="preserve">the NSW node of the Biodiversity </w:t>
            </w:r>
            <w:r w:rsidR="00FF5D16">
              <w:rPr>
                <w:color w:val="auto"/>
              </w:rPr>
              <w:t xml:space="preserve">Data Repository </w:t>
            </w:r>
            <w:r w:rsidR="006B4B8D">
              <w:rPr>
                <w:color w:val="auto"/>
              </w:rPr>
              <w:t xml:space="preserve">and </w:t>
            </w:r>
            <w:proofErr w:type="spellStart"/>
            <w:r w:rsidR="006B4B8D">
              <w:rPr>
                <w:color w:val="auto"/>
              </w:rPr>
              <w:t>BioNet</w:t>
            </w:r>
            <w:proofErr w:type="spellEnd"/>
            <w:r w:rsidR="00AA6673">
              <w:rPr>
                <w:color w:val="auto"/>
              </w:rPr>
              <w:t xml:space="preserve">, </w:t>
            </w:r>
            <w:r w:rsidR="006B4B8D">
              <w:rPr>
                <w:color w:val="auto"/>
              </w:rPr>
              <w:t xml:space="preserve">to </w:t>
            </w:r>
            <w:r w:rsidR="00B476C4">
              <w:rPr>
                <w:color w:val="auto"/>
              </w:rPr>
              <w:t>the National B</w:t>
            </w:r>
            <w:r w:rsidR="00E8631B">
              <w:rPr>
                <w:color w:val="auto"/>
              </w:rPr>
              <w:t xml:space="preserve">iodiversity </w:t>
            </w:r>
            <w:r w:rsidR="00B476C4">
              <w:rPr>
                <w:color w:val="auto"/>
              </w:rPr>
              <w:t>D</w:t>
            </w:r>
            <w:r w:rsidR="00E8631B">
              <w:rPr>
                <w:color w:val="auto"/>
              </w:rPr>
              <w:t xml:space="preserve">ata </w:t>
            </w:r>
            <w:r w:rsidR="00B476C4">
              <w:rPr>
                <w:color w:val="auto"/>
              </w:rPr>
              <w:t>R</w:t>
            </w:r>
            <w:r w:rsidR="00E8631B">
              <w:rPr>
                <w:color w:val="auto"/>
              </w:rPr>
              <w:t>epository (BDR)</w:t>
            </w:r>
            <w:r w:rsidR="00AA6673">
              <w:rPr>
                <w:color w:val="auto"/>
              </w:rPr>
              <w:t>.</w:t>
            </w:r>
          </w:p>
          <w:p w14:paraId="4D5EE0C3" w14:textId="670E05CD" w:rsidR="00A976B1" w:rsidRDefault="0057560C" w:rsidP="006C51C3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E8631B">
              <w:rPr>
                <w:color w:val="auto"/>
              </w:rPr>
              <w:t>proof of concept</w:t>
            </w:r>
            <w:r>
              <w:rPr>
                <w:color w:val="auto"/>
              </w:rPr>
              <w:t xml:space="preserve"> will include:</w:t>
            </w:r>
          </w:p>
          <w:p w14:paraId="27EA2F41" w14:textId="31EA81C5" w:rsidR="0057560C" w:rsidRDefault="00E8691B" w:rsidP="0057560C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Use of </w:t>
            </w:r>
            <w:r w:rsidR="0053731A">
              <w:rPr>
                <w:color w:val="auto"/>
              </w:rPr>
              <w:t>a</w:t>
            </w:r>
            <w:r w:rsidR="00752321">
              <w:rPr>
                <w:color w:val="auto"/>
              </w:rPr>
              <w:t xml:space="preserve">n </w:t>
            </w:r>
            <w:r w:rsidR="0053731A">
              <w:rPr>
                <w:color w:val="auto"/>
              </w:rPr>
              <w:t>industry developed</w:t>
            </w:r>
            <w:r>
              <w:rPr>
                <w:color w:val="auto"/>
              </w:rPr>
              <w:t xml:space="preserve"> </w:t>
            </w:r>
            <w:r w:rsidR="00832D25">
              <w:rPr>
                <w:color w:val="auto"/>
              </w:rPr>
              <w:t xml:space="preserve">field survey app </w:t>
            </w:r>
            <w:r w:rsidR="00B3096C">
              <w:rPr>
                <w:color w:val="auto"/>
              </w:rPr>
              <w:t xml:space="preserve">that has been </w:t>
            </w:r>
            <w:r w:rsidR="00752321">
              <w:rPr>
                <w:color w:val="auto"/>
              </w:rPr>
              <w:t>designed</w:t>
            </w:r>
            <w:r w:rsidR="00A954F6">
              <w:rPr>
                <w:color w:val="auto"/>
              </w:rPr>
              <w:t xml:space="preserve"> to capture raw ecological survey data </w:t>
            </w:r>
            <w:r w:rsidR="0025554A">
              <w:rPr>
                <w:color w:val="auto"/>
              </w:rPr>
              <w:t>using</w:t>
            </w:r>
            <w:r w:rsidR="005A60AC">
              <w:rPr>
                <w:color w:val="auto"/>
              </w:rPr>
              <w:t xml:space="preserve"> the Biodiversity Assessment Method (BAM)</w:t>
            </w:r>
          </w:p>
          <w:p w14:paraId="710AC033" w14:textId="4EB01571" w:rsidR="009F1B13" w:rsidRDefault="00871912" w:rsidP="0057560C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Design and installation of </w:t>
            </w:r>
            <w:r w:rsidR="00B33CA6">
              <w:rPr>
                <w:color w:val="auto"/>
              </w:rPr>
              <w:t>NSW Biodiversity Data Repository</w:t>
            </w:r>
            <w:r w:rsidR="007C7D09">
              <w:rPr>
                <w:color w:val="auto"/>
              </w:rPr>
              <w:t xml:space="preserve"> and associated data transfer processes</w:t>
            </w:r>
          </w:p>
          <w:p w14:paraId="75E0EAA7" w14:textId="7B3C4BAC" w:rsidR="00A976B1" w:rsidRPr="00855D22" w:rsidRDefault="00083DFF" w:rsidP="00855D22">
            <w:pPr>
              <w:pStyle w:val="Tableforma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Ultimately the d</w:t>
            </w:r>
            <w:r w:rsidR="00A03DCA">
              <w:rPr>
                <w:color w:val="auto"/>
              </w:rPr>
              <w:t xml:space="preserve">elivery of </w:t>
            </w:r>
            <w:r>
              <w:rPr>
                <w:color w:val="auto"/>
              </w:rPr>
              <w:t xml:space="preserve">raw </w:t>
            </w:r>
            <w:r w:rsidR="00AF473B">
              <w:rPr>
                <w:color w:val="auto"/>
              </w:rPr>
              <w:t xml:space="preserve">ecological </w:t>
            </w:r>
            <w:r w:rsidR="00A03DCA">
              <w:rPr>
                <w:color w:val="auto"/>
              </w:rPr>
              <w:t>data to the National BDR</w:t>
            </w:r>
            <w:r w:rsidR="00AF473B">
              <w:rPr>
                <w:color w:val="auto"/>
              </w:rPr>
              <w:t xml:space="preserve"> via </w:t>
            </w:r>
            <w:proofErr w:type="spellStart"/>
            <w:r w:rsidR="00AF473B">
              <w:rPr>
                <w:color w:val="auto"/>
              </w:rPr>
              <w:t>BioNet</w:t>
            </w:r>
            <w:proofErr w:type="spellEnd"/>
            <w:r w:rsidR="00AF473B">
              <w:rPr>
                <w:color w:val="auto"/>
              </w:rPr>
              <w:t xml:space="preserve"> Web Services.</w:t>
            </w:r>
          </w:p>
        </w:tc>
      </w:tr>
      <w:tr w:rsidR="00C91B5F" w:rsidRPr="00F00A18" w14:paraId="434CAD6C" w14:textId="77777777" w:rsidTr="00855D22">
        <w:trPr>
          <w:cantSplit/>
          <w:trHeight w:val="3382"/>
        </w:trPr>
        <w:tc>
          <w:tcPr>
            <w:tcW w:w="1691" w:type="dxa"/>
            <w:shd w:val="clear" w:color="auto" w:fill="auto"/>
          </w:tcPr>
          <w:p w14:paraId="49E38B4C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546B69A3" w14:textId="77777777" w:rsidR="00C91B5F" w:rsidRDefault="00C273B9" w:rsidP="006C51C3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DA8C13" wp14:editId="5565AA2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522605</wp:posOffset>
                      </wp:positionV>
                      <wp:extent cx="5133340" cy="1571625"/>
                      <wp:effectExtent l="0" t="0" r="0" b="9525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9"/>
                                    <w:gridCol w:w="1031"/>
                                    <w:gridCol w:w="979"/>
                                    <w:gridCol w:w="2621"/>
                                  </w:tblGrid>
                                  <w:tr w:rsidR="00C273B9" w:rsidRPr="00101AB3" w14:paraId="6E4B2F6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7C0B675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7249240" w14:textId="532FF7C0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</w:t>
                                        </w:r>
                                        <w:r w:rsidR="00114970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,000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10B82BC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1A325D6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AEF5DC8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2BED9B3C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5691939" w14:textId="77777777" w:rsidR="00C273B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3BF98409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C273B9" w:rsidRPr="00101AB3" w14:paraId="42530CBF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67407D" w14:textId="77777777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521D7CB" w14:textId="72405ABC" w:rsidR="00C273B9" w:rsidRPr="005D39DD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 w:rsidR="00E173F2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2E608587" w14:textId="29E5E445" w:rsidR="00C273B9" w:rsidRPr="005D39DD" w:rsidRDefault="00E173F2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27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7EF4C68" w14:textId="7372FC36" w:rsidR="00C273B9" w:rsidRPr="005D39DD" w:rsidRDefault="00114970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C273B9" w:rsidRPr="00101AB3" w14:paraId="43D946A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</w:tcPr>
                                      <w:p w14:paraId="071CC27F" w14:textId="77777777" w:rsidR="00C273B9" w:rsidRPr="008C6B79" w:rsidRDefault="00C273B9" w:rsidP="006C51C3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</w:tcPr>
                                      <w:p w14:paraId="755E4412" w14:textId="1D4298F5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</w:tcPr>
                                      <w:p w14:paraId="3C6660BF" w14:textId="1EF2B3DE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27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</w:tcPr>
                                      <w:p w14:paraId="3E9A631E" w14:textId="5FEAFC5A" w:rsidR="00C273B9" w:rsidRPr="005D39DD" w:rsidRDefault="00C824BD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</w:tr>
                                  <w:tr w:rsidR="00C273B9" w:rsidRPr="00101AB3" w14:paraId="3CF32F7C" w14:textId="77777777" w:rsidTr="00C273B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83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17906FC" w14:textId="64540D78" w:rsidR="00C273B9" w:rsidRPr="008C6B79" w:rsidRDefault="00C273B9" w:rsidP="006C51C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3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B0DA480" w14:textId="1E0F6C26" w:rsidR="00C273B9" w:rsidRPr="005D39DD" w:rsidRDefault="00C273B9" w:rsidP="003D55E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56C89C1" w14:textId="50B4B177" w:rsidR="00C273B9" w:rsidRPr="005D39DD" w:rsidRDefault="00C273B9" w:rsidP="00855D22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1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FEDB2DA" w14:textId="3F08FCE5" w:rsidR="00C273B9" w:rsidRPr="005D39DD" w:rsidRDefault="00C273B9" w:rsidP="003D55E8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717D2A" w14:textId="0323F7B7" w:rsidR="00C91B5F" w:rsidRPr="00101AB3" w:rsidRDefault="00C91B5F" w:rsidP="006D66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A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41.15pt;width:404.2pt;height:12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9"/>
                              <w:gridCol w:w="1031"/>
                              <w:gridCol w:w="979"/>
                              <w:gridCol w:w="2621"/>
                            </w:tblGrid>
                            <w:tr w:rsidR="00C273B9" w:rsidRPr="00101AB3" w14:paraId="6E4B2F6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7C0B675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7249240" w14:textId="532FF7C0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</w:t>
                                  </w:r>
                                  <w:r w:rsidR="00114970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,000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10B82BC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A325D6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AEF5DC8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BED9B3C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5691939" w14:textId="77777777" w:rsidR="00C273B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BF98409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273B9" w:rsidRPr="00101AB3" w14:paraId="42530CBF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67407D" w14:textId="77777777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521D7CB" w14:textId="72405ABC" w:rsidR="00C273B9" w:rsidRPr="005D39DD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E173F2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2E608587" w14:textId="29E5E445" w:rsidR="00C273B9" w:rsidRPr="005D39DD" w:rsidRDefault="00E173F2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7EF4C68" w14:textId="7372FC36" w:rsidR="00C273B9" w:rsidRPr="005D39DD" w:rsidRDefault="00114970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273B9" w:rsidRPr="00101AB3" w14:paraId="43D946A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</w:tcPr>
                                <w:p w14:paraId="071CC27F" w14:textId="77777777" w:rsidR="00C273B9" w:rsidRPr="008C6B79" w:rsidRDefault="00C273B9" w:rsidP="006C51C3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755E4412" w14:textId="1D4298F5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3C6660BF" w14:textId="1EF2B3DE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3E9A631E" w14:textId="5FEAFC5A" w:rsidR="00C273B9" w:rsidRPr="005D39DD" w:rsidRDefault="00C824BD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273B9" w:rsidRPr="00101AB3" w14:paraId="3CF32F7C" w14:textId="77777777" w:rsidTr="00C273B9">
                              <w:trPr>
                                <w:cantSplit/>
                              </w:trPr>
                              <w:tc>
                                <w:tcPr>
                                  <w:tcW w:w="283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17906FC" w14:textId="64540D78" w:rsidR="00C273B9" w:rsidRPr="008C6B79" w:rsidRDefault="00C273B9" w:rsidP="006C51C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B0DA480" w14:textId="1E0F6C26" w:rsidR="00C273B9" w:rsidRPr="005D39DD" w:rsidRDefault="00C273B9" w:rsidP="003D55E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56C89C1" w14:textId="50B4B177" w:rsidR="00C273B9" w:rsidRPr="005D39DD" w:rsidRDefault="00C273B9" w:rsidP="00855D22">
                                  <w:pPr>
                                    <w:keepNext/>
                                    <w:keepLines/>
                                    <w:spacing w:before="40" w:after="4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FEDB2DA" w14:textId="3F08FCE5" w:rsidR="00C273B9" w:rsidRPr="005D39DD" w:rsidRDefault="00C273B9" w:rsidP="003D55E8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17D2A" w14:textId="0323F7B7" w:rsidR="00C91B5F" w:rsidRPr="00101AB3" w:rsidRDefault="00C91B5F" w:rsidP="006D66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>The Commonwealth will provide an estimated total financial contribution to the State of $</w:t>
            </w:r>
            <w:r w:rsidR="0084502A">
              <w:rPr>
                <w:color w:val="auto"/>
              </w:rPr>
              <w:t>30</w:t>
            </w:r>
            <w:r w:rsidR="006A6FF9">
              <w:rPr>
                <w:color w:val="auto"/>
              </w:rPr>
              <w:t>0</w:t>
            </w:r>
            <w:r w:rsidR="0084502A">
              <w:rPr>
                <w:color w:val="auto"/>
              </w:rPr>
              <w:t>,000</w:t>
            </w:r>
            <w:r w:rsidR="00C91B5F" w:rsidRPr="00F00A18">
              <w:rPr>
                <w:color w:val="auto"/>
              </w:rPr>
              <w:t xml:space="preserve"> in respect of this Schedule.</w:t>
            </w:r>
          </w:p>
          <w:p w14:paraId="7022D709" w14:textId="77777777" w:rsidR="00855D22" w:rsidRDefault="00855D22" w:rsidP="006C51C3">
            <w:pPr>
              <w:pStyle w:val="Tableformat"/>
              <w:rPr>
                <w:color w:val="auto"/>
              </w:rPr>
            </w:pPr>
          </w:p>
          <w:p w14:paraId="39E3E2D8" w14:textId="77777777" w:rsidR="00855D22" w:rsidRDefault="00855D22" w:rsidP="006C51C3">
            <w:pPr>
              <w:pStyle w:val="Tableformat"/>
              <w:rPr>
                <w:color w:val="auto"/>
              </w:rPr>
            </w:pPr>
          </w:p>
          <w:p w14:paraId="3963C36B" w14:textId="03A05B86" w:rsidR="00855D22" w:rsidRPr="00F00A18" w:rsidRDefault="00855D22" w:rsidP="006C51C3">
            <w:pPr>
              <w:pStyle w:val="Tableformat"/>
              <w:rPr>
                <w:color w:val="auto"/>
              </w:rPr>
            </w:pPr>
          </w:p>
        </w:tc>
      </w:tr>
      <w:tr w:rsidR="00C91B5F" w:rsidRPr="00F00A18" w14:paraId="16F07B1B" w14:textId="77777777" w:rsidTr="2AB4E114">
        <w:tc>
          <w:tcPr>
            <w:tcW w:w="1691" w:type="dxa"/>
            <w:shd w:val="clear" w:color="auto" w:fill="auto"/>
          </w:tcPr>
          <w:p w14:paraId="6FA5E1FF" w14:textId="77777777" w:rsidR="00C91B5F" w:rsidRPr="00F00A18" w:rsidRDefault="00C91B5F" w:rsidP="006C51C3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57F2C15A" w14:textId="19CE46B7" w:rsidR="00C91B5F" w:rsidRPr="000D3BAF" w:rsidRDefault="000D3BAF" w:rsidP="001839E9">
            <w:pPr>
              <w:pStyle w:val="Tableformat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Nil</w:t>
            </w:r>
          </w:p>
        </w:tc>
      </w:tr>
    </w:tbl>
    <w:p w14:paraId="3FEA2F66" w14:textId="77777777" w:rsidR="00C91B5F" w:rsidRPr="00F00A18" w:rsidRDefault="00C91B5F" w:rsidP="00C91B5F">
      <w:pPr>
        <w:sectPr w:rsidR="00C91B5F" w:rsidRPr="00F00A18" w:rsidSect="006C51C3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199"/>
        <w:gridCol w:w="1979"/>
        <w:gridCol w:w="1652"/>
      </w:tblGrid>
      <w:tr w:rsidR="00C91B5F" w:rsidRPr="00F00A18" w14:paraId="4433B8D0" w14:textId="77777777" w:rsidTr="4E418D4A">
        <w:tc>
          <w:tcPr>
            <w:tcW w:w="14570" w:type="dxa"/>
            <w:gridSpan w:val="4"/>
            <w:shd w:val="clear" w:color="auto" w:fill="DEEAF6" w:themeFill="accent1" w:themeFillTint="33"/>
          </w:tcPr>
          <w:p w14:paraId="162929C2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6A7AC296" w14:textId="77777777" w:rsidTr="4E418D4A">
        <w:tc>
          <w:tcPr>
            <w:tcW w:w="3264" w:type="dxa"/>
            <w:shd w:val="clear" w:color="auto" w:fill="F2F2F2" w:themeFill="background1" w:themeFillShade="F2"/>
          </w:tcPr>
          <w:p w14:paraId="0F45EC64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7526" w:type="dxa"/>
            <w:shd w:val="clear" w:color="auto" w:fill="F2F2F2" w:themeFill="background1" w:themeFillShade="F2"/>
          </w:tcPr>
          <w:p w14:paraId="088A703A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420027E1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14:paraId="1B06AF2B" w14:textId="77777777" w:rsidR="00C91B5F" w:rsidRPr="00F00A18" w:rsidRDefault="00C91B5F" w:rsidP="006C51C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4774FF" w:rsidRPr="00F00A18" w14:paraId="2A2C784E" w14:textId="77777777" w:rsidTr="4E418D4A">
        <w:trPr>
          <w:trHeight w:val="439"/>
        </w:trPr>
        <w:tc>
          <w:tcPr>
            <w:tcW w:w="326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72A6CA5" w14:textId="663B5EF6" w:rsidR="004774FF" w:rsidRPr="00251803" w:rsidRDefault="004774FF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Proof of Concept: NSW </w:t>
            </w:r>
            <w:r w:rsidRPr="07DC23BB">
              <w:rPr>
                <w:color w:val="auto"/>
              </w:rPr>
              <w:t>Biodiversity data repository</w:t>
            </w:r>
            <w:r>
              <w:rPr>
                <w:color w:val="auto"/>
              </w:rPr>
              <w:t xml:space="preserve"> and seamless data supply to National B</w:t>
            </w:r>
            <w:r w:rsidR="00E8631B">
              <w:rPr>
                <w:color w:val="auto"/>
              </w:rPr>
              <w:t xml:space="preserve">iodiversity </w:t>
            </w:r>
            <w:r>
              <w:rPr>
                <w:color w:val="auto"/>
              </w:rPr>
              <w:t>D</w:t>
            </w:r>
            <w:r w:rsidR="00E8631B">
              <w:rPr>
                <w:color w:val="auto"/>
              </w:rPr>
              <w:t xml:space="preserve">ata </w:t>
            </w:r>
            <w:r>
              <w:rPr>
                <w:color w:val="auto"/>
              </w:rPr>
              <w:t>R</w:t>
            </w:r>
            <w:r w:rsidR="00E8631B">
              <w:rPr>
                <w:color w:val="auto"/>
              </w:rPr>
              <w:t>epository (BDR)</w:t>
            </w: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EA835" w14:textId="48A2B3BB" w:rsidR="004774FF" w:rsidRDefault="004774FF" w:rsidP="003E6BC2">
            <w:pPr>
              <w:pStyle w:val="Milestonetable"/>
              <w:rPr>
                <w:color w:val="auto"/>
              </w:rPr>
            </w:pPr>
            <w:r w:rsidRPr="07DC23BB">
              <w:rPr>
                <w:color w:val="auto"/>
              </w:rPr>
              <w:t xml:space="preserve">Completed project plan endorsed by </w:t>
            </w:r>
            <w:r>
              <w:rPr>
                <w:color w:val="auto"/>
              </w:rPr>
              <w:t>the D</w:t>
            </w:r>
            <w:r w:rsidR="00E8631B">
              <w:rPr>
                <w:color w:val="auto"/>
              </w:rPr>
              <w:t xml:space="preserve">igital </w:t>
            </w:r>
            <w:r>
              <w:rPr>
                <w:color w:val="auto"/>
              </w:rPr>
              <w:t>E</w:t>
            </w:r>
            <w:r w:rsidR="00E8631B">
              <w:rPr>
                <w:color w:val="auto"/>
              </w:rPr>
              <w:t xml:space="preserve">nvironmental </w:t>
            </w:r>
            <w:r w:rsidR="00664C03">
              <w:rPr>
                <w:color w:val="auto"/>
              </w:rPr>
              <w:t xml:space="preserve">Assessments </w:t>
            </w:r>
            <w:r w:rsidR="00664C03" w:rsidRPr="07DC23BB">
              <w:rPr>
                <w:color w:val="auto"/>
              </w:rPr>
              <w:t>Program</w:t>
            </w:r>
            <w:r w:rsidRPr="07DC23BB">
              <w:rPr>
                <w:color w:val="auto"/>
              </w:rPr>
              <w:t xml:space="preserve"> Board </w:t>
            </w:r>
          </w:p>
          <w:p w14:paraId="5196BE8C" w14:textId="7B11CDD5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8F214" w14:textId="486E5136" w:rsidR="004774FF" w:rsidRPr="00942973" w:rsidRDefault="00FC2616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30/04</w:t>
            </w:r>
            <w:r w:rsidR="004774FF" w:rsidRPr="00942973">
              <w:rPr>
                <w:color w:val="auto"/>
              </w:rPr>
              <w:t>/202</w:t>
            </w:r>
            <w:r w:rsidR="004774FF">
              <w:rPr>
                <w:color w:val="auto"/>
              </w:rPr>
              <w:t>1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BAE5A" w14:textId="687DFB34" w:rsidR="004774FF" w:rsidRPr="00251803" w:rsidRDefault="004774FF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>
              <w:rPr>
                <w:color w:val="auto"/>
              </w:rPr>
              <w:t>30</w:t>
            </w:r>
            <w:r w:rsidRPr="00251803">
              <w:rPr>
                <w:color w:val="auto"/>
              </w:rPr>
              <w:t>,000</w:t>
            </w:r>
          </w:p>
        </w:tc>
      </w:tr>
      <w:tr w:rsidR="004774FF" w:rsidRPr="00F00A18" w14:paraId="5BA667EB" w14:textId="77777777" w:rsidTr="4E418D4A">
        <w:trPr>
          <w:trHeight w:val="754"/>
        </w:trPr>
        <w:tc>
          <w:tcPr>
            <w:tcW w:w="3264" w:type="dxa"/>
            <w:vMerge/>
          </w:tcPr>
          <w:p w14:paraId="0710185D" w14:textId="77777777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F9C53" w14:textId="422937A5" w:rsidR="004774FF" w:rsidRDefault="004774FF" w:rsidP="003E6BC2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High level Design of NSW Biodiversity Data Repository</w:t>
            </w:r>
          </w:p>
          <w:p w14:paraId="0B4F458D" w14:textId="7B2BEA91" w:rsidR="004774FF" w:rsidRDefault="004774FF" w:rsidP="003E6BC2">
            <w:pPr>
              <w:pStyle w:val="Milestonetable"/>
              <w:rPr>
                <w:color w:val="auto"/>
              </w:rPr>
            </w:pPr>
          </w:p>
          <w:p w14:paraId="3D456B88" w14:textId="7D412943" w:rsidR="004774FF" w:rsidRPr="00251803" w:rsidRDefault="004774FF" w:rsidP="004774FF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B03EB" w14:textId="4C39F91F" w:rsidR="004774FF" w:rsidRPr="00942973" w:rsidRDefault="004774FF" w:rsidP="003E6BC2">
            <w:pPr>
              <w:pStyle w:val="Milestonetable"/>
              <w:rPr>
                <w:color w:val="auto"/>
              </w:rPr>
            </w:pPr>
            <w:r w:rsidRPr="4E418D4A">
              <w:rPr>
                <w:color w:val="auto"/>
              </w:rPr>
              <w:t>15/08/2021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1B1A" w14:textId="42489872" w:rsidR="004774FF" w:rsidRPr="00251803" w:rsidRDefault="004774FF" w:rsidP="003E6BC2">
            <w:pPr>
              <w:pStyle w:val="Milestonetable"/>
              <w:jc w:val="right"/>
              <w:rPr>
                <w:color w:val="auto"/>
              </w:rPr>
            </w:pPr>
            <w:r w:rsidRPr="00251803">
              <w:rPr>
                <w:color w:val="auto"/>
              </w:rPr>
              <w:t>$</w:t>
            </w:r>
            <w:r>
              <w:rPr>
                <w:color w:val="auto"/>
              </w:rPr>
              <w:t>2</w:t>
            </w:r>
            <w:r w:rsidR="00AC56F4">
              <w:rPr>
                <w:color w:val="auto"/>
              </w:rPr>
              <w:t>0</w:t>
            </w:r>
            <w:r>
              <w:rPr>
                <w:color w:val="auto"/>
              </w:rPr>
              <w:t>0</w:t>
            </w:r>
            <w:r w:rsidRPr="00251803">
              <w:rPr>
                <w:color w:val="auto"/>
              </w:rPr>
              <w:t>,000</w:t>
            </w:r>
          </w:p>
        </w:tc>
      </w:tr>
      <w:tr w:rsidR="004774FF" w:rsidRPr="00F00A18" w14:paraId="3F703F88" w14:textId="77777777" w:rsidTr="4E418D4A">
        <w:trPr>
          <w:trHeight w:val="754"/>
        </w:trPr>
        <w:tc>
          <w:tcPr>
            <w:tcW w:w="3264" w:type="dxa"/>
            <w:vMerge/>
          </w:tcPr>
          <w:p w14:paraId="27609469" w14:textId="77777777" w:rsidR="004774FF" w:rsidRPr="00251803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7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36F3E4" w14:textId="77777777" w:rsidR="004774FF" w:rsidRDefault="004774FF" w:rsidP="004774FF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Demonstrated delivery of ecological data to National BDR via the agreed data supply pipeline (including NSW BDR), to agreed standards</w:t>
            </w:r>
          </w:p>
          <w:p w14:paraId="3F2A54D0" w14:textId="77777777" w:rsidR="004774FF" w:rsidRDefault="004774FF" w:rsidP="003E6BC2">
            <w:pPr>
              <w:pStyle w:val="Milestonetable"/>
              <w:rPr>
                <w:color w:val="auto"/>
              </w:rPr>
            </w:pPr>
          </w:p>
        </w:tc>
        <w:tc>
          <w:tcPr>
            <w:tcW w:w="20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049324" w14:textId="4EF2C8C4" w:rsidR="004774FF" w:rsidDel="00F47B88" w:rsidRDefault="650913B4" w:rsidP="003E6BC2">
            <w:pPr>
              <w:pStyle w:val="Milestonetable"/>
              <w:rPr>
                <w:color w:val="auto"/>
              </w:rPr>
            </w:pPr>
            <w:r w:rsidRPr="00664C03">
              <w:rPr>
                <w:color w:val="auto"/>
              </w:rPr>
              <w:t>30/</w:t>
            </w:r>
            <w:r w:rsidR="00FC2616" w:rsidRPr="00664C03">
              <w:rPr>
                <w:color w:val="auto"/>
              </w:rPr>
              <w:t>0</w:t>
            </w:r>
            <w:r w:rsidR="00FC2616">
              <w:rPr>
                <w:color w:val="auto"/>
              </w:rPr>
              <w:t>4</w:t>
            </w:r>
            <w:r w:rsidRPr="00664C03">
              <w:rPr>
                <w:color w:val="auto"/>
              </w:rPr>
              <w:t>/2022</w:t>
            </w:r>
          </w:p>
        </w:tc>
        <w:tc>
          <w:tcPr>
            <w:tcW w:w="17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8DB548" w14:textId="3DA8799E" w:rsidR="004774FF" w:rsidRPr="00251803" w:rsidRDefault="007B6EBE" w:rsidP="003E6BC2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</w:t>
            </w:r>
            <w:r w:rsidR="00AC56F4">
              <w:rPr>
                <w:color w:val="auto"/>
              </w:rPr>
              <w:t>70,000</w:t>
            </w:r>
          </w:p>
        </w:tc>
      </w:tr>
    </w:tbl>
    <w:p w14:paraId="19ED9A69" w14:textId="77777777" w:rsidR="00C91B5F" w:rsidRDefault="00C91B5F" w:rsidP="00C91B5F"/>
    <w:p w14:paraId="4B49612C" w14:textId="77777777" w:rsidR="00251803" w:rsidRDefault="00251803" w:rsidP="00C91B5F">
      <w:pPr>
        <w:rPr>
          <w:lang w:val="en-GB"/>
        </w:rPr>
      </w:pPr>
    </w:p>
    <w:p w14:paraId="5921A335" w14:textId="77777777" w:rsidR="00251803" w:rsidRDefault="00251803" w:rsidP="00C91B5F">
      <w:pPr>
        <w:rPr>
          <w:lang w:val="en-GB"/>
        </w:rPr>
      </w:pPr>
    </w:p>
    <w:p w14:paraId="7A7F1A5E" w14:textId="77777777" w:rsidR="00C91B5F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79237A7C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3843"/>
      </w:tblGrid>
      <w:tr w:rsidR="00C91B5F" w:rsidRPr="00A50751" w14:paraId="5B2BA2A9" w14:textId="77777777" w:rsidTr="00DD7925">
        <w:trPr>
          <w:cantSplit/>
          <w:jc w:val="center"/>
        </w:trPr>
        <w:tc>
          <w:tcPr>
            <w:tcW w:w="4536" w:type="dxa"/>
          </w:tcPr>
          <w:p w14:paraId="611EEE71" w14:textId="77777777" w:rsidR="00C91B5F" w:rsidRPr="004A0AE7" w:rsidRDefault="00C91B5F" w:rsidP="006C51C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7AAE4794" w14:textId="77777777" w:rsidR="00C91B5F" w:rsidRPr="00A50751" w:rsidRDefault="00C91B5F" w:rsidP="006C51C3">
            <w:pPr>
              <w:pStyle w:val="LineForSignature"/>
            </w:pPr>
            <w:r>
              <w:br/>
            </w:r>
            <w:r>
              <w:tab/>
            </w:r>
          </w:p>
          <w:p w14:paraId="1FE835DB" w14:textId="77777777" w:rsidR="005B2AC3" w:rsidRDefault="005B2AC3" w:rsidP="005B2AC3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proofErr w:type="spellStart"/>
            <w:r w:rsidRPr="53D490C4">
              <w:rPr>
                <w:rStyle w:val="Bold"/>
              </w:rPr>
              <w:t>Sussan</w:t>
            </w:r>
            <w:proofErr w:type="spellEnd"/>
            <w:r w:rsidRPr="53D490C4">
              <w:rPr>
                <w:rStyle w:val="Bold"/>
              </w:rPr>
              <w:t xml:space="preserve"> Ley MP</w:t>
            </w:r>
          </w:p>
          <w:p w14:paraId="2A66E3A2" w14:textId="77777777" w:rsidR="005B2AC3" w:rsidRDefault="005B2AC3" w:rsidP="005B2AC3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>Minister for the Environment</w:t>
            </w:r>
          </w:p>
          <w:p w14:paraId="613CAD50" w14:textId="77777777" w:rsidR="00C91B5F" w:rsidRDefault="00C91B5F" w:rsidP="006C51C3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D1CD6C" w14:textId="77777777" w:rsidR="00C91B5F" w:rsidRPr="00A50751" w:rsidRDefault="00C91B5F" w:rsidP="006C51C3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3843" w:type="dxa"/>
          </w:tcPr>
          <w:p w14:paraId="5EC28FA2" w14:textId="79DFB4AC" w:rsidR="00C91B5F" w:rsidRPr="004A0AE7" w:rsidRDefault="00C91B5F" w:rsidP="006C51C3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</w:t>
            </w:r>
            <w:r w:rsidR="00DD7925">
              <w:t xml:space="preserve"> </w:t>
            </w:r>
            <w:r w:rsidRPr="004A0AE7">
              <w:t>and on behalf of the</w:t>
            </w:r>
            <w:r>
              <w:t xml:space="preserve"> </w:t>
            </w:r>
            <w:r w:rsidRPr="004A0AE7">
              <w:t xml:space="preserve">State of </w:t>
            </w:r>
            <w:r w:rsidR="00E64523">
              <w:t>New South Wales</w:t>
            </w:r>
            <w:r w:rsidRPr="004A0AE7">
              <w:t xml:space="preserve"> by</w:t>
            </w:r>
          </w:p>
          <w:p w14:paraId="690D2D2A" w14:textId="77777777" w:rsidR="00C91B5F" w:rsidRPr="00A50751" w:rsidRDefault="00C91B5F" w:rsidP="006C51C3">
            <w:pPr>
              <w:pStyle w:val="LineForSignature"/>
            </w:pPr>
            <w:r>
              <w:br/>
            </w:r>
            <w:r w:rsidRPr="00A50751">
              <w:tab/>
            </w:r>
          </w:p>
          <w:p w14:paraId="37621B79" w14:textId="0522F7E9" w:rsidR="008961AF" w:rsidRDefault="008961AF" w:rsidP="008961AF">
            <w:pPr>
              <w:pStyle w:val="SingleParagraph"/>
              <w:rPr>
                <w:lang w:val="en-GB"/>
              </w:rPr>
            </w:pPr>
            <w:r w:rsidRPr="53D490C4">
              <w:rPr>
                <w:rStyle w:val="Bold"/>
              </w:rPr>
              <w:t xml:space="preserve">The Honourable </w:t>
            </w:r>
            <w:r>
              <w:rPr>
                <w:rStyle w:val="Bold"/>
              </w:rPr>
              <w:t>Matthew Kean</w:t>
            </w:r>
            <w:r w:rsidRPr="53D490C4">
              <w:rPr>
                <w:rStyle w:val="Bold"/>
              </w:rPr>
              <w:t xml:space="preserve"> MP</w:t>
            </w:r>
          </w:p>
          <w:p w14:paraId="49C4B631" w14:textId="005B9739" w:rsidR="008961AF" w:rsidRDefault="008961AF" w:rsidP="008961AF">
            <w:pPr>
              <w:pStyle w:val="SingleParagraph"/>
              <w:rPr>
                <w:lang w:val="en-GB"/>
              </w:rPr>
            </w:pPr>
            <w:r w:rsidRPr="53D490C4">
              <w:rPr>
                <w:lang w:val="en-GB"/>
              </w:rPr>
              <w:t xml:space="preserve">Minister for </w:t>
            </w:r>
            <w:r>
              <w:rPr>
                <w:lang w:val="en-GB"/>
              </w:rPr>
              <w:t>Energy and</w:t>
            </w:r>
            <w:r w:rsidRPr="53D490C4">
              <w:rPr>
                <w:lang w:val="en-GB"/>
              </w:rPr>
              <w:t xml:space="preserve"> Environment</w:t>
            </w:r>
          </w:p>
          <w:p w14:paraId="030E6B00" w14:textId="77777777" w:rsidR="00C91B5F" w:rsidRPr="00A50751" w:rsidRDefault="00C91B5F" w:rsidP="006C51C3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</w:tr>
    </w:tbl>
    <w:p w14:paraId="4C9E100C" w14:textId="77777777" w:rsidR="00C91B5F" w:rsidRDefault="00C91B5F" w:rsidP="00251803"/>
    <w:sectPr w:rsidR="00C91B5F" w:rsidSect="00855D22">
      <w:headerReference w:type="even" r:id="rId18"/>
      <w:headerReference w:type="default" r:id="rId19"/>
      <w:head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6065" w14:textId="77777777" w:rsidR="002716D8" w:rsidRDefault="002716D8">
      <w:r>
        <w:separator/>
      </w:r>
    </w:p>
  </w:endnote>
  <w:endnote w:type="continuationSeparator" w:id="0">
    <w:p w14:paraId="25A32E8B" w14:textId="77777777" w:rsidR="002716D8" w:rsidRDefault="002716D8">
      <w:r>
        <w:continuationSeparator/>
      </w:r>
    </w:p>
  </w:endnote>
  <w:endnote w:type="continuationNotice" w:id="1">
    <w:p w14:paraId="4ADDCFD7" w14:textId="77777777" w:rsidR="002716D8" w:rsidRDefault="00271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7476" w14:textId="77777777" w:rsidR="006C51C3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8EA5" w14:textId="77777777" w:rsidR="006C51C3" w:rsidRDefault="006C51C3" w:rsidP="006C51C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EAE3" w14:textId="77777777" w:rsidR="006C51C3" w:rsidRPr="00CA24B0" w:rsidRDefault="006C51C3" w:rsidP="006C51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C50F" w14:textId="77777777" w:rsidR="002716D8" w:rsidRDefault="002716D8">
      <w:r>
        <w:separator/>
      </w:r>
    </w:p>
  </w:footnote>
  <w:footnote w:type="continuationSeparator" w:id="0">
    <w:p w14:paraId="639D8735" w14:textId="77777777" w:rsidR="002716D8" w:rsidRDefault="002716D8">
      <w:r>
        <w:continuationSeparator/>
      </w:r>
    </w:p>
  </w:footnote>
  <w:footnote w:type="continuationNotice" w:id="1">
    <w:p w14:paraId="46396FF3" w14:textId="77777777" w:rsidR="002716D8" w:rsidRDefault="00271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9379" w14:textId="77777777" w:rsidR="006C51C3" w:rsidRDefault="006C51C3" w:rsidP="006C51C3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681B3B28" w14:textId="77777777" w:rsidR="006C51C3" w:rsidRDefault="006C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010C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1C34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CC13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8854AAC"/>
    <w:multiLevelType w:val="hybridMultilevel"/>
    <w:tmpl w:val="1750A43A"/>
    <w:lvl w:ilvl="0" w:tplc="79622A8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D83C2CCA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 w:tplc="A4C0F94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 w:tplc="07E4F6C4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 w:tplc="45FC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B8CBE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6C741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236C4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600298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79B13F25"/>
    <w:multiLevelType w:val="hybridMultilevel"/>
    <w:tmpl w:val="29BC7694"/>
    <w:lvl w:ilvl="0" w:tplc="5698768A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0000E"/>
    <w:rsid w:val="00003140"/>
    <w:rsid w:val="0000663A"/>
    <w:rsid w:val="0004526C"/>
    <w:rsid w:val="00077467"/>
    <w:rsid w:val="00083DFF"/>
    <w:rsid w:val="00097830"/>
    <w:rsid w:val="000D14AA"/>
    <w:rsid w:val="000D3BAF"/>
    <w:rsid w:val="000D6CCF"/>
    <w:rsid w:val="00114970"/>
    <w:rsid w:val="00133366"/>
    <w:rsid w:val="00165038"/>
    <w:rsid w:val="001701F7"/>
    <w:rsid w:val="00171C7B"/>
    <w:rsid w:val="00174268"/>
    <w:rsid w:val="001839E9"/>
    <w:rsid w:val="001918F6"/>
    <w:rsid w:val="001B6FCE"/>
    <w:rsid w:val="001C291D"/>
    <w:rsid w:val="001F5ECE"/>
    <w:rsid w:val="00201940"/>
    <w:rsid w:val="002070B7"/>
    <w:rsid w:val="00220754"/>
    <w:rsid w:val="00246209"/>
    <w:rsid w:val="00251803"/>
    <w:rsid w:val="0025554A"/>
    <w:rsid w:val="002716D8"/>
    <w:rsid w:val="002E5555"/>
    <w:rsid w:val="00312C42"/>
    <w:rsid w:val="00326D3D"/>
    <w:rsid w:val="003406A0"/>
    <w:rsid w:val="00366C86"/>
    <w:rsid w:val="0037392F"/>
    <w:rsid w:val="00375621"/>
    <w:rsid w:val="00381866"/>
    <w:rsid w:val="003D55E8"/>
    <w:rsid w:val="003E5279"/>
    <w:rsid w:val="003E6BC2"/>
    <w:rsid w:val="00400F15"/>
    <w:rsid w:val="004205B2"/>
    <w:rsid w:val="00466053"/>
    <w:rsid w:val="00467A92"/>
    <w:rsid w:val="004774FF"/>
    <w:rsid w:val="00497C3A"/>
    <w:rsid w:val="004E4A97"/>
    <w:rsid w:val="004F3D38"/>
    <w:rsid w:val="0050039D"/>
    <w:rsid w:val="005231F9"/>
    <w:rsid w:val="0053731A"/>
    <w:rsid w:val="00537E9D"/>
    <w:rsid w:val="0057560C"/>
    <w:rsid w:val="00593049"/>
    <w:rsid w:val="005A60AC"/>
    <w:rsid w:val="005B2AC3"/>
    <w:rsid w:val="005C30A8"/>
    <w:rsid w:val="005F4BD1"/>
    <w:rsid w:val="005F71E3"/>
    <w:rsid w:val="0064591F"/>
    <w:rsid w:val="00646BFF"/>
    <w:rsid w:val="00663393"/>
    <w:rsid w:val="00664C03"/>
    <w:rsid w:val="00671421"/>
    <w:rsid w:val="00694538"/>
    <w:rsid w:val="006A6FF9"/>
    <w:rsid w:val="006B4B8D"/>
    <w:rsid w:val="006B6E73"/>
    <w:rsid w:val="006C51C3"/>
    <w:rsid w:val="006C5713"/>
    <w:rsid w:val="006D6498"/>
    <w:rsid w:val="006D6621"/>
    <w:rsid w:val="006F46E2"/>
    <w:rsid w:val="0075168D"/>
    <w:rsid w:val="00752321"/>
    <w:rsid w:val="0076092D"/>
    <w:rsid w:val="00764A4C"/>
    <w:rsid w:val="00770D26"/>
    <w:rsid w:val="007B6EBE"/>
    <w:rsid w:val="007C7D09"/>
    <w:rsid w:val="008142D5"/>
    <w:rsid w:val="00830B21"/>
    <w:rsid w:val="00831402"/>
    <w:rsid w:val="00832D25"/>
    <w:rsid w:val="00837A3D"/>
    <w:rsid w:val="0084502A"/>
    <w:rsid w:val="00855D22"/>
    <w:rsid w:val="00860017"/>
    <w:rsid w:val="00871912"/>
    <w:rsid w:val="0088449D"/>
    <w:rsid w:val="00884E8F"/>
    <w:rsid w:val="00891DA7"/>
    <w:rsid w:val="008961AF"/>
    <w:rsid w:val="00900584"/>
    <w:rsid w:val="00900745"/>
    <w:rsid w:val="00912C43"/>
    <w:rsid w:val="00921FA0"/>
    <w:rsid w:val="00942973"/>
    <w:rsid w:val="009446F6"/>
    <w:rsid w:val="00956C81"/>
    <w:rsid w:val="00971B7F"/>
    <w:rsid w:val="00997CBB"/>
    <w:rsid w:val="009A6CB6"/>
    <w:rsid w:val="009C3443"/>
    <w:rsid w:val="009F1B13"/>
    <w:rsid w:val="00A020B2"/>
    <w:rsid w:val="00A03DCA"/>
    <w:rsid w:val="00A143E9"/>
    <w:rsid w:val="00A23727"/>
    <w:rsid w:val="00A305F8"/>
    <w:rsid w:val="00A42ACD"/>
    <w:rsid w:val="00A53F95"/>
    <w:rsid w:val="00A675E1"/>
    <w:rsid w:val="00A7101C"/>
    <w:rsid w:val="00A7103D"/>
    <w:rsid w:val="00A75444"/>
    <w:rsid w:val="00A954F6"/>
    <w:rsid w:val="00A976B1"/>
    <w:rsid w:val="00AA6673"/>
    <w:rsid w:val="00AC56F4"/>
    <w:rsid w:val="00AC628C"/>
    <w:rsid w:val="00AF473B"/>
    <w:rsid w:val="00B2796B"/>
    <w:rsid w:val="00B3096C"/>
    <w:rsid w:val="00B33CA6"/>
    <w:rsid w:val="00B476C4"/>
    <w:rsid w:val="00B633F4"/>
    <w:rsid w:val="00B6557B"/>
    <w:rsid w:val="00B70879"/>
    <w:rsid w:val="00B7210A"/>
    <w:rsid w:val="00BB7555"/>
    <w:rsid w:val="00BD2A78"/>
    <w:rsid w:val="00BF5751"/>
    <w:rsid w:val="00C0324B"/>
    <w:rsid w:val="00C273B9"/>
    <w:rsid w:val="00C5430F"/>
    <w:rsid w:val="00C824BD"/>
    <w:rsid w:val="00C91B5F"/>
    <w:rsid w:val="00CA3DAD"/>
    <w:rsid w:val="00CB49AA"/>
    <w:rsid w:val="00CD397C"/>
    <w:rsid w:val="00CE452A"/>
    <w:rsid w:val="00D34FEC"/>
    <w:rsid w:val="00DA4EA5"/>
    <w:rsid w:val="00DB219A"/>
    <w:rsid w:val="00DD7925"/>
    <w:rsid w:val="00DE2C7D"/>
    <w:rsid w:val="00DF461A"/>
    <w:rsid w:val="00DF7245"/>
    <w:rsid w:val="00E1013E"/>
    <w:rsid w:val="00E173F2"/>
    <w:rsid w:val="00E64523"/>
    <w:rsid w:val="00E75A54"/>
    <w:rsid w:val="00E8631B"/>
    <w:rsid w:val="00E8691B"/>
    <w:rsid w:val="00E9361B"/>
    <w:rsid w:val="00E94343"/>
    <w:rsid w:val="00EB780E"/>
    <w:rsid w:val="00EC0BDC"/>
    <w:rsid w:val="00EC1700"/>
    <w:rsid w:val="00EC3B44"/>
    <w:rsid w:val="00ED3409"/>
    <w:rsid w:val="00EE7B30"/>
    <w:rsid w:val="00EF3C0C"/>
    <w:rsid w:val="00F2119C"/>
    <w:rsid w:val="00F2472A"/>
    <w:rsid w:val="00F341A8"/>
    <w:rsid w:val="00F42782"/>
    <w:rsid w:val="00F47B88"/>
    <w:rsid w:val="00F85973"/>
    <w:rsid w:val="00F932C2"/>
    <w:rsid w:val="00FA475B"/>
    <w:rsid w:val="00FB3F14"/>
    <w:rsid w:val="00FC2616"/>
    <w:rsid w:val="00FE439F"/>
    <w:rsid w:val="00FF48D4"/>
    <w:rsid w:val="00FF5D16"/>
    <w:rsid w:val="07DC23BB"/>
    <w:rsid w:val="0A6F3153"/>
    <w:rsid w:val="0CF0C129"/>
    <w:rsid w:val="0FC9B03D"/>
    <w:rsid w:val="170EB4DB"/>
    <w:rsid w:val="17A9E206"/>
    <w:rsid w:val="1BB5BC01"/>
    <w:rsid w:val="1BB92B30"/>
    <w:rsid w:val="1D0F0ED4"/>
    <w:rsid w:val="1D28FC06"/>
    <w:rsid w:val="1FAB2A74"/>
    <w:rsid w:val="1FB7A1F0"/>
    <w:rsid w:val="26A43FED"/>
    <w:rsid w:val="2AB4E114"/>
    <w:rsid w:val="3E7721A0"/>
    <w:rsid w:val="3F315617"/>
    <w:rsid w:val="4015DC1A"/>
    <w:rsid w:val="425A5C34"/>
    <w:rsid w:val="44CCB9DD"/>
    <w:rsid w:val="4E418D4A"/>
    <w:rsid w:val="4ECBFB19"/>
    <w:rsid w:val="556BE02D"/>
    <w:rsid w:val="55A12407"/>
    <w:rsid w:val="650913B4"/>
    <w:rsid w:val="7290D914"/>
    <w:rsid w:val="73EBE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CADC6"/>
  <w15:chartTrackingRefBased/>
  <w15:docId w15:val="{A0B4680B-0B98-4609-90F3-5A6D9CC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2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8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82"/>
    <w:rPr>
      <w:b/>
      <w:bCs/>
      <w:sz w:val="20"/>
      <w:szCs w:val="20"/>
      <w:lang w:val="en-US"/>
    </w:rPr>
  </w:style>
  <w:style w:type="paragraph" w:customStyle="1" w:styleId="ChartandTableFootnoteAlpha">
    <w:name w:val="Chart and Table Footnote Alpha"/>
    <w:rsid w:val="0037392F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0317" ma:contentTypeDescription=" " ma:contentTypeScope="" ma:versionID="25d3d70e315534bad48676c82bcac0f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2021FG-64-99290</_dlc_DocId>
    <_dlc_DocIdUrl xmlns="0f563589-9cf9-4143-b1eb-fb0534803d38">
      <Url>http://tweb/sites/fg/csrd/_layouts/15/DocIdRedir.aspx?ID=2021FG-64-99290</Url>
      <Description>2021FG-64-99290</Description>
    </_dlc_DocIdUrl>
  </documentManagement>
</p:properties>
</file>

<file path=customXml/itemProps1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43EDF-7909-4B36-9BE1-65FB22E7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14B7C-1FF2-4B85-85AB-476284683C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3B5F7E-42AD-43D0-B275-BC5AFADF3E5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6D49B66-F732-40BC-8E6A-8BC91C12AA6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49B3AE-1610-4F73-92ED-1331BFBE47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D900B8-6070-407E-B433-89E316A15907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Streamlined Project Agreement_final</vt:lpstr>
    </vt:vector>
  </TitlesOfParts>
  <Company>Department of the Prime Minister and Cabinet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Streamlined Project Agreement_Centrals comments</dc:title>
  <dc:subject/>
  <dc:creator>Norton, Colleen</dc:creator>
  <cp:keywords/>
  <dc:description/>
  <cp:lastModifiedBy>Maclean, Mandy</cp:lastModifiedBy>
  <cp:revision>3</cp:revision>
  <dcterms:created xsi:type="dcterms:W3CDTF">2021-08-23T02:01:00Z</dcterms:created>
  <dcterms:modified xsi:type="dcterms:W3CDTF">2021-08-23T02:04:00Z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ESearchTags">
    <vt:lpwstr/>
  </property>
  <property fmtid="{D5CDD505-2E9C-101B-9397-08002B2CF9AE}" pid="4" name="HPRMSecurityLevel">
    <vt:lpwstr>32;#OFFICIAL|11463c70-78df-4e3b-b0ff-f66cd3cb26ec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2020-05-19T10:56:22</vt:lpwstr>
  </property>
  <property fmtid="{D5CDD505-2E9C-101B-9397-08002B2CF9AE}" pid="7" name="_dlc_DocIdItemGuid">
    <vt:lpwstr>3922a057-6cc8-4d28-b86f-ba16581ef22b</vt:lpwstr>
  </property>
  <property fmtid="{D5CDD505-2E9C-101B-9397-08002B2CF9AE}" pid="8" name="TSYRecordClass">
    <vt:lpwstr>2;#TSY RA-8748 - Retain as national archives|243f2231-dbfc-4282-b24a-c9b768286bd0</vt:lpwstr>
  </property>
  <property fmtid="{D5CDD505-2E9C-101B-9397-08002B2CF9AE}" pid="9" name="Order">
    <vt:r8>9288300</vt:r8>
  </property>
  <property fmtid="{D5CDD505-2E9C-101B-9397-08002B2CF9AE}" pid="10" name="oae75e2df9d943898d59cb03ca0993c5">
    <vt:lpwstr/>
  </property>
  <property fmtid="{D5CDD505-2E9C-101B-9397-08002B2CF9AE}" pid="11" name="Topics">
    <vt:lpwstr/>
  </property>
</Properties>
</file>