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3BE689FA" w14:textId="77777777">
        <w:tc>
          <w:tcPr>
            <w:tcW w:w="5000" w:type="pct"/>
            <w:gridSpan w:val="2"/>
          </w:tcPr>
          <w:p w14:paraId="1CD53F35" w14:textId="77777777" w:rsidR="00814667" w:rsidRDefault="00D96B03" w:rsidP="003034DE">
            <w:pPr>
              <w:pStyle w:val="CoverTitleMain"/>
            </w:pPr>
            <w:r>
              <w:t>A</w:t>
            </w:r>
            <w:r w:rsidR="00C06AE7">
              <w:t xml:space="preserve"> </w:t>
            </w:r>
            <w:r w:rsidR="00BA4284">
              <w:t>Project AGreement</w:t>
            </w:r>
            <w:r w:rsidR="00292587">
              <w:t xml:space="preserve"> FOR </w:t>
            </w:r>
            <w:r w:rsidR="003034DE">
              <w:t>TOORALE</w:t>
            </w:r>
            <w:r w:rsidR="0093438C">
              <w:t xml:space="preserve"> water infrastructure works</w:t>
            </w:r>
          </w:p>
        </w:tc>
      </w:tr>
      <w:tr w:rsidR="00814667" w14:paraId="21CA6056" w14:textId="77777777">
        <w:tc>
          <w:tcPr>
            <w:tcW w:w="767" w:type="pct"/>
          </w:tcPr>
          <w:p w14:paraId="16481EBB" w14:textId="77777777" w:rsidR="00814667" w:rsidRDefault="00814667">
            <w:pPr>
              <w:pStyle w:val="SingleParagraph"/>
              <w:tabs>
                <w:tab w:val="num" w:pos="1134"/>
              </w:tabs>
              <w:spacing w:after="240"/>
              <w:ind w:left="1134" w:hanging="567"/>
            </w:pPr>
          </w:p>
        </w:tc>
        <w:tc>
          <w:tcPr>
            <w:tcW w:w="4233" w:type="pct"/>
          </w:tcPr>
          <w:p w14:paraId="67CF966A" w14:textId="77777777" w:rsidR="00814667" w:rsidRDefault="00814667">
            <w:pPr>
              <w:pStyle w:val="SingleParagraph"/>
              <w:tabs>
                <w:tab w:val="num" w:pos="1134"/>
              </w:tabs>
              <w:spacing w:after="240"/>
              <w:ind w:left="1134" w:hanging="567"/>
            </w:pPr>
          </w:p>
        </w:tc>
      </w:tr>
      <w:tr w:rsidR="00814667" w14:paraId="4833BE24" w14:textId="77777777">
        <w:tc>
          <w:tcPr>
            <w:tcW w:w="767" w:type="pct"/>
          </w:tcPr>
          <w:p w14:paraId="6BDE986F" w14:textId="77777777" w:rsidR="00814667" w:rsidRDefault="00814667">
            <w:pPr>
              <w:pStyle w:val="SingleParagraph"/>
              <w:tabs>
                <w:tab w:val="num" w:pos="1134"/>
              </w:tabs>
              <w:spacing w:after="240"/>
              <w:ind w:left="1134" w:hanging="567"/>
            </w:pPr>
          </w:p>
        </w:tc>
        <w:tc>
          <w:tcPr>
            <w:tcW w:w="4233" w:type="pct"/>
          </w:tcPr>
          <w:p w14:paraId="558AC851" w14:textId="77777777" w:rsidR="00814667" w:rsidRPr="001E74D0" w:rsidRDefault="00814667">
            <w:pPr>
              <w:pStyle w:val="SingleParagraph"/>
              <w:tabs>
                <w:tab w:val="num" w:pos="1134"/>
              </w:tabs>
              <w:spacing w:after="240"/>
              <w:ind w:left="1134" w:hanging="567"/>
            </w:pPr>
          </w:p>
        </w:tc>
      </w:tr>
      <w:tr w:rsidR="00814667" w14:paraId="4C71D6F7" w14:textId="77777777">
        <w:tc>
          <w:tcPr>
            <w:tcW w:w="5000" w:type="pct"/>
            <w:gridSpan w:val="2"/>
          </w:tcPr>
          <w:p w14:paraId="04124871" w14:textId="77777777" w:rsidR="00814667" w:rsidRDefault="00814667">
            <w:pPr>
              <w:pStyle w:val="AgreementHeading"/>
              <w:tabs>
                <w:tab w:val="clear" w:pos="1134"/>
              </w:tabs>
            </w:pPr>
            <w:r>
              <w:t>An agreement between</w:t>
            </w:r>
            <w:r w:rsidR="00697494">
              <w:t>:</w:t>
            </w:r>
          </w:p>
        </w:tc>
      </w:tr>
      <w:tr w:rsidR="00814667" w14:paraId="5A629F2A" w14:textId="77777777">
        <w:tc>
          <w:tcPr>
            <w:tcW w:w="767" w:type="pct"/>
          </w:tcPr>
          <w:p w14:paraId="4650993F" w14:textId="77777777" w:rsidR="00814667" w:rsidRPr="001E74D0" w:rsidRDefault="00814667">
            <w:pPr>
              <w:pStyle w:val="AgreementHeading"/>
              <w:tabs>
                <w:tab w:val="clear" w:pos="1134"/>
              </w:tabs>
              <w:ind w:left="522"/>
            </w:pPr>
          </w:p>
        </w:tc>
        <w:tc>
          <w:tcPr>
            <w:tcW w:w="4233" w:type="pct"/>
          </w:tcPr>
          <w:p w14:paraId="1D13E5B9" w14:textId="77777777" w:rsidR="00814667" w:rsidRDefault="00814667">
            <w:pPr>
              <w:pStyle w:val="AgreementParties"/>
            </w:pPr>
            <w:r>
              <w:t xml:space="preserve">the </w:t>
            </w:r>
            <w:r w:rsidRPr="00144AFB">
              <w:rPr>
                <w:rStyle w:val="Bold"/>
                <w:b w:val="0"/>
              </w:rPr>
              <w:t>Commonwealth of Australia</w:t>
            </w:r>
            <w:r w:rsidR="00697494" w:rsidRPr="00144AFB">
              <w:rPr>
                <w:rStyle w:val="Bold"/>
                <w:b w:val="0"/>
              </w:rPr>
              <w:t>;</w:t>
            </w:r>
            <w:r>
              <w:t xml:space="preserve"> and</w:t>
            </w:r>
          </w:p>
          <w:p w14:paraId="1F60A9E6" w14:textId="77777777" w:rsidR="00814667" w:rsidRPr="001E74D0" w:rsidRDefault="003034DE" w:rsidP="00144AFB">
            <w:pPr>
              <w:pStyle w:val="AgreementParties"/>
            </w:pPr>
            <w:r>
              <w:t>New South Wales</w:t>
            </w:r>
            <w:r w:rsidR="00144AFB">
              <w:t>.</w:t>
            </w:r>
          </w:p>
        </w:tc>
      </w:tr>
      <w:tr w:rsidR="00814667" w14:paraId="12A90DC5" w14:textId="77777777">
        <w:tc>
          <w:tcPr>
            <w:tcW w:w="767" w:type="pct"/>
          </w:tcPr>
          <w:p w14:paraId="1480FA75" w14:textId="77777777" w:rsidR="00144AFB" w:rsidRDefault="00144AFB" w:rsidP="00812EC7">
            <w:pPr>
              <w:pStyle w:val="SingleParagraph"/>
              <w:tabs>
                <w:tab w:val="num" w:pos="1134"/>
              </w:tabs>
              <w:spacing w:after="240"/>
            </w:pPr>
          </w:p>
          <w:p w14:paraId="33151912" w14:textId="77777777" w:rsidR="00144AFB" w:rsidRDefault="00144AFB">
            <w:pPr>
              <w:pStyle w:val="SingleParagraph"/>
              <w:tabs>
                <w:tab w:val="num" w:pos="1134"/>
              </w:tabs>
              <w:spacing w:after="240"/>
              <w:ind w:left="1134" w:hanging="567"/>
            </w:pPr>
          </w:p>
        </w:tc>
        <w:tc>
          <w:tcPr>
            <w:tcW w:w="4233" w:type="pct"/>
            <w:tcBorders>
              <w:left w:val="nil"/>
            </w:tcBorders>
          </w:tcPr>
          <w:p w14:paraId="4B6F94B7" w14:textId="77777777" w:rsidR="00EB7EDA" w:rsidRPr="00EB7EDA" w:rsidRDefault="00EB7EDA" w:rsidP="00F630EF">
            <w:pPr>
              <w:rPr>
                <w:i/>
              </w:rPr>
            </w:pPr>
          </w:p>
        </w:tc>
      </w:tr>
      <w:tr w:rsidR="00814667" w14:paraId="6701383A" w14:textId="77777777">
        <w:tc>
          <w:tcPr>
            <w:tcW w:w="5000" w:type="pct"/>
            <w:gridSpan w:val="2"/>
          </w:tcPr>
          <w:p w14:paraId="7A81F782" w14:textId="77777777" w:rsidR="00814667" w:rsidRDefault="00814667">
            <w:pPr>
              <w:pStyle w:val="SingleParagraph"/>
              <w:tabs>
                <w:tab w:val="num" w:pos="1134"/>
              </w:tabs>
              <w:spacing w:after="240"/>
              <w:ind w:left="1134" w:hanging="567"/>
            </w:pPr>
          </w:p>
        </w:tc>
      </w:tr>
      <w:tr w:rsidR="00814667" w14:paraId="33A64C7D" w14:textId="77777777">
        <w:tc>
          <w:tcPr>
            <w:tcW w:w="5000" w:type="pct"/>
            <w:gridSpan w:val="2"/>
          </w:tcPr>
          <w:p w14:paraId="34D6E89B" w14:textId="77777777" w:rsidR="00814667" w:rsidRPr="00BF748F" w:rsidRDefault="00144AFB" w:rsidP="003E0F91">
            <w:pPr>
              <w:pStyle w:val="Abstract"/>
            </w:pPr>
            <w:r w:rsidRPr="00BF748F">
              <w:t>The output of this Project will be</w:t>
            </w:r>
            <w:r w:rsidR="00EE2CFF" w:rsidRPr="00BF748F">
              <w:t xml:space="preserve"> the modification, demolition or decommission</w:t>
            </w:r>
            <w:r w:rsidR="004A5024">
              <w:t>ing</w:t>
            </w:r>
            <w:r w:rsidR="00EE2CFF" w:rsidRPr="00BF748F">
              <w:t xml:space="preserve"> of dams and other structures </w:t>
            </w:r>
            <w:r w:rsidR="003E0F91" w:rsidRPr="00BF748F">
              <w:t xml:space="preserve">at Toorale </w:t>
            </w:r>
            <w:r w:rsidR="00EE2CFF" w:rsidRPr="00BF748F">
              <w:t xml:space="preserve">for the purpose of facilitating </w:t>
            </w:r>
            <w:r w:rsidR="003E0F91">
              <w:t xml:space="preserve">downstream delivery of </w:t>
            </w:r>
            <w:r w:rsidR="00EE2CFF" w:rsidRPr="00BF748F">
              <w:t>environmental flows.</w:t>
            </w:r>
            <w:r w:rsidR="00C7093C" w:rsidRPr="00BF748F">
              <w:t xml:space="preserve"> </w:t>
            </w:r>
          </w:p>
        </w:tc>
      </w:tr>
    </w:tbl>
    <w:p w14:paraId="0DD12A82"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3034DE">
        <w:t>Toorale</w:t>
      </w:r>
      <w:r w:rsidR="002235A0">
        <w:t xml:space="preserve"> water infrastructure works</w:t>
      </w:r>
    </w:p>
    <w:p w14:paraId="2C588190"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5A6F3DF6" w14:textId="77777777" w:rsidR="00C960AA" w:rsidRPr="0096732C" w:rsidRDefault="00C960AA" w:rsidP="00C74BD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8A8FF99"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6628CBE" w14:textId="77777777" w:rsidR="0096732C" w:rsidRDefault="00852ED8" w:rsidP="00C74BD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w:t>
      </w:r>
      <w:r w:rsidR="00D272B9" w:rsidRPr="00BF748F">
        <w:t>the modification, demolition or decommission</w:t>
      </w:r>
      <w:r w:rsidR="004A5024">
        <w:t>ing</w:t>
      </w:r>
      <w:r w:rsidR="00D272B9" w:rsidRPr="00BF748F">
        <w:t xml:space="preserve"> of dams and other structures </w:t>
      </w:r>
      <w:r w:rsidR="003E0F91" w:rsidRPr="00BF748F">
        <w:t xml:space="preserve">at </w:t>
      </w:r>
      <w:r w:rsidR="002F2C3C">
        <w:t xml:space="preserve">the </w:t>
      </w:r>
      <w:r w:rsidR="003E0F91" w:rsidRPr="00BF748F">
        <w:t xml:space="preserve">Toorale </w:t>
      </w:r>
      <w:r w:rsidR="002F2C3C">
        <w:t xml:space="preserve">property at the junction of the Warrego and Darling rivers in New South Wales </w:t>
      </w:r>
      <w:r w:rsidR="00D272B9" w:rsidRPr="00BF748F">
        <w:t xml:space="preserve">for the purpose of facilitating </w:t>
      </w:r>
      <w:r w:rsidR="003E0F91">
        <w:t xml:space="preserve">downstream delivery of </w:t>
      </w:r>
      <w:r w:rsidR="00D272B9" w:rsidRPr="00BF748F">
        <w:t>environmental flows</w:t>
      </w:r>
      <w:r w:rsidR="003E0F91">
        <w:t>.</w:t>
      </w:r>
    </w:p>
    <w:p w14:paraId="0DBE07C1"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E3C2977" w14:textId="77777777" w:rsidR="0096732C" w:rsidRDefault="003034DE" w:rsidP="00C74BD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New South Wales</w:t>
      </w:r>
      <w:r w:rsidR="0096732C">
        <w:t xml:space="preserve"> will report against the agreed milestones during the operation of this Agreement, as set out in Part 4 – Project Milestones, Reporting and Payments. </w:t>
      </w:r>
    </w:p>
    <w:p w14:paraId="750F9677"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20C4412" w14:textId="11A9F849" w:rsidR="0096732C" w:rsidRPr="004B1F38" w:rsidRDefault="0096732C" w:rsidP="00C74BDD">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3034DE">
        <w:t>New South Wales</w:t>
      </w:r>
      <w:r w:rsidRPr="007179FE">
        <w:t xml:space="preserve"> </w:t>
      </w:r>
      <w:r>
        <w:t xml:space="preserve">of </w:t>
      </w:r>
      <w:r w:rsidRPr="00D84949">
        <w:t>$</w:t>
      </w:r>
      <w:r w:rsidR="00FF43BA">
        <w:t>9</w:t>
      </w:r>
      <w:r w:rsidR="002E5313" w:rsidRPr="00FF43BA">
        <w:t>.</w:t>
      </w:r>
      <w:r w:rsidR="00FF43BA" w:rsidRPr="00FF43BA">
        <w:t>240</w:t>
      </w:r>
      <w:r w:rsidR="002E5313">
        <w:t xml:space="preserve"> </w:t>
      </w:r>
      <w:r w:rsidR="003959F8">
        <w:t>million exclusi</w:t>
      </w:r>
      <w:r w:rsidR="00F234AB">
        <w:t>ve of GST</w:t>
      </w:r>
      <w:r w:rsidR="00EF33DE">
        <w:t xml:space="preserve"> </w:t>
      </w:r>
      <w:r>
        <w:t>in respect of this Agreement</w:t>
      </w:r>
      <w:r w:rsidR="00FC055C">
        <w:t>,</w:t>
      </w:r>
      <w:r>
        <w:t xml:space="preserve"> as set out </w:t>
      </w:r>
      <w:r w:rsidRPr="007179FE">
        <w:t xml:space="preserve">in </w:t>
      </w:r>
      <w:r w:rsidR="003959F8">
        <w:t>Part </w:t>
      </w:r>
      <w:r>
        <w:t>5 – Financial Arrangements</w:t>
      </w:r>
      <w:r w:rsidRPr="007179FE">
        <w:t>.</w:t>
      </w:r>
    </w:p>
    <w:p w14:paraId="5B9C55A8" w14:textId="77777777" w:rsidR="00814667" w:rsidRDefault="00814667">
      <w:pPr>
        <w:pStyle w:val="Heading1"/>
      </w:pPr>
      <w:r>
        <w:t>Part 1 — Formalities</w:t>
      </w:r>
    </w:p>
    <w:p w14:paraId="178EF642" w14:textId="77777777" w:rsidR="00804105" w:rsidRDefault="00804105" w:rsidP="00C74BDD">
      <w:pPr>
        <w:pStyle w:val="Normalnumbered"/>
        <w:numPr>
          <w:ilvl w:val="0"/>
          <w:numId w:val="9"/>
        </w:numPr>
      </w:pPr>
      <w:r>
        <w:t>This Agreement constitutes the entire agreement for this project</w:t>
      </w:r>
      <w:r w:rsidR="002F2C3C">
        <w:t xml:space="preserve"> and supersedes and replaces the </w:t>
      </w:r>
      <w:r w:rsidR="002F2C3C" w:rsidRPr="00286385">
        <w:rPr>
          <w:i/>
        </w:rPr>
        <w:t>Funding Agreement in relation to NSW’s Purchase of the Toorale Property</w:t>
      </w:r>
      <w:r w:rsidR="002F2C3C">
        <w:t xml:space="preserve"> (the Original Funding Agreement)</w:t>
      </w:r>
      <w:r w:rsidR="002F2C3C" w:rsidRPr="00E413AD">
        <w:t xml:space="preserve"> </w:t>
      </w:r>
      <w:r w:rsidR="002F2C3C">
        <w:t>signed by the parties on 22 December 2008</w:t>
      </w:r>
      <w:r w:rsidR="002E5313">
        <w:t xml:space="preserve"> and Variation 1 signed by both parties on 15 February 2017</w:t>
      </w:r>
      <w:r w:rsidR="002F2C3C">
        <w:t>. Unless otherwise stated, the parties agree that any outstanding rights and obligations arising from the Original Funding Agreement</w:t>
      </w:r>
      <w:r w:rsidR="002E5313">
        <w:t xml:space="preserve"> and Variation 1</w:t>
      </w:r>
      <w:r w:rsidR="002F2C3C">
        <w:t xml:space="preserve"> are discharged and replaced by the rights and obligations contained in this Agreement</w:t>
      </w:r>
      <w:r>
        <w:t>.</w:t>
      </w:r>
      <w:r w:rsidR="003A1C1C" w:rsidRPr="00910E7C">
        <w:rPr>
          <w:szCs w:val="23"/>
        </w:rPr>
        <w:t xml:space="preserve"> </w:t>
      </w:r>
      <w:r w:rsidR="003A1C1C" w:rsidRPr="00910E7C">
        <w:rPr>
          <w:rFonts w:cs="Tahoma"/>
          <w:iCs/>
          <w:szCs w:val="23"/>
        </w:rPr>
        <w:t>Any additional works outside the agreed project would be subject to a separate agreement.</w:t>
      </w:r>
    </w:p>
    <w:p w14:paraId="628A0EDA" w14:textId="77777777" w:rsidR="00814667" w:rsidRDefault="00814667">
      <w:pPr>
        <w:pStyle w:val="Heading2"/>
      </w:pPr>
      <w:r>
        <w:t>Parties to this Agreement</w:t>
      </w:r>
    </w:p>
    <w:p w14:paraId="6568A8F8" w14:textId="77777777" w:rsidR="007B4B03" w:rsidRPr="007B4B03" w:rsidRDefault="00E7195E" w:rsidP="00C74BDD">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3034DE">
        <w:t>New South Wales</w:t>
      </w:r>
      <w:r w:rsidRPr="003012DA">
        <w:t xml:space="preserve">. </w:t>
      </w:r>
    </w:p>
    <w:p w14:paraId="7B2721E2" w14:textId="77777777" w:rsidR="00814667" w:rsidRDefault="00814667">
      <w:pPr>
        <w:pStyle w:val="Heading2"/>
      </w:pPr>
      <w:r>
        <w:t>Term of the Agreement</w:t>
      </w:r>
    </w:p>
    <w:p w14:paraId="274BDB9B" w14:textId="7212CFA2" w:rsidR="003A7409" w:rsidRDefault="00814667" w:rsidP="00C74BDD">
      <w:pPr>
        <w:pStyle w:val="Normalnumbered"/>
        <w:numPr>
          <w:ilvl w:val="0"/>
          <w:numId w:val="9"/>
        </w:numPr>
      </w:pPr>
      <w:r w:rsidRPr="00DE36EB">
        <w:t xml:space="preserve">This Agreement will commence as soon as the Commonwealth and </w:t>
      </w:r>
      <w:r w:rsidR="003034DE">
        <w:t>New South Wales</w:t>
      </w:r>
      <w:r w:rsidR="003034DE" w:rsidRPr="007179FE">
        <w:t xml:space="preserve"> </w:t>
      </w:r>
      <w:r w:rsidR="003959F8">
        <w:t>sign it</w:t>
      </w:r>
      <w:r w:rsidR="00A63D43">
        <w:t xml:space="preserve"> </w:t>
      </w:r>
      <w:r w:rsidRPr="00DE36EB">
        <w:t>and will expire on</w:t>
      </w:r>
      <w:r w:rsidR="00C7093C" w:rsidRPr="00DE36EB">
        <w:t xml:space="preserve"> </w:t>
      </w:r>
      <w:r w:rsidR="00E04604">
        <w:t xml:space="preserve">30 June </w:t>
      </w:r>
      <w:r w:rsidR="002E5313">
        <w:t xml:space="preserve">2022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24349091" w14:textId="77777777" w:rsidR="003A7409" w:rsidRDefault="003A7409">
      <w:pPr>
        <w:spacing w:after="0" w:line="240" w:lineRule="auto"/>
        <w:jc w:val="left"/>
      </w:pPr>
    </w:p>
    <w:p w14:paraId="0F9ADA8D"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42BF1ED3" w14:textId="77777777" w:rsidR="00814667" w:rsidRDefault="00814667">
      <w:pPr>
        <w:pStyle w:val="Heading2"/>
      </w:pPr>
      <w:r>
        <w:t>Output</w:t>
      </w:r>
    </w:p>
    <w:p w14:paraId="390E690F" w14:textId="77777777" w:rsidR="00FD16DA" w:rsidRDefault="00FD16DA" w:rsidP="00C74BDD">
      <w:pPr>
        <w:pStyle w:val="Normalnumbered"/>
        <w:numPr>
          <w:ilvl w:val="0"/>
          <w:numId w:val="9"/>
        </w:numPr>
      </w:pPr>
      <w:r>
        <w:t xml:space="preserve">The output of this Agreement will be </w:t>
      </w:r>
      <w:r w:rsidR="00246AA7" w:rsidRPr="00BF748F">
        <w:t>modification, demolition or decommission</w:t>
      </w:r>
      <w:r w:rsidR="004A5024">
        <w:t>ing</w:t>
      </w:r>
      <w:r w:rsidR="00246AA7" w:rsidRPr="00BF748F">
        <w:t xml:space="preserve"> of dams and other structures </w:t>
      </w:r>
      <w:r w:rsidR="003E0F91" w:rsidRPr="00BF748F">
        <w:t xml:space="preserve">at Toorale </w:t>
      </w:r>
      <w:r w:rsidR="008C7E31">
        <w:t>by the NSW Government</w:t>
      </w:r>
      <w:r w:rsidR="00712F13">
        <w:t xml:space="preserve"> </w:t>
      </w:r>
      <w:r w:rsidR="00246AA7" w:rsidRPr="00BF748F">
        <w:t xml:space="preserve">for the purpose of facilitating </w:t>
      </w:r>
      <w:r w:rsidR="003E0F91">
        <w:t xml:space="preserve">downstream delivery of </w:t>
      </w:r>
      <w:r w:rsidR="00246AA7" w:rsidRPr="00BF748F">
        <w:t>environmental flows</w:t>
      </w:r>
      <w:r w:rsidR="00265A15">
        <w:t xml:space="preserve"> as</w:t>
      </w:r>
      <w:r w:rsidR="008C7E31">
        <w:t xml:space="preserve"> specified</w:t>
      </w:r>
      <w:r w:rsidR="00265A15">
        <w:t xml:space="preserve"> in the</w:t>
      </w:r>
      <w:r w:rsidR="003A7409">
        <w:t xml:space="preserve"> Milestones at Part 4 - Project Milestones, Reporting and Payments</w:t>
      </w:r>
      <w:r w:rsidR="008C7E31">
        <w:t>.</w:t>
      </w:r>
      <w:r w:rsidR="00265A15">
        <w:t xml:space="preserve"> </w:t>
      </w:r>
    </w:p>
    <w:p w14:paraId="78E12735" w14:textId="77777777" w:rsidR="008F44F1" w:rsidRDefault="008F44F1">
      <w:pPr>
        <w:pStyle w:val="Heading1"/>
      </w:pPr>
      <w:r>
        <w:t>Part 3 — roles and responsibilities of each party</w:t>
      </w:r>
    </w:p>
    <w:p w14:paraId="70AA1662" w14:textId="77777777" w:rsidR="008F44F1" w:rsidRDefault="008F44F1" w:rsidP="008F44F1">
      <w:pPr>
        <w:pStyle w:val="Heading2"/>
      </w:pPr>
      <w:r w:rsidRPr="00814590">
        <w:t>Role of the Commonwealth</w:t>
      </w:r>
    </w:p>
    <w:p w14:paraId="4829B0CD" w14:textId="77777777" w:rsidR="008F44F1" w:rsidRDefault="008F44F1" w:rsidP="00C74BDD">
      <w:pPr>
        <w:pStyle w:val="Normalnumbered"/>
        <w:numPr>
          <w:ilvl w:val="0"/>
          <w:numId w:val="9"/>
        </w:numPr>
        <w:jc w:val="left"/>
      </w:pPr>
      <w:r>
        <w:t>The Commonwealth will be responsible for:</w:t>
      </w:r>
    </w:p>
    <w:p w14:paraId="0270846A" w14:textId="56B48165" w:rsidR="008F44F1" w:rsidRPr="000614F9" w:rsidRDefault="008F44F1" w:rsidP="00C74BDD">
      <w:pPr>
        <w:pStyle w:val="AlphaParagraph"/>
        <w:numPr>
          <w:ilvl w:val="0"/>
          <w:numId w:val="17"/>
        </w:numPr>
        <w:tabs>
          <w:tab w:val="clear" w:pos="283"/>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93438C">
        <w:t xml:space="preserve">Toorale water infrastructure works </w:t>
      </w:r>
      <w:r w:rsidRPr="000614F9">
        <w:rPr>
          <w:color w:val="auto"/>
        </w:rPr>
        <w:t>under</w:t>
      </w:r>
      <w:r w:rsidRPr="004B6083">
        <w:t xml:space="preserve"> this Agreement to ensure that outputs are delivered within the agreed timeframe; </w:t>
      </w:r>
    </w:p>
    <w:p w14:paraId="3194851D" w14:textId="77777777" w:rsidR="002E5313" w:rsidRPr="002E5313" w:rsidRDefault="008F44F1" w:rsidP="00C74BDD">
      <w:pPr>
        <w:pStyle w:val="AlphaParagraph"/>
        <w:numPr>
          <w:ilvl w:val="0"/>
          <w:numId w:val="17"/>
        </w:numPr>
        <w:tabs>
          <w:tab w:val="clear" w:pos="567"/>
          <w:tab w:val="clear" w:pos="1418"/>
          <w:tab w:val="clear" w:pos="1701"/>
        </w:tabs>
        <w:ind w:left="1134" w:hanging="567"/>
        <w:rPr>
          <w:color w:val="auto"/>
        </w:rPr>
      </w:pPr>
      <w:r w:rsidRPr="008309AB">
        <w:t xml:space="preserve">providing a consequent financial contribution to </w:t>
      </w:r>
      <w:r w:rsidR="003034DE">
        <w:t>New South Wales</w:t>
      </w:r>
      <w:r w:rsidRPr="008309AB">
        <w:t xml:space="preserve"> to support the </w:t>
      </w:r>
      <w:r w:rsidRPr="000614F9">
        <w:t>implementation</w:t>
      </w:r>
      <w:r w:rsidR="008F451A">
        <w:t xml:space="preserve"> of this Agreement</w:t>
      </w:r>
      <w:r w:rsidR="002E5313">
        <w:t xml:space="preserve">; </w:t>
      </w:r>
    </w:p>
    <w:p w14:paraId="29C382A1" w14:textId="77777777" w:rsidR="002E5313" w:rsidRPr="004B2CBA" w:rsidRDefault="002E5313" w:rsidP="00C74BDD">
      <w:pPr>
        <w:pStyle w:val="AlphaParagraph"/>
        <w:numPr>
          <w:ilvl w:val="0"/>
          <w:numId w:val="17"/>
        </w:numPr>
        <w:tabs>
          <w:tab w:val="clear" w:pos="567"/>
          <w:tab w:val="clear" w:pos="1418"/>
          <w:tab w:val="clear" w:pos="1701"/>
        </w:tabs>
        <w:ind w:left="1134" w:hanging="567"/>
      </w:pPr>
      <w:r w:rsidRPr="004B2CBA">
        <w:t>where applicable,</w:t>
      </w:r>
      <w:r w:rsidR="004B2CBA" w:rsidRPr="004B2CBA">
        <w:t xml:space="preserve"> in accordance with the </w:t>
      </w:r>
      <w:r w:rsidR="004B2CBA" w:rsidRPr="004B2CBA">
        <w:rPr>
          <w:i/>
        </w:rPr>
        <w:t>Building and Construction Industry (Improving Productivity) Act 2016</w:t>
      </w:r>
      <w:r w:rsidR="004B2CBA">
        <w:t>, ensuring that financial contributions to a Commonwealth funded building work falls within the scope of the relevant building code legislation; and</w:t>
      </w:r>
    </w:p>
    <w:p w14:paraId="4C7723D8" w14:textId="77777777" w:rsidR="008F44F1" w:rsidRDefault="004B2CBA" w:rsidP="00CD3E42">
      <w:pPr>
        <w:pStyle w:val="AlphaParagraph"/>
        <w:numPr>
          <w:ilvl w:val="0"/>
          <w:numId w:val="17"/>
        </w:numPr>
        <w:tabs>
          <w:tab w:val="clear" w:pos="283"/>
          <w:tab w:val="clear" w:pos="567"/>
          <w:tab w:val="clear" w:pos="1418"/>
          <w:tab w:val="clear" w:pos="1701"/>
        </w:tabs>
        <w:ind w:left="1134" w:hanging="567"/>
        <w:rPr>
          <w:color w:val="auto"/>
        </w:rPr>
      </w:pPr>
      <w:r w:rsidRPr="004B2CBA">
        <w:rPr>
          <w:color w:val="auto"/>
        </w:rPr>
        <w:t>where applicable, ensuring that compliance with the Building Code 2013 or Building Code 2016 is a condition of Australian Government funding</w:t>
      </w:r>
      <w:r w:rsidR="00812EC7" w:rsidRPr="004B2CBA">
        <w:rPr>
          <w:color w:val="auto"/>
        </w:rPr>
        <w:t>.</w:t>
      </w:r>
    </w:p>
    <w:p w14:paraId="11A6E8A4" w14:textId="77777777" w:rsidR="00CD3E42" w:rsidRPr="00CD3E42" w:rsidRDefault="00CD3E42" w:rsidP="00CD3E42">
      <w:pPr>
        <w:pStyle w:val="AlphaParagraph"/>
        <w:numPr>
          <w:ilvl w:val="0"/>
          <w:numId w:val="17"/>
        </w:numPr>
        <w:tabs>
          <w:tab w:val="clear" w:pos="283"/>
          <w:tab w:val="clear" w:pos="567"/>
          <w:tab w:val="clear" w:pos="1418"/>
          <w:tab w:val="clear" w:pos="1701"/>
        </w:tabs>
        <w:ind w:left="1134" w:hanging="567"/>
        <w:rPr>
          <w:color w:val="auto"/>
        </w:rPr>
      </w:pPr>
      <w:r w:rsidRPr="00CD3E42">
        <w:rPr>
          <w:color w:val="auto"/>
        </w:rPr>
        <w:t>Agrees to consider the annual workplan and provide New South Wales with a response to the annual workplan within 20 business days of the receipt of the annual workplan</w:t>
      </w:r>
      <w:r>
        <w:rPr>
          <w:color w:val="auto"/>
        </w:rPr>
        <w:t>.</w:t>
      </w:r>
    </w:p>
    <w:p w14:paraId="3109F4A2" w14:textId="77777777" w:rsidR="008F44F1" w:rsidRPr="00751725" w:rsidRDefault="008F44F1" w:rsidP="008F44F1">
      <w:pPr>
        <w:pStyle w:val="Heading2"/>
      </w:pPr>
      <w:r w:rsidRPr="00751725">
        <w:t xml:space="preserve">Role of </w:t>
      </w:r>
      <w:r w:rsidR="003034DE">
        <w:t>New South Wales</w:t>
      </w:r>
    </w:p>
    <w:p w14:paraId="65FABE18" w14:textId="77777777" w:rsidR="008F44F1" w:rsidRPr="00751725" w:rsidRDefault="003034DE" w:rsidP="00C74BDD">
      <w:pPr>
        <w:pStyle w:val="Normalnumbered"/>
        <w:numPr>
          <w:ilvl w:val="0"/>
          <w:numId w:val="9"/>
        </w:numPr>
        <w:jc w:val="left"/>
      </w:pPr>
      <w:r>
        <w:t>New South</w:t>
      </w:r>
      <w:r w:rsidR="00D220B8">
        <w:t xml:space="preserve"> </w:t>
      </w:r>
      <w:r>
        <w:t>Wales</w:t>
      </w:r>
      <w:r w:rsidR="00545DF7">
        <w:t xml:space="preserve"> </w:t>
      </w:r>
      <w:r w:rsidR="008F44F1">
        <w:t>will be responsible for</w:t>
      </w:r>
      <w:r w:rsidR="00545DF7">
        <w:t>:</w:t>
      </w:r>
    </w:p>
    <w:p w14:paraId="5F5B975A" w14:textId="77777777" w:rsidR="004B2CBA" w:rsidRDefault="00CD3E42" w:rsidP="00C74BDD">
      <w:pPr>
        <w:pStyle w:val="AlphaParagraph"/>
        <w:numPr>
          <w:ilvl w:val="0"/>
          <w:numId w:val="18"/>
        </w:numPr>
        <w:tabs>
          <w:tab w:val="clear" w:pos="283"/>
          <w:tab w:val="clear" w:pos="567"/>
          <w:tab w:val="clear" w:pos="1418"/>
          <w:tab w:val="clear" w:pos="1701"/>
        </w:tabs>
        <w:ind w:left="1134" w:hanging="567"/>
      </w:pPr>
      <w:r>
        <w:t>p</w:t>
      </w:r>
      <w:r w:rsidR="004B2CBA">
        <w:t>roviding a financial contribution to support the implementation of this Agreement;</w:t>
      </w:r>
    </w:p>
    <w:p w14:paraId="57CA4278" w14:textId="65D4F028" w:rsidR="008F44F1" w:rsidRDefault="008F44F1" w:rsidP="00C74BDD">
      <w:pPr>
        <w:pStyle w:val="AlphaParagraph"/>
        <w:numPr>
          <w:ilvl w:val="0"/>
          <w:numId w:val="18"/>
        </w:numPr>
        <w:tabs>
          <w:tab w:val="clear" w:pos="283"/>
          <w:tab w:val="clear" w:pos="567"/>
          <w:tab w:val="clear" w:pos="1418"/>
          <w:tab w:val="clear" w:pos="1701"/>
        </w:tabs>
        <w:ind w:left="1134" w:hanging="567"/>
      </w:pPr>
      <w:r>
        <w:t>all aspects of delivering on the project outputs set out in this Agreement;</w:t>
      </w:r>
      <w:r w:rsidR="00812EC7">
        <w:t xml:space="preserve"> </w:t>
      </w:r>
    </w:p>
    <w:p w14:paraId="0564C938" w14:textId="77777777" w:rsidR="004B2CBA" w:rsidRDefault="00A6719E" w:rsidP="00C74BDD">
      <w:pPr>
        <w:pStyle w:val="AlphaParagraph"/>
        <w:numPr>
          <w:ilvl w:val="0"/>
          <w:numId w:val="18"/>
        </w:numPr>
        <w:tabs>
          <w:tab w:val="clear" w:pos="283"/>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4B2CBA">
        <w:t>;</w:t>
      </w:r>
    </w:p>
    <w:p w14:paraId="068811BC" w14:textId="77777777" w:rsidR="00E56650" w:rsidRDefault="004B2CBA" w:rsidP="00C74BDD">
      <w:pPr>
        <w:pStyle w:val="AlphaParagraph"/>
        <w:numPr>
          <w:ilvl w:val="0"/>
          <w:numId w:val="18"/>
        </w:numPr>
        <w:tabs>
          <w:tab w:val="clear" w:pos="283"/>
          <w:tab w:val="clear" w:pos="567"/>
          <w:tab w:val="clear" w:pos="1418"/>
          <w:tab w:val="clear" w:pos="1701"/>
        </w:tabs>
        <w:ind w:left="1134" w:hanging="567"/>
      </w:pPr>
      <w:r w:rsidRPr="00E56650">
        <w:t xml:space="preserve">where applicable, </w:t>
      </w:r>
      <w:r w:rsidR="00E56650">
        <w:t>w</w:t>
      </w:r>
      <w:r w:rsidRPr="00E56650">
        <w:t xml:space="preserve">here </w:t>
      </w:r>
      <w:r w:rsidR="00E56650">
        <w:t xml:space="preserve">Commonwealth </w:t>
      </w:r>
      <w:r w:rsidRPr="00E56650">
        <w:t>funded building work for which an expression of interest or tender (however described) was submitted before 2 December 2016</w:t>
      </w:r>
      <w:r w:rsidR="002646FD">
        <w:t>, ensuring that</w:t>
      </w:r>
      <w:r w:rsidR="00E56650">
        <w:t>:</w:t>
      </w:r>
    </w:p>
    <w:p w14:paraId="2D1D091A" w14:textId="77777777" w:rsidR="00E56650" w:rsidRDefault="004B2CBA" w:rsidP="00C74BDD">
      <w:pPr>
        <w:pStyle w:val="AlphaParagraph"/>
        <w:numPr>
          <w:ilvl w:val="2"/>
          <w:numId w:val="18"/>
        </w:numPr>
        <w:tabs>
          <w:tab w:val="clear" w:pos="283"/>
          <w:tab w:val="clear" w:pos="567"/>
          <w:tab w:val="clear" w:pos="1134"/>
          <w:tab w:val="clear" w:pos="1418"/>
        </w:tabs>
      </w:pPr>
      <w:r w:rsidRPr="00E56650">
        <w:t xml:space="preserve">the </w:t>
      </w:r>
      <w:r w:rsidRPr="002646FD">
        <w:rPr>
          <w:i/>
        </w:rPr>
        <w:t>Building Code 2013</w:t>
      </w:r>
      <w:r w:rsidRPr="00E56650">
        <w:t xml:space="preserve"> will apply</w:t>
      </w:r>
      <w:r w:rsidR="002646FD">
        <w:t>;</w:t>
      </w:r>
      <w:r w:rsidR="00E56650">
        <w:t xml:space="preserve"> and</w:t>
      </w:r>
    </w:p>
    <w:p w14:paraId="4DF2FFF0" w14:textId="77777777" w:rsidR="004B2CBA" w:rsidRPr="00E56650" w:rsidRDefault="004B2CBA" w:rsidP="00C74BDD">
      <w:pPr>
        <w:pStyle w:val="AlphaParagraph"/>
        <w:numPr>
          <w:ilvl w:val="2"/>
          <w:numId w:val="18"/>
        </w:numPr>
        <w:tabs>
          <w:tab w:val="clear" w:pos="283"/>
          <w:tab w:val="clear" w:pos="567"/>
          <w:tab w:val="clear" w:pos="1134"/>
          <w:tab w:val="clear" w:pos="1418"/>
        </w:tabs>
      </w:pPr>
      <w:r w:rsidRPr="00E56650">
        <w:t>any head contractors who submitted a bid for the work before 2</w:t>
      </w:r>
      <w:r w:rsidR="00E56650">
        <w:t> </w:t>
      </w:r>
      <w:r w:rsidRPr="00E56650">
        <w:t>December 2016</w:t>
      </w:r>
      <w:r w:rsidR="002646FD">
        <w:t xml:space="preserve"> are</w:t>
      </w:r>
      <w:r w:rsidRPr="00E56650">
        <w:t>:</w:t>
      </w:r>
    </w:p>
    <w:p w14:paraId="7E517DB0" w14:textId="77777777" w:rsidR="004B2CBA" w:rsidRPr="004B2CBA" w:rsidRDefault="002646FD" w:rsidP="00C74BDD">
      <w:pPr>
        <w:pStyle w:val="AlphaParagraph"/>
        <w:numPr>
          <w:ilvl w:val="3"/>
          <w:numId w:val="18"/>
        </w:numPr>
        <w:tabs>
          <w:tab w:val="clear" w:pos="283"/>
          <w:tab w:val="clear" w:pos="567"/>
          <w:tab w:val="clear" w:pos="1134"/>
          <w:tab w:val="clear" w:pos="1418"/>
          <w:tab w:val="clear" w:pos="1701"/>
        </w:tabs>
        <w:jc w:val="left"/>
      </w:pPr>
      <w:r>
        <w:t xml:space="preserve">provided </w:t>
      </w:r>
      <w:r w:rsidR="004B2CBA" w:rsidRPr="004B2CBA">
        <w:t>with the A</w:t>
      </w:r>
      <w:r w:rsidRPr="00756039">
        <w:t xml:space="preserve">ustralian Building and Construction Commission </w:t>
      </w:r>
      <w:r>
        <w:t xml:space="preserve">(ABCC) </w:t>
      </w:r>
      <w:r w:rsidR="004B2CBA" w:rsidRPr="004B2CBA">
        <w:t>Information Statement available at  https://www.abcc.gov.au/building-code/building-code-resources/contractor-resources; and</w:t>
      </w:r>
    </w:p>
    <w:p w14:paraId="174FD189" w14:textId="77777777" w:rsidR="004B2CBA" w:rsidRPr="004B2CBA" w:rsidRDefault="002646FD" w:rsidP="00C74BDD">
      <w:pPr>
        <w:pStyle w:val="AlphaParagraph"/>
        <w:numPr>
          <w:ilvl w:val="3"/>
          <w:numId w:val="18"/>
        </w:numPr>
        <w:tabs>
          <w:tab w:val="clear" w:pos="283"/>
          <w:tab w:val="clear" w:pos="567"/>
          <w:tab w:val="clear" w:pos="1134"/>
          <w:tab w:val="clear" w:pos="1418"/>
          <w:tab w:val="clear" w:pos="1701"/>
        </w:tabs>
      </w:pPr>
      <w:r>
        <w:t xml:space="preserve">provided </w:t>
      </w:r>
      <w:r w:rsidR="004B2CBA" w:rsidRPr="004B2CBA">
        <w:t xml:space="preserve">with the Model Clauses Type C (Model Clauses for Code Covered Entities when engaging Subcontractors on Head Contractor Building Code </w:t>
      </w:r>
      <w:r w:rsidR="004B2CBA" w:rsidRPr="004B2CBA">
        <w:lastRenderedPageBreak/>
        <w:t>2013 Projects) available from https://www.abcc.gov.au/building-code/building-code-resources/contractor-resources for use if they further subcontract the building work; and</w:t>
      </w:r>
    </w:p>
    <w:p w14:paraId="6C262D57" w14:textId="77777777" w:rsidR="004B2CBA" w:rsidRPr="004B2CBA" w:rsidRDefault="004B2CBA" w:rsidP="00C74BDD">
      <w:pPr>
        <w:pStyle w:val="AlphaParagraph"/>
        <w:numPr>
          <w:ilvl w:val="3"/>
          <w:numId w:val="18"/>
        </w:numPr>
        <w:tabs>
          <w:tab w:val="clear" w:pos="283"/>
          <w:tab w:val="clear" w:pos="567"/>
          <w:tab w:val="clear" w:pos="1134"/>
          <w:tab w:val="clear" w:pos="1418"/>
          <w:tab w:val="clear" w:pos="1701"/>
        </w:tabs>
      </w:pPr>
      <w:r w:rsidRPr="004B2CBA">
        <w:t>otherwise made aware of any other relevant transitionary guidance made available by the ABCC.</w:t>
      </w:r>
    </w:p>
    <w:p w14:paraId="0FA641C5" w14:textId="77777777" w:rsidR="002646FD" w:rsidRDefault="00CD3E42" w:rsidP="00C74BDD">
      <w:pPr>
        <w:pStyle w:val="AlphaParagraph"/>
        <w:numPr>
          <w:ilvl w:val="0"/>
          <w:numId w:val="18"/>
        </w:numPr>
        <w:tabs>
          <w:tab w:val="clear" w:pos="283"/>
          <w:tab w:val="clear" w:pos="567"/>
          <w:tab w:val="clear" w:pos="1418"/>
          <w:tab w:val="clear" w:pos="1701"/>
        </w:tabs>
        <w:ind w:left="1134" w:hanging="567"/>
      </w:pPr>
      <w:r>
        <w:t>w</w:t>
      </w:r>
      <w:r w:rsidR="002646FD" w:rsidRPr="00E56650">
        <w:t xml:space="preserve">here applicable, </w:t>
      </w:r>
      <w:r w:rsidR="002646FD">
        <w:t>w</w:t>
      </w:r>
      <w:r w:rsidR="002646FD" w:rsidRPr="00E56650">
        <w:t xml:space="preserve">here </w:t>
      </w:r>
      <w:r w:rsidR="002646FD">
        <w:t xml:space="preserve">Commonwealth </w:t>
      </w:r>
      <w:r w:rsidR="002646FD" w:rsidRPr="00E56650">
        <w:t xml:space="preserve">funded building work for which an expression of interest or tender (however described) was submitted </w:t>
      </w:r>
      <w:r w:rsidR="002646FD">
        <w:t xml:space="preserve">on or after </w:t>
      </w:r>
      <w:r w:rsidR="002646FD" w:rsidRPr="00E56650">
        <w:t>2 December 2016</w:t>
      </w:r>
      <w:r w:rsidR="002646FD">
        <w:t>, ensuring that:</w:t>
      </w:r>
    </w:p>
    <w:p w14:paraId="7835CA0D" w14:textId="77777777" w:rsidR="002646FD" w:rsidRDefault="002646FD" w:rsidP="00C74BDD">
      <w:pPr>
        <w:pStyle w:val="AlphaParagraph"/>
        <w:numPr>
          <w:ilvl w:val="2"/>
          <w:numId w:val="18"/>
        </w:numPr>
        <w:tabs>
          <w:tab w:val="clear" w:pos="283"/>
          <w:tab w:val="clear" w:pos="567"/>
          <w:tab w:val="clear" w:pos="1134"/>
          <w:tab w:val="clear" w:pos="1418"/>
        </w:tabs>
      </w:pPr>
      <w:r w:rsidRPr="00E56650">
        <w:t xml:space="preserve">the </w:t>
      </w:r>
      <w:r w:rsidRPr="00756039">
        <w:rPr>
          <w:i/>
        </w:rPr>
        <w:t>Code for the Tendering and Performance of Building Work 2016</w:t>
      </w:r>
      <w:r>
        <w:rPr>
          <w:i/>
        </w:rPr>
        <w:t xml:space="preserve"> </w:t>
      </w:r>
      <w:r>
        <w:t>(</w:t>
      </w:r>
      <w:r w:rsidRPr="002646FD">
        <w:t>Building Code 2016</w:t>
      </w:r>
      <w:r>
        <w:t>)</w:t>
      </w:r>
      <w:r w:rsidRPr="00E56650">
        <w:t xml:space="preserve"> will apply</w:t>
      </w:r>
      <w:r>
        <w:t>; and</w:t>
      </w:r>
    </w:p>
    <w:p w14:paraId="42954A5C" w14:textId="350E2106" w:rsidR="002646FD" w:rsidRDefault="002646FD" w:rsidP="00C74BDD">
      <w:pPr>
        <w:pStyle w:val="AlphaParagraph"/>
        <w:numPr>
          <w:ilvl w:val="2"/>
          <w:numId w:val="18"/>
        </w:numPr>
        <w:tabs>
          <w:tab w:val="clear" w:pos="283"/>
          <w:tab w:val="clear" w:pos="567"/>
          <w:tab w:val="clear" w:pos="1134"/>
          <w:tab w:val="clear" w:pos="1418"/>
          <w:tab w:val="clear" w:pos="1701"/>
        </w:tabs>
      </w:pPr>
      <w:r>
        <w:t>it satisfies any relevant requirements set out in the model clause documentation in respect of the Building Code 2016; and</w:t>
      </w:r>
    </w:p>
    <w:p w14:paraId="74528C27" w14:textId="77777777" w:rsidR="000A5FF5" w:rsidRDefault="002646FD" w:rsidP="000A5FF5">
      <w:pPr>
        <w:pStyle w:val="AlphaParagraph"/>
        <w:numPr>
          <w:ilvl w:val="2"/>
          <w:numId w:val="18"/>
        </w:numPr>
        <w:tabs>
          <w:tab w:val="clear" w:pos="283"/>
          <w:tab w:val="clear" w:pos="567"/>
          <w:tab w:val="clear" w:pos="1134"/>
          <w:tab w:val="clear" w:pos="1418"/>
          <w:tab w:val="clear" w:pos="1701"/>
        </w:tabs>
      </w:pPr>
      <w:r>
        <w:t xml:space="preserve">It complies with </w:t>
      </w:r>
      <w:r w:rsidR="004B2CBA" w:rsidRPr="004B2CBA">
        <w:t>the applicable building code legislation which may be in force from time to time.</w:t>
      </w:r>
    </w:p>
    <w:p w14:paraId="1DD7A11E" w14:textId="77777777" w:rsidR="00EF64ED" w:rsidRDefault="00CD3E42" w:rsidP="00EF64ED">
      <w:pPr>
        <w:pStyle w:val="AlphaParagraph"/>
        <w:numPr>
          <w:ilvl w:val="0"/>
          <w:numId w:val="18"/>
        </w:numPr>
        <w:tabs>
          <w:tab w:val="clear" w:pos="283"/>
          <w:tab w:val="clear" w:pos="567"/>
          <w:tab w:val="clear" w:pos="1418"/>
          <w:tab w:val="clear" w:pos="1701"/>
        </w:tabs>
        <w:ind w:left="1134" w:hanging="567"/>
      </w:pPr>
      <w:r>
        <w:t>preparing annual workplans for activities to be used as the basis for progress reporting outlined in Part 4 for the project period.  The annual workplans at a minimum must include:</w:t>
      </w:r>
    </w:p>
    <w:p w14:paraId="744CB391" w14:textId="77777777" w:rsidR="00CD3E42" w:rsidRDefault="00CD3E42" w:rsidP="000A5FF5">
      <w:pPr>
        <w:pStyle w:val="AlphaParagraph"/>
        <w:numPr>
          <w:ilvl w:val="1"/>
          <w:numId w:val="18"/>
        </w:numPr>
        <w:tabs>
          <w:tab w:val="clear" w:pos="283"/>
          <w:tab w:val="clear" w:pos="567"/>
          <w:tab w:val="clear" w:pos="1134"/>
          <w:tab w:val="clear" w:pos="1418"/>
        </w:tabs>
        <w:ind w:left="1701"/>
      </w:pPr>
      <w:r>
        <w:t>a description of how the work is to achieve the project aims and outcomes specified in Part 2;</w:t>
      </w:r>
    </w:p>
    <w:p w14:paraId="3D91C04E" w14:textId="77777777" w:rsidR="00CD3E42" w:rsidRDefault="00CD3E42" w:rsidP="000A5FF5">
      <w:pPr>
        <w:pStyle w:val="AlphaParagraph"/>
        <w:numPr>
          <w:ilvl w:val="1"/>
          <w:numId w:val="18"/>
        </w:numPr>
        <w:tabs>
          <w:tab w:val="clear" w:pos="283"/>
          <w:tab w:val="clear" w:pos="567"/>
          <w:tab w:val="clear" w:pos="1134"/>
          <w:tab w:val="clear" w:pos="1418"/>
        </w:tabs>
        <w:ind w:left="1701"/>
      </w:pPr>
      <w:r>
        <w:t>outputs for the reporting period that contribute to the achievement of the project;</w:t>
      </w:r>
    </w:p>
    <w:p w14:paraId="1B8B4947" w14:textId="77777777" w:rsidR="00CD3E42" w:rsidRDefault="00CD3E42" w:rsidP="000A5FF5">
      <w:pPr>
        <w:pStyle w:val="AlphaParagraph"/>
        <w:numPr>
          <w:ilvl w:val="1"/>
          <w:numId w:val="18"/>
        </w:numPr>
        <w:tabs>
          <w:tab w:val="clear" w:pos="283"/>
          <w:tab w:val="clear" w:pos="567"/>
          <w:tab w:val="clear" w:pos="1134"/>
          <w:tab w:val="clear" w:pos="1418"/>
        </w:tabs>
        <w:ind w:left="1701"/>
      </w:pPr>
      <w:r>
        <w:t>detailed budget for the relevant year that complies with the relevant activities;</w:t>
      </w:r>
    </w:p>
    <w:p w14:paraId="4986F392" w14:textId="77777777" w:rsidR="00CD3E42" w:rsidRDefault="00CD3E42" w:rsidP="000A5FF5">
      <w:pPr>
        <w:pStyle w:val="AlphaParagraph"/>
        <w:numPr>
          <w:ilvl w:val="1"/>
          <w:numId w:val="18"/>
        </w:numPr>
        <w:tabs>
          <w:tab w:val="clear" w:pos="283"/>
          <w:tab w:val="clear" w:pos="567"/>
          <w:tab w:val="clear" w:pos="1134"/>
          <w:tab w:val="clear" w:pos="1418"/>
        </w:tabs>
        <w:ind w:left="1701"/>
      </w:pPr>
      <w:r>
        <w:t>indicative budget for the out years; and</w:t>
      </w:r>
    </w:p>
    <w:p w14:paraId="593B0C84" w14:textId="77777777" w:rsidR="00CD3E42" w:rsidRDefault="00CD3E42" w:rsidP="000A5FF5">
      <w:pPr>
        <w:pStyle w:val="AlphaParagraph"/>
        <w:numPr>
          <w:ilvl w:val="1"/>
          <w:numId w:val="18"/>
        </w:numPr>
        <w:tabs>
          <w:tab w:val="clear" w:pos="283"/>
          <w:tab w:val="clear" w:pos="567"/>
          <w:tab w:val="clear" w:pos="1134"/>
          <w:tab w:val="clear" w:pos="1418"/>
        </w:tabs>
        <w:ind w:left="1701"/>
      </w:pPr>
      <w:r>
        <w:t>an overview that provides certainty that the timing of planned activities for</w:t>
      </w:r>
      <w:r w:rsidR="007943E3">
        <w:t xml:space="preserve"> </w:t>
      </w:r>
      <w:r>
        <w:t>t</w:t>
      </w:r>
      <w:r w:rsidR="007943E3">
        <w:t>h</w:t>
      </w:r>
      <w:r>
        <w:t xml:space="preserve">e relevant financial year contributes to both </w:t>
      </w:r>
      <w:r w:rsidR="007943E3">
        <w:t>activities</w:t>
      </w:r>
      <w:r>
        <w:t xml:space="preserve"> achieved to date and for the out years for the project.</w:t>
      </w:r>
    </w:p>
    <w:p w14:paraId="495C140C" w14:textId="77777777" w:rsidR="00CD3E42" w:rsidRDefault="00CD3E42" w:rsidP="000A5FF5">
      <w:pPr>
        <w:pStyle w:val="AlphaParagraph"/>
        <w:numPr>
          <w:ilvl w:val="0"/>
          <w:numId w:val="18"/>
        </w:numPr>
        <w:tabs>
          <w:tab w:val="clear" w:pos="283"/>
          <w:tab w:val="clear" w:pos="567"/>
          <w:tab w:val="clear" w:pos="1134"/>
          <w:tab w:val="clear" w:pos="1418"/>
          <w:tab w:val="clear" w:pos="1701"/>
          <w:tab w:val="num" w:pos="1854"/>
        </w:tabs>
        <w:ind w:left="1287" w:hanging="567"/>
      </w:pPr>
      <w:r>
        <w:t>Submitting annual workplans by 31 March of each year of the work to be undertaken in the following financial year</w:t>
      </w:r>
    </w:p>
    <w:p w14:paraId="6C79E001" w14:textId="77777777" w:rsidR="008F44F1" w:rsidRDefault="008F44F1" w:rsidP="008F44F1">
      <w:pPr>
        <w:pStyle w:val="Heading2"/>
      </w:pPr>
      <w:r>
        <w:t>Shared roles</w:t>
      </w:r>
    </w:p>
    <w:p w14:paraId="1A9389CA" w14:textId="77777777" w:rsidR="008F44F1" w:rsidRDefault="008F44F1" w:rsidP="00C74BDD">
      <w:pPr>
        <w:pStyle w:val="Normalnumbered"/>
        <w:numPr>
          <w:ilvl w:val="0"/>
          <w:numId w:val="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2919D4F0"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F0ACAC3" w14:textId="77777777" w:rsidR="005E5F4D" w:rsidRDefault="005E5F4D" w:rsidP="00C74BDD">
      <w:pPr>
        <w:pStyle w:val="Normalnumbered"/>
        <w:numPr>
          <w:ilvl w:val="0"/>
          <w:numId w:val="9"/>
        </w:numPr>
      </w:pPr>
      <w:r>
        <w:t>The Parties acknowledge that $</w:t>
      </w:r>
      <w:r w:rsidRPr="00FF43BA">
        <w:t>1,000,000</w:t>
      </w:r>
      <w:r>
        <w:t xml:space="preserve"> (GST exclusive) has previously been paid by the Commonwealth to New South Wales in accordance with the Agreement.</w:t>
      </w:r>
    </w:p>
    <w:p w14:paraId="3C1170EF" w14:textId="08B48AF5" w:rsidR="005E5F4D" w:rsidRDefault="005E5F4D" w:rsidP="00C74BDD">
      <w:pPr>
        <w:pStyle w:val="Normalnumbered"/>
        <w:numPr>
          <w:ilvl w:val="0"/>
          <w:numId w:val="9"/>
        </w:numPr>
      </w:pPr>
      <w:r>
        <w:t>The Parties acknowledge that $</w:t>
      </w:r>
      <w:r w:rsidRPr="00FF43BA">
        <w:t>557,</w:t>
      </w:r>
      <w:r w:rsidR="003A5E0B" w:rsidRPr="00FF43BA">
        <w:t>5</w:t>
      </w:r>
      <w:r w:rsidRPr="00FF43BA">
        <w:t>00</w:t>
      </w:r>
      <w:r>
        <w:t xml:space="preserve"> of in-kind contribution has previously been provided by New South Wales in accordance with the Agreement.</w:t>
      </w:r>
      <w:r w:rsidR="003A5E0B">
        <w:t xml:space="preserve">  This </w:t>
      </w:r>
      <w:r w:rsidR="003A5E0B" w:rsidRPr="00FF43BA">
        <w:t>includes $111,500 provided</w:t>
      </w:r>
      <w:r w:rsidR="003A5E0B">
        <w:t xml:space="preserve"> in the 2015-16 financial year and not forming a part of the Performance milestones outlined in Table 1 of the Agreement.</w:t>
      </w:r>
    </w:p>
    <w:p w14:paraId="04264F5A" w14:textId="77777777" w:rsidR="006B56A7" w:rsidRDefault="006B56A7" w:rsidP="00C74BDD">
      <w:pPr>
        <w:pStyle w:val="Normalnumbered"/>
        <w:numPr>
          <w:ilvl w:val="0"/>
          <w:numId w:val="9"/>
        </w:numPr>
      </w:pPr>
      <w:r>
        <w:lastRenderedPageBreak/>
        <w:t xml:space="preserve">The output of this Agreement is the </w:t>
      </w:r>
      <w:r w:rsidRPr="003E2526">
        <w:rPr>
          <w:color w:val="auto"/>
          <w:szCs w:val="23"/>
        </w:rPr>
        <w:t>Modification, demolition or decommissioning of dams and other structures at Toorale for the purpose of facilitating downstream delivery of environmental flows.</w:t>
      </w:r>
    </w:p>
    <w:tbl>
      <w:tblPr>
        <w:tblStyle w:val="TableGrid"/>
        <w:tblpPr w:leftFromText="180" w:rightFromText="180" w:vertAnchor="page" w:horzAnchor="margin" w:tblpY="11711"/>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048"/>
        <w:gridCol w:w="1174"/>
        <w:gridCol w:w="1045"/>
        <w:gridCol w:w="1350"/>
        <w:gridCol w:w="1386"/>
      </w:tblGrid>
      <w:tr w:rsidR="00A260EC" w:rsidRPr="00134884" w14:paraId="34D221B1" w14:textId="77777777" w:rsidTr="00A260EC">
        <w:trPr>
          <w:cantSplit w:val="0"/>
        </w:trPr>
        <w:tc>
          <w:tcPr>
            <w:tcW w:w="1759" w:type="pct"/>
          </w:tcPr>
          <w:p w14:paraId="3516BC75" w14:textId="77777777" w:rsidR="00A260EC" w:rsidRPr="00134884" w:rsidRDefault="00A260EC" w:rsidP="00A260EC">
            <w:pPr>
              <w:spacing w:after="0" w:line="240" w:lineRule="auto"/>
              <w:rPr>
                <w:b/>
                <w:sz w:val="20"/>
                <w:u w:val="single"/>
              </w:rPr>
            </w:pPr>
            <w:r w:rsidRPr="00134884">
              <w:rPr>
                <w:b/>
                <w:sz w:val="20"/>
                <w:u w:val="single"/>
              </w:rPr>
              <w:t>Milestone 2</w:t>
            </w:r>
          </w:p>
          <w:p w14:paraId="4448A62D" w14:textId="77777777" w:rsidR="00A260EC" w:rsidRPr="00637CDC" w:rsidRDefault="00A260EC" w:rsidP="00A260EC">
            <w:pPr>
              <w:pStyle w:val="Heading2"/>
              <w:keepNext w:val="0"/>
              <w:spacing w:before="0" w:after="0" w:line="240" w:lineRule="auto"/>
              <w:outlineLvl w:val="1"/>
              <w:rPr>
                <w:b w:val="0"/>
                <w:color w:val="auto"/>
                <w:sz w:val="20"/>
                <w:szCs w:val="20"/>
              </w:rPr>
            </w:pPr>
            <w:r w:rsidRPr="00637CDC">
              <w:rPr>
                <w:b w:val="0"/>
                <w:color w:val="auto"/>
                <w:sz w:val="20"/>
                <w:szCs w:val="20"/>
              </w:rPr>
              <w:t>Aboriginal Heritage Impact Permit for project obtained.</w:t>
            </w:r>
          </w:p>
          <w:p w14:paraId="321BE5BD" w14:textId="77777777" w:rsidR="00A260EC" w:rsidRPr="00134884" w:rsidRDefault="00A260EC" w:rsidP="00A260EC">
            <w:pPr>
              <w:spacing w:after="0" w:line="240" w:lineRule="auto"/>
              <w:jc w:val="left"/>
              <w:rPr>
                <w:sz w:val="20"/>
              </w:rPr>
            </w:pPr>
            <w:r w:rsidRPr="00134884">
              <w:rPr>
                <w:sz w:val="20"/>
              </w:rPr>
              <w:t>Functional design of project completed.</w:t>
            </w:r>
          </w:p>
          <w:p w14:paraId="734951E2" w14:textId="77777777" w:rsidR="00A260EC" w:rsidRPr="00134884" w:rsidRDefault="00A260EC" w:rsidP="00A260EC">
            <w:pPr>
              <w:spacing w:after="0" w:line="240" w:lineRule="auto"/>
              <w:jc w:val="left"/>
              <w:rPr>
                <w:b/>
                <w:sz w:val="20"/>
                <w:u w:val="single"/>
              </w:rPr>
            </w:pPr>
            <w:r w:rsidRPr="00134884">
              <w:rPr>
                <w:sz w:val="20"/>
              </w:rPr>
              <w:t>Environmental Assessment commenced.</w:t>
            </w:r>
          </w:p>
        </w:tc>
        <w:tc>
          <w:tcPr>
            <w:tcW w:w="566" w:type="pct"/>
          </w:tcPr>
          <w:p w14:paraId="5ED73D37" w14:textId="77777777" w:rsidR="00A260EC" w:rsidRPr="00637CDC" w:rsidRDefault="00A260EC" w:rsidP="00A260EC">
            <w:pPr>
              <w:pStyle w:val="Heading2"/>
              <w:keepNext w:val="0"/>
              <w:spacing w:before="0" w:after="0" w:line="240" w:lineRule="auto"/>
              <w:outlineLvl w:val="1"/>
              <w:rPr>
                <w:b w:val="0"/>
                <w:color w:val="auto"/>
                <w:sz w:val="20"/>
                <w:szCs w:val="20"/>
              </w:rPr>
            </w:pPr>
            <w:r w:rsidRPr="00637CDC">
              <w:rPr>
                <w:b w:val="0"/>
                <w:color w:val="auto"/>
                <w:sz w:val="20"/>
                <w:szCs w:val="20"/>
              </w:rPr>
              <w:t>Apr 2018</w:t>
            </w:r>
          </w:p>
          <w:p w14:paraId="02545966" w14:textId="77777777" w:rsidR="00A260EC" w:rsidRPr="00134884" w:rsidRDefault="00A260EC" w:rsidP="00A260EC">
            <w:pPr>
              <w:tabs>
                <w:tab w:val="right" w:pos="2483"/>
              </w:tabs>
              <w:spacing w:after="0" w:line="240" w:lineRule="auto"/>
              <w:rPr>
                <w:sz w:val="20"/>
              </w:rPr>
            </w:pPr>
          </w:p>
        </w:tc>
        <w:tc>
          <w:tcPr>
            <w:tcW w:w="634" w:type="pct"/>
          </w:tcPr>
          <w:p w14:paraId="5760BC05" w14:textId="77777777" w:rsidR="004A6C06" w:rsidRPr="004A6C06" w:rsidRDefault="004A6C06" w:rsidP="004A6C06">
            <w:pPr>
              <w:spacing w:after="0" w:line="240" w:lineRule="auto"/>
              <w:jc w:val="right"/>
              <w:rPr>
                <w:sz w:val="20"/>
              </w:rPr>
            </w:pPr>
            <w:r w:rsidRPr="002E3D13">
              <w:rPr>
                <w:sz w:val="20"/>
                <w:highlight w:val="black"/>
              </w:rPr>
              <w:t>XXXX</w:t>
            </w:r>
          </w:p>
          <w:p w14:paraId="1EBC27E6" w14:textId="3519ECED" w:rsidR="00A260EC" w:rsidRPr="00134884" w:rsidRDefault="004A6C06" w:rsidP="004A6C06">
            <w:pPr>
              <w:spacing w:after="0" w:line="240" w:lineRule="auto"/>
              <w:jc w:val="right"/>
              <w:rPr>
                <w:b/>
                <w:sz w:val="20"/>
              </w:rPr>
            </w:pPr>
            <w:r w:rsidRPr="00134884">
              <w:rPr>
                <w:sz w:val="20"/>
              </w:rPr>
              <w:t xml:space="preserve"> </w:t>
            </w:r>
            <w:r w:rsidR="00A260EC" w:rsidRPr="00134884">
              <w:rPr>
                <w:sz w:val="20"/>
              </w:rPr>
              <w:t>(Provided)</w:t>
            </w:r>
          </w:p>
        </w:tc>
        <w:tc>
          <w:tcPr>
            <w:tcW w:w="564" w:type="pct"/>
          </w:tcPr>
          <w:p w14:paraId="33536937" w14:textId="77777777" w:rsidR="00A260EC" w:rsidRPr="00134884" w:rsidRDefault="00A260EC" w:rsidP="00A260EC">
            <w:pPr>
              <w:spacing w:after="0" w:line="240" w:lineRule="auto"/>
              <w:jc w:val="right"/>
              <w:rPr>
                <w:b/>
                <w:sz w:val="20"/>
              </w:rPr>
            </w:pPr>
          </w:p>
        </w:tc>
        <w:tc>
          <w:tcPr>
            <w:tcW w:w="729" w:type="pct"/>
          </w:tcPr>
          <w:p w14:paraId="01444A12" w14:textId="77777777" w:rsidR="004A6C06" w:rsidRPr="004A6C06" w:rsidRDefault="004A6C06" w:rsidP="004A6C06">
            <w:pPr>
              <w:spacing w:after="0" w:line="240" w:lineRule="auto"/>
              <w:jc w:val="right"/>
              <w:rPr>
                <w:sz w:val="20"/>
              </w:rPr>
            </w:pPr>
            <w:r w:rsidRPr="002E3D13">
              <w:rPr>
                <w:sz w:val="20"/>
                <w:highlight w:val="black"/>
              </w:rPr>
              <w:t>XXXX</w:t>
            </w:r>
          </w:p>
          <w:p w14:paraId="4728E52A" w14:textId="33DA525B" w:rsidR="00A260EC" w:rsidRPr="00134884" w:rsidRDefault="004A6C06" w:rsidP="004A6C06">
            <w:pPr>
              <w:spacing w:after="0" w:line="240" w:lineRule="auto"/>
              <w:jc w:val="right"/>
              <w:rPr>
                <w:b/>
                <w:sz w:val="20"/>
              </w:rPr>
            </w:pPr>
            <w:r w:rsidRPr="00134884">
              <w:rPr>
                <w:sz w:val="20"/>
              </w:rPr>
              <w:t xml:space="preserve"> </w:t>
            </w:r>
            <w:r w:rsidR="00A260EC" w:rsidRPr="00134884">
              <w:rPr>
                <w:sz w:val="20"/>
              </w:rPr>
              <w:t>(Paid)</w:t>
            </w:r>
          </w:p>
        </w:tc>
        <w:tc>
          <w:tcPr>
            <w:tcW w:w="748" w:type="pct"/>
          </w:tcPr>
          <w:p w14:paraId="1F57451C" w14:textId="77777777" w:rsidR="004A6C06" w:rsidRPr="004A6C06" w:rsidRDefault="004A6C06" w:rsidP="004A6C06">
            <w:pPr>
              <w:spacing w:after="0" w:line="240" w:lineRule="auto"/>
              <w:jc w:val="right"/>
              <w:rPr>
                <w:sz w:val="20"/>
              </w:rPr>
            </w:pPr>
            <w:r w:rsidRPr="002E3D13">
              <w:rPr>
                <w:sz w:val="20"/>
                <w:highlight w:val="black"/>
              </w:rPr>
              <w:t>XXXX</w:t>
            </w:r>
          </w:p>
          <w:p w14:paraId="06EC5DAB" w14:textId="46CC1BE7" w:rsidR="00A260EC" w:rsidRPr="002E1D9F" w:rsidRDefault="00A260EC" w:rsidP="00A260EC">
            <w:pPr>
              <w:spacing w:after="0" w:line="240" w:lineRule="auto"/>
              <w:jc w:val="right"/>
              <w:rPr>
                <w:b/>
                <w:sz w:val="20"/>
                <w:highlight w:val="black"/>
              </w:rPr>
            </w:pPr>
          </w:p>
        </w:tc>
      </w:tr>
    </w:tbl>
    <w:tbl>
      <w:tblPr>
        <w:tblStyle w:val="TableGrid"/>
        <w:tblpPr w:leftFromText="180" w:rightFromText="180" w:vertAnchor="page" w:horzAnchor="margin" w:tblpY="13431"/>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048"/>
        <w:gridCol w:w="1174"/>
        <w:gridCol w:w="1045"/>
        <w:gridCol w:w="1350"/>
        <w:gridCol w:w="1386"/>
      </w:tblGrid>
      <w:tr w:rsidR="004A6C06" w:rsidRPr="00134884" w14:paraId="3E4D9452" w14:textId="77777777" w:rsidTr="00FF43BA">
        <w:trPr>
          <w:cantSplit w:val="0"/>
        </w:trPr>
        <w:tc>
          <w:tcPr>
            <w:tcW w:w="1759" w:type="pct"/>
          </w:tcPr>
          <w:p w14:paraId="698E6114" w14:textId="77777777" w:rsidR="004A6C06" w:rsidRPr="00134884" w:rsidRDefault="004A6C06" w:rsidP="004A6C06">
            <w:pPr>
              <w:spacing w:after="0" w:line="240" w:lineRule="auto"/>
              <w:rPr>
                <w:sz w:val="20"/>
              </w:rPr>
            </w:pPr>
            <w:r w:rsidRPr="00134884">
              <w:rPr>
                <w:b/>
                <w:sz w:val="20"/>
                <w:u w:val="single"/>
              </w:rPr>
              <w:t>Milestone 3 - Progress Report</w:t>
            </w:r>
            <w:r w:rsidRPr="00134884">
              <w:rPr>
                <w:sz w:val="20"/>
              </w:rPr>
              <w:t>.</w:t>
            </w:r>
          </w:p>
          <w:p w14:paraId="162F3833" w14:textId="77777777" w:rsidR="004A6C06" w:rsidRPr="00134884" w:rsidRDefault="004A6C06" w:rsidP="004A6C06">
            <w:pPr>
              <w:spacing w:after="0" w:line="240" w:lineRule="auto"/>
              <w:jc w:val="left"/>
              <w:rPr>
                <w:sz w:val="20"/>
              </w:rPr>
            </w:pPr>
            <w:r w:rsidRPr="00134884">
              <w:rPr>
                <w:sz w:val="20"/>
              </w:rPr>
              <w:t xml:space="preserve">Provision of a progress report showing achievement against approved </w:t>
            </w:r>
            <w:r w:rsidRPr="00637CDC">
              <w:rPr>
                <w:sz w:val="20"/>
              </w:rPr>
              <w:t>annual work plan for reporting period</w:t>
            </w:r>
            <w:r w:rsidRPr="00637CDC" w:rsidDel="00CB1FC8">
              <w:rPr>
                <w:sz w:val="20"/>
              </w:rPr>
              <w:t xml:space="preserve"> </w:t>
            </w:r>
            <w:r w:rsidRPr="00637CDC">
              <w:rPr>
                <w:b/>
                <w:sz w:val="20"/>
              </w:rPr>
              <w:t>1 July 2018 to 31 December 2018</w:t>
            </w:r>
            <w:r w:rsidRPr="00637CDC">
              <w:rPr>
                <w:sz w:val="20"/>
              </w:rPr>
              <w:t>.</w:t>
            </w:r>
            <w:r w:rsidRPr="00134884">
              <w:rPr>
                <w:sz w:val="20"/>
              </w:rPr>
              <w:t xml:space="preserve"> (Reporting period 1)</w:t>
            </w:r>
          </w:p>
        </w:tc>
        <w:tc>
          <w:tcPr>
            <w:tcW w:w="566" w:type="pct"/>
          </w:tcPr>
          <w:p w14:paraId="2C8BC0A4" w14:textId="77777777" w:rsidR="004A6C06" w:rsidRPr="00134884" w:rsidRDefault="004A6C06" w:rsidP="004A6C06">
            <w:pPr>
              <w:tabs>
                <w:tab w:val="right" w:pos="2483"/>
              </w:tabs>
              <w:spacing w:after="0" w:line="240" w:lineRule="auto"/>
              <w:rPr>
                <w:sz w:val="20"/>
              </w:rPr>
            </w:pPr>
            <w:r w:rsidRPr="00134884">
              <w:rPr>
                <w:sz w:val="20"/>
              </w:rPr>
              <w:t>31 Mar 19</w:t>
            </w:r>
            <w:r w:rsidRPr="00134884">
              <w:rPr>
                <w:sz w:val="20"/>
              </w:rPr>
              <w:br/>
            </w:r>
          </w:p>
        </w:tc>
        <w:tc>
          <w:tcPr>
            <w:tcW w:w="634" w:type="pct"/>
          </w:tcPr>
          <w:p w14:paraId="1442FC48" w14:textId="77777777" w:rsidR="004A6C06" w:rsidRPr="002E3D13" w:rsidRDefault="004A6C06" w:rsidP="004A6C06">
            <w:pPr>
              <w:spacing w:after="0" w:line="240" w:lineRule="auto"/>
              <w:jc w:val="right"/>
              <w:rPr>
                <w:sz w:val="20"/>
                <w:highlight w:val="black"/>
              </w:rPr>
            </w:pPr>
            <w:r w:rsidRPr="002E3D13">
              <w:rPr>
                <w:sz w:val="20"/>
                <w:highlight w:val="black"/>
              </w:rPr>
              <w:t>XXXX</w:t>
            </w:r>
          </w:p>
          <w:p w14:paraId="086A0B54" w14:textId="3A7777FD" w:rsidR="004A6C06" w:rsidRPr="002E3D13" w:rsidRDefault="004A6C06" w:rsidP="004A6C06">
            <w:pPr>
              <w:spacing w:after="0" w:line="240" w:lineRule="auto"/>
              <w:jc w:val="right"/>
              <w:rPr>
                <w:b/>
                <w:sz w:val="20"/>
                <w:highlight w:val="black"/>
              </w:rPr>
            </w:pPr>
          </w:p>
        </w:tc>
        <w:tc>
          <w:tcPr>
            <w:tcW w:w="564" w:type="pct"/>
          </w:tcPr>
          <w:p w14:paraId="67414E62" w14:textId="73BBB65E"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0A4A2A6F" w14:textId="37205094" w:rsidR="004A6C06" w:rsidRPr="002E3D13" w:rsidRDefault="004A6C06" w:rsidP="004A6C06">
            <w:pPr>
              <w:spacing w:after="0" w:line="240" w:lineRule="auto"/>
              <w:jc w:val="right"/>
              <w:rPr>
                <w:sz w:val="20"/>
                <w:highlight w:val="black"/>
              </w:rPr>
            </w:pPr>
            <w:r w:rsidRPr="002E3D13">
              <w:rPr>
                <w:sz w:val="20"/>
                <w:highlight w:val="black"/>
              </w:rPr>
              <w:t>XXXX</w:t>
            </w:r>
          </w:p>
        </w:tc>
        <w:tc>
          <w:tcPr>
            <w:tcW w:w="748" w:type="pct"/>
          </w:tcPr>
          <w:p w14:paraId="1E248ECA" w14:textId="351B6AA4" w:rsidR="004A6C06" w:rsidRPr="002E3D13" w:rsidRDefault="004A6C06" w:rsidP="004A6C06">
            <w:pPr>
              <w:spacing w:after="0" w:line="240" w:lineRule="auto"/>
              <w:jc w:val="right"/>
              <w:rPr>
                <w:sz w:val="20"/>
                <w:highlight w:val="black"/>
              </w:rPr>
            </w:pPr>
            <w:r w:rsidRPr="002E3D13">
              <w:rPr>
                <w:sz w:val="20"/>
                <w:highlight w:val="black"/>
              </w:rPr>
              <w:t>XXXX</w:t>
            </w:r>
          </w:p>
          <w:p w14:paraId="7CFBAAA1" w14:textId="7702EF29" w:rsidR="004A6C06" w:rsidRPr="002E3D13" w:rsidRDefault="004A6C06" w:rsidP="004A6C06">
            <w:pPr>
              <w:spacing w:after="0" w:line="240" w:lineRule="auto"/>
              <w:jc w:val="right"/>
              <w:rPr>
                <w:b/>
                <w:sz w:val="20"/>
                <w:highlight w:val="black"/>
              </w:rPr>
            </w:pPr>
            <w:r w:rsidRPr="002E3D13">
              <w:rPr>
                <w:b/>
                <w:sz w:val="20"/>
                <w:highlight w:val="black"/>
              </w:rPr>
              <w:t xml:space="preserve"> </w:t>
            </w:r>
          </w:p>
          <w:p w14:paraId="5DCDE16A" w14:textId="77777777" w:rsidR="004A6C06" w:rsidRPr="002E3D13" w:rsidRDefault="004A6C06" w:rsidP="004A6C06">
            <w:pPr>
              <w:spacing w:after="0" w:line="240" w:lineRule="auto"/>
              <w:jc w:val="right"/>
              <w:rPr>
                <w:b/>
                <w:sz w:val="20"/>
                <w:highlight w:val="black"/>
              </w:rPr>
            </w:pPr>
          </w:p>
        </w:tc>
      </w:tr>
    </w:tbl>
    <w:p w14:paraId="4CBEF0F5" w14:textId="77777777" w:rsidR="00F72BAF" w:rsidRDefault="00545DF7" w:rsidP="00637CDC">
      <w:pPr>
        <w:pStyle w:val="Normalnumbered"/>
        <w:numPr>
          <w:ilvl w:val="0"/>
          <w:numId w:val="9"/>
        </w:numPr>
        <w:spacing w:after="0" w:line="240" w:lineRule="auto"/>
      </w:pPr>
      <w:r w:rsidRPr="00DE36EB">
        <w:t>T</w:t>
      </w:r>
      <w:r w:rsidR="007C4F31" w:rsidRPr="00DE36EB">
        <w:t xml:space="preserve">able </w:t>
      </w:r>
      <w:r w:rsidRPr="00DE36EB">
        <w:t>1</w:t>
      </w:r>
      <w:r>
        <w:t xml:space="preserve"> </w:t>
      </w:r>
      <w:r w:rsidR="007C4F31">
        <w:t xml:space="preserve">summarises the milestones for the project, relevant reporting dates and expected payments </w:t>
      </w:r>
      <w:r w:rsidR="0077685D">
        <w:t>to be made</w:t>
      </w:r>
      <w:r w:rsidR="00ED2AC4">
        <w:t>. The Commonwealth will make payments subject to performance report</w:t>
      </w:r>
      <w:r w:rsidR="003959F8">
        <w:t>s</w:t>
      </w:r>
      <w:r w:rsidR="00ED2AC4">
        <w:t xml:space="preserve"> demonstrating the </w:t>
      </w:r>
      <w:r w:rsidR="00ED2AC4" w:rsidRPr="00EF6486">
        <w:rPr>
          <w:szCs w:val="23"/>
        </w:rPr>
        <w:t>milestone</w:t>
      </w:r>
      <w:r w:rsidR="003959F8">
        <w:rPr>
          <w:szCs w:val="23"/>
        </w:rPr>
        <w:t>s</w:t>
      </w:r>
      <w:r w:rsidR="00ED2AC4" w:rsidRPr="00EF6486">
        <w:rPr>
          <w:szCs w:val="23"/>
        </w:rPr>
        <w:t xml:space="preserve"> </w:t>
      </w:r>
      <w:r w:rsidR="00ED2AC4">
        <w:t>ha</w:t>
      </w:r>
      <w:r w:rsidR="003959F8">
        <w:t>ve</w:t>
      </w:r>
      <w:r w:rsidR="00ED2AC4">
        <w:t xml:space="preserve"> been met.</w:t>
      </w:r>
    </w:p>
    <w:p w14:paraId="79D11AA2" w14:textId="77777777" w:rsidR="008D1518" w:rsidRDefault="008D1518" w:rsidP="00637CDC">
      <w:pPr>
        <w:pStyle w:val="Normalnumbered"/>
        <w:numPr>
          <w:ilvl w:val="0"/>
          <w:numId w:val="0"/>
        </w:numPr>
        <w:spacing w:after="0"/>
        <w:ind w:left="567"/>
      </w:pPr>
    </w:p>
    <w:p w14:paraId="6AF727EC" w14:textId="35667C93" w:rsidR="008D1518" w:rsidRDefault="008D1518" w:rsidP="00637CDC">
      <w:pPr>
        <w:pStyle w:val="Normalnumbered"/>
        <w:numPr>
          <w:ilvl w:val="0"/>
          <w:numId w:val="0"/>
        </w:numPr>
        <w:spacing w:after="0"/>
        <w:ind w:left="567"/>
        <w:rPr>
          <w:b/>
        </w:rPr>
      </w:pPr>
      <w:r>
        <w:rPr>
          <w:b/>
        </w:rPr>
        <w:t>Table 1: Milestone Summary</w:t>
      </w:r>
    </w:p>
    <w:tbl>
      <w:tblPr>
        <w:tblStyle w:val="TableGrid"/>
        <w:tblpPr w:leftFromText="180" w:rightFromText="180" w:vertAnchor="page" w:horzAnchor="margin" w:tblpY="3761"/>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048"/>
        <w:gridCol w:w="1174"/>
        <w:gridCol w:w="1045"/>
        <w:gridCol w:w="1350"/>
        <w:gridCol w:w="1386"/>
      </w:tblGrid>
      <w:tr w:rsidR="00BE3BF8" w:rsidRPr="00134884" w14:paraId="2F2DAC4F" w14:textId="77777777" w:rsidTr="00FF43BA">
        <w:trPr>
          <w:cantSplit w:val="0"/>
          <w:tblHeader/>
        </w:trPr>
        <w:tc>
          <w:tcPr>
            <w:tcW w:w="1759" w:type="pct"/>
            <w:shd w:val="clear" w:color="auto" w:fill="auto"/>
          </w:tcPr>
          <w:p w14:paraId="57BCAE1A" w14:textId="77777777" w:rsidR="00BE3BF8" w:rsidRPr="00134884" w:rsidRDefault="00BE3BF8" w:rsidP="00FF43BA">
            <w:pPr>
              <w:widowControl w:val="0"/>
              <w:spacing w:after="0" w:line="240" w:lineRule="auto"/>
              <w:rPr>
                <w:b/>
                <w:sz w:val="20"/>
              </w:rPr>
            </w:pPr>
            <w:r w:rsidRPr="00134884">
              <w:rPr>
                <w:b/>
                <w:sz w:val="20"/>
              </w:rPr>
              <w:t>Performance milestones</w:t>
            </w:r>
          </w:p>
          <w:p w14:paraId="7C6FFCA0" w14:textId="77777777" w:rsidR="00BE3BF8" w:rsidRPr="00134884" w:rsidRDefault="00BE3BF8" w:rsidP="00FF43BA">
            <w:pPr>
              <w:rPr>
                <w:b/>
                <w:sz w:val="20"/>
              </w:rPr>
            </w:pPr>
          </w:p>
        </w:tc>
        <w:tc>
          <w:tcPr>
            <w:tcW w:w="566" w:type="pct"/>
            <w:shd w:val="clear" w:color="auto" w:fill="auto"/>
          </w:tcPr>
          <w:p w14:paraId="6F3B7684" w14:textId="77777777" w:rsidR="00BE3BF8" w:rsidRPr="00134884" w:rsidRDefault="00BE3BF8" w:rsidP="00FF43BA">
            <w:pPr>
              <w:rPr>
                <w:b/>
                <w:sz w:val="20"/>
              </w:rPr>
            </w:pPr>
            <w:r w:rsidRPr="00134884">
              <w:rPr>
                <w:b/>
                <w:sz w:val="20"/>
              </w:rPr>
              <w:t>Report / Action Due</w:t>
            </w:r>
          </w:p>
        </w:tc>
        <w:tc>
          <w:tcPr>
            <w:tcW w:w="1198" w:type="pct"/>
            <w:gridSpan w:val="2"/>
            <w:shd w:val="clear" w:color="auto" w:fill="auto"/>
          </w:tcPr>
          <w:p w14:paraId="573E9179" w14:textId="77777777" w:rsidR="00BE3BF8" w:rsidRPr="00134884" w:rsidRDefault="00BE3BF8" w:rsidP="00FF43BA">
            <w:pPr>
              <w:jc w:val="right"/>
              <w:rPr>
                <w:b/>
                <w:sz w:val="20"/>
              </w:rPr>
            </w:pPr>
            <w:r w:rsidRPr="00134884">
              <w:rPr>
                <w:b/>
                <w:sz w:val="20"/>
              </w:rPr>
              <w:t xml:space="preserve">NSW Contribution </w:t>
            </w:r>
          </w:p>
        </w:tc>
        <w:tc>
          <w:tcPr>
            <w:tcW w:w="729" w:type="pct"/>
            <w:shd w:val="clear" w:color="auto" w:fill="auto"/>
          </w:tcPr>
          <w:p w14:paraId="165FC1FA" w14:textId="77777777" w:rsidR="00BE3BF8" w:rsidRPr="00134884" w:rsidRDefault="00BE3BF8" w:rsidP="00FF43BA">
            <w:pPr>
              <w:jc w:val="right"/>
              <w:rPr>
                <w:b/>
                <w:sz w:val="20"/>
              </w:rPr>
            </w:pPr>
            <w:r w:rsidRPr="00134884">
              <w:rPr>
                <w:b/>
                <w:sz w:val="20"/>
              </w:rPr>
              <w:t>Australian Government contribution</w:t>
            </w:r>
          </w:p>
        </w:tc>
        <w:tc>
          <w:tcPr>
            <w:tcW w:w="748" w:type="pct"/>
            <w:vMerge w:val="restart"/>
            <w:shd w:val="clear" w:color="auto" w:fill="auto"/>
          </w:tcPr>
          <w:p w14:paraId="72A14053" w14:textId="77777777" w:rsidR="00BE3BF8" w:rsidRPr="00134884" w:rsidRDefault="00BE3BF8" w:rsidP="00FF43BA">
            <w:pPr>
              <w:jc w:val="right"/>
              <w:rPr>
                <w:b/>
                <w:sz w:val="20"/>
              </w:rPr>
            </w:pPr>
            <w:r w:rsidRPr="00134884">
              <w:rPr>
                <w:b/>
                <w:sz w:val="20"/>
              </w:rPr>
              <w:t>Total</w:t>
            </w:r>
          </w:p>
        </w:tc>
      </w:tr>
      <w:tr w:rsidR="00BE3BF8" w:rsidRPr="00134884" w14:paraId="5BDFEBB2" w14:textId="77777777" w:rsidTr="00FF43BA">
        <w:trPr>
          <w:cantSplit w:val="0"/>
        </w:trPr>
        <w:tc>
          <w:tcPr>
            <w:tcW w:w="2325" w:type="pct"/>
            <w:gridSpan w:val="2"/>
            <w:shd w:val="clear" w:color="auto" w:fill="auto"/>
          </w:tcPr>
          <w:p w14:paraId="06382BCB" w14:textId="77777777" w:rsidR="00BE3BF8" w:rsidRPr="00134884" w:rsidRDefault="00BE3BF8" w:rsidP="00FF43BA">
            <w:pPr>
              <w:rPr>
                <w:b/>
                <w:sz w:val="20"/>
              </w:rPr>
            </w:pPr>
          </w:p>
        </w:tc>
        <w:tc>
          <w:tcPr>
            <w:tcW w:w="634" w:type="pct"/>
            <w:shd w:val="clear" w:color="auto" w:fill="auto"/>
          </w:tcPr>
          <w:p w14:paraId="33F4BD19" w14:textId="77777777" w:rsidR="00BE3BF8" w:rsidRPr="00134884" w:rsidRDefault="00BE3BF8" w:rsidP="00FF43BA">
            <w:pPr>
              <w:jc w:val="right"/>
              <w:rPr>
                <w:b/>
                <w:sz w:val="20"/>
              </w:rPr>
            </w:pPr>
            <w:r w:rsidRPr="00134884">
              <w:rPr>
                <w:b/>
                <w:sz w:val="20"/>
              </w:rPr>
              <w:t>In-Kind</w:t>
            </w:r>
          </w:p>
        </w:tc>
        <w:tc>
          <w:tcPr>
            <w:tcW w:w="564" w:type="pct"/>
            <w:shd w:val="clear" w:color="auto" w:fill="auto"/>
          </w:tcPr>
          <w:p w14:paraId="4F074451" w14:textId="77777777" w:rsidR="00BE3BF8" w:rsidRPr="00134884" w:rsidRDefault="00BE3BF8" w:rsidP="00FF43BA">
            <w:pPr>
              <w:jc w:val="right"/>
              <w:rPr>
                <w:b/>
                <w:sz w:val="20"/>
              </w:rPr>
            </w:pPr>
            <w:r w:rsidRPr="00134884">
              <w:rPr>
                <w:b/>
                <w:sz w:val="20"/>
              </w:rPr>
              <w:t>Cash</w:t>
            </w:r>
          </w:p>
        </w:tc>
        <w:tc>
          <w:tcPr>
            <w:tcW w:w="729" w:type="pct"/>
            <w:shd w:val="clear" w:color="auto" w:fill="auto"/>
          </w:tcPr>
          <w:p w14:paraId="64D4C844" w14:textId="77777777" w:rsidR="00BE3BF8" w:rsidRPr="00134884" w:rsidRDefault="00BE3BF8" w:rsidP="00FF43BA">
            <w:pPr>
              <w:jc w:val="right"/>
              <w:rPr>
                <w:b/>
                <w:sz w:val="20"/>
              </w:rPr>
            </w:pPr>
            <w:r w:rsidRPr="00134884">
              <w:rPr>
                <w:b/>
                <w:sz w:val="20"/>
              </w:rPr>
              <w:t>Cash</w:t>
            </w:r>
          </w:p>
        </w:tc>
        <w:tc>
          <w:tcPr>
            <w:tcW w:w="748" w:type="pct"/>
            <w:vMerge/>
            <w:shd w:val="clear" w:color="auto" w:fill="auto"/>
          </w:tcPr>
          <w:p w14:paraId="5213C7AC" w14:textId="77777777" w:rsidR="00BE3BF8" w:rsidRPr="00134884" w:rsidRDefault="00BE3BF8" w:rsidP="00FF43BA">
            <w:pPr>
              <w:jc w:val="right"/>
              <w:rPr>
                <w:b/>
                <w:sz w:val="20"/>
              </w:rPr>
            </w:pPr>
          </w:p>
        </w:tc>
      </w:tr>
      <w:tr w:rsidR="00BE3BF8" w:rsidRPr="00134884" w14:paraId="6428F7EA" w14:textId="77777777" w:rsidTr="00FF43BA">
        <w:trPr>
          <w:cantSplit w:val="0"/>
        </w:trPr>
        <w:tc>
          <w:tcPr>
            <w:tcW w:w="1759" w:type="pct"/>
          </w:tcPr>
          <w:p w14:paraId="3862002E" w14:textId="77777777" w:rsidR="00BE3BF8" w:rsidRPr="00637CDC" w:rsidRDefault="00BE3BF8" w:rsidP="00FF43BA">
            <w:pPr>
              <w:pStyle w:val="Heading2"/>
              <w:keepNext w:val="0"/>
              <w:spacing w:before="0" w:after="0" w:line="240" w:lineRule="auto"/>
              <w:outlineLvl w:val="1"/>
              <w:rPr>
                <w:b w:val="0"/>
                <w:color w:val="auto"/>
                <w:sz w:val="20"/>
                <w:szCs w:val="20"/>
                <w:u w:val="single"/>
              </w:rPr>
            </w:pPr>
            <w:r w:rsidRPr="00637CDC">
              <w:rPr>
                <w:b w:val="0"/>
                <w:color w:val="auto"/>
                <w:sz w:val="20"/>
                <w:szCs w:val="20"/>
                <w:u w:val="single"/>
              </w:rPr>
              <w:t>Milestone 1</w:t>
            </w:r>
          </w:p>
          <w:p w14:paraId="22ADA97F" w14:textId="77777777" w:rsidR="00BE3BF8" w:rsidRPr="00637CDC" w:rsidRDefault="00BE3BF8" w:rsidP="00FF43BA">
            <w:pPr>
              <w:pStyle w:val="Heading2"/>
              <w:keepNext w:val="0"/>
              <w:spacing w:before="0" w:after="0" w:line="240" w:lineRule="auto"/>
              <w:ind w:left="313" w:hanging="313"/>
              <w:outlineLvl w:val="1"/>
              <w:rPr>
                <w:b w:val="0"/>
                <w:color w:val="auto"/>
                <w:sz w:val="20"/>
                <w:szCs w:val="20"/>
              </w:rPr>
            </w:pPr>
            <w:r w:rsidRPr="00637CDC">
              <w:rPr>
                <w:b w:val="0"/>
                <w:color w:val="auto"/>
                <w:sz w:val="20"/>
                <w:szCs w:val="20"/>
              </w:rPr>
              <w:t xml:space="preserve">(a) </w:t>
            </w:r>
            <w:r w:rsidRPr="00637CDC">
              <w:rPr>
                <w:b w:val="0"/>
                <w:color w:val="auto"/>
                <w:sz w:val="20"/>
                <w:szCs w:val="20"/>
              </w:rPr>
              <w:tab/>
              <w:t>Finalisation of Business Case to inform project implementation.</w:t>
            </w:r>
          </w:p>
          <w:p w14:paraId="7B4C3D3B" w14:textId="77777777" w:rsidR="00BE3BF8" w:rsidRPr="00637CDC" w:rsidRDefault="00BE3BF8" w:rsidP="00FF43BA">
            <w:pPr>
              <w:pStyle w:val="Heading2"/>
              <w:keepNext w:val="0"/>
              <w:spacing w:before="0" w:after="0" w:line="240" w:lineRule="auto"/>
              <w:ind w:left="313" w:hanging="313"/>
              <w:outlineLvl w:val="1"/>
              <w:rPr>
                <w:b w:val="0"/>
                <w:color w:val="auto"/>
                <w:sz w:val="20"/>
                <w:szCs w:val="20"/>
              </w:rPr>
            </w:pPr>
            <w:r w:rsidRPr="00637CDC">
              <w:rPr>
                <w:b w:val="0"/>
                <w:color w:val="auto"/>
                <w:sz w:val="20"/>
                <w:szCs w:val="20"/>
              </w:rPr>
              <w:t xml:space="preserve">(b) </w:t>
            </w:r>
            <w:r w:rsidRPr="00637CDC">
              <w:rPr>
                <w:b w:val="0"/>
                <w:color w:val="auto"/>
                <w:sz w:val="20"/>
                <w:szCs w:val="20"/>
              </w:rPr>
              <w:tab/>
              <w:t>Consultation and identification of preferred arrangement of infrastructure modification works that allow the efficient delivery of environmental water, including Commonwealth environmental water.</w:t>
            </w:r>
          </w:p>
          <w:p w14:paraId="36D6074E" w14:textId="77777777" w:rsidR="00BE3BF8" w:rsidRPr="00637CDC" w:rsidRDefault="00BE3BF8" w:rsidP="00FF43BA">
            <w:pPr>
              <w:pStyle w:val="Heading2"/>
              <w:keepNext w:val="0"/>
              <w:spacing w:before="0" w:after="0" w:line="240" w:lineRule="auto"/>
              <w:ind w:left="313" w:hanging="313"/>
              <w:outlineLvl w:val="1"/>
              <w:rPr>
                <w:b w:val="0"/>
                <w:color w:val="auto"/>
                <w:sz w:val="20"/>
                <w:szCs w:val="20"/>
              </w:rPr>
            </w:pPr>
            <w:r w:rsidRPr="00637CDC">
              <w:rPr>
                <w:b w:val="0"/>
                <w:color w:val="auto"/>
                <w:sz w:val="20"/>
                <w:szCs w:val="20"/>
              </w:rPr>
              <w:t xml:space="preserve">(c) </w:t>
            </w:r>
            <w:r w:rsidRPr="00637CDC">
              <w:rPr>
                <w:b w:val="0"/>
                <w:color w:val="auto"/>
                <w:sz w:val="20"/>
                <w:szCs w:val="20"/>
              </w:rPr>
              <w:tab/>
              <w:t>Provision to the Commonwealth of the following documents updated to meet current requirements for such plans and guidelines (previously provided under item C.5. of the Original Funding Agreement):</w:t>
            </w:r>
          </w:p>
          <w:p w14:paraId="4BE31360" w14:textId="77777777" w:rsidR="00BE3BF8" w:rsidRPr="00637CDC" w:rsidRDefault="00BE3BF8" w:rsidP="00FF43BA">
            <w:pPr>
              <w:pStyle w:val="Heading2"/>
              <w:keepNext w:val="0"/>
              <w:numPr>
                <w:ilvl w:val="0"/>
                <w:numId w:val="23"/>
              </w:numPr>
              <w:spacing w:before="0" w:after="0" w:line="240" w:lineRule="auto"/>
              <w:outlineLvl w:val="1"/>
              <w:rPr>
                <w:b w:val="0"/>
                <w:color w:val="auto"/>
                <w:sz w:val="20"/>
                <w:szCs w:val="20"/>
              </w:rPr>
            </w:pPr>
            <w:r w:rsidRPr="00637CDC">
              <w:rPr>
                <w:b w:val="0"/>
                <w:color w:val="auto"/>
                <w:sz w:val="20"/>
                <w:szCs w:val="20"/>
              </w:rPr>
              <w:t>Interim Management Guidelines;</w:t>
            </w:r>
          </w:p>
          <w:p w14:paraId="616B341F" w14:textId="77777777" w:rsidR="00BE3BF8" w:rsidRPr="00637CDC" w:rsidRDefault="00BE3BF8" w:rsidP="00FF43BA">
            <w:pPr>
              <w:pStyle w:val="Heading2"/>
              <w:keepNext w:val="0"/>
              <w:numPr>
                <w:ilvl w:val="0"/>
                <w:numId w:val="23"/>
              </w:numPr>
              <w:spacing w:before="0" w:after="0" w:line="240" w:lineRule="auto"/>
              <w:outlineLvl w:val="1"/>
              <w:rPr>
                <w:b w:val="0"/>
                <w:color w:val="auto"/>
                <w:sz w:val="20"/>
                <w:szCs w:val="20"/>
              </w:rPr>
            </w:pPr>
            <w:r w:rsidRPr="00637CDC">
              <w:rPr>
                <w:b w:val="0"/>
                <w:color w:val="auto"/>
                <w:sz w:val="20"/>
                <w:szCs w:val="20"/>
              </w:rPr>
              <w:t>Property Water Management Plan;</w:t>
            </w:r>
          </w:p>
          <w:p w14:paraId="68BB78D4" w14:textId="77777777" w:rsidR="00BE3BF8" w:rsidRPr="00637CDC" w:rsidRDefault="00BE3BF8" w:rsidP="00FF43BA">
            <w:pPr>
              <w:pStyle w:val="Heading2"/>
              <w:keepNext w:val="0"/>
              <w:numPr>
                <w:ilvl w:val="0"/>
                <w:numId w:val="23"/>
              </w:numPr>
              <w:spacing w:before="0" w:after="0" w:line="240" w:lineRule="auto"/>
              <w:outlineLvl w:val="1"/>
              <w:rPr>
                <w:b w:val="0"/>
                <w:color w:val="auto"/>
                <w:sz w:val="20"/>
                <w:szCs w:val="20"/>
              </w:rPr>
            </w:pPr>
            <w:r w:rsidRPr="00637CDC">
              <w:rPr>
                <w:b w:val="0"/>
                <w:color w:val="auto"/>
                <w:sz w:val="20"/>
                <w:szCs w:val="20"/>
              </w:rPr>
              <w:t>Plan of Management of the Land; and</w:t>
            </w:r>
          </w:p>
          <w:p w14:paraId="7B17489C" w14:textId="77777777" w:rsidR="00BE3BF8" w:rsidRPr="00637CDC" w:rsidRDefault="00BE3BF8" w:rsidP="00FF43BA">
            <w:pPr>
              <w:pStyle w:val="ListParagraph"/>
              <w:numPr>
                <w:ilvl w:val="0"/>
                <w:numId w:val="23"/>
              </w:numPr>
              <w:contextualSpacing/>
              <w:rPr>
                <w:rFonts w:ascii="Corbel" w:hAnsi="Corbel"/>
                <w:sz w:val="20"/>
                <w:szCs w:val="20"/>
              </w:rPr>
            </w:pPr>
            <w:r w:rsidRPr="00637CDC">
              <w:rPr>
                <w:rFonts w:ascii="Corbel" w:hAnsi="Corbel"/>
                <w:sz w:val="20"/>
                <w:szCs w:val="20"/>
              </w:rPr>
              <w:t>Environmental Watering Plan.</w:t>
            </w:r>
          </w:p>
          <w:p w14:paraId="47498295" w14:textId="77777777" w:rsidR="00BE3BF8" w:rsidRPr="00134884" w:rsidRDefault="00BE3BF8" w:rsidP="00FF43BA">
            <w:pPr>
              <w:spacing w:after="0" w:line="240" w:lineRule="auto"/>
              <w:rPr>
                <w:b/>
                <w:sz w:val="20"/>
                <w:u w:val="single"/>
              </w:rPr>
            </w:pPr>
          </w:p>
        </w:tc>
        <w:tc>
          <w:tcPr>
            <w:tcW w:w="566" w:type="pct"/>
          </w:tcPr>
          <w:p w14:paraId="6A2355FC" w14:textId="77777777" w:rsidR="00BE3BF8" w:rsidRPr="00637CDC" w:rsidRDefault="00BE3BF8" w:rsidP="00FF43BA">
            <w:pPr>
              <w:pStyle w:val="Heading2"/>
              <w:keepNext w:val="0"/>
              <w:spacing w:before="0" w:after="0" w:line="240" w:lineRule="auto"/>
              <w:outlineLvl w:val="1"/>
              <w:rPr>
                <w:b w:val="0"/>
                <w:color w:val="auto"/>
                <w:sz w:val="20"/>
                <w:szCs w:val="20"/>
              </w:rPr>
            </w:pPr>
            <w:r w:rsidRPr="00637CDC">
              <w:rPr>
                <w:b w:val="0"/>
                <w:color w:val="auto"/>
                <w:sz w:val="20"/>
                <w:szCs w:val="20"/>
              </w:rPr>
              <w:t>May 2017</w:t>
            </w:r>
          </w:p>
          <w:p w14:paraId="68A685CD" w14:textId="77777777" w:rsidR="00BE3BF8" w:rsidRPr="00134884" w:rsidRDefault="00BE3BF8" w:rsidP="00FF43BA">
            <w:pPr>
              <w:tabs>
                <w:tab w:val="right" w:pos="2483"/>
              </w:tabs>
              <w:spacing w:after="0" w:line="240" w:lineRule="auto"/>
              <w:rPr>
                <w:sz w:val="20"/>
              </w:rPr>
            </w:pPr>
          </w:p>
        </w:tc>
        <w:tc>
          <w:tcPr>
            <w:tcW w:w="634" w:type="pct"/>
          </w:tcPr>
          <w:p w14:paraId="576800D5" w14:textId="154ECAF3" w:rsidR="00BE3BF8" w:rsidRPr="004A6C06" w:rsidRDefault="004A6C06" w:rsidP="00FF43BA">
            <w:pPr>
              <w:spacing w:after="0" w:line="240" w:lineRule="auto"/>
              <w:jc w:val="right"/>
              <w:rPr>
                <w:sz w:val="20"/>
              </w:rPr>
            </w:pPr>
            <w:r w:rsidRPr="002E3D13">
              <w:rPr>
                <w:sz w:val="20"/>
                <w:highlight w:val="black"/>
              </w:rPr>
              <w:t>XXXX</w:t>
            </w:r>
          </w:p>
          <w:p w14:paraId="4BF4D2C8" w14:textId="77777777" w:rsidR="00BE3BF8" w:rsidRPr="004A6C06" w:rsidRDefault="00BE3BF8" w:rsidP="00FF43BA">
            <w:pPr>
              <w:spacing w:after="0" w:line="240" w:lineRule="auto"/>
              <w:jc w:val="right"/>
              <w:rPr>
                <w:b/>
                <w:sz w:val="20"/>
              </w:rPr>
            </w:pPr>
            <w:r w:rsidRPr="004A6C06">
              <w:rPr>
                <w:sz w:val="20"/>
              </w:rPr>
              <w:t>(Provided)</w:t>
            </w:r>
          </w:p>
        </w:tc>
        <w:tc>
          <w:tcPr>
            <w:tcW w:w="564" w:type="pct"/>
          </w:tcPr>
          <w:p w14:paraId="0A470F9C" w14:textId="77777777" w:rsidR="00BE3BF8" w:rsidRPr="004A6C06" w:rsidRDefault="00BE3BF8" w:rsidP="00FF43BA">
            <w:pPr>
              <w:spacing w:after="0" w:line="240" w:lineRule="auto"/>
              <w:jc w:val="right"/>
              <w:rPr>
                <w:b/>
                <w:sz w:val="20"/>
              </w:rPr>
            </w:pPr>
          </w:p>
        </w:tc>
        <w:tc>
          <w:tcPr>
            <w:tcW w:w="729" w:type="pct"/>
          </w:tcPr>
          <w:p w14:paraId="632E9C0D" w14:textId="59D9CF0A" w:rsidR="00BE3BF8" w:rsidRPr="004A6C06" w:rsidRDefault="004A6C06" w:rsidP="00FF43BA">
            <w:pPr>
              <w:spacing w:after="0" w:line="240" w:lineRule="auto"/>
              <w:jc w:val="right"/>
              <w:rPr>
                <w:sz w:val="20"/>
              </w:rPr>
            </w:pPr>
            <w:r w:rsidRPr="002E3D13">
              <w:rPr>
                <w:sz w:val="20"/>
                <w:highlight w:val="black"/>
              </w:rPr>
              <w:t>XXXX</w:t>
            </w:r>
          </w:p>
          <w:p w14:paraId="0E258A66" w14:textId="77777777" w:rsidR="00BE3BF8" w:rsidRPr="004A6C06" w:rsidRDefault="00BE3BF8" w:rsidP="00FF43BA">
            <w:pPr>
              <w:spacing w:after="0" w:line="240" w:lineRule="auto"/>
              <w:jc w:val="right"/>
              <w:rPr>
                <w:b/>
                <w:sz w:val="20"/>
              </w:rPr>
            </w:pPr>
            <w:r w:rsidRPr="004A6C06">
              <w:rPr>
                <w:sz w:val="20"/>
              </w:rPr>
              <w:t>(Paid)</w:t>
            </w:r>
          </w:p>
        </w:tc>
        <w:tc>
          <w:tcPr>
            <w:tcW w:w="748" w:type="pct"/>
          </w:tcPr>
          <w:p w14:paraId="7B38E1ED" w14:textId="77777777" w:rsidR="004A6C06" w:rsidRPr="004A6C06" w:rsidRDefault="004A6C06" w:rsidP="004A6C06">
            <w:pPr>
              <w:spacing w:after="0" w:line="240" w:lineRule="auto"/>
              <w:jc w:val="right"/>
              <w:rPr>
                <w:sz w:val="20"/>
              </w:rPr>
            </w:pPr>
            <w:r w:rsidRPr="002E3D13">
              <w:rPr>
                <w:sz w:val="20"/>
                <w:highlight w:val="black"/>
              </w:rPr>
              <w:t>XXXX</w:t>
            </w:r>
          </w:p>
          <w:p w14:paraId="513B1F34" w14:textId="1A16E416" w:rsidR="00BE3BF8" w:rsidRPr="004A6C06" w:rsidRDefault="00BE3BF8" w:rsidP="00FF43BA">
            <w:pPr>
              <w:spacing w:after="0" w:line="240" w:lineRule="auto"/>
              <w:jc w:val="right"/>
              <w:rPr>
                <w:b/>
                <w:sz w:val="20"/>
              </w:rPr>
            </w:pPr>
          </w:p>
        </w:tc>
      </w:tr>
    </w:tbl>
    <w:p w14:paraId="53AD77BE" w14:textId="034EFA2F" w:rsidR="00A260EC" w:rsidRDefault="00A260EC"/>
    <w:p w14:paraId="4A4A8319" w14:textId="413FEE72" w:rsidR="00FF43BA" w:rsidRDefault="00FF43BA"/>
    <w:tbl>
      <w:tblPr>
        <w:tblStyle w:val="TableGrid"/>
        <w:tblpPr w:leftFromText="180" w:rightFromText="180" w:vertAnchor="page" w:horzAnchor="margin" w:tblpXSpec="center" w:tblpY="1036"/>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048"/>
        <w:gridCol w:w="1174"/>
        <w:gridCol w:w="1045"/>
        <w:gridCol w:w="1350"/>
        <w:gridCol w:w="1386"/>
      </w:tblGrid>
      <w:tr w:rsidR="004A6C06" w:rsidRPr="00134884" w14:paraId="21B4CA48" w14:textId="77777777" w:rsidTr="00A260EC">
        <w:trPr>
          <w:cantSplit w:val="0"/>
        </w:trPr>
        <w:tc>
          <w:tcPr>
            <w:tcW w:w="1759" w:type="pct"/>
          </w:tcPr>
          <w:p w14:paraId="4517FEEF" w14:textId="07E07DE6" w:rsidR="004A6C06" w:rsidRPr="00134884" w:rsidRDefault="004A6C06" w:rsidP="004A6C06">
            <w:pPr>
              <w:spacing w:after="0" w:line="240" w:lineRule="auto"/>
              <w:rPr>
                <w:b/>
                <w:sz w:val="20"/>
                <w:u w:val="single"/>
              </w:rPr>
            </w:pPr>
            <w:r w:rsidRPr="00134884">
              <w:rPr>
                <w:b/>
                <w:sz w:val="20"/>
                <w:u w:val="single"/>
              </w:rPr>
              <w:t>Milestone 4 - Progress Report</w:t>
            </w:r>
          </w:p>
          <w:p w14:paraId="449C0232" w14:textId="77777777" w:rsidR="004A6C06" w:rsidRPr="00134884" w:rsidRDefault="004A6C06" w:rsidP="004A6C06">
            <w:pPr>
              <w:spacing w:after="0" w:line="240" w:lineRule="auto"/>
              <w:jc w:val="left"/>
              <w:rPr>
                <w:sz w:val="20"/>
              </w:rPr>
            </w:pPr>
            <w:r w:rsidRPr="00134884">
              <w:rPr>
                <w:sz w:val="20"/>
              </w:rPr>
              <w:t>Provision of a progress report showing achievement against approved annual work plan for reporting period</w:t>
            </w:r>
            <w:r w:rsidRPr="00134884" w:rsidDel="00CB1FC8">
              <w:rPr>
                <w:sz w:val="20"/>
              </w:rPr>
              <w:t xml:space="preserve"> </w:t>
            </w:r>
            <w:r w:rsidRPr="00134884">
              <w:rPr>
                <w:b/>
                <w:sz w:val="20"/>
              </w:rPr>
              <w:t xml:space="preserve">1 January 2019 to 30 June 2019 </w:t>
            </w:r>
            <w:r w:rsidRPr="00134884">
              <w:rPr>
                <w:sz w:val="20"/>
              </w:rPr>
              <w:t>(Reporting Period 2)</w:t>
            </w:r>
          </w:p>
          <w:p w14:paraId="300D1D2B" w14:textId="77777777" w:rsidR="004A6C06" w:rsidRPr="00134884" w:rsidRDefault="004A6C06" w:rsidP="004A6C06">
            <w:pPr>
              <w:spacing w:after="0" w:line="240" w:lineRule="auto"/>
              <w:rPr>
                <w:sz w:val="20"/>
                <w:highlight w:val="yellow"/>
              </w:rPr>
            </w:pPr>
          </w:p>
        </w:tc>
        <w:tc>
          <w:tcPr>
            <w:tcW w:w="566" w:type="pct"/>
          </w:tcPr>
          <w:p w14:paraId="0224CEC5" w14:textId="77777777" w:rsidR="004A6C06" w:rsidRPr="00134884" w:rsidRDefault="004A6C06" w:rsidP="004A6C06">
            <w:pPr>
              <w:spacing w:after="0" w:line="240" w:lineRule="auto"/>
              <w:rPr>
                <w:sz w:val="20"/>
              </w:rPr>
            </w:pPr>
            <w:r w:rsidRPr="00134884">
              <w:rPr>
                <w:sz w:val="20"/>
              </w:rPr>
              <w:t>30 Sep 19</w:t>
            </w:r>
          </w:p>
          <w:p w14:paraId="591D0E5E" w14:textId="77777777" w:rsidR="004A6C06" w:rsidRPr="00134884" w:rsidRDefault="004A6C06" w:rsidP="004A6C06">
            <w:pPr>
              <w:spacing w:after="0" w:line="240" w:lineRule="auto"/>
              <w:rPr>
                <w:sz w:val="20"/>
              </w:rPr>
            </w:pPr>
          </w:p>
        </w:tc>
        <w:tc>
          <w:tcPr>
            <w:tcW w:w="634" w:type="pct"/>
          </w:tcPr>
          <w:p w14:paraId="4ABD0BD5" w14:textId="2AD12B75" w:rsidR="004A6C06" w:rsidRPr="002E3D13" w:rsidRDefault="004A6C06" w:rsidP="004A6C06">
            <w:pPr>
              <w:spacing w:after="0" w:line="240" w:lineRule="auto"/>
              <w:jc w:val="right"/>
              <w:rPr>
                <w:sz w:val="20"/>
                <w:highlight w:val="black"/>
              </w:rPr>
            </w:pPr>
            <w:r w:rsidRPr="002E3D13">
              <w:rPr>
                <w:sz w:val="20"/>
                <w:highlight w:val="black"/>
              </w:rPr>
              <w:t>XXXX</w:t>
            </w:r>
          </w:p>
        </w:tc>
        <w:tc>
          <w:tcPr>
            <w:tcW w:w="564" w:type="pct"/>
          </w:tcPr>
          <w:p w14:paraId="517BD97F" w14:textId="128D84FD"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1753C54A" w14:textId="08CA6437" w:rsidR="004A6C06" w:rsidRPr="002E3D13" w:rsidRDefault="004A6C06" w:rsidP="004A6C06">
            <w:pPr>
              <w:spacing w:after="0" w:line="240" w:lineRule="auto"/>
              <w:jc w:val="right"/>
              <w:rPr>
                <w:sz w:val="20"/>
                <w:highlight w:val="black"/>
              </w:rPr>
            </w:pPr>
            <w:r w:rsidRPr="002E3D13">
              <w:rPr>
                <w:sz w:val="20"/>
                <w:highlight w:val="black"/>
              </w:rPr>
              <w:t>XXXX</w:t>
            </w:r>
          </w:p>
        </w:tc>
        <w:tc>
          <w:tcPr>
            <w:tcW w:w="748" w:type="pct"/>
          </w:tcPr>
          <w:p w14:paraId="03C46DCB" w14:textId="7E393448" w:rsidR="004A6C06" w:rsidRPr="002E3D13" w:rsidRDefault="004A6C06" w:rsidP="004A6C06">
            <w:pPr>
              <w:spacing w:after="0" w:line="240" w:lineRule="auto"/>
              <w:jc w:val="right"/>
              <w:rPr>
                <w:b/>
                <w:sz w:val="20"/>
                <w:highlight w:val="black"/>
              </w:rPr>
            </w:pPr>
            <w:r w:rsidRPr="002E3D13">
              <w:rPr>
                <w:sz w:val="20"/>
                <w:highlight w:val="black"/>
              </w:rPr>
              <w:t>XXXX</w:t>
            </w:r>
          </w:p>
        </w:tc>
      </w:tr>
      <w:tr w:rsidR="004A6C06" w:rsidRPr="00134884" w14:paraId="42CFBFC5" w14:textId="77777777" w:rsidTr="00A260EC">
        <w:trPr>
          <w:cantSplit w:val="0"/>
        </w:trPr>
        <w:tc>
          <w:tcPr>
            <w:tcW w:w="1759" w:type="pct"/>
          </w:tcPr>
          <w:p w14:paraId="2FC0F536" w14:textId="77777777" w:rsidR="004A6C06" w:rsidRPr="001224FD" w:rsidRDefault="004A6C06" w:rsidP="004A6C06">
            <w:pPr>
              <w:spacing w:after="0" w:line="240" w:lineRule="auto"/>
              <w:rPr>
                <w:b/>
                <w:sz w:val="20"/>
                <w:u w:val="single"/>
              </w:rPr>
            </w:pPr>
            <w:r w:rsidRPr="001224FD">
              <w:rPr>
                <w:b/>
                <w:sz w:val="20"/>
                <w:u w:val="single"/>
              </w:rPr>
              <w:t>Milestone 5 - Progress Report</w:t>
            </w:r>
          </w:p>
          <w:p w14:paraId="188BF648" w14:textId="77777777" w:rsidR="004A6C06" w:rsidRPr="001224FD" w:rsidRDefault="004A6C06" w:rsidP="004A6C06">
            <w:pPr>
              <w:spacing w:after="0" w:line="240" w:lineRule="auto"/>
              <w:jc w:val="left"/>
              <w:rPr>
                <w:sz w:val="20"/>
              </w:rPr>
            </w:pPr>
            <w:r w:rsidRPr="001224FD">
              <w:rPr>
                <w:sz w:val="20"/>
              </w:rPr>
              <w:t>Provision of a progress report showing achievement against approved annual work plan for reporting period</w:t>
            </w:r>
            <w:r w:rsidRPr="001224FD" w:rsidDel="00CB1FC8">
              <w:rPr>
                <w:sz w:val="20"/>
              </w:rPr>
              <w:t xml:space="preserve"> </w:t>
            </w:r>
            <w:r w:rsidRPr="001224FD">
              <w:rPr>
                <w:b/>
                <w:sz w:val="20"/>
              </w:rPr>
              <w:t xml:space="preserve">1 July 2019 to 31 December 2019 </w:t>
            </w:r>
            <w:r w:rsidRPr="001224FD">
              <w:rPr>
                <w:sz w:val="20"/>
              </w:rPr>
              <w:t>(reporting period 3)</w:t>
            </w:r>
          </w:p>
          <w:p w14:paraId="4C73DD94" w14:textId="77777777" w:rsidR="004A6C06" w:rsidRPr="001224FD" w:rsidRDefault="004A6C06" w:rsidP="004A6C06">
            <w:pPr>
              <w:spacing w:after="0" w:line="240" w:lineRule="auto"/>
              <w:ind w:left="316" w:hanging="316"/>
              <w:rPr>
                <w:sz w:val="20"/>
              </w:rPr>
            </w:pPr>
          </w:p>
        </w:tc>
        <w:tc>
          <w:tcPr>
            <w:tcW w:w="566" w:type="pct"/>
          </w:tcPr>
          <w:p w14:paraId="1408642A" w14:textId="77777777" w:rsidR="004A6C06" w:rsidRPr="001224FD" w:rsidRDefault="004A6C06" w:rsidP="004A6C06">
            <w:pPr>
              <w:spacing w:after="0" w:line="240" w:lineRule="auto"/>
              <w:rPr>
                <w:sz w:val="20"/>
              </w:rPr>
            </w:pPr>
            <w:r w:rsidRPr="001224FD">
              <w:rPr>
                <w:sz w:val="20"/>
              </w:rPr>
              <w:t>31 Mar 20</w:t>
            </w:r>
          </w:p>
          <w:p w14:paraId="20F75A3B" w14:textId="77777777" w:rsidR="004A6C06" w:rsidRPr="001224FD" w:rsidRDefault="004A6C06" w:rsidP="004A6C06">
            <w:pPr>
              <w:spacing w:after="0" w:line="240" w:lineRule="auto"/>
              <w:rPr>
                <w:sz w:val="20"/>
              </w:rPr>
            </w:pPr>
          </w:p>
        </w:tc>
        <w:tc>
          <w:tcPr>
            <w:tcW w:w="634" w:type="pct"/>
          </w:tcPr>
          <w:p w14:paraId="4C4D3B09" w14:textId="1BB5081C" w:rsidR="004A6C06" w:rsidRPr="002E3D13" w:rsidRDefault="004A6C06" w:rsidP="004A6C06">
            <w:pPr>
              <w:spacing w:after="0" w:line="240" w:lineRule="auto"/>
              <w:jc w:val="right"/>
              <w:rPr>
                <w:b/>
                <w:sz w:val="20"/>
                <w:highlight w:val="black"/>
              </w:rPr>
            </w:pPr>
            <w:r w:rsidRPr="002E3D13">
              <w:rPr>
                <w:sz w:val="20"/>
                <w:highlight w:val="black"/>
              </w:rPr>
              <w:t>XXXX</w:t>
            </w:r>
          </w:p>
        </w:tc>
        <w:tc>
          <w:tcPr>
            <w:tcW w:w="564" w:type="pct"/>
          </w:tcPr>
          <w:p w14:paraId="49DEAB8D" w14:textId="51B6F1F6"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7E680D8C" w14:textId="63A804E4" w:rsidR="004A6C06" w:rsidRPr="002E3D13" w:rsidRDefault="004A6C06" w:rsidP="004A6C06">
            <w:pPr>
              <w:spacing w:after="0" w:line="240" w:lineRule="auto"/>
              <w:jc w:val="right"/>
              <w:rPr>
                <w:b/>
                <w:sz w:val="20"/>
                <w:highlight w:val="black"/>
              </w:rPr>
            </w:pPr>
            <w:r w:rsidRPr="002E3D13">
              <w:rPr>
                <w:sz w:val="20"/>
                <w:highlight w:val="black"/>
              </w:rPr>
              <w:t>XXXX</w:t>
            </w:r>
          </w:p>
        </w:tc>
        <w:tc>
          <w:tcPr>
            <w:tcW w:w="748" w:type="pct"/>
          </w:tcPr>
          <w:p w14:paraId="78DC9F14" w14:textId="3F1BE27A" w:rsidR="004A6C06" w:rsidRPr="002E3D13" w:rsidRDefault="004A6C06" w:rsidP="004A6C06">
            <w:pPr>
              <w:spacing w:after="0" w:line="240" w:lineRule="auto"/>
              <w:jc w:val="right"/>
              <w:rPr>
                <w:b/>
                <w:sz w:val="20"/>
                <w:highlight w:val="black"/>
              </w:rPr>
            </w:pPr>
            <w:r w:rsidRPr="002E3D13">
              <w:rPr>
                <w:sz w:val="20"/>
                <w:highlight w:val="black"/>
              </w:rPr>
              <w:t>XXXX</w:t>
            </w:r>
          </w:p>
        </w:tc>
      </w:tr>
      <w:tr w:rsidR="004A6C06" w:rsidRPr="00134884" w14:paraId="52DE982C" w14:textId="77777777" w:rsidTr="00A260EC">
        <w:trPr>
          <w:cantSplit w:val="0"/>
        </w:trPr>
        <w:tc>
          <w:tcPr>
            <w:tcW w:w="1759" w:type="pct"/>
          </w:tcPr>
          <w:p w14:paraId="36FCCBFF" w14:textId="77777777" w:rsidR="004A6C06" w:rsidRPr="001224FD" w:rsidRDefault="004A6C06" w:rsidP="004A6C06">
            <w:pPr>
              <w:spacing w:after="0" w:line="240" w:lineRule="auto"/>
              <w:jc w:val="left"/>
              <w:rPr>
                <w:sz w:val="20"/>
              </w:rPr>
            </w:pPr>
            <w:r w:rsidRPr="001224FD">
              <w:rPr>
                <w:b/>
                <w:sz w:val="20"/>
                <w:u w:val="single"/>
              </w:rPr>
              <w:t>Milestone 6 - Progress Report</w:t>
            </w:r>
            <w:r w:rsidRPr="001224FD">
              <w:rPr>
                <w:b/>
                <w:sz w:val="20"/>
                <w:u w:val="single"/>
              </w:rPr>
              <w:br/>
            </w:r>
            <w:r w:rsidRPr="001224FD">
              <w:rPr>
                <w:sz w:val="20"/>
              </w:rPr>
              <w:t>Provision of a progress report showing achievement against approved annual work plan for reporting period</w:t>
            </w:r>
            <w:r w:rsidRPr="001224FD" w:rsidDel="00CB1FC8">
              <w:rPr>
                <w:sz w:val="20"/>
              </w:rPr>
              <w:t xml:space="preserve"> </w:t>
            </w:r>
            <w:r w:rsidRPr="001224FD">
              <w:rPr>
                <w:b/>
                <w:sz w:val="20"/>
              </w:rPr>
              <w:t xml:space="preserve">1 January 2020 to 30 June 2020 </w:t>
            </w:r>
            <w:r w:rsidRPr="001224FD">
              <w:rPr>
                <w:sz w:val="20"/>
              </w:rPr>
              <w:t>(Reporting period 4)</w:t>
            </w:r>
          </w:p>
        </w:tc>
        <w:tc>
          <w:tcPr>
            <w:tcW w:w="566" w:type="pct"/>
          </w:tcPr>
          <w:p w14:paraId="1B2AD0E7" w14:textId="77777777" w:rsidR="004A6C06" w:rsidRPr="001224FD" w:rsidRDefault="004A6C06" w:rsidP="004A6C06">
            <w:pPr>
              <w:spacing w:after="0" w:line="240" w:lineRule="auto"/>
              <w:rPr>
                <w:sz w:val="20"/>
              </w:rPr>
            </w:pPr>
            <w:r w:rsidRPr="001224FD">
              <w:rPr>
                <w:sz w:val="20"/>
              </w:rPr>
              <w:t>30 Sep 20</w:t>
            </w:r>
            <w:r w:rsidRPr="001224FD">
              <w:rPr>
                <w:sz w:val="20"/>
              </w:rPr>
              <w:br/>
            </w:r>
          </w:p>
        </w:tc>
        <w:tc>
          <w:tcPr>
            <w:tcW w:w="634" w:type="pct"/>
          </w:tcPr>
          <w:p w14:paraId="549CEA89" w14:textId="76522854" w:rsidR="004A6C06" w:rsidRPr="002E3D13" w:rsidRDefault="004A6C06" w:rsidP="004A6C06">
            <w:pPr>
              <w:spacing w:after="0" w:line="240" w:lineRule="auto"/>
              <w:jc w:val="right"/>
              <w:rPr>
                <w:b/>
                <w:sz w:val="20"/>
                <w:highlight w:val="black"/>
              </w:rPr>
            </w:pPr>
            <w:r w:rsidRPr="002E3D13">
              <w:rPr>
                <w:sz w:val="20"/>
                <w:highlight w:val="black"/>
              </w:rPr>
              <w:t>XXXX</w:t>
            </w:r>
          </w:p>
        </w:tc>
        <w:tc>
          <w:tcPr>
            <w:tcW w:w="564" w:type="pct"/>
          </w:tcPr>
          <w:p w14:paraId="22DE6196" w14:textId="26BE3F36"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48528CD6" w14:textId="6CC190ED" w:rsidR="004A6C06" w:rsidRPr="002E3D13" w:rsidRDefault="004A6C06" w:rsidP="004A6C06">
            <w:pPr>
              <w:spacing w:after="0" w:line="240" w:lineRule="auto"/>
              <w:jc w:val="right"/>
              <w:rPr>
                <w:b/>
                <w:sz w:val="20"/>
                <w:highlight w:val="black"/>
              </w:rPr>
            </w:pPr>
            <w:r w:rsidRPr="002E3D13">
              <w:rPr>
                <w:sz w:val="20"/>
                <w:highlight w:val="black"/>
              </w:rPr>
              <w:t>XXXX</w:t>
            </w:r>
          </w:p>
        </w:tc>
        <w:tc>
          <w:tcPr>
            <w:tcW w:w="748" w:type="pct"/>
          </w:tcPr>
          <w:p w14:paraId="21F1C350" w14:textId="681C3C6D" w:rsidR="004A6C06" w:rsidRPr="002E3D13" w:rsidRDefault="004A6C06" w:rsidP="004A6C06">
            <w:pPr>
              <w:spacing w:after="0" w:line="240" w:lineRule="auto"/>
              <w:jc w:val="right"/>
              <w:rPr>
                <w:b/>
                <w:sz w:val="20"/>
                <w:highlight w:val="black"/>
              </w:rPr>
            </w:pPr>
            <w:r w:rsidRPr="002E3D13">
              <w:rPr>
                <w:sz w:val="20"/>
                <w:highlight w:val="black"/>
              </w:rPr>
              <w:t>XXXX</w:t>
            </w:r>
          </w:p>
        </w:tc>
      </w:tr>
      <w:tr w:rsidR="004A6C06" w:rsidRPr="001224FD" w14:paraId="36546001" w14:textId="77777777" w:rsidTr="00A260EC">
        <w:trPr>
          <w:cantSplit w:val="0"/>
        </w:trPr>
        <w:tc>
          <w:tcPr>
            <w:tcW w:w="1759" w:type="pct"/>
          </w:tcPr>
          <w:p w14:paraId="4080AE18" w14:textId="77777777" w:rsidR="004A6C06" w:rsidRPr="001224FD" w:rsidRDefault="004A6C06" w:rsidP="004A6C06">
            <w:pPr>
              <w:spacing w:after="0" w:line="240" w:lineRule="auto"/>
              <w:rPr>
                <w:sz w:val="20"/>
                <w:u w:val="single"/>
              </w:rPr>
            </w:pPr>
            <w:r w:rsidRPr="001224FD">
              <w:rPr>
                <w:b/>
                <w:sz w:val="20"/>
                <w:u w:val="single"/>
              </w:rPr>
              <w:t>Milestone 7 - Progress Report</w:t>
            </w:r>
          </w:p>
          <w:p w14:paraId="23A3ADF4" w14:textId="77777777" w:rsidR="004A6C06" w:rsidRPr="001224FD" w:rsidRDefault="004A6C06" w:rsidP="004A6C06">
            <w:pPr>
              <w:spacing w:after="0" w:line="240" w:lineRule="auto"/>
              <w:jc w:val="left"/>
              <w:rPr>
                <w:b/>
                <w:sz w:val="20"/>
              </w:rPr>
            </w:pPr>
            <w:r w:rsidRPr="001224FD">
              <w:rPr>
                <w:sz w:val="20"/>
              </w:rPr>
              <w:t xml:space="preserve">Provision of a progress report showing achievement against approved annual work plan for reporting period </w:t>
            </w:r>
            <w:r w:rsidRPr="001224FD">
              <w:rPr>
                <w:b/>
                <w:sz w:val="20"/>
              </w:rPr>
              <w:t xml:space="preserve">1 July 2020 to 30 Dec 2020 </w:t>
            </w:r>
            <w:r w:rsidRPr="001224FD">
              <w:rPr>
                <w:sz w:val="20"/>
              </w:rPr>
              <w:t>(Reporting period 5)</w:t>
            </w:r>
          </w:p>
          <w:p w14:paraId="59553E4F" w14:textId="77777777" w:rsidR="004A6C06" w:rsidRPr="001224FD" w:rsidRDefault="004A6C06" w:rsidP="004A6C06">
            <w:pPr>
              <w:spacing w:after="0" w:line="240" w:lineRule="auto"/>
              <w:rPr>
                <w:b/>
                <w:sz w:val="20"/>
                <w:u w:val="single"/>
              </w:rPr>
            </w:pPr>
          </w:p>
        </w:tc>
        <w:tc>
          <w:tcPr>
            <w:tcW w:w="566" w:type="pct"/>
          </w:tcPr>
          <w:p w14:paraId="36444048" w14:textId="77777777" w:rsidR="004A6C06" w:rsidRPr="001224FD" w:rsidRDefault="004A6C06" w:rsidP="004A6C06">
            <w:pPr>
              <w:spacing w:after="0" w:line="240" w:lineRule="auto"/>
              <w:rPr>
                <w:sz w:val="20"/>
              </w:rPr>
            </w:pPr>
            <w:r w:rsidRPr="001224FD">
              <w:rPr>
                <w:sz w:val="20"/>
              </w:rPr>
              <w:t>31 Mar 21</w:t>
            </w:r>
          </w:p>
          <w:p w14:paraId="7362CCFD" w14:textId="77777777" w:rsidR="004A6C06" w:rsidRPr="001224FD" w:rsidRDefault="004A6C06" w:rsidP="004A6C06">
            <w:pPr>
              <w:spacing w:after="0" w:line="240" w:lineRule="auto"/>
              <w:rPr>
                <w:sz w:val="20"/>
              </w:rPr>
            </w:pPr>
          </w:p>
        </w:tc>
        <w:tc>
          <w:tcPr>
            <w:tcW w:w="634" w:type="pct"/>
          </w:tcPr>
          <w:p w14:paraId="305F0703" w14:textId="07094749" w:rsidR="004A6C06" w:rsidRPr="002E3D13" w:rsidRDefault="004A6C06" w:rsidP="004A6C06">
            <w:pPr>
              <w:spacing w:after="0" w:line="240" w:lineRule="auto"/>
              <w:jc w:val="right"/>
              <w:rPr>
                <w:b/>
                <w:sz w:val="20"/>
                <w:highlight w:val="black"/>
              </w:rPr>
            </w:pPr>
            <w:r w:rsidRPr="002E3D13">
              <w:rPr>
                <w:sz w:val="20"/>
                <w:highlight w:val="black"/>
              </w:rPr>
              <w:t>XXXX</w:t>
            </w:r>
          </w:p>
        </w:tc>
        <w:tc>
          <w:tcPr>
            <w:tcW w:w="564" w:type="pct"/>
          </w:tcPr>
          <w:p w14:paraId="489CD6BB" w14:textId="4AF44FBF"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43E69934" w14:textId="4C531EE5" w:rsidR="004A6C06" w:rsidRPr="002E3D13" w:rsidRDefault="004A6C06" w:rsidP="004A6C06">
            <w:pPr>
              <w:spacing w:after="0" w:line="240" w:lineRule="auto"/>
              <w:jc w:val="right"/>
              <w:rPr>
                <w:b/>
                <w:sz w:val="20"/>
                <w:highlight w:val="black"/>
              </w:rPr>
            </w:pPr>
            <w:r w:rsidRPr="002E3D13">
              <w:rPr>
                <w:sz w:val="20"/>
                <w:highlight w:val="black"/>
              </w:rPr>
              <w:t>XXXX</w:t>
            </w:r>
          </w:p>
        </w:tc>
        <w:tc>
          <w:tcPr>
            <w:tcW w:w="748" w:type="pct"/>
          </w:tcPr>
          <w:p w14:paraId="00902E7F" w14:textId="28D8879F" w:rsidR="004A6C06" w:rsidRPr="002E3D13" w:rsidRDefault="004A6C06" w:rsidP="004A6C06">
            <w:pPr>
              <w:spacing w:after="0" w:line="240" w:lineRule="auto"/>
              <w:jc w:val="right"/>
              <w:rPr>
                <w:b/>
                <w:sz w:val="20"/>
                <w:highlight w:val="black"/>
              </w:rPr>
            </w:pPr>
            <w:r w:rsidRPr="002E3D13">
              <w:rPr>
                <w:sz w:val="20"/>
                <w:highlight w:val="black"/>
              </w:rPr>
              <w:t>XXXX</w:t>
            </w:r>
          </w:p>
        </w:tc>
      </w:tr>
      <w:tr w:rsidR="004A6C06" w:rsidRPr="00134884" w14:paraId="1CB11042" w14:textId="77777777" w:rsidTr="00A260EC">
        <w:trPr>
          <w:cantSplit w:val="0"/>
        </w:trPr>
        <w:tc>
          <w:tcPr>
            <w:tcW w:w="1759" w:type="pct"/>
          </w:tcPr>
          <w:p w14:paraId="5DF3E419" w14:textId="77777777" w:rsidR="004A6C06" w:rsidRPr="001224FD" w:rsidRDefault="004A6C06" w:rsidP="004A6C06">
            <w:pPr>
              <w:spacing w:after="0" w:line="240" w:lineRule="auto"/>
              <w:jc w:val="left"/>
              <w:rPr>
                <w:b/>
                <w:sz w:val="20"/>
              </w:rPr>
            </w:pPr>
            <w:r w:rsidRPr="001224FD">
              <w:rPr>
                <w:b/>
                <w:sz w:val="20"/>
                <w:u w:val="single"/>
              </w:rPr>
              <w:t>Milestone 8 - Progress Report</w:t>
            </w:r>
            <w:r w:rsidRPr="001224FD">
              <w:rPr>
                <w:b/>
                <w:sz w:val="20"/>
                <w:u w:val="single"/>
              </w:rPr>
              <w:br/>
            </w:r>
            <w:r w:rsidRPr="001224FD">
              <w:rPr>
                <w:sz w:val="20"/>
              </w:rPr>
              <w:t>Provision of a progress report showing achievement against approved annual work plan for reporting period</w:t>
            </w:r>
            <w:r w:rsidRPr="001224FD" w:rsidDel="00CB1FC8">
              <w:rPr>
                <w:sz w:val="20"/>
              </w:rPr>
              <w:t xml:space="preserve"> </w:t>
            </w:r>
            <w:r w:rsidRPr="001224FD">
              <w:rPr>
                <w:b/>
                <w:sz w:val="20"/>
              </w:rPr>
              <w:t xml:space="preserve">1 January 2021 to 18 June 2021 </w:t>
            </w:r>
            <w:r w:rsidRPr="001224FD">
              <w:rPr>
                <w:sz w:val="20"/>
              </w:rPr>
              <w:t>(Reporting period 6)</w:t>
            </w:r>
          </w:p>
          <w:p w14:paraId="7082814D" w14:textId="77777777" w:rsidR="004A6C06" w:rsidRPr="001224FD" w:rsidRDefault="004A6C06" w:rsidP="004A6C06">
            <w:pPr>
              <w:spacing w:after="0" w:line="240" w:lineRule="auto"/>
              <w:rPr>
                <w:sz w:val="20"/>
              </w:rPr>
            </w:pPr>
          </w:p>
        </w:tc>
        <w:tc>
          <w:tcPr>
            <w:tcW w:w="566" w:type="pct"/>
          </w:tcPr>
          <w:p w14:paraId="59A7483A" w14:textId="77777777" w:rsidR="004A6C06" w:rsidRPr="001224FD" w:rsidRDefault="004A6C06" w:rsidP="004A6C06">
            <w:pPr>
              <w:spacing w:after="0" w:line="240" w:lineRule="auto"/>
              <w:rPr>
                <w:sz w:val="20"/>
              </w:rPr>
            </w:pPr>
            <w:r w:rsidRPr="001224FD">
              <w:rPr>
                <w:sz w:val="20"/>
              </w:rPr>
              <w:t>18 Jun 21</w:t>
            </w:r>
            <w:r w:rsidRPr="001224FD">
              <w:rPr>
                <w:sz w:val="20"/>
              </w:rPr>
              <w:br/>
            </w:r>
          </w:p>
        </w:tc>
        <w:tc>
          <w:tcPr>
            <w:tcW w:w="634" w:type="pct"/>
          </w:tcPr>
          <w:p w14:paraId="018AD096" w14:textId="0187353B" w:rsidR="004A6C06" w:rsidRPr="002E3D13" w:rsidRDefault="004A6C06" w:rsidP="004A6C06">
            <w:pPr>
              <w:spacing w:after="0" w:line="240" w:lineRule="auto"/>
              <w:jc w:val="right"/>
              <w:rPr>
                <w:b/>
                <w:sz w:val="20"/>
                <w:highlight w:val="black"/>
              </w:rPr>
            </w:pPr>
            <w:r w:rsidRPr="002E3D13">
              <w:rPr>
                <w:sz w:val="20"/>
                <w:highlight w:val="black"/>
              </w:rPr>
              <w:t>XXXX</w:t>
            </w:r>
          </w:p>
        </w:tc>
        <w:tc>
          <w:tcPr>
            <w:tcW w:w="564" w:type="pct"/>
          </w:tcPr>
          <w:p w14:paraId="4570B31A" w14:textId="3297F48A"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0F93D786" w14:textId="6075F3D3" w:rsidR="004A6C06" w:rsidRPr="002E3D13" w:rsidRDefault="004A6C06" w:rsidP="004A6C06">
            <w:pPr>
              <w:spacing w:after="0" w:line="240" w:lineRule="auto"/>
              <w:jc w:val="right"/>
              <w:rPr>
                <w:b/>
                <w:sz w:val="20"/>
                <w:highlight w:val="black"/>
              </w:rPr>
            </w:pPr>
            <w:r w:rsidRPr="002E3D13">
              <w:rPr>
                <w:sz w:val="20"/>
                <w:highlight w:val="black"/>
              </w:rPr>
              <w:t>XXXX</w:t>
            </w:r>
          </w:p>
        </w:tc>
        <w:tc>
          <w:tcPr>
            <w:tcW w:w="748" w:type="pct"/>
          </w:tcPr>
          <w:p w14:paraId="35BFDDE9" w14:textId="32A9CFFB" w:rsidR="004A6C06" w:rsidRPr="002E3D13" w:rsidRDefault="004A6C06" w:rsidP="004A6C06">
            <w:pPr>
              <w:spacing w:after="0" w:line="240" w:lineRule="auto"/>
              <w:jc w:val="right"/>
              <w:rPr>
                <w:b/>
                <w:sz w:val="20"/>
                <w:highlight w:val="black"/>
              </w:rPr>
            </w:pPr>
            <w:r w:rsidRPr="002E3D13">
              <w:rPr>
                <w:sz w:val="20"/>
                <w:highlight w:val="black"/>
              </w:rPr>
              <w:t>XXXX</w:t>
            </w:r>
          </w:p>
        </w:tc>
      </w:tr>
      <w:tr w:rsidR="004A6C06" w:rsidRPr="001224FD" w14:paraId="7C2F2413" w14:textId="77777777" w:rsidTr="00A260EC">
        <w:trPr>
          <w:cantSplit w:val="0"/>
        </w:trPr>
        <w:tc>
          <w:tcPr>
            <w:tcW w:w="1759" w:type="pct"/>
            <w:shd w:val="clear" w:color="auto" w:fill="auto"/>
          </w:tcPr>
          <w:p w14:paraId="4FC97AEF" w14:textId="77777777" w:rsidR="004A6C06" w:rsidRPr="001224FD" w:rsidRDefault="004A6C06" w:rsidP="004A6C06">
            <w:pPr>
              <w:spacing w:after="0" w:line="240" w:lineRule="auto"/>
              <w:rPr>
                <w:b/>
                <w:sz w:val="20"/>
                <w:u w:val="single"/>
              </w:rPr>
            </w:pPr>
            <w:r w:rsidRPr="001224FD">
              <w:rPr>
                <w:b/>
                <w:sz w:val="20"/>
                <w:u w:val="single"/>
              </w:rPr>
              <w:t>Final Report</w:t>
            </w:r>
          </w:p>
          <w:p w14:paraId="7F7DFD2F" w14:textId="77777777" w:rsidR="004A6C06" w:rsidRPr="001224FD" w:rsidRDefault="004A6C06" w:rsidP="004A6C06">
            <w:pPr>
              <w:spacing w:after="0" w:line="240" w:lineRule="auto"/>
              <w:jc w:val="left"/>
              <w:rPr>
                <w:sz w:val="20"/>
              </w:rPr>
            </w:pPr>
            <w:r w:rsidRPr="001224FD">
              <w:rPr>
                <w:sz w:val="20"/>
              </w:rPr>
              <w:t>Provision of a final report that contains the information specified in item 18 of this Agreement, to the satisfaction of the Commonwealth.</w:t>
            </w:r>
          </w:p>
          <w:p w14:paraId="1F66F687" w14:textId="77777777" w:rsidR="004A6C06" w:rsidRPr="001224FD" w:rsidRDefault="004A6C06" w:rsidP="004A6C06">
            <w:pPr>
              <w:spacing w:after="0" w:line="240" w:lineRule="auto"/>
              <w:rPr>
                <w:sz w:val="20"/>
              </w:rPr>
            </w:pPr>
          </w:p>
        </w:tc>
        <w:tc>
          <w:tcPr>
            <w:tcW w:w="566" w:type="pct"/>
            <w:shd w:val="clear" w:color="auto" w:fill="auto"/>
          </w:tcPr>
          <w:p w14:paraId="4C0C55A9" w14:textId="77777777" w:rsidR="004A6C06" w:rsidRPr="001224FD" w:rsidRDefault="004A6C06" w:rsidP="004A6C06">
            <w:pPr>
              <w:spacing w:after="0" w:line="240" w:lineRule="auto"/>
              <w:rPr>
                <w:sz w:val="20"/>
              </w:rPr>
            </w:pPr>
            <w:r w:rsidRPr="001224FD">
              <w:rPr>
                <w:sz w:val="20"/>
              </w:rPr>
              <w:t>30 Jun 21</w:t>
            </w:r>
          </w:p>
          <w:p w14:paraId="103F0C37" w14:textId="77777777" w:rsidR="004A6C06" w:rsidRPr="001224FD" w:rsidRDefault="004A6C06" w:rsidP="004A6C06">
            <w:pPr>
              <w:spacing w:after="0" w:line="240" w:lineRule="auto"/>
              <w:rPr>
                <w:sz w:val="20"/>
              </w:rPr>
            </w:pPr>
          </w:p>
        </w:tc>
        <w:tc>
          <w:tcPr>
            <w:tcW w:w="634" w:type="pct"/>
          </w:tcPr>
          <w:p w14:paraId="5DC448F6" w14:textId="613BDE02" w:rsidR="004A6C06" w:rsidRPr="002E3D13" w:rsidRDefault="004A6C06" w:rsidP="004A6C06">
            <w:pPr>
              <w:spacing w:after="0" w:line="240" w:lineRule="auto"/>
              <w:jc w:val="right"/>
              <w:rPr>
                <w:b/>
                <w:sz w:val="20"/>
                <w:highlight w:val="black"/>
              </w:rPr>
            </w:pPr>
            <w:r w:rsidRPr="002E3D13">
              <w:rPr>
                <w:sz w:val="20"/>
                <w:highlight w:val="black"/>
              </w:rPr>
              <w:t>XXXX</w:t>
            </w:r>
          </w:p>
        </w:tc>
        <w:tc>
          <w:tcPr>
            <w:tcW w:w="564" w:type="pct"/>
          </w:tcPr>
          <w:p w14:paraId="4E2FDAEF" w14:textId="114C1324" w:rsidR="004A6C06" w:rsidRPr="002E3D13" w:rsidRDefault="004A6C06" w:rsidP="004A6C06">
            <w:pPr>
              <w:spacing w:after="0" w:line="240" w:lineRule="auto"/>
              <w:jc w:val="right"/>
              <w:rPr>
                <w:b/>
                <w:sz w:val="20"/>
                <w:highlight w:val="black"/>
              </w:rPr>
            </w:pPr>
            <w:r w:rsidRPr="002E3D13">
              <w:rPr>
                <w:sz w:val="20"/>
                <w:highlight w:val="black"/>
              </w:rPr>
              <w:t>XXXX</w:t>
            </w:r>
          </w:p>
        </w:tc>
        <w:tc>
          <w:tcPr>
            <w:tcW w:w="729" w:type="pct"/>
          </w:tcPr>
          <w:p w14:paraId="1CEEED4D" w14:textId="0E28E3B0" w:rsidR="004A6C06" w:rsidRPr="002E3D13" w:rsidRDefault="004A6C06" w:rsidP="004A6C06">
            <w:pPr>
              <w:spacing w:after="0" w:line="240" w:lineRule="auto"/>
              <w:jc w:val="right"/>
              <w:rPr>
                <w:b/>
                <w:sz w:val="20"/>
                <w:highlight w:val="black"/>
              </w:rPr>
            </w:pPr>
            <w:r w:rsidRPr="002E3D13">
              <w:rPr>
                <w:sz w:val="20"/>
                <w:highlight w:val="black"/>
              </w:rPr>
              <w:t>XXXX</w:t>
            </w:r>
          </w:p>
        </w:tc>
        <w:tc>
          <w:tcPr>
            <w:tcW w:w="748" w:type="pct"/>
          </w:tcPr>
          <w:p w14:paraId="15125AB9" w14:textId="7324AFE5" w:rsidR="004A6C06" w:rsidRPr="002E3D13" w:rsidRDefault="004A6C06" w:rsidP="004A6C06">
            <w:pPr>
              <w:spacing w:after="0" w:line="240" w:lineRule="auto"/>
              <w:jc w:val="right"/>
              <w:rPr>
                <w:b/>
                <w:sz w:val="20"/>
                <w:highlight w:val="black"/>
              </w:rPr>
            </w:pPr>
            <w:r w:rsidRPr="002E3D13">
              <w:rPr>
                <w:sz w:val="20"/>
                <w:highlight w:val="black"/>
              </w:rPr>
              <w:t>XXXX</w:t>
            </w:r>
          </w:p>
        </w:tc>
      </w:tr>
      <w:tr w:rsidR="002E3D13" w:rsidRPr="001224FD" w14:paraId="063FD92F" w14:textId="77777777" w:rsidTr="00A260EC">
        <w:trPr>
          <w:cantSplit w:val="0"/>
        </w:trPr>
        <w:tc>
          <w:tcPr>
            <w:tcW w:w="1759" w:type="pct"/>
            <w:shd w:val="clear" w:color="auto" w:fill="auto"/>
          </w:tcPr>
          <w:p w14:paraId="3787E7EF" w14:textId="77777777" w:rsidR="002E3D13" w:rsidRPr="001224FD" w:rsidRDefault="002E3D13" w:rsidP="002E3D13">
            <w:pPr>
              <w:spacing w:after="0" w:line="240" w:lineRule="auto"/>
              <w:rPr>
                <w:b/>
                <w:sz w:val="20"/>
                <w:u w:val="single"/>
              </w:rPr>
            </w:pPr>
            <w:r w:rsidRPr="001224FD">
              <w:rPr>
                <w:b/>
                <w:sz w:val="20"/>
                <w:u w:val="single"/>
              </w:rPr>
              <w:t>Evaluation Report</w:t>
            </w:r>
          </w:p>
          <w:p w14:paraId="73D99F8D" w14:textId="77777777" w:rsidR="002E3D13" w:rsidRPr="001224FD" w:rsidRDefault="002E3D13" w:rsidP="002E3D13">
            <w:pPr>
              <w:spacing w:after="0" w:line="240" w:lineRule="auto"/>
              <w:jc w:val="left"/>
              <w:rPr>
                <w:b/>
                <w:sz w:val="20"/>
                <w:u w:val="single"/>
              </w:rPr>
            </w:pPr>
            <w:r w:rsidRPr="001224FD">
              <w:rPr>
                <w:sz w:val="20"/>
              </w:rPr>
              <w:t>Provision of an evaluation report that contains the information specified in item 21 of this Agreement to the satisfaction of the Commonwealth.</w:t>
            </w:r>
          </w:p>
        </w:tc>
        <w:tc>
          <w:tcPr>
            <w:tcW w:w="566" w:type="pct"/>
            <w:shd w:val="clear" w:color="auto" w:fill="auto"/>
          </w:tcPr>
          <w:p w14:paraId="7ECADB5B" w14:textId="77777777" w:rsidR="002E3D13" w:rsidRPr="001224FD" w:rsidRDefault="002E3D13" w:rsidP="002E3D13">
            <w:pPr>
              <w:spacing w:after="0" w:line="240" w:lineRule="auto"/>
              <w:rPr>
                <w:sz w:val="20"/>
              </w:rPr>
            </w:pPr>
            <w:r w:rsidRPr="001224FD">
              <w:rPr>
                <w:sz w:val="20"/>
              </w:rPr>
              <w:t>31 Aug 21</w:t>
            </w:r>
          </w:p>
        </w:tc>
        <w:tc>
          <w:tcPr>
            <w:tcW w:w="634" w:type="pct"/>
          </w:tcPr>
          <w:p w14:paraId="474E2B11" w14:textId="3C726C3B" w:rsidR="002E3D13" w:rsidRPr="002E3D13" w:rsidRDefault="002E3D13" w:rsidP="002E3D13">
            <w:pPr>
              <w:spacing w:after="0" w:line="240" w:lineRule="auto"/>
              <w:jc w:val="right"/>
              <w:rPr>
                <w:b/>
                <w:sz w:val="20"/>
                <w:highlight w:val="black"/>
              </w:rPr>
            </w:pPr>
            <w:r w:rsidRPr="002E3D13">
              <w:rPr>
                <w:sz w:val="20"/>
                <w:highlight w:val="black"/>
              </w:rPr>
              <w:t>XXXX</w:t>
            </w:r>
          </w:p>
        </w:tc>
        <w:tc>
          <w:tcPr>
            <w:tcW w:w="564" w:type="pct"/>
          </w:tcPr>
          <w:p w14:paraId="1CD71281" w14:textId="2B6763E8" w:rsidR="002E3D13" w:rsidRPr="002E3D13" w:rsidRDefault="002E3D13" w:rsidP="002E3D13">
            <w:pPr>
              <w:spacing w:after="0" w:line="240" w:lineRule="auto"/>
              <w:jc w:val="right"/>
              <w:rPr>
                <w:b/>
                <w:sz w:val="20"/>
                <w:highlight w:val="black"/>
              </w:rPr>
            </w:pPr>
            <w:r w:rsidRPr="002E3D13">
              <w:rPr>
                <w:sz w:val="20"/>
                <w:highlight w:val="black"/>
              </w:rPr>
              <w:t>XXXX</w:t>
            </w:r>
          </w:p>
        </w:tc>
        <w:tc>
          <w:tcPr>
            <w:tcW w:w="729" w:type="pct"/>
          </w:tcPr>
          <w:p w14:paraId="01EDA4DA" w14:textId="5291325F" w:rsidR="002E3D13" w:rsidRPr="002E3D13" w:rsidRDefault="002E3D13" w:rsidP="002E3D13">
            <w:pPr>
              <w:spacing w:after="0" w:line="240" w:lineRule="auto"/>
              <w:jc w:val="right"/>
              <w:rPr>
                <w:b/>
                <w:sz w:val="20"/>
                <w:highlight w:val="black"/>
              </w:rPr>
            </w:pPr>
            <w:r w:rsidRPr="002E3D13">
              <w:rPr>
                <w:sz w:val="20"/>
                <w:highlight w:val="black"/>
              </w:rPr>
              <w:t>XXXX</w:t>
            </w:r>
          </w:p>
        </w:tc>
        <w:tc>
          <w:tcPr>
            <w:tcW w:w="748" w:type="pct"/>
          </w:tcPr>
          <w:p w14:paraId="14D9E556" w14:textId="4F3ED5ED" w:rsidR="002E3D13" w:rsidRPr="002E3D13" w:rsidRDefault="002E3D13" w:rsidP="002E3D13">
            <w:pPr>
              <w:spacing w:after="0" w:line="240" w:lineRule="auto"/>
              <w:jc w:val="right"/>
              <w:rPr>
                <w:b/>
                <w:sz w:val="20"/>
                <w:highlight w:val="black"/>
              </w:rPr>
            </w:pPr>
            <w:r w:rsidRPr="002E3D13">
              <w:rPr>
                <w:sz w:val="20"/>
                <w:highlight w:val="black"/>
              </w:rPr>
              <w:t>XXXX</w:t>
            </w:r>
          </w:p>
        </w:tc>
      </w:tr>
      <w:tr w:rsidR="002E3D13" w:rsidRPr="00B962FA" w14:paraId="354FB9C4" w14:textId="77777777" w:rsidTr="00A260EC">
        <w:trPr>
          <w:cantSplit w:val="0"/>
        </w:trPr>
        <w:tc>
          <w:tcPr>
            <w:tcW w:w="1759" w:type="pct"/>
            <w:shd w:val="clear" w:color="auto" w:fill="auto"/>
          </w:tcPr>
          <w:p w14:paraId="5A7B8862" w14:textId="77777777" w:rsidR="002E3D13" w:rsidRDefault="002E3D13" w:rsidP="002E3D13">
            <w:pPr>
              <w:spacing w:after="0" w:line="240" w:lineRule="auto"/>
              <w:rPr>
                <w:sz w:val="20"/>
              </w:rPr>
            </w:pPr>
          </w:p>
          <w:p w14:paraId="502C0D2A" w14:textId="77777777" w:rsidR="002E3D13" w:rsidRPr="00DF3CDB" w:rsidRDefault="002E3D13" w:rsidP="002E3D13">
            <w:pPr>
              <w:spacing w:after="0" w:line="240" w:lineRule="auto"/>
              <w:jc w:val="left"/>
              <w:rPr>
                <w:sz w:val="20"/>
              </w:rPr>
            </w:pPr>
            <w:r w:rsidRPr="00DF3CDB">
              <w:rPr>
                <w:sz w:val="20"/>
              </w:rPr>
              <w:t>Contingency Allocation Total</w:t>
            </w:r>
          </w:p>
        </w:tc>
        <w:tc>
          <w:tcPr>
            <w:tcW w:w="566" w:type="pct"/>
            <w:shd w:val="clear" w:color="auto" w:fill="auto"/>
          </w:tcPr>
          <w:p w14:paraId="4501DDDF" w14:textId="77777777" w:rsidR="002E3D13" w:rsidRPr="00DF3CDB" w:rsidRDefault="002E3D13" w:rsidP="002E3D13">
            <w:pPr>
              <w:spacing w:after="0" w:line="240" w:lineRule="auto"/>
              <w:rPr>
                <w:sz w:val="20"/>
              </w:rPr>
            </w:pPr>
          </w:p>
        </w:tc>
        <w:tc>
          <w:tcPr>
            <w:tcW w:w="634" w:type="pct"/>
          </w:tcPr>
          <w:p w14:paraId="4C1825D5" w14:textId="27566633" w:rsidR="002E3D13" w:rsidRPr="002E3D13" w:rsidRDefault="002E3D13" w:rsidP="002E3D13">
            <w:pPr>
              <w:spacing w:after="0" w:line="240" w:lineRule="auto"/>
              <w:jc w:val="right"/>
              <w:rPr>
                <w:b/>
                <w:sz w:val="20"/>
                <w:highlight w:val="black"/>
              </w:rPr>
            </w:pPr>
            <w:r w:rsidRPr="002E3D13">
              <w:rPr>
                <w:sz w:val="20"/>
                <w:highlight w:val="black"/>
              </w:rPr>
              <w:t>XXXX</w:t>
            </w:r>
          </w:p>
        </w:tc>
        <w:tc>
          <w:tcPr>
            <w:tcW w:w="564" w:type="pct"/>
          </w:tcPr>
          <w:p w14:paraId="4AF9E9BE" w14:textId="3FFABFA0" w:rsidR="002E3D13" w:rsidRPr="002E3D13" w:rsidRDefault="002E3D13" w:rsidP="002E3D13">
            <w:pPr>
              <w:spacing w:after="0" w:line="240" w:lineRule="auto"/>
              <w:jc w:val="right"/>
              <w:rPr>
                <w:b/>
                <w:sz w:val="20"/>
                <w:highlight w:val="black"/>
              </w:rPr>
            </w:pPr>
            <w:r w:rsidRPr="002E3D13">
              <w:rPr>
                <w:sz w:val="20"/>
                <w:highlight w:val="black"/>
              </w:rPr>
              <w:t>XXXX</w:t>
            </w:r>
          </w:p>
        </w:tc>
        <w:tc>
          <w:tcPr>
            <w:tcW w:w="729" w:type="pct"/>
          </w:tcPr>
          <w:p w14:paraId="51CD68A1" w14:textId="4B430DD7" w:rsidR="002E3D13" w:rsidRPr="002E3D13" w:rsidRDefault="002E3D13" w:rsidP="002E3D13">
            <w:pPr>
              <w:spacing w:after="0" w:line="240" w:lineRule="auto"/>
              <w:jc w:val="right"/>
              <w:rPr>
                <w:b/>
                <w:sz w:val="20"/>
                <w:highlight w:val="black"/>
              </w:rPr>
            </w:pPr>
            <w:r w:rsidRPr="002E3D13">
              <w:rPr>
                <w:sz w:val="20"/>
                <w:highlight w:val="black"/>
              </w:rPr>
              <w:t>XXXX</w:t>
            </w:r>
          </w:p>
        </w:tc>
        <w:tc>
          <w:tcPr>
            <w:tcW w:w="748" w:type="pct"/>
          </w:tcPr>
          <w:p w14:paraId="6D035E90" w14:textId="7873BF24" w:rsidR="002E3D13" w:rsidRPr="002E3D13" w:rsidRDefault="002E3D13" w:rsidP="002E3D13">
            <w:pPr>
              <w:spacing w:after="0" w:line="240" w:lineRule="auto"/>
              <w:jc w:val="right"/>
              <w:rPr>
                <w:b/>
                <w:sz w:val="20"/>
                <w:highlight w:val="black"/>
              </w:rPr>
            </w:pPr>
            <w:r w:rsidRPr="002E3D13">
              <w:rPr>
                <w:sz w:val="20"/>
                <w:highlight w:val="black"/>
              </w:rPr>
              <w:t>XXXX</w:t>
            </w:r>
          </w:p>
        </w:tc>
      </w:tr>
      <w:tr w:rsidR="00637CDC" w:rsidRPr="00134884" w14:paraId="6A9E2DD4" w14:textId="77777777" w:rsidTr="00A260EC">
        <w:trPr>
          <w:cantSplit w:val="0"/>
        </w:trPr>
        <w:tc>
          <w:tcPr>
            <w:tcW w:w="1759" w:type="pct"/>
            <w:shd w:val="clear" w:color="auto" w:fill="auto"/>
          </w:tcPr>
          <w:p w14:paraId="4E966CFE" w14:textId="77777777" w:rsidR="00637CDC" w:rsidRPr="00DF3CDB" w:rsidRDefault="00637CDC" w:rsidP="00637CDC">
            <w:pPr>
              <w:rPr>
                <w:sz w:val="20"/>
              </w:rPr>
            </w:pPr>
          </w:p>
        </w:tc>
        <w:tc>
          <w:tcPr>
            <w:tcW w:w="566" w:type="pct"/>
            <w:shd w:val="clear" w:color="auto" w:fill="auto"/>
          </w:tcPr>
          <w:p w14:paraId="7BE02F7A" w14:textId="77777777" w:rsidR="00637CDC" w:rsidRDefault="00637CDC" w:rsidP="00637CDC">
            <w:pPr>
              <w:spacing w:after="0" w:line="240" w:lineRule="auto"/>
              <w:rPr>
                <w:sz w:val="20"/>
              </w:rPr>
            </w:pPr>
          </w:p>
          <w:p w14:paraId="628A480A" w14:textId="77777777" w:rsidR="00637CDC" w:rsidRPr="00DF3CDB" w:rsidRDefault="00637CDC" w:rsidP="00637CDC">
            <w:pPr>
              <w:spacing w:after="0" w:line="240" w:lineRule="auto"/>
              <w:rPr>
                <w:sz w:val="20"/>
              </w:rPr>
            </w:pPr>
            <w:r w:rsidRPr="00DF3CDB">
              <w:rPr>
                <w:sz w:val="20"/>
              </w:rPr>
              <w:t>Total</w:t>
            </w:r>
          </w:p>
        </w:tc>
        <w:tc>
          <w:tcPr>
            <w:tcW w:w="634" w:type="pct"/>
            <w:shd w:val="clear" w:color="auto" w:fill="auto"/>
          </w:tcPr>
          <w:p w14:paraId="6DFA970C" w14:textId="77777777" w:rsidR="00637CDC" w:rsidRPr="00B962FA" w:rsidRDefault="00637CDC" w:rsidP="00637CDC">
            <w:pPr>
              <w:spacing w:after="0" w:line="240" w:lineRule="auto"/>
              <w:jc w:val="right"/>
              <w:rPr>
                <w:b/>
                <w:sz w:val="20"/>
              </w:rPr>
            </w:pPr>
          </w:p>
          <w:p w14:paraId="4181AB62" w14:textId="77777777" w:rsidR="00637CDC" w:rsidRPr="00B962FA" w:rsidRDefault="00637CDC" w:rsidP="00637CDC">
            <w:pPr>
              <w:spacing w:after="0" w:line="240" w:lineRule="auto"/>
              <w:jc w:val="right"/>
              <w:rPr>
                <w:b/>
                <w:sz w:val="20"/>
              </w:rPr>
            </w:pPr>
            <w:r w:rsidRPr="00B962FA">
              <w:rPr>
                <w:b/>
                <w:sz w:val="20"/>
              </w:rPr>
              <w:t>$1,115,000</w:t>
            </w:r>
          </w:p>
        </w:tc>
        <w:tc>
          <w:tcPr>
            <w:tcW w:w="564" w:type="pct"/>
            <w:shd w:val="clear" w:color="auto" w:fill="auto"/>
          </w:tcPr>
          <w:p w14:paraId="2698AA8A" w14:textId="77777777" w:rsidR="00637CDC" w:rsidRPr="00B962FA" w:rsidRDefault="00637CDC" w:rsidP="00637CDC">
            <w:pPr>
              <w:spacing w:after="0" w:line="240" w:lineRule="auto"/>
              <w:jc w:val="right"/>
              <w:rPr>
                <w:b/>
                <w:sz w:val="20"/>
              </w:rPr>
            </w:pPr>
          </w:p>
          <w:p w14:paraId="49D3451A" w14:textId="77777777" w:rsidR="00637CDC" w:rsidRPr="00B962FA" w:rsidRDefault="00637CDC" w:rsidP="00637CDC">
            <w:pPr>
              <w:spacing w:after="0" w:line="240" w:lineRule="auto"/>
              <w:jc w:val="right"/>
              <w:rPr>
                <w:b/>
                <w:sz w:val="20"/>
              </w:rPr>
            </w:pPr>
            <w:r w:rsidRPr="00B962FA">
              <w:rPr>
                <w:b/>
                <w:sz w:val="20"/>
              </w:rPr>
              <w:t>$500,000</w:t>
            </w:r>
          </w:p>
        </w:tc>
        <w:tc>
          <w:tcPr>
            <w:tcW w:w="729" w:type="pct"/>
            <w:shd w:val="clear" w:color="auto" w:fill="auto"/>
          </w:tcPr>
          <w:p w14:paraId="490ECF89" w14:textId="77777777" w:rsidR="00637CDC" w:rsidRPr="00134884" w:rsidRDefault="00637CDC" w:rsidP="00637CDC">
            <w:pPr>
              <w:spacing w:after="0" w:line="240" w:lineRule="auto"/>
              <w:jc w:val="right"/>
              <w:rPr>
                <w:b/>
                <w:sz w:val="20"/>
                <w:highlight w:val="yellow"/>
              </w:rPr>
            </w:pPr>
          </w:p>
          <w:p w14:paraId="583C937C" w14:textId="77777777" w:rsidR="00637CDC" w:rsidRPr="00B962FA" w:rsidRDefault="00637CDC" w:rsidP="00637CDC">
            <w:pPr>
              <w:spacing w:after="0" w:line="240" w:lineRule="auto"/>
              <w:jc w:val="right"/>
              <w:rPr>
                <w:b/>
                <w:sz w:val="20"/>
              </w:rPr>
            </w:pPr>
            <w:r w:rsidRPr="00B962FA">
              <w:rPr>
                <w:b/>
                <w:sz w:val="20"/>
              </w:rPr>
              <w:t>$9,240,000</w:t>
            </w:r>
          </w:p>
          <w:p w14:paraId="26F2D849" w14:textId="77777777" w:rsidR="00637CDC" w:rsidRPr="00134884" w:rsidRDefault="00637CDC" w:rsidP="00637CDC">
            <w:pPr>
              <w:spacing w:after="0" w:line="240" w:lineRule="auto"/>
              <w:jc w:val="right"/>
              <w:rPr>
                <w:b/>
                <w:sz w:val="20"/>
                <w:highlight w:val="yellow"/>
              </w:rPr>
            </w:pPr>
          </w:p>
        </w:tc>
        <w:tc>
          <w:tcPr>
            <w:tcW w:w="748" w:type="pct"/>
            <w:shd w:val="clear" w:color="auto" w:fill="auto"/>
          </w:tcPr>
          <w:p w14:paraId="4D6032FF" w14:textId="77777777" w:rsidR="00637CDC" w:rsidRPr="00134884" w:rsidRDefault="00637CDC" w:rsidP="00637CDC">
            <w:pPr>
              <w:spacing w:after="0" w:line="240" w:lineRule="auto"/>
              <w:jc w:val="right"/>
              <w:rPr>
                <w:b/>
                <w:sz w:val="20"/>
                <w:highlight w:val="yellow"/>
              </w:rPr>
            </w:pPr>
          </w:p>
          <w:p w14:paraId="7E914F9A" w14:textId="77777777" w:rsidR="00637CDC" w:rsidRPr="00B962FA" w:rsidRDefault="00637CDC" w:rsidP="00637CDC">
            <w:pPr>
              <w:spacing w:after="0" w:line="240" w:lineRule="auto"/>
              <w:jc w:val="right"/>
              <w:rPr>
                <w:b/>
                <w:sz w:val="20"/>
              </w:rPr>
            </w:pPr>
            <w:r w:rsidRPr="00B962FA">
              <w:rPr>
                <w:b/>
                <w:sz w:val="20"/>
              </w:rPr>
              <w:t>$10,855,000</w:t>
            </w:r>
          </w:p>
          <w:p w14:paraId="27A7C786" w14:textId="77777777" w:rsidR="00637CDC" w:rsidRPr="00134884" w:rsidRDefault="00637CDC" w:rsidP="00637CDC">
            <w:pPr>
              <w:spacing w:after="0" w:line="240" w:lineRule="auto"/>
              <w:jc w:val="right"/>
              <w:rPr>
                <w:b/>
                <w:sz w:val="20"/>
                <w:highlight w:val="yellow"/>
              </w:rPr>
            </w:pPr>
          </w:p>
        </w:tc>
      </w:tr>
    </w:tbl>
    <w:p w14:paraId="43383F00" w14:textId="77777777" w:rsidR="004157D5" w:rsidRPr="00894422" w:rsidRDefault="004157D5" w:rsidP="008D59CE">
      <w:pPr>
        <w:pStyle w:val="Normalnumbered"/>
        <w:numPr>
          <w:ilvl w:val="0"/>
          <w:numId w:val="9"/>
        </w:numPr>
        <w:spacing w:after="0" w:line="240" w:lineRule="auto"/>
        <w:rPr>
          <w:szCs w:val="23"/>
        </w:rPr>
      </w:pPr>
      <w:r>
        <w:rPr>
          <w:szCs w:val="23"/>
        </w:rPr>
        <w:t xml:space="preserve">If a milestone </w:t>
      </w:r>
      <w:r>
        <w:t xml:space="preserve">is met in advance </w:t>
      </w:r>
      <w:r w:rsidRPr="00804105">
        <w:t xml:space="preserve">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p>
    <w:p w14:paraId="5FD5BE90" w14:textId="77777777" w:rsidR="004157D5" w:rsidRDefault="004157D5" w:rsidP="004157D5">
      <w:pPr>
        <w:pStyle w:val="Heading2"/>
      </w:pPr>
      <w:r>
        <w:lastRenderedPageBreak/>
        <w:t>Reporting arrangements</w:t>
      </w:r>
    </w:p>
    <w:p w14:paraId="25FC72CE" w14:textId="461A52A4" w:rsidR="000A5FF5" w:rsidRPr="000A5FF5" w:rsidRDefault="003034DE" w:rsidP="000A5FF5">
      <w:pPr>
        <w:pStyle w:val="Normalnumbered"/>
        <w:numPr>
          <w:ilvl w:val="0"/>
          <w:numId w:val="9"/>
        </w:numPr>
        <w:spacing w:before="120" w:line="240" w:lineRule="auto"/>
        <w:rPr>
          <w:szCs w:val="23"/>
        </w:rPr>
      </w:pPr>
      <w:r>
        <w:t>New South Wales</w:t>
      </w:r>
      <w:r w:rsidRPr="007179FE">
        <w:t xml:space="preserve"> </w:t>
      </w:r>
      <w:r w:rsidR="009E151E">
        <w:t xml:space="preserve">will </w:t>
      </w:r>
      <w:r w:rsidR="0095223D">
        <w:t>provide p</w:t>
      </w:r>
      <w:r w:rsidR="00FA0776">
        <w:t>er</w:t>
      </w:r>
      <w:r w:rsidR="0095223D">
        <w:t xml:space="preserve">formance reports in accordance with </w:t>
      </w:r>
      <w:r w:rsidR="000A5FF5">
        <w:t xml:space="preserve">Milestone 1 and 2 in </w:t>
      </w:r>
      <w:r w:rsidR="00C2605C">
        <w:t>T</w:t>
      </w:r>
      <w:r w:rsidR="0095223D">
        <w:t>able</w:t>
      </w:r>
      <w:r w:rsidR="000A5FF5">
        <w:t> </w:t>
      </w:r>
      <w:r w:rsidR="00C2605C">
        <w:t xml:space="preserve">1 </w:t>
      </w:r>
      <w:r w:rsidR="009E151E">
        <w:t>during</w:t>
      </w:r>
      <w:r w:rsidR="00C42ACA">
        <w:t xml:space="preserve"> </w:t>
      </w:r>
      <w:r w:rsidR="009E151E">
        <w:t>t</w:t>
      </w:r>
      <w:r w:rsidR="00515AF2">
        <w:t>he operation of the Agreement.</w:t>
      </w:r>
      <w:r w:rsidR="008153A6">
        <w:t xml:space="preserve"> These two reports have already been provided.</w:t>
      </w:r>
      <w:r w:rsidR="00515AF2">
        <w:t xml:space="preserve"> </w:t>
      </w:r>
      <w:r w:rsidR="000A5FF5">
        <w:t xml:space="preserve">New South Wales will provide progress reports in accordance with Milestone 3 onwards in Table 1 during the operation of the Agreement. </w:t>
      </w:r>
      <w:r w:rsidR="0095223D">
        <w:t>Each p</w:t>
      </w:r>
      <w:r w:rsidR="000A5FF5">
        <w:t xml:space="preserve">rogress </w:t>
      </w:r>
      <w:r w:rsidR="0095223D">
        <w:t xml:space="preserve"> report</w:t>
      </w:r>
      <w:r w:rsidR="000A5FF5">
        <w:t xml:space="preserve"> must demonstrate evidence of project management and contract management activities, progress and performance of the project and financial management, and must contain the following information:</w:t>
      </w:r>
    </w:p>
    <w:p w14:paraId="60CD102A" w14:textId="77777777" w:rsidR="00ED2AC4" w:rsidRDefault="00ED2AC4" w:rsidP="009E0EEE">
      <w:pPr>
        <w:pStyle w:val="Normalnumbered"/>
        <w:numPr>
          <w:ilvl w:val="1"/>
          <w:numId w:val="9"/>
        </w:numPr>
        <w:tabs>
          <w:tab w:val="num" w:pos="927"/>
        </w:tabs>
        <w:spacing w:before="120" w:line="240" w:lineRule="auto"/>
        <w:ind w:left="927"/>
        <w:rPr>
          <w:szCs w:val="23"/>
        </w:rPr>
      </w:pPr>
      <w:r w:rsidRPr="004157D5">
        <w:rPr>
          <w:szCs w:val="23"/>
        </w:rPr>
        <w:t xml:space="preserve"> </w:t>
      </w:r>
      <w:r w:rsidR="000A5FF5">
        <w:rPr>
          <w:szCs w:val="23"/>
        </w:rPr>
        <w:t>A description of actual performance of the project to date against the aims and outcomes of the Agreement and against the relevant annual workplan, including evidence to demonstrate New South Wales’ completion of the Milestones in Table 1 (</w:t>
      </w:r>
      <w:r w:rsidR="007943E3">
        <w:rPr>
          <w:szCs w:val="23"/>
        </w:rPr>
        <w:t>Milestone</w:t>
      </w:r>
      <w:r w:rsidR="000A5FF5">
        <w:rPr>
          <w:szCs w:val="23"/>
        </w:rPr>
        <w:t xml:space="preserve"> 3 onwards) that were due for completion during the period that is the subject of the progress report;</w:t>
      </w:r>
    </w:p>
    <w:p w14:paraId="35F21877" w14:textId="77777777" w:rsidR="000A5FF5" w:rsidRDefault="000A5FF5" w:rsidP="009E0EEE">
      <w:pPr>
        <w:pStyle w:val="Normalnumbered"/>
        <w:numPr>
          <w:ilvl w:val="1"/>
          <w:numId w:val="9"/>
        </w:numPr>
        <w:tabs>
          <w:tab w:val="num" w:pos="927"/>
        </w:tabs>
        <w:spacing w:before="120" w:line="240" w:lineRule="auto"/>
        <w:ind w:left="927"/>
        <w:rPr>
          <w:szCs w:val="23"/>
        </w:rPr>
      </w:pPr>
      <w:r>
        <w:rPr>
          <w:szCs w:val="23"/>
        </w:rPr>
        <w:t>a description of the activities, if any, undertaken for the Agreement to date;</w:t>
      </w:r>
    </w:p>
    <w:p w14:paraId="7F3BAEE4" w14:textId="77777777" w:rsidR="00D75D6D" w:rsidRDefault="00D75D6D" w:rsidP="009E0EEE">
      <w:pPr>
        <w:pStyle w:val="Normalnumbered"/>
        <w:numPr>
          <w:ilvl w:val="1"/>
          <w:numId w:val="9"/>
        </w:numPr>
        <w:tabs>
          <w:tab w:val="num" w:pos="927"/>
        </w:tabs>
        <w:spacing w:before="120" w:line="240" w:lineRule="auto"/>
        <w:ind w:left="927"/>
        <w:rPr>
          <w:szCs w:val="23"/>
        </w:rPr>
      </w:pPr>
      <w:r>
        <w:rPr>
          <w:szCs w:val="23"/>
        </w:rPr>
        <w:t>promotional activities undertaken in relation to, and media coverage of, the project during the period and those proposed activities during the next period; and</w:t>
      </w:r>
    </w:p>
    <w:p w14:paraId="2FB16CCC" w14:textId="77777777" w:rsidR="00D75D6D" w:rsidRDefault="00D75D6D" w:rsidP="008153A6">
      <w:pPr>
        <w:pStyle w:val="Normalnumbered"/>
        <w:numPr>
          <w:ilvl w:val="1"/>
          <w:numId w:val="9"/>
        </w:numPr>
        <w:tabs>
          <w:tab w:val="num" w:pos="927"/>
        </w:tabs>
        <w:spacing w:before="120" w:line="240" w:lineRule="auto"/>
        <w:ind w:left="927"/>
        <w:rPr>
          <w:szCs w:val="23"/>
        </w:rPr>
      </w:pPr>
      <w:r>
        <w:rPr>
          <w:szCs w:val="23"/>
        </w:rPr>
        <w:t>any other items that are agreed by New South Wales and the Commonwealth to be included in the progress report.</w:t>
      </w:r>
    </w:p>
    <w:p w14:paraId="44A78D46" w14:textId="77777777" w:rsidR="00D75D6D" w:rsidRDefault="00D75D6D" w:rsidP="00D75D6D">
      <w:pPr>
        <w:pStyle w:val="Normalnumbered"/>
        <w:numPr>
          <w:ilvl w:val="0"/>
          <w:numId w:val="9"/>
        </w:numPr>
        <w:spacing w:before="120" w:line="240" w:lineRule="auto"/>
        <w:rPr>
          <w:szCs w:val="23"/>
        </w:rPr>
      </w:pPr>
      <w:r>
        <w:rPr>
          <w:szCs w:val="23"/>
        </w:rPr>
        <w:t xml:space="preserve">New South Wales will provide a final report, as a </w:t>
      </w:r>
      <w:r w:rsidR="007943E3">
        <w:rPr>
          <w:szCs w:val="23"/>
        </w:rPr>
        <w:t>standalone</w:t>
      </w:r>
      <w:r>
        <w:rPr>
          <w:szCs w:val="23"/>
        </w:rPr>
        <w:t xml:space="preserve"> document that can be used for public information dissemination purposes regarding this Agreement.  The final report is due at the earliest of:</w:t>
      </w:r>
    </w:p>
    <w:p w14:paraId="6AE394FD" w14:textId="77777777" w:rsidR="00D75D6D" w:rsidRDefault="00D75D6D" w:rsidP="00D75D6D">
      <w:pPr>
        <w:pStyle w:val="Normalnumbered"/>
        <w:numPr>
          <w:ilvl w:val="1"/>
          <w:numId w:val="9"/>
        </w:numPr>
        <w:tabs>
          <w:tab w:val="num" w:pos="927"/>
        </w:tabs>
        <w:spacing w:before="120" w:line="240" w:lineRule="auto"/>
        <w:ind w:left="927"/>
        <w:rPr>
          <w:szCs w:val="23"/>
        </w:rPr>
      </w:pPr>
      <w:r>
        <w:rPr>
          <w:szCs w:val="23"/>
        </w:rPr>
        <w:t>Milestone 9;</w:t>
      </w:r>
    </w:p>
    <w:p w14:paraId="37D79097" w14:textId="77777777" w:rsidR="00D75D6D" w:rsidRDefault="00D75D6D" w:rsidP="00D75D6D">
      <w:pPr>
        <w:pStyle w:val="Normalnumbered"/>
        <w:numPr>
          <w:ilvl w:val="1"/>
          <w:numId w:val="9"/>
        </w:numPr>
        <w:tabs>
          <w:tab w:val="num" w:pos="927"/>
        </w:tabs>
        <w:spacing w:before="120" w:line="240" w:lineRule="auto"/>
        <w:ind w:left="927"/>
        <w:rPr>
          <w:szCs w:val="23"/>
        </w:rPr>
      </w:pPr>
      <w:r>
        <w:rPr>
          <w:szCs w:val="23"/>
        </w:rPr>
        <w:t xml:space="preserve">Three months after the completion of the project; </w:t>
      </w:r>
    </w:p>
    <w:p w14:paraId="63D2D33C" w14:textId="77777777" w:rsidR="00D75D6D" w:rsidRDefault="00D75D6D" w:rsidP="00D75D6D">
      <w:pPr>
        <w:pStyle w:val="Normalnumbered"/>
        <w:numPr>
          <w:ilvl w:val="1"/>
          <w:numId w:val="9"/>
        </w:numPr>
        <w:tabs>
          <w:tab w:val="num" w:pos="927"/>
        </w:tabs>
        <w:spacing w:before="120" w:line="240" w:lineRule="auto"/>
        <w:ind w:left="927"/>
        <w:rPr>
          <w:szCs w:val="23"/>
        </w:rPr>
      </w:pPr>
      <w:r>
        <w:rPr>
          <w:szCs w:val="23"/>
        </w:rPr>
        <w:t>Three months after the termination of the Agreement; or</w:t>
      </w:r>
    </w:p>
    <w:p w14:paraId="29FE9198" w14:textId="77777777" w:rsidR="00D75D6D" w:rsidRDefault="00D75D6D" w:rsidP="00D75D6D">
      <w:pPr>
        <w:pStyle w:val="Normalnumbered"/>
        <w:numPr>
          <w:ilvl w:val="1"/>
          <w:numId w:val="9"/>
        </w:numPr>
        <w:tabs>
          <w:tab w:val="num" w:pos="927"/>
        </w:tabs>
        <w:spacing w:before="120" w:line="240" w:lineRule="auto"/>
        <w:ind w:left="927"/>
        <w:rPr>
          <w:szCs w:val="23"/>
        </w:rPr>
      </w:pPr>
      <w:r>
        <w:rPr>
          <w:szCs w:val="23"/>
        </w:rPr>
        <w:t>30 June 2021.</w:t>
      </w:r>
    </w:p>
    <w:p w14:paraId="2624442B" w14:textId="77777777" w:rsidR="00D75D6D" w:rsidRDefault="00D75D6D" w:rsidP="00D75D6D">
      <w:pPr>
        <w:pStyle w:val="Normalnumbered"/>
        <w:numPr>
          <w:ilvl w:val="0"/>
          <w:numId w:val="9"/>
        </w:numPr>
        <w:spacing w:before="120" w:line="240" w:lineRule="auto"/>
        <w:rPr>
          <w:szCs w:val="23"/>
        </w:rPr>
      </w:pPr>
      <w:r>
        <w:rPr>
          <w:szCs w:val="23"/>
        </w:rPr>
        <w:t>The final report will contain information that:</w:t>
      </w:r>
    </w:p>
    <w:p w14:paraId="5857F831"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Describes the conduct, benefits and outcomes of the project as a whole;</w:t>
      </w:r>
    </w:p>
    <w:p w14:paraId="41D95015"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Evaluates the project, including assessing the extent to which the aims and outcomes of the project have been achieved and explaining why any aspect of the project was not achieved;</w:t>
      </w:r>
    </w:p>
    <w:p w14:paraId="48E21F21"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Provides detailed financial information regarding the total project cost, funding and state contributions of the project;</w:t>
      </w:r>
    </w:p>
    <w:p w14:paraId="25D1053D"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Summarises all promotional activities undertaken in relation to, and media coverage of, the project;</w:t>
      </w:r>
    </w:p>
    <w:p w14:paraId="5EC2BD3D"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Includes a discussion of any other matters, relating to the project, which the Commonwealth notifies New South Wales should be included in the final report at least 40 business days before it is due; and</w:t>
      </w:r>
    </w:p>
    <w:p w14:paraId="6FE2C352" w14:textId="77777777" w:rsidR="00D75D6D" w:rsidRDefault="00D75D6D" w:rsidP="00D75D6D">
      <w:pPr>
        <w:pStyle w:val="Normalnumbered"/>
        <w:numPr>
          <w:ilvl w:val="1"/>
          <w:numId w:val="9"/>
        </w:numPr>
        <w:tabs>
          <w:tab w:val="clear" w:pos="1070"/>
          <w:tab w:val="num" w:pos="927"/>
        </w:tabs>
        <w:spacing w:before="120" w:line="240" w:lineRule="auto"/>
        <w:ind w:left="927"/>
        <w:rPr>
          <w:szCs w:val="23"/>
        </w:rPr>
      </w:pPr>
      <w:r>
        <w:rPr>
          <w:szCs w:val="23"/>
        </w:rPr>
        <w:t>Any other items that are agreed by New South Wales and the Commonwealth will be included in the final report.</w:t>
      </w:r>
    </w:p>
    <w:p w14:paraId="696C0BC9" w14:textId="77777777" w:rsidR="00D75D6D" w:rsidRDefault="00736C51" w:rsidP="00736C51">
      <w:pPr>
        <w:pStyle w:val="Normalnumbered"/>
        <w:numPr>
          <w:ilvl w:val="0"/>
          <w:numId w:val="9"/>
        </w:numPr>
        <w:spacing w:before="120" w:line="240" w:lineRule="auto"/>
        <w:rPr>
          <w:szCs w:val="23"/>
        </w:rPr>
      </w:pPr>
      <w:r>
        <w:rPr>
          <w:szCs w:val="23"/>
        </w:rPr>
        <w:lastRenderedPageBreak/>
        <w:t>The final report should be accompanied by a certified income and expenditure statement signed by a delegate officer of New South Wales.</w:t>
      </w:r>
    </w:p>
    <w:p w14:paraId="710D068B" w14:textId="77777777" w:rsidR="00736C51" w:rsidRDefault="00736C51" w:rsidP="00736C51">
      <w:pPr>
        <w:pStyle w:val="Normalnumbered"/>
        <w:numPr>
          <w:ilvl w:val="0"/>
          <w:numId w:val="9"/>
        </w:numPr>
        <w:spacing w:before="120" w:line="240" w:lineRule="auto"/>
        <w:rPr>
          <w:szCs w:val="23"/>
        </w:rPr>
      </w:pPr>
      <w:r>
        <w:rPr>
          <w:szCs w:val="23"/>
        </w:rPr>
        <w:t>New South Wales will provide an evaluation report, building on information provided in progress reports, that clearly demonstrates:</w:t>
      </w:r>
    </w:p>
    <w:p w14:paraId="1BC0EB40" w14:textId="77777777" w:rsidR="00736C51" w:rsidRDefault="00736C51" w:rsidP="00736C51">
      <w:pPr>
        <w:pStyle w:val="Normalnumbered"/>
        <w:numPr>
          <w:ilvl w:val="1"/>
          <w:numId w:val="9"/>
        </w:numPr>
        <w:tabs>
          <w:tab w:val="clear" w:pos="1070"/>
          <w:tab w:val="num" w:pos="927"/>
        </w:tabs>
        <w:spacing w:before="120" w:line="240" w:lineRule="auto"/>
        <w:ind w:left="927"/>
        <w:rPr>
          <w:szCs w:val="23"/>
        </w:rPr>
      </w:pPr>
      <w:r>
        <w:rPr>
          <w:szCs w:val="23"/>
        </w:rPr>
        <w:t>The extent to which the completed works are being used for the aims and outcomes throughout the evaluation period (12 months after completion of works at each site – Boera Dam, Booka Dam, Homestead Dam and Peebles Dam);</w:t>
      </w:r>
    </w:p>
    <w:p w14:paraId="530DA754" w14:textId="77777777" w:rsidR="00736C51" w:rsidRDefault="00736C51" w:rsidP="00736C51">
      <w:pPr>
        <w:pStyle w:val="Normalnumbered"/>
        <w:numPr>
          <w:ilvl w:val="1"/>
          <w:numId w:val="9"/>
        </w:numPr>
        <w:tabs>
          <w:tab w:val="clear" w:pos="1070"/>
          <w:tab w:val="num" w:pos="927"/>
        </w:tabs>
        <w:spacing w:before="120" w:line="240" w:lineRule="auto"/>
        <w:ind w:left="927"/>
        <w:rPr>
          <w:szCs w:val="23"/>
        </w:rPr>
      </w:pPr>
      <w:r>
        <w:rPr>
          <w:szCs w:val="23"/>
        </w:rPr>
        <w:t xml:space="preserve">The extent to which the project has met, exceeded or </w:t>
      </w:r>
      <w:r w:rsidR="007943E3">
        <w:rPr>
          <w:szCs w:val="23"/>
        </w:rPr>
        <w:t>fallen</w:t>
      </w:r>
      <w:r>
        <w:rPr>
          <w:szCs w:val="23"/>
        </w:rPr>
        <w:t xml:space="preserve"> short of the project aims and outcomes during the evaluation period;</w:t>
      </w:r>
    </w:p>
    <w:p w14:paraId="4DD91A61" w14:textId="77777777" w:rsidR="00736C51" w:rsidRDefault="00736C51" w:rsidP="00736C51">
      <w:pPr>
        <w:pStyle w:val="Normalnumbered"/>
        <w:numPr>
          <w:ilvl w:val="1"/>
          <w:numId w:val="9"/>
        </w:numPr>
        <w:tabs>
          <w:tab w:val="clear" w:pos="1070"/>
          <w:tab w:val="num" w:pos="927"/>
        </w:tabs>
        <w:spacing w:before="120" w:line="240" w:lineRule="auto"/>
        <w:ind w:left="927"/>
        <w:rPr>
          <w:szCs w:val="23"/>
        </w:rPr>
      </w:pPr>
      <w:r>
        <w:rPr>
          <w:szCs w:val="23"/>
        </w:rPr>
        <w:t>Any other items that are agreed by New South Wales and the Commonwealth to be included in the evaluation report.</w:t>
      </w:r>
    </w:p>
    <w:p w14:paraId="1CD5E56A" w14:textId="77777777" w:rsidR="00736C51" w:rsidRDefault="00736C51" w:rsidP="00736C51">
      <w:pPr>
        <w:pStyle w:val="Normalnumbered"/>
        <w:numPr>
          <w:ilvl w:val="0"/>
          <w:numId w:val="9"/>
        </w:numPr>
        <w:spacing w:before="120" w:line="240" w:lineRule="auto"/>
        <w:rPr>
          <w:szCs w:val="23"/>
        </w:rPr>
      </w:pPr>
      <w:r>
        <w:rPr>
          <w:szCs w:val="23"/>
        </w:rPr>
        <w:t>The evaluation report is due within 40 business days after the earlier of:</w:t>
      </w:r>
    </w:p>
    <w:p w14:paraId="54CED5BE" w14:textId="77777777" w:rsidR="00736C51" w:rsidRDefault="00736C51" w:rsidP="00736C51">
      <w:pPr>
        <w:pStyle w:val="Normalnumbered"/>
        <w:numPr>
          <w:ilvl w:val="1"/>
          <w:numId w:val="9"/>
        </w:numPr>
        <w:tabs>
          <w:tab w:val="clear" w:pos="1070"/>
          <w:tab w:val="num" w:pos="927"/>
        </w:tabs>
        <w:spacing w:before="120" w:line="240" w:lineRule="auto"/>
        <w:ind w:left="927"/>
        <w:rPr>
          <w:szCs w:val="23"/>
        </w:rPr>
      </w:pPr>
      <w:r>
        <w:rPr>
          <w:szCs w:val="23"/>
        </w:rPr>
        <w:t>The expiry of the evaluation period; or</w:t>
      </w:r>
    </w:p>
    <w:p w14:paraId="1DEAC9BE" w14:textId="77777777" w:rsidR="00736C51" w:rsidRDefault="00736C51" w:rsidP="00736C51">
      <w:pPr>
        <w:pStyle w:val="Normalnumbered"/>
        <w:numPr>
          <w:ilvl w:val="1"/>
          <w:numId w:val="9"/>
        </w:numPr>
        <w:tabs>
          <w:tab w:val="clear" w:pos="1070"/>
          <w:tab w:val="num" w:pos="927"/>
        </w:tabs>
        <w:spacing w:before="120" w:line="240" w:lineRule="auto"/>
        <w:ind w:left="927"/>
        <w:rPr>
          <w:szCs w:val="23"/>
        </w:rPr>
      </w:pPr>
      <w:r>
        <w:rPr>
          <w:szCs w:val="23"/>
        </w:rPr>
        <w:t>The termination of the Agreement.</w:t>
      </w:r>
    </w:p>
    <w:p w14:paraId="534A5131" w14:textId="77777777" w:rsidR="009E0EEE" w:rsidRDefault="009E0EEE" w:rsidP="009E0EEE">
      <w:pPr>
        <w:pStyle w:val="Normalnumbered"/>
        <w:numPr>
          <w:ilvl w:val="0"/>
          <w:numId w:val="9"/>
        </w:numPr>
        <w:spacing w:before="120" w:line="240" w:lineRule="auto"/>
        <w:rPr>
          <w:szCs w:val="23"/>
        </w:rPr>
      </w:pPr>
      <w:r>
        <w:rPr>
          <w:szCs w:val="23"/>
        </w:rPr>
        <w:t>New South Wales will provide, on completion of each of the works at Boera Dam, Booka Dam, Homestead Dam, and Peebles Dam, a certificate of attainment of practical completion.</w:t>
      </w:r>
    </w:p>
    <w:p w14:paraId="6519B677" w14:textId="77777777" w:rsidR="009E0EEE" w:rsidRDefault="009E0EEE" w:rsidP="009E0EEE">
      <w:pPr>
        <w:pStyle w:val="Normalnumbered"/>
        <w:numPr>
          <w:ilvl w:val="0"/>
          <w:numId w:val="9"/>
        </w:numPr>
        <w:spacing w:before="120" w:line="240" w:lineRule="auto"/>
        <w:rPr>
          <w:szCs w:val="23"/>
        </w:rPr>
      </w:pPr>
      <w:r>
        <w:rPr>
          <w:szCs w:val="23"/>
        </w:rPr>
        <w:t>For the purpose of this Agreement, practical completion means:</w:t>
      </w:r>
    </w:p>
    <w:p w14:paraId="2679E220" w14:textId="77777777" w:rsidR="009E0EEE" w:rsidRDefault="009E0EEE" w:rsidP="009E0EEE">
      <w:pPr>
        <w:pStyle w:val="Normalnumbered"/>
        <w:numPr>
          <w:ilvl w:val="1"/>
          <w:numId w:val="9"/>
        </w:numPr>
        <w:tabs>
          <w:tab w:val="clear" w:pos="1070"/>
          <w:tab w:val="num" w:pos="927"/>
        </w:tabs>
        <w:spacing w:before="120" w:line="240" w:lineRule="auto"/>
        <w:ind w:left="927"/>
        <w:rPr>
          <w:szCs w:val="23"/>
        </w:rPr>
      </w:pPr>
      <w:r>
        <w:rPr>
          <w:szCs w:val="23"/>
        </w:rPr>
        <w:t>Works on the dams are completed, except for minor defects or omissions, which do not prevent them from achieving their stated purpose;</w:t>
      </w:r>
    </w:p>
    <w:p w14:paraId="2CE4B8DF" w14:textId="77777777" w:rsidR="009E0EEE" w:rsidRDefault="009E0EEE" w:rsidP="009E0EEE">
      <w:pPr>
        <w:pStyle w:val="Normalnumbered"/>
        <w:numPr>
          <w:ilvl w:val="1"/>
          <w:numId w:val="9"/>
        </w:numPr>
        <w:tabs>
          <w:tab w:val="clear" w:pos="1070"/>
          <w:tab w:val="num" w:pos="927"/>
        </w:tabs>
        <w:spacing w:before="120" w:line="240" w:lineRule="auto"/>
        <w:ind w:left="927"/>
        <w:rPr>
          <w:szCs w:val="23"/>
        </w:rPr>
      </w:pPr>
      <w:r>
        <w:rPr>
          <w:szCs w:val="23"/>
        </w:rPr>
        <w:t>All fishways on the dams have been tested and inspections have been undertaken, are successful and demonstrate operational performance as expected; and</w:t>
      </w:r>
    </w:p>
    <w:p w14:paraId="5D951548" w14:textId="77777777" w:rsidR="009E0EEE" w:rsidRDefault="009E0EEE" w:rsidP="009E0EEE">
      <w:pPr>
        <w:pStyle w:val="Normalnumbered"/>
        <w:numPr>
          <w:ilvl w:val="1"/>
          <w:numId w:val="9"/>
        </w:numPr>
        <w:tabs>
          <w:tab w:val="clear" w:pos="1070"/>
          <w:tab w:val="num" w:pos="927"/>
        </w:tabs>
        <w:spacing w:before="120" w:line="240" w:lineRule="auto"/>
        <w:ind w:left="927"/>
        <w:rPr>
          <w:szCs w:val="23"/>
        </w:rPr>
      </w:pPr>
      <w:r>
        <w:rPr>
          <w:szCs w:val="23"/>
        </w:rPr>
        <w:t>The dams are fit for the designated use.</w:t>
      </w:r>
    </w:p>
    <w:p w14:paraId="3B5E55EE" w14:textId="77777777" w:rsidR="009E0EEE" w:rsidRDefault="009E0EEE" w:rsidP="009E0EEE">
      <w:pPr>
        <w:pStyle w:val="Normalnumbered"/>
        <w:numPr>
          <w:ilvl w:val="0"/>
          <w:numId w:val="9"/>
        </w:numPr>
        <w:spacing w:before="120" w:line="240" w:lineRule="auto"/>
        <w:rPr>
          <w:szCs w:val="23"/>
        </w:rPr>
      </w:pPr>
      <w:r>
        <w:rPr>
          <w:szCs w:val="23"/>
        </w:rPr>
        <w:t>The dams at Boera, Booka and Homestead will contribute to agreed environmental water outcomes in New South Wales and across the Murray Darling Basin.</w:t>
      </w:r>
    </w:p>
    <w:p w14:paraId="5B337761" w14:textId="1CDDA867" w:rsidR="008E7527" w:rsidRDefault="00D75D6D" w:rsidP="008D59CE">
      <w:pPr>
        <w:pStyle w:val="Heading1"/>
      </w:pPr>
      <w:r w:rsidDel="00D75D6D">
        <w:rPr>
          <w:szCs w:val="23"/>
        </w:rPr>
        <w:t xml:space="preserve"> </w:t>
      </w:r>
      <w:r w:rsidR="008E7527">
        <w:t>Part 5</w:t>
      </w:r>
      <w:r w:rsidR="008E7527" w:rsidRPr="00751725">
        <w:t xml:space="preserve"> — financial arrangements</w:t>
      </w:r>
    </w:p>
    <w:p w14:paraId="60779A67" w14:textId="5DBECA20" w:rsidR="008E7527" w:rsidRDefault="008E7527" w:rsidP="00736C51">
      <w:pPr>
        <w:pStyle w:val="Normalnumbered"/>
        <w:numPr>
          <w:ilvl w:val="0"/>
          <w:numId w:val="9"/>
        </w:numPr>
        <w:spacing w:before="120" w:line="240" w:lineRule="auto"/>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3034DE">
        <w:t>New South Wales</w:t>
      </w:r>
      <w:r w:rsidR="003034DE" w:rsidRPr="007179FE">
        <w:t xml:space="preserve"> </w:t>
      </w:r>
      <w:r w:rsidR="00123652" w:rsidRPr="00D84949">
        <w:t xml:space="preserve">of </w:t>
      </w:r>
      <w:r w:rsidRPr="00D84949">
        <w:t>$</w:t>
      </w:r>
      <w:r w:rsidR="00FF43BA">
        <w:t>9</w:t>
      </w:r>
      <w:r w:rsidR="00B0455A">
        <w:t>.</w:t>
      </w:r>
      <w:r w:rsidR="00FF43BA">
        <w:t>2</w:t>
      </w:r>
      <w:r w:rsidR="0020372D">
        <w:t>4</w:t>
      </w:r>
      <w:r w:rsidR="00FF43BA">
        <w:t>0</w:t>
      </w:r>
      <w:r w:rsidR="00812EC7" w:rsidRPr="00D84949">
        <w:t> </w:t>
      </w:r>
      <w:r w:rsidRPr="00D84949">
        <w:t>m</w:t>
      </w:r>
      <w:r w:rsidR="00812EC7" w:rsidRPr="00D84949">
        <w:t>illion</w:t>
      </w:r>
      <w:r w:rsidRPr="00D84949">
        <w:t xml:space="preserve"> in respect</w:t>
      </w:r>
      <w:r>
        <w:t xml:space="preserve"> of this Agreement. All payments are GST exclusive.</w:t>
      </w:r>
    </w:p>
    <w:p w14:paraId="676B5D46" w14:textId="3ADF6EDC" w:rsidR="007943E3" w:rsidRDefault="007943E3" w:rsidP="007943E3">
      <w:pPr>
        <w:pStyle w:val="Normalnumbered"/>
        <w:numPr>
          <w:ilvl w:val="0"/>
          <w:numId w:val="9"/>
        </w:numPr>
        <w:spacing w:before="120" w:line="240" w:lineRule="auto"/>
      </w:pPr>
      <w:r>
        <w:t>The balance on non-Commonwealth contributions will consist of contributions from New South Wales, with New South Wales contributions being no less of $</w:t>
      </w:r>
      <w:r w:rsidRPr="00FF43BA">
        <w:t>500,000</w:t>
      </w:r>
      <w:r>
        <w:t xml:space="preserve"> in cash (GST exclusive) and $</w:t>
      </w:r>
      <w:r w:rsidR="00B0455A" w:rsidRPr="00FF43BA">
        <w:t>1,115,000</w:t>
      </w:r>
      <w:r w:rsidR="00142E2E" w:rsidRPr="00FF43BA">
        <w:t xml:space="preserve"> </w:t>
      </w:r>
      <w:r w:rsidRPr="00FF43BA">
        <w:t>in</w:t>
      </w:r>
      <w:r>
        <w:t xml:space="preserve"> in-kind contribution in respect of this Agreement.</w:t>
      </w:r>
    </w:p>
    <w:p w14:paraId="44E3980E" w14:textId="77777777" w:rsidR="008E7527" w:rsidRDefault="005A5E7A" w:rsidP="00736C51">
      <w:pPr>
        <w:pStyle w:val="Normalnumbered"/>
        <w:numPr>
          <w:ilvl w:val="0"/>
          <w:numId w:val="9"/>
        </w:numPr>
      </w:pPr>
      <w:r>
        <w:t>T</w:t>
      </w:r>
      <w:r w:rsidR="008E7527" w:rsidRPr="002B7E1B">
        <w:t xml:space="preserve">he Commonwealth’s funding contribution will not be reduced where </w:t>
      </w:r>
      <w:r w:rsidR="003034DE">
        <w:t>New South Wales</w:t>
      </w:r>
      <w:r w:rsidR="00A63D43">
        <w:t xml:space="preserve"> </w:t>
      </w:r>
      <w:r w:rsidR="008E7527" w:rsidRPr="002B7E1B">
        <w:t>secure</w:t>
      </w:r>
      <w:r w:rsidR="003959F8">
        <w:t>s</w:t>
      </w:r>
      <w:r w:rsidR="008E7527" w:rsidRPr="002B7E1B">
        <w:t xml:space="preserve"> funding from other activity partners</w:t>
      </w:r>
      <w:r w:rsidR="002E144A">
        <w:t>.</w:t>
      </w:r>
    </w:p>
    <w:p w14:paraId="6A4D2FF1" w14:textId="77777777" w:rsidR="008E7527" w:rsidRDefault="008E7527" w:rsidP="008D59CE">
      <w:pPr>
        <w:pStyle w:val="Normalnumbered"/>
        <w:numPr>
          <w:ilvl w:val="0"/>
          <w:numId w:val="9"/>
        </w:numPr>
      </w:pPr>
      <w:r w:rsidRPr="00751725">
        <w:t>The Commonwealth</w:t>
      </w:r>
      <w:r>
        <w:t>’s</w:t>
      </w:r>
      <w:r w:rsidR="00BC608D">
        <w:t xml:space="preserve"> and</w:t>
      </w:r>
      <w:r w:rsidRPr="00751725">
        <w:t xml:space="preserve"> </w:t>
      </w:r>
      <w:r w:rsidR="003034DE">
        <w:t>New South Wales’</w:t>
      </w:r>
      <w:r w:rsidR="003034DE" w:rsidRPr="007179FE">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2E352F1B" w14:textId="77777777" w:rsidR="002235A0" w:rsidRPr="00D84949" w:rsidRDefault="002235A0" w:rsidP="002235A0">
      <w:pPr>
        <w:pStyle w:val="Normalnumbered"/>
        <w:numPr>
          <w:ilvl w:val="0"/>
          <w:numId w:val="0"/>
        </w:numPr>
        <w:rPr>
          <w:b/>
          <w:i/>
        </w:rPr>
      </w:pPr>
      <w:r w:rsidRPr="00D84949">
        <w:rPr>
          <w:b/>
        </w:rPr>
        <w:lastRenderedPageBreak/>
        <w:t>Table 2: Estimated financial contributions</w:t>
      </w:r>
    </w:p>
    <w:tbl>
      <w:tblPr>
        <w:tblW w:w="9593" w:type="dxa"/>
        <w:jc w:val="center"/>
        <w:tblLook w:val="01E0" w:firstRow="1" w:lastRow="1" w:firstColumn="1" w:lastColumn="1" w:noHBand="0" w:noVBand="0"/>
      </w:tblPr>
      <w:tblGrid>
        <w:gridCol w:w="2640"/>
        <w:gridCol w:w="1060"/>
        <w:gridCol w:w="1201"/>
        <w:gridCol w:w="1094"/>
        <w:gridCol w:w="1101"/>
        <w:gridCol w:w="1194"/>
        <w:gridCol w:w="1303"/>
      </w:tblGrid>
      <w:tr w:rsidR="00A15496" w:rsidRPr="00D84949" w14:paraId="18BE8667" w14:textId="77777777" w:rsidTr="002E3D13">
        <w:trPr>
          <w:cantSplit/>
          <w:jc w:val="center"/>
        </w:trPr>
        <w:tc>
          <w:tcPr>
            <w:tcW w:w="2640" w:type="dxa"/>
            <w:tcBorders>
              <w:top w:val="single" w:sz="4" w:space="0" w:color="000080"/>
              <w:right w:val="single" w:sz="4" w:space="0" w:color="auto"/>
            </w:tcBorders>
          </w:tcPr>
          <w:p w14:paraId="495CF0A1" w14:textId="77777777" w:rsidR="00D81D7E" w:rsidRPr="00D84949" w:rsidRDefault="00D81D7E" w:rsidP="007A167E">
            <w:pPr>
              <w:keepNext/>
              <w:keepLines/>
              <w:spacing w:before="40" w:after="40"/>
              <w:jc w:val="left"/>
              <w:rPr>
                <w:b/>
              </w:rPr>
            </w:pPr>
            <w:r w:rsidRPr="00D84949">
              <w:rPr>
                <w:b/>
              </w:rPr>
              <w:t>($ million)</w:t>
            </w:r>
          </w:p>
        </w:tc>
        <w:tc>
          <w:tcPr>
            <w:tcW w:w="1060" w:type="dxa"/>
            <w:tcBorders>
              <w:top w:val="single" w:sz="4" w:space="0" w:color="auto"/>
              <w:left w:val="single" w:sz="4" w:space="0" w:color="auto"/>
              <w:bottom w:val="single" w:sz="4" w:space="0" w:color="auto"/>
              <w:right w:val="single" w:sz="4" w:space="0" w:color="auto"/>
            </w:tcBorders>
          </w:tcPr>
          <w:p w14:paraId="0D8837D1" w14:textId="77777777" w:rsidR="00D81D7E" w:rsidRPr="00D84949" w:rsidRDefault="00D81D7E" w:rsidP="007A167E">
            <w:pPr>
              <w:keepNext/>
              <w:keepLines/>
              <w:spacing w:before="40" w:after="40"/>
              <w:jc w:val="right"/>
            </w:pPr>
            <w:r w:rsidRPr="00D84949">
              <w:t>201</w:t>
            </w:r>
            <w:r>
              <w:t>6</w:t>
            </w:r>
            <w:r w:rsidRPr="00D84949">
              <w:t>-1</w:t>
            </w:r>
            <w:r>
              <w:t>7</w:t>
            </w:r>
          </w:p>
        </w:tc>
        <w:tc>
          <w:tcPr>
            <w:tcW w:w="1201" w:type="dxa"/>
            <w:tcBorders>
              <w:top w:val="single" w:sz="4" w:space="0" w:color="auto"/>
              <w:left w:val="single" w:sz="4" w:space="0" w:color="auto"/>
              <w:bottom w:val="single" w:sz="4" w:space="0" w:color="auto"/>
              <w:right w:val="single" w:sz="4" w:space="0" w:color="auto"/>
            </w:tcBorders>
          </w:tcPr>
          <w:p w14:paraId="3DD212E9" w14:textId="77777777" w:rsidR="00D81D7E" w:rsidRPr="00D84949" w:rsidRDefault="00D81D7E" w:rsidP="007A167E">
            <w:pPr>
              <w:keepNext/>
              <w:keepLines/>
              <w:spacing w:before="40" w:after="40"/>
              <w:jc w:val="right"/>
            </w:pPr>
            <w:r w:rsidRPr="00D84949">
              <w:t>201</w:t>
            </w:r>
            <w:r>
              <w:t>7</w:t>
            </w:r>
            <w:r w:rsidRPr="00D84949">
              <w:t>-1</w:t>
            </w:r>
            <w:r>
              <w:t>8</w:t>
            </w:r>
          </w:p>
        </w:tc>
        <w:tc>
          <w:tcPr>
            <w:tcW w:w="1094" w:type="dxa"/>
            <w:tcBorders>
              <w:top w:val="single" w:sz="4" w:space="0" w:color="auto"/>
              <w:left w:val="single" w:sz="4" w:space="0" w:color="auto"/>
              <w:bottom w:val="single" w:sz="4" w:space="0" w:color="auto"/>
              <w:right w:val="single" w:sz="4" w:space="0" w:color="auto"/>
            </w:tcBorders>
          </w:tcPr>
          <w:p w14:paraId="3F2C4126" w14:textId="77777777" w:rsidR="00D81D7E" w:rsidRPr="00D84949" w:rsidRDefault="00D81D7E" w:rsidP="007A167E">
            <w:pPr>
              <w:keepNext/>
              <w:keepLines/>
              <w:spacing w:before="40" w:after="40"/>
              <w:jc w:val="right"/>
            </w:pPr>
            <w:r w:rsidRPr="00D84949">
              <w:t>201</w:t>
            </w:r>
            <w:r>
              <w:t>8</w:t>
            </w:r>
            <w:r w:rsidRPr="00D84949">
              <w:t>-1</w:t>
            </w:r>
            <w:r>
              <w:t>9</w:t>
            </w:r>
          </w:p>
        </w:tc>
        <w:tc>
          <w:tcPr>
            <w:tcW w:w="1101" w:type="dxa"/>
            <w:tcBorders>
              <w:top w:val="single" w:sz="4" w:space="0" w:color="auto"/>
              <w:left w:val="single" w:sz="4" w:space="0" w:color="auto"/>
              <w:bottom w:val="single" w:sz="4" w:space="0" w:color="auto"/>
              <w:right w:val="single" w:sz="4" w:space="0" w:color="auto"/>
            </w:tcBorders>
          </w:tcPr>
          <w:p w14:paraId="1FCC13BE" w14:textId="77777777" w:rsidR="00D81D7E" w:rsidRPr="00D84949" w:rsidRDefault="00D81D7E" w:rsidP="007943E3">
            <w:pPr>
              <w:keepNext/>
              <w:keepLines/>
              <w:spacing w:before="40" w:after="40"/>
              <w:jc w:val="right"/>
            </w:pPr>
            <w:r w:rsidRPr="00D84949">
              <w:t>201</w:t>
            </w:r>
            <w:r w:rsidR="007943E3">
              <w:t>9</w:t>
            </w:r>
            <w:r w:rsidRPr="00D84949">
              <w:t>-</w:t>
            </w:r>
            <w:r w:rsidR="007943E3">
              <w:t>20</w:t>
            </w:r>
          </w:p>
        </w:tc>
        <w:tc>
          <w:tcPr>
            <w:tcW w:w="1194" w:type="dxa"/>
            <w:tcBorders>
              <w:top w:val="single" w:sz="4" w:space="0" w:color="auto"/>
              <w:left w:val="single" w:sz="4" w:space="0" w:color="auto"/>
              <w:bottom w:val="single" w:sz="4" w:space="0" w:color="auto"/>
              <w:right w:val="single" w:sz="4" w:space="0" w:color="auto"/>
            </w:tcBorders>
          </w:tcPr>
          <w:p w14:paraId="731E17B1" w14:textId="77777777" w:rsidR="00D81D7E" w:rsidRPr="00D84949" w:rsidRDefault="00D81D7E" w:rsidP="007943E3">
            <w:pPr>
              <w:keepNext/>
              <w:keepLines/>
              <w:spacing w:before="40" w:after="40"/>
              <w:ind w:left="-268" w:firstLine="268"/>
              <w:jc w:val="right"/>
            </w:pPr>
            <w:r w:rsidRPr="00D84949">
              <w:t>20</w:t>
            </w:r>
            <w:r w:rsidR="007943E3">
              <w:t>20</w:t>
            </w:r>
            <w:r w:rsidRPr="00D84949">
              <w:t>-</w:t>
            </w:r>
            <w:r w:rsidR="007943E3">
              <w:t>2</w:t>
            </w:r>
            <w:r w:rsidRPr="00D84949">
              <w:t>1</w:t>
            </w:r>
          </w:p>
        </w:tc>
        <w:tc>
          <w:tcPr>
            <w:tcW w:w="1303" w:type="dxa"/>
            <w:tcBorders>
              <w:top w:val="single" w:sz="4" w:space="0" w:color="auto"/>
              <w:left w:val="single" w:sz="4" w:space="0" w:color="auto"/>
              <w:bottom w:val="single" w:sz="4" w:space="0" w:color="auto"/>
              <w:right w:val="single" w:sz="4" w:space="0" w:color="auto"/>
            </w:tcBorders>
          </w:tcPr>
          <w:p w14:paraId="647FDFED" w14:textId="77777777" w:rsidR="00D81D7E" w:rsidRPr="00D84949" w:rsidRDefault="00D81D7E" w:rsidP="007A167E">
            <w:pPr>
              <w:keepNext/>
              <w:keepLines/>
              <w:spacing w:before="40" w:after="40"/>
              <w:jc w:val="right"/>
            </w:pPr>
            <w:r w:rsidRPr="00D84949">
              <w:t>Total</w:t>
            </w:r>
          </w:p>
        </w:tc>
      </w:tr>
      <w:tr w:rsidR="002E3D13" w:rsidRPr="00D84949" w14:paraId="54FDE20E" w14:textId="77777777" w:rsidTr="002E3D13">
        <w:trPr>
          <w:cantSplit/>
          <w:jc w:val="center"/>
        </w:trPr>
        <w:tc>
          <w:tcPr>
            <w:tcW w:w="2640" w:type="dxa"/>
            <w:tcBorders>
              <w:right w:val="single" w:sz="4" w:space="0" w:color="auto"/>
            </w:tcBorders>
          </w:tcPr>
          <w:p w14:paraId="6036E832" w14:textId="77777777" w:rsidR="002E3D13" w:rsidRPr="00D84949" w:rsidRDefault="002E3D13" w:rsidP="002E3D13">
            <w:pPr>
              <w:keepNext/>
              <w:keepLines/>
              <w:spacing w:before="60" w:after="60"/>
              <w:rPr>
                <w:b/>
              </w:rPr>
            </w:pPr>
            <w:r w:rsidRPr="00D84949">
              <w:rPr>
                <w:b/>
              </w:rPr>
              <w:t>Estimated total budget</w:t>
            </w:r>
          </w:p>
        </w:tc>
        <w:tc>
          <w:tcPr>
            <w:tcW w:w="1060" w:type="dxa"/>
            <w:tcBorders>
              <w:top w:val="single" w:sz="4" w:space="0" w:color="auto"/>
              <w:left w:val="single" w:sz="4" w:space="0" w:color="auto"/>
              <w:bottom w:val="single" w:sz="4" w:space="0" w:color="auto"/>
              <w:right w:val="single" w:sz="4" w:space="0" w:color="auto"/>
            </w:tcBorders>
          </w:tcPr>
          <w:p w14:paraId="3576AAA5" w14:textId="2EAB282A" w:rsidR="002E3D13" w:rsidRPr="002E3D13" w:rsidRDefault="002E3D13" w:rsidP="002E3D13">
            <w:pPr>
              <w:keepNext/>
              <w:keepLines/>
              <w:spacing w:before="40" w:after="40"/>
              <w:jc w:val="right"/>
              <w:rPr>
                <w:b/>
                <w:highlight w:val="black"/>
              </w:rPr>
            </w:pPr>
            <w:r w:rsidRPr="002E3D13">
              <w:rPr>
                <w:b/>
                <w:highlight w:val="black"/>
              </w:rPr>
              <w:t>XXXX</w:t>
            </w:r>
          </w:p>
        </w:tc>
        <w:tc>
          <w:tcPr>
            <w:tcW w:w="1201" w:type="dxa"/>
            <w:tcBorders>
              <w:top w:val="single" w:sz="4" w:space="0" w:color="auto"/>
              <w:left w:val="single" w:sz="4" w:space="0" w:color="auto"/>
              <w:bottom w:val="single" w:sz="4" w:space="0" w:color="auto"/>
              <w:right w:val="single" w:sz="4" w:space="0" w:color="auto"/>
            </w:tcBorders>
          </w:tcPr>
          <w:p w14:paraId="247D45AC" w14:textId="60D5C8B6" w:rsidR="002E3D13" w:rsidRPr="002E3D13" w:rsidRDefault="002E3D13" w:rsidP="002E3D13">
            <w:pPr>
              <w:keepNext/>
              <w:keepLines/>
              <w:spacing w:before="40" w:after="40"/>
              <w:jc w:val="right"/>
              <w:rPr>
                <w:b/>
                <w:highlight w:val="black"/>
              </w:rPr>
            </w:pPr>
            <w:r w:rsidRPr="002E3D13">
              <w:rPr>
                <w:b/>
                <w:highlight w:val="black"/>
              </w:rPr>
              <w:t>XXXX</w:t>
            </w:r>
          </w:p>
        </w:tc>
        <w:tc>
          <w:tcPr>
            <w:tcW w:w="1094" w:type="dxa"/>
            <w:tcBorders>
              <w:top w:val="single" w:sz="4" w:space="0" w:color="auto"/>
              <w:left w:val="single" w:sz="4" w:space="0" w:color="auto"/>
              <w:bottom w:val="single" w:sz="4" w:space="0" w:color="auto"/>
              <w:right w:val="single" w:sz="4" w:space="0" w:color="auto"/>
            </w:tcBorders>
          </w:tcPr>
          <w:p w14:paraId="74E6A721" w14:textId="07027894" w:rsidR="002E3D13" w:rsidRPr="002E3D13" w:rsidRDefault="002E3D13" w:rsidP="002E3D13">
            <w:pPr>
              <w:keepNext/>
              <w:keepLines/>
              <w:spacing w:before="40" w:after="40"/>
              <w:jc w:val="right"/>
              <w:rPr>
                <w:b/>
                <w:highlight w:val="black"/>
              </w:rPr>
            </w:pPr>
            <w:r w:rsidRPr="002E3D13">
              <w:rPr>
                <w:b/>
                <w:highlight w:val="black"/>
              </w:rPr>
              <w:t>XXXX</w:t>
            </w:r>
          </w:p>
        </w:tc>
        <w:tc>
          <w:tcPr>
            <w:tcW w:w="1101" w:type="dxa"/>
            <w:tcBorders>
              <w:top w:val="single" w:sz="4" w:space="0" w:color="auto"/>
              <w:left w:val="single" w:sz="4" w:space="0" w:color="auto"/>
              <w:bottom w:val="single" w:sz="4" w:space="0" w:color="auto"/>
              <w:right w:val="single" w:sz="4" w:space="0" w:color="auto"/>
            </w:tcBorders>
          </w:tcPr>
          <w:p w14:paraId="4FA6A069" w14:textId="7F17B80C" w:rsidR="002E3D13" w:rsidRPr="002E3D13" w:rsidRDefault="002E3D13" w:rsidP="002E3D13">
            <w:pPr>
              <w:keepNext/>
              <w:keepLines/>
              <w:spacing w:before="40" w:after="40"/>
              <w:jc w:val="right"/>
              <w:rPr>
                <w:b/>
                <w:highlight w:val="black"/>
              </w:rPr>
            </w:pPr>
            <w:r w:rsidRPr="002E3D13">
              <w:rPr>
                <w:b/>
                <w:highlight w:val="black"/>
              </w:rPr>
              <w:t>XXXX</w:t>
            </w:r>
          </w:p>
        </w:tc>
        <w:tc>
          <w:tcPr>
            <w:tcW w:w="1194" w:type="dxa"/>
            <w:tcBorders>
              <w:top w:val="single" w:sz="4" w:space="0" w:color="auto"/>
              <w:left w:val="single" w:sz="4" w:space="0" w:color="auto"/>
              <w:bottom w:val="single" w:sz="4" w:space="0" w:color="auto"/>
              <w:right w:val="single" w:sz="4" w:space="0" w:color="auto"/>
            </w:tcBorders>
          </w:tcPr>
          <w:p w14:paraId="4664CD10" w14:textId="346D6F11" w:rsidR="002E3D13" w:rsidRPr="002E3D13" w:rsidRDefault="002E3D13" w:rsidP="002E3D13">
            <w:pPr>
              <w:keepNext/>
              <w:keepLines/>
              <w:spacing w:before="40" w:after="40"/>
              <w:jc w:val="right"/>
              <w:rPr>
                <w:b/>
                <w:highlight w:val="black"/>
              </w:rPr>
            </w:pPr>
            <w:r w:rsidRPr="002E3D13">
              <w:rPr>
                <w:b/>
                <w:highlight w:val="black"/>
              </w:rPr>
              <w:t>XXXX</w:t>
            </w:r>
          </w:p>
        </w:tc>
        <w:tc>
          <w:tcPr>
            <w:tcW w:w="1303" w:type="dxa"/>
            <w:tcBorders>
              <w:top w:val="single" w:sz="4" w:space="0" w:color="auto"/>
              <w:left w:val="single" w:sz="4" w:space="0" w:color="auto"/>
              <w:bottom w:val="single" w:sz="4" w:space="0" w:color="auto"/>
              <w:right w:val="single" w:sz="4" w:space="0" w:color="auto"/>
            </w:tcBorders>
          </w:tcPr>
          <w:p w14:paraId="241BAE63" w14:textId="7A28C00A" w:rsidR="002E3D13" w:rsidRPr="0088307E" w:rsidRDefault="002E3D13" w:rsidP="002E3D13">
            <w:pPr>
              <w:keepNext/>
              <w:keepLines/>
              <w:spacing w:before="40" w:after="40"/>
              <w:jc w:val="right"/>
              <w:rPr>
                <w:b/>
                <w:highlight w:val="yellow"/>
              </w:rPr>
            </w:pPr>
            <w:r w:rsidRPr="009B0471">
              <w:rPr>
                <w:b/>
              </w:rPr>
              <w:t>10,855,000</w:t>
            </w:r>
          </w:p>
        </w:tc>
      </w:tr>
      <w:tr w:rsidR="002E3D13" w:rsidRPr="00D84949" w14:paraId="3D58E7D3" w14:textId="77777777" w:rsidTr="002E3D13">
        <w:trPr>
          <w:cantSplit/>
          <w:jc w:val="center"/>
        </w:trPr>
        <w:tc>
          <w:tcPr>
            <w:tcW w:w="2640" w:type="dxa"/>
            <w:tcBorders>
              <w:right w:val="single" w:sz="4" w:space="0" w:color="auto"/>
            </w:tcBorders>
          </w:tcPr>
          <w:p w14:paraId="2AD627FA" w14:textId="77777777" w:rsidR="002E3D13" w:rsidRPr="00D84949" w:rsidRDefault="002E3D13" w:rsidP="002E3D13">
            <w:pPr>
              <w:keepNext/>
              <w:keepLines/>
              <w:spacing w:before="60" w:after="60"/>
              <w:jc w:val="left"/>
            </w:pPr>
            <w:r w:rsidRPr="00D84949">
              <w:t xml:space="preserve">Less estimated </w:t>
            </w:r>
            <w:r>
              <w:t>FFR project payments</w:t>
            </w:r>
          </w:p>
        </w:tc>
        <w:tc>
          <w:tcPr>
            <w:tcW w:w="1060" w:type="dxa"/>
            <w:tcBorders>
              <w:top w:val="single" w:sz="4" w:space="0" w:color="auto"/>
              <w:left w:val="single" w:sz="4" w:space="0" w:color="auto"/>
              <w:bottom w:val="single" w:sz="4" w:space="0" w:color="auto"/>
              <w:right w:val="single" w:sz="4" w:space="0" w:color="auto"/>
            </w:tcBorders>
          </w:tcPr>
          <w:p w14:paraId="74C86314" w14:textId="750F158F" w:rsidR="002E3D13" w:rsidRPr="002E3D13" w:rsidRDefault="002E3D13" w:rsidP="002E3D13">
            <w:pPr>
              <w:keepNext/>
              <w:keepLines/>
              <w:spacing w:before="40" w:after="40"/>
              <w:jc w:val="right"/>
              <w:rPr>
                <w:highlight w:val="black"/>
              </w:rPr>
            </w:pPr>
            <w:r w:rsidRPr="002E3D13">
              <w:rPr>
                <w:highlight w:val="black"/>
              </w:rPr>
              <w:t>XXXX</w:t>
            </w:r>
          </w:p>
        </w:tc>
        <w:tc>
          <w:tcPr>
            <w:tcW w:w="1201" w:type="dxa"/>
            <w:tcBorders>
              <w:top w:val="single" w:sz="4" w:space="0" w:color="auto"/>
              <w:left w:val="single" w:sz="4" w:space="0" w:color="auto"/>
              <w:bottom w:val="single" w:sz="4" w:space="0" w:color="auto"/>
              <w:right w:val="single" w:sz="4" w:space="0" w:color="auto"/>
            </w:tcBorders>
          </w:tcPr>
          <w:p w14:paraId="468DFE7C" w14:textId="514B5DDC" w:rsidR="002E3D13" w:rsidRPr="002E3D13" w:rsidRDefault="002E3D13" w:rsidP="002E3D13">
            <w:pPr>
              <w:keepNext/>
              <w:keepLines/>
              <w:spacing w:before="40" w:after="40"/>
              <w:jc w:val="right"/>
              <w:rPr>
                <w:highlight w:val="black"/>
              </w:rPr>
            </w:pPr>
            <w:r w:rsidRPr="002E3D13">
              <w:rPr>
                <w:highlight w:val="black"/>
              </w:rPr>
              <w:t>XXXX</w:t>
            </w:r>
          </w:p>
        </w:tc>
        <w:tc>
          <w:tcPr>
            <w:tcW w:w="1094" w:type="dxa"/>
            <w:tcBorders>
              <w:top w:val="single" w:sz="4" w:space="0" w:color="auto"/>
              <w:left w:val="single" w:sz="4" w:space="0" w:color="auto"/>
              <w:bottom w:val="single" w:sz="4" w:space="0" w:color="auto"/>
              <w:right w:val="single" w:sz="4" w:space="0" w:color="auto"/>
            </w:tcBorders>
          </w:tcPr>
          <w:p w14:paraId="5068BD94" w14:textId="676FA737" w:rsidR="002E3D13" w:rsidRPr="002E3D13" w:rsidRDefault="002E3D13" w:rsidP="002E3D13">
            <w:pPr>
              <w:keepNext/>
              <w:keepLines/>
              <w:spacing w:before="40" w:after="40"/>
              <w:jc w:val="right"/>
              <w:rPr>
                <w:highlight w:val="black"/>
              </w:rPr>
            </w:pPr>
            <w:r w:rsidRPr="002E3D13">
              <w:rPr>
                <w:highlight w:val="black"/>
              </w:rPr>
              <w:t>XXXX</w:t>
            </w:r>
          </w:p>
        </w:tc>
        <w:tc>
          <w:tcPr>
            <w:tcW w:w="1101" w:type="dxa"/>
            <w:tcBorders>
              <w:top w:val="single" w:sz="4" w:space="0" w:color="auto"/>
              <w:left w:val="single" w:sz="4" w:space="0" w:color="auto"/>
              <w:bottom w:val="single" w:sz="4" w:space="0" w:color="auto"/>
              <w:right w:val="single" w:sz="4" w:space="0" w:color="auto"/>
            </w:tcBorders>
          </w:tcPr>
          <w:p w14:paraId="5D3DAB22" w14:textId="7ACB5818" w:rsidR="002E3D13" w:rsidRPr="002E3D13" w:rsidRDefault="002E3D13" w:rsidP="002E3D13">
            <w:pPr>
              <w:keepNext/>
              <w:keepLines/>
              <w:spacing w:before="40" w:after="40"/>
              <w:jc w:val="right"/>
              <w:rPr>
                <w:highlight w:val="black"/>
              </w:rPr>
            </w:pPr>
            <w:r w:rsidRPr="002E3D13">
              <w:rPr>
                <w:highlight w:val="black"/>
              </w:rPr>
              <w:t>XXXX</w:t>
            </w:r>
          </w:p>
        </w:tc>
        <w:tc>
          <w:tcPr>
            <w:tcW w:w="1194" w:type="dxa"/>
            <w:tcBorders>
              <w:top w:val="single" w:sz="4" w:space="0" w:color="auto"/>
              <w:left w:val="single" w:sz="4" w:space="0" w:color="auto"/>
              <w:bottom w:val="single" w:sz="4" w:space="0" w:color="auto"/>
              <w:right w:val="single" w:sz="4" w:space="0" w:color="auto"/>
            </w:tcBorders>
          </w:tcPr>
          <w:p w14:paraId="21DB256C" w14:textId="1F0ABFF5" w:rsidR="002E3D13" w:rsidRPr="002E3D13" w:rsidRDefault="002E3D13" w:rsidP="002E3D13">
            <w:pPr>
              <w:keepNext/>
              <w:keepLines/>
              <w:spacing w:before="40" w:after="40"/>
              <w:jc w:val="right"/>
              <w:rPr>
                <w:highlight w:val="black"/>
              </w:rPr>
            </w:pPr>
            <w:r w:rsidRPr="002E3D13">
              <w:rPr>
                <w:highlight w:val="black"/>
              </w:rPr>
              <w:t>XXXX</w:t>
            </w:r>
          </w:p>
        </w:tc>
        <w:tc>
          <w:tcPr>
            <w:tcW w:w="1303" w:type="dxa"/>
            <w:tcBorders>
              <w:top w:val="single" w:sz="4" w:space="0" w:color="auto"/>
              <w:left w:val="single" w:sz="4" w:space="0" w:color="auto"/>
              <w:bottom w:val="single" w:sz="4" w:space="0" w:color="auto"/>
              <w:right w:val="single" w:sz="4" w:space="0" w:color="auto"/>
            </w:tcBorders>
          </w:tcPr>
          <w:p w14:paraId="6F37738D" w14:textId="36FC7D7D" w:rsidR="002E3D13" w:rsidRPr="009B0471" w:rsidRDefault="002E3D13" w:rsidP="002E3D13">
            <w:pPr>
              <w:keepNext/>
              <w:keepLines/>
              <w:spacing w:before="40" w:after="40"/>
              <w:jc w:val="right"/>
            </w:pPr>
            <w:r w:rsidRPr="009B0471">
              <w:t>9,240,000</w:t>
            </w:r>
          </w:p>
        </w:tc>
      </w:tr>
      <w:tr w:rsidR="002E3D13" w14:paraId="44EDD299" w14:textId="77777777" w:rsidTr="002E3D13">
        <w:trPr>
          <w:cantSplit/>
          <w:jc w:val="center"/>
        </w:trPr>
        <w:tc>
          <w:tcPr>
            <w:tcW w:w="2640" w:type="dxa"/>
            <w:tcBorders>
              <w:bottom w:val="single" w:sz="4" w:space="0" w:color="000080"/>
              <w:right w:val="single" w:sz="4" w:space="0" w:color="auto"/>
            </w:tcBorders>
          </w:tcPr>
          <w:p w14:paraId="16C27062" w14:textId="77777777" w:rsidR="002E3D13" w:rsidRPr="00D84949" w:rsidRDefault="002E3D13" w:rsidP="002E3D13">
            <w:pPr>
              <w:keepNext/>
              <w:keepLines/>
              <w:spacing w:before="40" w:after="40"/>
              <w:jc w:val="left"/>
            </w:pPr>
            <w:r w:rsidRPr="00D84949">
              <w:t>Balance of non-Commonwealth contributions</w:t>
            </w:r>
            <w:r w:rsidRPr="00D81D7E">
              <w:rPr>
                <w:vertAlign w:val="superscript"/>
              </w:rPr>
              <w:t>(a)</w:t>
            </w:r>
          </w:p>
        </w:tc>
        <w:tc>
          <w:tcPr>
            <w:tcW w:w="1060" w:type="dxa"/>
            <w:tcBorders>
              <w:top w:val="single" w:sz="4" w:space="0" w:color="auto"/>
              <w:left w:val="single" w:sz="4" w:space="0" w:color="auto"/>
              <w:bottom w:val="single" w:sz="4" w:space="0" w:color="auto"/>
              <w:right w:val="single" w:sz="4" w:space="0" w:color="auto"/>
            </w:tcBorders>
          </w:tcPr>
          <w:p w14:paraId="3C5E1434" w14:textId="46D9F897" w:rsidR="002E3D13" w:rsidRPr="002E3D13" w:rsidRDefault="002E3D13" w:rsidP="002E3D13">
            <w:pPr>
              <w:keepNext/>
              <w:keepLines/>
              <w:spacing w:before="40" w:after="40"/>
              <w:jc w:val="right"/>
              <w:rPr>
                <w:highlight w:val="black"/>
              </w:rPr>
            </w:pPr>
            <w:r w:rsidRPr="002E3D13">
              <w:rPr>
                <w:highlight w:val="black"/>
              </w:rPr>
              <w:t>XXXX</w:t>
            </w:r>
          </w:p>
        </w:tc>
        <w:tc>
          <w:tcPr>
            <w:tcW w:w="1201" w:type="dxa"/>
            <w:tcBorders>
              <w:top w:val="single" w:sz="4" w:space="0" w:color="auto"/>
              <w:left w:val="single" w:sz="4" w:space="0" w:color="auto"/>
              <w:bottom w:val="single" w:sz="4" w:space="0" w:color="auto"/>
              <w:right w:val="single" w:sz="4" w:space="0" w:color="auto"/>
            </w:tcBorders>
          </w:tcPr>
          <w:p w14:paraId="0039D600" w14:textId="24508981" w:rsidR="002E3D13" w:rsidRPr="002E3D13" w:rsidRDefault="002E3D13" w:rsidP="002E3D13">
            <w:pPr>
              <w:keepNext/>
              <w:keepLines/>
              <w:spacing w:before="40" w:after="40"/>
              <w:jc w:val="right"/>
              <w:rPr>
                <w:highlight w:val="black"/>
              </w:rPr>
            </w:pPr>
            <w:r w:rsidRPr="002E3D13">
              <w:rPr>
                <w:highlight w:val="black"/>
              </w:rPr>
              <w:t>XXXX</w:t>
            </w:r>
          </w:p>
        </w:tc>
        <w:tc>
          <w:tcPr>
            <w:tcW w:w="1094" w:type="dxa"/>
            <w:tcBorders>
              <w:top w:val="single" w:sz="4" w:space="0" w:color="auto"/>
              <w:left w:val="single" w:sz="4" w:space="0" w:color="auto"/>
              <w:bottom w:val="single" w:sz="4" w:space="0" w:color="auto"/>
              <w:right w:val="single" w:sz="4" w:space="0" w:color="auto"/>
            </w:tcBorders>
          </w:tcPr>
          <w:p w14:paraId="45D37FF0" w14:textId="5200DAC7" w:rsidR="002E3D13" w:rsidRPr="002E3D13" w:rsidRDefault="002E3D13" w:rsidP="002E3D13">
            <w:pPr>
              <w:keepNext/>
              <w:keepLines/>
              <w:spacing w:before="40" w:after="40"/>
              <w:jc w:val="right"/>
              <w:rPr>
                <w:highlight w:val="black"/>
              </w:rPr>
            </w:pPr>
            <w:r w:rsidRPr="002E3D13">
              <w:rPr>
                <w:highlight w:val="black"/>
              </w:rPr>
              <w:t>XXXX</w:t>
            </w:r>
          </w:p>
        </w:tc>
        <w:tc>
          <w:tcPr>
            <w:tcW w:w="1101" w:type="dxa"/>
            <w:tcBorders>
              <w:top w:val="single" w:sz="4" w:space="0" w:color="auto"/>
              <w:left w:val="single" w:sz="4" w:space="0" w:color="auto"/>
              <w:bottom w:val="single" w:sz="4" w:space="0" w:color="auto"/>
              <w:right w:val="single" w:sz="4" w:space="0" w:color="auto"/>
            </w:tcBorders>
          </w:tcPr>
          <w:p w14:paraId="5DDFEE08" w14:textId="191117EE" w:rsidR="002E3D13" w:rsidRPr="002E3D13" w:rsidRDefault="002E3D13" w:rsidP="002E3D13">
            <w:pPr>
              <w:keepNext/>
              <w:keepLines/>
              <w:spacing w:before="40" w:after="40"/>
              <w:jc w:val="right"/>
              <w:rPr>
                <w:highlight w:val="black"/>
              </w:rPr>
            </w:pPr>
            <w:r w:rsidRPr="002E3D13">
              <w:rPr>
                <w:highlight w:val="black"/>
              </w:rPr>
              <w:t>XXXX</w:t>
            </w:r>
          </w:p>
        </w:tc>
        <w:tc>
          <w:tcPr>
            <w:tcW w:w="1194" w:type="dxa"/>
            <w:tcBorders>
              <w:top w:val="single" w:sz="4" w:space="0" w:color="auto"/>
              <w:left w:val="single" w:sz="4" w:space="0" w:color="auto"/>
              <w:bottom w:val="single" w:sz="4" w:space="0" w:color="auto"/>
              <w:right w:val="single" w:sz="4" w:space="0" w:color="auto"/>
            </w:tcBorders>
          </w:tcPr>
          <w:p w14:paraId="72BB9AF2" w14:textId="229D89B6" w:rsidR="002E3D13" w:rsidRPr="002E3D13" w:rsidRDefault="002E3D13" w:rsidP="002E3D13">
            <w:pPr>
              <w:keepNext/>
              <w:keepLines/>
              <w:spacing w:before="40" w:after="40"/>
              <w:jc w:val="right"/>
              <w:rPr>
                <w:highlight w:val="black"/>
              </w:rPr>
            </w:pPr>
            <w:r w:rsidRPr="002E3D13">
              <w:rPr>
                <w:highlight w:val="black"/>
              </w:rPr>
              <w:t>XXXX</w:t>
            </w:r>
            <w:bookmarkStart w:id="0" w:name="_GoBack"/>
            <w:bookmarkEnd w:id="0"/>
          </w:p>
        </w:tc>
        <w:tc>
          <w:tcPr>
            <w:tcW w:w="1303" w:type="dxa"/>
            <w:tcBorders>
              <w:top w:val="single" w:sz="4" w:space="0" w:color="auto"/>
              <w:left w:val="single" w:sz="4" w:space="0" w:color="auto"/>
              <w:bottom w:val="single" w:sz="4" w:space="0" w:color="auto"/>
              <w:right w:val="single" w:sz="4" w:space="0" w:color="auto"/>
            </w:tcBorders>
          </w:tcPr>
          <w:p w14:paraId="2234214A" w14:textId="056E9583" w:rsidR="002E3D13" w:rsidRPr="009B0471" w:rsidRDefault="002E3D13" w:rsidP="002E3D13">
            <w:pPr>
              <w:keepNext/>
              <w:keepLines/>
              <w:spacing w:before="40" w:after="40"/>
              <w:jc w:val="right"/>
            </w:pPr>
            <w:r w:rsidRPr="009B0471">
              <w:t>1,</w:t>
            </w:r>
            <w:r>
              <w:t>6</w:t>
            </w:r>
            <w:r w:rsidRPr="009B0471">
              <w:t>15,000</w:t>
            </w:r>
          </w:p>
        </w:tc>
      </w:tr>
    </w:tbl>
    <w:p w14:paraId="72B512B1" w14:textId="77777777" w:rsidR="002235A0" w:rsidRDefault="002235A0" w:rsidP="002235A0">
      <w:pPr>
        <w:spacing w:after="0" w:line="240" w:lineRule="auto"/>
        <w:jc w:val="left"/>
      </w:pPr>
    </w:p>
    <w:p w14:paraId="279B0BB6" w14:textId="50BA59F6" w:rsidR="00D81D7E" w:rsidRDefault="00D81D7E" w:rsidP="007943E3">
      <w:pPr>
        <w:spacing w:after="0" w:line="240" w:lineRule="auto"/>
        <w:ind w:left="720" w:hanging="720"/>
        <w:jc w:val="left"/>
        <w:rPr>
          <w:sz w:val="20"/>
        </w:rPr>
      </w:pPr>
      <w:r w:rsidRPr="007943E3">
        <w:rPr>
          <w:sz w:val="20"/>
        </w:rPr>
        <w:t>(a)</w:t>
      </w:r>
      <w:r w:rsidRPr="007943E3">
        <w:rPr>
          <w:sz w:val="20"/>
        </w:rPr>
        <w:tab/>
      </w:r>
      <w:r w:rsidR="007943E3" w:rsidRPr="007943E3">
        <w:rPr>
          <w:sz w:val="20"/>
        </w:rPr>
        <w:t>Non-Commonwealth</w:t>
      </w:r>
      <w:r w:rsidRPr="007943E3">
        <w:rPr>
          <w:sz w:val="20"/>
        </w:rPr>
        <w:t xml:space="preserve"> contrib</w:t>
      </w:r>
      <w:r w:rsidR="007943E3" w:rsidRPr="007943E3">
        <w:rPr>
          <w:sz w:val="20"/>
        </w:rPr>
        <w:t>ution include</w:t>
      </w:r>
      <w:r w:rsidR="00CD626A">
        <w:rPr>
          <w:sz w:val="20"/>
        </w:rPr>
        <w:t>s</w:t>
      </w:r>
      <w:r w:rsidR="007943E3" w:rsidRPr="007943E3">
        <w:rPr>
          <w:sz w:val="20"/>
        </w:rPr>
        <w:t xml:space="preserve"> in-kind and cash contributions from New South Wales</w:t>
      </w:r>
    </w:p>
    <w:p w14:paraId="021CFEE4" w14:textId="77777777" w:rsidR="007943E3" w:rsidRPr="007943E3" w:rsidRDefault="007943E3" w:rsidP="007943E3">
      <w:pPr>
        <w:spacing w:after="0" w:line="240" w:lineRule="auto"/>
        <w:ind w:left="720" w:hanging="720"/>
        <w:jc w:val="left"/>
        <w:rPr>
          <w:sz w:val="20"/>
        </w:rPr>
      </w:pPr>
    </w:p>
    <w:p w14:paraId="2D6B2607" w14:textId="77777777" w:rsidR="008E7527" w:rsidRDefault="008E7527" w:rsidP="0020372D">
      <w:pPr>
        <w:pStyle w:val="Normalnumbered"/>
        <w:numPr>
          <w:ilvl w:val="0"/>
          <w:numId w:val="9"/>
        </w:numPr>
      </w:pPr>
      <w:r w:rsidRPr="00C738BD">
        <w:t xml:space="preserve">Having regard to the agreed estimated costs of projects specified in </w:t>
      </w:r>
      <w:r w:rsidR="006B43AF">
        <w:t>this</w:t>
      </w:r>
      <w:r>
        <w:t xml:space="preserve"> Agreement</w:t>
      </w:r>
      <w:r w:rsidRPr="00C738BD">
        <w:t xml:space="preserve">, </w:t>
      </w:r>
      <w:r w:rsidR="003034DE">
        <w:t>New South Wales</w:t>
      </w:r>
      <w:r w:rsidR="003034DE" w:rsidRPr="007179FE">
        <w:t xml:space="preserve"> </w:t>
      </w:r>
      <w:r w:rsidRPr="00C738BD">
        <w:t>will not be required to pay a refund to the Commonwealth if the actual cost of the project is less than the agreed</w:t>
      </w:r>
      <w:r w:rsidR="00515AF2">
        <w:t xml:space="preserve"> estimated cost of the project. </w:t>
      </w:r>
      <w:r w:rsidRPr="00C738BD">
        <w:t xml:space="preserve">Similarly, </w:t>
      </w:r>
      <w:r w:rsidR="003034DE">
        <w:t>New South Wales</w:t>
      </w:r>
      <w:r w:rsidR="003034DE" w:rsidRPr="007179FE">
        <w:t xml:space="preserve"> </w:t>
      </w:r>
      <w:r w:rsidRPr="00C738BD">
        <w:t>bear</w:t>
      </w:r>
      <w:r w:rsidR="006137ED">
        <w:t>s</w:t>
      </w:r>
      <w:r w:rsidRPr="00C738BD">
        <w:t xml:space="preserve"> all risk should the costs of a project exceed the agreed estimated cost</w:t>
      </w:r>
      <w:r>
        <w:t>s.</w:t>
      </w:r>
      <w:r w:rsidRPr="00C738BD">
        <w:t xml:space="preserve"> The Parties acknowledge that this arrangement provides the maximum incentive for </w:t>
      </w:r>
      <w:r w:rsidR="003034DE">
        <w:t>New South Wales</w:t>
      </w:r>
      <w:r w:rsidR="003034DE" w:rsidRPr="007179FE">
        <w:t xml:space="preserve"> </w:t>
      </w:r>
      <w:r w:rsidRPr="00C738BD">
        <w:t>to deliver projects cost effectively and efficiently.</w:t>
      </w:r>
    </w:p>
    <w:p w14:paraId="029EB30A" w14:textId="77777777" w:rsidR="00814667" w:rsidRDefault="003A2157">
      <w:pPr>
        <w:pStyle w:val="Heading1"/>
      </w:pPr>
      <w:bookmarkStart w:id="1" w:name="top"/>
      <w:bookmarkEnd w:id="1"/>
      <w:r>
        <w:t xml:space="preserve">Part </w:t>
      </w:r>
      <w:r w:rsidR="000B4080">
        <w:t>6</w:t>
      </w:r>
      <w:r w:rsidR="00814667">
        <w:t xml:space="preserve"> — governance arrangements</w:t>
      </w:r>
    </w:p>
    <w:p w14:paraId="1D473E9B" w14:textId="77777777" w:rsidR="00BC4728" w:rsidRDefault="00BC4728" w:rsidP="00BC4728">
      <w:pPr>
        <w:pStyle w:val="Heading2"/>
      </w:pPr>
      <w:r w:rsidRPr="006F096A">
        <w:t>Enforceability of the Agreement</w:t>
      </w:r>
    </w:p>
    <w:p w14:paraId="51398E16" w14:textId="77777777" w:rsidR="00BC4728" w:rsidRPr="00C40EBC" w:rsidRDefault="00BC4728" w:rsidP="007943E3">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280CC14E" w14:textId="77777777" w:rsidR="00814667" w:rsidRDefault="00814667">
      <w:pPr>
        <w:pStyle w:val="Heading2"/>
      </w:pPr>
      <w:r>
        <w:t>Variation of the Agreement</w:t>
      </w:r>
    </w:p>
    <w:p w14:paraId="0C60829D" w14:textId="77777777" w:rsidR="00814667" w:rsidRPr="00DE36EB" w:rsidRDefault="00607B03" w:rsidP="007943E3">
      <w:pPr>
        <w:pStyle w:val="Normalnumbered"/>
        <w:numPr>
          <w:ilvl w:val="0"/>
          <w:numId w:val="9"/>
        </w:numPr>
      </w:pPr>
      <w:r>
        <w:t>The A</w:t>
      </w:r>
      <w:r w:rsidR="00814667">
        <w:t xml:space="preserve">greement may be amended at any time by agreement in writing by </w:t>
      </w:r>
      <w:r w:rsidR="002B1C50" w:rsidRPr="00DE36EB">
        <w:t xml:space="preserve">both </w:t>
      </w:r>
      <w:r w:rsidR="00814667" w:rsidRPr="00DE36EB">
        <w:t>the Parties.</w:t>
      </w:r>
    </w:p>
    <w:p w14:paraId="6D7F7A21" w14:textId="77777777" w:rsidR="00292587" w:rsidRDefault="00C2605C" w:rsidP="007943E3">
      <w:pPr>
        <w:pStyle w:val="Normalnumbered"/>
        <w:numPr>
          <w:ilvl w:val="0"/>
          <w:numId w:val="9"/>
        </w:numPr>
      </w:pPr>
      <w:r w:rsidRPr="00DE36EB">
        <w:t xml:space="preserve">Either </w:t>
      </w:r>
      <w:r w:rsidR="00814667" w:rsidRPr="00DE36EB">
        <w:t>Party to the Agreement may terminate their part</w:t>
      </w:r>
      <w:r w:rsidR="00814667">
        <w:t>icipation in the Agreement at any time by notifying the other Part</w:t>
      </w:r>
      <w:r>
        <w:t>y</w:t>
      </w:r>
      <w:r>
        <w:rPr>
          <w:i/>
        </w:rPr>
        <w:t xml:space="preserve"> </w:t>
      </w:r>
      <w:r w:rsidR="00814667">
        <w:t>in writing.</w:t>
      </w:r>
    </w:p>
    <w:p w14:paraId="4E7D2D90" w14:textId="77777777" w:rsidR="009526E4" w:rsidRDefault="009526E4" w:rsidP="0036119D">
      <w:pPr>
        <w:pStyle w:val="Heading2"/>
      </w:pPr>
      <w:r>
        <w:t>Delegations</w:t>
      </w:r>
    </w:p>
    <w:p w14:paraId="3349C49B" w14:textId="77777777" w:rsidR="009526E4" w:rsidRDefault="009526E4" w:rsidP="007943E3">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008393D" w14:textId="77777777" w:rsidR="0036119D" w:rsidRDefault="0036119D" w:rsidP="0036119D">
      <w:pPr>
        <w:pStyle w:val="Heading2"/>
      </w:pPr>
      <w:r>
        <w:t>Dispute resolution</w:t>
      </w:r>
    </w:p>
    <w:p w14:paraId="4688A536" w14:textId="77777777" w:rsidR="0036119D" w:rsidRPr="00DE36EB" w:rsidRDefault="00697494" w:rsidP="007943E3">
      <w:pPr>
        <w:pStyle w:val="Normalnumbered"/>
        <w:numPr>
          <w:ilvl w:val="0"/>
          <w:numId w:val="9"/>
        </w:numPr>
      </w:pPr>
      <w:r w:rsidRPr="00DE36EB">
        <w:t>E</w:t>
      </w:r>
      <w:r w:rsidR="002B1C50" w:rsidRPr="00DE36EB">
        <w:t>ithe</w:t>
      </w:r>
      <w:r w:rsidR="00A63D43">
        <w:t>r</w:t>
      </w:r>
      <w:r w:rsidR="002B1C50" w:rsidRPr="00DE36EB">
        <w:t xml:space="preserve"> </w:t>
      </w:r>
      <w:r w:rsidR="0036119D" w:rsidRPr="00DE36EB">
        <w:t xml:space="preserve">Party may give notice to </w:t>
      </w:r>
      <w:r w:rsidR="00BC608D">
        <w:t xml:space="preserve">the </w:t>
      </w:r>
      <w:r w:rsidR="0036119D" w:rsidRPr="00DE36EB">
        <w:t xml:space="preserve">other </w:t>
      </w:r>
      <w:r w:rsidR="00684EC1" w:rsidRPr="00DE36EB">
        <w:t xml:space="preserve">Party </w:t>
      </w:r>
      <w:r w:rsidR="0036119D" w:rsidRPr="00DE36EB">
        <w:t>of a dispute under this Agreement.</w:t>
      </w:r>
    </w:p>
    <w:p w14:paraId="0336F079" w14:textId="77777777" w:rsidR="0036119D" w:rsidRPr="00DE36EB" w:rsidRDefault="0036119D" w:rsidP="007943E3">
      <w:pPr>
        <w:pStyle w:val="Normalnumbered"/>
        <w:numPr>
          <w:ilvl w:val="0"/>
          <w:numId w:val="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6DB3FBFD" w14:textId="77777777" w:rsidR="0036119D" w:rsidRPr="00DE36EB" w:rsidRDefault="0036119D" w:rsidP="007943E3">
      <w:pPr>
        <w:pStyle w:val="Normalnumbered"/>
        <w:numPr>
          <w:ilvl w:val="0"/>
          <w:numId w:val="9"/>
        </w:numPr>
      </w:pPr>
      <w:r w:rsidRPr="00DE36EB">
        <w:t>If a dispute cannot be resolved by officials, it may be escalated to the relevant Ministers.</w:t>
      </w:r>
    </w:p>
    <w:p w14:paraId="2CD7154C" w14:textId="77777777" w:rsidR="0036119D" w:rsidRDefault="0036119D" w:rsidP="000614F9">
      <w:pPr>
        <w:pStyle w:val="Normalnumbered"/>
        <w:numPr>
          <w:ilvl w:val="0"/>
          <w:numId w:val="0"/>
        </w:numPr>
        <w:jc w:val="left"/>
        <w:sectPr w:rsidR="0036119D" w:rsidSect="00894422">
          <w:headerReference w:type="even" r:id="rId17"/>
          <w:headerReference w:type="default" r:id="rId18"/>
          <w:footerReference w:type="even" r:id="rId19"/>
          <w:footerReference w:type="default" r:id="rId20"/>
          <w:footerReference w:type="first" r:id="rId21"/>
          <w:pgSz w:w="11906" w:h="16838" w:code="9"/>
          <w:pgMar w:top="1134" w:right="1134" w:bottom="993" w:left="1134" w:header="709" w:footer="709" w:gutter="0"/>
          <w:cols w:space="708"/>
          <w:titlePg/>
          <w:docGrid w:linePitch="360"/>
        </w:sectPr>
      </w:pPr>
    </w:p>
    <w:p w14:paraId="5258BCE1" w14:textId="77777777" w:rsidR="00814667" w:rsidRPr="00A50751" w:rsidRDefault="00814667">
      <w:pPr>
        <w:rPr>
          <w:lang w:val="en-GB"/>
        </w:rPr>
      </w:pPr>
      <w:r w:rsidRPr="00A50751">
        <w:rPr>
          <w:lang w:val="en-GB"/>
        </w:rPr>
        <w:lastRenderedPageBreak/>
        <w:t xml:space="preserve">The </w:t>
      </w:r>
      <w:r w:rsidRPr="00D220B8">
        <w:rPr>
          <w:szCs w:val="23"/>
        </w:rPr>
        <w:t>Parties</w:t>
      </w:r>
      <w:r w:rsidRPr="00A50751">
        <w:rPr>
          <w:lang w:val="en-GB"/>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123652" w:rsidRPr="00A50751" w14:paraId="54088D52" w14:textId="77777777" w:rsidTr="00123652">
        <w:trPr>
          <w:cantSplit/>
          <w:jc w:val="center"/>
        </w:trPr>
        <w:tc>
          <w:tcPr>
            <w:tcW w:w="4536" w:type="dxa"/>
          </w:tcPr>
          <w:p w14:paraId="3152ED63" w14:textId="77777777" w:rsidR="00123652" w:rsidRDefault="00123652" w:rsidP="00F042EC">
            <w:pPr>
              <w:pStyle w:val="Signed"/>
            </w:pPr>
            <w:r w:rsidRPr="00587557">
              <w:rPr>
                <w:rStyle w:val="SignedBold"/>
              </w:rPr>
              <w:t>Signed</w:t>
            </w:r>
            <w:r w:rsidRPr="00587557">
              <w:t xml:space="preserve"> for and on behalf of the Commonwealth of </w:t>
            </w:r>
            <w:smartTag w:uri="urn:schemas-microsoft-com:office:smarttags" w:element="place">
              <w:smartTag w:uri="urn:schemas-microsoft-com:office:smarttags" w:element="country-region">
                <w:r w:rsidRPr="00587557">
                  <w:t>Australia</w:t>
                </w:r>
              </w:smartTag>
            </w:smartTag>
            <w:r w:rsidRPr="00587557">
              <w:t xml:space="preserve"> by</w:t>
            </w:r>
          </w:p>
          <w:p w14:paraId="51A79147" w14:textId="77777777" w:rsidR="008D59CE" w:rsidRPr="00587557" w:rsidRDefault="008D59CE" w:rsidP="00F042EC">
            <w:pPr>
              <w:pStyle w:val="Signed"/>
            </w:pPr>
          </w:p>
          <w:p w14:paraId="5569CD26" w14:textId="77777777" w:rsidR="00123652" w:rsidRPr="00587557" w:rsidRDefault="00123652" w:rsidP="00F042EC">
            <w:pPr>
              <w:pStyle w:val="LineForSignature"/>
            </w:pPr>
            <w:r w:rsidRPr="00587557">
              <w:tab/>
            </w:r>
          </w:p>
          <w:p w14:paraId="56F01101" w14:textId="114BEE77" w:rsidR="00123652" w:rsidRPr="00587557" w:rsidRDefault="00123652" w:rsidP="00F042EC">
            <w:pPr>
              <w:pStyle w:val="SingleParagraph"/>
              <w:rPr>
                <w:rStyle w:val="Bold"/>
              </w:rPr>
            </w:pPr>
            <w:r w:rsidRPr="00587557">
              <w:rPr>
                <w:rStyle w:val="Bold"/>
              </w:rPr>
              <w:t xml:space="preserve">The Honourable </w:t>
            </w:r>
            <w:r w:rsidR="007943E3">
              <w:rPr>
                <w:rStyle w:val="Bold"/>
              </w:rPr>
              <w:t>David Littleproud</w:t>
            </w:r>
            <w:r w:rsidRPr="00587557">
              <w:rPr>
                <w:rStyle w:val="Bold"/>
              </w:rPr>
              <w:t xml:space="preserve"> MP</w:t>
            </w:r>
          </w:p>
          <w:p w14:paraId="52C94A46" w14:textId="77777777" w:rsidR="00123652" w:rsidRPr="00587557" w:rsidRDefault="00123652" w:rsidP="00F042EC">
            <w:pPr>
              <w:pStyle w:val="Position"/>
            </w:pPr>
            <w:r w:rsidRPr="00587557">
              <w:rPr>
                <w:lang w:val="en-GB"/>
              </w:rPr>
              <w:t>Minister for</w:t>
            </w:r>
            <w:r w:rsidRPr="00587557">
              <w:t xml:space="preserve"> </w:t>
            </w:r>
            <w:r w:rsidR="009552C5" w:rsidRPr="00587557">
              <w:t>Agriculture and Water Resources</w:t>
            </w:r>
            <w:r w:rsidRPr="00587557">
              <w:t xml:space="preserve"> </w:t>
            </w:r>
          </w:p>
          <w:p w14:paraId="0F334363" w14:textId="77777777" w:rsidR="00123652" w:rsidRPr="00587557" w:rsidRDefault="00123652" w:rsidP="00F042EC">
            <w:pPr>
              <w:pStyle w:val="Position"/>
              <w:rPr>
                <w:b/>
                <w:lang w:val="en-GB"/>
              </w:rPr>
            </w:pPr>
            <w:r w:rsidRPr="00587557">
              <w:rPr>
                <w:b/>
                <w:lang w:val="en-GB"/>
              </w:rPr>
              <w:t>Date</w:t>
            </w:r>
          </w:p>
        </w:tc>
        <w:tc>
          <w:tcPr>
            <w:tcW w:w="284" w:type="dxa"/>
            <w:tcMar>
              <w:left w:w="0" w:type="dxa"/>
              <w:right w:w="0" w:type="dxa"/>
            </w:tcMar>
          </w:tcPr>
          <w:p w14:paraId="3CACEC48" w14:textId="77777777" w:rsidR="00123652" w:rsidRPr="00A50751" w:rsidRDefault="00123652">
            <w:pPr>
              <w:rPr>
                <w:rFonts w:ascii="Book Antiqua" w:hAnsi="Book Antiqua"/>
                <w:lang w:val="en-GB"/>
              </w:rPr>
            </w:pPr>
          </w:p>
        </w:tc>
        <w:tc>
          <w:tcPr>
            <w:tcW w:w="4536" w:type="dxa"/>
          </w:tcPr>
          <w:p w14:paraId="50F14C4A" w14:textId="77777777" w:rsidR="00123652" w:rsidRPr="00A50751" w:rsidRDefault="00123652">
            <w:pPr>
              <w:rPr>
                <w:rFonts w:ascii="Book Antiqua" w:hAnsi="Book Antiqua"/>
                <w:lang w:val="en-GB"/>
              </w:rPr>
            </w:pPr>
          </w:p>
        </w:tc>
      </w:tr>
      <w:tr w:rsidR="00123652" w:rsidRPr="00A50751" w14:paraId="2C945BB0" w14:textId="77777777" w:rsidTr="00123652">
        <w:trPr>
          <w:cantSplit/>
          <w:jc w:val="center"/>
        </w:trPr>
        <w:tc>
          <w:tcPr>
            <w:tcW w:w="4536" w:type="dxa"/>
          </w:tcPr>
          <w:p w14:paraId="672265D8" w14:textId="77777777" w:rsidR="00123652" w:rsidRPr="00587557" w:rsidRDefault="00123652" w:rsidP="00F042EC">
            <w:pPr>
              <w:pStyle w:val="SingleParagraph"/>
              <w:rPr>
                <w:rFonts w:ascii="Book Antiqua" w:hAnsi="Book Antiqua"/>
                <w:lang w:val="en-GB"/>
              </w:rPr>
            </w:pPr>
          </w:p>
        </w:tc>
        <w:tc>
          <w:tcPr>
            <w:tcW w:w="284" w:type="dxa"/>
            <w:tcMar>
              <w:left w:w="0" w:type="dxa"/>
              <w:right w:w="0" w:type="dxa"/>
            </w:tcMar>
          </w:tcPr>
          <w:p w14:paraId="2DA9EE41" w14:textId="77777777" w:rsidR="00123652" w:rsidRPr="00A50751" w:rsidRDefault="00123652">
            <w:pPr>
              <w:pStyle w:val="SingleParagraph"/>
              <w:rPr>
                <w:rFonts w:ascii="Book Antiqua" w:hAnsi="Book Antiqua"/>
                <w:lang w:val="en-GB"/>
              </w:rPr>
            </w:pPr>
          </w:p>
        </w:tc>
        <w:tc>
          <w:tcPr>
            <w:tcW w:w="4536" w:type="dxa"/>
          </w:tcPr>
          <w:p w14:paraId="6B2604D5" w14:textId="77777777" w:rsidR="00123652" w:rsidRPr="00A50751" w:rsidRDefault="00123652">
            <w:pPr>
              <w:pStyle w:val="SingleParagraph"/>
              <w:rPr>
                <w:rFonts w:ascii="Book Antiqua" w:hAnsi="Book Antiqua"/>
                <w:lang w:val="en-GB"/>
              </w:rPr>
            </w:pPr>
          </w:p>
        </w:tc>
      </w:tr>
      <w:tr w:rsidR="00123652" w:rsidRPr="00A50751" w14:paraId="17ABDB5C" w14:textId="77777777" w:rsidTr="00123652">
        <w:trPr>
          <w:cantSplit/>
          <w:jc w:val="center"/>
        </w:trPr>
        <w:tc>
          <w:tcPr>
            <w:tcW w:w="4536" w:type="dxa"/>
          </w:tcPr>
          <w:p w14:paraId="528E2F9A" w14:textId="77777777" w:rsidR="00123652" w:rsidRPr="00587557" w:rsidRDefault="00123652" w:rsidP="00F042EC">
            <w:pPr>
              <w:pStyle w:val="SingleParagraph"/>
              <w:rPr>
                <w:rFonts w:ascii="Book Antiqua" w:hAnsi="Book Antiqua"/>
                <w:lang w:val="en-GB"/>
              </w:rPr>
            </w:pPr>
          </w:p>
        </w:tc>
        <w:tc>
          <w:tcPr>
            <w:tcW w:w="284" w:type="dxa"/>
            <w:tcMar>
              <w:left w:w="0" w:type="dxa"/>
              <w:right w:w="0" w:type="dxa"/>
            </w:tcMar>
          </w:tcPr>
          <w:p w14:paraId="33C4F76B" w14:textId="77777777" w:rsidR="00123652" w:rsidRPr="00A50751" w:rsidRDefault="00123652">
            <w:pPr>
              <w:rPr>
                <w:rFonts w:ascii="Book Antiqua" w:hAnsi="Book Antiqua"/>
                <w:lang w:val="en-GB"/>
              </w:rPr>
            </w:pPr>
          </w:p>
        </w:tc>
        <w:tc>
          <w:tcPr>
            <w:tcW w:w="4536" w:type="dxa"/>
          </w:tcPr>
          <w:p w14:paraId="2654A0DC" w14:textId="77777777" w:rsidR="00123652" w:rsidRPr="00A50751" w:rsidRDefault="00123652">
            <w:pPr>
              <w:pStyle w:val="SingleParagraph"/>
              <w:tabs>
                <w:tab w:val="num" w:pos="1134"/>
              </w:tabs>
              <w:spacing w:after="240"/>
              <w:ind w:left="1134" w:hanging="567"/>
              <w:rPr>
                <w:lang w:val="en-GB"/>
              </w:rPr>
            </w:pPr>
          </w:p>
        </w:tc>
      </w:tr>
      <w:tr w:rsidR="00123652" w:rsidRPr="00A50751" w14:paraId="1A74F296" w14:textId="77777777" w:rsidTr="00123652">
        <w:trPr>
          <w:cantSplit/>
          <w:jc w:val="center"/>
        </w:trPr>
        <w:tc>
          <w:tcPr>
            <w:tcW w:w="4536" w:type="dxa"/>
          </w:tcPr>
          <w:p w14:paraId="370B1E2E" w14:textId="77777777" w:rsidR="00123652" w:rsidRPr="00587557" w:rsidRDefault="00123652" w:rsidP="00F042EC">
            <w:pPr>
              <w:pStyle w:val="Signed"/>
            </w:pPr>
            <w:r w:rsidRPr="00587557">
              <w:rPr>
                <w:rStyle w:val="SignedBold"/>
              </w:rPr>
              <w:t>Signed</w:t>
            </w:r>
            <w:r w:rsidRPr="00587557">
              <w:rPr>
                <w:i w:val="0"/>
              </w:rPr>
              <w:t xml:space="preserve"> </w:t>
            </w:r>
            <w:r w:rsidRPr="00587557">
              <w:t xml:space="preserve">for and on behalf of </w:t>
            </w:r>
            <w:r w:rsidR="003034DE" w:rsidRPr="00587557">
              <w:t>New South Wales</w:t>
            </w:r>
            <w:r w:rsidRPr="00587557">
              <w:t xml:space="preserve"> by</w:t>
            </w:r>
          </w:p>
          <w:p w14:paraId="247D1FC5" w14:textId="77777777" w:rsidR="008D59CE" w:rsidRDefault="008D59CE" w:rsidP="00F042EC">
            <w:pPr>
              <w:pStyle w:val="LineForSignature"/>
            </w:pPr>
          </w:p>
          <w:p w14:paraId="4091A8AC" w14:textId="77777777" w:rsidR="00123652" w:rsidRPr="00587557" w:rsidRDefault="00123652" w:rsidP="00F042EC">
            <w:pPr>
              <w:pStyle w:val="LineForSignature"/>
            </w:pPr>
            <w:r w:rsidRPr="00587557">
              <w:tab/>
            </w:r>
          </w:p>
          <w:p w14:paraId="2F009FC8" w14:textId="1FA2ABE2" w:rsidR="00123652" w:rsidRPr="00D46A88" w:rsidRDefault="00645148" w:rsidP="00F042EC">
            <w:pPr>
              <w:pStyle w:val="SingleParagraph"/>
              <w:rPr>
                <w:rStyle w:val="Bold"/>
              </w:rPr>
            </w:pPr>
            <w:r w:rsidRPr="00D46A88">
              <w:rPr>
                <w:rStyle w:val="Bold"/>
              </w:rPr>
              <w:t xml:space="preserve">The Honourable </w:t>
            </w:r>
            <w:r w:rsidR="00D46A88" w:rsidRPr="00D46A88">
              <w:rPr>
                <w:rStyle w:val="Bold"/>
              </w:rPr>
              <w:t>Matt Kean</w:t>
            </w:r>
            <w:r w:rsidRPr="00D46A88">
              <w:rPr>
                <w:rStyle w:val="Bold"/>
              </w:rPr>
              <w:t xml:space="preserve"> MP</w:t>
            </w:r>
          </w:p>
          <w:p w14:paraId="45FE9891" w14:textId="7DF576B2" w:rsidR="00123652" w:rsidRPr="00587557" w:rsidRDefault="00A563CD" w:rsidP="00F042EC">
            <w:pPr>
              <w:pStyle w:val="Position"/>
              <w:rPr>
                <w:lang w:val="en-GB"/>
              </w:rPr>
            </w:pPr>
            <w:r w:rsidRPr="00D46A88">
              <w:rPr>
                <w:lang w:val="en-GB"/>
              </w:rPr>
              <w:t xml:space="preserve">Minister for </w:t>
            </w:r>
            <w:r w:rsidR="00D46A88" w:rsidRPr="00D46A88">
              <w:rPr>
                <w:lang w:val="en-GB"/>
              </w:rPr>
              <w:t>Energy and</w:t>
            </w:r>
            <w:r w:rsidR="0069012A" w:rsidRPr="00D46A88">
              <w:rPr>
                <w:lang w:val="en-GB"/>
              </w:rPr>
              <w:t xml:space="preserve"> Environment</w:t>
            </w:r>
          </w:p>
          <w:p w14:paraId="532FD581" w14:textId="77777777" w:rsidR="00123652" w:rsidRPr="00587557" w:rsidRDefault="00123652" w:rsidP="00F042EC">
            <w:pPr>
              <w:pStyle w:val="SingleParagraph"/>
              <w:tabs>
                <w:tab w:val="num" w:pos="1134"/>
              </w:tabs>
              <w:spacing w:after="240"/>
              <w:rPr>
                <w:b/>
                <w:sz w:val="20"/>
                <w:lang w:val="en-GB"/>
              </w:rPr>
            </w:pPr>
            <w:r w:rsidRPr="00587557">
              <w:rPr>
                <w:b/>
                <w:sz w:val="20"/>
                <w:lang w:val="en-GB"/>
              </w:rPr>
              <w:t>Date</w:t>
            </w:r>
          </w:p>
        </w:tc>
        <w:tc>
          <w:tcPr>
            <w:tcW w:w="284" w:type="dxa"/>
            <w:tcMar>
              <w:left w:w="0" w:type="dxa"/>
              <w:right w:w="0" w:type="dxa"/>
            </w:tcMar>
          </w:tcPr>
          <w:p w14:paraId="6D1EA61A" w14:textId="77777777" w:rsidR="00123652" w:rsidRPr="00A50751" w:rsidRDefault="00123652">
            <w:pPr>
              <w:pStyle w:val="SingleParagraph"/>
              <w:rPr>
                <w:rFonts w:ascii="Book Antiqua" w:hAnsi="Book Antiqua"/>
                <w:lang w:val="en-GB"/>
              </w:rPr>
            </w:pPr>
          </w:p>
        </w:tc>
        <w:tc>
          <w:tcPr>
            <w:tcW w:w="4536" w:type="dxa"/>
          </w:tcPr>
          <w:p w14:paraId="4BD73765" w14:textId="77777777" w:rsidR="00123652" w:rsidRPr="00A50751" w:rsidRDefault="00123652">
            <w:pPr>
              <w:pStyle w:val="SingleParagraph"/>
              <w:rPr>
                <w:rFonts w:ascii="Book Antiqua" w:hAnsi="Book Antiqua"/>
                <w:lang w:val="en-GB"/>
              </w:rPr>
            </w:pPr>
          </w:p>
        </w:tc>
      </w:tr>
    </w:tbl>
    <w:p w14:paraId="138B369E" w14:textId="77777777" w:rsidR="008843EE" w:rsidRDefault="008843EE" w:rsidP="0020144E"/>
    <w:sectPr w:rsidR="008843EE" w:rsidSect="00C606F6">
      <w:headerReference w:type="first" r:id="rId22"/>
      <w:footerReference w:type="first" r:id="rId23"/>
      <w:type w:val="oddPage"/>
      <w:pgSz w:w="11906" w:h="16838" w:code="9"/>
      <w:pgMar w:top="1134" w:right="1134" w:bottom="1134" w:left="1134" w:header="709" w:footer="709" w:gutter="0"/>
      <w:pgNumType w:start="1" w:chapStyle="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A123C" w16cid:durableId="1FF05BC0"/>
  <w16cid:commentId w16cid:paraId="03184621" w16cid:durableId="1FF05D19"/>
  <w16cid:commentId w16cid:paraId="182FE764" w16cid:durableId="1FF05D39"/>
  <w16cid:commentId w16cid:paraId="3FB6CBE6" w16cid:durableId="1FF05C4C"/>
  <w16cid:commentId w16cid:paraId="3BA5542B" w16cid:durableId="1FF05D5C"/>
  <w16cid:commentId w16cid:paraId="7587ED40" w16cid:durableId="1FF05D94"/>
  <w16cid:commentId w16cid:paraId="46D84101" w16cid:durableId="1FF05DD1"/>
  <w16cid:commentId w16cid:paraId="7643B4A6" w16cid:durableId="1FF05EDC"/>
  <w16cid:commentId w16cid:paraId="5243069B" w16cid:durableId="1FF05F9B"/>
  <w16cid:commentId w16cid:paraId="13E53B31" w16cid:durableId="1FF060D6"/>
  <w16cid:commentId w16cid:paraId="5E613AB4" w16cid:durableId="1FF032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F1A0" w14:textId="77777777" w:rsidR="00A0648E" w:rsidRDefault="00A0648E">
      <w:r>
        <w:separator/>
      </w:r>
    </w:p>
  </w:endnote>
  <w:endnote w:type="continuationSeparator" w:id="0">
    <w:p w14:paraId="6B122592" w14:textId="77777777" w:rsidR="00A0648E" w:rsidRDefault="00A0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2430" w14:textId="77777777" w:rsidR="00101AE2" w:rsidRDefault="00101AE2">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530E6A" w14:textId="77777777" w:rsidR="00101AE2" w:rsidRDefault="00101AE2">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754C" w14:textId="77642699" w:rsidR="00101AE2" w:rsidRDefault="00101AE2">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2E3D13">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9F88" w14:textId="21EA8B98" w:rsidR="00101AE2" w:rsidRDefault="00101AE2">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D1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762A" w14:textId="03292DC5" w:rsidR="00101AE2" w:rsidRDefault="00101AE2" w:rsidP="00751725">
    <w:pPr>
      <w:pStyle w:val="FooterEven"/>
      <w:jc w:val="right"/>
    </w:pPr>
    <w:r>
      <w:t xml:space="preserve">Page </w:t>
    </w:r>
    <w:r w:rsidR="00DA70F3">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C689" w14:textId="77777777" w:rsidR="00A0648E" w:rsidRDefault="00A0648E">
      <w:r>
        <w:separator/>
      </w:r>
    </w:p>
  </w:footnote>
  <w:footnote w:type="continuationSeparator" w:id="0">
    <w:p w14:paraId="43F247B0" w14:textId="77777777" w:rsidR="00A0648E" w:rsidRDefault="00A0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2795" w14:textId="77777777" w:rsidR="00101AE2" w:rsidRPr="00814590" w:rsidRDefault="00101AE2">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967C" w14:textId="77777777" w:rsidR="00101AE2" w:rsidRPr="00814590" w:rsidRDefault="00101AE2">
    <w:pPr>
      <w:pStyle w:val="HeaderOdd"/>
      <w:tabs>
        <w:tab w:val="num" w:pos="1134"/>
      </w:tabs>
      <w:rPr>
        <w:color w:val="800000"/>
      </w:rPr>
    </w:pPr>
    <w:r>
      <w:rPr>
        <w:color w:val="800000"/>
      </w:rPr>
      <w:t xml:space="preserve">Project Agreement for Toorale </w:t>
    </w:r>
    <w:r w:rsidR="003A7409">
      <w:rPr>
        <w:color w:val="800000"/>
      </w:rPr>
      <w:t>w</w:t>
    </w:r>
    <w:r>
      <w:rPr>
        <w:color w:val="800000"/>
      </w:rPr>
      <w:t xml:space="preserve">ater </w:t>
    </w:r>
    <w:r w:rsidR="003A7409">
      <w:rPr>
        <w:color w:val="800000"/>
      </w:rPr>
      <w:t>i</w:t>
    </w:r>
    <w:r>
      <w:rPr>
        <w:color w:val="800000"/>
      </w:rPr>
      <w:t xml:space="preserve">nfrastructure </w:t>
    </w:r>
    <w:r w:rsidR="003A7409">
      <w:rPr>
        <w:color w:val="800000"/>
      </w:rPr>
      <w:t>w</w:t>
    </w:r>
    <w:r>
      <w:rPr>
        <w:color w:val="800000"/>
      </w:rPr>
      <w:t>orks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FC8F" w14:textId="77777777" w:rsidR="007005FA" w:rsidRPr="00814590" w:rsidRDefault="007005FA" w:rsidP="007005FA">
    <w:pPr>
      <w:pStyle w:val="HeaderOdd"/>
      <w:tabs>
        <w:tab w:val="num" w:pos="1134"/>
      </w:tabs>
      <w:rPr>
        <w:color w:val="800000"/>
      </w:rPr>
    </w:pPr>
    <w:r>
      <w:rPr>
        <w:color w:val="800000"/>
      </w:rPr>
      <w:t xml:space="preserve">Project Agreement for </w:t>
    </w:r>
    <w:r w:rsidR="00FA0776">
      <w:rPr>
        <w:color w:val="800000"/>
      </w:rPr>
      <w:t>Toorale water i</w:t>
    </w:r>
    <w:r w:rsidR="00657E16">
      <w:rPr>
        <w:color w:val="800000"/>
      </w:rPr>
      <w:t xml:space="preserve">nfrastructure </w:t>
    </w:r>
    <w:r w:rsidR="00FA0776">
      <w:rPr>
        <w:color w:val="800000"/>
      </w:rPr>
      <w:t>w</w:t>
    </w:r>
    <w:r>
      <w:rPr>
        <w:color w:val="800000"/>
      </w:rPr>
      <w:t>orks</w:t>
    </w:r>
  </w:p>
  <w:p w14:paraId="48FBCFE4" w14:textId="77777777" w:rsidR="00101AE2" w:rsidRPr="00751725" w:rsidRDefault="00101AE2"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5453994"/>
    <w:multiLevelType w:val="hybridMultilevel"/>
    <w:tmpl w:val="3DBA932E"/>
    <w:lvl w:ilvl="0" w:tplc="F34644E0">
      <w:start w:val="1"/>
      <w:numFmt w:val="bullet"/>
      <w:lvlText w:val=""/>
      <w:lvlJc w:val="left"/>
      <w:pPr>
        <w:ind w:left="720" w:hanging="360"/>
      </w:pPr>
      <w:rPr>
        <w:rFonts w:ascii="Symbol" w:hAnsi="Symbol" w:hint="default"/>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2C294C26"/>
    <w:multiLevelType w:val="multilevel"/>
    <w:tmpl w:val="3DB6D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B1545"/>
    <w:multiLevelType w:val="multilevel"/>
    <w:tmpl w:val="FBB4D4F0"/>
    <w:lvl w:ilvl="0">
      <w:start w:val="1"/>
      <w:numFmt w:val="decimal"/>
      <w:lvlText w:val="%1."/>
      <w:lvlJc w:val="left"/>
      <w:pPr>
        <w:tabs>
          <w:tab w:val="num" w:pos="567"/>
        </w:tabs>
        <w:ind w:left="0"/>
      </w:pPr>
      <w:rPr>
        <w:rFonts w:hint="default"/>
        <w:b w:val="0"/>
        <w:i w:val="0"/>
        <w:color w:val="000000"/>
      </w:rPr>
    </w:lvl>
    <w:lvl w:ilvl="1">
      <w:start w:val="1"/>
      <w:numFmt w:val="decimal"/>
      <w:lvlText w:val="%2"/>
      <w:lvlJc w:val="left"/>
      <w:pPr>
        <w:tabs>
          <w:tab w:val="num" w:pos="567"/>
        </w:tabs>
        <w:ind w:left="567" w:hanging="567"/>
      </w:pPr>
      <w:rPr>
        <w:rFonts w:cs="Times New Roman" w:hint="default"/>
        <w:b w:val="0"/>
        <w:i w:val="0"/>
        <w:color w:val="000000"/>
      </w:rPr>
    </w:lvl>
    <w:lvl w:ilvl="2">
      <w:start w:val="1"/>
      <w:numFmt w:val="decimal"/>
      <w:lvlText w:val="%3"/>
      <w:lvlJc w:val="left"/>
      <w:pPr>
        <w:tabs>
          <w:tab w:val="num" w:pos="1134"/>
        </w:tabs>
        <w:ind w:left="1134" w:hanging="567"/>
      </w:pPr>
      <w:rPr>
        <w:rFonts w:cs="Times New Roman" w:hint="default"/>
        <w:b w:val="0"/>
        <w:i w:val="0"/>
        <w:color w:val="000000"/>
      </w:rPr>
    </w:lvl>
    <w:lvl w:ilvl="3">
      <w:start w:val="1"/>
      <w:numFmt w:val="decimal"/>
      <w:lvlText w:val="%4"/>
      <w:lvlJc w:val="left"/>
      <w:pPr>
        <w:tabs>
          <w:tab w:val="num" w:pos="1701"/>
        </w:tabs>
        <w:ind w:left="1701" w:hanging="567"/>
      </w:pPr>
      <w:rPr>
        <w:rFonts w:cs="Times New Roman" w:hint="default"/>
        <w:b w:val="0"/>
        <w:i w:val="0"/>
        <w:color w:val="000000"/>
      </w:rPr>
    </w:lvl>
    <w:lvl w:ilvl="4">
      <w:start w:val="1"/>
      <w:numFmt w:val="decimal"/>
      <w:lvlText w:val="%5"/>
      <w:lvlJc w:val="left"/>
      <w:pPr>
        <w:tabs>
          <w:tab w:val="num" w:pos="2268"/>
        </w:tabs>
        <w:ind w:left="2268" w:hanging="567"/>
      </w:pPr>
      <w:rPr>
        <w:rFonts w:cs="Times New Roman" w:hint="default"/>
        <w:b w:val="0"/>
        <w:i w:val="0"/>
        <w:color w:val="000000"/>
      </w:rPr>
    </w:lvl>
    <w:lvl w:ilvl="5">
      <w:start w:val="1"/>
      <w:numFmt w:val="decimal"/>
      <w:lvlText w:val="%6"/>
      <w:lvlJc w:val="left"/>
      <w:pPr>
        <w:tabs>
          <w:tab w:val="num" w:pos="2835"/>
        </w:tabs>
        <w:ind w:left="2835" w:hanging="567"/>
      </w:pPr>
      <w:rPr>
        <w:rFonts w:cs="Times New Roman" w:hint="default"/>
        <w:b w:val="0"/>
        <w:i w:val="0"/>
        <w:color w:val="000000"/>
      </w:rPr>
    </w:lvl>
    <w:lvl w:ilvl="6">
      <w:start w:val="1"/>
      <w:numFmt w:val="decimal"/>
      <w:lvlText w:val="%7"/>
      <w:lvlJc w:val="left"/>
      <w:pPr>
        <w:tabs>
          <w:tab w:val="num" w:pos="3402"/>
        </w:tabs>
        <w:ind w:left="3402" w:hanging="567"/>
      </w:pPr>
      <w:rPr>
        <w:rFonts w:cs="Times New Roman" w:hint="default"/>
        <w:b w:val="0"/>
        <w:i w:val="0"/>
        <w:color w:val="000000"/>
      </w:rPr>
    </w:lvl>
    <w:lvl w:ilvl="7">
      <w:start w:val="1"/>
      <w:numFmt w:val="decimal"/>
      <w:lvlText w:val="%8"/>
      <w:lvlJc w:val="left"/>
      <w:pPr>
        <w:tabs>
          <w:tab w:val="num" w:pos="3969"/>
        </w:tabs>
        <w:ind w:left="3969" w:hanging="567"/>
      </w:pPr>
      <w:rPr>
        <w:rFonts w:cs="Times New Roman" w:hint="default"/>
        <w:b w:val="0"/>
        <w:i w:val="0"/>
        <w:color w:val="000000"/>
      </w:rPr>
    </w:lvl>
    <w:lvl w:ilvl="8">
      <w:start w:val="1"/>
      <w:numFmt w:val="decimal"/>
      <w:lvlText w:val="%9"/>
      <w:lvlJc w:val="left"/>
      <w:pPr>
        <w:tabs>
          <w:tab w:val="num" w:pos="4536"/>
        </w:tabs>
        <w:ind w:left="4536" w:hanging="567"/>
      </w:pPr>
      <w:rPr>
        <w:rFonts w:cs="Times New Roman" w:hint="default"/>
        <w:b w:val="0"/>
        <w:i w:val="0"/>
        <w:color w:val="000000"/>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9700D63"/>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3" w15:restartNumberingAfterBreak="0">
    <w:nsid w:val="4A0F649E"/>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4A740E0E"/>
    <w:multiLevelType w:val="multilevel"/>
    <w:tmpl w:val="9732CC98"/>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532"/>
        </w:tabs>
        <w:ind w:left="1532" w:hanging="681"/>
      </w:pPr>
      <w:rPr>
        <w:rFonts w:hint="default"/>
        <w:i w:val="0"/>
        <w:iCs w:val="0"/>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45329"/>
    <w:multiLevelType w:val="hybridMultilevel"/>
    <w:tmpl w:val="2EC0D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1"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2" w15:restartNumberingAfterBreak="0">
    <w:nsid w:val="78854AAC"/>
    <w:multiLevelType w:val="hybridMultilevel"/>
    <w:tmpl w:val="DF4052A2"/>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070"/>
        </w:tabs>
        <w:ind w:left="107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5"/>
  </w:num>
  <w:num w:numId="4">
    <w:abstractNumId w:val="18"/>
  </w:num>
  <w:num w:numId="5">
    <w:abstractNumId w:val="3"/>
  </w:num>
  <w:num w:numId="6">
    <w:abstractNumId w:val="19"/>
  </w:num>
  <w:num w:numId="7">
    <w:abstractNumId w:val="4"/>
  </w:num>
  <w:num w:numId="8">
    <w:abstractNumId w:val="7"/>
  </w:num>
  <w:num w:numId="9">
    <w:abstractNumId w:val="22"/>
  </w:num>
  <w:num w:numId="10">
    <w:abstractNumId w:val="1"/>
  </w:num>
  <w:num w:numId="11">
    <w:abstractNumId w:val="16"/>
  </w:num>
  <w:num w:numId="12">
    <w:abstractNumId w:val="20"/>
  </w:num>
  <w:num w:numId="13">
    <w:abstractNumId w:val="11"/>
  </w:num>
  <w:num w:numId="14">
    <w:abstractNumId w:val="21"/>
  </w:num>
  <w:num w:numId="15">
    <w:abstractNumId w:val="5"/>
  </w:num>
  <w:num w:numId="16">
    <w:abstractNumId w:val="8"/>
  </w:num>
  <w:num w:numId="17">
    <w:abstractNumId w:val="13"/>
  </w:num>
  <w:num w:numId="18">
    <w:abstractNumId w:val="12"/>
  </w:num>
  <w:num w:numId="19">
    <w:abstractNumId w:val="2"/>
  </w:num>
  <w:num w:numId="20">
    <w:abstractNumId w:val="14"/>
  </w:num>
  <w:num w:numId="21">
    <w:abstractNumId w:val="10"/>
  </w:num>
  <w:num w:numId="22">
    <w:abstractNumId w:val="9"/>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6577"/>
    <w:rsid w:val="000076D9"/>
    <w:rsid w:val="00021708"/>
    <w:rsid w:val="00030CB2"/>
    <w:rsid w:val="000343F1"/>
    <w:rsid w:val="0004164E"/>
    <w:rsid w:val="00044700"/>
    <w:rsid w:val="0006051B"/>
    <w:rsid w:val="000614F9"/>
    <w:rsid w:val="0006451A"/>
    <w:rsid w:val="0006551D"/>
    <w:rsid w:val="00065679"/>
    <w:rsid w:val="0007004C"/>
    <w:rsid w:val="000724F6"/>
    <w:rsid w:val="00074611"/>
    <w:rsid w:val="00074A62"/>
    <w:rsid w:val="00084712"/>
    <w:rsid w:val="00086712"/>
    <w:rsid w:val="00086E7F"/>
    <w:rsid w:val="00091DF8"/>
    <w:rsid w:val="00093CB6"/>
    <w:rsid w:val="00093DD8"/>
    <w:rsid w:val="00097794"/>
    <w:rsid w:val="000A0C9E"/>
    <w:rsid w:val="000A5191"/>
    <w:rsid w:val="000A5FF5"/>
    <w:rsid w:val="000B4080"/>
    <w:rsid w:val="000B7685"/>
    <w:rsid w:val="000C714F"/>
    <w:rsid w:val="000D19D8"/>
    <w:rsid w:val="000D1C37"/>
    <w:rsid w:val="000D4377"/>
    <w:rsid w:val="000E075D"/>
    <w:rsid w:val="000E2AF6"/>
    <w:rsid w:val="000E36B7"/>
    <w:rsid w:val="000E3C70"/>
    <w:rsid w:val="000E48C3"/>
    <w:rsid w:val="000E78F9"/>
    <w:rsid w:val="000F0880"/>
    <w:rsid w:val="000F25D5"/>
    <w:rsid w:val="000F6CF6"/>
    <w:rsid w:val="00101AE2"/>
    <w:rsid w:val="00103FD6"/>
    <w:rsid w:val="00105990"/>
    <w:rsid w:val="001065EE"/>
    <w:rsid w:val="00110F5D"/>
    <w:rsid w:val="001134AC"/>
    <w:rsid w:val="00113DA0"/>
    <w:rsid w:val="001142D9"/>
    <w:rsid w:val="00115166"/>
    <w:rsid w:val="00115A97"/>
    <w:rsid w:val="00122DBA"/>
    <w:rsid w:val="00123652"/>
    <w:rsid w:val="001262B5"/>
    <w:rsid w:val="00132587"/>
    <w:rsid w:val="00133827"/>
    <w:rsid w:val="001363DA"/>
    <w:rsid w:val="001404A9"/>
    <w:rsid w:val="00140F43"/>
    <w:rsid w:val="00142E2E"/>
    <w:rsid w:val="00144AFB"/>
    <w:rsid w:val="00145D5C"/>
    <w:rsid w:val="00151133"/>
    <w:rsid w:val="00160506"/>
    <w:rsid w:val="001629FA"/>
    <w:rsid w:val="00165CAB"/>
    <w:rsid w:val="00166312"/>
    <w:rsid w:val="00167BB8"/>
    <w:rsid w:val="00172360"/>
    <w:rsid w:val="00172E3A"/>
    <w:rsid w:val="00173F81"/>
    <w:rsid w:val="00174C2A"/>
    <w:rsid w:val="00174E55"/>
    <w:rsid w:val="00175D15"/>
    <w:rsid w:val="00175FB9"/>
    <w:rsid w:val="001763F0"/>
    <w:rsid w:val="00177A0A"/>
    <w:rsid w:val="00180F76"/>
    <w:rsid w:val="00183EAB"/>
    <w:rsid w:val="00185CC1"/>
    <w:rsid w:val="00187BEB"/>
    <w:rsid w:val="001931E8"/>
    <w:rsid w:val="00194232"/>
    <w:rsid w:val="00194587"/>
    <w:rsid w:val="001A0FAC"/>
    <w:rsid w:val="001A1422"/>
    <w:rsid w:val="001A14C1"/>
    <w:rsid w:val="001A3A9A"/>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372D"/>
    <w:rsid w:val="00205E18"/>
    <w:rsid w:val="002069F9"/>
    <w:rsid w:val="00212869"/>
    <w:rsid w:val="00221308"/>
    <w:rsid w:val="00222C97"/>
    <w:rsid w:val="002235A0"/>
    <w:rsid w:val="00225761"/>
    <w:rsid w:val="00227F63"/>
    <w:rsid w:val="00233835"/>
    <w:rsid w:val="00241EE9"/>
    <w:rsid w:val="00246AA7"/>
    <w:rsid w:val="00247D45"/>
    <w:rsid w:val="0025179A"/>
    <w:rsid w:val="00252551"/>
    <w:rsid w:val="00260D0F"/>
    <w:rsid w:val="00261ABA"/>
    <w:rsid w:val="00262E18"/>
    <w:rsid w:val="002646FD"/>
    <w:rsid w:val="0026571E"/>
    <w:rsid w:val="00265A15"/>
    <w:rsid w:val="00272787"/>
    <w:rsid w:val="00281874"/>
    <w:rsid w:val="00282C25"/>
    <w:rsid w:val="00284884"/>
    <w:rsid w:val="00285003"/>
    <w:rsid w:val="002869F5"/>
    <w:rsid w:val="00287DCC"/>
    <w:rsid w:val="00291CF1"/>
    <w:rsid w:val="00292587"/>
    <w:rsid w:val="002A0C3A"/>
    <w:rsid w:val="002A143D"/>
    <w:rsid w:val="002A39EA"/>
    <w:rsid w:val="002A3DE9"/>
    <w:rsid w:val="002A493A"/>
    <w:rsid w:val="002A530A"/>
    <w:rsid w:val="002A5884"/>
    <w:rsid w:val="002A6981"/>
    <w:rsid w:val="002B1C50"/>
    <w:rsid w:val="002B207C"/>
    <w:rsid w:val="002B60FD"/>
    <w:rsid w:val="002B7922"/>
    <w:rsid w:val="002B7E1B"/>
    <w:rsid w:val="002B7F43"/>
    <w:rsid w:val="002C0DBF"/>
    <w:rsid w:val="002C2529"/>
    <w:rsid w:val="002C2A03"/>
    <w:rsid w:val="002C2B5F"/>
    <w:rsid w:val="002C5683"/>
    <w:rsid w:val="002C62B3"/>
    <w:rsid w:val="002C7620"/>
    <w:rsid w:val="002D122C"/>
    <w:rsid w:val="002D7CF9"/>
    <w:rsid w:val="002E04F2"/>
    <w:rsid w:val="002E144A"/>
    <w:rsid w:val="002E1D9F"/>
    <w:rsid w:val="002E2DE2"/>
    <w:rsid w:val="002E3D13"/>
    <w:rsid w:val="002E4B66"/>
    <w:rsid w:val="002E5313"/>
    <w:rsid w:val="002F2C3C"/>
    <w:rsid w:val="002F35DF"/>
    <w:rsid w:val="002F576E"/>
    <w:rsid w:val="002F5B29"/>
    <w:rsid w:val="002F5B54"/>
    <w:rsid w:val="002F5C6C"/>
    <w:rsid w:val="002F7E40"/>
    <w:rsid w:val="003001FE"/>
    <w:rsid w:val="003012DA"/>
    <w:rsid w:val="003034DE"/>
    <w:rsid w:val="00307C5C"/>
    <w:rsid w:val="00312CFE"/>
    <w:rsid w:val="00313480"/>
    <w:rsid w:val="00313C98"/>
    <w:rsid w:val="00313FD9"/>
    <w:rsid w:val="003155BD"/>
    <w:rsid w:val="003177B9"/>
    <w:rsid w:val="00321E0A"/>
    <w:rsid w:val="00333506"/>
    <w:rsid w:val="00340987"/>
    <w:rsid w:val="003410AA"/>
    <w:rsid w:val="0034306A"/>
    <w:rsid w:val="0034465F"/>
    <w:rsid w:val="00351C8F"/>
    <w:rsid w:val="00352A6B"/>
    <w:rsid w:val="00352EC1"/>
    <w:rsid w:val="00353875"/>
    <w:rsid w:val="00361054"/>
    <w:rsid w:val="0036119D"/>
    <w:rsid w:val="003637A0"/>
    <w:rsid w:val="0036474E"/>
    <w:rsid w:val="00364CF3"/>
    <w:rsid w:val="00365CAA"/>
    <w:rsid w:val="00367EAB"/>
    <w:rsid w:val="00372573"/>
    <w:rsid w:val="00377AB2"/>
    <w:rsid w:val="003877C3"/>
    <w:rsid w:val="00392197"/>
    <w:rsid w:val="0039283B"/>
    <w:rsid w:val="003959F8"/>
    <w:rsid w:val="00396EA4"/>
    <w:rsid w:val="0039710A"/>
    <w:rsid w:val="003A1C1C"/>
    <w:rsid w:val="003A2157"/>
    <w:rsid w:val="003A3363"/>
    <w:rsid w:val="003A3905"/>
    <w:rsid w:val="003A3CC1"/>
    <w:rsid w:val="003A5E0B"/>
    <w:rsid w:val="003A6635"/>
    <w:rsid w:val="003A6B0E"/>
    <w:rsid w:val="003A7409"/>
    <w:rsid w:val="003A78C6"/>
    <w:rsid w:val="003B5562"/>
    <w:rsid w:val="003B6363"/>
    <w:rsid w:val="003B737F"/>
    <w:rsid w:val="003C0CF7"/>
    <w:rsid w:val="003C2E5D"/>
    <w:rsid w:val="003C59E0"/>
    <w:rsid w:val="003C6F2A"/>
    <w:rsid w:val="003D0E02"/>
    <w:rsid w:val="003D743C"/>
    <w:rsid w:val="003E0F91"/>
    <w:rsid w:val="003E2526"/>
    <w:rsid w:val="003E33BA"/>
    <w:rsid w:val="003E6BA0"/>
    <w:rsid w:val="003E73DB"/>
    <w:rsid w:val="003F0ADC"/>
    <w:rsid w:val="003F59E6"/>
    <w:rsid w:val="003F5BE6"/>
    <w:rsid w:val="003F6C00"/>
    <w:rsid w:val="004120B1"/>
    <w:rsid w:val="00413E74"/>
    <w:rsid w:val="0041421D"/>
    <w:rsid w:val="0041490D"/>
    <w:rsid w:val="00414A5C"/>
    <w:rsid w:val="004156B4"/>
    <w:rsid w:val="004157D5"/>
    <w:rsid w:val="0041697F"/>
    <w:rsid w:val="00420235"/>
    <w:rsid w:val="004223AA"/>
    <w:rsid w:val="00423104"/>
    <w:rsid w:val="004267D3"/>
    <w:rsid w:val="004277CF"/>
    <w:rsid w:val="00427E2A"/>
    <w:rsid w:val="00433E65"/>
    <w:rsid w:val="004374B2"/>
    <w:rsid w:val="00437EB5"/>
    <w:rsid w:val="00441D7F"/>
    <w:rsid w:val="00442AB8"/>
    <w:rsid w:val="004436EA"/>
    <w:rsid w:val="0044456C"/>
    <w:rsid w:val="00446C38"/>
    <w:rsid w:val="00450B39"/>
    <w:rsid w:val="00453BC6"/>
    <w:rsid w:val="00454498"/>
    <w:rsid w:val="00456C59"/>
    <w:rsid w:val="00470FCA"/>
    <w:rsid w:val="00471FB4"/>
    <w:rsid w:val="00477931"/>
    <w:rsid w:val="0048454C"/>
    <w:rsid w:val="00490198"/>
    <w:rsid w:val="00490E28"/>
    <w:rsid w:val="00493E25"/>
    <w:rsid w:val="00497362"/>
    <w:rsid w:val="00497C77"/>
    <w:rsid w:val="004A0AE7"/>
    <w:rsid w:val="004A5024"/>
    <w:rsid w:val="004A523F"/>
    <w:rsid w:val="004A6062"/>
    <w:rsid w:val="004A673A"/>
    <w:rsid w:val="004A6C06"/>
    <w:rsid w:val="004A770F"/>
    <w:rsid w:val="004A7BBD"/>
    <w:rsid w:val="004A7C61"/>
    <w:rsid w:val="004B0813"/>
    <w:rsid w:val="004B136A"/>
    <w:rsid w:val="004B1F38"/>
    <w:rsid w:val="004B21C5"/>
    <w:rsid w:val="004B2CBA"/>
    <w:rsid w:val="004B2EF6"/>
    <w:rsid w:val="004B34A6"/>
    <w:rsid w:val="004B5612"/>
    <w:rsid w:val="004B5AA7"/>
    <w:rsid w:val="004B6083"/>
    <w:rsid w:val="004B6927"/>
    <w:rsid w:val="004B7E5C"/>
    <w:rsid w:val="004C3CC4"/>
    <w:rsid w:val="004C4D5E"/>
    <w:rsid w:val="004D11ED"/>
    <w:rsid w:val="004D310E"/>
    <w:rsid w:val="004D37D8"/>
    <w:rsid w:val="004D4B81"/>
    <w:rsid w:val="004F6B2B"/>
    <w:rsid w:val="005005DF"/>
    <w:rsid w:val="00505045"/>
    <w:rsid w:val="00506933"/>
    <w:rsid w:val="00510B96"/>
    <w:rsid w:val="00511501"/>
    <w:rsid w:val="00511B5B"/>
    <w:rsid w:val="0051304A"/>
    <w:rsid w:val="00515AF2"/>
    <w:rsid w:val="0051640E"/>
    <w:rsid w:val="00516741"/>
    <w:rsid w:val="0051684E"/>
    <w:rsid w:val="00527ABC"/>
    <w:rsid w:val="005320BD"/>
    <w:rsid w:val="0054193D"/>
    <w:rsid w:val="00541D6D"/>
    <w:rsid w:val="00542A8C"/>
    <w:rsid w:val="00542D59"/>
    <w:rsid w:val="00543637"/>
    <w:rsid w:val="00545DF7"/>
    <w:rsid w:val="00546CA2"/>
    <w:rsid w:val="00547949"/>
    <w:rsid w:val="005539F5"/>
    <w:rsid w:val="00553D4B"/>
    <w:rsid w:val="0055415C"/>
    <w:rsid w:val="00554AAC"/>
    <w:rsid w:val="0055503F"/>
    <w:rsid w:val="005572D7"/>
    <w:rsid w:val="00563797"/>
    <w:rsid w:val="005651B5"/>
    <w:rsid w:val="00566234"/>
    <w:rsid w:val="0057262B"/>
    <w:rsid w:val="00575D22"/>
    <w:rsid w:val="005815B3"/>
    <w:rsid w:val="00582A03"/>
    <w:rsid w:val="00587557"/>
    <w:rsid w:val="00587E37"/>
    <w:rsid w:val="00591275"/>
    <w:rsid w:val="00593821"/>
    <w:rsid w:val="00596E88"/>
    <w:rsid w:val="00597C81"/>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59E4"/>
    <w:rsid w:val="005E5B72"/>
    <w:rsid w:val="005E5F4D"/>
    <w:rsid w:val="005E724B"/>
    <w:rsid w:val="005F2FC1"/>
    <w:rsid w:val="00601F7C"/>
    <w:rsid w:val="00602A48"/>
    <w:rsid w:val="00602EF7"/>
    <w:rsid w:val="00606F11"/>
    <w:rsid w:val="00607B03"/>
    <w:rsid w:val="00607C07"/>
    <w:rsid w:val="0061059D"/>
    <w:rsid w:val="0061326F"/>
    <w:rsid w:val="006137ED"/>
    <w:rsid w:val="006142EB"/>
    <w:rsid w:val="00614393"/>
    <w:rsid w:val="006146F2"/>
    <w:rsid w:val="00614C00"/>
    <w:rsid w:val="00623567"/>
    <w:rsid w:val="006312CA"/>
    <w:rsid w:val="00637CDC"/>
    <w:rsid w:val="006412B5"/>
    <w:rsid w:val="00641932"/>
    <w:rsid w:val="006426A2"/>
    <w:rsid w:val="00644083"/>
    <w:rsid w:val="0064429B"/>
    <w:rsid w:val="0064477C"/>
    <w:rsid w:val="00645148"/>
    <w:rsid w:val="00650903"/>
    <w:rsid w:val="00652960"/>
    <w:rsid w:val="00653248"/>
    <w:rsid w:val="00657E16"/>
    <w:rsid w:val="006650A8"/>
    <w:rsid w:val="006679C0"/>
    <w:rsid w:val="00680477"/>
    <w:rsid w:val="00680ED5"/>
    <w:rsid w:val="00681956"/>
    <w:rsid w:val="00682FBA"/>
    <w:rsid w:val="00683370"/>
    <w:rsid w:val="00684EC1"/>
    <w:rsid w:val="0069012A"/>
    <w:rsid w:val="006903F9"/>
    <w:rsid w:val="006923C8"/>
    <w:rsid w:val="00696AB4"/>
    <w:rsid w:val="00697494"/>
    <w:rsid w:val="006976BF"/>
    <w:rsid w:val="006A05D7"/>
    <w:rsid w:val="006A4628"/>
    <w:rsid w:val="006B16C1"/>
    <w:rsid w:val="006B2641"/>
    <w:rsid w:val="006B3F39"/>
    <w:rsid w:val="006B4213"/>
    <w:rsid w:val="006B43AF"/>
    <w:rsid w:val="006B4DF0"/>
    <w:rsid w:val="006B56A7"/>
    <w:rsid w:val="006C1013"/>
    <w:rsid w:val="006C163A"/>
    <w:rsid w:val="006C228B"/>
    <w:rsid w:val="006C2931"/>
    <w:rsid w:val="006C415E"/>
    <w:rsid w:val="006C4DE1"/>
    <w:rsid w:val="006D466E"/>
    <w:rsid w:val="006D4B70"/>
    <w:rsid w:val="006D4C35"/>
    <w:rsid w:val="006D7A92"/>
    <w:rsid w:val="006E3B48"/>
    <w:rsid w:val="006E6184"/>
    <w:rsid w:val="006E631B"/>
    <w:rsid w:val="006F096A"/>
    <w:rsid w:val="006F22E3"/>
    <w:rsid w:val="006F3095"/>
    <w:rsid w:val="006F5455"/>
    <w:rsid w:val="006F5CB6"/>
    <w:rsid w:val="006F79D3"/>
    <w:rsid w:val="007005FA"/>
    <w:rsid w:val="00703194"/>
    <w:rsid w:val="00706E50"/>
    <w:rsid w:val="0070737C"/>
    <w:rsid w:val="00711229"/>
    <w:rsid w:val="00712F13"/>
    <w:rsid w:val="00715018"/>
    <w:rsid w:val="007179FE"/>
    <w:rsid w:val="00717F25"/>
    <w:rsid w:val="007201B1"/>
    <w:rsid w:val="007201D7"/>
    <w:rsid w:val="00724E14"/>
    <w:rsid w:val="00725AD5"/>
    <w:rsid w:val="00726DB5"/>
    <w:rsid w:val="00726EB4"/>
    <w:rsid w:val="0073036E"/>
    <w:rsid w:val="00731945"/>
    <w:rsid w:val="007363DE"/>
    <w:rsid w:val="0073698D"/>
    <w:rsid w:val="00736C0B"/>
    <w:rsid w:val="00736C51"/>
    <w:rsid w:val="00744D93"/>
    <w:rsid w:val="00746531"/>
    <w:rsid w:val="0075123A"/>
    <w:rsid w:val="00751725"/>
    <w:rsid w:val="00752028"/>
    <w:rsid w:val="0075450A"/>
    <w:rsid w:val="0075717D"/>
    <w:rsid w:val="0076017E"/>
    <w:rsid w:val="00760DB6"/>
    <w:rsid w:val="0076361C"/>
    <w:rsid w:val="007661AE"/>
    <w:rsid w:val="00766A51"/>
    <w:rsid w:val="00771FFF"/>
    <w:rsid w:val="00772029"/>
    <w:rsid w:val="00772818"/>
    <w:rsid w:val="0077685D"/>
    <w:rsid w:val="0077788E"/>
    <w:rsid w:val="00784439"/>
    <w:rsid w:val="00786B5B"/>
    <w:rsid w:val="00787E75"/>
    <w:rsid w:val="007943E3"/>
    <w:rsid w:val="00797257"/>
    <w:rsid w:val="007A0328"/>
    <w:rsid w:val="007A3157"/>
    <w:rsid w:val="007A6E20"/>
    <w:rsid w:val="007B10ED"/>
    <w:rsid w:val="007B2B2E"/>
    <w:rsid w:val="007B3BFC"/>
    <w:rsid w:val="007B4B03"/>
    <w:rsid w:val="007C4F31"/>
    <w:rsid w:val="007D6029"/>
    <w:rsid w:val="007E5257"/>
    <w:rsid w:val="007E5391"/>
    <w:rsid w:val="007F4EF5"/>
    <w:rsid w:val="007F6B02"/>
    <w:rsid w:val="00804105"/>
    <w:rsid w:val="00806D94"/>
    <w:rsid w:val="00807AD8"/>
    <w:rsid w:val="00811800"/>
    <w:rsid w:val="00812E1C"/>
    <w:rsid w:val="00812EC7"/>
    <w:rsid w:val="00813CFF"/>
    <w:rsid w:val="008140C5"/>
    <w:rsid w:val="00814590"/>
    <w:rsid w:val="00814667"/>
    <w:rsid w:val="008148E2"/>
    <w:rsid w:val="008149E4"/>
    <w:rsid w:val="008153A6"/>
    <w:rsid w:val="008156B7"/>
    <w:rsid w:val="00817D90"/>
    <w:rsid w:val="00822355"/>
    <w:rsid w:val="0082321B"/>
    <w:rsid w:val="0082332D"/>
    <w:rsid w:val="0082402C"/>
    <w:rsid w:val="00825FF5"/>
    <w:rsid w:val="008262F1"/>
    <w:rsid w:val="008309AB"/>
    <w:rsid w:val="008311FA"/>
    <w:rsid w:val="008317EF"/>
    <w:rsid w:val="00831B6B"/>
    <w:rsid w:val="00845BCC"/>
    <w:rsid w:val="00845FCB"/>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307E"/>
    <w:rsid w:val="008843EE"/>
    <w:rsid w:val="00890869"/>
    <w:rsid w:val="00892CA4"/>
    <w:rsid w:val="00894422"/>
    <w:rsid w:val="00896477"/>
    <w:rsid w:val="00896BD6"/>
    <w:rsid w:val="00896F5A"/>
    <w:rsid w:val="008A3C37"/>
    <w:rsid w:val="008B1840"/>
    <w:rsid w:val="008B2195"/>
    <w:rsid w:val="008B39CF"/>
    <w:rsid w:val="008B70D3"/>
    <w:rsid w:val="008B73A2"/>
    <w:rsid w:val="008B7FE2"/>
    <w:rsid w:val="008C0BBA"/>
    <w:rsid w:val="008C1CA0"/>
    <w:rsid w:val="008C2450"/>
    <w:rsid w:val="008C2A91"/>
    <w:rsid w:val="008C7817"/>
    <w:rsid w:val="008C7E31"/>
    <w:rsid w:val="008C7F5B"/>
    <w:rsid w:val="008D079A"/>
    <w:rsid w:val="008D1518"/>
    <w:rsid w:val="008D2F40"/>
    <w:rsid w:val="008D59CE"/>
    <w:rsid w:val="008D5B52"/>
    <w:rsid w:val="008E014B"/>
    <w:rsid w:val="008E0AD6"/>
    <w:rsid w:val="008E4209"/>
    <w:rsid w:val="008E48FC"/>
    <w:rsid w:val="008E55BD"/>
    <w:rsid w:val="008E7527"/>
    <w:rsid w:val="008F2AD6"/>
    <w:rsid w:val="008F44F1"/>
    <w:rsid w:val="008F451A"/>
    <w:rsid w:val="008F4BA8"/>
    <w:rsid w:val="008F5C07"/>
    <w:rsid w:val="008F696D"/>
    <w:rsid w:val="008F7777"/>
    <w:rsid w:val="00901CF5"/>
    <w:rsid w:val="00901F53"/>
    <w:rsid w:val="00906431"/>
    <w:rsid w:val="00910726"/>
    <w:rsid w:val="00910E7C"/>
    <w:rsid w:val="009115AF"/>
    <w:rsid w:val="00913276"/>
    <w:rsid w:val="009221DF"/>
    <w:rsid w:val="009224FD"/>
    <w:rsid w:val="0092738E"/>
    <w:rsid w:val="0093296C"/>
    <w:rsid w:val="0093438C"/>
    <w:rsid w:val="00935CC7"/>
    <w:rsid w:val="00936835"/>
    <w:rsid w:val="0094002F"/>
    <w:rsid w:val="0094129D"/>
    <w:rsid w:val="00941BB7"/>
    <w:rsid w:val="00944760"/>
    <w:rsid w:val="00946A91"/>
    <w:rsid w:val="00946AE5"/>
    <w:rsid w:val="00950865"/>
    <w:rsid w:val="00951BAD"/>
    <w:rsid w:val="0095223D"/>
    <w:rsid w:val="009526E4"/>
    <w:rsid w:val="00953AA1"/>
    <w:rsid w:val="00954B44"/>
    <w:rsid w:val="009552C5"/>
    <w:rsid w:val="0096078D"/>
    <w:rsid w:val="00962B0E"/>
    <w:rsid w:val="009644B8"/>
    <w:rsid w:val="0096732C"/>
    <w:rsid w:val="00967ADC"/>
    <w:rsid w:val="009703B6"/>
    <w:rsid w:val="00971A4C"/>
    <w:rsid w:val="00975EB5"/>
    <w:rsid w:val="00983979"/>
    <w:rsid w:val="00983DC2"/>
    <w:rsid w:val="00983DF0"/>
    <w:rsid w:val="0099742A"/>
    <w:rsid w:val="009A0446"/>
    <w:rsid w:val="009A062C"/>
    <w:rsid w:val="009A48AF"/>
    <w:rsid w:val="009A522D"/>
    <w:rsid w:val="009B0471"/>
    <w:rsid w:val="009B0C68"/>
    <w:rsid w:val="009B3F77"/>
    <w:rsid w:val="009B5132"/>
    <w:rsid w:val="009C166A"/>
    <w:rsid w:val="009C2059"/>
    <w:rsid w:val="009C6FFB"/>
    <w:rsid w:val="009C7EF5"/>
    <w:rsid w:val="009D0C93"/>
    <w:rsid w:val="009D2FAC"/>
    <w:rsid w:val="009D6165"/>
    <w:rsid w:val="009E093C"/>
    <w:rsid w:val="009E0EEE"/>
    <w:rsid w:val="009E1311"/>
    <w:rsid w:val="009E151E"/>
    <w:rsid w:val="009E3ACF"/>
    <w:rsid w:val="009E5DB6"/>
    <w:rsid w:val="009F777E"/>
    <w:rsid w:val="009F7F52"/>
    <w:rsid w:val="00A0202C"/>
    <w:rsid w:val="00A0227E"/>
    <w:rsid w:val="00A05C1E"/>
    <w:rsid w:val="00A0603F"/>
    <w:rsid w:val="00A0648E"/>
    <w:rsid w:val="00A112E6"/>
    <w:rsid w:val="00A14966"/>
    <w:rsid w:val="00A15496"/>
    <w:rsid w:val="00A15CAB"/>
    <w:rsid w:val="00A16E8F"/>
    <w:rsid w:val="00A17CCB"/>
    <w:rsid w:val="00A201DE"/>
    <w:rsid w:val="00A211A9"/>
    <w:rsid w:val="00A2422A"/>
    <w:rsid w:val="00A24B3B"/>
    <w:rsid w:val="00A25265"/>
    <w:rsid w:val="00A260EC"/>
    <w:rsid w:val="00A26FC8"/>
    <w:rsid w:val="00A303A1"/>
    <w:rsid w:val="00A34C25"/>
    <w:rsid w:val="00A42386"/>
    <w:rsid w:val="00A50751"/>
    <w:rsid w:val="00A50E72"/>
    <w:rsid w:val="00A54B81"/>
    <w:rsid w:val="00A54BE7"/>
    <w:rsid w:val="00A563CD"/>
    <w:rsid w:val="00A564EB"/>
    <w:rsid w:val="00A63CFF"/>
    <w:rsid w:val="00A63D43"/>
    <w:rsid w:val="00A6500A"/>
    <w:rsid w:val="00A65333"/>
    <w:rsid w:val="00A6719E"/>
    <w:rsid w:val="00A739F1"/>
    <w:rsid w:val="00A758DE"/>
    <w:rsid w:val="00A8189A"/>
    <w:rsid w:val="00A81C2E"/>
    <w:rsid w:val="00A81EC4"/>
    <w:rsid w:val="00A8478F"/>
    <w:rsid w:val="00A858C4"/>
    <w:rsid w:val="00A9141E"/>
    <w:rsid w:val="00A9341B"/>
    <w:rsid w:val="00A974CA"/>
    <w:rsid w:val="00AA2CD5"/>
    <w:rsid w:val="00AA4F6C"/>
    <w:rsid w:val="00AA6AD2"/>
    <w:rsid w:val="00AB16AE"/>
    <w:rsid w:val="00AB392A"/>
    <w:rsid w:val="00AB5801"/>
    <w:rsid w:val="00AB5A64"/>
    <w:rsid w:val="00AB6562"/>
    <w:rsid w:val="00AB71A5"/>
    <w:rsid w:val="00AB76C6"/>
    <w:rsid w:val="00AB79E9"/>
    <w:rsid w:val="00AC1A09"/>
    <w:rsid w:val="00AC5567"/>
    <w:rsid w:val="00AD04F4"/>
    <w:rsid w:val="00AD576C"/>
    <w:rsid w:val="00AD670F"/>
    <w:rsid w:val="00AD6C71"/>
    <w:rsid w:val="00AE1E4B"/>
    <w:rsid w:val="00AE1E54"/>
    <w:rsid w:val="00AE2AFD"/>
    <w:rsid w:val="00AE4372"/>
    <w:rsid w:val="00AE478A"/>
    <w:rsid w:val="00AE4B0C"/>
    <w:rsid w:val="00AE6608"/>
    <w:rsid w:val="00AF0C8D"/>
    <w:rsid w:val="00B00778"/>
    <w:rsid w:val="00B0455A"/>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5662E"/>
    <w:rsid w:val="00B619AA"/>
    <w:rsid w:val="00B623D7"/>
    <w:rsid w:val="00B66E7A"/>
    <w:rsid w:val="00B8096A"/>
    <w:rsid w:val="00B91564"/>
    <w:rsid w:val="00B91F04"/>
    <w:rsid w:val="00B9206A"/>
    <w:rsid w:val="00B9279E"/>
    <w:rsid w:val="00B954EF"/>
    <w:rsid w:val="00BA1CFA"/>
    <w:rsid w:val="00BA4284"/>
    <w:rsid w:val="00BC1029"/>
    <w:rsid w:val="00BC2720"/>
    <w:rsid w:val="00BC4728"/>
    <w:rsid w:val="00BC4BF4"/>
    <w:rsid w:val="00BC608D"/>
    <w:rsid w:val="00BC60B3"/>
    <w:rsid w:val="00BD2253"/>
    <w:rsid w:val="00BD7496"/>
    <w:rsid w:val="00BE042D"/>
    <w:rsid w:val="00BE0B7A"/>
    <w:rsid w:val="00BE3BF8"/>
    <w:rsid w:val="00BE4802"/>
    <w:rsid w:val="00BE7212"/>
    <w:rsid w:val="00BF0D7C"/>
    <w:rsid w:val="00BF331F"/>
    <w:rsid w:val="00BF748F"/>
    <w:rsid w:val="00BF75A2"/>
    <w:rsid w:val="00C053A4"/>
    <w:rsid w:val="00C05CC6"/>
    <w:rsid w:val="00C068C7"/>
    <w:rsid w:val="00C06AE7"/>
    <w:rsid w:val="00C073C2"/>
    <w:rsid w:val="00C10760"/>
    <w:rsid w:val="00C128E2"/>
    <w:rsid w:val="00C13C12"/>
    <w:rsid w:val="00C160F4"/>
    <w:rsid w:val="00C20F99"/>
    <w:rsid w:val="00C2120D"/>
    <w:rsid w:val="00C215E7"/>
    <w:rsid w:val="00C233E9"/>
    <w:rsid w:val="00C235D1"/>
    <w:rsid w:val="00C2605C"/>
    <w:rsid w:val="00C26C5B"/>
    <w:rsid w:val="00C2711B"/>
    <w:rsid w:val="00C303B4"/>
    <w:rsid w:val="00C333B4"/>
    <w:rsid w:val="00C40EBC"/>
    <w:rsid w:val="00C41265"/>
    <w:rsid w:val="00C4202E"/>
    <w:rsid w:val="00C42ACA"/>
    <w:rsid w:val="00C51308"/>
    <w:rsid w:val="00C51F78"/>
    <w:rsid w:val="00C539F8"/>
    <w:rsid w:val="00C53A47"/>
    <w:rsid w:val="00C57BB9"/>
    <w:rsid w:val="00C606F6"/>
    <w:rsid w:val="00C6082E"/>
    <w:rsid w:val="00C61699"/>
    <w:rsid w:val="00C62B02"/>
    <w:rsid w:val="00C63C55"/>
    <w:rsid w:val="00C64908"/>
    <w:rsid w:val="00C705B5"/>
    <w:rsid w:val="00C7093C"/>
    <w:rsid w:val="00C738BD"/>
    <w:rsid w:val="00C74BDD"/>
    <w:rsid w:val="00C75D40"/>
    <w:rsid w:val="00C769CA"/>
    <w:rsid w:val="00C83627"/>
    <w:rsid w:val="00C84D07"/>
    <w:rsid w:val="00C85E44"/>
    <w:rsid w:val="00C92F94"/>
    <w:rsid w:val="00C95D81"/>
    <w:rsid w:val="00C960AA"/>
    <w:rsid w:val="00C9663D"/>
    <w:rsid w:val="00C97022"/>
    <w:rsid w:val="00CA121E"/>
    <w:rsid w:val="00CA501D"/>
    <w:rsid w:val="00CA55C4"/>
    <w:rsid w:val="00CB1789"/>
    <w:rsid w:val="00CB1CB2"/>
    <w:rsid w:val="00CB2557"/>
    <w:rsid w:val="00CB40D0"/>
    <w:rsid w:val="00CB44C4"/>
    <w:rsid w:val="00CB47FE"/>
    <w:rsid w:val="00CB4D35"/>
    <w:rsid w:val="00CB6703"/>
    <w:rsid w:val="00CC39B1"/>
    <w:rsid w:val="00CD3E42"/>
    <w:rsid w:val="00CD526B"/>
    <w:rsid w:val="00CD5B93"/>
    <w:rsid w:val="00CD626A"/>
    <w:rsid w:val="00CD7039"/>
    <w:rsid w:val="00CE1E0B"/>
    <w:rsid w:val="00CE3B32"/>
    <w:rsid w:val="00CE4A24"/>
    <w:rsid w:val="00CE613B"/>
    <w:rsid w:val="00CE6893"/>
    <w:rsid w:val="00CE7403"/>
    <w:rsid w:val="00CF0826"/>
    <w:rsid w:val="00CF0D8A"/>
    <w:rsid w:val="00CF267F"/>
    <w:rsid w:val="00CF4B03"/>
    <w:rsid w:val="00CF7DA0"/>
    <w:rsid w:val="00D0312C"/>
    <w:rsid w:val="00D04614"/>
    <w:rsid w:val="00D1723F"/>
    <w:rsid w:val="00D220B8"/>
    <w:rsid w:val="00D26B64"/>
    <w:rsid w:val="00D272B9"/>
    <w:rsid w:val="00D30AA4"/>
    <w:rsid w:val="00D30CE5"/>
    <w:rsid w:val="00D3674A"/>
    <w:rsid w:val="00D40383"/>
    <w:rsid w:val="00D4085D"/>
    <w:rsid w:val="00D428F4"/>
    <w:rsid w:val="00D434F3"/>
    <w:rsid w:val="00D46A88"/>
    <w:rsid w:val="00D46E83"/>
    <w:rsid w:val="00D51386"/>
    <w:rsid w:val="00D52914"/>
    <w:rsid w:val="00D5485B"/>
    <w:rsid w:val="00D57346"/>
    <w:rsid w:val="00D61911"/>
    <w:rsid w:val="00D62258"/>
    <w:rsid w:val="00D625A7"/>
    <w:rsid w:val="00D677F9"/>
    <w:rsid w:val="00D702F1"/>
    <w:rsid w:val="00D729FA"/>
    <w:rsid w:val="00D7336A"/>
    <w:rsid w:val="00D73591"/>
    <w:rsid w:val="00D75D6D"/>
    <w:rsid w:val="00D802FC"/>
    <w:rsid w:val="00D81D7E"/>
    <w:rsid w:val="00D84949"/>
    <w:rsid w:val="00D8532B"/>
    <w:rsid w:val="00D85463"/>
    <w:rsid w:val="00D96B03"/>
    <w:rsid w:val="00D973A5"/>
    <w:rsid w:val="00DA205D"/>
    <w:rsid w:val="00DA70F3"/>
    <w:rsid w:val="00DA7233"/>
    <w:rsid w:val="00DC4D62"/>
    <w:rsid w:val="00DC50E5"/>
    <w:rsid w:val="00DC76C7"/>
    <w:rsid w:val="00DD7C4F"/>
    <w:rsid w:val="00DE311A"/>
    <w:rsid w:val="00DE36EB"/>
    <w:rsid w:val="00DE4A6C"/>
    <w:rsid w:val="00DE5101"/>
    <w:rsid w:val="00DE64C1"/>
    <w:rsid w:val="00DE6633"/>
    <w:rsid w:val="00DE702E"/>
    <w:rsid w:val="00DF09AF"/>
    <w:rsid w:val="00DF5BAB"/>
    <w:rsid w:val="00E04604"/>
    <w:rsid w:val="00E10555"/>
    <w:rsid w:val="00E11087"/>
    <w:rsid w:val="00E12CC9"/>
    <w:rsid w:val="00E16E0A"/>
    <w:rsid w:val="00E204BB"/>
    <w:rsid w:val="00E220BC"/>
    <w:rsid w:val="00E2735C"/>
    <w:rsid w:val="00E31096"/>
    <w:rsid w:val="00E32B0E"/>
    <w:rsid w:val="00E33938"/>
    <w:rsid w:val="00E33F03"/>
    <w:rsid w:val="00E354D8"/>
    <w:rsid w:val="00E3658A"/>
    <w:rsid w:val="00E3706A"/>
    <w:rsid w:val="00E3738B"/>
    <w:rsid w:val="00E37446"/>
    <w:rsid w:val="00E37730"/>
    <w:rsid w:val="00E4099E"/>
    <w:rsid w:val="00E456AA"/>
    <w:rsid w:val="00E46534"/>
    <w:rsid w:val="00E5201F"/>
    <w:rsid w:val="00E56650"/>
    <w:rsid w:val="00E579FF"/>
    <w:rsid w:val="00E652BC"/>
    <w:rsid w:val="00E6698B"/>
    <w:rsid w:val="00E7195E"/>
    <w:rsid w:val="00E72F4A"/>
    <w:rsid w:val="00E7467D"/>
    <w:rsid w:val="00E82115"/>
    <w:rsid w:val="00E832FF"/>
    <w:rsid w:val="00E83448"/>
    <w:rsid w:val="00E838D3"/>
    <w:rsid w:val="00E92C8A"/>
    <w:rsid w:val="00E9346D"/>
    <w:rsid w:val="00E9609C"/>
    <w:rsid w:val="00EA1BED"/>
    <w:rsid w:val="00EA21BF"/>
    <w:rsid w:val="00EA3667"/>
    <w:rsid w:val="00EA594C"/>
    <w:rsid w:val="00EA7329"/>
    <w:rsid w:val="00EA7A1C"/>
    <w:rsid w:val="00EB7EDA"/>
    <w:rsid w:val="00EC176F"/>
    <w:rsid w:val="00EC1F5D"/>
    <w:rsid w:val="00EC3E78"/>
    <w:rsid w:val="00EC5206"/>
    <w:rsid w:val="00EC5D22"/>
    <w:rsid w:val="00ED0175"/>
    <w:rsid w:val="00ED0AC8"/>
    <w:rsid w:val="00ED2AC4"/>
    <w:rsid w:val="00ED4036"/>
    <w:rsid w:val="00EE041B"/>
    <w:rsid w:val="00EE2CFF"/>
    <w:rsid w:val="00EE57AC"/>
    <w:rsid w:val="00EE74C4"/>
    <w:rsid w:val="00EE7D29"/>
    <w:rsid w:val="00EF33DE"/>
    <w:rsid w:val="00EF6486"/>
    <w:rsid w:val="00EF64ED"/>
    <w:rsid w:val="00EF72D4"/>
    <w:rsid w:val="00F042EC"/>
    <w:rsid w:val="00F11A23"/>
    <w:rsid w:val="00F11DDE"/>
    <w:rsid w:val="00F120E6"/>
    <w:rsid w:val="00F12ACD"/>
    <w:rsid w:val="00F12F08"/>
    <w:rsid w:val="00F16589"/>
    <w:rsid w:val="00F2068C"/>
    <w:rsid w:val="00F21A10"/>
    <w:rsid w:val="00F234AB"/>
    <w:rsid w:val="00F24478"/>
    <w:rsid w:val="00F31DE0"/>
    <w:rsid w:val="00F31EC2"/>
    <w:rsid w:val="00F3245D"/>
    <w:rsid w:val="00F34E70"/>
    <w:rsid w:val="00F35FAE"/>
    <w:rsid w:val="00F4377A"/>
    <w:rsid w:val="00F46237"/>
    <w:rsid w:val="00F47765"/>
    <w:rsid w:val="00F501C6"/>
    <w:rsid w:val="00F630DB"/>
    <w:rsid w:val="00F630EF"/>
    <w:rsid w:val="00F6403E"/>
    <w:rsid w:val="00F66375"/>
    <w:rsid w:val="00F71346"/>
    <w:rsid w:val="00F715F2"/>
    <w:rsid w:val="00F72BAF"/>
    <w:rsid w:val="00F730C7"/>
    <w:rsid w:val="00F76C87"/>
    <w:rsid w:val="00F829DF"/>
    <w:rsid w:val="00F83023"/>
    <w:rsid w:val="00F8684A"/>
    <w:rsid w:val="00F94C3D"/>
    <w:rsid w:val="00F95D26"/>
    <w:rsid w:val="00F979C5"/>
    <w:rsid w:val="00FA0776"/>
    <w:rsid w:val="00FA0CBF"/>
    <w:rsid w:val="00FA0E45"/>
    <w:rsid w:val="00FA2EC0"/>
    <w:rsid w:val="00FA4E87"/>
    <w:rsid w:val="00FA64FD"/>
    <w:rsid w:val="00FA71E4"/>
    <w:rsid w:val="00FB4200"/>
    <w:rsid w:val="00FB5750"/>
    <w:rsid w:val="00FB6A2E"/>
    <w:rsid w:val="00FC055C"/>
    <w:rsid w:val="00FD16DA"/>
    <w:rsid w:val="00FD4437"/>
    <w:rsid w:val="00FE26A5"/>
    <w:rsid w:val="00FE347C"/>
    <w:rsid w:val="00FE4A16"/>
    <w:rsid w:val="00FF43BA"/>
    <w:rsid w:val="00FF5029"/>
    <w:rsid w:val="00FF678A"/>
    <w:rsid w:val="00FF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861F37"/>
  <w14:defaultImageDpi w14:val="0"/>
  <w15:docId w15:val="{0357C49A-7AFC-4F58-82D3-E8E19785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3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A7BBD"/>
    <w:rPr>
      <w:rFonts w:ascii="Corbel" w:hAnsi="Corbel"/>
      <w:color w:val="000000"/>
      <w:sz w:val="23"/>
    </w:rPr>
  </w:style>
  <w:style w:type="paragraph" w:customStyle="1" w:styleId="ScheduleLevel3Char">
    <w:name w:val="Schedule Level 3 Char"/>
    <w:link w:val="ScheduleLevel3CharChar"/>
    <w:uiPriority w:val="99"/>
    <w:rsid w:val="002E5313"/>
    <w:pPr>
      <w:tabs>
        <w:tab w:val="num" w:pos="5400"/>
      </w:tabs>
      <w:spacing w:before="140" w:after="140" w:line="280" w:lineRule="atLeast"/>
      <w:ind w:left="5400" w:hanging="360"/>
      <w:outlineLvl w:val="3"/>
    </w:pPr>
    <w:rPr>
      <w:rFonts w:ascii="Arial" w:eastAsia="SimSun" w:hAnsi="Arial" w:cs="Arial"/>
      <w:sz w:val="22"/>
      <w:szCs w:val="22"/>
    </w:rPr>
  </w:style>
  <w:style w:type="character" w:customStyle="1" w:styleId="ScheduleLevel3CharChar">
    <w:name w:val="Schedule Level 3 Char Char"/>
    <w:link w:val="ScheduleLevel3Char"/>
    <w:uiPriority w:val="99"/>
    <w:locked/>
    <w:rsid w:val="002E5313"/>
    <w:rPr>
      <w:rFonts w:ascii="Arial" w:eastAsia="SimSun" w:hAnsi="Arial" w:cs="Arial"/>
      <w:sz w:val="22"/>
      <w:szCs w:val="22"/>
    </w:rPr>
  </w:style>
  <w:style w:type="paragraph" w:customStyle="1" w:styleId="MELegal1">
    <w:name w:val="ME Legal 1"/>
    <w:aliases w:val="l1,RFTLevel1"/>
    <w:basedOn w:val="Normal"/>
    <w:next w:val="Normal"/>
    <w:uiPriority w:val="99"/>
    <w:rsid w:val="005E5F4D"/>
    <w:pPr>
      <w:keepNext/>
      <w:numPr>
        <w:numId w:val="20"/>
      </w:numPr>
      <w:spacing w:before="280" w:after="140" w:line="280" w:lineRule="atLeast"/>
      <w:jc w:val="left"/>
      <w:outlineLvl w:val="0"/>
    </w:pPr>
    <w:rPr>
      <w:rFonts w:ascii="Arial" w:hAnsi="Arial" w:cs="Angsana New"/>
      <w:color w:val="auto"/>
      <w:spacing w:val="-10"/>
      <w:w w:val="95"/>
      <w:sz w:val="32"/>
      <w:szCs w:val="32"/>
      <w:lang w:eastAsia="zh-CN" w:bidi="th-TH"/>
    </w:rPr>
  </w:style>
  <w:style w:type="paragraph" w:customStyle="1" w:styleId="MELegal2">
    <w:name w:val="ME Legal 2"/>
    <w:aliases w:val="l2,RFTLevel2"/>
    <w:basedOn w:val="Normal"/>
    <w:next w:val="Normal"/>
    <w:uiPriority w:val="99"/>
    <w:rsid w:val="005E5F4D"/>
    <w:pPr>
      <w:keepNext/>
      <w:numPr>
        <w:ilvl w:val="1"/>
        <w:numId w:val="20"/>
      </w:numPr>
      <w:spacing w:before="60" w:after="60" w:line="280" w:lineRule="atLeast"/>
      <w:jc w:val="left"/>
      <w:outlineLvl w:val="1"/>
    </w:pPr>
    <w:rPr>
      <w:rFonts w:ascii="Arial" w:hAnsi="Arial" w:cs="Angsana New"/>
      <w:b/>
      <w:bCs/>
      <w:color w:val="auto"/>
      <w:w w:val="95"/>
      <w:sz w:val="24"/>
      <w:szCs w:val="24"/>
      <w:lang w:eastAsia="zh-CN" w:bidi="th-TH"/>
    </w:rPr>
  </w:style>
  <w:style w:type="paragraph" w:customStyle="1" w:styleId="MELegal3">
    <w:name w:val="ME Legal 3"/>
    <w:aliases w:val="l3"/>
    <w:basedOn w:val="Normal"/>
    <w:uiPriority w:val="99"/>
    <w:rsid w:val="005E5F4D"/>
    <w:pPr>
      <w:numPr>
        <w:ilvl w:val="2"/>
        <w:numId w:val="20"/>
      </w:numPr>
      <w:spacing w:after="140" w:line="280" w:lineRule="atLeast"/>
      <w:jc w:val="left"/>
      <w:outlineLvl w:val="2"/>
    </w:pPr>
    <w:rPr>
      <w:rFonts w:ascii="Times New Roman" w:hAnsi="Times New Roman" w:cs="Angsana New"/>
      <w:color w:val="auto"/>
      <w:sz w:val="22"/>
      <w:szCs w:val="22"/>
      <w:lang w:eastAsia="zh-CN" w:bidi="th-TH"/>
    </w:rPr>
  </w:style>
  <w:style w:type="paragraph" w:customStyle="1" w:styleId="MELegal4">
    <w:name w:val="ME Legal 4"/>
    <w:aliases w:val="l4"/>
    <w:basedOn w:val="Normal"/>
    <w:uiPriority w:val="99"/>
    <w:rsid w:val="005E5F4D"/>
    <w:pPr>
      <w:numPr>
        <w:ilvl w:val="3"/>
        <w:numId w:val="20"/>
      </w:numPr>
      <w:spacing w:after="140" w:line="280" w:lineRule="atLeast"/>
      <w:jc w:val="left"/>
      <w:outlineLvl w:val="3"/>
    </w:pPr>
    <w:rPr>
      <w:rFonts w:ascii="Times New Roman" w:hAnsi="Times New Roman" w:cs="Angsana New"/>
      <w:color w:val="auto"/>
      <w:sz w:val="22"/>
      <w:szCs w:val="22"/>
      <w:lang w:eastAsia="zh-CN" w:bidi="th-TH"/>
    </w:rPr>
  </w:style>
  <w:style w:type="paragraph" w:customStyle="1" w:styleId="MELegal5">
    <w:name w:val="ME Legal 5"/>
    <w:aliases w:val="l5"/>
    <w:basedOn w:val="Normal"/>
    <w:uiPriority w:val="99"/>
    <w:rsid w:val="005E5F4D"/>
    <w:pPr>
      <w:numPr>
        <w:ilvl w:val="4"/>
        <w:numId w:val="20"/>
      </w:numPr>
      <w:spacing w:after="140" w:line="280" w:lineRule="atLeast"/>
      <w:jc w:val="left"/>
      <w:outlineLvl w:val="4"/>
    </w:pPr>
    <w:rPr>
      <w:rFonts w:ascii="Times New Roman" w:hAnsi="Times New Roman" w:cs="Angsana New"/>
      <w:color w:val="auto"/>
      <w:sz w:val="22"/>
      <w:szCs w:val="22"/>
      <w:lang w:eastAsia="zh-CN" w:bidi="th-TH"/>
    </w:rPr>
  </w:style>
  <w:style w:type="paragraph" w:customStyle="1" w:styleId="MELegal6">
    <w:name w:val="ME Legal 6"/>
    <w:basedOn w:val="Normal"/>
    <w:uiPriority w:val="99"/>
    <w:rsid w:val="005E5F4D"/>
    <w:pPr>
      <w:numPr>
        <w:ilvl w:val="5"/>
        <w:numId w:val="20"/>
      </w:numPr>
      <w:spacing w:after="140" w:line="280" w:lineRule="atLeast"/>
      <w:jc w:val="left"/>
      <w:outlineLvl w:val="5"/>
    </w:pPr>
    <w:rPr>
      <w:rFonts w:ascii="Times New Roman" w:hAnsi="Times New Roman" w:cs="Angsana New"/>
      <w:color w:val="auto"/>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941037">
      <w:bodyDiv w:val="1"/>
      <w:marLeft w:val="0"/>
      <w:marRight w:val="0"/>
      <w:marTop w:val="0"/>
      <w:marBottom w:val="0"/>
      <w:divBdr>
        <w:top w:val="none" w:sz="0" w:space="0" w:color="auto"/>
        <w:left w:val="none" w:sz="0" w:space="0" w:color="auto"/>
        <w:bottom w:val="none" w:sz="0" w:space="0" w:color="auto"/>
        <w:right w:val="none" w:sz="0" w:space="0" w:color="auto"/>
      </w:divBdr>
    </w:div>
    <w:div w:id="1782719740">
      <w:marLeft w:val="0"/>
      <w:marRight w:val="0"/>
      <w:marTop w:val="0"/>
      <w:marBottom w:val="0"/>
      <w:divBdr>
        <w:top w:val="none" w:sz="0" w:space="0" w:color="auto"/>
        <w:left w:val="none" w:sz="0" w:space="0" w:color="auto"/>
        <w:bottom w:val="none" w:sz="0" w:space="0" w:color="auto"/>
        <w:right w:val="none" w:sz="0" w:space="0" w:color="auto"/>
      </w:divBdr>
    </w:div>
    <w:div w:id="1782719741">
      <w:marLeft w:val="0"/>
      <w:marRight w:val="0"/>
      <w:marTop w:val="0"/>
      <w:marBottom w:val="0"/>
      <w:divBdr>
        <w:top w:val="none" w:sz="0" w:space="0" w:color="auto"/>
        <w:left w:val="none" w:sz="0" w:space="0" w:color="auto"/>
        <w:bottom w:val="none" w:sz="0" w:space="0" w:color="auto"/>
        <w:right w:val="none" w:sz="0" w:space="0" w:color="auto"/>
      </w:divBdr>
    </w:div>
    <w:div w:id="1782719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Fields xmlns="http://schemas.microsoft.com/office/documentsets/sharedfields" LastModified="1/1/1 0:00:01 AM"/>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wpf:WelcomePageFields xmlns:wpf="http://schemas.microsoft.com/office/documentsets/welcomepagefields" LastModified="01/09/2015 04:22:44">
  <WelcomePageField id="a17e3e5e-d6fe-4dce-bb7b-b1fe2529a9ed"/>
  <WelcomePageField id="ab3ae029-7d43-41ce-ac35-b9b1e2ce3933"/>
</wpf:WelcomePageFields>
</file>

<file path=customXml/item3.xml><?xml version="1.0" encoding="utf-8"?>
<?mso-contentType ?>
<FormUrls xmlns="http://schemas.microsoft.com/sharepoint/v3/contenttype/forms/url">
  <New>_layouts/NewDocSet.aspx</New>
</FormUrls>
</file>

<file path=customXml/item4.xml><?xml version="1.0" encoding="utf-8"?>
<?mso-contentType ?>
<act:AllowedContentTypes xmlns:act="http://schemas.microsoft.com/office/documentsets/allowedcontenttypes" LastModified="04/09/2014 01:32:35">
  <AllowedContentType id="0x010100F467F77E5006AC4183EC66C58CB60CCF"/>
  <AllowedContentType id="0x010100F467F77E5006AC4183EC66C58CB60CCF01"/>
  <AllowedContentType id="0x010100F467F77E5006AC4183EC66C58CB60CCF02"/>
  <AllowedContentType id="0x010100F467F77E5006AC4183EC66C58CB60CCF03"/>
  <AllowedContentType id="0x010100F467F77E5006AC4183EC66C58CB60CCF04"/>
</act:AllowedContentTypes>
</file>

<file path=customXml/item5.xml><?xml version="1.0" encoding="utf-8"?>
<?mso-contentType ?>
<wpv:WelcomePageView xmlns:wpv="http://schemas.microsoft.com/office/documentsets/welcomepageview" ViewId="31138794-8909-47a6-b34b-71dc0974894e"/>
</file>

<file path=customXml/item6.xml><?xml version="1.0" encoding="utf-8"?>
<?mso-contentType ?>
<DefaultDocuments xmlns="http://schemas.microsoft.com/office/documentsets/defaultdocuments" LastModified="1/1/1 0:00:01 AM" AddSetName=""/>
</file>

<file path=customXml/item7.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spe:Receivers>
</file>

<file path=customXml/item8.xml><?xml version="1.0" encoding="utf-8"?>
<ct:contentTypeSchema xmlns:ct="http://schemas.microsoft.com/office/2006/metadata/contentType" xmlns:ma="http://schemas.microsoft.com/office/2006/metadata/properties/metaAttributes" ct:_="" ma:_="" ma:contentTypeName="Folder" ma:contentTypeID="0x01200068D29090678B7C4097CC26ED943C1B6F" ma:contentTypeVersion="0" ma:contentTypeDescription="Create a new folder." ma:contentTypeScope="" ma:versionID="2da673ad158bd4361482418bd9ff428e">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45EE5-81ED-4215-9496-7F1FED499506}">
  <ds:schemaRefs>
    <ds:schemaRef ds:uri="http://schemas.microsoft.com/office/documentsets/sharedfields"/>
  </ds:schemaRefs>
</ds:datastoreItem>
</file>

<file path=customXml/itemProps10.xml><?xml version="1.0" encoding="utf-8"?>
<ds:datastoreItem xmlns:ds="http://schemas.openxmlformats.org/officeDocument/2006/customXml" ds:itemID="{61D1699C-9701-4CF4-8144-0DAF26F10389}">
  <ds:schemaRefs>
    <ds:schemaRef ds:uri="http://schemas.openxmlformats.org/officeDocument/2006/bibliography"/>
  </ds:schemaRefs>
</ds:datastoreItem>
</file>

<file path=customXml/itemProps2.xml><?xml version="1.0" encoding="utf-8"?>
<ds:datastoreItem xmlns:ds="http://schemas.openxmlformats.org/officeDocument/2006/customXml" ds:itemID="{05E80B5C-AC0D-4230-A663-CFF41CB1D632}">
  <ds:schemaRefs>
    <ds:schemaRef ds:uri="http://schemas.microsoft.com/office/documentsets/welcomepagefields"/>
  </ds:schemaRefs>
</ds:datastoreItem>
</file>

<file path=customXml/itemProps3.xml><?xml version="1.0" encoding="utf-8"?>
<ds:datastoreItem xmlns:ds="http://schemas.openxmlformats.org/officeDocument/2006/customXml" ds:itemID="{5CB2FF6A-84F0-4A1B-8FD4-00A122CE29E5}">
  <ds:schemaRefs>
    <ds:schemaRef ds:uri="http://schemas.microsoft.com/sharepoint/v3/contenttype/forms/url"/>
  </ds:schemaRefs>
</ds:datastoreItem>
</file>

<file path=customXml/itemProps4.xml><?xml version="1.0" encoding="utf-8"?>
<ds:datastoreItem xmlns:ds="http://schemas.openxmlformats.org/officeDocument/2006/customXml" ds:itemID="{5DDA1905-343B-4BF5-9348-38779EC431AD}">
  <ds:schemaRefs>
    <ds:schemaRef ds:uri="http://schemas.microsoft.com/office/documentsets/allowedcontenttypes"/>
  </ds:schemaRefs>
</ds:datastoreItem>
</file>

<file path=customXml/itemProps5.xml><?xml version="1.0" encoding="utf-8"?>
<ds:datastoreItem xmlns:ds="http://schemas.openxmlformats.org/officeDocument/2006/customXml" ds:itemID="{F88DC6CA-549B-46E6-8CA7-8D064D1BCE61}">
  <ds:schemaRefs>
    <ds:schemaRef ds:uri="http://schemas.microsoft.com/office/documentsets/welcomepageview"/>
  </ds:schemaRefs>
</ds:datastoreItem>
</file>

<file path=customXml/itemProps6.xml><?xml version="1.0" encoding="utf-8"?>
<ds:datastoreItem xmlns:ds="http://schemas.openxmlformats.org/officeDocument/2006/customXml" ds:itemID="{A561ED46-0B9A-427A-A716-2F4F0A876C19}">
  <ds:schemaRefs>
    <ds:schemaRef ds:uri="http://schemas.microsoft.com/office/documentsets/defaultdocuments"/>
  </ds:schemaRefs>
</ds:datastoreItem>
</file>

<file path=customXml/itemProps7.xml><?xml version="1.0" encoding="utf-8"?>
<ds:datastoreItem xmlns:ds="http://schemas.openxmlformats.org/officeDocument/2006/customXml" ds:itemID="{4615C6FB-52E6-43ED-8B5F-497DF75E612E}">
  <ds:schemaRefs>
    <ds:schemaRef ds:uri="http://schemas.microsoft.com/sharepoint/events"/>
  </ds:schemaRefs>
</ds:datastoreItem>
</file>

<file path=customXml/itemProps8.xml><?xml version="1.0" encoding="utf-8"?>
<ds:datastoreItem xmlns:ds="http://schemas.openxmlformats.org/officeDocument/2006/customXml" ds:itemID="{3FA4E26C-46F1-49A2-8FB7-8588AAD8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44C5835-F3B4-4C1A-806E-588C48D4AB95}">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COAG.dot</Template>
  <TotalTime>13</TotalTime>
  <Pages>10</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Partridge, Melissa</dc:creator>
  <cp:lastModifiedBy>Le, Alan</cp:lastModifiedBy>
  <cp:revision>3</cp:revision>
  <cp:lastPrinted>2019-04-01T23:50:00Z</cp:lastPrinted>
  <dcterms:created xsi:type="dcterms:W3CDTF">2019-05-09T04:54:00Z</dcterms:created>
  <dcterms:modified xsi:type="dcterms:W3CDTF">2019-06-25T01:17:00Z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0x01200068D29090678B7C4097CC26ED943C1B6F</vt:lpwstr>
  </property>
  <property fmtid="{D5CDD505-2E9C-101B-9397-08002B2CF9AE}" pid="3" name="RecordPoint_ActiveItemUniqueId">
    <vt:lpwstr>{bc4a512e-ff50-420d-a1a6-02535f759b37}</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_dlc_DocIdItemGuid">
    <vt:lpwstr>7eedf91e-5d9c-42ab-9dda-0c13e7311e04</vt:lpwstr>
  </property>
  <property fmtid="{D5CDD505-2E9C-101B-9397-08002B2CF9AE}" pid="7" name="RecordPoint_RecordNumberSubmitted">
    <vt:lpwstr>R0002261791</vt:lpwstr>
  </property>
  <property fmtid="{D5CDD505-2E9C-101B-9397-08002B2CF9AE}" pid="8" name="RecordPoint_SubmissionCompleted">
    <vt:lpwstr>2020-05-06T23:52:12.3983682+10:00</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_NewReviewCycle">
    <vt:lpwstr/>
  </property>
  <property fmtid="{D5CDD505-2E9C-101B-9397-08002B2CF9AE}" pid="13" name="lb508a4dc5e84436a0fe496b536466aa">
    <vt:lpwstr>TSY RA-8748 - Retain as national archives|243f2231-dbfc-4282-b24a-c9b768286bd0</vt:lpwstr>
  </property>
  <property fmtid="{D5CDD505-2E9C-101B-9397-08002B2CF9AE}" pid="14" name="_dlc_DocId">
    <vt:lpwstr>2019FG-64-59406</vt:lpwstr>
  </property>
  <property fmtid="{D5CDD505-2E9C-101B-9397-08002B2CF9AE}" pid="15" name="TaxCatchAll">
    <vt:lpwstr>2;#TSY RA-8748 - Retain as national archives|243f2231-dbfc-4282-b24a-c9b768286bd0</vt:lpwstr>
  </property>
  <property fmtid="{D5CDD505-2E9C-101B-9397-08002B2CF9AE}" pid="16" name="_dlc_DocIdUrl">
    <vt:lpwstr>http://tweb/sites/fg/csrd/_layouts/15/DocIdRedir.aspx?ID=2019FG-64-59406, 2019FG-64-59406</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