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FCEB6" w14:textId="77777777" w:rsidR="00A21A05" w:rsidRDefault="00A21A05" w:rsidP="00A17D70">
      <w:pPr>
        <w:pStyle w:val="Title"/>
      </w:pPr>
    </w:p>
    <w:p w14:paraId="1F3A0D90" w14:textId="61F84949" w:rsidR="0036688B" w:rsidRPr="00A17D70" w:rsidRDefault="00047AA6" w:rsidP="00A17D70">
      <w:pPr>
        <w:pStyle w:val="Title"/>
      </w:pPr>
      <w:r>
        <w:t>Tasmania</w:t>
      </w:r>
      <w:r w:rsidR="00195B84">
        <w:t>n</w:t>
      </w:r>
      <w:r w:rsidR="0036688B" w:rsidRPr="00A17D70">
        <w:t xml:space="preserve"> Implementation Plan </w:t>
      </w:r>
      <w:r w:rsidR="001A5D90">
        <w:t>20</w:t>
      </w:r>
      <w:r w:rsidR="0065207F">
        <w:t>2</w:t>
      </w:r>
      <w:r w:rsidR="00A66907">
        <w:t>1</w:t>
      </w:r>
      <w:r w:rsidR="001A5D90">
        <w:t>–2</w:t>
      </w:r>
      <w:r w:rsidR="00A66907">
        <w:t>2</w:t>
      </w:r>
      <w:r w:rsidR="001A5D90">
        <w:t xml:space="preserve"> </w:t>
      </w:r>
    </w:p>
    <w:p w14:paraId="112700F1" w14:textId="77777777" w:rsidR="0036688B" w:rsidRPr="00A17D70" w:rsidRDefault="00047AA6" w:rsidP="00A17D70">
      <w:pPr>
        <w:pStyle w:val="Subtitle"/>
      </w:pPr>
      <w:r>
        <w:t>PRoject agreem</w:t>
      </w:r>
      <w:r w:rsidR="001D0305">
        <w:t>e</w:t>
      </w:r>
      <w:r>
        <w:t>nt for Energising tasmania</w:t>
      </w:r>
    </w:p>
    <w:p w14:paraId="205BD6CC" w14:textId="77777777" w:rsidR="0036688B" w:rsidRPr="00041625" w:rsidRDefault="0036688B" w:rsidP="00A17D70">
      <w:pPr>
        <w:pStyle w:val="Heading1"/>
      </w:pPr>
      <w:r w:rsidRPr="00041625">
        <w:t>Part 1: Pr</w:t>
      </w:r>
      <w:r w:rsidRPr="00A17D70">
        <w:t>el</w:t>
      </w:r>
      <w:r w:rsidRPr="00041625">
        <w:t>iminaries</w:t>
      </w:r>
    </w:p>
    <w:p w14:paraId="7E4C2141" w14:textId="77777777" w:rsidR="00B46E07" w:rsidRDefault="001918B1" w:rsidP="009548A0">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is </w:t>
      </w:r>
      <w:r w:rsidR="00195B84" w:rsidRPr="006E2F07">
        <w:rPr>
          <w:szCs w:val="23"/>
        </w:rPr>
        <w:t>created subject to the provisions</w:t>
      </w:r>
      <w:r w:rsidR="00195B84">
        <w:rPr>
          <w:szCs w:val="23"/>
        </w:rPr>
        <w:t xml:space="preserve"> of</w:t>
      </w:r>
      <w:r w:rsidRPr="00041625">
        <w:rPr>
          <w:szCs w:val="23"/>
        </w:rPr>
        <w:t xml:space="preserve"> the </w:t>
      </w:r>
      <w:r w:rsidR="00047AA6">
        <w:rPr>
          <w:szCs w:val="23"/>
        </w:rPr>
        <w:t xml:space="preserve">Project Agreement for Energising Tasmania </w:t>
      </w:r>
      <w:r w:rsidRPr="00041625">
        <w:rPr>
          <w:szCs w:val="23"/>
        </w:rPr>
        <w:t xml:space="preserve">and should be read in conjunction with that Agreement. </w:t>
      </w:r>
    </w:p>
    <w:p w14:paraId="49A4AFF3" w14:textId="77777777" w:rsidR="001918B1" w:rsidRPr="00041625" w:rsidRDefault="001918B1" w:rsidP="009548A0">
      <w:pPr>
        <w:pStyle w:val="Normalnumbered"/>
        <w:spacing w:after="240" w:line="260" w:lineRule="exact"/>
        <w:rPr>
          <w:szCs w:val="23"/>
        </w:rPr>
      </w:pPr>
      <w:r w:rsidRPr="00041625">
        <w:rPr>
          <w:szCs w:val="23"/>
        </w:rPr>
        <w:t xml:space="preserve">The objective in the </w:t>
      </w:r>
      <w:r w:rsidR="00047AA6">
        <w:rPr>
          <w:szCs w:val="23"/>
        </w:rPr>
        <w:t>Project Agreement</w:t>
      </w:r>
      <w:r w:rsidRPr="00041625">
        <w:rPr>
          <w:szCs w:val="23"/>
        </w:rPr>
        <w:t xml:space="preserve"> is </w:t>
      </w:r>
      <w:r w:rsidR="00047AA6">
        <w:rPr>
          <w:szCs w:val="23"/>
        </w:rPr>
        <w:t xml:space="preserve">to </w:t>
      </w:r>
      <w:r w:rsidR="00195B84">
        <w:rPr>
          <w:szCs w:val="23"/>
        </w:rPr>
        <w:t xml:space="preserve">support </w:t>
      </w:r>
      <w:r w:rsidR="00047AA6">
        <w:rPr>
          <w:szCs w:val="23"/>
        </w:rPr>
        <w:t xml:space="preserve">Tasmania </w:t>
      </w:r>
      <w:r w:rsidR="00195B84">
        <w:rPr>
          <w:szCs w:val="23"/>
        </w:rPr>
        <w:t xml:space="preserve">to build </w:t>
      </w:r>
      <w:r w:rsidR="00047AA6">
        <w:rPr>
          <w:szCs w:val="23"/>
        </w:rPr>
        <w:t xml:space="preserve">a skilled workforce equipped with the expertise needed </w:t>
      </w:r>
      <w:r w:rsidR="007F43FD">
        <w:rPr>
          <w:szCs w:val="23"/>
        </w:rPr>
        <w:t>for</w:t>
      </w:r>
      <w:r w:rsidR="00047AA6">
        <w:rPr>
          <w:szCs w:val="23"/>
        </w:rPr>
        <w:t xml:space="preserve"> the </w:t>
      </w:r>
      <w:r w:rsidR="001D0305">
        <w:rPr>
          <w:szCs w:val="23"/>
        </w:rPr>
        <w:t>Battery of the Nation initiati</w:t>
      </w:r>
      <w:r w:rsidR="007F43FD">
        <w:rPr>
          <w:szCs w:val="23"/>
        </w:rPr>
        <w:t>ve</w:t>
      </w:r>
      <w:r w:rsidR="001D0305">
        <w:rPr>
          <w:szCs w:val="23"/>
        </w:rPr>
        <w:t xml:space="preserve"> and more broadly the renewable energy and related </w:t>
      </w:r>
      <w:r w:rsidR="00047AA6">
        <w:rPr>
          <w:szCs w:val="23"/>
        </w:rPr>
        <w:t>sector</w:t>
      </w:r>
      <w:r w:rsidR="001D0305">
        <w:rPr>
          <w:szCs w:val="23"/>
        </w:rPr>
        <w:t xml:space="preserve">s in Tasmania. </w:t>
      </w:r>
      <w:r w:rsidR="00047AA6">
        <w:rPr>
          <w:szCs w:val="23"/>
        </w:rPr>
        <w:t xml:space="preserve"> </w:t>
      </w:r>
    </w:p>
    <w:p w14:paraId="4DFEE880" w14:textId="77777777" w:rsidR="00104FFB" w:rsidRDefault="003A1564" w:rsidP="009548A0">
      <w:pPr>
        <w:pStyle w:val="Normalnumbered"/>
        <w:spacing w:after="240" w:line="260" w:lineRule="exact"/>
        <w:rPr>
          <w:szCs w:val="23"/>
        </w:rPr>
      </w:pPr>
      <w:r>
        <w:rPr>
          <w:szCs w:val="23"/>
        </w:rPr>
        <w:t>Energising Tasmania</w:t>
      </w:r>
      <w:r w:rsidR="009F2050">
        <w:rPr>
          <w:szCs w:val="23"/>
        </w:rPr>
        <w:t xml:space="preserve"> will </w:t>
      </w:r>
      <w:r>
        <w:rPr>
          <w:szCs w:val="23"/>
        </w:rPr>
        <w:t>establish</w:t>
      </w:r>
      <w:r w:rsidR="001D0305">
        <w:rPr>
          <w:szCs w:val="23"/>
        </w:rPr>
        <w:t>:</w:t>
      </w:r>
    </w:p>
    <w:p w14:paraId="472A4D91" w14:textId="77777777" w:rsidR="0013448A" w:rsidRPr="0013448A" w:rsidRDefault="0013448A" w:rsidP="0013448A">
      <w:pPr>
        <w:pStyle w:val="Normalnumbered"/>
        <w:numPr>
          <w:ilvl w:val="1"/>
          <w:numId w:val="9"/>
        </w:numPr>
        <w:spacing w:after="240" w:line="260" w:lineRule="exact"/>
        <w:rPr>
          <w:szCs w:val="23"/>
        </w:rPr>
      </w:pPr>
      <w:r w:rsidRPr="0013448A">
        <w:rPr>
          <w:szCs w:val="23"/>
        </w:rPr>
        <w:t>a new training grants fund to deliver up to 2,500 fully subsidised training places in areas of identified skills need and provide up to $1,000 per learner to assist with non-tuition fee costs (such as training materials</w:t>
      </w:r>
      <w:proofErr w:type="gramStart"/>
      <w:r w:rsidRPr="0013448A">
        <w:rPr>
          <w:szCs w:val="23"/>
        </w:rPr>
        <w:t>);</w:t>
      </w:r>
      <w:proofErr w:type="gramEnd"/>
    </w:p>
    <w:p w14:paraId="3CEE9010" w14:textId="5BB99042" w:rsidR="0013448A" w:rsidRPr="0013448A" w:rsidRDefault="0013448A" w:rsidP="0013448A">
      <w:pPr>
        <w:pStyle w:val="Normalnumbered"/>
        <w:numPr>
          <w:ilvl w:val="1"/>
          <w:numId w:val="9"/>
        </w:numPr>
        <w:spacing w:after="240" w:line="260" w:lineRule="exact"/>
        <w:rPr>
          <w:szCs w:val="23"/>
        </w:rPr>
      </w:pPr>
      <w:r w:rsidRPr="0013448A">
        <w:rPr>
          <w:szCs w:val="23"/>
        </w:rPr>
        <w:t xml:space="preserve">a new training market development fund to support capacity building of training providers (including trainer recruitment, upskilling trainers, supporting trainers to relocate) as well as developing courses and delivery methods that meet the needs of </w:t>
      </w:r>
      <w:proofErr w:type="gramStart"/>
      <w:r w:rsidRPr="0013448A">
        <w:rPr>
          <w:szCs w:val="23"/>
        </w:rPr>
        <w:t>industry;</w:t>
      </w:r>
      <w:proofErr w:type="gramEnd"/>
      <w:r w:rsidRPr="0013448A">
        <w:rPr>
          <w:szCs w:val="23"/>
        </w:rPr>
        <w:t xml:space="preserve"> </w:t>
      </w:r>
    </w:p>
    <w:p w14:paraId="27198E3B" w14:textId="77777777" w:rsidR="0013448A" w:rsidRPr="0013448A" w:rsidRDefault="0013448A" w:rsidP="0013448A">
      <w:pPr>
        <w:pStyle w:val="Normalnumbered"/>
        <w:numPr>
          <w:ilvl w:val="1"/>
          <w:numId w:val="9"/>
        </w:numPr>
        <w:spacing w:after="240" w:line="260" w:lineRule="exact"/>
        <w:rPr>
          <w:szCs w:val="23"/>
        </w:rPr>
      </w:pPr>
      <w:r w:rsidRPr="0013448A">
        <w:rPr>
          <w:szCs w:val="23"/>
        </w:rPr>
        <w:t>a new workforce development fund to deliver an industry-led workforce development plan to inform and drive priority training and undertake activities identified in the plan that support necessary workforce development; and</w:t>
      </w:r>
    </w:p>
    <w:p w14:paraId="1A722DCD" w14:textId="77777777" w:rsidR="0013448A" w:rsidRPr="0013448A" w:rsidRDefault="0013448A" w:rsidP="0013448A">
      <w:pPr>
        <w:pStyle w:val="Normalnumbered"/>
        <w:numPr>
          <w:ilvl w:val="1"/>
          <w:numId w:val="9"/>
        </w:numPr>
        <w:spacing w:after="240" w:line="260" w:lineRule="exact"/>
        <w:rPr>
          <w:szCs w:val="23"/>
        </w:rPr>
      </w:pPr>
      <w:r w:rsidRPr="0013448A">
        <w:rPr>
          <w:szCs w:val="23"/>
        </w:rPr>
        <w:t>a new industry advisory group dedicated to building the skills needed to support the Battery of the Nation initiative and more broadly the renewable energy and related sectors that will engage with employers and registered training organisations and support the development of the workforce plan and implementation of activities identified in the plan.</w:t>
      </w:r>
    </w:p>
    <w:p w14:paraId="2953C613" w14:textId="77777777" w:rsidR="003E230C" w:rsidRPr="00041625" w:rsidRDefault="003E230C" w:rsidP="00A17D70">
      <w:pPr>
        <w:pStyle w:val="Heading1"/>
      </w:pPr>
      <w:r w:rsidRPr="00041625">
        <w:t xml:space="preserve">Part 2: Terms of this </w:t>
      </w:r>
      <w:r w:rsidR="00E47C62" w:rsidRPr="00041625">
        <w:t>I</w:t>
      </w:r>
      <w:r w:rsidR="00E47C62" w:rsidRPr="00A17D70">
        <w:t>mplem</w:t>
      </w:r>
      <w:r w:rsidR="00E47C62" w:rsidRPr="00041625">
        <w:t>entation Plan</w:t>
      </w:r>
      <w:r w:rsidR="004D78CB" w:rsidRPr="00041625">
        <w:tab/>
      </w:r>
    </w:p>
    <w:p w14:paraId="0DE28E03" w14:textId="77777777"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commence as soon as it is agreed between</w:t>
      </w:r>
      <w:r w:rsidR="00D21974">
        <w:rPr>
          <w:szCs w:val="23"/>
        </w:rPr>
        <w:t xml:space="preserve"> the Commonwealth of Australia</w:t>
      </w:r>
      <w:r w:rsidR="003A1564">
        <w:rPr>
          <w:szCs w:val="23"/>
        </w:rPr>
        <w:t xml:space="preserve">, </w:t>
      </w:r>
      <w:r w:rsidR="003A1564" w:rsidRPr="00041625">
        <w:rPr>
          <w:szCs w:val="23"/>
        </w:rPr>
        <w:t>represented by</w:t>
      </w:r>
      <w:r w:rsidR="005E395B">
        <w:rPr>
          <w:szCs w:val="23"/>
        </w:rPr>
        <w:t xml:space="preserve"> the </w:t>
      </w:r>
      <w:r w:rsidR="005E395B">
        <w:t>First Assistant Secretary, Apprenticeships and Workforce</w:t>
      </w:r>
      <w:r w:rsidR="005E395B" w:rsidRPr="00756272">
        <w:rPr>
          <w:szCs w:val="23"/>
        </w:rPr>
        <w:t xml:space="preserve"> Skills</w:t>
      </w:r>
      <w:r w:rsidR="005E395B">
        <w:rPr>
          <w:szCs w:val="23"/>
        </w:rPr>
        <w:t>,</w:t>
      </w:r>
      <w:r w:rsidR="00756272" w:rsidRPr="00756272">
        <w:rPr>
          <w:szCs w:val="23"/>
        </w:rPr>
        <w:t xml:space="preserve"> Department of </w:t>
      </w:r>
      <w:r w:rsidR="0065207F">
        <w:rPr>
          <w:szCs w:val="23"/>
        </w:rPr>
        <w:t>Education</w:t>
      </w:r>
      <w:r w:rsidR="00756272" w:rsidRPr="00756272">
        <w:rPr>
          <w:szCs w:val="23"/>
        </w:rPr>
        <w:t>, Skills</w:t>
      </w:r>
      <w:r w:rsidR="0065207F">
        <w:rPr>
          <w:szCs w:val="23"/>
        </w:rPr>
        <w:t xml:space="preserve"> and Employment and</w:t>
      </w:r>
      <w:r w:rsidR="003A1564" w:rsidRPr="00041625">
        <w:rPr>
          <w:szCs w:val="23"/>
        </w:rPr>
        <w:t xml:space="preserve"> the </w:t>
      </w:r>
      <w:r w:rsidR="005E395B">
        <w:rPr>
          <w:szCs w:val="23"/>
        </w:rPr>
        <w:t>s</w:t>
      </w:r>
      <w:r w:rsidR="003A1564" w:rsidRPr="00041625">
        <w:rPr>
          <w:szCs w:val="23"/>
        </w:rPr>
        <w:t xml:space="preserve">tate of </w:t>
      </w:r>
      <w:r w:rsidR="005E395B">
        <w:rPr>
          <w:szCs w:val="23"/>
        </w:rPr>
        <w:t>Tasmania</w:t>
      </w:r>
      <w:r w:rsidR="003A1564" w:rsidRPr="00041625">
        <w:rPr>
          <w:szCs w:val="23"/>
        </w:rPr>
        <w:t xml:space="preserve">, represented by </w:t>
      </w:r>
      <w:r w:rsidR="005E395B">
        <w:rPr>
          <w:szCs w:val="23"/>
        </w:rPr>
        <w:t>the General Manager, Skills Tasmania, or equivalent</w:t>
      </w:r>
      <w:r w:rsidR="007F43FD">
        <w:rPr>
          <w:szCs w:val="23"/>
        </w:rPr>
        <w:t xml:space="preserve"> authorised officer</w:t>
      </w:r>
      <w:r w:rsidR="005E395B">
        <w:rPr>
          <w:szCs w:val="23"/>
        </w:rPr>
        <w:t>.</w:t>
      </w:r>
      <w:r w:rsidR="00D21974">
        <w:rPr>
          <w:szCs w:val="23"/>
        </w:rPr>
        <w:t xml:space="preserve"> </w:t>
      </w:r>
    </w:p>
    <w:p w14:paraId="476ECB07" w14:textId="77777777" w:rsidR="0036688B" w:rsidRPr="00041625" w:rsidRDefault="009548A0" w:rsidP="0036688B">
      <w:pPr>
        <w:pStyle w:val="Normalnumbered"/>
        <w:spacing w:after="240" w:line="260" w:lineRule="exact"/>
        <w:rPr>
          <w:szCs w:val="23"/>
        </w:rPr>
      </w:pPr>
      <w:r>
        <w:rPr>
          <w:szCs w:val="23"/>
        </w:rPr>
        <w:t>T</w:t>
      </w:r>
      <w:r w:rsidR="0036688B" w:rsidRPr="00041625">
        <w:rPr>
          <w:szCs w:val="23"/>
        </w:rPr>
        <w:t xml:space="preserve">he purpose of this </w:t>
      </w:r>
      <w:r w:rsidR="00E47C62" w:rsidRPr="00041625">
        <w:rPr>
          <w:szCs w:val="23"/>
        </w:rPr>
        <w:t>Implementation Plan</w:t>
      </w:r>
      <w:r w:rsidR="0036688B" w:rsidRPr="00041625">
        <w:rPr>
          <w:szCs w:val="23"/>
        </w:rPr>
        <w:t xml:space="preserve"> is to</w:t>
      </w:r>
      <w:r w:rsidR="003A1564">
        <w:rPr>
          <w:szCs w:val="23"/>
        </w:rPr>
        <w:t xml:space="preserve"> provide the public with an indication of how </w:t>
      </w:r>
      <w:r w:rsidR="005652F8">
        <w:rPr>
          <w:szCs w:val="23"/>
        </w:rPr>
        <w:t xml:space="preserve">Tasmania intends to deliver </w:t>
      </w:r>
      <w:r w:rsidR="003A1564">
        <w:rPr>
          <w:szCs w:val="23"/>
        </w:rPr>
        <w:t xml:space="preserve">specific </w:t>
      </w:r>
      <w:r w:rsidR="005652F8">
        <w:rPr>
          <w:szCs w:val="23"/>
        </w:rPr>
        <w:t xml:space="preserve">outputs under the Project Agreement for </w:t>
      </w:r>
      <w:r w:rsidR="00DB2669">
        <w:rPr>
          <w:szCs w:val="23"/>
        </w:rPr>
        <w:t>Energising</w:t>
      </w:r>
      <w:r w:rsidR="003A1564">
        <w:rPr>
          <w:szCs w:val="23"/>
        </w:rPr>
        <w:t xml:space="preserve"> Tasmania</w:t>
      </w:r>
      <w:r w:rsidR="005652F8">
        <w:rPr>
          <w:szCs w:val="23"/>
        </w:rPr>
        <w:t>.</w:t>
      </w:r>
    </w:p>
    <w:p w14:paraId="006F9F64" w14:textId="7446A68A" w:rsidR="0036688B" w:rsidRPr="00041625" w:rsidRDefault="0036688B" w:rsidP="0036688B">
      <w:pPr>
        <w:pStyle w:val="Normalnumbered"/>
        <w:spacing w:after="240" w:line="260" w:lineRule="exact"/>
        <w:rPr>
          <w:szCs w:val="23"/>
        </w:rPr>
      </w:pPr>
      <w:r w:rsidRPr="00041625">
        <w:rPr>
          <w:szCs w:val="23"/>
        </w:rPr>
        <w:lastRenderedPageBreak/>
        <w:t xml:space="preserve">This </w:t>
      </w:r>
      <w:r w:rsidR="00E47C62" w:rsidRPr="00041625">
        <w:rPr>
          <w:szCs w:val="23"/>
        </w:rPr>
        <w:t>Implementation Plan</w:t>
      </w:r>
      <w:r w:rsidRPr="00041625">
        <w:rPr>
          <w:szCs w:val="23"/>
        </w:rPr>
        <w:t xml:space="preserve"> will cease on </w:t>
      </w:r>
      <w:r w:rsidR="00BF06F4">
        <w:rPr>
          <w:szCs w:val="23"/>
        </w:rPr>
        <w:t>agreement to an updated 202</w:t>
      </w:r>
      <w:r w:rsidR="003B3A50">
        <w:rPr>
          <w:szCs w:val="23"/>
        </w:rPr>
        <w:t>2-</w:t>
      </w:r>
      <w:r w:rsidR="0065207F">
        <w:rPr>
          <w:szCs w:val="23"/>
        </w:rPr>
        <w:t>2</w:t>
      </w:r>
      <w:r w:rsidR="003B3A50">
        <w:rPr>
          <w:szCs w:val="23"/>
        </w:rPr>
        <w:t>3</w:t>
      </w:r>
      <w:r w:rsidR="00BF06F4">
        <w:rPr>
          <w:szCs w:val="23"/>
        </w:rPr>
        <w:t xml:space="preserve"> Implementation Plan</w:t>
      </w:r>
      <w:r w:rsidR="0091615B" w:rsidRPr="00041625">
        <w:rPr>
          <w:szCs w:val="23"/>
        </w:rPr>
        <w:t>.</w:t>
      </w:r>
      <w:r w:rsidR="0091615B">
        <w:rPr>
          <w:szCs w:val="23"/>
        </w:rPr>
        <w:t xml:space="preserve"> </w:t>
      </w:r>
      <w:r w:rsidR="00367D4A">
        <w:rPr>
          <w:szCs w:val="23"/>
        </w:rPr>
        <w:t xml:space="preserve">This Implementation Plan may cease </w:t>
      </w:r>
      <w:r w:rsidR="0091615B">
        <w:rPr>
          <w:szCs w:val="23"/>
        </w:rPr>
        <w:t xml:space="preserve">earlier if, under clause 7 of the Project Agreement, the </w:t>
      </w:r>
      <w:r w:rsidR="008E28C4">
        <w:rPr>
          <w:szCs w:val="23"/>
        </w:rPr>
        <w:t>parties terminate the Agreement in writing</w:t>
      </w:r>
      <w:r w:rsidR="0091615B">
        <w:rPr>
          <w:szCs w:val="23"/>
        </w:rPr>
        <w:t xml:space="preserve">. </w:t>
      </w:r>
    </w:p>
    <w:p w14:paraId="55427C9E" w14:textId="77777777"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may be varied by written agreement between the </w:t>
      </w:r>
      <w:r w:rsidR="00D3241C" w:rsidRPr="00041625">
        <w:rPr>
          <w:szCs w:val="23"/>
        </w:rPr>
        <w:t xml:space="preserve">Commonwealth and </w:t>
      </w:r>
      <w:r w:rsidR="00196C96">
        <w:rPr>
          <w:szCs w:val="23"/>
        </w:rPr>
        <w:t>Tasmania</w:t>
      </w:r>
      <w:r w:rsidRPr="00041625">
        <w:rPr>
          <w:szCs w:val="23"/>
        </w:rPr>
        <w:t xml:space="preserve">. </w:t>
      </w:r>
    </w:p>
    <w:p w14:paraId="72B3A991" w14:textId="77777777" w:rsidR="0036688B" w:rsidRPr="00041625" w:rsidRDefault="0036688B" w:rsidP="0036688B">
      <w:pPr>
        <w:pStyle w:val="Normalnumbered"/>
        <w:spacing w:after="240" w:line="260" w:lineRule="exact"/>
        <w:rPr>
          <w:szCs w:val="23"/>
        </w:rPr>
      </w:pPr>
      <w:r w:rsidRPr="00041625">
        <w:rPr>
          <w:szCs w:val="23"/>
        </w:rPr>
        <w:t xml:space="preserve">The Parties to this </w:t>
      </w:r>
      <w:r w:rsidR="00E47C62" w:rsidRPr="00041625">
        <w:rPr>
          <w:szCs w:val="23"/>
        </w:rPr>
        <w:t>Implementation Plan</w:t>
      </w:r>
      <w:r w:rsidRPr="00041625">
        <w:rPr>
          <w:szCs w:val="23"/>
        </w:rPr>
        <w:t xml:space="preserve"> do not intend any of the provisions to be legally enforceable. However, that does not lessen the Parties’ commitment to </w:t>
      </w:r>
      <w:r w:rsidR="00CD5739" w:rsidRPr="00041625">
        <w:rPr>
          <w:szCs w:val="23"/>
        </w:rPr>
        <w:t xml:space="preserve">the plan and its full </w:t>
      </w:r>
      <w:r w:rsidRPr="00041625">
        <w:rPr>
          <w:szCs w:val="23"/>
        </w:rPr>
        <w:t>implementation.</w:t>
      </w:r>
    </w:p>
    <w:p w14:paraId="717D01C1" w14:textId="77777777" w:rsidR="0036688B" w:rsidRPr="00B704A8" w:rsidRDefault="0036688B" w:rsidP="00A17D70">
      <w:pPr>
        <w:pStyle w:val="Heading1"/>
      </w:pPr>
      <w:r w:rsidRPr="00B704A8">
        <w:t xml:space="preserve">Part </w:t>
      </w:r>
      <w:r w:rsidR="00C26A29" w:rsidRPr="00B704A8">
        <w:t>3</w:t>
      </w:r>
      <w:r w:rsidRPr="00B704A8">
        <w:t xml:space="preserve">: Strategy for </w:t>
      </w:r>
      <w:r w:rsidR="00710C52">
        <w:t>Tasmanian</w:t>
      </w:r>
      <w:r w:rsidRPr="00B704A8">
        <w:t xml:space="preserve"> implementation</w:t>
      </w:r>
    </w:p>
    <w:p w14:paraId="63B94079" w14:textId="77777777" w:rsidR="0036688B" w:rsidRPr="00A17D70" w:rsidRDefault="0036688B" w:rsidP="00A17D70">
      <w:pPr>
        <w:pStyle w:val="Heading2"/>
      </w:pPr>
      <w:r w:rsidRPr="00A17D70">
        <w:t xml:space="preserve">Project information </w:t>
      </w:r>
    </w:p>
    <w:p w14:paraId="54EB496F" w14:textId="00EC836A" w:rsidR="00F10146" w:rsidRDefault="00F10146" w:rsidP="00132D08">
      <w:pPr>
        <w:pStyle w:val="Normalnumbered"/>
        <w:spacing w:after="240" w:line="260" w:lineRule="exact"/>
        <w:sectPr w:rsidR="00F10146" w:rsidSect="00520331">
          <w:headerReference w:type="default" r:id="rId11"/>
          <w:footerReference w:type="default" r:id="rId12"/>
          <w:pgSz w:w="11906" w:h="16838" w:code="9"/>
          <w:pgMar w:top="851" w:right="1440" w:bottom="1021" w:left="1440" w:header="624" w:footer="624" w:gutter="0"/>
          <w:pgNumType w:start="1"/>
          <w:cols w:space="708"/>
          <w:docGrid w:linePitch="360"/>
        </w:sectPr>
      </w:pPr>
      <w:r w:rsidRPr="00756272">
        <w:t>The Project Agreement will support a Tasmanian workforce that is better equipped with the priority skills necessary to build Tasmania’s capability in the renewable energy and related sectors and to support the Battery of the Nation initiative.</w:t>
      </w:r>
      <w:r w:rsidR="00D77FFC">
        <w:t xml:space="preserve"> </w:t>
      </w:r>
      <w:r w:rsidR="00972CEA">
        <w:t>The planned 20</w:t>
      </w:r>
      <w:r w:rsidR="0065207F">
        <w:t>2</w:t>
      </w:r>
      <w:r w:rsidR="00FA5BEB">
        <w:t>1</w:t>
      </w:r>
      <w:r w:rsidR="00972CEA">
        <w:t>–2</w:t>
      </w:r>
      <w:r w:rsidR="00FA5BEB">
        <w:t>2</w:t>
      </w:r>
      <w:r w:rsidR="00781112">
        <w:t xml:space="preserve"> activities for each of the project</w:t>
      </w:r>
      <w:r w:rsidR="00972CEA">
        <w:t xml:space="preserve"> </w:t>
      </w:r>
      <w:r w:rsidR="00781112">
        <w:t xml:space="preserve">outputs is provided in the </w:t>
      </w:r>
      <w:r w:rsidR="00642C50">
        <w:t>T</w:t>
      </w:r>
      <w:r w:rsidR="00781112">
        <w:t>able</w:t>
      </w:r>
      <w:r w:rsidR="00642C50">
        <w:t xml:space="preserve"> 1</w:t>
      </w:r>
      <w:r w:rsidR="00781112">
        <w:t xml:space="preserve"> </w:t>
      </w:r>
      <w:r w:rsidRPr="00F10146">
        <w:t>b</w:t>
      </w:r>
      <w:r w:rsidRPr="00D77FFC">
        <w:t>elow.</w:t>
      </w:r>
    </w:p>
    <w:p w14:paraId="616CFB3E" w14:textId="07FA8E56" w:rsidR="00F10146" w:rsidRPr="00EE38CA" w:rsidRDefault="00642C50" w:rsidP="00F10146">
      <w:pPr>
        <w:pStyle w:val="Heading1"/>
      </w:pPr>
      <w:r>
        <w:lastRenderedPageBreak/>
        <w:t xml:space="preserve">TABLE 1: </w:t>
      </w:r>
      <w:r w:rsidR="00F10146">
        <w:t xml:space="preserve">Indicative project </w:t>
      </w:r>
      <w:r w:rsidR="00F10146" w:rsidRPr="00EE38CA">
        <w:t>ACTIVities and Milestones</w:t>
      </w:r>
      <w:r w:rsidR="00A66907">
        <w:t xml:space="preserve"> FOR ENERGISING TASMANIA REPORTING PERIOD (1 May 2021 to 30 April 2022)</w:t>
      </w:r>
      <w:r w:rsidR="00F10146" w:rsidRPr="00EE38CA">
        <w:t xml:space="preserve"> </w:t>
      </w:r>
    </w:p>
    <w:p w14:paraId="2CEF6426" w14:textId="77777777" w:rsidR="00F10146" w:rsidRPr="00EE38CA" w:rsidRDefault="00F10146" w:rsidP="00F10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4852"/>
        <w:gridCol w:w="3390"/>
        <w:gridCol w:w="3227"/>
        <w:gridCol w:w="6618"/>
      </w:tblGrid>
      <w:tr w:rsidR="0023642C" w:rsidRPr="00EE38CA" w14:paraId="23B32F21" w14:textId="77777777" w:rsidTr="00D97CAB">
        <w:trPr>
          <w:cantSplit/>
        </w:trPr>
        <w:tc>
          <w:tcPr>
            <w:tcW w:w="0" w:type="auto"/>
            <w:tcBorders>
              <w:top w:val="single" w:sz="4" w:space="0" w:color="auto"/>
              <w:left w:val="single" w:sz="4" w:space="0" w:color="auto"/>
              <w:bottom w:val="single" w:sz="4" w:space="0" w:color="auto"/>
              <w:right w:val="single" w:sz="4" w:space="0" w:color="auto"/>
            </w:tcBorders>
            <w:shd w:val="clear" w:color="auto" w:fill="E6E6E6"/>
          </w:tcPr>
          <w:p w14:paraId="76E1CB7C" w14:textId="77777777" w:rsidR="009B0830" w:rsidRPr="00EE38CA" w:rsidRDefault="009B0830" w:rsidP="00BB0FDD">
            <w:pPr>
              <w:rPr>
                <w:rFonts w:ascii="Times New Roman" w:hAnsi="Times New Roman"/>
                <w:b/>
              </w:rPr>
            </w:pPr>
            <w:r w:rsidRPr="00EE38CA">
              <w:rPr>
                <w:b/>
                <w:lang w:val="en-US" w:eastAsia="en-US"/>
              </w:rPr>
              <w:t>Outputs</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4F485167" w14:textId="77777777" w:rsidR="009B0830" w:rsidRPr="00EE38CA" w:rsidRDefault="009B0830" w:rsidP="00BB0FDD">
            <w:pPr>
              <w:rPr>
                <w:b/>
              </w:rPr>
            </w:pPr>
            <w:r w:rsidRPr="00EE38CA">
              <w:rPr>
                <w:b/>
              </w:rPr>
              <w:t>Activit</w:t>
            </w:r>
            <w:r>
              <w:rPr>
                <w:b/>
              </w:rPr>
              <w:t>y 1</w:t>
            </w:r>
          </w:p>
        </w:tc>
        <w:tc>
          <w:tcPr>
            <w:tcW w:w="3390" w:type="dxa"/>
            <w:tcBorders>
              <w:top w:val="single" w:sz="4" w:space="0" w:color="auto"/>
              <w:left w:val="single" w:sz="4" w:space="0" w:color="auto"/>
              <w:bottom w:val="single" w:sz="4" w:space="0" w:color="auto"/>
              <w:right w:val="single" w:sz="4" w:space="0" w:color="auto"/>
            </w:tcBorders>
            <w:shd w:val="clear" w:color="auto" w:fill="E6E6E6"/>
          </w:tcPr>
          <w:p w14:paraId="2467B1EA" w14:textId="77777777" w:rsidR="009B0830" w:rsidRPr="00EE38CA" w:rsidRDefault="009B0830" w:rsidP="00BB0FDD">
            <w:pPr>
              <w:rPr>
                <w:b/>
              </w:rPr>
            </w:pPr>
            <w:r>
              <w:rPr>
                <w:b/>
              </w:rPr>
              <w:t>Activity 2</w:t>
            </w:r>
          </w:p>
        </w:tc>
        <w:tc>
          <w:tcPr>
            <w:tcW w:w="3227" w:type="dxa"/>
            <w:tcBorders>
              <w:top w:val="single" w:sz="4" w:space="0" w:color="auto"/>
              <w:left w:val="single" w:sz="4" w:space="0" w:color="auto"/>
              <w:bottom w:val="single" w:sz="4" w:space="0" w:color="auto"/>
              <w:right w:val="single" w:sz="4" w:space="0" w:color="auto"/>
            </w:tcBorders>
            <w:shd w:val="clear" w:color="auto" w:fill="E6E6E6"/>
          </w:tcPr>
          <w:p w14:paraId="39211B26" w14:textId="77777777" w:rsidR="009B0830" w:rsidRPr="00EE38CA" w:rsidRDefault="009B0830" w:rsidP="00BB0FDD">
            <w:pPr>
              <w:rPr>
                <w:b/>
              </w:rPr>
            </w:pPr>
            <w:r>
              <w:rPr>
                <w:b/>
              </w:rPr>
              <w:t>Activity 3</w:t>
            </w:r>
          </w:p>
        </w:tc>
        <w:tc>
          <w:tcPr>
            <w:tcW w:w="0" w:type="auto"/>
            <w:tcBorders>
              <w:top w:val="single" w:sz="4" w:space="0" w:color="auto"/>
              <w:left w:val="single" w:sz="4" w:space="0" w:color="auto"/>
              <w:bottom w:val="single" w:sz="4" w:space="0" w:color="auto"/>
              <w:right w:val="single" w:sz="4" w:space="0" w:color="auto"/>
            </w:tcBorders>
            <w:shd w:val="clear" w:color="auto" w:fill="E6E6E6"/>
          </w:tcPr>
          <w:p w14:paraId="461B6309" w14:textId="77777777" w:rsidR="009B0830" w:rsidRPr="00EE38CA" w:rsidRDefault="009B0830" w:rsidP="00BB0FDD">
            <w:pPr>
              <w:rPr>
                <w:b/>
              </w:rPr>
            </w:pPr>
            <w:r>
              <w:rPr>
                <w:b/>
              </w:rPr>
              <w:t>Activity 4</w:t>
            </w:r>
          </w:p>
        </w:tc>
      </w:tr>
      <w:tr w:rsidR="0023642C" w14:paraId="7BECDBDB" w14:textId="77777777" w:rsidTr="00D97CAB">
        <w:trPr>
          <w:cantSplit/>
        </w:trPr>
        <w:tc>
          <w:tcPr>
            <w:tcW w:w="0" w:type="auto"/>
            <w:tcBorders>
              <w:top w:val="single" w:sz="4" w:space="0" w:color="auto"/>
              <w:left w:val="single" w:sz="4" w:space="0" w:color="auto"/>
              <w:bottom w:val="single" w:sz="4" w:space="0" w:color="auto"/>
              <w:right w:val="single" w:sz="4" w:space="0" w:color="auto"/>
            </w:tcBorders>
          </w:tcPr>
          <w:p w14:paraId="34E006A3" w14:textId="77777777" w:rsidR="00A66907" w:rsidRDefault="00A66907" w:rsidP="00A66907">
            <w:pPr>
              <w:rPr>
                <w:b/>
              </w:rPr>
            </w:pPr>
            <w:r w:rsidRPr="00EE38CA">
              <w:rPr>
                <w:b/>
              </w:rPr>
              <w:t>Training grants fund</w:t>
            </w:r>
          </w:p>
          <w:p w14:paraId="2C23DD2E" w14:textId="1EBC585D" w:rsidR="00A66907" w:rsidRPr="00EE38CA" w:rsidRDefault="00A66907" w:rsidP="00A66907">
            <w:pPr>
              <w:rPr>
                <w:b/>
              </w:rPr>
            </w:pPr>
            <w:r>
              <w:t>(Energising Tasmania Training Fund (the Fund))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4EC82" w14:textId="31342864" w:rsidR="0023642C" w:rsidRDefault="00A66907" w:rsidP="00A66907">
            <w:pPr>
              <w:pStyle w:val="Default"/>
              <w:rPr>
                <w:sz w:val="23"/>
                <w:szCs w:val="23"/>
              </w:rPr>
            </w:pPr>
            <w:r w:rsidRPr="00A66907">
              <w:rPr>
                <w:sz w:val="23"/>
                <w:szCs w:val="23"/>
              </w:rPr>
              <w:t xml:space="preserve">July 2021 </w:t>
            </w:r>
          </w:p>
          <w:p w14:paraId="36C2B7E5" w14:textId="77777777" w:rsidR="00D97CAB" w:rsidRDefault="00D97CAB" w:rsidP="00A66907">
            <w:pPr>
              <w:pStyle w:val="Default"/>
              <w:rPr>
                <w:sz w:val="23"/>
                <w:szCs w:val="23"/>
              </w:rPr>
            </w:pPr>
          </w:p>
          <w:p w14:paraId="27EE8EBE" w14:textId="1E175494" w:rsidR="00A66907" w:rsidRDefault="00A66907" w:rsidP="00A66907">
            <w:pPr>
              <w:pStyle w:val="Default"/>
              <w:rPr>
                <w:sz w:val="23"/>
                <w:szCs w:val="23"/>
              </w:rPr>
            </w:pPr>
            <w:r w:rsidRPr="00A66907">
              <w:rPr>
                <w:sz w:val="23"/>
                <w:szCs w:val="23"/>
              </w:rPr>
              <w:t>Extend</w:t>
            </w:r>
            <w:r w:rsidR="00BB35A8">
              <w:rPr>
                <w:sz w:val="23"/>
                <w:szCs w:val="23"/>
              </w:rPr>
              <w:t xml:space="preserve"> </w:t>
            </w:r>
            <w:r w:rsidRPr="00A66907">
              <w:rPr>
                <w:sz w:val="23"/>
                <w:szCs w:val="23"/>
              </w:rPr>
              <w:t>and revise</w:t>
            </w:r>
            <w:r w:rsidR="0023642C">
              <w:rPr>
                <w:sz w:val="23"/>
                <w:szCs w:val="23"/>
              </w:rPr>
              <w:t xml:space="preserve"> </w:t>
            </w:r>
            <w:r w:rsidRPr="00A66907">
              <w:rPr>
                <w:sz w:val="23"/>
                <w:szCs w:val="23"/>
              </w:rPr>
              <w:t xml:space="preserve">funding guidelines for </w:t>
            </w:r>
            <w:r w:rsidR="0023642C">
              <w:rPr>
                <w:sz w:val="23"/>
                <w:szCs w:val="23"/>
              </w:rPr>
              <w:t xml:space="preserve">Round 1 of the </w:t>
            </w:r>
            <w:r w:rsidRPr="00A66907">
              <w:rPr>
                <w:sz w:val="23"/>
                <w:szCs w:val="23"/>
              </w:rPr>
              <w:t>Fund</w:t>
            </w:r>
            <w:r w:rsidR="00A91800">
              <w:rPr>
                <w:sz w:val="23"/>
                <w:szCs w:val="23"/>
              </w:rPr>
              <w:t>,</w:t>
            </w:r>
            <w:r w:rsidRPr="00A66907">
              <w:rPr>
                <w:sz w:val="23"/>
                <w:szCs w:val="23"/>
              </w:rPr>
              <w:t xml:space="preserve"> </w:t>
            </w:r>
            <w:r w:rsidR="0023642C">
              <w:rPr>
                <w:sz w:val="23"/>
                <w:szCs w:val="23"/>
              </w:rPr>
              <w:t xml:space="preserve">including </w:t>
            </w:r>
            <w:r w:rsidRPr="00A66907">
              <w:rPr>
                <w:sz w:val="23"/>
                <w:szCs w:val="23"/>
              </w:rPr>
              <w:t>expan</w:t>
            </w:r>
            <w:r w:rsidR="00A91800">
              <w:rPr>
                <w:sz w:val="23"/>
                <w:szCs w:val="23"/>
              </w:rPr>
              <w:t>sion of</w:t>
            </w:r>
            <w:r w:rsidR="0088409B">
              <w:rPr>
                <w:sz w:val="23"/>
                <w:szCs w:val="23"/>
              </w:rPr>
              <w:t xml:space="preserve"> the</w:t>
            </w:r>
            <w:r w:rsidRPr="00A66907">
              <w:rPr>
                <w:sz w:val="23"/>
                <w:szCs w:val="23"/>
              </w:rPr>
              <w:t xml:space="preserve"> eligible</w:t>
            </w:r>
            <w:r w:rsidR="0023642C">
              <w:rPr>
                <w:sz w:val="23"/>
                <w:szCs w:val="23"/>
              </w:rPr>
              <w:t xml:space="preserve"> </w:t>
            </w:r>
            <w:r w:rsidRPr="00A66907">
              <w:rPr>
                <w:sz w:val="23"/>
                <w:szCs w:val="23"/>
              </w:rPr>
              <w:t>qualification list</w:t>
            </w:r>
            <w:r w:rsidR="0023642C">
              <w:rPr>
                <w:sz w:val="23"/>
                <w:szCs w:val="23"/>
              </w:rPr>
              <w:t>.</w:t>
            </w:r>
          </w:p>
          <w:p w14:paraId="57E36A6F" w14:textId="77777777" w:rsidR="0023642C" w:rsidRPr="00A66907" w:rsidRDefault="0023642C" w:rsidP="00A66907">
            <w:pPr>
              <w:pStyle w:val="Default"/>
              <w:rPr>
                <w:sz w:val="23"/>
                <w:szCs w:val="23"/>
              </w:rPr>
            </w:pPr>
          </w:p>
          <w:p w14:paraId="639FEBBB" w14:textId="294A1507" w:rsidR="00A66907" w:rsidRPr="00A66907" w:rsidRDefault="0023642C" w:rsidP="00BB35A8">
            <w:r>
              <w:rPr>
                <w:rFonts w:cs="Corbel"/>
                <w:szCs w:val="23"/>
              </w:rPr>
              <w:t>Promote the Fund and c</w:t>
            </w:r>
            <w:r w:rsidR="00A66907" w:rsidRPr="00BB35A8">
              <w:rPr>
                <w:rFonts w:cs="Corbel"/>
                <w:szCs w:val="23"/>
              </w:rPr>
              <w:t xml:space="preserve">ommunicate changes to </w:t>
            </w:r>
            <w:r>
              <w:rPr>
                <w:rFonts w:cs="Corbel"/>
                <w:szCs w:val="23"/>
              </w:rPr>
              <w:t xml:space="preserve">the public, </w:t>
            </w:r>
            <w:r w:rsidR="00A66907" w:rsidRPr="00BB35A8">
              <w:rPr>
                <w:rFonts w:cs="Corbel"/>
                <w:szCs w:val="23"/>
              </w:rPr>
              <w:t>RTOs and employers</w:t>
            </w:r>
            <w:r w:rsidR="00813455" w:rsidRPr="005C6F85">
              <w:rPr>
                <w:rFonts w:cs="Corbel"/>
                <w:szCs w:val="23"/>
              </w:rPr>
              <w:t>.</w:t>
            </w: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0B4BB097" w14:textId="0F0E04B7" w:rsidR="0023642C" w:rsidRDefault="00A66907" w:rsidP="00723D52">
            <w:pPr>
              <w:pStyle w:val="Default"/>
              <w:rPr>
                <w:sz w:val="23"/>
                <w:szCs w:val="23"/>
              </w:rPr>
            </w:pPr>
            <w:r w:rsidRPr="00A66907">
              <w:rPr>
                <w:sz w:val="23"/>
                <w:szCs w:val="23"/>
              </w:rPr>
              <w:t xml:space="preserve">June-September 2021 </w:t>
            </w:r>
          </w:p>
          <w:p w14:paraId="26CB8DDC" w14:textId="77777777" w:rsidR="00D97CAB" w:rsidRDefault="00D97CAB" w:rsidP="00723D52">
            <w:pPr>
              <w:pStyle w:val="Default"/>
              <w:rPr>
                <w:sz w:val="23"/>
                <w:szCs w:val="23"/>
              </w:rPr>
            </w:pPr>
          </w:p>
          <w:p w14:paraId="23C0EDFF" w14:textId="001483BE" w:rsidR="0023642C" w:rsidRDefault="00A66907" w:rsidP="00723D52">
            <w:pPr>
              <w:pStyle w:val="Default"/>
              <w:rPr>
                <w:sz w:val="23"/>
                <w:szCs w:val="23"/>
              </w:rPr>
            </w:pPr>
            <w:r w:rsidRPr="00A66907">
              <w:rPr>
                <w:sz w:val="23"/>
                <w:szCs w:val="23"/>
              </w:rPr>
              <w:t>Develop revised funding guidelines for 2021-22</w:t>
            </w:r>
            <w:r w:rsidR="0023642C">
              <w:rPr>
                <w:sz w:val="23"/>
                <w:szCs w:val="23"/>
              </w:rPr>
              <w:t xml:space="preserve"> Round 2</w:t>
            </w:r>
            <w:r w:rsidRPr="00A66907">
              <w:rPr>
                <w:sz w:val="23"/>
                <w:szCs w:val="23"/>
              </w:rPr>
              <w:t xml:space="preserve"> Training Fund Program including skillsets by applications and a new class of eligible learner (those transitioning into the energy and infrastructure sector).</w:t>
            </w:r>
          </w:p>
          <w:p w14:paraId="635717D2" w14:textId="4082588C" w:rsidR="0023642C" w:rsidRPr="00A66907" w:rsidRDefault="0023642C" w:rsidP="00723D52">
            <w:pPr>
              <w:pStyle w:val="Default"/>
              <w:rPr>
                <w:sz w:val="23"/>
                <w:szCs w:val="23"/>
              </w:rPr>
            </w:pPr>
            <w:r>
              <w:rPr>
                <w:sz w:val="23"/>
                <w:szCs w:val="23"/>
              </w:rPr>
              <w:t xml:space="preserve">Communication activities of the Fund including: </w:t>
            </w:r>
          </w:p>
          <w:p w14:paraId="49FF0017" w14:textId="2F63F52C" w:rsidR="00554A74" w:rsidRPr="00554A74" w:rsidRDefault="0023642C" w:rsidP="00723D52">
            <w:pPr>
              <w:pStyle w:val="ListParagraph"/>
              <w:numPr>
                <w:ilvl w:val="0"/>
                <w:numId w:val="41"/>
              </w:numPr>
            </w:pPr>
            <w:r>
              <w:rPr>
                <w:rFonts w:cs="Corbel"/>
                <w:szCs w:val="23"/>
              </w:rPr>
              <w:t>Increasing strategic c</w:t>
            </w:r>
            <w:r w:rsidR="00A66907" w:rsidRPr="00723D52">
              <w:rPr>
                <w:rFonts w:cs="Corbel"/>
                <w:szCs w:val="23"/>
              </w:rPr>
              <w:t>ommunicat</w:t>
            </w:r>
            <w:r>
              <w:rPr>
                <w:rFonts w:cs="Corbel"/>
                <w:szCs w:val="23"/>
              </w:rPr>
              <w:t>ion</w:t>
            </w:r>
            <w:r w:rsidR="00A66907" w:rsidRPr="00723D52">
              <w:rPr>
                <w:rFonts w:cs="Corbel"/>
                <w:szCs w:val="23"/>
              </w:rPr>
              <w:t xml:space="preserve"> to</w:t>
            </w:r>
            <w:r>
              <w:rPr>
                <w:rFonts w:cs="Corbel"/>
                <w:szCs w:val="23"/>
              </w:rPr>
              <w:t xml:space="preserve"> the public,</w:t>
            </w:r>
            <w:r w:rsidR="00A66907" w:rsidRPr="00723D52">
              <w:rPr>
                <w:rFonts w:cs="Corbel"/>
                <w:szCs w:val="23"/>
              </w:rPr>
              <w:t xml:space="preserve"> RTOs and employers</w:t>
            </w:r>
            <w:r w:rsidR="00813455" w:rsidRPr="00723D52">
              <w:rPr>
                <w:rFonts w:cs="Corbel"/>
                <w:szCs w:val="23"/>
              </w:rPr>
              <w:t xml:space="preserve"> </w:t>
            </w:r>
          </w:p>
          <w:p w14:paraId="3C04D8B2" w14:textId="5746FFD3" w:rsidR="00554A74" w:rsidRPr="00554A74" w:rsidRDefault="00723D52" w:rsidP="00723D52">
            <w:pPr>
              <w:pStyle w:val="ListParagraph"/>
              <w:numPr>
                <w:ilvl w:val="0"/>
                <w:numId w:val="41"/>
              </w:numPr>
            </w:pPr>
            <w:r>
              <w:rPr>
                <w:rFonts w:cs="Corbel"/>
                <w:szCs w:val="23"/>
              </w:rPr>
              <w:t>I</w:t>
            </w:r>
            <w:r w:rsidR="00554A74" w:rsidRPr="00723D52">
              <w:rPr>
                <w:rFonts w:cs="Corbel"/>
                <w:szCs w:val="23"/>
              </w:rPr>
              <w:t xml:space="preserve">ncrease </w:t>
            </w:r>
            <w:r w:rsidR="00813455" w:rsidRPr="00723D52">
              <w:rPr>
                <w:rFonts w:cs="Corbel"/>
                <w:szCs w:val="23"/>
              </w:rPr>
              <w:t>promot</w:t>
            </w:r>
            <w:r w:rsidR="00554A74" w:rsidRPr="00723D52">
              <w:rPr>
                <w:rFonts w:cs="Corbel"/>
                <w:szCs w:val="23"/>
              </w:rPr>
              <w:t>ion</w:t>
            </w:r>
            <w:r w:rsidR="00554A74" w:rsidRPr="005969D8">
              <w:rPr>
                <w:rFonts w:cs="Corbel"/>
                <w:szCs w:val="23"/>
              </w:rPr>
              <w:t xml:space="preserve"> of</w:t>
            </w:r>
            <w:r w:rsidR="00813455" w:rsidRPr="005969D8">
              <w:rPr>
                <w:rFonts w:cs="Corbel"/>
                <w:szCs w:val="23"/>
              </w:rPr>
              <w:t xml:space="preserve"> the </w:t>
            </w:r>
            <w:r w:rsidR="0023642C">
              <w:rPr>
                <w:rFonts w:cs="Corbel"/>
                <w:szCs w:val="23"/>
              </w:rPr>
              <w:t>F</w:t>
            </w:r>
            <w:r w:rsidR="00813455" w:rsidRPr="005969D8">
              <w:rPr>
                <w:rFonts w:cs="Corbel"/>
                <w:szCs w:val="23"/>
              </w:rPr>
              <w:t>und</w:t>
            </w:r>
          </w:p>
          <w:p w14:paraId="2AF4E388" w14:textId="59D126F4" w:rsidR="00A66907" w:rsidRPr="00A66907" w:rsidDel="00686C29" w:rsidRDefault="00554A74" w:rsidP="00554A74">
            <w:pPr>
              <w:pStyle w:val="ListParagraph"/>
              <w:numPr>
                <w:ilvl w:val="0"/>
                <w:numId w:val="40"/>
              </w:numPr>
            </w:pPr>
            <w:r>
              <w:rPr>
                <w:rFonts w:cs="Corbel"/>
                <w:szCs w:val="23"/>
              </w:rPr>
              <w:t xml:space="preserve">Refine </w:t>
            </w:r>
            <w:r w:rsidR="0023642C">
              <w:rPr>
                <w:rFonts w:cs="Corbel"/>
                <w:szCs w:val="23"/>
              </w:rPr>
              <w:t xml:space="preserve">and endorse the </w:t>
            </w:r>
            <w:r>
              <w:rPr>
                <w:rFonts w:cs="Corbel"/>
                <w:szCs w:val="23"/>
              </w:rPr>
              <w:t>Communication Strategy</w:t>
            </w:r>
          </w:p>
        </w:tc>
        <w:tc>
          <w:tcPr>
            <w:tcW w:w="3227" w:type="dxa"/>
            <w:tcBorders>
              <w:top w:val="single" w:sz="4" w:space="0" w:color="auto"/>
              <w:left w:val="single" w:sz="4" w:space="0" w:color="auto"/>
              <w:bottom w:val="single" w:sz="4" w:space="0" w:color="auto"/>
              <w:right w:val="single" w:sz="4" w:space="0" w:color="auto"/>
            </w:tcBorders>
          </w:tcPr>
          <w:p w14:paraId="12E14D5E" w14:textId="23801E94" w:rsidR="0023642C" w:rsidRDefault="00D97CAB" w:rsidP="00A66907">
            <w:pPr>
              <w:ind w:left="51"/>
              <w:rPr>
                <w:rFonts w:cs="Corbel"/>
                <w:szCs w:val="23"/>
              </w:rPr>
            </w:pPr>
            <w:r>
              <w:rPr>
                <w:rFonts w:cs="Corbel"/>
                <w:szCs w:val="23"/>
              </w:rPr>
              <w:t>September 2021-</w:t>
            </w:r>
            <w:r w:rsidR="00A66907">
              <w:rPr>
                <w:rFonts w:cs="Corbel"/>
                <w:szCs w:val="23"/>
              </w:rPr>
              <w:t xml:space="preserve">March 2022  </w:t>
            </w:r>
          </w:p>
          <w:p w14:paraId="7A965DB9" w14:textId="77777777" w:rsidR="00D97CAB" w:rsidRDefault="00D97CAB" w:rsidP="00A66907">
            <w:pPr>
              <w:ind w:left="51"/>
              <w:rPr>
                <w:rFonts w:cs="Corbel"/>
                <w:szCs w:val="23"/>
              </w:rPr>
            </w:pPr>
          </w:p>
          <w:p w14:paraId="1986E44E" w14:textId="62D4037A" w:rsidR="0023642C" w:rsidRDefault="0023642C" w:rsidP="00A66907">
            <w:pPr>
              <w:ind w:left="51"/>
              <w:rPr>
                <w:rFonts w:cs="Corbel"/>
                <w:szCs w:val="23"/>
              </w:rPr>
            </w:pPr>
            <w:r>
              <w:rPr>
                <w:rFonts w:cs="Corbel"/>
                <w:szCs w:val="23"/>
              </w:rPr>
              <w:t>Continue to promote the Fund</w:t>
            </w:r>
          </w:p>
          <w:p w14:paraId="1ABF4B62" w14:textId="77777777" w:rsidR="0023642C" w:rsidRDefault="0023642C" w:rsidP="00A66907">
            <w:pPr>
              <w:ind w:left="51"/>
              <w:rPr>
                <w:rFonts w:cs="Corbel"/>
                <w:szCs w:val="23"/>
              </w:rPr>
            </w:pPr>
          </w:p>
          <w:p w14:paraId="0FC99939" w14:textId="47D04EA9" w:rsidR="00A66907" w:rsidRPr="00A2572E" w:rsidDel="00686C29" w:rsidRDefault="0023642C" w:rsidP="00A66907">
            <w:pPr>
              <w:ind w:left="51"/>
            </w:pPr>
            <w:r>
              <w:rPr>
                <w:rFonts w:cs="Corbel"/>
                <w:szCs w:val="23"/>
              </w:rPr>
              <w:t>D</w:t>
            </w:r>
            <w:r w:rsidR="00A66907">
              <w:rPr>
                <w:rFonts w:cs="Corbel"/>
                <w:szCs w:val="23"/>
              </w:rPr>
              <w:t xml:space="preserve">eliver up to an additional 700 fully subsidised training places  </w:t>
            </w:r>
          </w:p>
        </w:tc>
        <w:tc>
          <w:tcPr>
            <w:tcW w:w="0" w:type="auto"/>
            <w:tcBorders>
              <w:top w:val="single" w:sz="4" w:space="0" w:color="auto"/>
              <w:left w:val="single" w:sz="4" w:space="0" w:color="auto"/>
              <w:bottom w:val="single" w:sz="4" w:space="0" w:color="auto"/>
              <w:right w:val="single" w:sz="4" w:space="0" w:color="auto"/>
            </w:tcBorders>
          </w:tcPr>
          <w:p w14:paraId="1F185AC5" w14:textId="7DD3D0F3" w:rsidR="0023642C" w:rsidRDefault="00A66907" w:rsidP="00A66907">
            <w:pPr>
              <w:rPr>
                <w:rFonts w:cs="Corbel"/>
                <w:szCs w:val="23"/>
              </w:rPr>
            </w:pPr>
            <w:r>
              <w:rPr>
                <w:rFonts w:cs="Corbel"/>
                <w:szCs w:val="23"/>
              </w:rPr>
              <w:t xml:space="preserve">April 2022 </w:t>
            </w:r>
          </w:p>
          <w:p w14:paraId="41593791" w14:textId="77777777" w:rsidR="00D97CAB" w:rsidRDefault="00D97CAB" w:rsidP="00A66907">
            <w:pPr>
              <w:rPr>
                <w:rFonts w:cs="Corbel"/>
                <w:szCs w:val="23"/>
              </w:rPr>
            </w:pPr>
          </w:p>
          <w:p w14:paraId="4407D7C1" w14:textId="67159099" w:rsidR="00A66907" w:rsidRPr="00C25DE9" w:rsidDel="00686C29" w:rsidRDefault="00A66907" w:rsidP="00A66907">
            <w:r>
              <w:rPr>
                <w:rFonts w:cs="Corbel"/>
                <w:szCs w:val="23"/>
              </w:rPr>
              <w:t xml:space="preserve">Review training grants fund in consultation with the Committee to inform the 2022-23 Implementation Plan. </w:t>
            </w:r>
          </w:p>
        </w:tc>
      </w:tr>
      <w:tr w:rsidR="0023642C" w14:paraId="4C6C8476" w14:textId="77777777" w:rsidTr="00D97CAB">
        <w:trPr>
          <w:cantSplit/>
        </w:trPr>
        <w:tc>
          <w:tcPr>
            <w:tcW w:w="0" w:type="auto"/>
            <w:tcBorders>
              <w:top w:val="single" w:sz="4" w:space="0" w:color="auto"/>
              <w:left w:val="single" w:sz="4" w:space="0" w:color="auto"/>
              <w:bottom w:val="single" w:sz="4" w:space="0" w:color="auto"/>
              <w:right w:val="single" w:sz="4" w:space="0" w:color="auto"/>
            </w:tcBorders>
          </w:tcPr>
          <w:p w14:paraId="48BB4B1B" w14:textId="77777777" w:rsidR="00A66907" w:rsidRDefault="00A66907" w:rsidP="00A66907">
            <w:pPr>
              <w:rPr>
                <w:b/>
              </w:rPr>
            </w:pPr>
            <w:r w:rsidRPr="00CE01E1">
              <w:rPr>
                <w:b/>
              </w:rPr>
              <w:t xml:space="preserve">Training </w:t>
            </w:r>
            <w:r>
              <w:rPr>
                <w:b/>
              </w:rPr>
              <w:t>m</w:t>
            </w:r>
            <w:r w:rsidRPr="00CE01E1">
              <w:rPr>
                <w:b/>
              </w:rPr>
              <w:t xml:space="preserve">arket </w:t>
            </w:r>
            <w:r>
              <w:rPr>
                <w:b/>
              </w:rPr>
              <w:t>d</w:t>
            </w:r>
            <w:r w:rsidRPr="00CE01E1">
              <w:rPr>
                <w:b/>
              </w:rPr>
              <w:t xml:space="preserve">evelopment </w:t>
            </w:r>
            <w:r>
              <w:rPr>
                <w:b/>
              </w:rPr>
              <w:t>f</w:t>
            </w:r>
            <w:r w:rsidRPr="00CE01E1">
              <w:rPr>
                <w:b/>
              </w:rPr>
              <w:t>und</w:t>
            </w:r>
          </w:p>
          <w:p w14:paraId="543D3009" w14:textId="7B638B31" w:rsidR="00A66907" w:rsidRPr="00CE01E1" w:rsidRDefault="00A66907" w:rsidP="00A66907">
            <w:pPr>
              <w:rPr>
                <w:b/>
              </w:rPr>
            </w:pPr>
            <w:r>
              <w:rPr>
                <w:b/>
              </w:rPr>
              <w:t>(TMD Fund)</w:t>
            </w:r>
          </w:p>
        </w:tc>
        <w:tc>
          <w:tcPr>
            <w:tcW w:w="0" w:type="auto"/>
            <w:tcBorders>
              <w:top w:val="single" w:sz="4" w:space="0" w:color="auto"/>
              <w:left w:val="single" w:sz="4" w:space="0" w:color="auto"/>
              <w:bottom w:val="single" w:sz="4" w:space="0" w:color="auto"/>
              <w:right w:val="single" w:sz="4" w:space="0" w:color="auto"/>
            </w:tcBorders>
          </w:tcPr>
          <w:p w14:paraId="04E78CEC" w14:textId="2ADE72C3" w:rsidR="0023642C" w:rsidRDefault="00A66907" w:rsidP="00A66907">
            <w:pPr>
              <w:pStyle w:val="Default"/>
              <w:rPr>
                <w:sz w:val="23"/>
                <w:szCs w:val="23"/>
              </w:rPr>
            </w:pPr>
            <w:r w:rsidRPr="00A66907">
              <w:rPr>
                <w:sz w:val="23"/>
                <w:szCs w:val="23"/>
              </w:rPr>
              <w:t xml:space="preserve">May 2021 </w:t>
            </w:r>
          </w:p>
          <w:p w14:paraId="34D0C7EF" w14:textId="77777777" w:rsidR="00107D76" w:rsidRDefault="00107D76" w:rsidP="00A66907">
            <w:pPr>
              <w:pStyle w:val="Default"/>
              <w:rPr>
                <w:sz w:val="23"/>
                <w:szCs w:val="23"/>
              </w:rPr>
            </w:pPr>
          </w:p>
          <w:p w14:paraId="2597C746" w14:textId="6BDA67E6" w:rsidR="00A66907" w:rsidRPr="00A66907" w:rsidRDefault="00A66907" w:rsidP="00A66907">
            <w:pPr>
              <w:pStyle w:val="Default"/>
              <w:rPr>
                <w:sz w:val="23"/>
                <w:szCs w:val="23"/>
              </w:rPr>
            </w:pPr>
            <w:r w:rsidRPr="00A66907">
              <w:rPr>
                <w:sz w:val="23"/>
                <w:szCs w:val="23"/>
              </w:rPr>
              <w:t xml:space="preserve">Finalise grant deeds for 2020-21 TMD Grants program </w:t>
            </w:r>
          </w:p>
          <w:p w14:paraId="4A68B252" w14:textId="12C18854" w:rsidR="00A66907" w:rsidRPr="00A66907" w:rsidRDefault="00A66907" w:rsidP="00A66907"/>
        </w:tc>
        <w:tc>
          <w:tcPr>
            <w:tcW w:w="3390" w:type="dxa"/>
            <w:tcBorders>
              <w:top w:val="single" w:sz="4" w:space="0" w:color="auto"/>
              <w:left w:val="single" w:sz="4" w:space="0" w:color="auto"/>
              <w:bottom w:val="single" w:sz="4" w:space="0" w:color="auto"/>
              <w:right w:val="single" w:sz="4" w:space="0" w:color="auto"/>
            </w:tcBorders>
          </w:tcPr>
          <w:p w14:paraId="5C8AD5B0" w14:textId="29124F34" w:rsidR="0023642C" w:rsidRDefault="00A66907" w:rsidP="00A66907">
            <w:pPr>
              <w:rPr>
                <w:rFonts w:cs="Corbel"/>
                <w:szCs w:val="23"/>
              </w:rPr>
            </w:pPr>
            <w:r>
              <w:rPr>
                <w:rFonts w:cs="Corbel"/>
                <w:szCs w:val="23"/>
              </w:rPr>
              <w:t>August</w:t>
            </w:r>
            <w:r w:rsidRPr="00A66907">
              <w:rPr>
                <w:rFonts w:cs="Corbel"/>
                <w:szCs w:val="23"/>
              </w:rPr>
              <w:t xml:space="preserve"> 2021 </w:t>
            </w:r>
          </w:p>
          <w:p w14:paraId="47889C35" w14:textId="77777777" w:rsidR="00107D76" w:rsidRDefault="00107D76" w:rsidP="00A66907">
            <w:pPr>
              <w:rPr>
                <w:rFonts w:cs="Corbel"/>
                <w:szCs w:val="23"/>
              </w:rPr>
            </w:pPr>
          </w:p>
          <w:p w14:paraId="2D8DC098" w14:textId="4892EC86" w:rsidR="00A66907" w:rsidRPr="00A66907" w:rsidRDefault="00A66907" w:rsidP="00A66907">
            <w:r w:rsidRPr="00A66907">
              <w:rPr>
                <w:rFonts w:cs="Corbel"/>
                <w:szCs w:val="23"/>
              </w:rPr>
              <w:t xml:space="preserve">Release revised funding guidelines for 2021-22 Training Market Development Fund Program. This will include the expanded qualification list to match the Training Grants Fund </w:t>
            </w:r>
          </w:p>
        </w:tc>
        <w:tc>
          <w:tcPr>
            <w:tcW w:w="3227" w:type="dxa"/>
            <w:tcBorders>
              <w:top w:val="single" w:sz="4" w:space="0" w:color="auto"/>
              <w:left w:val="single" w:sz="4" w:space="0" w:color="auto"/>
              <w:bottom w:val="single" w:sz="4" w:space="0" w:color="auto"/>
              <w:right w:val="single" w:sz="4" w:space="0" w:color="auto"/>
            </w:tcBorders>
          </w:tcPr>
          <w:p w14:paraId="562D806F" w14:textId="345AADA3" w:rsidR="0023642C" w:rsidRDefault="00A66907" w:rsidP="00A66907">
            <w:pPr>
              <w:pStyle w:val="Default"/>
              <w:rPr>
                <w:sz w:val="23"/>
                <w:szCs w:val="23"/>
              </w:rPr>
            </w:pPr>
            <w:r w:rsidRPr="00A66907">
              <w:rPr>
                <w:sz w:val="23"/>
                <w:szCs w:val="23"/>
              </w:rPr>
              <w:t xml:space="preserve">March 2022 </w:t>
            </w:r>
          </w:p>
          <w:p w14:paraId="71B89F2E" w14:textId="77777777" w:rsidR="00107D76" w:rsidRDefault="00107D76" w:rsidP="00A66907">
            <w:pPr>
              <w:pStyle w:val="Default"/>
              <w:rPr>
                <w:sz w:val="23"/>
                <w:szCs w:val="23"/>
              </w:rPr>
            </w:pPr>
          </w:p>
          <w:p w14:paraId="5B987E95" w14:textId="1D667214" w:rsidR="00A66907" w:rsidRPr="00A66907" w:rsidRDefault="0023642C" w:rsidP="00A66907">
            <w:pPr>
              <w:pStyle w:val="Default"/>
              <w:rPr>
                <w:sz w:val="23"/>
                <w:szCs w:val="23"/>
              </w:rPr>
            </w:pPr>
            <w:r>
              <w:rPr>
                <w:sz w:val="23"/>
                <w:szCs w:val="23"/>
              </w:rPr>
              <w:t>M</w:t>
            </w:r>
            <w:r w:rsidR="00A66907" w:rsidRPr="00A66907">
              <w:rPr>
                <w:sz w:val="23"/>
                <w:szCs w:val="23"/>
              </w:rPr>
              <w:t>onitor delivery of 2020-21 TMD Grants program and</w:t>
            </w:r>
          </w:p>
          <w:p w14:paraId="322241AA" w14:textId="043CF5EC" w:rsidR="00A66907" w:rsidRPr="00A66907" w:rsidRDefault="00A66907" w:rsidP="00A66907">
            <w:r w:rsidRPr="00A66907">
              <w:rPr>
                <w:rFonts w:cs="Corbel"/>
                <w:szCs w:val="23"/>
              </w:rPr>
              <w:t>make available up to an additional 7 priority qualifications, skillsets or training programs under the 2021-22 Training Market Development Program</w:t>
            </w:r>
          </w:p>
        </w:tc>
        <w:tc>
          <w:tcPr>
            <w:tcW w:w="0" w:type="auto"/>
            <w:tcBorders>
              <w:top w:val="single" w:sz="4" w:space="0" w:color="auto"/>
              <w:left w:val="single" w:sz="4" w:space="0" w:color="auto"/>
              <w:bottom w:val="single" w:sz="4" w:space="0" w:color="auto"/>
              <w:right w:val="single" w:sz="4" w:space="0" w:color="auto"/>
            </w:tcBorders>
          </w:tcPr>
          <w:p w14:paraId="17987B5A" w14:textId="1CD58FE0" w:rsidR="0023642C" w:rsidRDefault="00A66907" w:rsidP="00A66907">
            <w:pPr>
              <w:rPr>
                <w:rFonts w:cs="Corbel"/>
                <w:szCs w:val="23"/>
              </w:rPr>
            </w:pPr>
            <w:r w:rsidRPr="00A66907">
              <w:rPr>
                <w:rFonts w:cs="Corbel"/>
                <w:szCs w:val="23"/>
              </w:rPr>
              <w:t xml:space="preserve">April 2022 </w:t>
            </w:r>
          </w:p>
          <w:p w14:paraId="1CA258E1" w14:textId="77777777" w:rsidR="00107D76" w:rsidRDefault="00107D76" w:rsidP="00A66907">
            <w:pPr>
              <w:rPr>
                <w:rFonts w:cs="Corbel"/>
                <w:szCs w:val="23"/>
              </w:rPr>
            </w:pPr>
          </w:p>
          <w:p w14:paraId="673DE44E" w14:textId="52BFA178" w:rsidR="00A66907" w:rsidRPr="00A66907" w:rsidRDefault="00A66907" w:rsidP="00A66907">
            <w:r w:rsidRPr="00A66907">
              <w:rPr>
                <w:rFonts w:cs="Corbel"/>
                <w:szCs w:val="23"/>
              </w:rPr>
              <w:t>Review training market development fund in consultation with the Committee to inform the 2022-23 Implementation Plan.</w:t>
            </w:r>
          </w:p>
        </w:tc>
      </w:tr>
      <w:tr w:rsidR="0023642C" w14:paraId="26B959A5" w14:textId="77777777" w:rsidTr="00D97CAB">
        <w:trPr>
          <w:cantSplit/>
        </w:trPr>
        <w:tc>
          <w:tcPr>
            <w:tcW w:w="0" w:type="auto"/>
            <w:tcBorders>
              <w:top w:val="single" w:sz="4" w:space="0" w:color="auto"/>
              <w:left w:val="single" w:sz="4" w:space="0" w:color="auto"/>
              <w:bottom w:val="single" w:sz="4" w:space="0" w:color="auto"/>
              <w:right w:val="single" w:sz="4" w:space="0" w:color="auto"/>
            </w:tcBorders>
          </w:tcPr>
          <w:p w14:paraId="7A2293EE" w14:textId="7E332415" w:rsidR="00A66907" w:rsidRPr="00CE01E1" w:rsidRDefault="00A66907" w:rsidP="00A66907">
            <w:pPr>
              <w:rPr>
                <w:b/>
              </w:rPr>
            </w:pPr>
            <w:r w:rsidRPr="00CE01E1">
              <w:rPr>
                <w:b/>
              </w:rPr>
              <w:t xml:space="preserve">Workforce </w:t>
            </w:r>
            <w:r>
              <w:rPr>
                <w:b/>
              </w:rPr>
              <w:t>d</w:t>
            </w:r>
            <w:r w:rsidRPr="00CE01E1">
              <w:rPr>
                <w:b/>
              </w:rPr>
              <w:t xml:space="preserve">evelopment </w:t>
            </w:r>
            <w:r>
              <w:rPr>
                <w:b/>
              </w:rPr>
              <w:t>fund (WD Fund)</w:t>
            </w:r>
          </w:p>
        </w:tc>
        <w:tc>
          <w:tcPr>
            <w:tcW w:w="0" w:type="auto"/>
            <w:tcBorders>
              <w:top w:val="single" w:sz="4" w:space="0" w:color="auto"/>
              <w:left w:val="single" w:sz="4" w:space="0" w:color="auto"/>
              <w:bottom w:val="single" w:sz="4" w:space="0" w:color="auto"/>
              <w:right w:val="single" w:sz="4" w:space="0" w:color="auto"/>
            </w:tcBorders>
          </w:tcPr>
          <w:p w14:paraId="5F9BCB9F" w14:textId="20271D54" w:rsidR="00107D76" w:rsidRDefault="00A66907" w:rsidP="00A66907">
            <w:pPr>
              <w:pStyle w:val="Default"/>
              <w:rPr>
                <w:sz w:val="23"/>
                <w:szCs w:val="23"/>
              </w:rPr>
            </w:pPr>
            <w:r>
              <w:rPr>
                <w:sz w:val="23"/>
                <w:szCs w:val="23"/>
              </w:rPr>
              <w:t xml:space="preserve">May 2021 </w:t>
            </w:r>
          </w:p>
          <w:p w14:paraId="776C9E0D" w14:textId="77777777" w:rsidR="00107D76" w:rsidRDefault="00107D76" w:rsidP="00A66907">
            <w:pPr>
              <w:pStyle w:val="Default"/>
              <w:rPr>
                <w:sz w:val="23"/>
                <w:szCs w:val="23"/>
              </w:rPr>
            </w:pPr>
          </w:p>
          <w:p w14:paraId="300CDFC3" w14:textId="76DF8134" w:rsidR="00A66907" w:rsidRDefault="00A66907" w:rsidP="00A66907">
            <w:pPr>
              <w:pStyle w:val="Default"/>
              <w:rPr>
                <w:sz w:val="23"/>
                <w:szCs w:val="23"/>
              </w:rPr>
            </w:pPr>
            <w:r>
              <w:rPr>
                <w:sz w:val="23"/>
                <w:szCs w:val="23"/>
              </w:rPr>
              <w:t xml:space="preserve">Initiate Stage 2 workforce development planning activities in consultation with the Committee and industry and </w:t>
            </w:r>
          </w:p>
          <w:p w14:paraId="1B921556" w14:textId="0AFC2A06" w:rsidR="00A66907" w:rsidRPr="00A2572E" w:rsidRDefault="00A66907" w:rsidP="00A66907">
            <w:r>
              <w:rPr>
                <w:rFonts w:cs="Corbel"/>
                <w:szCs w:val="23"/>
              </w:rPr>
              <w:t>monitor delivery of 2020-21 WD Grants program</w:t>
            </w:r>
          </w:p>
        </w:tc>
        <w:tc>
          <w:tcPr>
            <w:tcW w:w="3390" w:type="dxa"/>
            <w:tcBorders>
              <w:top w:val="single" w:sz="4" w:space="0" w:color="auto"/>
              <w:left w:val="single" w:sz="4" w:space="0" w:color="auto"/>
              <w:bottom w:val="single" w:sz="4" w:space="0" w:color="auto"/>
              <w:right w:val="single" w:sz="4" w:space="0" w:color="auto"/>
            </w:tcBorders>
          </w:tcPr>
          <w:p w14:paraId="3951DDB6" w14:textId="79081D48" w:rsidR="0023642C" w:rsidRDefault="00A66907" w:rsidP="00A66907">
            <w:pPr>
              <w:pStyle w:val="Default"/>
              <w:rPr>
                <w:sz w:val="23"/>
                <w:szCs w:val="23"/>
              </w:rPr>
            </w:pPr>
            <w:r>
              <w:rPr>
                <w:sz w:val="23"/>
                <w:szCs w:val="23"/>
              </w:rPr>
              <w:t xml:space="preserve">August 2021 </w:t>
            </w:r>
          </w:p>
          <w:p w14:paraId="7B4DB250" w14:textId="77777777" w:rsidR="00107D76" w:rsidRDefault="00107D76" w:rsidP="00A66907">
            <w:pPr>
              <w:pStyle w:val="Default"/>
              <w:rPr>
                <w:sz w:val="23"/>
                <w:szCs w:val="23"/>
              </w:rPr>
            </w:pPr>
          </w:p>
          <w:p w14:paraId="1E48D304" w14:textId="1CF843CC" w:rsidR="00A66907" w:rsidRDefault="00A66907" w:rsidP="00A66907">
            <w:pPr>
              <w:pStyle w:val="Default"/>
              <w:rPr>
                <w:sz w:val="23"/>
                <w:szCs w:val="23"/>
              </w:rPr>
            </w:pPr>
            <w:r>
              <w:rPr>
                <w:sz w:val="23"/>
                <w:szCs w:val="23"/>
              </w:rPr>
              <w:t>Release revised funding guidelines for 2021-22 Workforce Development Fund Program.</w:t>
            </w:r>
          </w:p>
          <w:p w14:paraId="4E495218" w14:textId="51896086" w:rsidR="00A66907" w:rsidRPr="00A2572E" w:rsidRDefault="00A66907" w:rsidP="00A66907"/>
        </w:tc>
        <w:tc>
          <w:tcPr>
            <w:tcW w:w="3227" w:type="dxa"/>
            <w:tcBorders>
              <w:top w:val="single" w:sz="4" w:space="0" w:color="auto"/>
              <w:left w:val="single" w:sz="4" w:space="0" w:color="auto"/>
              <w:bottom w:val="single" w:sz="4" w:space="0" w:color="auto"/>
              <w:right w:val="single" w:sz="4" w:space="0" w:color="auto"/>
            </w:tcBorders>
          </w:tcPr>
          <w:p w14:paraId="5BB7BFC7" w14:textId="38C6A93A" w:rsidR="0023642C" w:rsidRDefault="00A66907" w:rsidP="00A66907">
            <w:pPr>
              <w:rPr>
                <w:rFonts w:cs="Corbel"/>
                <w:szCs w:val="23"/>
              </w:rPr>
            </w:pPr>
            <w:r>
              <w:rPr>
                <w:rFonts w:cs="Corbel"/>
                <w:szCs w:val="23"/>
              </w:rPr>
              <w:t xml:space="preserve">March 2022  </w:t>
            </w:r>
          </w:p>
          <w:p w14:paraId="200D30F1" w14:textId="77777777" w:rsidR="00107D76" w:rsidRDefault="00107D76" w:rsidP="00A66907">
            <w:pPr>
              <w:rPr>
                <w:rFonts w:cs="Corbel"/>
                <w:szCs w:val="23"/>
              </w:rPr>
            </w:pPr>
          </w:p>
          <w:p w14:paraId="6DDF31FE" w14:textId="1771EF2F" w:rsidR="00A66907" w:rsidRPr="00C25DE9" w:rsidRDefault="0023642C" w:rsidP="00A66907">
            <w:r>
              <w:rPr>
                <w:rFonts w:cs="Corbel"/>
                <w:szCs w:val="23"/>
              </w:rPr>
              <w:t>M</w:t>
            </w:r>
            <w:r w:rsidR="00A66907">
              <w:rPr>
                <w:rFonts w:cs="Corbel"/>
                <w:szCs w:val="23"/>
              </w:rPr>
              <w:t>onitor delivery of 2020-21 and 2021-22</w:t>
            </w:r>
            <w:r w:rsidR="00B45E34">
              <w:rPr>
                <w:rFonts w:cs="Corbel"/>
                <w:szCs w:val="23"/>
              </w:rPr>
              <w:t xml:space="preserve"> </w:t>
            </w:r>
            <w:r w:rsidR="00A66907">
              <w:rPr>
                <w:rFonts w:cs="Corbel"/>
                <w:szCs w:val="23"/>
              </w:rPr>
              <w:t>WD Grants program</w:t>
            </w:r>
          </w:p>
        </w:tc>
        <w:tc>
          <w:tcPr>
            <w:tcW w:w="0" w:type="auto"/>
            <w:tcBorders>
              <w:top w:val="single" w:sz="4" w:space="0" w:color="auto"/>
              <w:left w:val="single" w:sz="4" w:space="0" w:color="auto"/>
              <w:bottom w:val="single" w:sz="4" w:space="0" w:color="auto"/>
              <w:right w:val="single" w:sz="4" w:space="0" w:color="auto"/>
            </w:tcBorders>
          </w:tcPr>
          <w:p w14:paraId="405C5DE2" w14:textId="47FD573F" w:rsidR="0023642C" w:rsidRDefault="00A66907" w:rsidP="00A66907">
            <w:pPr>
              <w:rPr>
                <w:rFonts w:cs="Corbel"/>
                <w:szCs w:val="23"/>
              </w:rPr>
            </w:pPr>
            <w:r>
              <w:rPr>
                <w:rFonts w:cs="Corbel"/>
                <w:szCs w:val="23"/>
              </w:rPr>
              <w:t xml:space="preserve">April 2022  </w:t>
            </w:r>
          </w:p>
          <w:p w14:paraId="74A85809" w14:textId="77777777" w:rsidR="00107D76" w:rsidRDefault="00107D76" w:rsidP="00A66907">
            <w:pPr>
              <w:rPr>
                <w:rFonts w:cs="Corbel"/>
                <w:szCs w:val="23"/>
              </w:rPr>
            </w:pPr>
          </w:p>
          <w:p w14:paraId="268DBDDC" w14:textId="351B5568" w:rsidR="00A66907" w:rsidRPr="00A2572E" w:rsidRDefault="00A66907" w:rsidP="00A66907">
            <w:r>
              <w:rPr>
                <w:rFonts w:cs="Corbel"/>
                <w:szCs w:val="23"/>
              </w:rPr>
              <w:t>Review workforce development fund planning and activities in consultation with the Committee to inform the 2022-23 Implementation Plan.</w:t>
            </w:r>
          </w:p>
        </w:tc>
      </w:tr>
      <w:tr w:rsidR="0023642C" w14:paraId="5129B105" w14:textId="77777777" w:rsidTr="00D97CAB">
        <w:trPr>
          <w:cantSplit/>
        </w:trPr>
        <w:tc>
          <w:tcPr>
            <w:tcW w:w="0" w:type="auto"/>
            <w:tcBorders>
              <w:top w:val="single" w:sz="4" w:space="0" w:color="auto"/>
              <w:left w:val="single" w:sz="4" w:space="0" w:color="auto"/>
              <w:bottom w:val="single" w:sz="4" w:space="0" w:color="auto"/>
              <w:right w:val="single" w:sz="4" w:space="0" w:color="auto"/>
            </w:tcBorders>
          </w:tcPr>
          <w:p w14:paraId="7B2DD012" w14:textId="77777777" w:rsidR="00A66907" w:rsidRPr="00A2572E" w:rsidRDefault="00A66907" w:rsidP="00A66907">
            <w:pPr>
              <w:rPr>
                <w:b/>
              </w:rPr>
            </w:pPr>
            <w:r w:rsidRPr="00A2572E">
              <w:rPr>
                <w:b/>
              </w:rPr>
              <w:t xml:space="preserve">Industry </w:t>
            </w:r>
            <w:r w:rsidRPr="00C25DE9">
              <w:rPr>
                <w:b/>
              </w:rPr>
              <w:t xml:space="preserve">advisory </w:t>
            </w:r>
            <w:r w:rsidRPr="00A2572E">
              <w:rPr>
                <w:b/>
              </w:rPr>
              <w:t>group</w:t>
            </w:r>
          </w:p>
          <w:p w14:paraId="2FB0D5AD" w14:textId="628A054D" w:rsidR="00A66907" w:rsidRPr="00A2572E" w:rsidRDefault="00A66907" w:rsidP="00A66907">
            <w:pPr>
              <w:rPr>
                <w:b/>
              </w:rPr>
            </w:pPr>
            <w:r w:rsidRPr="009018B2">
              <w:rPr>
                <w:rFonts w:asciiTheme="minorHAnsi" w:hAnsiTheme="minorHAnsi" w:cstheme="minorHAnsi"/>
                <w:sz w:val="22"/>
                <w:szCs w:val="22"/>
              </w:rPr>
              <w:t>Tasmanian Energy and Infrastructure Workforce Advisory Committee</w:t>
            </w:r>
            <w:r w:rsidRPr="009018B2">
              <w:t xml:space="preserve"> (the Committee</w:t>
            </w:r>
            <w:r w:rsidRPr="00A2572E">
              <w:t>)</w:t>
            </w:r>
          </w:p>
        </w:tc>
        <w:tc>
          <w:tcPr>
            <w:tcW w:w="0" w:type="auto"/>
            <w:tcBorders>
              <w:top w:val="single" w:sz="4" w:space="0" w:color="auto"/>
              <w:left w:val="single" w:sz="4" w:space="0" w:color="auto"/>
              <w:bottom w:val="single" w:sz="4" w:space="0" w:color="auto"/>
              <w:right w:val="single" w:sz="4" w:space="0" w:color="auto"/>
            </w:tcBorders>
          </w:tcPr>
          <w:p w14:paraId="185D2FF8" w14:textId="7A875BB4" w:rsidR="00107D76" w:rsidRDefault="00A66907" w:rsidP="00A66907">
            <w:pPr>
              <w:rPr>
                <w:rFonts w:cs="Corbel"/>
                <w:szCs w:val="23"/>
              </w:rPr>
            </w:pPr>
            <w:r>
              <w:rPr>
                <w:rFonts w:cs="Corbel"/>
                <w:szCs w:val="23"/>
              </w:rPr>
              <w:t>June 2o2</w:t>
            </w:r>
            <w:r w:rsidR="00222A12">
              <w:rPr>
                <w:rFonts w:cs="Corbel"/>
                <w:szCs w:val="23"/>
              </w:rPr>
              <w:t>1</w:t>
            </w:r>
            <w:r>
              <w:rPr>
                <w:rFonts w:cs="Corbel"/>
                <w:szCs w:val="23"/>
              </w:rPr>
              <w:t xml:space="preserve"> </w:t>
            </w:r>
          </w:p>
          <w:p w14:paraId="600AACCC" w14:textId="77777777" w:rsidR="00107D76" w:rsidRDefault="00107D76" w:rsidP="00A66907">
            <w:pPr>
              <w:rPr>
                <w:rFonts w:cs="Corbel"/>
                <w:szCs w:val="23"/>
              </w:rPr>
            </w:pPr>
          </w:p>
          <w:p w14:paraId="2E02134F" w14:textId="08F1A9FB" w:rsidR="00A66907" w:rsidRPr="00A2572E" w:rsidRDefault="00A66907" w:rsidP="00A66907">
            <w:r>
              <w:rPr>
                <w:rFonts w:cs="Corbel"/>
                <w:szCs w:val="23"/>
              </w:rPr>
              <w:t>Committee review and endorse revised guidelines for Training Grants, TMD and WD fund programs.</w:t>
            </w:r>
          </w:p>
        </w:tc>
        <w:tc>
          <w:tcPr>
            <w:tcW w:w="3390" w:type="dxa"/>
            <w:tcBorders>
              <w:top w:val="single" w:sz="4" w:space="0" w:color="auto"/>
              <w:left w:val="single" w:sz="4" w:space="0" w:color="auto"/>
              <w:bottom w:val="single" w:sz="4" w:space="0" w:color="auto"/>
              <w:right w:val="single" w:sz="4" w:space="0" w:color="auto"/>
            </w:tcBorders>
          </w:tcPr>
          <w:p w14:paraId="41C5B110" w14:textId="6E9EA657" w:rsidR="0023642C" w:rsidRDefault="00A66907" w:rsidP="00A66907">
            <w:pPr>
              <w:rPr>
                <w:rFonts w:cs="Corbel"/>
                <w:szCs w:val="23"/>
              </w:rPr>
            </w:pPr>
            <w:r>
              <w:rPr>
                <w:rFonts w:cs="Corbel"/>
                <w:szCs w:val="23"/>
              </w:rPr>
              <w:t xml:space="preserve">August 2021 </w:t>
            </w:r>
          </w:p>
          <w:p w14:paraId="0B528EA4" w14:textId="77777777" w:rsidR="00107D76" w:rsidRDefault="00107D76" w:rsidP="00A66907">
            <w:pPr>
              <w:rPr>
                <w:rFonts w:cs="Corbel"/>
                <w:szCs w:val="23"/>
              </w:rPr>
            </w:pPr>
          </w:p>
          <w:p w14:paraId="20AB7FCA" w14:textId="1493F60A" w:rsidR="00A66907" w:rsidRPr="00A2572E" w:rsidRDefault="00A66907" w:rsidP="00A66907">
            <w:r>
              <w:rPr>
                <w:rFonts w:cs="Corbel"/>
                <w:szCs w:val="23"/>
              </w:rPr>
              <w:t xml:space="preserve">Support release of revised funding programs </w:t>
            </w:r>
            <w:r w:rsidRPr="00A66907">
              <w:rPr>
                <w:rFonts w:cs="Corbel"/>
                <w:szCs w:val="23"/>
              </w:rPr>
              <w:t>including engaging stakeholders as part of Communication Plan.</w:t>
            </w:r>
          </w:p>
        </w:tc>
        <w:tc>
          <w:tcPr>
            <w:tcW w:w="3227" w:type="dxa"/>
            <w:tcBorders>
              <w:top w:val="single" w:sz="4" w:space="0" w:color="auto"/>
              <w:left w:val="single" w:sz="4" w:space="0" w:color="auto"/>
              <w:bottom w:val="single" w:sz="4" w:space="0" w:color="auto"/>
              <w:right w:val="single" w:sz="4" w:space="0" w:color="auto"/>
            </w:tcBorders>
          </w:tcPr>
          <w:p w14:paraId="479A8177" w14:textId="24AE2230" w:rsidR="00107D76" w:rsidRDefault="00A66907" w:rsidP="00A66907">
            <w:pPr>
              <w:rPr>
                <w:rFonts w:cs="Corbel"/>
                <w:szCs w:val="23"/>
              </w:rPr>
            </w:pPr>
            <w:r w:rsidRPr="00A66907">
              <w:rPr>
                <w:rFonts w:cs="Corbel"/>
                <w:szCs w:val="23"/>
              </w:rPr>
              <w:t xml:space="preserve">November 2021 </w:t>
            </w:r>
          </w:p>
          <w:p w14:paraId="0DE34762" w14:textId="77777777" w:rsidR="00107D76" w:rsidRDefault="00107D76" w:rsidP="00A66907">
            <w:pPr>
              <w:rPr>
                <w:rFonts w:cs="Corbel"/>
                <w:szCs w:val="23"/>
              </w:rPr>
            </w:pPr>
          </w:p>
          <w:p w14:paraId="6E5223CC" w14:textId="3A12B5BC" w:rsidR="00A66907" w:rsidRPr="00A2572E" w:rsidRDefault="0023642C" w:rsidP="00A66907">
            <w:r>
              <w:rPr>
                <w:rFonts w:cs="Corbel"/>
                <w:szCs w:val="23"/>
              </w:rPr>
              <w:t>M</w:t>
            </w:r>
            <w:r w:rsidR="00A66907" w:rsidRPr="00A66907">
              <w:rPr>
                <w:rFonts w:cs="Corbel"/>
                <w:szCs w:val="23"/>
              </w:rPr>
              <w:t xml:space="preserve">onitor and evaluate delivery of funding programs and workforce development planning activities. </w:t>
            </w:r>
          </w:p>
        </w:tc>
        <w:tc>
          <w:tcPr>
            <w:tcW w:w="0" w:type="auto"/>
            <w:tcBorders>
              <w:top w:val="single" w:sz="4" w:space="0" w:color="auto"/>
              <w:left w:val="single" w:sz="4" w:space="0" w:color="auto"/>
              <w:bottom w:val="single" w:sz="4" w:space="0" w:color="auto"/>
              <w:right w:val="single" w:sz="4" w:space="0" w:color="auto"/>
            </w:tcBorders>
          </w:tcPr>
          <w:p w14:paraId="084A7AAA" w14:textId="238F5515" w:rsidR="0023642C" w:rsidRDefault="00A66907" w:rsidP="00A66907">
            <w:pPr>
              <w:ind w:left="51"/>
              <w:rPr>
                <w:rFonts w:cs="Corbel"/>
                <w:szCs w:val="23"/>
              </w:rPr>
            </w:pPr>
            <w:r w:rsidRPr="00A66907">
              <w:rPr>
                <w:rFonts w:cs="Corbel"/>
                <w:szCs w:val="23"/>
              </w:rPr>
              <w:t xml:space="preserve">April 2022 </w:t>
            </w:r>
          </w:p>
          <w:p w14:paraId="32A92EE2" w14:textId="77777777" w:rsidR="00107D76" w:rsidRDefault="00107D76" w:rsidP="00A66907">
            <w:pPr>
              <w:ind w:left="51"/>
              <w:rPr>
                <w:rFonts w:cs="Corbel"/>
                <w:szCs w:val="23"/>
              </w:rPr>
            </w:pPr>
          </w:p>
          <w:p w14:paraId="1DF25376" w14:textId="77777777" w:rsidR="00A66907" w:rsidRDefault="00A66907" w:rsidP="00A66907">
            <w:pPr>
              <w:ind w:left="51"/>
              <w:rPr>
                <w:rFonts w:cs="Corbel"/>
                <w:szCs w:val="23"/>
              </w:rPr>
            </w:pPr>
            <w:r w:rsidRPr="00A66907">
              <w:rPr>
                <w:rFonts w:cs="Corbel"/>
                <w:szCs w:val="23"/>
              </w:rPr>
              <w:t>Review and evaluate delivery of funding programs and workforce development planning activities, and agree priority activities for 2022-23 Implementation Pla</w:t>
            </w:r>
            <w:r w:rsidR="001D5B3E">
              <w:rPr>
                <w:rFonts w:cs="Corbel"/>
                <w:szCs w:val="23"/>
              </w:rPr>
              <w:t>n</w:t>
            </w:r>
          </w:p>
          <w:p w14:paraId="60344AE2" w14:textId="05C97DF8" w:rsidR="001D5B3E" w:rsidRPr="00A2572E" w:rsidRDefault="001D5B3E" w:rsidP="00A66907">
            <w:pPr>
              <w:ind w:left="51"/>
            </w:pPr>
          </w:p>
        </w:tc>
      </w:tr>
    </w:tbl>
    <w:p w14:paraId="4778DC64" w14:textId="77777777" w:rsidR="00F10146" w:rsidRPr="006135DB" w:rsidRDefault="00F10146" w:rsidP="006135DB">
      <w:pPr>
        <w:rPr>
          <w:rFonts w:cs="Arial"/>
          <w:b/>
          <w:bCs/>
          <w:iCs/>
          <w:color w:val="3D4B67"/>
          <w:sz w:val="29"/>
          <w:szCs w:val="28"/>
        </w:rPr>
        <w:sectPr w:rsidR="00F10146" w:rsidRPr="006135DB" w:rsidSect="00052B02">
          <w:pgSz w:w="23811" w:h="16838" w:orient="landscape" w:code="8"/>
          <w:pgMar w:top="1440" w:right="851" w:bottom="1440" w:left="1021" w:header="624" w:footer="624" w:gutter="0"/>
          <w:cols w:space="708"/>
          <w:docGrid w:linePitch="360"/>
        </w:sectPr>
      </w:pPr>
    </w:p>
    <w:p w14:paraId="02ABBE6D" w14:textId="77777777" w:rsidR="008A1747" w:rsidRPr="00A36A37" w:rsidRDefault="008A1747" w:rsidP="00A17D70">
      <w:pPr>
        <w:pStyle w:val="Heading2"/>
      </w:pPr>
      <w:r>
        <w:lastRenderedPageBreak/>
        <w:t>Estimated costs</w:t>
      </w:r>
    </w:p>
    <w:p w14:paraId="11B503C3" w14:textId="04F59823" w:rsidR="008A1747" w:rsidRPr="00432B5D" w:rsidRDefault="008A1747" w:rsidP="008A1747">
      <w:pPr>
        <w:pStyle w:val="Normalnumbered"/>
        <w:spacing w:after="240" w:line="260" w:lineRule="exact"/>
      </w:pPr>
      <w:r w:rsidRPr="00432B5D">
        <w:t xml:space="preserve">The maximum financial contribution to be provided by the Commonwealth for the project to the jurisdiction is </w:t>
      </w:r>
      <w:r w:rsidR="001A5D90">
        <w:t>$16.</w:t>
      </w:r>
      <w:r w:rsidR="0013448A">
        <w:t xml:space="preserve">143 </w:t>
      </w:r>
      <w:r w:rsidR="001A5D90">
        <w:t xml:space="preserve">million </w:t>
      </w:r>
      <w:r w:rsidR="00641202">
        <w:t>($</w:t>
      </w:r>
      <w:r w:rsidR="001C3CBD">
        <w:t>4.</w:t>
      </w:r>
      <w:r w:rsidR="00A66907">
        <w:t>629</w:t>
      </w:r>
      <w:r w:rsidR="00641202">
        <w:t xml:space="preserve"> million in 20</w:t>
      </w:r>
      <w:r w:rsidR="001C3CBD">
        <w:t>2</w:t>
      </w:r>
      <w:r w:rsidR="00A66907">
        <w:t>1</w:t>
      </w:r>
      <w:r w:rsidR="00641202">
        <w:t>–2</w:t>
      </w:r>
      <w:r w:rsidR="00A66907">
        <w:t>2</w:t>
      </w:r>
      <w:r w:rsidR="00641202">
        <w:t xml:space="preserve">) </w:t>
      </w:r>
      <w:r w:rsidR="001A5D90">
        <w:t xml:space="preserve">payable in accordance with </w:t>
      </w:r>
      <w:r w:rsidRPr="00432B5D">
        <w:t>milestones</w:t>
      </w:r>
      <w:r>
        <w:t xml:space="preserve"> </w:t>
      </w:r>
      <w:r w:rsidRPr="00432B5D">
        <w:t xml:space="preserve">set out in </w:t>
      </w:r>
      <w:r>
        <w:t xml:space="preserve">Part </w:t>
      </w:r>
      <w:r w:rsidR="001A5D90">
        <w:t>4 of the Project Agreement</w:t>
      </w:r>
      <w:r w:rsidRPr="00432B5D">
        <w:t>.  All payments are exclusive of GST.</w:t>
      </w:r>
    </w:p>
    <w:p w14:paraId="685E111A" w14:textId="77777777" w:rsidR="00D77FFC" w:rsidRDefault="00AC1A8D" w:rsidP="00AC1A8D">
      <w:pPr>
        <w:pStyle w:val="Normalnumbered"/>
      </w:pPr>
      <w:r w:rsidRPr="00AC1A8D">
        <w:t xml:space="preserve">The estimated overall budget (exclusive of GST) is set out in Table 2.  The budget is indicative only and Tasmania retains the flexibility to move funds between components and/or years, </w:t>
      </w:r>
      <w:proofErr w:type="gramStart"/>
      <w:r w:rsidRPr="00AC1A8D">
        <w:t>as long as</w:t>
      </w:r>
      <w:proofErr w:type="gramEnd"/>
      <w:r w:rsidRPr="00AC1A8D">
        <w:t xml:space="preserve"> outcomes are not affected.  The Commonwealth contribution can only be moved between years with the agreement of the Commonwealth.</w:t>
      </w:r>
      <w:r>
        <w:t xml:space="preserve"> </w:t>
      </w:r>
    </w:p>
    <w:p w14:paraId="7BC30B4D" w14:textId="77777777" w:rsidR="00642C50" w:rsidRDefault="00642C50" w:rsidP="00D77FFC">
      <w:pPr>
        <w:pStyle w:val="Normalnumbered"/>
        <w:numPr>
          <w:ilvl w:val="0"/>
          <w:numId w:val="0"/>
        </w:numPr>
        <w:ind w:left="567"/>
      </w:pPr>
    </w:p>
    <w:p w14:paraId="049588A8" w14:textId="77777777" w:rsidR="00D77FFC" w:rsidRPr="00D9172D" w:rsidRDefault="00D77FFC" w:rsidP="00D77FFC">
      <w:pPr>
        <w:pStyle w:val="Normalnumbered"/>
        <w:numPr>
          <w:ilvl w:val="0"/>
          <w:numId w:val="0"/>
        </w:numPr>
        <w:rPr>
          <w:b/>
          <w:i/>
        </w:rPr>
      </w:pPr>
      <w:r w:rsidRPr="00D9172D">
        <w:rPr>
          <w:b/>
        </w:rPr>
        <w:t xml:space="preserve">Table 2: Estimated financial contributions </w:t>
      </w:r>
    </w:p>
    <w:tbl>
      <w:tblPr>
        <w:tblW w:w="0" w:type="auto"/>
        <w:tblLook w:val="01E0" w:firstRow="1" w:lastRow="1" w:firstColumn="1" w:lastColumn="1" w:noHBand="0" w:noVBand="0"/>
      </w:tblPr>
      <w:tblGrid>
        <w:gridCol w:w="4359"/>
        <w:gridCol w:w="926"/>
        <w:gridCol w:w="928"/>
        <w:gridCol w:w="930"/>
        <w:gridCol w:w="933"/>
        <w:gridCol w:w="950"/>
      </w:tblGrid>
      <w:tr w:rsidR="00D77FFC" w:rsidRPr="00D9172D" w14:paraId="2ADD4560" w14:textId="77777777" w:rsidTr="00A66907">
        <w:trPr>
          <w:cantSplit/>
        </w:trPr>
        <w:tc>
          <w:tcPr>
            <w:tcW w:w="5008" w:type="dxa"/>
            <w:tcBorders>
              <w:top w:val="single" w:sz="4" w:space="0" w:color="000080"/>
            </w:tcBorders>
          </w:tcPr>
          <w:p w14:paraId="77A835EC" w14:textId="77777777" w:rsidR="00D77FFC" w:rsidRPr="00D9172D" w:rsidRDefault="00D77FFC" w:rsidP="00BB0FDD">
            <w:pPr>
              <w:keepNext/>
              <w:keepLines/>
              <w:spacing w:before="40" w:after="40"/>
              <w:rPr>
                <w:b/>
              </w:rPr>
            </w:pPr>
            <w:r w:rsidRPr="00D9172D">
              <w:rPr>
                <w:b/>
              </w:rPr>
              <w:t>($ million)</w:t>
            </w:r>
          </w:p>
        </w:tc>
        <w:tc>
          <w:tcPr>
            <w:tcW w:w="969" w:type="dxa"/>
            <w:tcBorders>
              <w:top w:val="single" w:sz="4" w:space="0" w:color="000080"/>
              <w:bottom w:val="single" w:sz="4" w:space="0" w:color="000080"/>
            </w:tcBorders>
            <w:shd w:val="clear" w:color="auto" w:fill="FFFFFF" w:themeFill="background1"/>
          </w:tcPr>
          <w:p w14:paraId="0B2994FA" w14:textId="77777777" w:rsidR="00D77FFC" w:rsidRPr="00D9172D" w:rsidRDefault="00D77FFC" w:rsidP="00BB0FDD">
            <w:pPr>
              <w:keepNext/>
              <w:keepLines/>
              <w:spacing w:before="40" w:after="40"/>
              <w:jc w:val="right"/>
            </w:pPr>
            <w:r w:rsidRPr="00D9172D">
              <w:t>2019-20</w:t>
            </w:r>
          </w:p>
        </w:tc>
        <w:tc>
          <w:tcPr>
            <w:tcW w:w="969" w:type="dxa"/>
            <w:tcBorders>
              <w:top w:val="single" w:sz="4" w:space="0" w:color="000080"/>
              <w:bottom w:val="single" w:sz="4" w:space="0" w:color="000080"/>
            </w:tcBorders>
            <w:shd w:val="clear" w:color="auto" w:fill="auto"/>
          </w:tcPr>
          <w:p w14:paraId="5544E035" w14:textId="77777777" w:rsidR="00D77FFC" w:rsidRPr="00A66907" w:rsidRDefault="00D77FFC" w:rsidP="00BB0FDD">
            <w:pPr>
              <w:keepNext/>
              <w:keepLines/>
              <w:spacing w:before="40" w:after="40"/>
              <w:jc w:val="right"/>
            </w:pPr>
            <w:r w:rsidRPr="00A66907">
              <w:t>2020-21</w:t>
            </w:r>
          </w:p>
        </w:tc>
        <w:tc>
          <w:tcPr>
            <w:tcW w:w="969" w:type="dxa"/>
            <w:tcBorders>
              <w:top w:val="single" w:sz="4" w:space="0" w:color="000080"/>
              <w:bottom w:val="single" w:sz="4" w:space="0" w:color="000080"/>
            </w:tcBorders>
            <w:shd w:val="clear" w:color="auto" w:fill="BFBFBF" w:themeFill="background1" w:themeFillShade="BF"/>
          </w:tcPr>
          <w:p w14:paraId="4E5A4398" w14:textId="77777777" w:rsidR="00D77FFC" w:rsidRPr="00D9172D" w:rsidRDefault="00D77FFC" w:rsidP="00BB0FDD">
            <w:pPr>
              <w:keepNext/>
              <w:keepLines/>
              <w:spacing w:before="40" w:after="40"/>
              <w:jc w:val="right"/>
            </w:pPr>
            <w:r>
              <w:t>2021-22</w:t>
            </w:r>
          </w:p>
        </w:tc>
        <w:tc>
          <w:tcPr>
            <w:tcW w:w="969" w:type="dxa"/>
            <w:tcBorders>
              <w:top w:val="single" w:sz="4" w:space="0" w:color="000080"/>
              <w:bottom w:val="single" w:sz="4" w:space="0" w:color="000080"/>
            </w:tcBorders>
          </w:tcPr>
          <w:p w14:paraId="77DFFF19" w14:textId="77777777" w:rsidR="00D77FFC" w:rsidRPr="00D9172D" w:rsidRDefault="00D77FFC" w:rsidP="00BB0FDD">
            <w:pPr>
              <w:keepNext/>
              <w:keepLines/>
              <w:spacing w:before="40" w:after="40"/>
              <w:jc w:val="right"/>
            </w:pPr>
            <w:r>
              <w:t>2022-23</w:t>
            </w:r>
          </w:p>
        </w:tc>
        <w:tc>
          <w:tcPr>
            <w:tcW w:w="970" w:type="dxa"/>
            <w:tcBorders>
              <w:top w:val="single" w:sz="4" w:space="0" w:color="000080"/>
              <w:bottom w:val="single" w:sz="4" w:space="0" w:color="000080"/>
            </w:tcBorders>
          </w:tcPr>
          <w:p w14:paraId="674A5CF6" w14:textId="77777777" w:rsidR="00D77FFC" w:rsidRPr="00D9172D" w:rsidRDefault="00D77FFC" w:rsidP="00BB0FDD">
            <w:pPr>
              <w:keepNext/>
              <w:keepLines/>
              <w:spacing w:before="40" w:after="40"/>
              <w:jc w:val="right"/>
            </w:pPr>
            <w:r w:rsidRPr="00D9172D">
              <w:t>Total</w:t>
            </w:r>
          </w:p>
        </w:tc>
      </w:tr>
      <w:tr w:rsidR="00D77FFC" w:rsidRPr="00D9172D" w14:paraId="675D70B0" w14:textId="77777777" w:rsidTr="00A66907">
        <w:trPr>
          <w:cantSplit/>
        </w:trPr>
        <w:tc>
          <w:tcPr>
            <w:tcW w:w="5008" w:type="dxa"/>
          </w:tcPr>
          <w:p w14:paraId="05BB3EF5" w14:textId="77777777" w:rsidR="00D77FFC" w:rsidRPr="00D9172D" w:rsidRDefault="00D77FFC" w:rsidP="00BB0FDD">
            <w:pPr>
              <w:keepNext/>
              <w:keepLines/>
              <w:spacing w:before="60" w:after="60"/>
              <w:rPr>
                <w:b/>
              </w:rPr>
            </w:pPr>
            <w:r w:rsidRPr="00D9172D">
              <w:rPr>
                <w:b/>
              </w:rPr>
              <w:t>Estimated total budget</w:t>
            </w:r>
          </w:p>
        </w:tc>
        <w:tc>
          <w:tcPr>
            <w:tcW w:w="969" w:type="dxa"/>
            <w:tcBorders>
              <w:top w:val="single" w:sz="4" w:space="0" w:color="000080"/>
            </w:tcBorders>
            <w:shd w:val="clear" w:color="auto" w:fill="FFFFFF" w:themeFill="background1"/>
          </w:tcPr>
          <w:p w14:paraId="7B6AF0A0" w14:textId="77777777" w:rsidR="00D77FFC" w:rsidRPr="000B3F58" w:rsidRDefault="00D77FFC" w:rsidP="00BB0FDD">
            <w:pPr>
              <w:keepNext/>
              <w:keepLines/>
              <w:spacing w:before="40" w:after="40"/>
              <w:jc w:val="right"/>
              <w:rPr>
                <w:b/>
              </w:rPr>
            </w:pPr>
            <w:r w:rsidRPr="000B3F58">
              <w:rPr>
                <w:b/>
              </w:rPr>
              <w:t>2.251</w:t>
            </w:r>
          </w:p>
        </w:tc>
        <w:tc>
          <w:tcPr>
            <w:tcW w:w="969" w:type="dxa"/>
            <w:tcBorders>
              <w:top w:val="single" w:sz="4" w:space="0" w:color="000080"/>
            </w:tcBorders>
            <w:shd w:val="clear" w:color="auto" w:fill="auto"/>
          </w:tcPr>
          <w:p w14:paraId="509E3019" w14:textId="77777777" w:rsidR="00D77FFC" w:rsidRPr="00A66907" w:rsidRDefault="00D77FFC" w:rsidP="00BB0FDD">
            <w:pPr>
              <w:keepNext/>
              <w:keepLines/>
              <w:spacing w:before="40" w:after="40"/>
              <w:jc w:val="right"/>
              <w:rPr>
                <w:b/>
              </w:rPr>
            </w:pPr>
            <w:r w:rsidRPr="00A66907">
              <w:rPr>
                <w:b/>
              </w:rPr>
              <w:t>4.565</w:t>
            </w:r>
          </w:p>
        </w:tc>
        <w:tc>
          <w:tcPr>
            <w:tcW w:w="969" w:type="dxa"/>
            <w:tcBorders>
              <w:top w:val="single" w:sz="4" w:space="0" w:color="000080"/>
            </w:tcBorders>
            <w:shd w:val="clear" w:color="auto" w:fill="BFBFBF" w:themeFill="background1" w:themeFillShade="BF"/>
          </w:tcPr>
          <w:p w14:paraId="5FA8003A" w14:textId="77777777" w:rsidR="00D77FFC" w:rsidRPr="000B3F58" w:rsidRDefault="00D77FFC" w:rsidP="00BB0FDD">
            <w:pPr>
              <w:keepNext/>
              <w:keepLines/>
              <w:spacing w:before="40" w:after="40"/>
              <w:jc w:val="right"/>
              <w:rPr>
                <w:b/>
              </w:rPr>
            </w:pPr>
            <w:r w:rsidRPr="000B3F58">
              <w:rPr>
                <w:b/>
              </w:rPr>
              <w:t>4.629</w:t>
            </w:r>
          </w:p>
        </w:tc>
        <w:tc>
          <w:tcPr>
            <w:tcW w:w="969" w:type="dxa"/>
            <w:tcBorders>
              <w:top w:val="single" w:sz="4" w:space="0" w:color="000080"/>
            </w:tcBorders>
          </w:tcPr>
          <w:p w14:paraId="4B1DA668" w14:textId="77777777" w:rsidR="00D77FFC" w:rsidRPr="000B3F58" w:rsidRDefault="00D77FFC" w:rsidP="00BB0FDD">
            <w:pPr>
              <w:keepNext/>
              <w:keepLines/>
              <w:spacing w:before="40" w:after="40"/>
              <w:jc w:val="right"/>
              <w:rPr>
                <w:b/>
              </w:rPr>
            </w:pPr>
            <w:r w:rsidRPr="000B3F58">
              <w:rPr>
                <w:b/>
              </w:rPr>
              <w:t>4.698</w:t>
            </w:r>
          </w:p>
        </w:tc>
        <w:tc>
          <w:tcPr>
            <w:tcW w:w="970" w:type="dxa"/>
            <w:tcBorders>
              <w:top w:val="single" w:sz="4" w:space="0" w:color="000080"/>
            </w:tcBorders>
          </w:tcPr>
          <w:p w14:paraId="4B85CEDA" w14:textId="77777777" w:rsidR="00D77FFC" w:rsidRPr="000B3F58" w:rsidRDefault="00D77FFC" w:rsidP="00BB0FDD">
            <w:pPr>
              <w:keepNext/>
              <w:keepLines/>
              <w:spacing w:before="40" w:after="40"/>
              <w:jc w:val="right"/>
              <w:rPr>
                <w:b/>
              </w:rPr>
            </w:pPr>
            <w:r w:rsidRPr="000B3F58">
              <w:rPr>
                <w:b/>
              </w:rPr>
              <w:t>16.143</w:t>
            </w:r>
          </w:p>
        </w:tc>
      </w:tr>
      <w:tr w:rsidR="00D77FFC" w:rsidRPr="00D9172D" w14:paraId="2C3E5616" w14:textId="77777777" w:rsidTr="00A66907">
        <w:trPr>
          <w:cantSplit/>
        </w:trPr>
        <w:tc>
          <w:tcPr>
            <w:tcW w:w="5008" w:type="dxa"/>
          </w:tcPr>
          <w:p w14:paraId="06B8F492" w14:textId="77777777" w:rsidR="00D77FFC" w:rsidRPr="00D9172D" w:rsidRDefault="00D77FFC" w:rsidP="00BB0FDD">
            <w:pPr>
              <w:keepNext/>
              <w:keepLines/>
              <w:spacing w:before="60" w:after="60"/>
            </w:pPr>
            <w:r w:rsidRPr="00D9172D">
              <w:t>Less estimated National Partnership Payments</w:t>
            </w:r>
          </w:p>
        </w:tc>
        <w:tc>
          <w:tcPr>
            <w:tcW w:w="969" w:type="dxa"/>
            <w:tcBorders>
              <w:bottom w:val="single" w:sz="4" w:space="0" w:color="000080"/>
            </w:tcBorders>
            <w:shd w:val="clear" w:color="auto" w:fill="FFFFFF" w:themeFill="background1"/>
          </w:tcPr>
          <w:p w14:paraId="008B3659" w14:textId="77777777" w:rsidR="00D77FFC" w:rsidRPr="000B3F58" w:rsidRDefault="00D77FFC" w:rsidP="00BB0FDD">
            <w:pPr>
              <w:keepNext/>
              <w:keepLines/>
              <w:spacing w:before="40" w:after="40"/>
              <w:jc w:val="right"/>
            </w:pPr>
            <w:r w:rsidRPr="000B3F58">
              <w:t>2.251</w:t>
            </w:r>
          </w:p>
        </w:tc>
        <w:tc>
          <w:tcPr>
            <w:tcW w:w="969" w:type="dxa"/>
            <w:tcBorders>
              <w:bottom w:val="single" w:sz="4" w:space="0" w:color="000080"/>
            </w:tcBorders>
            <w:shd w:val="clear" w:color="auto" w:fill="auto"/>
          </w:tcPr>
          <w:p w14:paraId="77B0955F" w14:textId="77777777" w:rsidR="00D77FFC" w:rsidRPr="00A66907" w:rsidRDefault="00D77FFC" w:rsidP="00BB0FDD">
            <w:pPr>
              <w:keepNext/>
              <w:keepLines/>
              <w:spacing w:before="40" w:after="40"/>
              <w:jc w:val="right"/>
            </w:pPr>
            <w:r w:rsidRPr="00A66907">
              <w:t>4.565</w:t>
            </w:r>
          </w:p>
        </w:tc>
        <w:tc>
          <w:tcPr>
            <w:tcW w:w="969" w:type="dxa"/>
            <w:tcBorders>
              <w:bottom w:val="single" w:sz="4" w:space="0" w:color="000080"/>
            </w:tcBorders>
            <w:shd w:val="clear" w:color="auto" w:fill="BFBFBF" w:themeFill="background1" w:themeFillShade="BF"/>
          </w:tcPr>
          <w:p w14:paraId="4C5F61B0" w14:textId="77777777" w:rsidR="00D77FFC" w:rsidRPr="000B3F58" w:rsidRDefault="00D77FFC" w:rsidP="00BB0FDD">
            <w:pPr>
              <w:keepNext/>
              <w:keepLines/>
              <w:spacing w:before="40" w:after="40"/>
              <w:jc w:val="right"/>
            </w:pPr>
            <w:r w:rsidRPr="000B3F58">
              <w:t>4.629</w:t>
            </w:r>
          </w:p>
        </w:tc>
        <w:tc>
          <w:tcPr>
            <w:tcW w:w="969" w:type="dxa"/>
            <w:tcBorders>
              <w:bottom w:val="single" w:sz="4" w:space="0" w:color="000080"/>
            </w:tcBorders>
          </w:tcPr>
          <w:p w14:paraId="02336BD7" w14:textId="77777777" w:rsidR="00D77FFC" w:rsidRPr="000B3F58" w:rsidRDefault="00D77FFC" w:rsidP="00BB0FDD">
            <w:pPr>
              <w:keepNext/>
              <w:keepLines/>
              <w:spacing w:before="40" w:after="40"/>
              <w:jc w:val="right"/>
            </w:pPr>
            <w:r w:rsidRPr="000B3F58">
              <w:t>4.698</w:t>
            </w:r>
          </w:p>
        </w:tc>
        <w:tc>
          <w:tcPr>
            <w:tcW w:w="970" w:type="dxa"/>
            <w:tcBorders>
              <w:bottom w:val="single" w:sz="4" w:space="0" w:color="000080"/>
            </w:tcBorders>
          </w:tcPr>
          <w:p w14:paraId="09BCD4DA" w14:textId="77777777" w:rsidR="00D77FFC" w:rsidRPr="000B3F58" w:rsidRDefault="00D77FFC" w:rsidP="00BB0FDD">
            <w:pPr>
              <w:keepNext/>
              <w:keepLines/>
              <w:spacing w:before="40" w:after="40"/>
              <w:jc w:val="right"/>
            </w:pPr>
            <w:r w:rsidRPr="000B3F58">
              <w:t>16.143</w:t>
            </w:r>
          </w:p>
        </w:tc>
      </w:tr>
      <w:tr w:rsidR="00D77FFC" w:rsidRPr="00957FA3" w14:paraId="58B8A11F" w14:textId="77777777" w:rsidTr="00A66907">
        <w:trPr>
          <w:cantSplit/>
        </w:trPr>
        <w:tc>
          <w:tcPr>
            <w:tcW w:w="5008" w:type="dxa"/>
            <w:tcBorders>
              <w:bottom w:val="single" w:sz="4" w:space="0" w:color="000080"/>
            </w:tcBorders>
          </w:tcPr>
          <w:p w14:paraId="6E795EE0" w14:textId="77777777" w:rsidR="00D77FFC" w:rsidRPr="00D9172D" w:rsidRDefault="00D77FFC" w:rsidP="00BB0FDD">
            <w:pPr>
              <w:keepNext/>
              <w:keepLines/>
              <w:spacing w:before="40" w:after="40"/>
            </w:pPr>
            <w:r w:rsidRPr="00D9172D">
              <w:t>Balance of non-Commonwealth contributions</w:t>
            </w:r>
          </w:p>
        </w:tc>
        <w:tc>
          <w:tcPr>
            <w:tcW w:w="969" w:type="dxa"/>
            <w:tcBorders>
              <w:bottom w:val="single" w:sz="4" w:space="0" w:color="000080"/>
            </w:tcBorders>
            <w:shd w:val="clear" w:color="auto" w:fill="FFFFFF" w:themeFill="background1"/>
          </w:tcPr>
          <w:p w14:paraId="4139A09D" w14:textId="77777777" w:rsidR="00D77FFC" w:rsidRPr="00D9172D" w:rsidRDefault="00D77FFC" w:rsidP="00BB0FDD">
            <w:pPr>
              <w:keepNext/>
              <w:keepLines/>
              <w:spacing w:before="40" w:after="40"/>
              <w:jc w:val="right"/>
            </w:pPr>
            <w:r w:rsidRPr="00D9172D">
              <w:t>0.0</w:t>
            </w:r>
          </w:p>
        </w:tc>
        <w:tc>
          <w:tcPr>
            <w:tcW w:w="969" w:type="dxa"/>
            <w:tcBorders>
              <w:bottom w:val="single" w:sz="4" w:space="0" w:color="000080"/>
            </w:tcBorders>
            <w:shd w:val="clear" w:color="auto" w:fill="auto"/>
          </w:tcPr>
          <w:p w14:paraId="5AD37230" w14:textId="77777777" w:rsidR="00D77FFC" w:rsidRPr="00A66907" w:rsidRDefault="00D77FFC" w:rsidP="00BB0FDD">
            <w:pPr>
              <w:keepNext/>
              <w:keepLines/>
              <w:spacing w:before="40" w:after="40"/>
              <w:jc w:val="right"/>
            </w:pPr>
            <w:r w:rsidRPr="00A66907">
              <w:t>0.0</w:t>
            </w:r>
          </w:p>
        </w:tc>
        <w:tc>
          <w:tcPr>
            <w:tcW w:w="969" w:type="dxa"/>
            <w:tcBorders>
              <w:bottom w:val="single" w:sz="4" w:space="0" w:color="000080"/>
            </w:tcBorders>
            <w:shd w:val="clear" w:color="auto" w:fill="BFBFBF" w:themeFill="background1" w:themeFillShade="BF"/>
          </w:tcPr>
          <w:p w14:paraId="7CD07C64" w14:textId="77777777" w:rsidR="00D77FFC" w:rsidRPr="00D9172D" w:rsidRDefault="00D77FFC" w:rsidP="00BB0FDD">
            <w:pPr>
              <w:keepNext/>
              <w:keepLines/>
              <w:spacing w:before="40" w:after="40"/>
              <w:jc w:val="right"/>
            </w:pPr>
            <w:r w:rsidRPr="00D9172D">
              <w:t>0.0</w:t>
            </w:r>
          </w:p>
        </w:tc>
        <w:tc>
          <w:tcPr>
            <w:tcW w:w="969" w:type="dxa"/>
            <w:tcBorders>
              <w:bottom w:val="single" w:sz="4" w:space="0" w:color="000080"/>
            </w:tcBorders>
          </w:tcPr>
          <w:p w14:paraId="65410A2D" w14:textId="77777777" w:rsidR="00D77FFC" w:rsidRPr="00D9172D" w:rsidRDefault="00D77FFC" w:rsidP="00BB0FDD">
            <w:pPr>
              <w:keepNext/>
              <w:keepLines/>
              <w:spacing w:before="40" w:after="40"/>
              <w:jc w:val="right"/>
            </w:pPr>
            <w:r w:rsidRPr="00D9172D">
              <w:t>0.0</w:t>
            </w:r>
          </w:p>
        </w:tc>
        <w:tc>
          <w:tcPr>
            <w:tcW w:w="970" w:type="dxa"/>
            <w:tcBorders>
              <w:bottom w:val="single" w:sz="4" w:space="0" w:color="000080"/>
            </w:tcBorders>
          </w:tcPr>
          <w:p w14:paraId="0B305850" w14:textId="77777777" w:rsidR="00D77FFC" w:rsidRPr="00D9172D" w:rsidRDefault="00D77FFC" w:rsidP="00BB0FDD">
            <w:pPr>
              <w:keepNext/>
              <w:keepLines/>
              <w:spacing w:before="40" w:after="40"/>
              <w:jc w:val="right"/>
            </w:pPr>
            <w:r w:rsidRPr="00D9172D">
              <w:t>0.0</w:t>
            </w:r>
          </w:p>
        </w:tc>
      </w:tr>
    </w:tbl>
    <w:p w14:paraId="3E09F49C" w14:textId="77777777" w:rsidR="00D77FFC" w:rsidRPr="00D77FFC" w:rsidRDefault="00D77FFC" w:rsidP="00362272"/>
    <w:p w14:paraId="1EF9D00D" w14:textId="77777777" w:rsidR="00AC1A8D" w:rsidRDefault="00AC1A8D" w:rsidP="00AC1A8D">
      <w:pPr>
        <w:pStyle w:val="Heading2"/>
        <w:rPr>
          <w:szCs w:val="29"/>
        </w:rPr>
      </w:pPr>
      <w:r>
        <w:t>Risk management</w:t>
      </w:r>
    </w:p>
    <w:p w14:paraId="70AF5238" w14:textId="77777777" w:rsidR="00AC1A8D" w:rsidRPr="00CB6CA2" w:rsidRDefault="00AC1A8D" w:rsidP="00AC1A8D">
      <w:pPr>
        <w:pStyle w:val="Normalnumbered"/>
        <w:spacing w:after="240" w:line="260" w:lineRule="exact"/>
      </w:pPr>
      <w:r>
        <w:t xml:space="preserve">A risk management plan is in place.  Risks have been actively identified, </w:t>
      </w:r>
      <w:proofErr w:type="gramStart"/>
      <w:r>
        <w:t>entered into</w:t>
      </w:r>
      <w:proofErr w:type="gramEnd"/>
      <w:r>
        <w:t xml:space="preserve"> a risk log and categorised in terms of impact and likelihood. </w:t>
      </w:r>
    </w:p>
    <w:p w14:paraId="10F223D6" w14:textId="77777777" w:rsidR="0036688B" w:rsidRPr="00A36A37" w:rsidRDefault="00F11E19" w:rsidP="00A17D70">
      <w:pPr>
        <w:pStyle w:val="Heading2"/>
      </w:pPr>
      <w:r>
        <w:t>Tasmanian</w:t>
      </w:r>
      <w:r w:rsidR="00347F6D">
        <w:t xml:space="preserve"> Context</w:t>
      </w:r>
    </w:p>
    <w:p w14:paraId="34557507" w14:textId="77777777" w:rsidR="00170639" w:rsidRDefault="00314D9E" w:rsidP="00F64A0C">
      <w:pPr>
        <w:pStyle w:val="Normalnumbered"/>
        <w:spacing w:after="240" w:line="260" w:lineRule="exact"/>
      </w:pPr>
      <w:r>
        <w:t xml:space="preserve">In developing this </w:t>
      </w:r>
      <w:r w:rsidR="00E47C62">
        <w:t xml:space="preserve">Implementation </w:t>
      </w:r>
      <w:r w:rsidR="00593340">
        <w:t>Plan,</w:t>
      </w:r>
      <w:r>
        <w:t xml:space="preserve"> consideration has been given </w:t>
      </w:r>
      <w:r w:rsidR="005D0DE6">
        <w:t xml:space="preserve">to </w:t>
      </w:r>
      <w:r w:rsidR="00F11E19">
        <w:t>the Tasmanian</w:t>
      </w:r>
      <w:r w:rsidR="00347F6D">
        <w:t xml:space="preserve"> context.  Key factors that have influenced the proposed direction are</w:t>
      </w:r>
      <w:r w:rsidR="00F11E19">
        <w:t>:</w:t>
      </w:r>
    </w:p>
    <w:p w14:paraId="4D774E6E" w14:textId="77777777" w:rsidR="00005360" w:rsidRDefault="005D0DE6" w:rsidP="009820AA">
      <w:pPr>
        <w:pStyle w:val="Normalnumbered"/>
        <w:numPr>
          <w:ilvl w:val="1"/>
          <w:numId w:val="16"/>
        </w:numPr>
        <w:tabs>
          <w:tab w:val="clear" w:pos="1440"/>
          <w:tab w:val="num" w:pos="1134"/>
        </w:tabs>
        <w:spacing w:after="120"/>
        <w:ind w:left="1134" w:hanging="567"/>
      </w:pPr>
      <w:proofErr w:type="gramStart"/>
      <w:r>
        <w:t xml:space="preserve">A </w:t>
      </w:r>
      <w:r w:rsidR="00005360">
        <w:t>number of</w:t>
      </w:r>
      <w:proofErr w:type="gramEnd"/>
      <w:r w:rsidR="00005360">
        <w:t xml:space="preserve"> sectors of the Tasmanian economy</w:t>
      </w:r>
      <w:r w:rsidR="00146950">
        <w:t>, including</w:t>
      </w:r>
      <w:r w:rsidR="00005360">
        <w:t xml:space="preserve"> </w:t>
      </w:r>
      <w:r w:rsidR="00146950">
        <w:t>the energy and related sectors</w:t>
      </w:r>
      <w:r w:rsidR="00C83C24">
        <w:t>,</w:t>
      </w:r>
      <w:r w:rsidR="00146950">
        <w:t xml:space="preserve"> </w:t>
      </w:r>
      <w:r w:rsidR="00005360">
        <w:t>are</w:t>
      </w:r>
      <w:r w:rsidR="00146950">
        <w:t xml:space="preserve"> experiencing labour shortages in </w:t>
      </w:r>
      <w:r w:rsidR="00005360">
        <w:t xml:space="preserve">entry, semi-skilled and professional roles. </w:t>
      </w:r>
      <w:r w:rsidR="00146950">
        <w:t xml:space="preserve">High priorities are for </w:t>
      </w:r>
      <w:proofErr w:type="gramStart"/>
      <w:r w:rsidR="00F64A0C">
        <w:t>para-professionals</w:t>
      </w:r>
      <w:proofErr w:type="gramEnd"/>
      <w:r w:rsidR="00F64A0C">
        <w:t>,</w:t>
      </w:r>
      <w:r w:rsidR="00146950">
        <w:t xml:space="preserve"> high skilled trades, site and project managers, and team leaders.</w:t>
      </w:r>
      <w:r w:rsidR="006D303A" w:rsidRPr="006D303A">
        <w:t xml:space="preserve"> </w:t>
      </w:r>
      <w:r w:rsidR="006D303A">
        <w:t xml:space="preserve">Recently completed workforce development plans with Engineers Australia and the </w:t>
      </w:r>
      <w:r w:rsidR="00E52A79">
        <w:t xml:space="preserve">Civil Contractors Federation (CCF) </w:t>
      </w:r>
      <w:r w:rsidR="006D303A">
        <w:t xml:space="preserve">have identified there are skills needs gaps applicable to the engineering profession. </w:t>
      </w:r>
    </w:p>
    <w:p w14:paraId="7508B756" w14:textId="1488B5F7" w:rsidR="00C646A3" w:rsidRDefault="005D0DE6" w:rsidP="009820AA">
      <w:pPr>
        <w:pStyle w:val="Normalnumbered"/>
        <w:numPr>
          <w:ilvl w:val="1"/>
          <w:numId w:val="16"/>
        </w:numPr>
        <w:tabs>
          <w:tab w:val="clear" w:pos="1440"/>
          <w:tab w:val="num" w:pos="1134"/>
        </w:tabs>
        <w:spacing w:after="120"/>
        <w:ind w:left="1134" w:hanging="567"/>
      </w:pPr>
      <w:r>
        <w:t>Battery of the Nation</w:t>
      </w:r>
      <w:r w:rsidR="00AB0108">
        <w:t xml:space="preserve"> </w:t>
      </w:r>
      <w:r>
        <w:t xml:space="preserve">and other large </w:t>
      </w:r>
      <w:r w:rsidR="00AB0108">
        <w:t xml:space="preserve">renewable </w:t>
      </w:r>
      <w:r>
        <w:t xml:space="preserve">energy </w:t>
      </w:r>
      <w:r w:rsidR="00AB0108">
        <w:t xml:space="preserve">and related </w:t>
      </w:r>
      <w:r>
        <w:t>infrastructure projects,</w:t>
      </w:r>
      <w:r w:rsidR="00AB0108">
        <w:t xml:space="preserve"> need to be supported to </w:t>
      </w:r>
      <w:r w:rsidR="00AB0108" w:rsidRPr="00FB09E5">
        <w:t>make long-term investment</w:t>
      </w:r>
      <w:r w:rsidR="00AB0108">
        <w:t xml:space="preserve">s, knowing there </w:t>
      </w:r>
      <w:r w:rsidR="00AB0108" w:rsidRPr="00FB09E5">
        <w:t xml:space="preserve">will be a reliable pipeline of highly qualified workers </w:t>
      </w:r>
      <w:r w:rsidR="00AB0108">
        <w:t xml:space="preserve">available </w:t>
      </w:r>
      <w:r w:rsidR="00AB0108" w:rsidRPr="00FB09E5">
        <w:t>to meet their need</w:t>
      </w:r>
      <w:r w:rsidR="00AB0108">
        <w:t>s.</w:t>
      </w:r>
      <w:r>
        <w:t xml:space="preserve"> Thorough workforce development planning is needed in the sector to ensure industry and learners are incentivised</w:t>
      </w:r>
      <w:r w:rsidR="00C646A3">
        <w:t xml:space="preserve"> into qualifications </w:t>
      </w:r>
      <w:r>
        <w:t xml:space="preserve">that will have immediate </w:t>
      </w:r>
      <w:r w:rsidR="00C646A3">
        <w:t>employment opportunities</w:t>
      </w:r>
      <w:r w:rsidR="00AB0108">
        <w:t>, as well as supporting the longer-term needs of industry</w:t>
      </w:r>
      <w:r w:rsidR="00C646A3">
        <w:t>.</w:t>
      </w:r>
    </w:p>
    <w:p w14:paraId="6A6E553A" w14:textId="77777777" w:rsidR="00146950" w:rsidRDefault="00146950" w:rsidP="009820AA">
      <w:pPr>
        <w:pStyle w:val="Normalnumbered"/>
        <w:numPr>
          <w:ilvl w:val="1"/>
          <w:numId w:val="16"/>
        </w:numPr>
        <w:tabs>
          <w:tab w:val="clear" w:pos="1440"/>
          <w:tab w:val="num" w:pos="1134"/>
        </w:tabs>
        <w:spacing w:after="120"/>
        <w:ind w:left="1134" w:hanging="567"/>
      </w:pPr>
      <w:r>
        <w:t xml:space="preserve">The training market in Tasmania is experiencing capacity issues in delivering the training needed for the energy and related sectors. Responding to industry demand has been constrained by a gap in credible training offerings and industry-integrated models of delivery and shortfalls in providers with the necessary teaching capability. </w:t>
      </w:r>
      <w:r w:rsidR="00F64A0C">
        <w:t xml:space="preserve">Stimulating demand for training without addressing these issues is likely to be counterproductive. </w:t>
      </w:r>
    </w:p>
    <w:p w14:paraId="25C87CFF" w14:textId="77777777" w:rsidR="00005360" w:rsidRPr="00237664" w:rsidRDefault="00F64A0C" w:rsidP="009820AA">
      <w:pPr>
        <w:pStyle w:val="Normalnumbered"/>
        <w:numPr>
          <w:ilvl w:val="1"/>
          <w:numId w:val="16"/>
        </w:numPr>
        <w:tabs>
          <w:tab w:val="clear" w:pos="1440"/>
          <w:tab w:val="num" w:pos="1134"/>
        </w:tabs>
        <w:spacing w:after="120"/>
        <w:ind w:left="1134" w:hanging="567"/>
        <w:rPr>
          <w:color w:val="auto"/>
        </w:rPr>
      </w:pPr>
      <w:r w:rsidRPr="00237664">
        <w:rPr>
          <w:color w:val="auto"/>
        </w:rPr>
        <w:lastRenderedPageBreak/>
        <w:t>The Tasmanian Government</w:t>
      </w:r>
      <w:r w:rsidR="006D303A" w:rsidRPr="00237664">
        <w:rPr>
          <w:color w:val="auto"/>
        </w:rPr>
        <w:t>, through Skills Tasmania,</w:t>
      </w:r>
      <w:r w:rsidRPr="00237664">
        <w:rPr>
          <w:color w:val="auto"/>
        </w:rPr>
        <w:t xml:space="preserve"> have worked closely with </w:t>
      </w:r>
      <w:r w:rsidR="00C83C24">
        <w:rPr>
          <w:color w:val="auto"/>
        </w:rPr>
        <w:t>the Tasmanian Energy and Infrastructure Workforce Advisory Committee</w:t>
      </w:r>
      <w:r w:rsidRPr="00237664">
        <w:rPr>
          <w:color w:val="auto"/>
        </w:rPr>
        <w:t xml:space="preserve"> on the </w:t>
      </w:r>
      <w:r w:rsidR="00EC52D3">
        <w:rPr>
          <w:color w:val="auto"/>
        </w:rPr>
        <w:t>2020-21</w:t>
      </w:r>
      <w:r w:rsidRPr="00237664">
        <w:rPr>
          <w:color w:val="auto"/>
        </w:rPr>
        <w:t xml:space="preserve"> program of activity. </w:t>
      </w:r>
    </w:p>
    <w:p w14:paraId="176FFDD5" w14:textId="77777777" w:rsidR="00BD10DF" w:rsidRPr="00005360" w:rsidRDefault="009820AA" w:rsidP="00F64A0C">
      <w:pPr>
        <w:pStyle w:val="Normalnumbered"/>
        <w:numPr>
          <w:ilvl w:val="1"/>
          <w:numId w:val="16"/>
        </w:numPr>
        <w:tabs>
          <w:tab w:val="clear" w:pos="1440"/>
          <w:tab w:val="num" w:pos="1134"/>
        </w:tabs>
        <w:spacing w:after="120"/>
        <w:ind w:left="1134" w:hanging="567"/>
      </w:pPr>
      <w:r>
        <w:t>S</w:t>
      </w:r>
      <w:r w:rsidR="00BC2C65">
        <w:t>ince</w:t>
      </w:r>
      <w:r w:rsidR="00C32664" w:rsidRPr="00734F4B">
        <w:t xml:space="preserve"> 2017-18, the Tasmanian Government has focused training effort and funding on apprenticeships and traineeships (largely in response to the </w:t>
      </w:r>
      <w:r w:rsidR="00B441B6">
        <w:t>National Partnership</w:t>
      </w:r>
      <w:r w:rsidR="006902D5">
        <w:t>)</w:t>
      </w:r>
      <w:r w:rsidR="00C32664" w:rsidRPr="00734F4B">
        <w:t xml:space="preserve"> reducing capacity to support non-</w:t>
      </w:r>
      <w:r w:rsidR="00C32664" w:rsidRPr="00005360">
        <w:t>apprenticeships and traineeship qualifications.</w:t>
      </w:r>
    </w:p>
    <w:p w14:paraId="573609A4" w14:textId="77777777" w:rsidR="001C0042" w:rsidRPr="001C0042" w:rsidRDefault="001D6AD2" w:rsidP="00F64A0C">
      <w:pPr>
        <w:pStyle w:val="Normalnumbered"/>
        <w:numPr>
          <w:ilvl w:val="1"/>
          <w:numId w:val="16"/>
        </w:numPr>
        <w:tabs>
          <w:tab w:val="clear" w:pos="1440"/>
          <w:tab w:val="num" w:pos="1134"/>
        </w:tabs>
        <w:spacing w:after="120"/>
        <w:ind w:left="1134" w:hanging="567"/>
        <w:rPr>
          <w:i/>
        </w:rPr>
      </w:pPr>
      <w:r w:rsidRPr="00005360">
        <w:t>C</w:t>
      </w:r>
      <w:r w:rsidR="004D102B" w:rsidRPr="00005360">
        <w:t>ertificate I and II level qualifications</w:t>
      </w:r>
      <w:r w:rsidRPr="00005360">
        <w:t xml:space="preserve"> </w:t>
      </w:r>
      <w:r w:rsidR="009820AA">
        <w:t xml:space="preserve">play a particularly important role </w:t>
      </w:r>
      <w:r w:rsidRPr="00005360">
        <w:t>in the Tasmanian training market</w:t>
      </w:r>
      <w:r w:rsidR="009820AA">
        <w:t>. F</w:t>
      </w:r>
      <w:r w:rsidR="009820AA" w:rsidRPr="00005360">
        <w:t>or those with lower education attainment and literacy and numeracy levels</w:t>
      </w:r>
      <w:r w:rsidR="009820AA">
        <w:t>, these qualifications provide a legitimate pathway i</w:t>
      </w:r>
      <w:r w:rsidRPr="00005360">
        <w:t>n</w:t>
      </w:r>
      <w:r w:rsidR="004D102B" w:rsidRPr="00005360">
        <w:t>to full qualifications in energy related areas</w:t>
      </w:r>
    </w:p>
    <w:p w14:paraId="3E699AE3" w14:textId="0D6DE0B9" w:rsidR="00BD10DF" w:rsidRPr="009018B2" w:rsidRDefault="001C0042" w:rsidP="00F64A0C">
      <w:pPr>
        <w:pStyle w:val="Normalnumbered"/>
        <w:numPr>
          <w:ilvl w:val="1"/>
          <w:numId w:val="16"/>
        </w:numPr>
        <w:tabs>
          <w:tab w:val="clear" w:pos="1440"/>
          <w:tab w:val="num" w:pos="1134"/>
        </w:tabs>
        <w:spacing w:after="120"/>
        <w:ind w:left="1134" w:hanging="567"/>
        <w:rPr>
          <w:i/>
        </w:rPr>
      </w:pPr>
      <w:r w:rsidRPr="009018B2">
        <w:t xml:space="preserve">The project activities and milestones are exclusive of any </w:t>
      </w:r>
      <w:r w:rsidR="00471B5B" w:rsidRPr="009018B2">
        <w:t>activities</w:t>
      </w:r>
      <w:r w:rsidRPr="009018B2">
        <w:t xml:space="preserve"> that may be delivered under JobTrainer or any other Commonwealth funded program.</w:t>
      </w:r>
      <w:r w:rsidR="004D102B" w:rsidRPr="009018B2">
        <w:rPr>
          <w:i/>
        </w:rPr>
        <w:t xml:space="preserve"> </w:t>
      </w:r>
    </w:p>
    <w:p w14:paraId="7467CD61" w14:textId="77777777" w:rsidR="00CF0A72" w:rsidRDefault="004075BB" w:rsidP="004D2DD2">
      <w:pPr>
        <w:pStyle w:val="Normalnumbered"/>
        <w:spacing w:after="240" w:line="260" w:lineRule="exact"/>
      </w:pPr>
      <w:r>
        <w:t>S</w:t>
      </w:r>
      <w:r w:rsidR="00CF0A72">
        <w:t>pecific policies and initiatives that provide context for this Implementation Plan include:</w:t>
      </w:r>
    </w:p>
    <w:p w14:paraId="4D3EF70D" w14:textId="0BDA1C4C" w:rsidR="004C3EE7" w:rsidRPr="00237664" w:rsidRDefault="0066163B" w:rsidP="004D2DD2">
      <w:pPr>
        <w:pStyle w:val="Normalnumbered"/>
        <w:numPr>
          <w:ilvl w:val="0"/>
          <w:numId w:val="22"/>
        </w:numPr>
        <w:spacing w:after="240" w:line="260" w:lineRule="exact"/>
        <w:ind w:left="927"/>
        <w:rPr>
          <w:color w:val="auto"/>
        </w:rPr>
      </w:pPr>
      <w:r w:rsidRPr="00237664">
        <w:rPr>
          <w:color w:val="auto"/>
        </w:rPr>
        <w:t xml:space="preserve">The Tasmanian Government delivery of </w:t>
      </w:r>
      <w:r w:rsidR="00B441B6" w:rsidRPr="00237664">
        <w:rPr>
          <w:color w:val="auto"/>
        </w:rPr>
        <w:t xml:space="preserve">Skilling Australians Fund </w:t>
      </w:r>
      <w:r w:rsidRPr="00237664">
        <w:rPr>
          <w:color w:val="auto"/>
        </w:rPr>
        <w:t>project</w:t>
      </w:r>
      <w:r w:rsidR="00B441B6" w:rsidRPr="00237664">
        <w:rPr>
          <w:color w:val="auto"/>
        </w:rPr>
        <w:t xml:space="preserve"> and associated elements</w:t>
      </w:r>
      <w:r w:rsidRPr="00237664">
        <w:rPr>
          <w:color w:val="auto"/>
        </w:rPr>
        <w:t>, Building Tasmania’s Skills (1 July 2018 to 30 June 2022), focusing on increasing the number of apprentices and trainees and employment-related training opportunities in Tasmania in areas of industry need</w:t>
      </w:r>
      <w:r w:rsidR="00150330" w:rsidRPr="00237664">
        <w:rPr>
          <w:color w:val="auto"/>
        </w:rPr>
        <w:t>.</w:t>
      </w:r>
      <w:r w:rsidR="00AC1A8D" w:rsidRPr="00237664">
        <w:rPr>
          <w:color w:val="auto"/>
        </w:rPr>
        <w:t xml:space="preserve"> Energising Tasmania is intended to complement training effort under the Skilling Australians Fund. </w:t>
      </w:r>
    </w:p>
    <w:p w14:paraId="03988E76" w14:textId="77777777" w:rsidR="004C3EE7" w:rsidRDefault="00150330" w:rsidP="004D2DD2">
      <w:pPr>
        <w:pStyle w:val="Normalnumbered"/>
        <w:numPr>
          <w:ilvl w:val="0"/>
          <w:numId w:val="22"/>
        </w:numPr>
        <w:spacing w:after="240" w:line="260" w:lineRule="exact"/>
        <w:ind w:left="927"/>
      </w:pPr>
      <w:r>
        <w:t>The Australian and Tasmanian Governments Project Agreement for Marinus Link to progress towards the delivery of the definition and approvals phase of the Marinus Link project.</w:t>
      </w:r>
    </w:p>
    <w:p w14:paraId="0E9DE517" w14:textId="77777777" w:rsidR="000B2851" w:rsidRDefault="004075BB" w:rsidP="000B2851">
      <w:pPr>
        <w:pStyle w:val="Normalnumbered"/>
        <w:numPr>
          <w:ilvl w:val="0"/>
          <w:numId w:val="22"/>
        </w:numPr>
        <w:spacing w:after="240" w:line="260" w:lineRule="exact"/>
        <w:ind w:left="927"/>
      </w:pPr>
      <w:r>
        <w:t>The Battery of the Nation initiative, investigating and developing pathways of future development opportunities for Tasmania to make a greater contribution to the National Electricity Market (NEM).</w:t>
      </w:r>
    </w:p>
    <w:p w14:paraId="5A6A5AE0" w14:textId="77777777" w:rsidR="00044B0E" w:rsidRDefault="00FE47D4" w:rsidP="000B2851">
      <w:pPr>
        <w:pStyle w:val="Normalnumbered"/>
        <w:numPr>
          <w:ilvl w:val="0"/>
          <w:numId w:val="22"/>
        </w:numPr>
        <w:spacing w:after="240" w:line="260" w:lineRule="exact"/>
        <w:ind w:left="927"/>
      </w:pPr>
      <w:r>
        <w:t>The Tasmanian Government’s Renewable Energy Action Plan, outlining the vision and suite of actions to develop renewable energy generation in Tasmania over the coming 20 years.</w:t>
      </w:r>
    </w:p>
    <w:p w14:paraId="3D2D3411" w14:textId="77777777" w:rsidR="00FE47D4" w:rsidRDefault="00FE47D4" w:rsidP="000B2851">
      <w:pPr>
        <w:pStyle w:val="Normalnumbered"/>
        <w:numPr>
          <w:ilvl w:val="0"/>
          <w:numId w:val="22"/>
        </w:numPr>
        <w:spacing w:after="240" w:line="260" w:lineRule="exact"/>
        <w:ind w:left="927"/>
      </w:pPr>
      <w:r>
        <w:t>The Tasmanian Government’s Renewable Hydrogen Action Plan, setting out the vision to capitalise on our existing and expandable low-cost reliable renewable energy sources to become a world-leader in large-scale renewable hydrogen production for domestic use and export.</w:t>
      </w:r>
    </w:p>
    <w:p w14:paraId="0A335136" w14:textId="77777777" w:rsidR="00C83C24" w:rsidRDefault="00C83C24" w:rsidP="000B2851">
      <w:pPr>
        <w:pStyle w:val="Normalnumbered"/>
        <w:numPr>
          <w:ilvl w:val="0"/>
          <w:numId w:val="22"/>
        </w:numPr>
        <w:spacing w:after="240" w:line="260" w:lineRule="exact"/>
        <w:ind w:left="927"/>
      </w:pPr>
      <w:r>
        <w:t xml:space="preserve">The Premier’s Economic and Social Recovery Advisory Council (PESRAC), established to provide advice to the Premier on strategies and initiatives to support the short to medium, and the </w:t>
      </w:r>
      <w:proofErr w:type="gramStart"/>
      <w:r>
        <w:t>longer term</w:t>
      </w:r>
      <w:proofErr w:type="gramEnd"/>
      <w:r>
        <w:t xml:space="preserve"> recovery from COVID-19. PESRAC delivered an </w:t>
      </w:r>
      <w:r w:rsidR="005941BF">
        <w:t>Interim Report to the Premier in</w:t>
      </w:r>
      <w:r>
        <w:t xml:space="preserve"> July 2020.</w:t>
      </w:r>
    </w:p>
    <w:p w14:paraId="6DBF40B5" w14:textId="77777777" w:rsidR="00044B0E" w:rsidRDefault="00515848" w:rsidP="000B2851">
      <w:pPr>
        <w:pStyle w:val="Normalnumbered"/>
        <w:numPr>
          <w:ilvl w:val="0"/>
          <w:numId w:val="22"/>
        </w:numPr>
        <w:spacing w:after="240" w:line="260" w:lineRule="exact"/>
        <w:ind w:left="927"/>
      </w:pPr>
      <w:r>
        <w:t xml:space="preserve">The Tasmanian 30-Year Infrastructure Strategy which has been prepared to assist in informing the Tasmanian Government’s infrastructure investment decisions and to ensure appropriate </w:t>
      </w:r>
      <w:proofErr w:type="gramStart"/>
      <w:r>
        <w:t>long term</w:t>
      </w:r>
      <w:proofErr w:type="gramEnd"/>
      <w:r>
        <w:t xml:space="preserve"> planning for Tasmania’s future. The draft Strategy builds on the existing Tasmanian Infrastructure </w:t>
      </w:r>
      <w:r w:rsidR="00642C50">
        <w:t>Pipeline, which</w:t>
      </w:r>
      <w:r>
        <w:t xml:space="preserve"> </w:t>
      </w:r>
      <w:r w:rsidRPr="00515848">
        <w:t>identifies strategic infrastructure investments planned in the State over the next ten years.</w:t>
      </w:r>
    </w:p>
    <w:p w14:paraId="5D225384" w14:textId="77777777" w:rsidR="00C83C24" w:rsidRDefault="00C83C24" w:rsidP="00C83C24">
      <w:pPr>
        <w:pStyle w:val="Normalnumbered"/>
        <w:numPr>
          <w:ilvl w:val="0"/>
          <w:numId w:val="0"/>
        </w:numPr>
        <w:spacing w:after="240" w:line="260" w:lineRule="exact"/>
        <w:sectPr w:rsidR="00C83C24" w:rsidSect="00132D08">
          <w:pgSz w:w="11906" w:h="16838" w:code="9"/>
          <w:pgMar w:top="851" w:right="1440" w:bottom="1021" w:left="1440" w:header="624" w:footer="624" w:gutter="0"/>
          <w:cols w:space="708"/>
          <w:docGrid w:linePitch="360"/>
        </w:sectPr>
      </w:pPr>
    </w:p>
    <w:p w14:paraId="08EAE139" w14:textId="77777777" w:rsidR="00593340" w:rsidRDefault="00593340">
      <w:pPr>
        <w:rPr>
          <w:rFonts w:cs="Arial"/>
          <w:b/>
          <w:bCs/>
          <w:iCs/>
          <w:color w:val="3D4B67"/>
          <w:sz w:val="29"/>
          <w:szCs w:val="28"/>
        </w:rPr>
      </w:pPr>
    </w:p>
    <w:p w14:paraId="35CEFB42" w14:textId="77777777" w:rsidR="0036688B" w:rsidRPr="00A36A37" w:rsidRDefault="0036688B" w:rsidP="00A17D70">
      <w:pPr>
        <w:pStyle w:val="Heading2"/>
      </w:pPr>
      <w:r w:rsidRPr="00A36A37">
        <w:t>Sign off</w:t>
      </w:r>
    </w:p>
    <w:p w14:paraId="6089EB9D" w14:textId="77777777" w:rsidR="0036688B" w:rsidRDefault="0036688B" w:rsidP="0036688B">
      <w:pPr>
        <w:spacing w:after="240" w:line="260" w:lineRule="exact"/>
        <w:jc w:val="both"/>
        <w:rPr>
          <w:color w:val="000000"/>
          <w:szCs w:val="20"/>
          <w:lang w:val="en-GB"/>
        </w:rPr>
      </w:pPr>
      <w:r w:rsidRPr="00B06563">
        <w:rPr>
          <w:color w:val="000000"/>
          <w:szCs w:val="20"/>
          <w:lang w:val="en-GB"/>
        </w:rPr>
        <w:t>The Parties have confirmed their commitment to this agreement as follows:</w:t>
      </w:r>
    </w:p>
    <w:p w14:paraId="2620E1AB" w14:textId="77777777" w:rsidR="00132D08" w:rsidRDefault="00132D08" w:rsidP="0036688B">
      <w:pPr>
        <w:spacing w:after="240" w:line="260" w:lineRule="exact"/>
        <w:jc w:val="both"/>
        <w:rPr>
          <w:color w:val="000000"/>
          <w:szCs w:val="20"/>
          <w:lang w:val="en-GB"/>
        </w:rPr>
      </w:pPr>
    </w:p>
    <w:p w14:paraId="567E2BB8" w14:textId="77777777" w:rsidR="00132D08" w:rsidRDefault="00132D08" w:rsidP="0036688B">
      <w:pPr>
        <w:spacing w:after="240" w:line="260" w:lineRule="exact"/>
        <w:jc w:val="both"/>
        <w:rPr>
          <w:color w:val="000000"/>
          <w:szCs w:val="20"/>
          <w:lang w:val="en-GB"/>
        </w:rPr>
      </w:pPr>
    </w:p>
    <w:p w14:paraId="41602070" w14:textId="77777777" w:rsidR="00132D08" w:rsidRDefault="00132D08" w:rsidP="0036688B">
      <w:pPr>
        <w:spacing w:after="240" w:line="260" w:lineRule="exact"/>
        <w:jc w:val="both"/>
        <w:rPr>
          <w:color w:val="000000"/>
          <w:szCs w:val="20"/>
          <w:lang w:val="en-GB"/>
        </w:rPr>
      </w:pPr>
    </w:p>
    <w:p w14:paraId="1FC9466D" w14:textId="245AD5E3" w:rsidR="00132D08" w:rsidRPr="00B06563" w:rsidRDefault="000C2C69" w:rsidP="0036688B">
      <w:pPr>
        <w:spacing w:after="240" w:line="260" w:lineRule="exact"/>
        <w:jc w:val="both"/>
        <w:rPr>
          <w:color w:val="000000"/>
          <w:szCs w:val="20"/>
          <w:lang w:val="en-GB"/>
        </w:rPr>
      </w:pPr>
      <w:r>
        <w:rPr>
          <w:noProof/>
        </w:rPr>
        <w:drawing>
          <wp:anchor distT="0" distB="0" distL="114300" distR="114300" simplePos="0" relativeHeight="251658240" behindDoc="0" locked="0" layoutInCell="1" allowOverlap="1" wp14:anchorId="2B8968F5" wp14:editId="653A4C9B">
            <wp:simplePos x="0" y="0"/>
            <wp:positionH relativeFrom="column">
              <wp:posOffset>0</wp:posOffset>
            </wp:positionH>
            <wp:positionV relativeFrom="paragraph">
              <wp:posOffset>-287655</wp:posOffset>
            </wp:positionV>
            <wp:extent cx="1171575" cy="409575"/>
            <wp:effectExtent l="0" t="0" r="9525" b="9525"/>
            <wp:wrapThrough wrapText="bothSides">
              <wp:wrapPolygon edited="0">
                <wp:start x="0" y="0"/>
                <wp:lineTo x="0" y="21098"/>
                <wp:lineTo x="21424" y="21098"/>
                <wp:lineTo x="2142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anchor>
        </w:drawing>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36688B" w:rsidRPr="008A2566" w14:paraId="2273AF1A" w14:textId="77777777" w:rsidTr="007A36B5">
        <w:tc>
          <w:tcPr>
            <w:tcW w:w="5070" w:type="dxa"/>
            <w:tcBorders>
              <w:top w:val="nil"/>
              <w:bottom w:val="single" w:sz="4" w:space="0" w:color="A6A6A6"/>
              <w:right w:val="nil"/>
            </w:tcBorders>
            <w:vAlign w:val="center"/>
          </w:tcPr>
          <w:p w14:paraId="079F7FFE" w14:textId="77777777" w:rsidR="0036688B" w:rsidRPr="008A2566" w:rsidRDefault="0036688B" w:rsidP="007A36B5">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0CFDF630" w14:textId="77777777" w:rsidR="0036688B" w:rsidRPr="000A1323" w:rsidRDefault="0036688B" w:rsidP="007A36B5">
            <w:pPr>
              <w:spacing w:before="120" w:after="120" w:line="280" w:lineRule="exact"/>
              <w:rPr>
                <w:b/>
                <w:bCs/>
                <w:color w:val="C00000"/>
              </w:rPr>
            </w:pPr>
          </w:p>
        </w:tc>
        <w:tc>
          <w:tcPr>
            <w:tcW w:w="3889" w:type="dxa"/>
            <w:tcBorders>
              <w:top w:val="nil"/>
              <w:left w:val="nil"/>
              <w:bottom w:val="single" w:sz="4" w:space="0" w:color="A6A6A6"/>
            </w:tcBorders>
            <w:vAlign w:val="center"/>
          </w:tcPr>
          <w:p w14:paraId="05DA4AC9" w14:textId="45A6CDEE" w:rsidR="0036688B" w:rsidRPr="008A2566" w:rsidRDefault="0036688B" w:rsidP="007A36B5">
            <w:pPr>
              <w:spacing w:before="120" w:after="120" w:line="280" w:lineRule="exact"/>
            </w:pPr>
            <w:r w:rsidRPr="000A1323">
              <w:rPr>
                <w:b/>
                <w:bCs/>
                <w:color w:val="C00000"/>
              </w:rPr>
              <w:t>Date</w:t>
            </w:r>
            <w:r w:rsidR="000C2C69">
              <w:rPr>
                <w:b/>
                <w:bCs/>
                <w:color w:val="C00000"/>
              </w:rPr>
              <w:t xml:space="preserve">   </w:t>
            </w:r>
            <w:r w:rsidR="000C2C69" w:rsidRPr="000C2C69">
              <w:rPr>
                <w:b/>
                <w:bCs/>
                <w:color w:val="auto"/>
              </w:rPr>
              <w:t xml:space="preserve"> 16 August 2021</w:t>
            </w:r>
          </w:p>
        </w:tc>
      </w:tr>
      <w:tr w:rsidR="0036688B" w:rsidRPr="008A2566" w14:paraId="70E23F75" w14:textId="77777777" w:rsidTr="007A36B5">
        <w:tc>
          <w:tcPr>
            <w:tcW w:w="9242" w:type="dxa"/>
            <w:gridSpan w:val="3"/>
            <w:tcBorders>
              <w:top w:val="single" w:sz="4" w:space="0" w:color="A6A6A6"/>
            </w:tcBorders>
          </w:tcPr>
          <w:p w14:paraId="4B11471F" w14:textId="77777777" w:rsidR="0036688B" w:rsidRPr="008A2566" w:rsidRDefault="001A5D90" w:rsidP="00895C19">
            <w:pPr>
              <w:spacing w:after="960" w:line="280" w:lineRule="exact"/>
            </w:pPr>
            <w:r>
              <w:rPr>
                <w:b/>
                <w:bCs/>
                <w:color w:val="365F91"/>
              </w:rPr>
              <w:t>General Manager, Skills Tasmania</w:t>
            </w:r>
          </w:p>
        </w:tc>
      </w:tr>
      <w:tr w:rsidR="0036688B" w:rsidRPr="008A2566" w14:paraId="2A5875C8" w14:textId="77777777" w:rsidTr="007A36B5">
        <w:tc>
          <w:tcPr>
            <w:tcW w:w="5070" w:type="dxa"/>
            <w:tcBorders>
              <w:top w:val="nil"/>
              <w:bottom w:val="single" w:sz="4" w:space="0" w:color="A6A6A6"/>
              <w:right w:val="nil"/>
            </w:tcBorders>
            <w:vAlign w:val="center"/>
          </w:tcPr>
          <w:p w14:paraId="32A96B7C" w14:textId="77777777" w:rsidR="00132D08" w:rsidRDefault="00132D08" w:rsidP="007A36B5">
            <w:pPr>
              <w:spacing w:before="120" w:after="120" w:line="280" w:lineRule="exact"/>
              <w:rPr>
                <w:b/>
                <w:bCs/>
                <w:color w:val="C00000"/>
              </w:rPr>
            </w:pPr>
          </w:p>
          <w:p w14:paraId="288D30D1" w14:textId="3B99F626" w:rsidR="00132D08" w:rsidRDefault="00132D08" w:rsidP="007A36B5">
            <w:pPr>
              <w:spacing w:before="120" w:after="120" w:line="280" w:lineRule="exact"/>
              <w:rPr>
                <w:b/>
                <w:bCs/>
                <w:color w:val="C00000"/>
              </w:rPr>
            </w:pPr>
          </w:p>
          <w:p w14:paraId="4B968151" w14:textId="66AC1089" w:rsidR="00132D08" w:rsidRDefault="006727CD" w:rsidP="007A36B5">
            <w:pPr>
              <w:spacing w:before="120" w:after="120" w:line="280" w:lineRule="exact"/>
              <w:rPr>
                <w:b/>
                <w:bCs/>
                <w:color w:val="C00000"/>
              </w:rPr>
            </w:pPr>
            <w:r>
              <w:rPr>
                <w:b/>
                <w:bCs/>
                <w:noProof/>
                <w:color w:val="C00000"/>
              </w:rPr>
              <w:drawing>
                <wp:anchor distT="0" distB="0" distL="114300" distR="114300" simplePos="0" relativeHeight="251659264" behindDoc="0" locked="0" layoutInCell="1" allowOverlap="1" wp14:anchorId="66D28A8B" wp14:editId="0F34F632">
                  <wp:simplePos x="0" y="0"/>
                  <wp:positionH relativeFrom="column">
                    <wp:posOffset>-69215</wp:posOffset>
                  </wp:positionH>
                  <wp:positionV relativeFrom="paragraph">
                    <wp:posOffset>212725</wp:posOffset>
                  </wp:positionV>
                  <wp:extent cx="1872615" cy="558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1872615" cy="558165"/>
                          </a:xfrm>
                          <a:prstGeom prst="rect">
                            <a:avLst/>
                          </a:prstGeom>
                        </pic:spPr>
                      </pic:pic>
                    </a:graphicData>
                  </a:graphic>
                  <wp14:sizeRelH relativeFrom="page">
                    <wp14:pctWidth>0</wp14:pctWidth>
                  </wp14:sizeRelH>
                  <wp14:sizeRelV relativeFrom="page">
                    <wp14:pctHeight>0</wp14:pctHeight>
                  </wp14:sizeRelV>
                </wp:anchor>
              </w:drawing>
            </w:r>
          </w:p>
          <w:p w14:paraId="67EBCD86" w14:textId="19DA4C41" w:rsidR="00132D08" w:rsidRDefault="00132D08" w:rsidP="007A36B5">
            <w:pPr>
              <w:spacing w:before="120" w:after="120" w:line="280" w:lineRule="exact"/>
              <w:rPr>
                <w:b/>
                <w:bCs/>
                <w:color w:val="C00000"/>
              </w:rPr>
            </w:pPr>
          </w:p>
          <w:p w14:paraId="5C388A5C" w14:textId="77777777" w:rsidR="00132D08" w:rsidRDefault="00132D08" w:rsidP="007A36B5">
            <w:pPr>
              <w:spacing w:before="120" w:after="120" w:line="280" w:lineRule="exact"/>
              <w:rPr>
                <w:b/>
                <w:bCs/>
                <w:color w:val="C00000"/>
              </w:rPr>
            </w:pPr>
          </w:p>
          <w:p w14:paraId="0020CEDB" w14:textId="77777777" w:rsidR="0036688B" w:rsidRPr="008A2566" w:rsidRDefault="0036688B" w:rsidP="007A36B5">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05AC5C76" w14:textId="77777777" w:rsidR="0036688B" w:rsidRPr="000A1323" w:rsidRDefault="0036688B" w:rsidP="007A36B5">
            <w:pPr>
              <w:spacing w:before="120" w:after="120" w:line="280" w:lineRule="exact"/>
              <w:rPr>
                <w:b/>
                <w:bCs/>
                <w:color w:val="C00000"/>
              </w:rPr>
            </w:pPr>
          </w:p>
        </w:tc>
        <w:tc>
          <w:tcPr>
            <w:tcW w:w="3889" w:type="dxa"/>
            <w:tcBorders>
              <w:top w:val="nil"/>
              <w:left w:val="nil"/>
              <w:bottom w:val="single" w:sz="4" w:space="0" w:color="A6A6A6"/>
            </w:tcBorders>
            <w:vAlign w:val="center"/>
          </w:tcPr>
          <w:p w14:paraId="4063D77C" w14:textId="77777777" w:rsidR="00132D08" w:rsidRDefault="00132D08" w:rsidP="007A36B5">
            <w:pPr>
              <w:spacing w:before="120" w:after="120" w:line="280" w:lineRule="exact"/>
              <w:rPr>
                <w:b/>
                <w:bCs/>
                <w:color w:val="C00000"/>
              </w:rPr>
            </w:pPr>
          </w:p>
          <w:p w14:paraId="514E963C" w14:textId="77777777" w:rsidR="00132D08" w:rsidRDefault="00132D08" w:rsidP="007A36B5">
            <w:pPr>
              <w:spacing w:before="120" w:after="120" w:line="280" w:lineRule="exact"/>
              <w:rPr>
                <w:b/>
                <w:bCs/>
                <w:color w:val="C00000"/>
              </w:rPr>
            </w:pPr>
          </w:p>
          <w:p w14:paraId="4EE65BDB" w14:textId="77777777" w:rsidR="00132D08" w:rsidRDefault="00132D08" w:rsidP="007A36B5">
            <w:pPr>
              <w:spacing w:before="120" w:after="120" w:line="280" w:lineRule="exact"/>
              <w:rPr>
                <w:b/>
                <w:bCs/>
                <w:color w:val="C00000"/>
              </w:rPr>
            </w:pPr>
          </w:p>
          <w:p w14:paraId="765EB526" w14:textId="5FF85362" w:rsidR="0036688B" w:rsidRPr="008A2566" w:rsidRDefault="0036688B" w:rsidP="007A36B5">
            <w:pPr>
              <w:spacing w:before="120" w:after="120" w:line="280" w:lineRule="exact"/>
            </w:pPr>
            <w:r w:rsidRPr="000A1323">
              <w:rPr>
                <w:b/>
                <w:bCs/>
                <w:color w:val="C00000"/>
              </w:rPr>
              <w:t>Date</w:t>
            </w:r>
            <w:r w:rsidR="006727CD">
              <w:rPr>
                <w:b/>
                <w:bCs/>
                <w:color w:val="C00000"/>
              </w:rPr>
              <w:t xml:space="preserve">  </w:t>
            </w:r>
            <w:r w:rsidR="006727CD" w:rsidRPr="006727CD">
              <w:rPr>
                <w:b/>
                <w:bCs/>
                <w:color w:val="auto"/>
              </w:rPr>
              <w:t>20 September 2021</w:t>
            </w:r>
            <w:r w:rsidR="006727CD">
              <w:rPr>
                <w:b/>
                <w:bCs/>
                <w:color w:val="C00000"/>
              </w:rPr>
              <w:t xml:space="preserve"> </w:t>
            </w:r>
          </w:p>
        </w:tc>
      </w:tr>
      <w:tr w:rsidR="0036688B" w:rsidRPr="008A2566" w14:paraId="206EA225" w14:textId="77777777" w:rsidTr="007A36B5">
        <w:trPr>
          <w:trHeight w:val="822"/>
        </w:trPr>
        <w:tc>
          <w:tcPr>
            <w:tcW w:w="9242" w:type="dxa"/>
            <w:gridSpan w:val="3"/>
          </w:tcPr>
          <w:p w14:paraId="1EAB409E" w14:textId="585EBB3E" w:rsidR="001A5D90" w:rsidRDefault="001A5D90" w:rsidP="001A5D90">
            <w:pPr>
              <w:spacing w:after="120" w:line="280" w:lineRule="exact"/>
              <w:rPr>
                <w:b/>
                <w:bCs/>
                <w:color w:val="365F91"/>
              </w:rPr>
            </w:pPr>
            <w:r>
              <w:rPr>
                <w:b/>
                <w:bCs/>
                <w:color w:val="365F91"/>
              </w:rPr>
              <w:t>First Assistant Secretary, Apprenticeships and Workforce Skills Division</w:t>
            </w:r>
          </w:p>
          <w:p w14:paraId="2ADAA166" w14:textId="77777777" w:rsidR="001A5D90" w:rsidRPr="00B06563" w:rsidRDefault="001A5D90" w:rsidP="003E2CA7">
            <w:pPr>
              <w:spacing w:after="960" w:line="280" w:lineRule="exact"/>
              <w:rPr>
                <w:b/>
                <w:bCs/>
                <w:color w:val="365F91"/>
              </w:rPr>
            </w:pPr>
            <w:r>
              <w:rPr>
                <w:b/>
                <w:bCs/>
                <w:color w:val="365F91"/>
              </w:rPr>
              <w:t xml:space="preserve">Department of </w:t>
            </w:r>
            <w:r w:rsidR="003E2CA7">
              <w:rPr>
                <w:b/>
                <w:bCs/>
                <w:color w:val="365F91"/>
              </w:rPr>
              <w:t>Education</w:t>
            </w:r>
            <w:r>
              <w:rPr>
                <w:b/>
                <w:bCs/>
                <w:color w:val="365F91"/>
              </w:rPr>
              <w:t xml:space="preserve">, Skills, and </w:t>
            </w:r>
            <w:r w:rsidR="003E2CA7">
              <w:rPr>
                <w:b/>
                <w:bCs/>
                <w:color w:val="365F91"/>
              </w:rPr>
              <w:t>Employment</w:t>
            </w:r>
          </w:p>
        </w:tc>
      </w:tr>
    </w:tbl>
    <w:p w14:paraId="4F4F21FC" w14:textId="77777777" w:rsidR="00695DE1" w:rsidRDefault="00695DE1" w:rsidP="00A17D70">
      <w:pPr>
        <w:pStyle w:val="Heading2"/>
      </w:pPr>
    </w:p>
    <w:p w14:paraId="29D79165" w14:textId="77777777" w:rsidR="0036688B" w:rsidRDefault="0036688B" w:rsidP="00695DE1"/>
    <w:sectPr w:rsidR="0036688B" w:rsidSect="00132D08">
      <w:pgSz w:w="11906" w:h="16838" w:code="9"/>
      <w:pgMar w:top="851" w:right="1440" w:bottom="1021"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DC1B" w14:textId="77777777" w:rsidR="00E61D2C" w:rsidRDefault="00E61D2C" w:rsidP="00520331">
      <w:r>
        <w:separator/>
      </w:r>
    </w:p>
  </w:endnote>
  <w:endnote w:type="continuationSeparator" w:id="0">
    <w:p w14:paraId="478FB8F4" w14:textId="77777777" w:rsidR="00E61D2C" w:rsidRDefault="00E61D2C"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CE26" w14:textId="5F8D074D"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814E53">
      <w:rPr>
        <w:noProof/>
        <w:sz w:val="20"/>
        <w:szCs w:val="20"/>
      </w:rPr>
      <w:t>3</w:t>
    </w:r>
    <w:r>
      <w:rPr>
        <w:sz w:val="20"/>
        <w:szCs w:val="20"/>
      </w:rPr>
      <w:fldChar w:fldCharType="end"/>
    </w:r>
  </w:p>
  <w:p w14:paraId="1BB86E89" w14:textId="77777777" w:rsidR="00E37B4C" w:rsidRDefault="00E37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A935D" w14:textId="77777777" w:rsidR="00E61D2C" w:rsidRDefault="00E61D2C" w:rsidP="00520331">
      <w:r>
        <w:separator/>
      </w:r>
    </w:p>
  </w:footnote>
  <w:footnote w:type="continuationSeparator" w:id="0">
    <w:p w14:paraId="6007F342" w14:textId="77777777" w:rsidR="00E61D2C" w:rsidRDefault="00E61D2C" w:rsidP="005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141E" w14:textId="77777777" w:rsidR="007C2B5D" w:rsidRDefault="007C2B5D">
    <w:pPr>
      <w:pStyle w:val="Header"/>
    </w:pPr>
    <w:r>
      <w:rPr>
        <w:noProof/>
      </w:rPr>
      <mc:AlternateContent>
        <mc:Choice Requires="wps">
          <w:drawing>
            <wp:anchor distT="0" distB="0" distL="114300" distR="114300" simplePos="0" relativeHeight="251657728" behindDoc="0" locked="1" layoutInCell="0" allowOverlap="1" wp14:anchorId="5B54EEB3" wp14:editId="64561CDF">
              <wp:simplePos x="0" y="0"/>
              <wp:positionH relativeFrom="margin">
                <wp:align>center</wp:align>
              </wp:positionH>
              <wp:positionV relativeFrom="bottomMargin">
                <wp:align>center</wp:align>
              </wp:positionV>
              <wp:extent cx="892175" cy="273050"/>
              <wp:effectExtent l="0" t="0" r="0" b="0"/>
              <wp:wrapNone/>
              <wp:docPr id="2" name="janusSEAL SC Foot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3A49B7" w14:textId="7DC0ED60" w:rsidR="007C2B5D" w:rsidRPr="00FA05C5" w:rsidRDefault="00FA05C5" w:rsidP="00FA05C5">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0255A3">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54EEB3" id="_x0000_t202" coordsize="21600,21600" o:spt="202" path="m,l,21600r21600,l21600,xe">
              <v:stroke joinstyle="miter"/>
              <v:path gradientshapeok="t" o:connecttype="rect"/>
            </v:shapetype>
            <v:shape id="janusSEAL SC Footer" o:spid="_x0000_s1026" type="#_x0000_t202" style="position:absolute;margin-left:0;margin-top:0;width:70.25pt;height:21.5pt;z-index:25165772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" o:allowincell="f" filled="f" stroked="f" strokeweight=".5pt">
              <v:textbox style="mso-fit-shape-to-text:t">
                <w:txbxContent>
                  <w:p w14:paraId="343A49B7" w14:textId="7DC0ED60" w:rsidR="007C2B5D" w:rsidRPr="00FA05C5" w:rsidRDefault="00FA05C5" w:rsidP="00FA05C5">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0255A3">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0" allowOverlap="1" wp14:anchorId="569E7AAA" wp14:editId="18D4BBEE">
              <wp:simplePos x="0" y="0"/>
              <wp:positionH relativeFrom="margin">
                <wp:align>center</wp:align>
              </wp:positionH>
              <wp:positionV relativeFrom="topMargin">
                <wp:align>center</wp:align>
              </wp:positionV>
              <wp:extent cx="892175" cy="27305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45C03" w14:textId="04588F4F" w:rsidR="007C2B5D" w:rsidRPr="00FA05C5" w:rsidRDefault="00FA05C5" w:rsidP="00FA05C5">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0255A3">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E7AAA" id="janusSEAL SC Header" o:spid="_x0000_s1027" type="#_x0000_t202" style="position:absolute;margin-left:0;margin-top:0;width:70.25pt;height:21.5pt;z-index:25165670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" o:allowincell="f" filled="f" stroked="f" strokeweight=".5pt">
              <v:textbox style="mso-fit-shape-to-text:t">
                <w:txbxContent>
                  <w:p w14:paraId="73A45C03" w14:textId="04588F4F" w:rsidR="007C2B5D" w:rsidRPr="00FA05C5" w:rsidRDefault="00FA05C5" w:rsidP="00FA05C5">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0255A3">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D1F2D"/>
    <w:multiLevelType w:val="hybridMultilevel"/>
    <w:tmpl w:val="516C3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3" w15:restartNumberingAfterBreak="0">
    <w:nsid w:val="0DDA20FF"/>
    <w:multiLevelType w:val="hybridMultilevel"/>
    <w:tmpl w:val="14A2F336"/>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1F0064"/>
    <w:multiLevelType w:val="hybridMultilevel"/>
    <w:tmpl w:val="C360C4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6" w15:restartNumberingAfterBreak="0">
    <w:nsid w:val="29850EF4"/>
    <w:multiLevelType w:val="hybridMultilevel"/>
    <w:tmpl w:val="98184B6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2C700FF7"/>
    <w:multiLevelType w:val="hybridMultilevel"/>
    <w:tmpl w:val="5A2A7656"/>
    <w:lvl w:ilvl="0" w:tplc="379227B2">
      <w:start w:val="30"/>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B2E6E"/>
    <w:multiLevelType w:val="hybridMultilevel"/>
    <w:tmpl w:val="C2C45C5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2F063F01"/>
    <w:multiLevelType w:val="hybridMultilevel"/>
    <w:tmpl w:val="73E46AB4"/>
    <w:lvl w:ilvl="0" w:tplc="AB509BEA">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BA6F6C"/>
    <w:multiLevelType w:val="hybridMultilevel"/>
    <w:tmpl w:val="B27A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13" w15:restartNumberingAfterBreak="0">
    <w:nsid w:val="37E16F9F"/>
    <w:multiLevelType w:val="hybridMultilevel"/>
    <w:tmpl w:val="EEBC4A28"/>
    <w:lvl w:ilvl="0" w:tplc="AB509BEA">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4D0225"/>
    <w:multiLevelType w:val="hybridMultilevel"/>
    <w:tmpl w:val="E5EC2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7" w15:restartNumberingAfterBreak="0">
    <w:nsid w:val="4A810A2D"/>
    <w:multiLevelType w:val="hybridMultilevel"/>
    <w:tmpl w:val="3388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9"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1"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22"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23" w15:restartNumberingAfterBreak="0">
    <w:nsid w:val="66B0398A"/>
    <w:multiLevelType w:val="hybridMultilevel"/>
    <w:tmpl w:val="11A2B934"/>
    <w:lvl w:ilvl="0" w:tplc="A76EBCC0">
      <w:start w:val="1"/>
      <w:numFmt w:val="decimal"/>
      <w:lvlText w:val="%1."/>
      <w:lvlJc w:val="left"/>
      <w:pPr>
        <w:tabs>
          <w:tab w:val="num" w:pos="567"/>
        </w:tabs>
        <w:ind w:left="567" w:hanging="567"/>
      </w:pPr>
      <w:rPr>
        <w:rFonts w:cs="Times New Roman" w:hint="default"/>
      </w:rPr>
    </w:lvl>
    <w:lvl w:ilvl="1" w:tplc="A78C0F04">
      <w:start w:val="1"/>
      <w:numFmt w:val="lowerLetter"/>
      <w:lvlText w:val="(%2)"/>
      <w:lvlJc w:val="left"/>
      <w:pPr>
        <w:tabs>
          <w:tab w:val="num" w:pos="1440"/>
        </w:tabs>
        <w:ind w:left="1440" w:hanging="360"/>
      </w:pPr>
      <w:rPr>
        <w:rFonts w:cs="Times New Roman" w:hint="default"/>
        <w:i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4"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5"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26" w15:restartNumberingAfterBreak="0">
    <w:nsid w:val="78854AAC"/>
    <w:multiLevelType w:val="hybridMultilevel"/>
    <w:tmpl w:val="AC7815F4"/>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7AEE6056"/>
    <w:multiLevelType w:val="hybridMultilevel"/>
    <w:tmpl w:val="423088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9"/>
  </w:num>
  <w:num w:numId="4">
    <w:abstractNumId w:val="5"/>
  </w:num>
  <w:num w:numId="5">
    <w:abstractNumId w:val="20"/>
  </w:num>
  <w:num w:numId="6">
    <w:abstractNumId w:val="2"/>
  </w:num>
  <w:num w:numId="7">
    <w:abstractNumId w:val="21"/>
  </w:num>
  <w:num w:numId="8">
    <w:abstractNumId w:val="15"/>
  </w:num>
  <w:num w:numId="9">
    <w:abstractNumId w:val="26"/>
  </w:num>
  <w:num w:numId="10">
    <w:abstractNumId w:val="24"/>
  </w:num>
  <w:num w:numId="11">
    <w:abstractNumId w:val="25"/>
  </w:num>
  <w:num w:numId="12">
    <w:abstractNumId w:val="28"/>
  </w:num>
  <w:num w:numId="13">
    <w:abstractNumId w:val="22"/>
  </w:num>
  <w:num w:numId="14">
    <w:abstractNumId w:val="12"/>
  </w:num>
  <w:num w:numId="15">
    <w:abstractNumId w:val="18"/>
  </w:num>
  <w:num w:numId="16">
    <w:abstractNumId w:val="23"/>
  </w:num>
  <w:num w:numId="17">
    <w:abstractNumId w:val="26"/>
  </w:num>
  <w:num w:numId="18">
    <w:abstractNumId w:val="26"/>
  </w:num>
  <w:num w:numId="19">
    <w:abstractNumId w:val="26"/>
  </w:num>
  <w:num w:numId="20">
    <w:abstractNumId w:val="9"/>
  </w:num>
  <w:num w:numId="21">
    <w:abstractNumId w:val="26"/>
  </w:num>
  <w:num w:numId="22">
    <w:abstractNumId w:val="13"/>
  </w:num>
  <w:num w:numId="23">
    <w:abstractNumId w:val="3"/>
  </w:num>
  <w:num w:numId="24">
    <w:abstractNumId w:val="26"/>
  </w:num>
  <w:num w:numId="25">
    <w:abstractNumId w:val="26"/>
  </w:num>
  <w:num w:numId="26">
    <w:abstractNumId w:val="2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0"/>
  </w:num>
  <w:num w:numId="33">
    <w:abstractNumId w:val="4"/>
  </w:num>
  <w:num w:numId="34">
    <w:abstractNumId w:val="14"/>
  </w:num>
  <w:num w:numId="35">
    <w:abstractNumId w:val="27"/>
  </w:num>
  <w:num w:numId="36">
    <w:abstractNumId w:val="7"/>
  </w:num>
  <w:num w:numId="37">
    <w:abstractNumId w:val="8"/>
  </w:num>
  <w:num w:numId="38">
    <w:abstractNumId w:val="10"/>
  </w:num>
  <w:num w:numId="39">
    <w:abstractNumId w:val="6"/>
  </w:num>
  <w:num w:numId="40">
    <w:abstractNumId w:val="1"/>
  </w:num>
  <w:num w:numId="4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7E"/>
    <w:rsid w:val="000014B1"/>
    <w:rsid w:val="000020C5"/>
    <w:rsid w:val="00003A92"/>
    <w:rsid w:val="00003EAE"/>
    <w:rsid w:val="00005360"/>
    <w:rsid w:val="0001144A"/>
    <w:rsid w:val="00011DA2"/>
    <w:rsid w:val="00012AAE"/>
    <w:rsid w:val="00013A91"/>
    <w:rsid w:val="00013E1F"/>
    <w:rsid w:val="00017685"/>
    <w:rsid w:val="00020F09"/>
    <w:rsid w:val="00023C24"/>
    <w:rsid w:val="000240B5"/>
    <w:rsid w:val="00024B99"/>
    <w:rsid w:val="000255A3"/>
    <w:rsid w:val="0002586A"/>
    <w:rsid w:val="00025F50"/>
    <w:rsid w:val="00026318"/>
    <w:rsid w:val="00030D2D"/>
    <w:rsid w:val="00030F67"/>
    <w:rsid w:val="00034877"/>
    <w:rsid w:val="000375F8"/>
    <w:rsid w:val="00041625"/>
    <w:rsid w:val="0004432A"/>
    <w:rsid w:val="00044B0E"/>
    <w:rsid w:val="00044E74"/>
    <w:rsid w:val="00045778"/>
    <w:rsid w:val="00045AD7"/>
    <w:rsid w:val="00047AA6"/>
    <w:rsid w:val="00047FE7"/>
    <w:rsid w:val="000509D8"/>
    <w:rsid w:val="000516ED"/>
    <w:rsid w:val="00052B02"/>
    <w:rsid w:val="00054A8D"/>
    <w:rsid w:val="0005527C"/>
    <w:rsid w:val="00056C4B"/>
    <w:rsid w:val="0005716E"/>
    <w:rsid w:val="00062172"/>
    <w:rsid w:val="00071DBE"/>
    <w:rsid w:val="000758BF"/>
    <w:rsid w:val="00080130"/>
    <w:rsid w:val="00086B8C"/>
    <w:rsid w:val="000873E5"/>
    <w:rsid w:val="00091BA8"/>
    <w:rsid w:val="000925CD"/>
    <w:rsid w:val="00093235"/>
    <w:rsid w:val="000A1323"/>
    <w:rsid w:val="000A72D2"/>
    <w:rsid w:val="000A7DF0"/>
    <w:rsid w:val="000B09BC"/>
    <w:rsid w:val="000B2851"/>
    <w:rsid w:val="000C017B"/>
    <w:rsid w:val="000C0E0F"/>
    <w:rsid w:val="000C1698"/>
    <w:rsid w:val="000C29C1"/>
    <w:rsid w:val="000C2C69"/>
    <w:rsid w:val="000C36DF"/>
    <w:rsid w:val="000C6A3F"/>
    <w:rsid w:val="000D4B5B"/>
    <w:rsid w:val="000D5B7F"/>
    <w:rsid w:val="000D5C4C"/>
    <w:rsid w:val="000D63E7"/>
    <w:rsid w:val="000D7C4C"/>
    <w:rsid w:val="000E3092"/>
    <w:rsid w:val="000E6B61"/>
    <w:rsid w:val="000E78C0"/>
    <w:rsid w:val="000F0195"/>
    <w:rsid w:val="000F354C"/>
    <w:rsid w:val="000F4640"/>
    <w:rsid w:val="000F5EB9"/>
    <w:rsid w:val="000F62D6"/>
    <w:rsid w:val="000F6F5E"/>
    <w:rsid w:val="00102898"/>
    <w:rsid w:val="00102DDE"/>
    <w:rsid w:val="00104FFB"/>
    <w:rsid w:val="00105402"/>
    <w:rsid w:val="00105FB1"/>
    <w:rsid w:val="00107D76"/>
    <w:rsid w:val="0011223F"/>
    <w:rsid w:val="00113524"/>
    <w:rsid w:val="0011673E"/>
    <w:rsid w:val="001168E4"/>
    <w:rsid w:val="00120218"/>
    <w:rsid w:val="0012049E"/>
    <w:rsid w:val="001205FD"/>
    <w:rsid w:val="00120624"/>
    <w:rsid w:val="001273B5"/>
    <w:rsid w:val="00132D08"/>
    <w:rsid w:val="001331EC"/>
    <w:rsid w:val="001338E2"/>
    <w:rsid w:val="0013448A"/>
    <w:rsid w:val="001407B0"/>
    <w:rsid w:val="00146950"/>
    <w:rsid w:val="00146B46"/>
    <w:rsid w:val="00150330"/>
    <w:rsid w:val="00150526"/>
    <w:rsid w:val="001637AC"/>
    <w:rsid w:val="00164CEE"/>
    <w:rsid w:val="00166312"/>
    <w:rsid w:val="00170639"/>
    <w:rsid w:val="00170688"/>
    <w:rsid w:val="00170B1A"/>
    <w:rsid w:val="00171B14"/>
    <w:rsid w:val="00172229"/>
    <w:rsid w:val="001727ED"/>
    <w:rsid w:val="00172B12"/>
    <w:rsid w:val="00174BD4"/>
    <w:rsid w:val="001755D1"/>
    <w:rsid w:val="0018629E"/>
    <w:rsid w:val="00187A15"/>
    <w:rsid w:val="00191251"/>
    <w:rsid w:val="001918B1"/>
    <w:rsid w:val="00192CDE"/>
    <w:rsid w:val="00193859"/>
    <w:rsid w:val="00195B84"/>
    <w:rsid w:val="00195D76"/>
    <w:rsid w:val="00195F5A"/>
    <w:rsid w:val="00196C96"/>
    <w:rsid w:val="001A5D90"/>
    <w:rsid w:val="001A652E"/>
    <w:rsid w:val="001B5415"/>
    <w:rsid w:val="001B7D64"/>
    <w:rsid w:val="001C0042"/>
    <w:rsid w:val="001C1144"/>
    <w:rsid w:val="001C3CBD"/>
    <w:rsid w:val="001C56EC"/>
    <w:rsid w:val="001C6B67"/>
    <w:rsid w:val="001D0305"/>
    <w:rsid w:val="001D14B8"/>
    <w:rsid w:val="001D1BD3"/>
    <w:rsid w:val="001D30A3"/>
    <w:rsid w:val="001D47EA"/>
    <w:rsid w:val="001D5134"/>
    <w:rsid w:val="001D5B3E"/>
    <w:rsid w:val="001D5C4B"/>
    <w:rsid w:val="001D6AD2"/>
    <w:rsid w:val="001E4E1F"/>
    <w:rsid w:val="001E67A2"/>
    <w:rsid w:val="001E74D0"/>
    <w:rsid w:val="001F45C6"/>
    <w:rsid w:val="001F5305"/>
    <w:rsid w:val="001F68F6"/>
    <w:rsid w:val="001F7A0E"/>
    <w:rsid w:val="001F7CB8"/>
    <w:rsid w:val="002010E0"/>
    <w:rsid w:val="00206671"/>
    <w:rsid w:val="00221363"/>
    <w:rsid w:val="00222A12"/>
    <w:rsid w:val="0022431C"/>
    <w:rsid w:val="002268B0"/>
    <w:rsid w:val="00227BC0"/>
    <w:rsid w:val="002311B1"/>
    <w:rsid w:val="002330D9"/>
    <w:rsid w:val="00235DC0"/>
    <w:rsid w:val="0023642C"/>
    <w:rsid w:val="00237664"/>
    <w:rsid w:val="002411FE"/>
    <w:rsid w:val="00241B51"/>
    <w:rsid w:val="00243E8B"/>
    <w:rsid w:val="002450B3"/>
    <w:rsid w:val="002514DE"/>
    <w:rsid w:val="002531D4"/>
    <w:rsid w:val="00254BF5"/>
    <w:rsid w:val="0025586C"/>
    <w:rsid w:val="00256AB0"/>
    <w:rsid w:val="00257088"/>
    <w:rsid w:val="00261564"/>
    <w:rsid w:val="002616A0"/>
    <w:rsid w:val="002648E8"/>
    <w:rsid w:val="0026503A"/>
    <w:rsid w:val="002678DE"/>
    <w:rsid w:val="00267B81"/>
    <w:rsid w:val="00270D9D"/>
    <w:rsid w:val="00281AE3"/>
    <w:rsid w:val="00282641"/>
    <w:rsid w:val="00284D4F"/>
    <w:rsid w:val="00285609"/>
    <w:rsid w:val="00286FA2"/>
    <w:rsid w:val="00292CB8"/>
    <w:rsid w:val="00292F4F"/>
    <w:rsid w:val="00293BBA"/>
    <w:rsid w:val="00294D75"/>
    <w:rsid w:val="002A0B94"/>
    <w:rsid w:val="002A53DD"/>
    <w:rsid w:val="002A7553"/>
    <w:rsid w:val="002B5BE3"/>
    <w:rsid w:val="002C39DE"/>
    <w:rsid w:val="002C5FEA"/>
    <w:rsid w:val="002D0CB9"/>
    <w:rsid w:val="002D1968"/>
    <w:rsid w:val="002D3ACC"/>
    <w:rsid w:val="002D46C5"/>
    <w:rsid w:val="002D76C5"/>
    <w:rsid w:val="002E061E"/>
    <w:rsid w:val="002E328E"/>
    <w:rsid w:val="002E7EE8"/>
    <w:rsid w:val="002F5890"/>
    <w:rsid w:val="002F7B15"/>
    <w:rsid w:val="003020F6"/>
    <w:rsid w:val="00303751"/>
    <w:rsid w:val="00306502"/>
    <w:rsid w:val="00306791"/>
    <w:rsid w:val="00307C5E"/>
    <w:rsid w:val="00310E27"/>
    <w:rsid w:val="0031129A"/>
    <w:rsid w:val="00312179"/>
    <w:rsid w:val="00314D9E"/>
    <w:rsid w:val="003258BF"/>
    <w:rsid w:val="003259CC"/>
    <w:rsid w:val="00326AD1"/>
    <w:rsid w:val="00326B13"/>
    <w:rsid w:val="00326F37"/>
    <w:rsid w:val="00333B05"/>
    <w:rsid w:val="00334C02"/>
    <w:rsid w:val="00334FB9"/>
    <w:rsid w:val="00336199"/>
    <w:rsid w:val="003422D5"/>
    <w:rsid w:val="00342798"/>
    <w:rsid w:val="003478BB"/>
    <w:rsid w:val="00347F6D"/>
    <w:rsid w:val="00351D14"/>
    <w:rsid w:val="003523A8"/>
    <w:rsid w:val="003524C7"/>
    <w:rsid w:val="00357F8E"/>
    <w:rsid w:val="00362272"/>
    <w:rsid w:val="0036301F"/>
    <w:rsid w:val="0036688B"/>
    <w:rsid w:val="00366CDA"/>
    <w:rsid w:val="00367D4A"/>
    <w:rsid w:val="00372D6D"/>
    <w:rsid w:val="00376922"/>
    <w:rsid w:val="00377F3C"/>
    <w:rsid w:val="00380E83"/>
    <w:rsid w:val="003815E5"/>
    <w:rsid w:val="003820C9"/>
    <w:rsid w:val="00384D6E"/>
    <w:rsid w:val="00391D0E"/>
    <w:rsid w:val="003944F0"/>
    <w:rsid w:val="00394698"/>
    <w:rsid w:val="003976F6"/>
    <w:rsid w:val="003A1564"/>
    <w:rsid w:val="003A1A3E"/>
    <w:rsid w:val="003A2E07"/>
    <w:rsid w:val="003A59C5"/>
    <w:rsid w:val="003B1409"/>
    <w:rsid w:val="003B149C"/>
    <w:rsid w:val="003B21D1"/>
    <w:rsid w:val="003B3A50"/>
    <w:rsid w:val="003B6C45"/>
    <w:rsid w:val="003B7DE3"/>
    <w:rsid w:val="003C01FF"/>
    <w:rsid w:val="003C3A55"/>
    <w:rsid w:val="003C590D"/>
    <w:rsid w:val="003C6FEC"/>
    <w:rsid w:val="003C7037"/>
    <w:rsid w:val="003C709D"/>
    <w:rsid w:val="003D0FF5"/>
    <w:rsid w:val="003D7187"/>
    <w:rsid w:val="003E14C4"/>
    <w:rsid w:val="003E230C"/>
    <w:rsid w:val="003E2CA7"/>
    <w:rsid w:val="003E2CD7"/>
    <w:rsid w:val="003E3308"/>
    <w:rsid w:val="003E3A83"/>
    <w:rsid w:val="003E4AD5"/>
    <w:rsid w:val="003E59CF"/>
    <w:rsid w:val="003E6779"/>
    <w:rsid w:val="003F5357"/>
    <w:rsid w:val="00403BD6"/>
    <w:rsid w:val="00403E96"/>
    <w:rsid w:val="004058AB"/>
    <w:rsid w:val="00406094"/>
    <w:rsid w:val="00406761"/>
    <w:rsid w:val="004075BB"/>
    <w:rsid w:val="00411AEC"/>
    <w:rsid w:val="00411F49"/>
    <w:rsid w:val="0041257A"/>
    <w:rsid w:val="00413980"/>
    <w:rsid w:val="00413EC6"/>
    <w:rsid w:val="00423987"/>
    <w:rsid w:val="00424699"/>
    <w:rsid w:val="00424DAF"/>
    <w:rsid w:val="00426754"/>
    <w:rsid w:val="00432B5D"/>
    <w:rsid w:val="00435169"/>
    <w:rsid w:val="00435436"/>
    <w:rsid w:val="00442834"/>
    <w:rsid w:val="00450BEF"/>
    <w:rsid w:val="00450CC7"/>
    <w:rsid w:val="0045119E"/>
    <w:rsid w:val="00453BFA"/>
    <w:rsid w:val="004543AB"/>
    <w:rsid w:val="00454D37"/>
    <w:rsid w:val="004554D1"/>
    <w:rsid w:val="00455FF8"/>
    <w:rsid w:val="0045685E"/>
    <w:rsid w:val="00456FE1"/>
    <w:rsid w:val="0045732B"/>
    <w:rsid w:val="00464B1D"/>
    <w:rsid w:val="00466411"/>
    <w:rsid w:val="00466976"/>
    <w:rsid w:val="0046735E"/>
    <w:rsid w:val="00470E82"/>
    <w:rsid w:val="00471B5B"/>
    <w:rsid w:val="00473439"/>
    <w:rsid w:val="00475170"/>
    <w:rsid w:val="00481B0B"/>
    <w:rsid w:val="004923D7"/>
    <w:rsid w:val="00497DC1"/>
    <w:rsid w:val="004A23CE"/>
    <w:rsid w:val="004A3502"/>
    <w:rsid w:val="004B1483"/>
    <w:rsid w:val="004B2FF6"/>
    <w:rsid w:val="004B4105"/>
    <w:rsid w:val="004B764C"/>
    <w:rsid w:val="004C3EE7"/>
    <w:rsid w:val="004C6399"/>
    <w:rsid w:val="004C6D69"/>
    <w:rsid w:val="004D0C6A"/>
    <w:rsid w:val="004D102B"/>
    <w:rsid w:val="004D2DD2"/>
    <w:rsid w:val="004D4438"/>
    <w:rsid w:val="004D4FD7"/>
    <w:rsid w:val="004D78CB"/>
    <w:rsid w:val="004E1366"/>
    <w:rsid w:val="004E4069"/>
    <w:rsid w:val="004E5C62"/>
    <w:rsid w:val="004F0369"/>
    <w:rsid w:val="004F6F15"/>
    <w:rsid w:val="004F75EB"/>
    <w:rsid w:val="00500237"/>
    <w:rsid w:val="005017D7"/>
    <w:rsid w:val="0050287D"/>
    <w:rsid w:val="005052EB"/>
    <w:rsid w:val="00507658"/>
    <w:rsid w:val="00513356"/>
    <w:rsid w:val="0051547D"/>
    <w:rsid w:val="00515848"/>
    <w:rsid w:val="00515B3F"/>
    <w:rsid w:val="005160EA"/>
    <w:rsid w:val="00516681"/>
    <w:rsid w:val="00520331"/>
    <w:rsid w:val="005215AD"/>
    <w:rsid w:val="0052492E"/>
    <w:rsid w:val="00524DF0"/>
    <w:rsid w:val="005252BB"/>
    <w:rsid w:val="0052720F"/>
    <w:rsid w:val="005304E0"/>
    <w:rsid w:val="005320D9"/>
    <w:rsid w:val="00532D46"/>
    <w:rsid w:val="00534699"/>
    <w:rsid w:val="0053594B"/>
    <w:rsid w:val="00536679"/>
    <w:rsid w:val="005371C5"/>
    <w:rsid w:val="0053794F"/>
    <w:rsid w:val="00543CF2"/>
    <w:rsid w:val="00554A74"/>
    <w:rsid w:val="005562B5"/>
    <w:rsid w:val="00557E9F"/>
    <w:rsid w:val="0056354C"/>
    <w:rsid w:val="00564642"/>
    <w:rsid w:val="005652F8"/>
    <w:rsid w:val="005731C6"/>
    <w:rsid w:val="00576D34"/>
    <w:rsid w:val="005773CA"/>
    <w:rsid w:val="0058036E"/>
    <w:rsid w:val="00581668"/>
    <w:rsid w:val="00582B9D"/>
    <w:rsid w:val="00582EEB"/>
    <w:rsid w:val="00586F03"/>
    <w:rsid w:val="00590BFA"/>
    <w:rsid w:val="00592E2F"/>
    <w:rsid w:val="00593340"/>
    <w:rsid w:val="005941BF"/>
    <w:rsid w:val="005944CD"/>
    <w:rsid w:val="005969D8"/>
    <w:rsid w:val="005971F4"/>
    <w:rsid w:val="005A0BC4"/>
    <w:rsid w:val="005A409C"/>
    <w:rsid w:val="005A5C86"/>
    <w:rsid w:val="005A6213"/>
    <w:rsid w:val="005A785C"/>
    <w:rsid w:val="005B43AC"/>
    <w:rsid w:val="005B6897"/>
    <w:rsid w:val="005B7422"/>
    <w:rsid w:val="005C21C8"/>
    <w:rsid w:val="005C5BE0"/>
    <w:rsid w:val="005C5F3F"/>
    <w:rsid w:val="005C6F85"/>
    <w:rsid w:val="005C7563"/>
    <w:rsid w:val="005D0DE6"/>
    <w:rsid w:val="005D34CF"/>
    <w:rsid w:val="005D354B"/>
    <w:rsid w:val="005D768B"/>
    <w:rsid w:val="005E0B1E"/>
    <w:rsid w:val="005E36CD"/>
    <w:rsid w:val="005E395B"/>
    <w:rsid w:val="006016C6"/>
    <w:rsid w:val="006051B7"/>
    <w:rsid w:val="006131E0"/>
    <w:rsid w:val="006135DB"/>
    <w:rsid w:val="00614C99"/>
    <w:rsid w:val="00615F14"/>
    <w:rsid w:val="00623A09"/>
    <w:rsid w:val="006260DA"/>
    <w:rsid w:val="0062623F"/>
    <w:rsid w:val="00626E51"/>
    <w:rsid w:val="006277D6"/>
    <w:rsid w:val="0063302B"/>
    <w:rsid w:val="00633F15"/>
    <w:rsid w:val="00634EA2"/>
    <w:rsid w:val="006353DA"/>
    <w:rsid w:val="00635AFA"/>
    <w:rsid w:val="00641202"/>
    <w:rsid w:val="00642796"/>
    <w:rsid w:val="00642C50"/>
    <w:rsid w:val="006446CC"/>
    <w:rsid w:val="00645A63"/>
    <w:rsid w:val="00645CF3"/>
    <w:rsid w:val="00646513"/>
    <w:rsid w:val="00650BE5"/>
    <w:rsid w:val="00651117"/>
    <w:rsid w:val="006519FF"/>
    <w:rsid w:val="0065207F"/>
    <w:rsid w:val="006557F7"/>
    <w:rsid w:val="00657AC0"/>
    <w:rsid w:val="0066045D"/>
    <w:rsid w:val="0066163B"/>
    <w:rsid w:val="00664B5C"/>
    <w:rsid w:val="006663CA"/>
    <w:rsid w:val="006666C5"/>
    <w:rsid w:val="00670C93"/>
    <w:rsid w:val="0067205D"/>
    <w:rsid w:val="006727CD"/>
    <w:rsid w:val="00672B46"/>
    <w:rsid w:val="00672EF8"/>
    <w:rsid w:val="006744F3"/>
    <w:rsid w:val="00674BD1"/>
    <w:rsid w:val="006835A1"/>
    <w:rsid w:val="00686C29"/>
    <w:rsid w:val="006902D5"/>
    <w:rsid w:val="0069039D"/>
    <w:rsid w:val="00691BE9"/>
    <w:rsid w:val="006930F3"/>
    <w:rsid w:val="006932B9"/>
    <w:rsid w:val="00693514"/>
    <w:rsid w:val="006945C5"/>
    <w:rsid w:val="00694A9D"/>
    <w:rsid w:val="00695736"/>
    <w:rsid w:val="00695DE1"/>
    <w:rsid w:val="00697B63"/>
    <w:rsid w:val="00697EFC"/>
    <w:rsid w:val="006A2577"/>
    <w:rsid w:val="006A686F"/>
    <w:rsid w:val="006A700D"/>
    <w:rsid w:val="006B1E0D"/>
    <w:rsid w:val="006B1FEC"/>
    <w:rsid w:val="006B2276"/>
    <w:rsid w:val="006B377A"/>
    <w:rsid w:val="006B38A5"/>
    <w:rsid w:val="006B4291"/>
    <w:rsid w:val="006B73B2"/>
    <w:rsid w:val="006B7457"/>
    <w:rsid w:val="006C521C"/>
    <w:rsid w:val="006C5FD6"/>
    <w:rsid w:val="006C674D"/>
    <w:rsid w:val="006D2308"/>
    <w:rsid w:val="006D2E7E"/>
    <w:rsid w:val="006D303A"/>
    <w:rsid w:val="006E26BF"/>
    <w:rsid w:val="006E2F07"/>
    <w:rsid w:val="006E3E61"/>
    <w:rsid w:val="006E723C"/>
    <w:rsid w:val="006F39E8"/>
    <w:rsid w:val="00701076"/>
    <w:rsid w:val="00702027"/>
    <w:rsid w:val="007045EF"/>
    <w:rsid w:val="0070504A"/>
    <w:rsid w:val="007102AF"/>
    <w:rsid w:val="00710578"/>
    <w:rsid w:val="00710A58"/>
    <w:rsid w:val="00710C52"/>
    <w:rsid w:val="007111CB"/>
    <w:rsid w:val="00711D54"/>
    <w:rsid w:val="00712CD4"/>
    <w:rsid w:val="0071515C"/>
    <w:rsid w:val="00723D52"/>
    <w:rsid w:val="00724B5D"/>
    <w:rsid w:val="00724F6E"/>
    <w:rsid w:val="007250A2"/>
    <w:rsid w:val="00725D61"/>
    <w:rsid w:val="00726ECC"/>
    <w:rsid w:val="00727EC4"/>
    <w:rsid w:val="007306E9"/>
    <w:rsid w:val="00730ACE"/>
    <w:rsid w:val="007322F4"/>
    <w:rsid w:val="00734F4B"/>
    <w:rsid w:val="007374A0"/>
    <w:rsid w:val="00737A4C"/>
    <w:rsid w:val="00737BBB"/>
    <w:rsid w:val="00740B95"/>
    <w:rsid w:val="00740C7B"/>
    <w:rsid w:val="00741883"/>
    <w:rsid w:val="00741BC1"/>
    <w:rsid w:val="00742F33"/>
    <w:rsid w:val="00743A3B"/>
    <w:rsid w:val="007445C9"/>
    <w:rsid w:val="007538EC"/>
    <w:rsid w:val="00753B56"/>
    <w:rsid w:val="00756272"/>
    <w:rsid w:val="00756F0C"/>
    <w:rsid w:val="00760695"/>
    <w:rsid w:val="0076189D"/>
    <w:rsid w:val="00761ECE"/>
    <w:rsid w:val="00762C15"/>
    <w:rsid w:val="0076354F"/>
    <w:rsid w:val="007714D9"/>
    <w:rsid w:val="007732AB"/>
    <w:rsid w:val="0077559C"/>
    <w:rsid w:val="00775FCE"/>
    <w:rsid w:val="0078054D"/>
    <w:rsid w:val="00781112"/>
    <w:rsid w:val="0078156F"/>
    <w:rsid w:val="00785C43"/>
    <w:rsid w:val="00790F23"/>
    <w:rsid w:val="00792303"/>
    <w:rsid w:val="00793ABA"/>
    <w:rsid w:val="00793E9C"/>
    <w:rsid w:val="00794D17"/>
    <w:rsid w:val="00794FAA"/>
    <w:rsid w:val="00795BE6"/>
    <w:rsid w:val="00795BF2"/>
    <w:rsid w:val="007A0B18"/>
    <w:rsid w:val="007A36B5"/>
    <w:rsid w:val="007A5452"/>
    <w:rsid w:val="007B0CDF"/>
    <w:rsid w:val="007B1E44"/>
    <w:rsid w:val="007B69EC"/>
    <w:rsid w:val="007B7798"/>
    <w:rsid w:val="007B7FDC"/>
    <w:rsid w:val="007C0559"/>
    <w:rsid w:val="007C2B5D"/>
    <w:rsid w:val="007C4B0A"/>
    <w:rsid w:val="007C664E"/>
    <w:rsid w:val="007C695C"/>
    <w:rsid w:val="007D2FE0"/>
    <w:rsid w:val="007D43A7"/>
    <w:rsid w:val="007D51DA"/>
    <w:rsid w:val="007D533C"/>
    <w:rsid w:val="007D55E2"/>
    <w:rsid w:val="007D600E"/>
    <w:rsid w:val="007E37B4"/>
    <w:rsid w:val="007E7F84"/>
    <w:rsid w:val="007F0686"/>
    <w:rsid w:val="007F231E"/>
    <w:rsid w:val="007F2D9A"/>
    <w:rsid w:val="007F43FD"/>
    <w:rsid w:val="008031E3"/>
    <w:rsid w:val="00805249"/>
    <w:rsid w:val="00811C8E"/>
    <w:rsid w:val="00813455"/>
    <w:rsid w:val="0081390E"/>
    <w:rsid w:val="00814E53"/>
    <w:rsid w:val="008201C5"/>
    <w:rsid w:val="00821A01"/>
    <w:rsid w:val="00823FEC"/>
    <w:rsid w:val="00840337"/>
    <w:rsid w:val="00846C3D"/>
    <w:rsid w:val="008479DE"/>
    <w:rsid w:val="00847EE1"/>
    <w:rsid w:val="00851070"/>
    <w:rsid w:val="00853DC4"/>
    <w:rsid w:val="008561B9"/>
    <w:rsid w:val="00856320"/>
    <w:rsid w:val="00862E8C"/>
    <w:rsid w:val="008630BC"/>
    <w:rsid w:val="00866C07"/>
    <w:rsid w:val="00873C3D"/>
    <w:rsid w:val="00874371"/>
    <w:rsid w:val="0088070F"/>
    <w:rsid w:val="00880A5C"/>
    <w:rsid w:val="0088309A"/>
    <w:rsid w:val="00883B42"/>
    <w:rsid w:val="0088409B"/>
    <w:rsid w:val="00884E25"/>
    <w:rsid w:val="008858EC"/>
    <w:rsid w:val="00891ED4"/>
    <w:rsid w:val="00892AB4"/>
    <w:rsid w:val="008949AC"/>
    <w:rsid w:val="00895C19"/>
    <w:rsid w:val="008A02DF"/>
    <w:rsid w:val="008A1747"/>
    <w:rsid w:val="008A1ADB"/>
    <w:rsid w:val="008A2566"/>
    <w:rsid w:val="008A3E92"/>
    <w:rsid w:val="008B7F9F"/>
    <w:rsid w:val="008C11FF"/>
    <w:rsid w:val="008C23FF"/>
    <w:rsid w:val="008C5240"/>
    <w:rsid w:val="008C7CDD"/>
    <w:rsid w:val="008D12CD"/>
    <w:rsid w:val="008D146D"/>
    <w:rsid w:val="008D1CD8"/>
    <w:rsid w:val="008D2EFE"/>
    <w:rsid w:val="008D36C0"/>
    <w:rsid w:val="008D51B9"/>
    <w:rsid w:val="008E28C4"/>
    <w:rsid w:val="008E5657"/>
    <w:rsid w:val="008F1F0E"/>
    <w:rsid w:val="008F5323"/>
    <w:rsid w:val="009018B2"/>
    <w:rsid w:val="00902C70"/>
    <w:rsid w:val="00903717"/>
    <w:rsid w:val="00903748"/>
    <w:rsid w:val="00903874"/>
    <w:rsid w:val="00904DE4"/>
    <w:rsid w:val="00906F69"/>
    <w:rsid w:val="00912B42"/>
    <w:rsid w:val="00913044"/>
    <w:rsid w:val="0091451C"/>
    <w:rsid w:val="0091615B"/>
    <w:rsid w:val="00916F5D"/>
    <w:rsid w:val="0091720B"/>
    <w:rsid w:val="00920FC6"/>
    <w:rsid w:val="00921A60"/>
    <w:rsid w:val="00926E8D"/>
    <w:rsid w:val="00934F9B"/>
    <w:rsid w:val="0093628D"/>
    <w:rsid w:val="00936FD4"/>
    <w:rsid w:val="00942E58"/>
    <w:rsid w:val="00943512"/>
    <w:rsid w:val="00950AF2"/>
    <w:rsid w:val="00950DCC"/>
    <w:rsid w:val="0095265D"/>
    <w:rsid w:val="00952812"/>
    <w:rsid w:val="009541F3"/>
    <w:rsid w:val="009548A0"/>
    <w:rsid w:val="009564F8"/>
    <w:rsid w:val="00956609"/>
    <w:rsid w:val="00956E74"/>
    <w:rsid w:val="00961C19"/>
    <w:rsid w:val="009629ED"/>
    <w:rsid w:val="009629F2"/>
    <w:rsid w:val="00967793"/>
    <w:rsid w:val="00971E73"/>
    <w:rsid w:val="00972CEA"/>
    <w:rsid w:val="00977256"/>
    <w:rsid w:val="009820AA"/>
    <w:rsid w:val="00990792"/>
    <w:rsid w:val="00991B97"/>
    <w:rsid w:val="009937AC"/>
    <w:rsid w:val="009956D5"/>
    <w:rsid w:val="00997CA0"/>
    <w:rsid w:val="009A489E"/>
    <w:rsid w:val="009A5FF9"/>
    <w:rsid w:val="009A67F3"/>
    <w:rsid w:val="009A6926"/>
    <w:rsid w:val="009A6ADF"/>
    <w:rsid w:val="009B0830"/>
    <w:rsid w:val="009B0F83"/>
    <w:rsid w:val="009B24BC"/>
    <w:rsid w:val="009B2905"/>
    <w:rsid w:val="009B2DE1"/>
    <w:rsid w:val="009B538E"/>
    <w:rsid w:val="009B7028"/>
    <w:rsid w:val="009C48DE"/>
    <w:rsid w:val="009C68EB"/>
    <w:rsid w:val="009E0A28"/>
    <w:rsid w:val="009E17B0"/>
    <w:rsid w:val="009E2880"/>
    <w:rsid w:val="009E2929"/>
    <w:rsid w:val="009E3220"/>
    <w:rsid w:val="009E4D9F"/>
    <w:rsid w:val="009E5F2D"/>
    <w:rsid w:val="009E7480"/>
    <w:rsid w:val="009F2050"/>
    <w:rsid w:val="009F24DB"/>
    <w:rsid w:val="009F4008"/>
    <w:rsid w:val="009F4238"/>
    <w:rsid w:val="00A00980"/>
    <w:rsid w:val="00A10877"/>
    <w:rsid w:val="00A113A9"/>
    <w:rsid w:val="00A11622"/>
    <w:rsid w:val="00A134DE"/>
    <w:rsid w:val="00A17D70"/>
    <w:rsid w:val="00A2027D"/>
    <w:rsid w:val="00A21407"/>
    <w:rsid w:val="00A21A05"/>
    <w:rsid w:val="00A22683"/>
    <w:rsid w:val="00A2572E"/>
    <w:rsid w:val="00A304B9"/>
    <w:rsid w:val="00A30520"/>
    <w:rsid w:val="00A342D3"/>
    <w:rsid w:val="00A36A37"/>
    <w:rsid w:val="00A40C62"/>
    <w:rsid w:val="00A4144A"/>
    <w:rsid w:val="00A41E86"/>
    <w:rsid w:val="00A43902"/>
    <w:rsid w:val="00A459E0"/>
    <w:rsid w:val="00A46C22"/>
    <w:rsid w:val="00A512C0"/>
    <w:rsid w:val="00A54DD4"/>
    <w:rsid w:val="00A567F0"/>
    <w:rsid w:val="00A6254F"/>
    <w:rsid w:val="00A66907"/>
    <w:rsid w:val="00A6718F"/>
    <w:rsid w:val="00A74588"/>
    <w:rsid w:val="00A75DF2"/>
    <w:rsid w:val="00A7767B"/>
    <w:rsid w:val="00A81D23"/>
    <w:rsid w:val="00A86184"/>
    <w:rsid w:val="00A91800"/>
    <w:rsid w:val="00A94024"/>
    <w:rsid w:val="00A940C2"/>
    <w:rsid w:val="00AA0E00"/>
    <w:rsid w:val="00AA45EF"/>
    <w:rsid w:val="00AA56FE"/>
    <w:rsid w:val="00AA64AF"/>
    <w:rsid w:val="00AB0108"/>
    <w:rsid w:val="00AB1B9F"/>
    <w:rsid w:val="00AC0B68"/>
    <w:rsid w:val="00AC0CD7"/>
    <w:rsid w:val="00AC1A8D"/>
    <w:rsid w:val="00AC340D"/>
    <w:rsid w:val="00AC420B"/>
    <w:rsid w:val="00AC5296"/>
    <w:rsid w:val="00AC530A"/>
    <w:rsid w:val="00AC6A39"/>
    <w:rsid w:val="00AD0639"/>
    <w:rsid w:val="00AD1264"/>
    <w:rsid w:val="00AD2E8B"/>
    <w:rsid w:val="00AD3518"/>
    <w:rsid w:val="00AD43FB"/>
    <w:rsid w:val="00AD483C"/>
    <w:rsid w:val="00AD7C85"/>
    <w:rsid w:val="00AE185F"/>
    <w:rsid w:val="00AE34E6"/>
    <w:rsid w:val="00AE7D23"/>
    <w:rsid w:val="00AF2007"/>
    <w:rsid w:val="00AF2429"/>
    <w:rsid w:val="00AF6158"/>
    <w:rsid w:val="00AF6AFA"/>
    <w:rsid w:val="00AF734E"/>
    <w:rsid w:val="00B00B88"/>
    <w:rsid w:val="00B06563"/>
    <w:rsid w:val="00B07788"/>
    <w:rsid w:val="00B10C8B"/>
    <w:rsid w:val="00B147BC"/>
    <w:rsid w:val="00B16941"/>
    <w:rsid w:val="00B172DA"/>
    <w:rsid w:val="00B21E7E"/>
    <w:rsid w:val="00B24B34"/>
    <w:rsid w:val="00B261E1"/>
    <w:rsid w:val="00B2724A"/>
    <w:rsid w:val="00B276EB"/>
    <w:rsid w:val="00B314DA"/>
    <w:rsid w:val="00B31FBB"/>
    <w:rsid w:val="00B33F8E"/>
    <w:rsid w:val="00B35E65"/>
    <w:rsid w:val="00B36CBE"/>
    <w:rsid w:val="00B37AF0"/>
    <w:rsid w:val="00B37EA8"/>
    <w:rsid w:val="00B42587"/>
    <w:rsid w:val="00B4287F"/>
    <w:rsid w:val="00B441B6"/>
    <w:rsid w:val="00B45E34"/>
    <w:rsid w:val="00B46E07"/>
    <w:rsid w:val="00B5581B"/>
    <w:rsid w:val="00B55C78"/>
    <w:rsid w:val="00B606C7"/>
    <w:rsid w:val="00B64B72"/>
    <w:rsid w:val="00B65FDC"/>
    <w:rsid w:val="00B6768A"/>
    <w:rsid w:val="00B704A8"/>
    <w:rsid w:val="00B71936"/>
    <w:rsid w:val="00B77EF3"/>
    <w:rsid w:val="00B81CB4"/>
    <w:rsid w:val="00B836E4"/>
    <w:rsid w:val="00B83A11"/>
    <w:rsid w:val="00B861BC"/>
    <w:rsid w:val="00B92477"/>
    <w:rsid w:val="00B934F5"/>
    <w:rsid w:val="00B960B9"/>
    <w:rsid w:val="00BA2E35"/>
    <w:rsid w:val="00BA4C10"/>
    <w:rsid w:val="00BA56A2"/>
    <w:rsid w:val="00BA6105"/>
    <w:rsid w:val="00BA673D"/>
    <w:rsid w:val="00BA67A7"/>
    <w:rsid w:val="00BB0F3B"/>
    <w:rsid w:val="00BB35A8"/>
    <w:rsid w:val="00BB5A3F"/>
    <w:rsid w:val="00BB5AE1"/>
    <w:rsid w:val="00BC0F74"/>
    <w:rsid w:val="00BC2754"/>
    <w:rsid w:val="00BC2C65"/>
    <w:rsid w:val="00BC3EE5"/>
    <w:rsid w:val="00BC5FA5"/>
    <w:rsid w:val="00BD1061"/>
    <w:rsid w:val="00BD10DF"/>
    <w:rsid w:val="00BD44D2"/>
    <w:rsid w:val="00BD6AF1"/>
    <w:rsid w:val="00BD6CB7"/>
    <w:rsid w:val="00BE1840"/>
    <w:rsid w:val="00BE19EA"/>
    <w:rsid w:val="00BE1F55"/>
    <w:rsid w:val="00BE2802"/>
    <w:rsid w:val="00BE4B5C"/>
    <w:rsid w:val="00BE6FD1"/>
    <w:rsid w:val="00BE727A"/>
    <w:rsid w:val="00BE73AE"/>
    <w:rsid w:val="00BF0182"/>
    <w:rsid w:val="00BF06F4"/>
    <w:rsid w:val="00BF0AD2"/>
    <w:rsid w:val="00BF0C62"/>
    <w:rsid w:val="00BF2253"/>
    <w:rsid w:val="00BF391F"/>
    <w:rsid w:val="00BF5863"/>
    <w:rsid w:val="00BF5BF5"/>
    <w:rsid w:val="00BF7C9F"/>
    <w:rsid w:val="00BF7CA1"/>
    <w:rsid w:val="00C00606"/>
    <w:rsid w:val="00C0629B"/>
    <w:rsid w:val="00C07EAF"/>
    <w:rsid w:val="00C22701"/>
    <w:rsid w:val="00C232AF"/>
    <w:rsid w:val="00C25DE9"/>
    <w:rsid w:val="00C26A29"/>
    <w:rsid w:val="00C27447"/>
    <w:rsid w:val="00C31746"/>
    <w:rsid w:val="00C32664"/>
    <w:rsid w:val="00C404E7"/>
    <w:rsid w:val="00C415CE"/>
    <w:rsid w:val="00C4341E"/>
    <w:rsid w:val="00C44D75"/>
    <w:rsid w:val="00C450B4"/>
    <w:rsid w:val="00C50000"/>
    <w:rsid w:val="00C51281"/>
    <w:rsid w:val="00C523F7"/>
    <w:rsid w:val="00C5363A"/>
    <w:rsid w:val="00C60217"/>
    <w:rsid w:val="00C60963"/>
    <w:rsid w:val="00C61EB5"/>
    <w:rsid w:val="00C646A3"/>
    <w:rsid w:val="00C65B2D"/>
    <w:rsid w:val="00C7451C"/>
    <w:rsid w:val="00C75F10"/>
    <w:rsid w:val="00C82C4C"/>
    <w:rsid w:val="00C83C24"/>
    <w:rsid w:val="00C84398"/>
    <w:rsid w:val="00C85701"/>
    <w:rsid w:val="00C85D70"/>
    <w:rsid w:val="00C8719D"/>
    <w:rsid w:val="00C9144D"/>
    <w:rsid w:val="00C92A30"/>
    <w:rsid w:val="00CA3034"/>
    <w:rsid w:val="00CA34B2"/>
    <w:rsid w:val="00CA4257"/>
    <w:rsid w:val="00CA466E"/>
    <w:rsid w:val="00CA4CDF"/>
    <w:rsid w:val="00CA4D0B"/>
    <w:rsid w:val="00CA4F7A"/>
    <w:rsid w:val="00CA536E"/>
    <w:rsid w:val="00CB5B74"/>
    <w:rsid w:val="00CB6CA2"/>
    <w:rsid w:val="00CC2C29"/>
    <w:rsid w:val="00CC7566"/>
    <w:rsid w:val="00CD0A20"/>
    <w:rsid w:val="00CD3DC7"/>
    <w:rsid w:val="00CD5739"/>
    <w:rsid w:val="00CE01E1"/>
    <w:rsid w:val="00CE11F9"/>
    <w:rsid w:val="00CE34D7"/>
    <w:rsid w:val="00CE5578"/>
    <w:rsid w:val="00CF0A72"/>
    <w:rsid w:val="00CF1FCB"/>
    <w:rsid w:val="00CF4C9D"/>
    <w:rsid w:val="00CF6596"/>
    <w:rsid w:val="00D027F7"/>
    <w:rsid w:val="00D03632"/>
    <w:rsid w:val="00D03F9B"/>
    <w:rsid w:val="00D06445"/>
    <w:rsid w:val="00D136B3"/>
    <w:rsid w:val="00D179BE"/>
    <w:rsid w:val="00D21974"/>
    <w:rsid w:val="00D23AF6"/>
    <w:rsid w:val="00D24267"/>
    <w:rsid w:val="00D25B98"/>
    <w:rsid w:val="00D2629A"/>
    <w:rsid w:val="00D3241C"/>
    <w:rsid w:val="00D34C83"/>
    <w:rsid w:val="00D37E82"/>
    <w:rsid w:val="00D42064"/>
    <w:rsid w:val="00D42934"/>
    <w:rsid w:val="00D430F7"/>
    <w:rsid w:val="00D43E61"/>
    <w:rsid w:val="00D45B7E"/>
    <w:rsid w:val="00D45D49"/>
    <w:rsid w:val="00D517E6"/>
    <w:rsid w:val="00D52EC8"/>
    <w:rsid w:val="00D5437C"/>
    <w:rsid w:val="00D579C1"/>
    <w:rsid w:val="00D57B16"/>
    <w:rsid w:val="00D60677"/>
    <w:rsid w:val="00D633A7"/>
    <w:rsid w:val="00D67F9A"/>
    <w:rsid w:val="00D70214"/>
    <w:rsid w:val="00D703F6"/>
    <w:rsid w:val="00D70F2B"/>
    <w:rsid w:val="00D73513"/>
    <w:rsid w:val="00D77C3A"/>
    <w:rsid w:val="00D77FFC"/>
    <w:rsid w:val="00D81D66"/>
    <w:rsid w:val="00D836F2"/>
    <w:rsid w:val="00D83DE1"/>
    <w:rsid w:val="00D9043E"/>
    <w:rsid w:val="00D91CF6"/>
    <w:rsid w:val="00D92955"/>
    <w:rsid w:val="00D92C97"/>
    <w:rsid w:val="00D96E53"/>
    <w:rsid w:val="00D97CAB"/>
    <w:rsid w:val="00DA058B"/>
    <w:rsid w:val="00DA10DC"/>
    <w:rsid w:val="00DA3B2B"/>
    <w:rsid w:val="00DA5597"/>
    <w:rsid w:val="00DA5878"/>
    <w:rsid w:val="00DA68EA"/>
    <w:rsid w:val="00DA69C4"/>
    <w:rsid w:val="00DB2669"/>
    <w:rsid w:val="00DB3377"/>
    <w:rsid w:val="00DB59F5"/>
    <w:rsid w:val="00DB5DD6"/>
    <w:rsid w:val="00DB6AE7"/>
    <w:rsid w:val="00DB7FCA"/>
    <w:rsid w:val="00DC0703"/>
    <w:rsid w:val="00DC188E"/>
    <w:rsid w:val="00DC73F5"/>
    <w:rsid w:val="00DD2E0A"/>
    <w:rsid w:val="00DD68A3"/>
    <w:rsid w:val="00DE0B15"/>
    <w:rsid w:val="00DE28F3"/>
    <w:rsid w:val="00DE34B4"/>
    <w:rsid w:val="00DE39E4"/>
    <w:rsid w:val="00DE4056"/>
    <w:rsid w:val="00DE5622"/>
    <w:rsid w:val="00DE692E"/>
    <w:rsid w:val="00DE6BDB"/>
    <w:rsid w:val="00DF0CC5"/>
    <w:rsid w:val="00DF2B7E"/>
    <w:rsid w:val="00DF33A8"/>
    <w:rsid w:val="00DF351A"/>
    <w:rsid w:val="00DF41AC"/>
    <w:rsid w:val="00E00D48"/>
    <w:rsid w:val="00E10974"/>
    <w:rsid w:val="00E12F01"/>
    <w:rsid w:val="00E13456"/>
    <w:rsid w:val="00E141A1"/>
    <w:rsid w:val="00E151E6"/>
    <w:rsid w:val="00E153AF"/>
    <w:rsid w:val="00E21CB9"/>
    <w:rsid w:val="00E22229"/>
    <w:rsid w:val="00E256C9"/>
    <w:rsid w:val="00E27404"/>
    <w:rsid w:val="00E35247"/>
    <w:rsid w:val="00E35663"/>
    <w:rsid w:val="00E37B4C"/>
    <w:rsid w:val="00E4007F"/>
    <w:rsid w:val="00E41DFF"/>
    <w:rsid w:val="00E43636"/>
    <w:rsid w:val="00E43CEF"/>
    <w:rsid w:val="00E447D2"/>
    <w:rsid w:val="00E47C62"/>
    <w:rsid w:val="00E503CB"/>
    <w:rsid w:val="00E51046"/>
    <w:rsid w:val="00E520B3"/>
    <w:rsid w:val="00E52A79"/>
    <w:rsid w:val="00E5355D"/>
    <w:rsid w:val="00E54C70"/>
    <w:rsid w:val="00E5730A"/>
    <w:rsid w:val="00E60585"/>
    <w:rsid w:val="00E61D2C"/>
    <w:rsid w:val="00E61E47"/>
    <w:rsid w:val="00E61FE1"/>
    <w:rsid w:val="00E63EFE"/>
    <w:rsid w:val="00E65248"/>
    <w:rsid w:val="00E66A12"/>
    <w:rsid w:val="00E73924"/>
    <w:rsid w:val="00E75BBD"/>
    <w:rsid w:val="00E766C0"/>
    <w:rsid w:val="00E76E07"/>
    <w:rsid w:val="00E77CDD"/>
    <w:rsid w:val="00E8431B"/>
    <w:rsid w:val="00E84CEE"/>
    <w:rsid w:val="00E94104"/>
    <w:rsid w:val="00EA201E"/>
    <w:rsid w:val="00EA76D3"/>
    <w:rsid w:val="00EB0830"/>
    <w:rsid w:val="00EC39A6"/>
    <w:rsid w:val="00EC468B"/>
    <w:rsid w:val="00EC4BB6"/>
    <w:rsid w:val="00EC52D3"/>
    <w:rsid w:val="00EC7B84"/>
    <w:rsid w:val="00ED76DB"/>
    <w:rsid w:val="00EE0013"/>
    <w:rsid w:val="00EE2474"/>
    <w:rsid w:val="00EE38CA"/>
    <w:rsid w:val="00EE6316"/>
    <w:rsid w:val="00EE6753"/>
    <w:rsid w:val="00EF12E8"/>
    <w:rsid w:val="00EF51A5"/>
    <w:rsid w:val="00EF553E"/>
    <w:rsid w:val="00F00003"/>
    <w:rsid w:val="00F00938"/>
    <w:rsid w:val="00F0314A"/>
    <w:rsid w:val="00F0490F"/>
    <w:rsid w:val="00F04CB1"/>
    <w:rsid w:val="00F05A8B"/>
    <w:rsid w:val="00F063E4"/>
    <w:rsid w:val="00F06F33"/>
    <w:rsid w:val="00F073B0"/>
    <w:rsid w:val="00F10146"/>
    <w:rsid w:val="00F10C35"/>
    <w:rsid w:val="00F11E19"/>
    <w:rsid w:val="00F12AA8"/>
    <w:rsid w:val="00F14AB9"/>
    <w:rsid w:val="00F16280"/>
    <w:rsid w:val="00F176B6"/>
    <w:rsid w:val="00F20501"/>
    <w:rsid w:val="00F2328A"/>
    <w:rsid w:val="00F2493A"/>
    <w:rsid w:val="00F2796D"/>
    <w:rsid w:val="00F30A59"/>
    <w:rsid w:val="00F368C9"/>
    <w:rsid w:val="00F41E35"/>
    <w:rsid w:val="00F437C4"/>
    <w:rsid w:val="00F437C8"/>
    <w:rsid w:val="00F43C6E"/>
    <w:rsid w:val="00F43E64"/>
    <w:rsid w:val="00F461D5"/>
    <w:rsid w:val="00F52240"/>
    <w:rsid w:val="00F53028"/>
    <w:rsid w:val="00F627AB"/>
    <w:rsid w:val="00F6354B"/>
    <w:rsid w:val="00F64102"/>
    <w:rsid w:val="00F64A0C"/>
    <w:rsid w:val="00F654E0"/>
    <w:rsid w:val="00F73358"/>
    <w:rsid w:val="00F75348"/>
    <w:rsid w:val="00F7570E"/>
    <w:rsid w:val="00F9039F"/>
    <w:rsid w:val="00F91C6A"/>
    <w:rsid w:val="00F939E2"/>
    <w:rsid w:val="00F95561"/>
    <w:rsid w:val="00F959D7"/>
    <w:rsid w:val="00F961DF"/>
    <w:rsid w:val="00FA05C5"/>
    <w:rsid w:val="00FA2DAE"/>
    <w:rsid w:val="00FA486F"/>
    <w:rsid w:val="00FA5BEB"/>
    <w:rsid w:val="00FB0F1F"/>
    <w:rsid w:val="00FB61D3"/>
    <w:rsid w:val="00FC0A11"/>
    <w:rsid w:val="00FC0C06"/>
    <w:rsid w:val="00FC248E"/>
    <w:rsid w:val="00FC3672"/>
    <w:rsid w:val="00FC4153"/>
    <w:rsid w:val="00FC4594"/>
    <w:rsid w:val="00FC55E9"/>
    <w:rsid w:val="00FC58F9"/>
    <w:rsid w:val="00FD4D69"/>
    <w:rsid w:val="00FD569D"/>
    <w:rsid w:val="00FD652B"/>
    <w:rsid w:val="00FD78BF"/>
    <w:rsid w:val="00FE0271"/>
    <w:rsid w:val="00FE089D"/>
    <w:rsid w:val="00FE14FA"/>
    <w:rsid w:val="00FE3168"/>
    <w:rsid w:val="00FE421E"/>
    <w:rsid w:val="00FE47D4"/>
    <w:rsid w:val="00FE5D0C"/>
    <w:rsid w:val="00FE7F17"/>
    <w:rsid w:val="00FF1CA4"/>
    <w:rsid w:val="00FF226F"/>
    <w:rsid w:val="00FF6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81AEEF"/>
  <w14:defaultImageDpi w14:val="0"/>
  <w15:docId w15:val="{03FAC456-1229-43EC-B907-395843F8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locked="1"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ind w:left="1134" w:hanging="567"/>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342">
      <w:bodyDiv w:val="1"/>
      <w:marLeft w:val="0"/>
      <w:marRight w:val="0"/>
      <w:marTop w:val="0"/>
      <w:marBottom w:val="0"/>
      <w:divBdr>
        <w:top w:val="none" w:sz="0" w:space="0" w:color="auto"/>
        <w:left w:val="none" w:sz="0" w:space="0" w:color="auto"/>
        <w:bottom w:val="none" w:sz="0" w:space="0" w:color="auto"/>
        <w:right w:val="none" w:sz="0" w:space="0" w:color="auto"/>
      </w:divBdr>
    </w:div>
    <w:div w:id="946887908">
      <w:bodyDiv w:val="1"/>
      <w:marLeft w:val="0"/>
      <w:marRight w:val="0"/>
      <w:marTop w:val="0"/>
      <w:marBottom w:val="0"/>
      <w:divBdr>
        <w:top w:val="none" w:sz="0" w:space="0" w:color="auto"/>
        <w:left w:val="none" w:sz="0" w:space="0" w:color="auto"/>
        <w:bottom w:val="none" w:sz="0" w:space="0" w:color="auto"/>
        <w:right w:val="none" w:sz="0" w:space="0" w:color="auto"/>
      </w:divBdr>
    </w:div>
    <w:div w:id="1494682542">
      <w:bodyDiv w:val="1"/>
      <w:marLeft w:val="0"/>
      <w:marRight w:val="0"/>
      <w:marTop w:val="0"/>
      <w:marBottom w:val="0"/>
      <w:divBdr>
        <w:top w:val="none" w:sz="0" w:space="0" w:color="auto"/>
        <w:left w:val="none" w:sz="0" w:space="0" w:color="auto"/>
        <w:bottom w:val="none" w:sz="0" w:space="0" w:color="auto"/>
        <w:right w:val="none" w:sz="0" w:space="0" w:color="auto"/>
      </w:divBdr>
    </w:div>
    <w:div w:id="1730037878">
      <w:bodyDiv w:val="1"/>
      <w:marLeft w:val="0"/>
      <w:marRight w:val="0"/>
      <w:marTop w:val="0"/>
      <w:marBottom w:val="0"/>
      <w:divBdr>
        <w:top w:val="none" w:sz="0" w:space="0" w:color="auto"/>
        <w:left w:val="none" w:sz="0" w:space="0" w:color="auto"/>
        <w:bottom w:val="none" w:sz="0" w:space="0" w:color="auto"/>
        <w:right w:val="none" w:sz="0" w:space="0" w:color="auto"/>
      </w:divBdr>
    </w:div>
    <w:div w:id="2078047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2021FG-64-100257</_dlc_DocId>
    <_dlc_DocIdUrl xmlns="0f563589-9cf9-4143-b1eb-fb0534803d38">
      <Url>http://tweb/sites/fg/csrd/_layouts/15/DocIdRedir.aspx?ID=2021FG-64-100257</Url>
      <Description>2021FG-64-100257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1183" ma:contentTypeDescription=" " ma:contentTypeScope="" ma:versionID="20443df2626b407126082b0656b82d5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EE8709D0-D2FE-4DBD-9BC8-81C8647DEDB5}">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ACCEFB8A-43A4-4461-A392-BF585A308207"/>
  </ds:schemaRefs>
</ds:datastoreItem>
</file>

<file path=customXml/itemProps2.xml><?xml version="1.0" encoding="utf-8"?>
<ds:datastoreItem xmlns:ds="http://schemas.openxmlformats.org/officeDocument/2006/customXml" ds:itemID="{298F4A73-242E-4A20-B1E9-08D9F6384361}">
  <ds:schemaRefs>
    <ds:schemaRef ds:uri="http://schemas.openxmlformats.org/officeDocument/2006/bibliography"/>
  </ds:schemaRefs>
</ds:datastoreItem>
</file>

<file path=customXml/itemProps3.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4.xml><?xml version="1.0" encoding="utf-8"?>
<ds:datastoreItem xmlns:ds="http://schemas.openxmlformats.org/officeDocument/2006/customXml" ds:itemID="{59C14681-2021-46FA-9466-F05ECFCEE1E2}"/>
</file>

<file path=customXml/itemProps5.xml><?xml version="1.0" encoding="utf-8"?>
<ds:datastoreItem xmlns:ds="http://schemas.openxmlformats.org/officeDocument/2006/customXml" ds:itemID="{3FC8919A-3C05-4100-8AE2-230D188879BC}"/>
</file>

<file path=customXml/itemProps6.xml><?xml version="1.0" encoding="utf-8"?>
<ds:datastoreItem xmlns:ds="http://schemas.openxmlformats.org/officeDocument/2006/customXml" ds:itemID="{0ADAA8D0-04AF-4E92-B8ED-8A297A5CE7F8}"/>
</file>

<file path=customXml/itemProps7.xml><?xml version="1.0" encoding="utf-8"?>
<ds:datastoreItem xmlns:ds="http://schemas.openxmlformats.org/officeDocument/2006/customXml" ds:itemID="{A01C44A0-CC2C-4BB4-9973-33556AA29EB4}"/>
</file>

<file path=docProps/app.xml><?xml version="1.0" encoding="utf-8"?>
<Properties xmlns="http://schemas.openxmlformats.org/officeDocument/2006/extended-properties" xmlns:vt="http://schemas.openxmlformats.org/officeDocument/2006/docPropsVTypes">
  <Template>Normal.dotm</Template>
  <TotalTime>2</TotalTime>
  <Pages>6</Pages>
  <Words>1721</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Implementation Plan template</vt:lpstr>
    </vt:vector>
  </TitlesOfParts>
  <Company>Australian Government - The Treasury</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template</dc:title>
  <dc:creator>Council on Federal Financial Relations</dc:creator>
  <cp:keywords>[SEC=OFFICIAL]</cp:keywords>
  <cp:lastModifiedBy>KENNEDY-EVANS,Jeanene</cp:lastModifiedBy>
  <cp:revision>3</cp:revision>
  <cp:lastPrinted>2021-09-23T01:51:00Z</cp:lastPrinted>
  <dcterms:created xsi:type="dcterms:W3CDTF">2021-09-21T07:52:00Z</dcterms:created>
  <dcterms:modified xsi:type="dcterms:W3CDTF">2021-09-23T01:51:00Z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Originator_Hash_SHA1">
    <vt:lpwstr>21140E935EF42C073E5299F5B86EAA718332C669</vt:lpwstr>
  </property>
  <property fmtid="{D5CDD505-2E9C-101B-9397-08002B2CF9AE}" pid="5" name="PM_SecurityClassification">
    <vt:lpwstr>OFFICIAL</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Hash_SHA1">
    <vt:lpwstr>2E893ADD131EAC9DDDD07D17D4BEC4172B3D8724</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OFFICIAL</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2018.1</vt:lpwstr>
  </property>
  <property fmtid="{D5CDD505-2E9C-101B-9397-08002B2CF9AE}" pid="15" name="PM_Originating_FileId">
    <vt:lpwstr>F18417E2F48F4BC389CEBD8B26F823AC</vt:lpwstr>
  </property>
  <property fmtid="{D5CDD505-2E9C-101B-9397-08002B2CF9AE}" pid="16" name="PM_Note">
    <vt:lpwstr/>
  </property>
  <property fmtid="{D5CDD505-2E9C-101B-9397-08002B2CF9AE}" pid="17" name="PM_Markers">
    <vt:lpwstr/>
  </property>
  <property fmtid="{D5CDD505-2E9C-101B-9397-08002B2CF9AE}" pid="18" name="PM_OriginationTimeStamp">
    <vt:lpwstr>2019-11-13T01:11:00Z</vt:lpwstr>
  </property>
  <property fmtid="{D5CDD505-2E9C-101B-9397-08002B2CF9AE}" pid="19" name="PM_Hash_Version">
    <vt:lpwstr>2018.0</vt:lpwstr>
  </property>
  <property fmtid="{D5CDD505-2E9C-101B-9397-08002B2CF9AE}" pid="20" name="PM_Hash_Salt_Prev">
    <vt:lpwstr>D858D2C8AF47B298ABAA768107A7DDF7</vt:lpwstr>
  </property>
  <property fmtid="{D5CDD505-2E9C-101B-9397-08002B2CF9AE}" pid="21" name="PM_Hash_Salt">
    <vt:lpwstr>059A3D5B07D0004CF8BBC584F8B870D4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0x010100348D01E61E107C4DA4B97E380EA20D47005CDF45B49E80F24CAD80DFC012154DA9</vt:lpwstr>
  </property>
  <property fmtid="{D5CDD505-2E9C-101B-9397-08002B2CF9AE}" pid="25" name="TSYRecordClass">
    <vt:lpwstr>2;#TSY RA-8748 - Retain as national archives|243f2231-dbfc-4282-b24a-c9b768286bd0</vt:lpwstr>
  </property>
  <property fmtid="{D5CDD505-2E9C-101B-9397-08002B2CF9AE}" pid="26" name="RecordPoint_WorkflowType">
    <vt:lpwstr>ActiveSubmitStub</vt:lpwstr>
  </property>
  <property fmtid="{D5CDD505-2E9C-101B-9397-08002B2CF9AE}" pid="27" name="RecordPoint_ActiveItemUniqueId">
    <vt:lpwstr>{090a2e8c-018f-4cf6-acb7-06f4de869167}</vt:lpwstr>
  </property>
  <property fmtid="{D5CDD505-2E9C-101B-9397-08002B2CF9AE}" pid="28" name="_dlc_DocIdItemGuid">
    <vt:lpwstr>c56eaee1-3f71-465e-9479-53b9a735c63f</vt:lpwstr>
  </property>
  <property fmtid="{D5CDD505-2E9C-101B-9397-08002B2CF9AE}" pid="29" name="RecordPoint_ActiveItemWebId">
    <vt:lpwstr>{a4589788-615f-4b8b-8296-7f9f6dfbab44}</vt:lpwstr>
  </property>
  <property fmtid="{D5CDD505-2E9C-101B-9397-08002B2CF9AE}" pid="30" name="RecordPoint_ActiveItemSiteId">
    <vt:lpwstr>{a3a280d1-e8f1-4ce7-94f0-aaa2322da0dd}</vt:lpwstr>
  </property>
  <property fmtid="{D5CDD505-2E9C-101B-9397-08002B2CF9AE}" pid="31" name="RecordPoint_ActiveItemListId">
    <vt:lpwstr>{4435c73b-6585-4bc2-a76a-5d21b1a02e06}</vt:lpwstr>
  </property>
</Properties>
</file>