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72B52" w14:textId="77777777" w:rsidR="001A0D6D" w:rsidRDefault="001A0D6D"/>
    <w:p w14:paraId="7D0562AE" w14:textId="21990D7A"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57DA40A5" w:rsidR="00C91B5F" w:rsidRPr="001E20F4" w:rsidRDefault="00AD3FA0" w:rsidP="00C91B5F">
      <w:pPr>
        <w:pStyle w:val="Title"/>
      </w:pPr>
      <w:r>
        <w:t xml:space="preserve">Mental Health Emergency Supports for NSW </w:t>
      </w:r>
    </w:p>
    <w:p w14:paraId="028FB178" w14:textId="5E6F3DF2" w:rsidR="00C91B5F" w:rsidRPr="00BE249A" w:rsidRDefault="00D54783" w:rsidP="00C91B5F">
      <w:pPr>
        <w:pStyle w:val="Subtitle"/>
      </w:pPr>
      <w:r>
        <w:t>FEDERATION FUNDING AGREEMENT – HEALTH</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01A0D6D">
        <w:tc>
          <w:tcPr>
            <w:tcW w:w="9629" w:type="dxa"/>
            <w:gridSpan w:val="2"/>
            <w:shd w:val="clear" w:color="auto" w:fill="DEEAF6" w:themeFill="accent1" w:themeFillTint="33"/>
          </w:tcPr>
          <w:p w14:paraId="5D980595" w14:textId="77777777" w:rsidR="00C91B5F" w:rsidRPr="00F00A18" w:rsidRDefault="00C91B5F" w:rsidP="001A0D6D">
            <w:pPr>
              <w:pStyle w:val="Tableformat"/>
              <w:rPr>
                <w:b/>
                <w:color w:val="auto"/>
              </w:rPr>
            </w:pPr>
            <w:r w:rsidRPr="00F00A18">
              <w:rPr>
                <w:b/>
                <w:color w:val="auto"/>
              </w:rPr>
              <w:t>Table 1: Formalities and operation of schedule</w:t>
            </w:r>
          </w:p>
        </w:tc>
      </w:tr>
      <w:tr w:rsidR="00C91B5F" w:rsidRPr="00F00A18" w14:paraId="65A8E909" w14:textId="77777777" w:rsidTr="00317FB3">
        <w:tc>
          <w:tcPr>
            <w:tcW w:w="1691" w:type="dxa"/>
            <w:shd w:val="clear" w:color="auto" w:fill="auto"/>
          </w:tcPr>
          <w:p w14:paraId="279F6020" w14:textId="77777777" w:rsidR="00C91B5F" w:rsidRPr="00F00A18" w:rsidRDefault="00C91B5F" w:rsidP="001A0D6D">
            <w:pPr>
              <w:pStyle w:val="Tableformat"/>
              <w:rPr>
                <w:color w:val="auto"/>
              </w:rPr>
            </w:pPr>
            <w:r w:rsidRPr="00F00A18">
              <w:rPr>
                <w:color w:val="auto"/>
              </w:rPr>
              <w:t>Parties</w:t>
            </w:r>
          </w:p>
        </w:tc>
        <w:tc>
          <w:tcPr>
            <w:tcW w:w="7938" w:type="dxa"/>
            <w:shd w:val="clear" w:color="auto" w:fill="auto"/>
          </w:tcPr>
          <w:p w14:paraId="28377A00" w14:textId="77777777" w:rsidR="00C91B5F" w:rsidRPr="00F00A18" w:rsidRDefault="00C91B5F" w:rsidP="001A0D6D">
            <w:pPr>
              <w:pStyle w:val="Tableformat"/>
              <w:rPr>
                <w:color w:val="auto"/>
              </w:rPr>
            </w:pPr>
            <w:r w:rsidRPr="00F00A18">
              <w:rPr>
                <w:color w:val="auto"/>
              </w:rPr>
              <w:t>Commonwealth</w:t>
            </w:r>
          </w:p>
          <w:p w14:paraId="73502BB0" w14:textId="29CEC4FB" w:rsidR="00C91B5F" w:rsidRPr="00F00A18" w:rsidRDefault="00322C97" w:rsidP="001A0D6D">
            <w:pPr>
              <w:pStyle w:val="Tableformat"/>
              <w:rPr>
                <w:color w:val="auto"/>
              </w:rPr>
            </w:pPr>
            <w:r>
              <w:rPr>
                <w:color w:val="auto"/>
              </w:rPr>
              <w:t>New South Wales</w:t>
            </w:r>
            <w:r w:rsidR="00C91B5F" w:rsidRPr="00F00A18">
              <w:rPr>
                <w:color w:val="auto"/>
              </w:rPr>
              <w:t xml:space="preserve"> </w:t>
            </w:r>
          </w:p>
        </w:tc>
      </w:tr>
      <w:tr w:rsidR="00C91B5F" w:rsidRPr="00F00A18" w14:paraId="0789EB7E" w14:textId="77777777" w:rsidTr="00317FB3">
        <w:tc>
          <w:tcPr>
            <w:tcW w:w="1691" w:type="dxa"/>
            <w:shd w:val="clear" w:color="auto" w:fill="auto"/>
          </w:tcPr>
          <w:p w14:paraId="1C00DFE7" w14:textId="77777777" w:rsidR="00C91B5F" w:rsidRPr="00F00A18" w:rsidRDefault="00C91B5F" w:rsidP="001A0D6D">
            <w:pPr>
              <w:pStyle w:val="Tableformat"/>
              <w:rPr>
                <w:color w:val="auto"/>
              </w:rPr>
            </w:pPr>
            <w:r w:rsidRPr="00F00A18">
              <w:rPr>
                <w:color w:val="auto"/>
              </w:rPr>
              <w:t>Duration</w:t>
            </w:r>
          </w:p>
        </w:tc>
        <w:tc>
          <w:tcPr>
            <w:tcW w:w="7938" w:type="dxa"/>
            <w:shd w:val="clear" w:color="auto" w:fill="auto"/>
          </w:tcPr>
          <w:p w14:paraId="689A6E64" w14:textId="6230E008" w:rsidR="00C91B5F" w:rsidRPr="00F36C8B" w:rsidRDefault="00C91B5F" w:rsidP="001A0D6D">
            <w:pPr>
              <w:pStyle w:val="Tableformat"/>
              <w:rPr>
                <w:color w:val="auto"/>
              </w:rPr>
            </w:pPr>
            <w:r w:rsidRPr="00F36C8B">
              <w:rPr>
                <w:color w:val="auto"/>
              </w:rPr>
              <w:t>This Schedule</w:t>
            </w:r>
            <w:r w:rsidR="008A4A48" w:rsidRPr="00F36C8B">
              <w:rPr>
                <w:color w:val="auto"/>
              </w:rPr>
              <w:t xml:space="preserve"> commences </w:t>
            </w:r>
            <w:r w:rsidR="009822CE">
              <w:rPr>
                <w:color w:val="auto"/>
              </w:rPr>
              <w:t xml:space="preserve">once both parties have signed and </w:t>
            </w:r>
            <w:r w:rsidR="003D6622">
              <w:rPr>
                <w:color w:val="auto"/>
              </w:rPr>
              <w:t xml:space="preserve">will </w:t>
            </w:r>
            <w:r w:rsidRPr="00F36C8B">
              <w:rPr>
                <w:color w:val="auto"/>
              </w:rPr>
              <w:t>expire on</w:t>
            </w:r>
            <w:r w:rsidR="00322C97" w:rsidRPr="00F36C8B">
              <w:rPr>
                <w:color w:val="auto"/>
              </w:rPr>
              <w:t xml:space="preserve"> </w:t>
            </w:r>
            <w:r w:rsidR="00DF6244" w:rsidRPr="00F36C8B">
              <w:rPr>
                <w:color w:val="auto"/>
              </w:rPr>
              <w:t xml:space="preserve">30 June </w:t>
            </w:r>
            <w:r w:rsidR="008A4A48" w:rsidRPr="00F36C8B">
              <w:rPr>
                <w:color w:val="auto"/>
              </w:rPr>
              <w:t>2022</w:t>
            </w:r>
            <w:r w:rsidR="00DF6244" w:rsidRPr="00F36C8B">
              <w:rPr>
                <w:color w:val="auto"/>
              </w:rPr>
              <w:t>.</w:t>
            </w:r>
            <w:r w:rsidR="008A4A48" w:rsidRPr="00F36C8B">
              <w:rPr>
                <w:color w:val="auto"/>
              </w:rPr>
              <w:t xml:space="preserve"> </w:t>
            </w:r>
          </w:p>
        </w:tc>
      </w:tr>
      <w:tr w:rsidR="00C91B5F" w:rsidRPr="00F00A18" w14:paraId="516BC532" w14:textId="77777777" w:rsidTr="00317FB3">
        <w:tc>
          <w:tcPr>
            <w:tcW w:w="1691" w:type="dxa"/>
            <w:shd w:val="clear" w:color="auto" w:fill="auto"/>
          </w:tcPr>
          <w:p w14:paraId="511BE93C" w14:textId="77777777" w:rsidR="00C91B5F" w:rsidRPr="00F00A18" w:rsidRDefault="00C91B5F" w:rsidP="001A0D6D">
            <w:pPr>
              <w:pStyle w:val="Tableformat"/>
              <w:rPr>
                <w:color w:val="auto"/>
              </w:rPr>
            </w:pPr>
            <w:r w:rsidRPr="00F00A18">
              <w:rPr>
                <w:color w:val="auto"/>
              </w:rPr>
              <w:t>Purpose</w:t>
            </w:r>
          </w:p>
        </w:tc>
        <w:tc>
          <w:tcPr>
            <w:tcW w:w="7938" w:type="dxa"/>
            <w:shd w:val="clear" w:color="auto" w:fill="auto"/>
          </w:tcPr>
          <w:p w14:paraId="36CF7FEF" w14:textId="76765ED1" w:rsidR="00C91B5F" w:rsidRPr="00F36C8B" w:rsidRDefault="00C91B5F" w:rsidP="001A0D6D">
            <w:pPr>
              <w:pStyle w:val="Tableformat"/>
              <w:rPr>
                <w:color w:val="auto"/>
              </w:rPr>
            </w:pPr>
            <w:r w:rsidRPr="00F36C8B">
              <w:rPr>
                <w:color w:val="auto"/>
              </w:rPr>
              <w:t xml:space="preserve">This Schedule will support </w:t>
            </w:r>
            <w:r w:rsidR="00322C97" w:rsidRPr="00F36C8B">
              <w:rPr>
                <w:color w:val="auto"/>
              </w:rPr>
              <w:t xml:space="preserve">New South Wales, </w:t>
            </w:r>
            <w:r w:rsidR="00DF6244" w:rsidRPr="00F36C8B">
              <w:rPr>
                <w:color w:val="auto"/>
              </w:rPr>
              <w:t>through Sonder Australia Pty Ltd</w:t>
            </w:r>
            <w:r w:rsidR="00F36C8B">
              <w:rPr>
                <w:color w:val="auto"/>
              </w:rPr>
              <w:t xml:space="preserve"> (Sonder)</w:t>
            </w:r>
            <w:r w:rsidR="00DF6244" w:rsidRPr="00F36C8B">
              <w:rPr>
                <w:color w:val="auto"/>
              </w:rPr>
              <w:t>, to provide wellbeing support to those in mandatory isolation</w:t>
            </w:r>
            <w:r w:rsidR="00322C97" w:rsidRPr="00F36C8B">
              <w:rPr>
                <w:color w:val="auto"/>
              </w:rPr>
              <w:t>.</w:t>
            </w:r>
            <w:r w:rsidR="008A4A48" w:rsidRPr="00F36C8B">
              <w:rPr>
                <w:color w:val="auto"/>
              </w:rPr>
              <w:t xml:space="preserve"> </w:t>
            </w:r>
            <w:r w:rsidR="00322C97" w:rsidRPr="00F36C8B">
              <w:rPr>
                <w:color w:val="auto"/>
              </w:rPr>
              <w:t>Sond</w:t>
            </w:r>
            <w:r w:rsidR="00AC4810" w:rsidRPr="00F36C8B">
              <w:rPr>
                <w:color w:val="auto"/>
              </w:rPr>
              <w:t>e</w:t>
            </w:r>
            <w:r w:rsidR="00322C97" w:rsidRPr="00F36C8B">
              <w:rPr>
                <w:color w:val="auto"/>
              </w:rPr>
              <w:t>r will provide anyone subject to a mandatory 14-day isolation order</w:t>
            </w:r>
            <w:r w:rsidR="009C27A4" w:rsidRPr="00F36C8B">
              <w:rPr>
                <w:color w:val="auto"/>
              </w:rPr>
              <w:t xml:space="preserve"> with free, 24-hour health and wellbeing support, with an emphasis on early intervention, for the entire duration of their isolation period, via the Sond</w:t>
            </w:r>
            <w:r w:rsidR="00AC4810" w:rsidRPr="00F36C8B">
              <w:rPr>
                <w:color w:val="auto"/>
              </w:rPr>
              <w:t>e</w:t>
            </w:r>
            <w:r w:rsidR="009C27A4" w:rsidRPr="00F36C8B">
              <w:rPr>
                <w:color w:val="auto"/>
              </w:rPr>
              <w:t>r application.</w:t>
            </w:r>
          </w:p>
        </w:tc>
      </w:tr>
      <w:tr w:rsidR="00C91B5F" w:rsidRPr="00F00A18" w14:paraId="2C63A902" w14:textId="77777777" w:rsidTr="00317FB3">
        <w:tc>
          <w:tcPr>
            <w:tcW w:w="1691" w:type="dxa"/>
            <w:shd w:val="clear" w:color="auto" w:fill="auto"/>
          </w:tcPr>
          <w:p w14:paraId="2E78F30B" w14:textId="77777777" w:rsidR="00C91B5F" w:rsidRPr="00F00A18" w:rsidRDefault="00C91B5F" w:rsidP="001A0D6D">
            <w:pPr>
              <w:pStyle w:val="Tableformat"/>
              <w:rPr>
                <w:color w:val="auto"/>
              </w:rPr>
            </w:pPr>
            <w:r w:rsidRPr="00F00A18">
              <w:rPr>
                <w:color w:val="auto"/>
              </w:rPr>
              <w:t>Estimated financial contributions</w:t>
            </w:r>
          </w:p>
        </w:tc>
        <w:tc>
          <w:tcPr>
            <w:tcW w:w="7938" w:type="dxa"/>
            <w:shd w:val="clear" w:color="auto" w:fill="auto"/>
          </w:tcPr>
          <w:p w14:paraId="7110CBB4" w14:textId="769780F2" w:rsidR="00C91B5F" w:rsidRPr="00F00A18" w:rsidRDefault="00322C97" w:rsidP="001A0D6D">
            <w:pPr>
              <w:pStyle w:val="Tableformat"/>
              <w:rPr>
                <w:color w:val="auto"/>
              </w:rPr>
            </w:pPr>
            <w:r w:rsidRPr="00F00A18">
              <w:rPr>
                <w:noProof/>
                <w:color w:val="auto"/>
                <w:lang w:val="en-AU"/>
              </w:rPr>
              <mc:AlternateContent>
                <mc:Choice Requires="wps">
                  <w:drawing>
                    <wp:anchor distT="45720" distB="45720" distL="114300" distR="114300" simplePos="0" relativeHeight="251658240" behindDoc="0" locked="0" layoutInCell="1" allowOverlap="1" wp14:anchorId="48EB322D" wp14:editId="04667DCB">
                      <wp:simplePos x="0" y="0"/>
                      <wp:positionH relativeFrom="column">
                        <wp:posOffset>-62230</wp:posOffset>
                      </wp:positionH>
                      <wp:positionV relativeFrom="paragraph">
                        <wp:posOffset>633095</wp:posOffset>
                      </wp:positionV>
                      <wp:extent cx="4886325" cy="1389380"/>
                      <wp:effectExtent l="0" t="0" r="9525" b="127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38938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4253"/>
                                    <w:gridCol w:w="1417"/>
                                    <w:gridCol w:w="1276"/>
                                  </w:tblGrid>
                                  <w:tr w:rsidR="001E6858" w:rsidRPr="00101AB3" w14:paraId="533FE7BA" w14:textId="77777777" w:rsidTr="00322C97">
                                    <w:trPr>
                                      <w:cantSplit/>
                                    </w:trPr>
                                    <w:tc>
                                      <w:tcPr>
                                        <w:tcW w:w="4253" w:type="dxa"/>
                                        <w:tcBorders>
                                          <w:top w:val="single" w:sz="4" w:space="0" w:color="000080"/>
                                          <w:bottom w:val="single" w:sz="4" w:space="0" w:color="000080"/>
                                        </w:tcBorders>
                                      </w:tcPr>
                                      <w:p w14:paraId="09C865BD" w14:textId="4FDE1C9C" w:rsidR="001E6858" w:rsidRDefault="001E6858" w:rsidP="001A0D6D">
                                        <w:pPr>
                                          <w:keepNext/>
                                          <w:keepLines/>
                                          <w:spacing w:before="40" w:after="40"/>
                                          <w:ind w:left="-111"/>
                                          <w:rPr>
                                            <w:b/>
                                            <w:sz w:val="21"/>
                                            <w:szCs w:val="21"/>
                                          </w:rPr>
                                        </w:pPr>
                                        <w:r>
                                          <w:rPr>
                                            <w:b/>
                                            <w:sz w:val="21"/>
                                            <w:szCs w:val="21"/>
                                          </w:rPr>
                                          <w:t>Table 1</w:t>
                                        </w:r>
                                      </w:p>
                                      <w:p w14:paraId="6430D4A7" w14:textId="64CC398B" w:rsidR="001E6858" w:rsidRPr="005D39DD" w:rsidRDefault="001E6858" w:rsidP="001A0D6D">
                                        <w:pPr>
                                          <w:keepNext/>
                                          <w:keepLines/>
                                          <w:spacing w:before="40" w:after="40"/>
                                          <w:ind w:left="-111"/>
                                          <w:rPr>
                                            <w:b/>
                                            <w:sz w:val="21"/>
                                            <w:szCs w:val="21"/>
                                          </w:rPr>
                                        </w:pPr>
                                        <w:r w:rsidRPr="005D39DD">
                                          <w:rPr>
                                            <w:b/>
                                            <w:sz w:val="21"/>
                                            <w:szCs w:val="21"/>
                                          </w:rPr>
                                          <w:t>($ million)</w:t>
                                        </w:r>
                                      </w:p>
                                    </w:tc>
                                    <w:tc>
                                      <w:tcPr>
                                        <w:tcW w:w="1417" w:type="dxa"/>
                                        <w:tcBorders>
                                          <w:top w:val="single" w:sz="4" w:space="0" w:color="000080"/>
                                          <w:bottom w:val="single" w:sz="4" w:space="0" w:color="000080"/>
                                        </w:tcBorders>
                                      </w:tcPr>
                                      <w:p w14:paraId="6B65C7BA" w14:textId="77777777" w:rsidR="001E6858" w:rsidRDefault="001E6858" w:rsidP="001A0D6D">
                                        <w:pPr>
                                          <w:keepNext/>
                                          <w:keepLines/>
                                          <w:spacing w:before="40" w:after="40"/>
                                          <w:jc w:val="right"/>
                                          <w:rPr>
                                            <w:b/>
                                            <w:sz w:val="21"/>
                                            <w:szCs w:val="21"/>
                                          </w:rPr>
                                        </w:pPr>
                                      </w:p>
                                      <w:p w14:paraId="405AF358" w14:textId="1D99C54F" w:rsidR="001E6858" w:rsidRPr="005D39DD" w:rsidRDefault="001E6858" w:rsidP="001A0D6D">
                                        <w:pPr>
                                          <w:keepNext/>
                                          <w:keepLines/>
                                          <w:spacing w:before="40" w:after="40"/>
                                          <w:jc w:val="right"/>
                                          <w:rPr>
                                            <w:b/>
                                            <w:sz w:val="21"/>
                                            <w:szCs w:val="21"/>
                                          </w:rPr>
                                        </w:pPr>
                                        <w:r>
                                          <w:rPr>
                                            <w:b/>
                                            <w:sz w:val="21"/>
                                            <w:szCs w:val="21"/>
                                          </w:rPr>
                                          <w:t>2021-22</w:t>
                                        </w:r>
                                      </w:p>
                                    </w:tc>
                                    <w:tc>
                                      <w:tcPr>
                                        <w:tcW w:w="1276" w:type="dxa"/>
                                        <w:tcBorders>
                                          <w:top w:val="single" w:sz="4" w:space="0" w:color="000080"/>
                                          <w:bottom w:val="single" w:sz="4" w:space="0" w:color="000080"/>
                                        </w:tcBorders>
                                      </w:tcPr>
                                      <w:p w14:paraId="1E1B4A7A" w14:textId="77777777" w:rsidR="001E6858" w:rsidRDefault="001E6858" w:rsidP="001A0D6D">
                                        <w:pPr>
                                          <w:keepNext/>
                                          <w:keepLines/>
                                          <w:spacing w:before="40" w:after="40"/>
                                          <w:jc w:val="right"/>
                                          <w:rPr>
                                            <w:b/>
                                            <w:sz w:val="21"/>
                                            <w:szCs w:val="21"/>
                                          </w:rPr>
                                        </w:pPr>
                                      </w:p>
                                      <w:p w14:paraId="710B22B8" w14:textId="13BB93A1" w:rsidR="001E6858" w:rsidRPr="005D39DD" w:rsidRDefault="001E6858" w:rsidP="001A0D6D">
                                        <w:pPr>
                                          <w:keepNext/>
                                          <w:keepLines/>
                                          <w:spacing w:before="40" w:after="40"/>
                                          <w:jc w:val="right"/>
                                          <w:rPr>
                                            <w:b/>
                                            <w:sz w:val="21"/>
                                            <w:szCs w:val="21"/>
                                          </w:rPr>
                                        </w:pPr>
                                        <w:r w:rsidRPr="005D39DD">
                                          <w:rPr>
                                            <w:b/>
                                            <w:sz w:val="21"/>
                                            <w:szCs w:val="21"/>
                                          </w:rPr>
                                          <w:t>Total</w:t>
                                        </w:r>
                                      </w:p>
                                    </w:tc>
                                  </w:tr>
                                  <w:tr w:rsidR="001E6858" w:rsidRPr="00101AB3" w14:paraId="54AEFD11" w14:textId="77777777" w:rsidTr="00322C97">
                                    <w:trPr>
                                      <w:cantSplit/>
                                    </w:trPr>
                                    <w:tc>
                                      <w:tcPr>
                                        <w:tcW w:w="4253" w:type="dxa"/>
                                        <w:tcBorders>
                                          <w:top w:val="single" w:sz="4" w:space="0" w:color="000080"/>
                                        </w:tcBorders>
                                      </w:tcPr>
                                      <w:p w14:paraId="55A9A036" w14:textId="77777777" w:rsidR="001E6858" w:rsidRPr="005D39DD" w:rsidRDefault="001E6858" w:rsidP="001A0D6D">
                                        <w:pPr>
                                          <w:keepNext/>
                                          <w:keepLines/>
                                          <w:spacing w:before="60" w:after="60"/>
                                          <w:ind w:left="-111"/>
                                          <w:rPr>
                                            <w:b/>
                                            <w:sz w:val="21"/>
                                            <w:szCs w:val="21"/>
                                          </w:rPr>
                                        </w:pPr>
                                        <w:r w:rsidRPr="005D39DD">
                                          <w:rPr>
                                            <w:b/>
                                            <w:sz w:val="21"/>
                                            <w:szCs w:val="21"/>
                                          </w:rPr>
                                          <w:t>Estimated total budget</w:t>
                                        </w:r>
                                      </w:p>
                                    </w:tc>
                                    <w:tc>
                                      <w:tcPr>
                                        <w:tcW w:w="1417" w:type="dxa"/>
                                        <w:tcBorders>
                                          <w:top w:val="single" w:sz="4" w:space="0" w:color="000080"/>
                                        </w:tcBorders>
                                      </w:tcPr>
                                      <w:p w14:paraId="6774290E" w14:textId="6D771B52" w:rsidR="001E6858" w:rsidRPr="005D39DD" w:rsidRDefault="001E6858" w:rsidP="001A0D6D">
                                        <w:pPr>
                                          <w:keepNext/>
                                          <w:keepLines/>
                                          <w:spacing w:before="40" w:after="40"/>
                                          <w:jc w:val="right"/>
                                          <w:rPr>
                                            <w:b/>
                                            <w:sz w:val="21"/>
                                            <w:szCs w:val="21"/>
                                          </w:rPr>
                                        </w:pPr>
                                        <w:r w:rsidRPr="005D39DD">
                                          <w:rPr>
                                            <w:b/>
                                            <w:sz w:val="21"/>
                                            <w:szCs w:val="21"/>
                                          </w:rPr>
                                          <w:t>1</w:t>
                                        </w:r>
                                        <w:r>
                                          <w:rPr>
                                            <w:b/>
                                            <w:sz w:val="21"/>
                                            <w:szCs w:val="21"/>
                                          </w:rPr>
                                          <w:t>.5</w:t>
                                        </w:r>
                                      </w:p>
                                    </w:tc>
                                    <w:tc>
                                      <w:tcPr>
                                        <w:tcW w:w="1276" w:type="dxa"/>
                                        <w:tcBorders>
                                          <w:top w:val="single" w:sz="4" w:space="0" w:color="000080"/>
                                        </w:tcBorders>
                                      </w:tcPr>
                                      <w:p w14:paraId="08FC5E01" w14:textId="12D12F19" w:rsidR="001E6858" w:rsidRPr="005D39DD" w:rsidRDefault="001E6858" w:rsidP="001A0D6D">
                                        <w:pPr>
                                          <w:keepNext/>
                                          <w:keepLines/>
                                          <w:spacing w:before="40" w:after="40"/>
                                          <w:jc w:val="right"/>
                                          <w:rPr>
                                            <w:b/>
                                            <w:sz w:val="21"/>
                                            <w:szCs w:val="21"/>
                                          </w:rPr>
                                        </w:pPr>
                                        <w:r>
                                          <w:rPr>
                                            <w:b/>
                                            <w:sz w:val="21"/>
                                            <w:szCs w:val="21"/>
                                          </w:rPr>
                                          <w:t>1.5</w:t>
                                        </w:r>
                                      </w:p>
                                    </w:tc>
                                  </w:tr>
                                  <w:tr w:rsidR="001E6858" w:rsidRPr="00101AB3" w14:paraId="4D48DC1E" w14:textId="77777777" w:rsidTr="00322C97">
                                    <w:trPr>
                                      <w:cantSplit/>
                                    </w:trPr>
                                    <w:tc>
                                      <w:tcPr>
                                        <w:tcW w:w="4253" w:type="dxa"/>
                                      </w:tcPr>
                                      <w:p w14:paraId="582F5190" w14:textId="77777777" w:rsidR="001E6858" w:rsidRPr="008C6B79" w:rsidRDefault="001E6858" w:rsidP="001A0D6D">
                                        <w:pPr>
                                          <w:keepNext/>
                                          <w:keepLines/>
                                          <w:spacing w:before="60" w:after="60"/>
                                          <w:ind w:left="-111"/>
                                          <w:rPr>
                                            <w:sz w:val="21"/>
                                            <w:szCs w:val="21"/>
                                          </w:rPr>
                                        </w:pPr>
                                        <w:r w:rsidRPr="008C6B79">
                                          <w:rPr>
                                            <w:sz w:val="21"/>
                                            <w:szCs w:val="21"/>
                                          </w:rPr>
                                          <w:t xml:space="preserve">Less estimated National Partnership Payments </w:t>
                                        </w:r>
                                      </w:p>
                                    </w:tc>
                                    <w:tc>
                                      <w:tcPr>
                                        <w:tcW w:w="1417" w:type="dxa"/>
                                      </w:tcPr>
                                      <w:p w14:paraId="2A58D9BB" w14:textId="4395D753" w:rsidR="001E6858" w:rsidRPr="005D39DD" w:rsidRDefault="001E6858" w:rsidP="001A0D6D">
                                        <w:pPr>
                                          <w:keepNext/>
                                          <w:keepLines/>
                                          <w:spacing w:before="40" w:after="40"/>
                                          <w:jc w:val="right"/>
                                          <w:rPr>
                                            <w:sz w:val="21"/>
                                            <w:szCs w:val="21"/>
                                          </w:rPr>
                                        </w:pPr>
                                        <w:r w:rsidRPr="005D39DD">
                                          <w:rPr>
                                            <w:sz w:val="21"/>
                                            <w:szCs w:val="21"/>
                                          </w:rPr>
                                          <w:t>1.</w:t>
                                        </w:r>
                                        <w:r>
                                          <w:rPr>
                                            <w:sz w:val="21"/>
                                            <w:szCs w:val="21"/>
                                          </w:rPr>
                                          <w:t>5</w:t>
                                        </w:r>
                                      </w:p>
                                    </w:tc>
                                    <w:tc>
                                      <w:tcPr>
                                        <w:tcW w:w="1276" w:type="dxa"/>
                                      </w:tcPr>
                                      <w:p w14:paraId="4E7A84E3" w14:textId="7FAF3095" w:rsidR="001E6858" w:rsidRPr="005D39DD" w:rsidRDefault="001E6858" w:rsidP="001A0D6D">
                                        <w:pPr>
                                          <w:keepNext/>
                                          <w:keepLines/>
                                          <w:spacing w:before="40" w:after="40"/>
                                          <w:jc w:val="right"/>
                                          <w:rPr>
                                            <w:sz w:val="21"/>
                                            <w:szCs w:val="21"/>
                                          </w:rPr>
                                        </w:pPr>
                                        <w:r>
                                          <w:rPr>
                                            <w:sz w:val="21"/>
                                            <w:szCs w:val="21"/>
                                          </w:rPr>
                                          <w:t>1.5</w:t>
                                        </w:r>
                                      </w:p>
                                    </w:tc>
                                  </w:tr>
                                  <w:tr w:rsidR="001E6858" w:rsidRPr="00101AB3" w14:paraId="406CC52C" w14:textId="77777777" w:rsidTr="00322C97">
                                    <w:trPr>
                                      <w:cantSplit/>
                                    </w:trPr>
                                    <w:tc>
                                      <w:tcPr>
                                        <w:tcW w:w="4253" w:type="dxa"/>
                                        <w:tcBorders>
                                          <w:bottom w:val="single" w:sz="4" w:space="0" w:color="000080"/>
                                        </w:tcBorders>
                                      </w:tcPr>
                                      <w:p w14:paraId="7DF3D17D" w14:textId="77777777" w:rsidR="001E6858" w:rsidRPr="008C6B79" w:rsidRDefault="001E6858" w:rsidP="001A0D6D">
                                        <w:pPr>
                                          <w:keepNext/>
                                          <w:keepLines/>
                                          <w:spacing w:before="40" w:after="40"/>
                                          <w:ind w:left="-111"/>
                                          <w:rPr>
                                            <w:sz w:val="21"/>
                                            <w:szCs w:val="21"/>
                                          </w:rPr>
                                        </w:pPr>
                                        <w:r w:rsidRPr="008C6B79">
                                          <w:rPr>
                                            <w:sz w:val="21"/>
                                            <w:szCs w:val="21"/>
                                          </w:rPr>
                                          <w:t>Balance of non-Commonwealth contributions</w:t>
                                        </w:r>
                                      </w:p>
                                    </w:tc>
                                    <w:tc>
                                      <w:tcPr>
                                        <w:tcW w:w="1417" w:type="dxa"/>
                                        <w:tcBorders>
                                          <w:bottom w:val="single" w:sz="4" w:space="0" w:color="000080"/>
                                        </w:tcBorders>
                                      </w:tcPr>
                                      <w:p w14:paraId="0DB89270" w14:textId="77777777" w:rsidR="001E6858" w:rsidRPr="005D39DD" w:rsidRDefault="001E6858" w:rsidP="001A0D6D">
                                        <w:pPr>
                                          <w:keepNext/>
                                          <w:keepLines/>
                                          <w:spacing w:before="40" w:after="40"/>
                                          <w:jc w:val="right"/>
                                          <w:rPr>
                                            <w:sz w:val="21"/>
                                            <w:szCs w:val="21"/>
                                          </w:rPr>
                                        </w:pPr>
                                        <w:r w:rsidRPr="005D39DD">
                                          <w:rPr>
                                            <w:sz w:val="21"/>
                                            <w:szCs w:val="21"/>
                                          </w:rPr>
                                          <w:t>0.0</w:t>
                                        </w:r>
                                      </w:p>
                                    </w:tc>
                                    <w:tc>
                                      <w:tcPr>
                                        <w:tcW w:w="1276" w:type="dxa"/>
                                        <w:tcBorders>
                                          <w:bottom w:val="single" w:sz="4" w:space="0" w:color="000080"/>
                                        </w:tcBorders>
                                      </w:tcPr>
                                      <w:p w14:paraId="51C9A932" w14:textId="1BE54852" w:rsidR="001E6858" w:rsidRPr="005D39DD" w:rsidRDefault="001E6858" w:rsidP="001A0D6D">
                                        <w:pPr>
                                          <w:keepNext/>
                                          <w:keepLines/>
                                          <w:spacing w:before="40" w:after="40"/>
                                          <w:jc w:val="right"/>
                                          <w:rPr>
                                            <w:sz w:val="21"/>
                                            <w:szCs w:val="21"/>
                                          </w:rPr>
                                        </w:pPr>
                                        <w:r>
                                          <w:rPr>
                                            <w:sz w:val="21"/>
                                            <w:szCs w:val="21"/>
                                          </w:rPr>
                                          <w:t>0</w:t>
                                        </w:r>
                                        <w:r w:rsidRPr="005D39DD">
                                          <w:rPr>
                                            <w:sz w:val="21"/>
                                            <w:szCs w:val="21"/>
                                          </w:rPr>
                                          <w:t>.0</w:t>
                                        </w:r>
                                      </w:p>
                                    </w:tc>
                                  </w:tr>
                                </w:tbl>
                                <w:p w14:paraId="27D4F2F1" w14:textId="4614215E" w:rsidR="001E6858" w:rsidRPr="00101AB3" w:rsidRDefault="001E6858" w:rsidP="00F36C8B">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49.85pt;width:384.75pt;height:109.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" stroked="f">
                      <v:textbox>
                        <w:txbxContent>
                          <w:tbl>
                            <w:tblPr>
                              <w:tblW w:w="0" w:type="auto"/>
                              <w:tblLook w:val="01E0" w:firstRow="1" w:lastRow="1" w:firstColumn="1" w:lastColumn="1" w:noHBand="0" w:noVBand="0"/>
                            </w:tblPr>
                            <w:tblGrid>
                              <w:gridCol w:w="4253"/>
                              <w:gridCol w:w="1417"/>
                              <w:gridCol w:w="1276"/>
                            </w:tblGrid>
                            <w:tr w:rsidR="001E6858" w:rsidRPr="00101AB3" w14:paraId="533FE7BA" w14:textId="77777777" w:rsidTr="00322C97">
                              <w:trPr>
                                <w:cantSplit/>
                              </w:trPr>
                              <w:tc>
                                <w:tcPr>
                                  <w:tcW w:w="4253" w:type="dxa"/>
                                  <w:tcBorders>
                                    <w:top w:val="single" w:sz="4" w:space="0" w:color="000080"/>
                                    <w:bottom w:val="single" w:sz="4" w:space="0" w:color="000080"/>
                                  </w:tcBorders>
                                </w:tcPr>
                                <w:p w14:paraId="09C865BD" w14:textId="4FDE1C9C" w:rsidR="001E6858" w:rsidRDefault="001E6858" w:rsidP="001A0D6D">
                                  <w:pPr>
                                    <w:keepNext/>
                                    <w:keepLines/>
                                    <w:spacing w:before="40" w:after="40"/>
                                    <w:ind w:left="-111"/>
                                    <w:rPr>
                                      <w:b/>
                                      <w:sz w:val="21"/>
                                      <w:szCs w:val="21"/>
                                    </w:rPr>
                                  </w:pPr>
                                  <w:r>
                                    <w:rPr>
                                      <w:b/>
                                      <w:sz w:val="21"/>
                                      <w:szCs w:val="21"/>
                                    </w:rPr>
                                    <w:t>Table 1</w:t>
                                  </w:r>
                                </w:p>
                                <w:p w14:paraId="6430D4A7" w14:textId="64CC398B" w:rsidR="001E6858" w:rsidRPr="005D39DD" w:rsidRDefault="001E6858" w:rsidP="001A0D6D">
                                  <w:pPr>
                                    <w:keepNext/>
                                    <w:keepLines/>
                                    <w:spacing w:before="40" w:after="40"/>
                                    <w:ind w:left="-111"/>
                                    <w:rPr>
                                      <w:b/>
                                      <w:sz w:val="21"/>
                                      <w:szCs w:val="21"/>
                                    </w:rPr>
                                  </w:pPr>
                                  <w:r w:rsidRPr="005D39DD">
                                    <w:rPr>
                                      <w:b/>
                                      <w:sz w:val="21"/>
                                      <w:szCs w:val="21"/>
                                    </w:rPr>
                                    <w:t>($ million)</w:t>
                                  </w:r>
                                </w:p>
                              </w:tc>
                              <w:tc>
                                <w:tcPr>
                                  <w:tcW w:w="1417" w:type="dxa"/>
                                  <w:tcBorders>
                                    <w:top w:val="single" w:sz="4" w:space="0" w:color="000080"/>
                                    <w:bottom w:val="single" w:sz="4" w:space="0" w:color="000080"/>
                                  </w:tcBorders>
                                </w:tcPr>
                                <w:p w14:paraId="6B65C7BA" w14:textId="77777777" w:rsidR="001E6858" w:rsidRDefault="001E6858" w:rsidP="001A0D6D">
                                  <w:pPr>
                                    <w:keepNext/>
                                    <w:keepLines/>
                                    <w:spacing w:before="40" w:after="40"/>
                                    <w:jc w:val="right"/>
                                    <w:rPr>
                                      <w:b/>
                                      <w:sz w:val="21"/>
                                      <w:szCs w:val="21"/>
                                    </w:rPr>
                                  </w:pPr>
                                </w:p>
                                <w:p w14:paraId="405AF358" w14:textId="1D99C54F" w:rsidR="001E6858" w:rsidRPr="005D39DD" w:rsidRDefault="001E6858" w:rsidP="001A0D6D">
                                  <w:pPr>
                                    <w:keepNext/>
                                    <w:keepLines/>
                                    <w:spacing w:before="40" w:after="40"/>
                                    <w:jc w:val="right"/>
                                    <w:rPr>
                                      <w:b/>
                                      <w:sz w:val="21"/>
                                      <w:szCs w:val="21"/>
                                    </w:rPr>
                                  </w:pPr>
                                  <w:r>
                                    <w:rPr>
                                      <w:b/>
                                      <w:sz w:val="21"/>
                                      <w:szCs w:val="21"/>
                                    </w:rPr>
                                    <w:t>2021-22</w:t>
                                  </w:r>
                                </w:p>
                              </w:tc>
                              <w:tc>
                                <w:tcPr>
                                  <w:tcW w:w="1276" w:type="dxa"/>
                                  <w:tcBorders>
                                    <w:top w:val="single" w:sz="4" w:space="0" w:color="000080"/>
                                    <w:bottom w:val="single" w:sz="4" w:space="0" w:color="000080"/>
                                  </w:tcBorders>
                                </w:tcPr>
                                <w:p w14:paraId="1E1B4A7A" w14:textId="77777777" w:rsidR="001E6858" w:rsidRDefault="001E6858" w:rsidP="001A0D6D">
                                  <w:pPr>
                                    <w:keepNext/>
                                    <w:keepLines/>
                                    <w:spacing w:before="40" w:after="40"/>
                                    <w:jc w:val="right"/>
                                    <w:rPr>
                                      <w:b/>
                                      <w:sz w:val="21"/>
                                      <w:szCs w:val="21"/>
                                    </w:rPr>
                                  </w:pPr>
                                </w:p>
                                <w:p w14:paraId="710B22B8" w14:textId="13BB93A1" w:rsidR="001E6858" w:rsidRPr="005D39DD" w:rsidRDefault="001E6858" w:rsidP="001A0D6D">
                                  <w:pPr>
                                    <w:keepNext/>
                                    <w:keepLines/>
                                    <w:spacing w:before="40" w:after="40"/>
                                    <w:jc w:val="right"/>
                                    <w:rPr>
                                      <w:b/>
                                      <w:sz w:val="21"/>
                                      <w:szCs w:val="21"/>
                                    </w:rPr>
                                  </w:pPr>
                                  <w:r w:rsidRPr="005D39DD">
                                    <w:rPr>
                                      <w:b/>
                                      <w:sz w:val="21"/>
                                      <w:szCs w:val="21"/>
                                    </w:rPr>
                                    <w:t>Total</w:t>
                                  </w:r>
                                </w:p>
                              </w:tc>
                            </w:tr>
                            <w:tr w:rsidR="001E6858" w:rsidRPr="00101AB3" w14:paraId="54AEFD11" w14:textId="77777777" w:rsidTr="00322C97">
                              <w:trPr>
                                <w:cantSplit/>
                              </w:trPr>
                              <w:tc>
                                <w:tcPr>
                                  <w:tcW w:w="4253" w:type="dxa"/>
                                  <w:tcBorders>
                                    <w:top w:val="single" w:sz="4" w:space="0" w:color="000080"/>
                                  </w:tcBorders>
                                </w:tcPr>
                                <w:p w14:paraId="55A9A036" w14:textId="77777777" w:rsidR="001E6858" w:rsidRPr="005D39DD" w:rsidRDefault="001E6858" w:rsidP="001A0D6D">
                                  <w:pPr>
                                    <w:keepNext/>
                                    <w:keepLines/>
                                    <w:spacing w:before="60" w:after="60"/>
                                    <w:ind w:left="-111"/>
                                    <w:rPr>
                                      <w:b/>
                                      <w:sz w:val="21"/>
                                      <w:szCs w:val="21"/>
                                    </w:rPr>
                                  </w:pPr>
                                  <w:r w:rsidRPr="005D39DD">
                                    <w:rPr>
                                      <w:b/>
                                      <w:sz w:val="21"/>
                                      <w:szCs w:val="21"/>
                                    </w:rPr>
                                    <w:t>Estimated total budget</w:t>
                                  </w:r>
                                </w:p>
                              </w:tc>
                              <w:tc>
                                <w:tcPr>
                                  <w:tcW w:w="1417" w:type="dxa"/>
                                  <w:tcBorders>
                                    <w:top w:val="single" w:sz="4" w:space="0" w:color="000080"/>
                                  </w:tcBorders>
                                </w:tcPr>
                                <w:p w14:paraId="6774290E" w14:textId="6D771B52" w:rsidR="001E6858" w:rsidRPr="005D39DD" w:rsidRDefault="001E6858" w:rsidP="001A0D6D">
                                  <w:pPr>
                                    <w:keepNext/>
                                    <w:keepLines/>
                                    <w:spacing w:before="40" w:after="40"/>
                                    <w:jc w:val="right"/>
                                    <w:rPr>
                                      <w:b/>
                                      <w:sz w:val="21"/>
                                      <w:szCs w:val="21"/>
                                    </w:rPr>
                                  </w:pPr>
                                  <w:r w:rsidRPr="005D39DD">
                                    <w:rPr>
                                      <w:b/>
                                      <w:sz w:val="21"/>
                                      <w:szCs w:val="21"/>
                                    </w:rPr>
                                    <w:t>1</w:t>
                                  </w:r>
                                  <w:r>
                                    <w:rPr>
                                      <w:b/>
                                      <w:sz w:val="21"/>
                                      <w:szCs w:val="21"/>
                                    </w:rPr>
                                    <w:t>.5</w:t>
                                  </w:r>
                                </w:p>
                              </w:tc>
                              <w:tc>
                                <w:tcPr>
                                  <w:tcW w:w="1276" w:type="dxa"/>
                                  <w:tcBorders>
                                    <w:top w:val="single" w:sz="4" w:space="0" w:color="000080"/>
                                  </w:tcBorders>
                                </w:tcPr>
                                <w:p w14:paraId="08FC5E01" w14:textId="12D12F19" w:rsidR="001E6858" w:rsidRPr="005D39DD" w:rsidRDefault="001E6858" w:rsidP="001A0D6D">
                                  <w:pPr>
                                    <w:keepNext/>
                                    <w:keepLines/>
                                    <w:spacing w:before="40" w:after="40"/>
                                    <w:jc w:val="right"/>
                                    <w:rPr>
                                      <w:b/>
                                      <w:sz w:val="21"/>
                                      <w:szCs w:val="21"/>
                                    </w:rPr>
                                  </w:pPr>
                                  <w:r>
                                    <w:rPr>
                                      <w:b/>
                                      <w:sz w:val="21"/>
                                      <w:szCs w:val="21"/>
                                    </w:rPr>
                                    <w:t>1.5</w:t>
                                  </w:r>
                                </w:p>
                              </w:tc>
                            </w:tr>
                            <w:tr w:rsidR="001E6858" w:rsidRPr="00101AB3" w14:paraId="4D48DC1E" w14:textId="77777777" w:rsidTr="00322C97">
                              <w:trPr>
                                <w:cantSplit/>
                              </w:trPr>
                              <w:tc>
                                <w:tcPr>
                                  <w:tcW w:w="4253" w:type="dxa"/>
                                </w:tcPr>
                                <w:p w14:paraId="582F5190" w14:textId="77777777" w:rsidR="001E6858" w:rsidRPr="008C6B79" w:rsidRDefault="001E6858" w:rsidP="001A0D6D">
                                  <w:pPr>
                                    <w:keepNext/>
                                    <w:keepLines/>
                                    <w:spacing w:before="60" w:after="60"/>
                                    <w:ind w:left="-111"/>
                                    <w:rPr>
                                      <w:sz w:val="21"/>
                                      <w:szCs w:val="21"/>
                                    </w:rPr>
                                  </w:pPr>
                                  <w:r w:rsidRPr="008C6B79">
                                    <w:rPr>
                                      <w:sz w:val="21"/>
                                      <w:szCs w:val="21"/>
                                    </w:rPr>
                                    <w:t xml:space="preserve">Less estimated National Partnership Payments </w:t>
                                  </w:r>
                                </w:p>
                              </w:tc>
                              <w:tc>
                                <w:tcPr>
                                  <w:tcW w:w="1417" w:type="dxa"/>
                                </w:tcPr>
                                <w:p w14:paraId="2A58D9BB" w14:textId="4395D753" w:rsidR="001E6858" w:rsidRPr="005D39DD" w:rsidRDefault="001E6858" w:rsidP="001A0D6D">
                                  <w:pPr>
                                    <w:keepNext/>
                                    <w:keepLines/>
                                    <w:spacing w:before="40" w:after="40"/>
                                    <w:jc w:val="right"/>
                                    <w:rPr>
                                      <w:sz w:val="21"/>
                                      <w:szCs w:val="21"/>
                                    </w:rPr>
                                  </w:pPr>
                                  <w:r w:rsidRPr="005D39DD">
                                    <w:rPr>
                                      <w:sz w:val="21"/>
                                      <w:szCs w:val="21"/>
                                    </w:rPr>
                                    <w:t>1.</w:t>
                                  </w:r>
                                  <w:r>
                                    <w:rPr>
                                      <w:sz w:val="21"/>
                                      <w:szCs w:val="21"/>
                                    </w:rPr>
                                    <w:t>5</w:t>
                                  </w:r>
                                </w:p>
                              </w:tc>
                              <w:tc>
                                <w:tcPr>
                                  <w:tcW w:w="1276" w:type="dxa"/>
                                </w:tcPr>
                                <w:p w14:paraId="4E7A84E3" w14:textId="7FAF3095" w:rsidR="001E6858" w:rsidRPr="005D39DD" w:rsidRDefault="001E6858" w:rsidP="001A0D6D">
                                  <w:pPr>
                                    <w:keepNext/>
                                    <w:keepLines/>
                                    <w:spacing w:before="40" w:after="40"/>
                                    <w:jc w:val="right"/>
                                    <w:rPr>
                                      <w:sz w:val="21"/>
                                      <w:szCs w:val="21"/>
                                    </w:rPr>
                                  </w:pPr>
                                  <w:r>
                                    <w:rPr>
                                      <w:sz w:val="21"/>
                                      <w:szCs w:val="21"/>
                                    </w:rPr>
                                    <w:t>1.5</w:t>
                                  </w:r>
                                </w:p>
                              </w:tc>
                            </w:tr>
                            <w:tr w:rsidR="001E6858" w:rsidRPr="00101AB3" w14:paraId="406CC52C" w14:textId="77777777" w:rsidTr="00322C97">
                              <w:trPr>
                                <w:cantSplit/>
                              </w:trPr>
                              <w:tc>
                                <w:tcPr>
                                  <w:tcW w:w="4253" w:type="dxa"/>
                                  <w:tcBorders>
                                    <w:bottom w:val="single" w:sz="4" w:space="0" w:color="000080"/>
                                  </w:tcBorders>
                                </w:tcPr>
                                <w:p w14:paraId="7DF3D17D" w14:textId="77777777" w:rsidR="001E6858" w:rsidRPr="008C6B79" w:rsidRDefault="001E6858" w:rsidP="001A0D6D">
                                  <w:pPr>
                                    <w:keepNext/>
                                    <w:keepLines/>
                                    <w:spacing w:before="40" w:after="40"/>
                                    <w:ind w:left="-111"/>
                                    <w:rPr>
                                      <w:sz w:val="21"/>
                                      <w:szCs w:val="21"/>
                                    </w:rPr>
                                  </w:pPr>
                                  <w:r w:rsidRPr="008C6B79">
                                    <w:rPr>
                                      <w:sz w:val="21"/>
                                      <w:szCs w:val="21"/>
                                    </w:rPr>
                                    <w:t>Balance of non-Commonwealth contributions</w:t>
                                  </w:r>
                                </w:p>
                              </w:tc>
                              <w:tc>
                                <w:tcPr>
                                  <w:tcW w:w="1417" w:type="dxa"/>
                                  <w:tcBorders>
                                    <w:bottom w:val="single" w:sz="4" w:space="0" w:color="000080"/>
                                  </w:tcBorders>
                                </w:tcPr>
                                <w:p w14:paraId="0DB89270" w14:textId="77777777" w:rsidR="001E6858" w:rsidRPr="005D39DD" w:rsidRDefault="001E6858" w:rsidP="001A0D6D">
                                  <w:pPr>
                                    <w:keepNext/>
                                    <w:keepLines/>
                                    <w:spacing w:before="40" w:after="40"/>
                                    <w:jc w:val="right"/>
                                    <w:rPr>
                                      <w:sz w:val="21"/>
                                      <w:szCs w:val="21"/>
                                    </w:rPr>
                                  </w:pPr>
                                  <w:r w:rsidRPr="005D39DD">
                                    <w:rPr>
                                      <w:sz w:val="21"/>
                                      <w:szCs w:val="21"/>
                                    </w:rPr>
                                    <w:t>0.0</w:t>
                                  </w:r>
                                </w:p>
                              </w:tc>
                              <w:tc>
                                <w:tcPr>
                                  <w:tcW w:w="1276" w:type="dxa"/>
                                  <w:tcBorders>
                                    <w:bottom w:val="single" w:sz="4" w:space="0" w:color="000080"/>
                                  </w:tcBorders>
                                </w:tcPr>
                                <w:p w14:paraId="51C9A932" w14:textId="1BE54852" w:rsidR="001E6858" w:rsidRPr="005D39DD" w:rsidRDefault="001E6858" w:rsidP="001A0D6D">
                                  <w:pPr>
                                    <w:keepNext/>
                                    <w:keepLines/>
                                    <w:spacing w:before="40" w:after="40"/>
                                    <w:jc w:val="right"/>
                                    <w:rPr>
                                      <w:sz w:val="21"/>
                                      <w:szCs w:val="21"/>
                                    </w:rPr>
                                  </w:pPr>
                                  <w:r>
                                    <w:rPr>
                                      <w:sz w:val="21"/>
                                      <w:szCs w:val="21"/>
                                    </w:rPr>
                                    <w:t>0</w:t>
                                  </w:r>
                                  <w:r w:rsidRPr="005D39DD">
                                    <w:rPr>
                                      <w:sz w:val="21"/>
                                      <w:szCs w:val="21"/>
                                    </w:rPr>
                                    <w:t>.0</w:t>
                                  </w:r>
                                </w:p>
                              </w:tc>
                            </w:tr>
                          </w:tbl>
                          <w:p w14:paraId="27D4F2F1" w14:textId="4614215E" w:rsidR="001E6858" w:rsidRPr="00101AB3" w:rsidRDefault="001E6858" w:rsidP="00F36C8B">
                            <w:pPr>
                              <w:rPr>
                                <w:sz w:val="18"/>
                                <w:szCs w:val="18"/>
                              </w:rPr>
                            </w:pPr>
                          </w:p>
                        </w:txbxContent>
                      </v:textbox>
                      <w10:wrap type="square"/>
                    </v:shape>
                  </w:pict>
                </mc:Fallback>
              </mc:AlternateContent>
            </w:r>
            <w:r w:rsidR="00C91B5F" w:rsidRPr="00F00A18">
              <w:rPr>
                <w:color w:val="auto"/>
              </w:rPr>
              <w:t xml:space="preserve">The Commonwealth will provide an estimated total financial contribution to </w:t>
            </w:r>
            <w:r>
              <w:rPr>
                <w:color w:val="auto"/>
              </w:rPr>
              <w:t>New South Wales</w:t>
            </w:r>
            <w:r w:rsidR="00C91B5F" w:rsidRPr="00F00A18">
              <w:rPr>
                <w:color w:val="auto"/>
              </w:rPr>
              <w:t xml:space="preserve"> of $</w:t>
            </w:r>
            <w:r>
              <w:rPr>
                <w:color w:val="auto"/>
              </w:rPr>
              <w:t>1.5</w:t>
            </w:r>
            <w:r w:rsidR="00C91B5F" w:rsidRPr="00F00A18">
              <w:rPr>
                <w:color w:val="auto"/>
              </w:rPr>
              <w:t xml:space="preserve">m in respect of this </w:t>
            </w:r>
            <w:r>
              <w:rPr>
                <w:color w:val="auto"/>
              </w:rPr>
              <w:t>Sc</w:t>
            </w:r>
            <w:r w:rsidR="00C91B5F" w:rsidRPr="00F00A18">
              <w:rPr>
                <w:color w:val="auto"/>
              </w:rPr>
              <w:t>hedule.</w:t>
            </w:r>
          </w:p>
        </w:tc>
      </w:tr>
      <w:tr w:rsidR="00C91B5F" w:rsidRPr="00F00A18" w14:paraId="21E3D649" w14:textId="77777777" w:rsidTr="00F36C8B">
        <w:trPr>
          <w:trHeight w:val="1633"/>
        </w:trPr>
        <w:tc>
          <w:tcPr>
            <w:tcW w:w="1691" w:type="dxa"/>
            <w:shd w:val="clear" w:color="auto" w:fill="auto"/>
          </w:tcPr>
          <w:p w14:paraId="06578BDF" w14:textId="2343FC9F" w:rsidR="00C91B5F" w:rsidRPr="00F00A18" w:rsidRDefault="00C91B5F" w:rsidP="001A0D6D">
            <w:pPr>
              <w:pStyle w:val="Tableformat"/>
              <w:rPr>
                <w:color w:val="auto"/>
              </w:rPr>
            </w:pPr>
            <w:r w:rsidRPr="00F00A18">
              <w:rPr>
                <w:color w:val="auto"/>
              </w:rPr>
              <w:t>Additional terms</w:t>
            </w:r>
          </w:p>
        </w:tc>
        <w:tc>
          <w:tcPr>
            <w:tcW w:w="7938" w:type="dxa"/>
            <w:shd w:val="clear" w:color="auto" w:fill="auto"/>
          </w:tcPr>
          <w:p w14:paraId="679D8AD4" w14:textId="3E89BCFA" w:rsidR="00C91B5F" w:rsidRPr="00AC4810" w:rsidRDefault="00AC4810" w:rsidP="001A0D6D">
            <w:pPr>
              <w:pStyle w:val="Tableformat"/>
              <w:rPr>
                <w:iCs w:val="0"/>
                <w:color w:val="auto"/>
              </w:rPr>
            </w:pPr>
            <w:r w:rsidRPr="00AC4810">
              <w:rPr>
                <w:iCs w:val="0"/>
                <w:color w:val="auto"/>
              </w:rPr>
              <w:t xml:space="preserve">Health service activity will not be funded through this Agreement if the same service, or any part of the same service, is funded through any other Commonwealth program or agreement, including </w:t>
            </w:r>
            <w:r w:rsidRPr="00AC4810">
              <w:rPr>
                <w:i/>
                <w:color w:val="auto"/>
              </w:rPr>
              <w:t>Addendum</w:t>
            </w:r>
            <w:r w:rsidRPr="00AC4810">
              <w:rPr>
                <w:iCs w:val="0"/>
                <w:color w:val="auto"/>
              </w:rPr>
              <w:t xml:space="preserve"> to the </w:t>
            </w:r>
            <w:r w:rsidRPr="00AC4810">
              <w:rPr>
                <w:i/>
                <w:color w:val="auto"/>
              </w:rPr>
              <w:t>National Health Reform Agreement 2020-25</w:t>
            </w:r>
            <w:r w:rsidRPr="00AC4810">
              <w:rPr>
                <w:iCs w:val="0"/>
                <w:color w:val="auto"/>
              </w:rPr>
              <w:t xml:space="preserve"> and Hospital Services Payments under the </w:t>
            </w:r>
            <w:r w:rsidRPr="00AC4810">
              <w:rPr>
                <w:i/>
                <w:color w:val="auto"/>
              </w:rPr>
              <w:t>National Partnership on COVID-19 Response</w:t>
            </w:r>
            <w:r w:rsidRPr="00AC4810">
              <w:rPr>
                <w:iCs w:val="0"/>
                <w:color w:val="auto"/>
              </w:rPr>
              <w:t xml:space="preserve">. </w:t>
            </w:r>
            <w:r w:rsidR="00C91B5F" w:rsidRPr="00AC4810">
              <w:rPr>
                <w:iCs w:val="0"/>
                <w:color w:val="auto"/>
              </w:rPr>
              <w:t xml:space="preserve"> </w:t>
            </w:r>
          </w:p>
        </w:tc>
      </w:tr>
    </w:tbl>
    <w:p w14:paraId="3CA07E3E" w14:textId="77777777" w:rsidR="00C91B5F" w:rsidRPr="00F00A18" w:rsidRDefault="00C91B5F" w:rsidP="00C91B5F"/>
    <w:p w14:paraId="7417F48D" w14:textId="77777777" w:rsidR="00C91B5F" w:rsidRPr="00F00A18" w:rsidRDefault="00C91B5F" w:rsidP="00C91B5F">
      <w:pPr>
        <w:sectPr w:rsidR="00C91B5F" w:rsidRPr="00F00A18" w:rsidSect="001A0D6D">
          <w:footerReference w:type="even" r:id="rId14"/>
          <w:footerReference w:type="default" r:id="rId15"/>
          <w:headerReference w:type="first" r:id="rId16"/>
          <w:footerReference w:type="first" r:id="rId17"/>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31"/>
        <w:gridCol w:w="4487"/>
        <w:gridCol w:w="1232"/>
        <w:gridCol w:w="1356"/>
      </w:tblGrid>
      <w:tr w:rsidR="00C91B5F" w:rsidRPr="00F00A18" w14:paraId="666D7A2C" w14:textId="77777777" w:rsidTr="00CB0D6D">
        <w:tc>
          <w:tcPr>
            <w:tcW w:w="13938" w:type="dxa"/>
            <w:gridSpan w:val="4"/>
            <w:shd w:val="clear" w:color="auto" w:fill="DEEAF6" w:themeFill="accent1" w:themeFillTint="33"/>
          </w:tcPr>
          <w:p w14:paraId="560DB1DE" w14:textId="77777777" w:rsidR="00C91B5F" w:rsidRPr="00F00A18" w:rsidRDefault="00C91B5F" w:rsidP="001A0D6D">
            <w:pPr>
              <w:pStyle w:val="Tableformat"/>
              <w:rPr>
                <w:b/>
                <w:color w:val="auto"/>
              </w:rPr>
            </w:pPr>
            <w:r w:rsidRPr="00F00A18">
              <w:rPr>
                <w:b/>
                <w:color w:val="auto"/>
              </w:rPr>
              <w:lastRenderedPageBreak/>
              <w:t>Table 2: Performance requirements, reporting and payment summary</w:t>
            </w:r>
          </w:p>
        </w:tc>
      </w:tr>
      <w:tr w:rsidR="00C91B5F" w:rsidRPr="00F00A18" w14:paraId="45D97D64" w14:textId="77777777" w:rsidTr="00FF5D62">
        <w:tc>
          <w:tcPr>
            <w:tcW w:w="2967" w:type="dxa"/>
            <w:shd w:val="clear" w:color="auto" w:fill="F2F2F2" w:themeFill="background1" w:themeFillShade="F2"/>
          </w:tcPr>
          <w:p w14:paraId="10F4D2BD" w14:textId="4E333952" w:rsidR="00C91B5F" w:rsidRPr="00F00A18" w:rsidRDefault="00C91B5F" w:rsidP="001A0D6D">
            <w:pPr>
              <w:pStyle w:val="Tableformat"/>
              <w:rPr>
                <w:b/>
                <w:color w:val="auto"/>
              </w:rPr>
            </w:pPr>
            <w:r w:rsidRPr="00F00A18">
              <w:rPr>
                <w:b/>
                <w:color w:val="auto"/>
              </w:rPr>
              <w:t>Output</w:t>
            </w:r>
            <w:r w:rsidRPr="00F00A18">
              <w:rPr>
                <w:b/>
                <w:color w:val="auto"/>
              </w:rPr>
              <w:br/>
            </w:r>
          </w:p>
        </w:tc>
        <w:tc>
          <w:tcPr>
            <w:tcW w:w="7088" w:type="dxa"/>
            <w:shd w:val="clear" w:color="auto" w:fill="F2F2F2" w:themeFill="background1" w:themeFillShade="F2"/>
          </w:tcPr>
          <w:p w14:paraId="1B454D97" w14:textId="77777777" w:rsidR="00C91B5F" w:rsidRPr="00F00A18" w:rsidRDefault="00C91B5F" w:rsidP="001A0D6D">
            <w:pPr>
              <w:pStyle w:val="Tableformat"/>
              <w:rPr>
                <w:b/>
                <w:color w:val="auto"/>
              </w:rPr>
            </w:pPr>
            <w:r w:rsidRPr="00F00A18">
              <w:rPr>
                <w:b/>
                <w:color w:val="auto"/>
              </w:rPr>
              <w:t>Performance milestones</w:t>
            </w:r>
          </w:p>
        </w:tc>
        <w:tc>
          <w:tcPr>
            <w:tcW w:w="1842" w:type="dxa"/>
            <w:shd w:val="clear" w:color="auto" w:fill="F2F2F2" w:themeFill="background1" w:themeFillShade="F2"/>
          </w:tcPr>
          <w:p w14:paraId="4CBE64C9" w14:textId="77777777" w:rsidR="00C91B5F" w:rsidRPr="00F00A18" w:rsidRDefault="00C91B5F" w:rsidP="001A0D6D">
            <w:pPr>
              <w:pStyle w:val="Tableformat"/>
              <w:rPr>
                <w:b/>
                <w:color w:val="auto"/>
              </w:rPr>
            </w:pPr>
            <w:r w:rsidRPr="00F00A18">
              <w:rPr>
                <w:b/>
                <w:color w:val="auto"/>
              </w:rPr>
              <w:t>Report due</w:t>
            </w:r>
          </w:p>
        </w:tc>
        <w:tc>
          <w:tcPr>
            <w:tcW w:w="2041" w:type="dxa"/>
            <w:shd w:val="clear" w:color="auto" w:fill="F2F2F2" w:themeFill="background1" w:themeFillShade="F2"/>
          </w:tcPr>
          <w:p w14:paraId="3F2D3F12" w14:textId="77777777" w:rsidR="00C91B5F" w:rsidRPr="00F00A18" w:rsidRDefault="00C91B5F" w:rsidP="001A0D6D">
            <w:pPr>
              <w:pStyle w:val="Tableformat"/>
              <w:rPr>
                <w:b/>
                <w:color w:val="auto"/>
              </w:rPr>
            </w:pPr>
            <w:r w:rsidRPr="00F00A18">
              <w:rPr>
                <w:b/>
                <w:color w:val="auto"/>
              </w:rPr>
              <w:t>Payment</w:t>
            </w:r>
          </w:p>
        </w:tc>
      </w:tr>
      <w:tr w:rsidR="007E2FA0" w:rsidRPr="00F00A18" w14:paraId="68447CFD" w14:textId="77777777" w:rsidTr="00F224B7">
        <w:tc>
          <w:tcPr>
            <w:tcW w:w="2967" w:type="dxa"/>
            <w:vMerge w:val="restart"/>
            <w:tcBorders>
              <w:top w:val="single" w:sz="8" w:space="0" w:color="4F81BD"/>
              <w:left w:val="single" w:sz="8" w:space="0" w:color="4F81BD"/>
              <w:right w:val="single" w:sz="8" w:space="0" w:color="4F81BD"/>
            </w:tcBorders>
          </w:tcPr>
          <w:p w14:paraId="01D11D67" w14:textId="2B5017B4" w:rsidR="007E2FA0" w:rsidRDefault="007E2FA0" w:rsidP="001A0D6D">
            <w:pPr>
              <w:pStyle w:val="Milestonetable"/>
              <w:rPr>
                <w:color w:val="auto"/>
              </w:rPr>
            </w:pPr>
            <w:r>
              <w:rPr>
                <w:color w:val="auto"/>
              </w:rPr>
              <w:t xml:space="preserve">Delivery of Sonder program  </w:t>
            </w:r>
          </w:p>
        </w:tc>
        <w:tc>
          <w:tcPr>
            <w:tcW w:w="7088" w:type="dxa"/>
            <w:tcBorders>
              <w:top w:val="single" w:sz="8" w:space="0" w:color="4F81BD"/>
              <w:left w:val="single" w:sz="8" w:space="0" w:color="4F81BD"/>
              <w:bottom w:val="single" w:sz="8" w:space="0" w:color="4F81BD"/>
              <w:right w:val="single" w:sz="8" w:space="0" w:color="4F81BD"/>
            </w:tcBorders>
            <w:shd w:val="clear" w:color="auto" w:fill="auto"/>
          </w:tcPr>
          <w:p w14:paraId="4E619C3C" w14:textId="258EB0AC" w:rsidR="007E2FA0" w:rsidRPr="00211610" w:rsidRDefault="007E2FA0" w:rsidP="00DF6244">
            <w:pPr>
              <w:pStyle w:val="Milestonetable"/>
              <w:numPr>
                <w:ilvl w:val="0"/>
                <w:numId w:val="6"/>
              </w:numPr>
              <w:ind w:left="360"/>
              <w:rPr>
                <w:color w:val="auto"/>
              </w:rPr>
            </w:pPr>
            <w:r>
              <w:rPr>
                <w:color w:val="auto"/>
              </w:rPr>
              <w:t>Commencement of schedule</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11B37CE6" w14:textId="4FF48C90" w:rsidR="007E2FA0" w:rsidRDefault="007E2FA0" w:rsidP="001A0D6D">
            <w:pPr>
              <w:pStyle w:val="Milestonetable"/>
              <w:rPr>
                <w:color w:val="auto"/>
              </w:rPr>
            </w:pPr>
            <w:r>
              <w:rPr>
                <w:color w:val="auto"/>
              </w:rPr>
              <w:t>N/A</w:t>
            </w:r>
          </w:p>
        </w:tc>
        <w:tc>
          <w:tcPr>
            <w:tcW w:w="2041" w:type="dxa"/>
            <w:tcBorders>
              <w:top w:val="single" w:sz="8" w:space="0" w:color="4F81BD"/>
              <w:left w:val="single" w:sz="8" w:space="0" w:color="4F81BD"/>
              <w:bottom w:val="single" w:sz="8" w:space="0" w:color="4F81BD"/>
              <w:right w:val="single" w:sz="8" w:space="0" w:color="4F81BD"/>
            </w:tcBorders>
            <w:shd w:val="clear" w:color="auto" w:fill="auto"/>
          </w:tcPr>
          <w:p w14:paraId="2DCB3888" w14:textId="757614A9" w:rsidR="007E2FA0" w:rsidRDefault="007E2FA0" w:rsidP="00FF5D62">
            <w:pPr>
              <w:pStyle w:val="Milestonetable"/>
              <w:rPr>
                <w:color w:val="auto"/>
              </w:rPr>
            </w:pPr>
            <w:r>
              <w:rPr>
                <w:color w:val="auto"/>
              </w:rPr>
              <w:t>$1.5m (within 30 days of signature)</w:t>
            </w:r>
          </w:p>
        </w:tc>
      </w:tr>
      <w:tr w:rsidR="007E2FA0" w:rsidRPr="00F00A18" w14:paraId="6D142D4F" w14:textId="77777777" w:rsidTr="002D6AE2">
        <w:tc>
          <w:tcPr>
            <w:tcW w:w="2967" w:type="dxa"/>
            <w:vMerge/>
            <w:tcBorders>
              <w:left w:val="single" w:sz="8" w:space="0" w:color="4F81BD"/>
              <w:right w:val="single" w:sz="8" w:space="0" w:color="4F81BD"/>
            </w:tcBorders>
          </w:tcPr>
          <w:p w14:paraId="43AC35BA" w14:textId="758791C3" w:rsidR="007E2FA0" w:rsidRPr="00F00A18" w:rsidRDefault="007E2FA0" w:rsidP="001A0D6D">
            <w:pPr>
              <w:pStyle w:val="Milestonetable"/>
              <w:rPr>
                <w:color w:val="auto"/>
              </w:rPr>
            </w:pPr>
          </w:p>
        </w:tc>
        <w:tc>
          <w:tcPr>
            <w:tcW w:w="7088" w:type="dxa"/>
            <w:tcBorders>
              <w:top w:val="single" w:sz="8" w:space="0" w:color="4F81BD"/>
              <w:left w:val="single" w:sz="8" w:space="0" w:color="4F81BD"/>
              <w:bottom w:val="single" w:sz="8" w:space="0" w:color="4F81BD"/>
              <w:right w:val="single" w:sz="8" w:space="0" w:color="4F81BD"/>
            </w:tcBorders>
            <w:shd w:val="clear" w:color="auto" w:fill="auto"/>
          </w:tcPr>
          <w:p w14:paraId="13E4B317" w14:textId="0E4B1EF5" w:rsidR="007E2FA0" w:rsidRDefault="007E2FA0" w:rsidP="00DF6244">
            <w:pPr>
              <w:pStyle w:val="Milestonetable"/>
              <w:numPr>
                <w:ilvl w:val="0"/>
                <w:numId w:val="6"/>
              </w:numPr>
              <w:ind w:left="360"/>
              <w:rPr>
                <w:color w:val="auto"/>
              </w:rPr>
            </w:pPr>
            <w:r w:rsidRPr="00211610">
              <w:rPr>
                <w:color w:val="auto"/>
              </w:rPr>
              <w:t xml:space="preserve">Sonder </w:t>
            </w:r>
            <w:r>
              <w:rPr>
                <w:color w:val="auto"/>
              </w:rPr>
              <w:t xml:space="preserve">application </w:t>
            </w:r>
            <w:r w:rsidRPr="00211610">
              <w:rPr>
                <w:color w:val="auto"/>
              </w:rPr>
              <w:t>made available to</w:t>
            </w:r>
            <w:r>
              <w:rPr>
                <w:color w:val="auto"/>
              </w:rPr>
              <w:t xml:space="preserve"> p</w:t>
            </w:r>
            <w:r w:rsidRPr="00211610">
              <w:rPr>
                <w:color w:val="auto"/>
              </w:rPr>
              <w:t>ilot with initial cohort</w:t>
            </w:r>
            <w:r>
              <w:rPr>
                <w:color w:val="auto"/>
              </w:rPr>
              <w:t xml:space="preserve"> </w:t>
            </w:r>
          </w:p>
          <w:p w14:paraId="2EE10E1B" w14:textId="77777777" w:rsidR="007E2FA0" w:rsidRDefault="007E2FA0" w:rsidP="009822CE">
            <w:pPr>
              <w:pStyle w:val="Milestonetable"/>
              <w:ind w:left="360"/>
              <w:rPr>
                <w:color w:val="auto"/>
              </w:rPr>
            </w:pPr>
          </w:p>
          <w:p w14:paraId="6EE85D66" w14:textId="43344B39" w:rsidR="007E2FA0" w:rsidRDefault="007E2FA0" w:rsidP="00DF6244">
            <w:pPr>
              <w:pStyle w:val="Milestonetable"/>
              <w:numPr>
                <w:ilvl w:val="0"/>
                <w:numId w:val="6"/>
              </w:numPr>
              <w:ind w:left="360"/>
              <w:rPr>
                <w:color w:val="auto"/>
              </w:rPr>
            </w:pPr>
            <w:r>
              <w:rPr>
                <w:color w:val="auto"/>
              </w:rPr>
              <w:t xml:space="preserve">Sonder app </w:t>
            </w:r>
            <w:r w:rsidRPr="00211610">
              <w:rPr>
                <w:color w:val="auto"/>
              </w:rPr>
              <w:t xml:space="preserve">made available to all users directed by NSW </w:t>
            </w:r>
            <w:r w:rsidRPr="008A4A48">
              <w:rPr>
                <w:color w:val="auto"/>
              </w:rPr>
              <w:t>Health into mandatory isolation.</w:t>
            </w:r>
          </w:p>
          <w:p w14:paraId="483691B7" w14:textId="77777777" w:rsidR="007E2FA0" w:rsidRPr="008A4A48" w:rsidRDefault="007E2FA0" w:rsidP="009822CE">
            <w:pPr>
              <w:pStyle w:val="Milestonetable"/>
              <w:rPr>
                <w:color w:val="auto"/>
              </w:rPr>
            </w:pPr>
          </w:p>
          <w:p w14:paraId="2930D80A" w14:textId="273CF8C2" w:rsidR="007E2FA0" w:rsidRPr="007E2FA0" w:rsidRDefault="007E2FA0" w:rsidP="007E2FA0">
            <w:pPr>
              <w:pStyle w:val="Milestonetable"/>
              <w:numPr>
                <w:ilvl w:val="0"/>
                <w:numId w:val="7"/>
              </w:numPr>
              <w:ind w:left="360"/>
              <w:rPr>
                <w:color w:val="auto"/>
              </w:rPr>
            </w:pPr>
            <w:r w:rsidRPr="007E2FA0">
              <w:rPr>
                <w:color w:val="auto"/>
              </w:rPr>
              <w:t xml:space="preserve">Sonder able to manage any psychological support cases and </w:t>
            </w:r>
            <w:r>
              <w:rPr>
                <w:color w:val="auto"/>
              </w:rPr>
              <w:t>o</w:t>
            </w:r>
            <w:r w:rsidRPr="007E2FA0">
              <w:rPr>
                <w:color w:val="auto"/>
              </w:rPr>
              <w:t>ngoing technical assessments to ensure accessibility mediums are appropriate.</w:t>
            </w:r>
          </w:p>
          <w:p w14:paraId="4095F697" w14:textId="51DCB91F" w:rsidR="007E2FA0" w:rsidRPr="00F00A18" w:rsidRDefault="007E2FA0" w:rsidP="00DF6244">
            <w:pPr>
              <w:pStyle w:val="Milestonetable"/>
              <w:ind w:left="360"/>
              <w:rPr>
                <w:color w:val="auto"/>
              </w:rPr>
            </w:pP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3928A8FA" w14:textId="77777777" w:rsidR="007E2FA0" w:rsidRDefault="007E2FA0" w:rsidP="001A0D6D">
            <w:pPr>
              <w:pStyle w:val="Milestonetable"/>
              <w:rPr>
                <w:color w:val="auto"/>
              </w:rPr>
            </w:pPr>
            <w:r>
              <w:rPr>
                <w:color w:val="auto"/>
              </w:rPr>
              <w:t>20 November 2021</w:t>
            </w:r>
          </w:p>
          <w:p w14:paraId="2AD47CF9" w14:textId="77777777" w:rsidR="007E2FA0" w:rsidRDefault="007E2FA0" w:rsidP="001A0D6D">
            <w:pPr>
              <w:pStyle w:val="Milestonetable"/>
              <w:rPr>
                <w:color w:val="auto"/>
              </w:rPr>
            </w:pPr>
          </w:p>
          <w:p w14:paraId="5A39E203" w14:textId="77777777" w:rsidR="007E2FA0" w:rsidRDefault="007E2FA0" w:rsidP="001A0D6D">
            <w:pPr>
              <w:pStyle w:val="Milestonetable"/>
              <w:rPr>
                <w:color w:val="auto"/>
              </w:rPr>
            </w:pPr>
          </w:p>
          <w:p w14:paraId="1457C16F" w14:textId="0AE6FB0D" w:rsidR="007E2FA0" w:rsidRDefault="007E2FA0" w:rsidP="001A0D6D">
            <w:pPr>
              <w:pStyle w:val="Milestonetable"/>
              <w:rPr>
                <w:color w:val="auto"/>
              </w:rPr>
            </w:pPr>
            <w:r>
              <w:rPr>
                <w:color w:val="auto"/>
              </w:rPr>
              <w:t>18 February 2022</w:t>
            </w:r>
          </w:p>
          <w:p w14:paraId="5502E6DF" w14:textId="73573A72" w:rsidR="007E2FA0" w:rsidRDefault="007E2FA0" w:rsidP="001A0D6D">
            <w:pPr>
              <w:pStyle w:val="Milestonetable"/>
              <w:rPr>
                <w:color w:val="auto"/>
              </w:rPr>
            </w:pPr>
          </w:p>
          <w:p w14:paraId="746A2CB6" w14:textId="77777777" w:rsidR="007E2FA0" w:rsidRDefault="007E2FA0" w:rsidP="001A0D6D">
            <w:pPr>
              <w:pStyle w:val="Milestonetable"/>
              <w:rPr>
                <w:color w:val="auto"/>
              </w:rPr>
            </w:pPr>
          </w:p>
          <w:p w14:paraId="0FF7B5BD" w14:textId="60BD30B8" w:rsidR="007E2FA0" w:rsidRDefault="007E2FA0" w:rsidP="001A0D6D">
            <w:pPr>
              <w:pStyle w:val="Milestonetable"/>
              <w:rPr>
                <w:color w:val="auto"/>
              </w:rPr>
            </w:pPr>
            <w:r>
              <w:rPr>
                <w:color w:val="auto"/>
              </w:rPr>
              <w:t>20 May 2022</w:t>
            </w:r>
          </w:p>
          <w:p w14:paraId="5421C669" w14:textId="691FEA50" w:rsidR="007E2FA0" w:rsidRPr="00F00A18" w:rsidRDefault="007E2FA0" w:rsidP="001A0D6D">
            <w:pPr>
              <w:pStyle w:val="Milestonetable"/>
              <w:rPr>
                <w:color w:val="auto"/>
              </w:rPr>
            </w:pPr>
          </w:p>
        </w:tc>
        <w:tc>
          <w:tcPr>
            <w:tcW w:w="2041" w:type="dxa"/>
            <w:tcBorders>
              <w:top w:val="single" w:sz="8" w:space="0" w:color="4F81BD"/>
              <w:left w:val="single" w:sz="8" w:space="0" w:color="4F81BD"/>
              <w:bottom w:val="single" w:sz="8" w:space="0" w:color="4F81BD"/>
              <w:right w:val="single" w:sz="8" w:space="0" w:color="4F81BD"/>
            </w:tcBorders>
            <w:shd w:val="clear" w:color="auto" w:fill="auto"/>
          </w:tcPr>
          <w:p w14:paraId="2EC595E5" w14:textId="086CF5FA" w:rsidR="007E2FA0" w:rsidRPr="00F00A18" w:rsidRDefault="007E2FA0" w:rsidP="00FF5D62">
            <w:pPr>
              <w:pStyle w:val="Milestonetable"/>
              <w:rPr>
                <w:color w:val="auto"/>
              </w:rPr>
            </w:pPr>
            <w:r>
              <w:rPr>
                <w:color w:val="auto"/>
              </w:rPr>
              <w:t xml:space="preserve"> Nil. </w:t>
            </w:r>
          </w:p>
        </w:tc>
      </w:tr>
      <w:tr w:rsidR="007E2FA0" w:rsidRPr="00F00A18" w14:paraId="3DB732DE" w14:textId="77777777" w:rsidTr="00F224B7">
        <w:tc>
          <w:tcPr>
            <w:tcW w:w="2967" w:type="dxa"/>
            <w:vMerge/>
            <w:tcBorders>
              <w:left w:val="single" w:sz="8" w:space="0" w:color="4F81BD"/>
              <w:bottom w:val="single" w:sz="8" w:space="0" w:color="4F81BD"/>
              <w:right w:val="single" w:sz="8" w:space="0" w:color="4F81BD"/>
            </w:tcBorders>
          </w:tcPr>
          <w:p w14:paraId="7D9EBC2E" w14:textId="77777777" w:rsidR="007E2FA0" w:rsidRPr="00F00A18" w:rsidRDefault="007E2FA0" w:rsidP="001A0D6D">
            <w:pPr>
              <w:pStyle w:val="Milestonetable"/>
              <w:rPr>
                <w:color w:val="auto"/>
              </w:rPr>
            </w:pPr>
          </w:p>
        </w:tc>
        <w:tc>
          <w:tcPr>
            <w:tcW w:w="7088" w:type="dxa"/>
            <w:tcBorders>
              <w:top w:val="single" w:sz="8" w:space="0" w:color="4F81BD"/>
              <w:left w:val="single" w:sz="8" w:space="0" w:color="4F81BD"/>
              <w:bottom w:val="single" w:sz="8" w:space="0" w:color="4F81BD"/>
              <w:right w:val="single" w:sz="8" w:space="0" w:color="4F81BD"/>
            </w:tcBorders>
            <w:shd w:val="clear" w:color="auto" w:fill="auto"/>
          </w:tcPr>
          <w:p w14:paraId="4DA62A8B" w14:textId="533A1D2F" w:rsidR="007E2FA0" w:rsidRPr="00211610" w:rsidRDefault="007E2FA0" w:rsidP="00DF6244">
            <w:pPr>
              <w:pStyle w:val="Milestonetable"/>
              <w:numPr>
                <w:ilvl w:val="0"/>
                <w:numId w:val="6"/>
              </w:numPr>
              <w:ind w:left="360"/>
              <w:rPr>
                <w:color w:val="auto"/>
              </w:rPr>
            </w:pPr>
            <w:r>
              <w:rPr>
                <w:color w:val="auto"/>
              </w:rPr>
              <w:t xml:space="preserve">Final report </w:t>
            </w:r>
            <w:r w:rsidR="002B5666">
              <w:rPr>
                <w:color w:val="auto"/>
              </w:rPr>
              <w:t>documenting</w:t>
            </w:r>
            <w:r w:rsidR="009822CE">
              <w:rPr>
                <w:color w:val="auto"/>
              </w:rPr>
              <w:t xml:space="preserve"> actions, outcomes, and assessing the success of the Sonder program </w:t>
            </w:r>
          </w:p>
        </w:tc>
        <w:tc>
          <w:tcPr>
            <w:tcW w:w="1842" w:type="dxa"/>
            <w:tcBorders>
              <w:top w:val="single" w:sz="8" w:space="0" w:color="4F81BD"/>
              <w:left w:val="single" w:sz="8" w:space="0" w:color="4F81BD"/>
              <w:bottom w:val="single" w:sz="8" w:space="0" w:color="4F81BD"/>
              <w:right w:val="single" w:sz="8" w:space="0" w:color="4F81BD"/>
            </w:tcBorders>
            <w:shd w:val="clear" w:color="auto" w:fill="auto"/>
          </w:tcPr>
          <w:p w14:paraId="7ABAFDD2" w14:textId="4930439B" w:rsidR="007E2FA0" w:rsidRDefault="007E2FA0" w:rsidP="001A0D6D">
            <w:pPr>
              <w:pStyle w:val="Milestonetable"/>
              <w:rPr>
                <w:color w:val="auto"/>
              </w:rPr>
            </w:pPr>
            <w:r>
              <w:rPr>
                <w:color w:val="auto"/>
              </w:rPr>
              <w:t>Within 3 months of activity end date</w:t>
            </w:r>
          </w:p>
        </w:tc>
        <w:tc>
          <w:tcPr>
            <w:tcW w:w="2041" w:type="dxa"/>
            <w:tcBorders>
              <w:top w:val="single" w:sz="8" w:space="0" w:color="4F81BD"/>
              <w:left w:val="single" w:sz="8" w:space="0" w:color="4F81BD"/>
              <w:bottom w:val="single" w:sz="8" w:space="0" w:color="4F81BD"/>
              <w:right w:val="single" w:sz="8" w:space="0" w:color="4F81BD"/>
            </w:tcBorders>
            <w:shd w:val="clear" w:color="auto" w:fill="auto"/>
          </w:tcPr>
          <w:p w14:paraId="72A84DA2" w14:textId="39269BC7" w:rsidR="007E2FA0" w:rsidDel="00B14A55" w:rsidRDefault="007E2FA0" w:rsidP="00FF5D62">
            <w:pPr>
              <w:pStyle w:val="Milestonetable"/>
              <w:rPr>
                <w:color w:val="auto"/>
              </w:rPr>
            </w:pPr>
            <w:r>
              <w:rPr>
                <w:color w:val="auto"/>
              </w:rPr>
              <w:t>Nil</w:t>
            </w:r>
          </w:p>
        </w:tc>
      </w:tr>
    </w:tbl>
    <w:p w14:paraId="3CA5FCAF" w14:textId="77777777" w:rsidR="00C91B5F" w:rsidRDefault="00C91B5F" w:rsidP="00C91B5F"/>
    <w:p w14:paraId="7245F9C3" w14:textId="77777777" w:rsidR="00C91B5F" w:rsidRDefault="00C91B5F" w:rsidP="00C91B5F">
      <w:pPr>
        <w:rPr>
          <w:lang w:val="en-GB"/>
        </w:rPr>
      </w:pPr>
      <w:r w:rsidRPr="00A50751">
        <w:rPr>
          <w:lang w:val="en-GB"/>
        </w:rPr>
        <w:t xml:space="preserve">The </w:t>
      </w:r>
      <w:r w:rsidRPr="00C57BB9">
        <w:rPr>
          <w:sz w:val="24"/>
          <w:szCs w:val="24"/>
        </w:rPr>
        <w:t>Parties</w:t>
      </w:r>
      <w:r w:rsidRPr="00A50751">
        <w:rPr>
          <w:lang w:val="en-GB"/>
        </w:rPr>
        <w:t xml:space="preserve"> have confirmed their commitment to this </w:t>
      </w:r>
      <w:r>
        <w:rPr>
          <w:lang w:val="en-GB"/>
        </w:rPr>
        <w:t>schedule</w:t>
      </w:r>
      <w:r w:rsidRPr="00A50751">
        <w:rPr>
          <w:lang w:val="en-GB"/>
        </w:rPr>
        <w:t xml:space="preserve"> as follows:</w:t>
      </w:r>
    </w:p>
    <w:p w14:paraId="018BB34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6EDBD23D" w14:textId="77777777" w:rsidTr="001A0D6D">
        <w:trPr>
          <w:cantSplit/>
          <w:jc w:val="center"/>
        </w:trPr>
        <w:tc>
          <w:tcPr>
            <w:tcW w:w="4536" w:type="dxa"/>
          </w:tcPr>
          <w:p w14:paraId="6769E4B0" w14:textId="77777777" w:rsidR="00C91B5F" w:rsidRPr="004A0AE7" w:rsidRDefault="00C91B5F" w:rsidP="001A0D6D">
            <w:pPr>
              <w:pStyle w:val="Signed"/>
            </w:pPr>
            <w:r>
              <w:rPr>
                <w:rStyle w:val="SignedBold"/>
              </w:rPr>
              <w:t>Signed</w:t>
            </w:r>
            <w:r w:rsidRPr="004A0AE7">
              <w:t xml:space="preserve"> for and on behalf of the</w:t>
            </w:r>
            <w:r>
              <w:t xml:space="preserve"> </w:t>
            </w:r>
            <w:r w:rsidRPr="004A0AE7">
              <w:t>Commonwealth of Australia by</w:t>
            </w:r>
          </w:p>
          <w:p w14:paraId="647726BA" w14:textId="77777777" w:rsidR="00C91B5F" w:rsidRPr="00A50751" w:rsidRDefault="00C91B5F" w:rsidP="001A0D6D">
            <w:pPr>
              <w:pStyle w:val="LineForSignature"/>
            </w:pPr>
            <w:r>
              <w:br/>
            </w:r>
            <w:r>
              <w:tab/>
            </w:r>
          </w:p>
          <w:p w14:paraId="4A159D5D" w14:textId="20932D6D" w:rsidR="00C91B5F" w:rsidRDefault="00C91B5F" w:rsidP="001A0D6D">
            <w:pPr>
              <w:pStyle w:val="SingleParagraph"/>
              <w:rPr>
                <w:rStyle w:val="Bold"/>
              </w:rPr>
            </w:pPr>
            <w:r>
              <w:rPr>
                <w:rStyle w:val="Bold"/>
              </w:rPr>
              <w:t xml:space="preserve">The Honourable </w:t>
            </w:r>
            <w:r w:rsidR="009C27A4">
              <w:rPr>
                <w:rStyle w:val="Bold"/>
              </w:rPr>
              <w:t>Greg Hunt</w:t>
            </w:r>
            <w:r>
              <w:rPr>
                <w:rStyle w:val="Bold"/>
              </w:rPr>
              <w:t xml:space="preserve"> MP</w:t>
            </w:r>
          </w:p>
          <w:p w14:paraId="3A42D2ED" w14:textId="27896F6B" w:rsidR="00C91B5F" w:rsidRDefault="00C91B5F" w:rsidP="001A0D6D">
            <w:pPr>
              <w:pStyle w:val="Position"/>
              <w:rPr>
                <w:lang w:val="en-GB"/>
              </w:rPr>
            </w:pPr>
            <w:r>
              <w:rPr>
                <w:lang w:val="en-GB"/>
              </w:rPr>
              <w:t xml:space="preserve">Minister for </w:t>
            </w:r>
            <w:r w:rsidR="009C27A4">
              <w:rPr>
                <w:lang w:val="en-GB"/>
              </w:rPr>
              <w:t>Health and Aged Care</w:t>
            </w:r>
          </w:p>
          <w:p w14:paraId="30A29548" w14:textId="3ED316EB" w:rsidR="00C91B5F" w:rsidRDefault="00C91B5F" w:rsidP="001A0D6D">
            <w:pPr>
              <w:pStyle w:val="SingleParagraph"/>
              <w:tabs>
                <w:tab w:val="num" w:pos="1134"/>
              </w:tabs>
              <w:spacing w:after="240"/>
              <w:rPr>
                <w:b/>
                <w:lang w:val="en-GB"/>
              </w:rPr>
            </w:pPr>
            <w:r>
              <w:rPr>
                <w:lang w:val="en-GB"/>
              </w:rPr>
              <w:t xml:space="preserve">[Day]  [Month]  </w:t>
            </w:r>
            <w:r w:rsidR="009C27A4">
              <w:rPr>
                <w:lang w:val="en-GB"/>
              </w:rPr>
              <w:t>2021</w:t>
            </w:r>
          </w:p>
        </w:tc>
        <w:tc>
          <w:tcPr>
            <w:tcW w:w="1701" w:type="dxa"/>
            <w:tcMar>
              <w:left w:w="0" w:type="dxa"/>
              <w:right w:w="0" w:type="dxa"/>
            </w:tcMar>
          </w:tcPr>
          <w:p w14:paraId="6845B40F" w14:textId="77777777" w:rsidR="00C91B5F" w:rsidRPr="00A50751" w:rsidRDefault="00C91B5F" w:rsidP="001A0D6D">
            <w:pPr>
              <w:rPr>
                <w:rFonts w:ascii="Book Antiqua" w:hAnsi="Book Antiqua"/>
                <w:lang w:val="en-GB"/>
              </w:rPr>
            </w:pPr>
          </w:p>
        </w:tc>
        <w:tc>
          <w:tcPr>
            <w:tcW w:w="4536" w:type="dxa"/>
          </w:tcPr>
          <w:p w14:paraId="55199989" w14:textId="1348B402" w:rsidR="00C91B5F" w:rsidRPr="004A0AE7" w:rsidRDefault="00C91B5F" w:rsidP="001A0D6D">
            <w:pPr>
              <w:pStyle w:val="Signed"/>
            </w:pPr>
            <w:r>
              <w:rPr>
                <w:rStyle w:val="SignedBold"/>
              </w:rPr>
              <w:t>Signed</w:t>
            </w:r>
            <w:r w:rsidRPr="004A0AE7">
              <w:t xml:space="preserve"> for and on behalf of the</w:t>
            </w:r>
            <w:r>
              <w:t xml:space="preserve"> </w:t>
            </w:r>
            <w:r w:rsidRPr="004A0AE7">
              <w:br/>
              <w:t xml:space="preserve">State of </w:t>
            </w:r>
            <w:r w:rsidR="009C27A4">
              <w:t>New South Wales</w:t>
            </w:r>
            <w:r w:rsidRPr="004A0AE7">
              <w:t xml:space="preserve"> by</w:t>
            </w:r>
          </w:p>
          <w:p w14:paraId="522400CC" w14:textId="77777777" w:rsidR="00C91B5F" w:rsidRPr="00A50751" w:rsidRDefault="00C91B5F" w:rsidP="001A0D6D">
            <w:pPr>
              <w:pStyle w:val="LineForSignature"/>
            </w:pPr>
            <w:r>
              <w:br/>
            </w:r>
            <w:r w:rsidRPr="00A50751">
              <w:tab/>
            </w:r>
          </w:p>
          <w:p w14:paraId="4A3F7EC1" w14:textId="197EEE33" w:rsidR="00C91B5F" w:rsidRDefault="00C91B5F" w:rsidP="001A0D6D">
            <w:pPr>
              <w:pStyle w:val="SingleParagraph"/>
              <w:rPr>
                <w:rStyle w:val="Bold"/>
              </w:rPr>
            </w:pPr>
            <w:r>
              <w:rPr>
                <w:rStyle w:val="Bold"/>
              </w:rPr>
              <w:t xml:space="preserve">The Honourable </w:t>
            </w:r>
            <w:r w:rsidR="009C27A4">
              <w:rPr>
                <w:rStyle w:val="Bold"/>
              </w:rPr>
              <w:t>Brad Hazzard</w:t>
            </w:r>
            <w:r>
              <w:rPr>
                <w:rStyle w:val="Bold"/>
              </w:rPr>
              <w:t xml:space="preserve"> MP</w:t>
            </w:r>
          </w:p>
          <w:p w14:paraId="00EE9A7E" w14:textId="735B0287" w:rsidR="00C91B5F" w:rsidRDefault="00C91B5F" w:rsidP="001A0D6D">
            <w:pPr>
              <w:pStyle w:val="Position"/>
              <w:rPr>
                <w:lang w:val="en-GB"/>
              </w:rPr>
            </w:pPr>
            <w:r>
              <w:rPr>
                <w:lang w:val="en-GB"/>
              </w:rPr>
              <w:t>Minister for</w:t>
            </w:r>
            <w:r w:rsidR="009C27A4">
              <w:rPr>
                <w:lang w:val="en-GB"/>
              </w:rPr>
              <w:t xml:space="preserve"> Health and Medical Research</w:t>
            </w:r>
          </w:p>
          <w:p w14:paraId="5CA98839" w14:textId="16FEB189" w:rsidR="00C91B5F" w:rsidRPr="00A50751" w:rsidRDefault="00C91B5F" w:rsidP="001A0D6D">
            <w:pPr>
              <w:rPr>
                <w:rFonts w:ascii="Book Antiqua" w:hAnsi="Book Antiqua"/>
                <w:lang w:val="en-GB"/>
              </w:rPr>
            </w:pPr>
            <w:r>
              <w:rPr>
                <w:lang w:val="en-GB"/>
              </w:rPr>
              <w:t xml:space="preserve">[Day]  [Month]  </w:t>
            </w:r>
            <w:r w:rsidR="009C27A4">
              <w:rPr>
                <w:lang w:val="en-GB"/>
              </w:rPr>
              <w:t>2021</w:t>
            </w:r>
          </w:p>
        </w:tc>
      </w:tr>
    </w:tbl>
    <w:p w14:paraId="673500F4" w14:textId="77777777" w:rsidR="00C91B5F" w:rsidRDefault="00C91B5F" w:rsidP="0096476A"/>
    <w:sectPr w:rsidR="00C91B5F" w:rsidSect="009C27A4">
      <w:headerReference w:type="even" r:id="rId18"/>
      <w:headerReference w:type="default" r:id="rId19"/>
      <w:head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5198B" w14:textId="77777777" w:rsidR="001E6858" w:rsidRDefault="001E6858">
      <w:r>
        <w:separator/>
      </w:r>
    </w:p>
  </w:endnote>
  <w:endnote w:type="continuationSeparator" w:id="0">
    <w:p w14:paraId="52DDA08D" w14:textId="77777777" w:rsidR="001E6858" w:rsidRDefault="001E6858">
      <w:r>
        <w:continuationSeparator/>
      </w:r>
    </w:p>
  </w:endnote>
  <w:endnote w:type="continuationNotice" w:id="1">
    <w:p w14:paraId="3EBCD8B3" w14:textId="77777777" w:rsidR="001E6858" w:rsidRDefault="001E68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F6331" w14:textId="77777777" w:rsidR="001E6858" w:rsidRDefault="001E6858">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E401" w14:textId="77777777" w:rsidR="001E6858" w:rsidRDefault="001E6858" w:rsidP="001A0D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F7E4" w14:textId="77777777" w:rsidR="001E6858" w:rsidRPr="00CA24B0" w:rsidRDefault="001E6858" w:rsidP="001A0D6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CBB25" w14:textId="77777777" w:rsidR="001E6858" w:rsidRDefault="001E6858">
      <w:r>
        <w:separator/>
      </w:r>
    </w:p>
  </w:footnote>
  <w:footnote w:type="continuationSeparator" w:id="0">
    <w:p w14:paraId="30CEE070" w14:textId="77777777" w:rsidR="001E6858" w:rsidRDefault="001E6858">
      <w:r>
        <w:continuationSeparator/>
      </w:r>
    </w:p>
  </w:footnote>
  <w:footnote w:type="continuationNotice" w:id="1">
    <w:p w14:paraId="4A91B764" w14:textId="77777777" w:rsidR="001E6858" w:rsidRDefault="001E68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3E06" w14:textId="77777777" w:rsidR="001E6858" w:rsidRDefault="001E6858" w:rsidP="001A0D6D">
    <w:pPr>
      <w:pStyle w:val="HeaderOdd"/>
      <w:tabs>
        <w:tab w:val="num" w:pos="1134"/>
      </w:tabs>
      <w:rPr>
        <w:color w:val="800000"/>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DB65" w14:textId="77777777" w:rsidR="001E6858" w:rsidRDefault="001E6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0810" w14:textId="77777777" w:rsidR="001E6858" w:rsidRDefault="001E68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AF2C9" w14:textId="77777777" w:rsidR="001E6858" w:rsidRDefault="001E6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7964"/>
    <w:multiLevelType w:val="hybridMultilevel"/>
    <w:tmpl w:val="F21A8E06"/>
    <w:lvl w:ilvl="0" w:tplc="514E7BC6">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C402A3"/>
    <w:multiLevelType w:val="hybridMultilevel"/>
    <w:tmpl w:val="9828B908"/>
    <w:lvl w:ilvl="0" w:tplc="1FF674DC">
      <w:start w:val="1"/>
      <w:numFmt w:val="decimal"/>
      <w:lvlText w:val="%1."/>
      <w:lvlJc w:val="left"/>
      <w:pPr>
        <w:tabs>
          <w:tab w:val="num" w:pos="720"/>
        </w:tabs>
        <w:ind w:left="720" w:hanging="360"/>
      </w:pPr>
    </w:lvl>
    <w:lvl w:ilvl="1" w:tplc="7FE64096" w:tentative="1">
      <w:start w:val="1"/>
      <w:numFmt w:val="decimal"/>
      <w:lvlText w:val="%2."/>
      <w:lvlJc w:val="left"/>
      <w:pPr>
        <w:tabs>
          <w:tab w:val="num" w:pos="1440"/>
        </w:tabs>
        <w:ind w:left="1440" w:hanging="360"/>
      </w:pPr>
    </w:lvl>
    <w:lvl w:ilvl="2" w:tplc="2468220A" w:tentative="1">
      <w:start w:val="1"/>
      <w:numFmt w:val="decimal"/>
      <w:lvlText w:val="%3."/>
      <w:lvlJc w:val="left"/>
      <w:pPr>
        <w:tabs>
          <w:tab w:val="num" w:pos="2160"/>
        </w:tabs>
        <w:ind w:left="2160" w:hanging="360"/>
      </w:pPr>
    </w:lvl>
    <w:lvl w:ilvl="3" w:tplc="4554380E" w:tentative="1">
      <w:start w:val="1"/>
      <w:numFmt w:val="decimal"/>
      <w:lvlText w:val="%4."/>
      <w:lvlJc w:val="left"/>
      <w:pPr>
        <w:tabs>
          <w:tab w:val="num" w:pos="2880"/>
        </w:tabs>
        <w:ind w:left="2880" w:hanging="360"/>
      </w:pPr>
    </w:lvl>
    <w:lvl w:ilvl="4" w:tplc="C3FE713A" w:tentative="1">
      <w:start w:val="1"/>
      <w:numFmt w:val="decimal"/>
      <w:lvlText w:val="%5."/>
      <w:lvlJc w:val="left"/>
      <w:pPr>
        <w:tabs>
          <w:tab w:val="num" w:pos="3600"/>
        </w:tabs>
        <w:ind w:left="3600" w:hanging="360"/>
      </w:pPr>
    </w:lvl>
    <w:lvl w:ilvl="5" w:tplc="35E63D68" w:tentative="1">
      <w:start w:val="1"/>
      <w:numFmt w:val="decimal"/>
      <w:lvlText w:val="%6."/>
      <w:lvlJc w:val="left"/>
      <w:pPr>
        <w:tabs>
          <w:tab w:val="num" w:pos="4320"/>
        </w:tabs>
        <w:ind w:left="4320" w:hanging="360"/>
      </w:pPr>
    </w:lvl>
    <w:lvl w:ilvl="6" w:tplc="281CFDE6" w:tentative="1">
      <w:start w:val="1"/>
      <w:numFmt w:val="decimal"/>
      <w:lvlText w:val="%7."/>
      <w:lvlJc w:val="left"/>
      <w:pPr>
        <w:tabs>
          <w:tab w:val="num" w:pos="5040"/>
        </w:tabs>
        <w:ind w:left="5040" w:hanging="360"/>
      </w:pPr>
    </w:lvl>
    <w:lvl w:ilvl="7" w:tplc="FCAE5656" w:tentative="1">
      <w:start w:val="1"/>
      <w:numFmt w:val="decimal"/>
      <w:lvlText w:val="%8."/>
      <w:lvlJc w:val="left"/>
      <w:pPr>
        <w:tabs>
          <w:tab w:val="num" w:pos="5760"/>
        </w:tabs>
        <w:ind w:left="5760" w:hanging="360"/>
      </w:pPr>
    </w:lvl>
    <w:lvl w:ilvl="8" w:tplc="A8E6FFBE" w:tentative="1">
      <w:start w:val="1"/>
      <w:numFmt w:val="decimal"/>
      <w:lvlText w:val="%9."/>
      <w:lvlJc w:val="left"/>
      <w:pPr>
        <w:tabs>
          <w:tab w:val="num" w:pos="6480"/>
        </w:tabs>
        <w:ind w:left="6480" w:hanging="360"/>
      </w:pPr>
    </w:lvl>
  </w:abstractNum>
  <w:abstractNum w:abstractNumId="2" w15:restartNumberingAfterBreak="0">
    <w:nsid w:val="27B61C6D"/>
    <w:multiLevelType w:val="hybridMultilevel"/>
    <w:tmpl w:val="6B76F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8571FA"/>
    <w:multiLevelType w:val="hybridMultilevel"/>
    <w:tmpl w:val="8FDED2DC"/>
    <w:lvl w:ilvl="0" w:tplc="514E7BC6">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FF56F0"/>
    <w:multiLevelType w:val="hybridMultilevel"/>
    <w:tmpl w:val="CE9A6FC0"/>
    <w:lvl w:ilvl="0" w:tplc="514E7BC6">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707E53"/>
    <w:multiLevelType w:val="hybridMultilevel"/>
    <w:tmpl w:val="EF26413E"/>
    <w:lvl w:ilvl="0" w:tplc="514E7BC6">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15666B"/>
    <w:multiLevelType w:val="hybridMultilevel"/>
    <w:tmpl w:val="472E1EA6"/>
    <w:lvl w:ilvl="0" w:tplc="192646DE">
      <w:start w:val="3"/>
      <w:numFmt w:val="bullet"/>
      <w:lvlText w:val="-"/>
      <w:lvlJc w:val="left"/>
      <w:pPr>
        <w:ind w:left="1494" w:hanging="360"/>
      </w:pPr>
      <w:rPr>
        <w:rFonts w:ascii="Corbel" w:eastAsia="Times New Roman" w:hAnsi="Corbel"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7" w15:restartNumberingAfterBreak="0">
    <w:nsid w:val="6DB80AB7"/>
    <w:multiLevelType w:val="hybridMultilevel"/>
    <w:tmpl w:val="6C881B38"/>
    <w:lvl w:ilvl="0" w:tplc="514E7BC6">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F314E"/>
    <w:rsid w:val="00125E83"/>
    <w:rsid w:val="001A0D6D"/>
    <w:rsid w:val="001D03A0"/>
    <w:rsid w:val="001D3576"/>
    <w:rsid w:val="001E6858"/>
    <w:rsid w:val="00211610"/>
    <w:rsid w:val="00253BF2"/>
    <w:rsid w:val="002677F4"/>
    <w:rsid w:val="002B26C6"/>
    <w:rsid w:val="002B5666"/>
    <w:rsid w:val="00301B4D"/>
    <w:rsid w:val="00317FB3"/>
    <w:rsid w:val="00322C97"/>
    <w:rsid w:val="003313E7"/>
    <w:rsid w:val="003D6622"/>
    <w:rsid w:val="00444895"/>
    <w:rsid w:val="004C1A0D"/>
    <w:rsid w:val="004D7CC0"/>
    <w:rsid w:val="004F4158"/>
    <w:rsid w:val="00501DF3"/>
    <w:rsid w:val="005D670D"/>
    <w:rsid w:val="005E3BEB"/>
    <w:rsid w:val="005E4CC4"/>
    <w:rsid w:val="005F404A"/>
    <w:rsid w:val="00612F58"/>
    <w:rsid w:val="006B5D42"/>
    <w:rsid w:val="006B6E73"/>
    <w:rsid w:val="006C04F5"/>
    <w:rsid w:val="007B3138"/>
    <w:rsid w:val="007E2FA0"/>
    <w:rsid w:val="00884E8F"/>
    <w:rsid w:val="008A4A48"/>
    <w:rsid w:val="008E62E2"/>
    <w:rsid w:val="008F0FE5"/>
    <w:rsid w:val="008F405C"/>
    <w:rsid w:val="009315BE"/>
    <w:rsid w:val="0096476A"/>
    <w:rsid w:val="009822CE"/>
    <w:rsid w:val="009C27A4"/>
    <w:rsid w:val="009C3443"/>
    <w:rsid w:val="009E246C"/>
    <w:rsid w:val="00A020B2"/>
    <w:rsid w:val="00A10320"/>
    <w:rsid w:val="00A7101C"/>
    <w:rsid w:val="00A93C30"/>
    <w:rsid w:val="00AB1471"/>
    <w:rsid w:val="00AC4810"/>
    <w:rsid w:val="00AD3FA0"/>
    <w:rsid w:val="00B14A55"/>
    <w:rsid w:val="00BD6E01"/>
    <w:rsid w:val="00C3199C"/>
    <w:rsid w:val="00C91B5F"/>
    <w:rsid w:val="00CB0D6D"/>
    <w:rsid w:val="00CF0B25"/>
    <w:rsid w:val="00D02293"/>
    <w:rsid w:val="00D54783"/>
    <w:rsid w:val="00D6466F"/>
    <w:rsid w:val="00D72A49"/>
    <w:rsid w:val="00DF6244"/>
    <w:rsid w:val="00EA3124"/>
    <w:rsid w:val="00ED78B3"/>
    <w:rsid w:val="00F36C8B"/>
    <w:rsid w:val="00F5656C"/>
    <w:rsid w:val="00F76B14"/>
    <w:rsid w:val="00FF5D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6B5D42"/>
    <w:rPr>
      <w:sz w:val="16"/>
      <w:szCs w:val="16"/>
    </w:rPr>
  </w:style>
  <w:style w:type="paragraph" w:styleId="CommentText">
    <w:name w:val="annotation text"/>
    <w:basedOn w:val="Normal"/>
    <w:link w:val="CommentTextChar"/>
    <w:uiPriority w:val="99"/>
    <w:semiHidden/>
    <w:unhideWhenUsed/>
    <w:rsid w:val="006B5D42"/>
    <w:rPr>
      <w:sz w:val="20"/>
      <w:szCs w:val="20"/>
    </w:rPr>
  </w:style>
  <w:style w:type="character" w:customStyle="1" w:styleId="CommentTextChar">
    <w:name w:val="Comment Text Char"/>
    <w:basedOn w:val="DefaultParagraphFont"/>
    <w:link w:val="CommentText"/>
    <w:uiPriority w:val="99"/>
    <w:semiHidden/>
    <w:rsid w:val="006B5D42"/>
    <w:rPr>
      <w:sz w:val="20"/>
      <w:szCs w:val="20"/>
      <w:lang w:val="en-US"/>
    </w:rPr>
  </w:style>
  <w:style w:type="paragraph" w:styleId="CommentSubject">
    <w:name w:val="annotation subject"/>
    <w:basedOn w:val="CommentText"/>
    <w:next w:val="CommentText"/>
    <w:link w:val="CommentSubjectChar"/>
    <w:uiPriority w:val="99"/>
    <w:semiHidden/>
    <w:unhideWhenUsed/>
    <w:rsid w:val="006B5D42"/>
    <w:rPr>
      <w:b/>
      <w:bCs/>
    </w:rPr>
  </w:style>
  <w:style w:type="character" w:customStyle="1" w:styleId="CommentSubjectChar">
    <w:name w:val="Comment Subject Char"/>
    <w:basedOn w:val="CommentTextChar"/>
    <w:link w:val="CommentSubject"/>
    <w:uiPriority w:val="99"/>
    <w:semiHidden/>
    <w:rsid w:val="006B5D42"/>
    <w:rPr>
      <w:b/>
      <w:bCs/>
      <w:sz w:val="20"/>
      <w:szCs w:val="20"/>
      <w:lang w:val="en-US"/>
    </w:rPr>
  </w:style>
  <w:style w:type="paragraph" w:styleId="BalloonText">
    <w:name w:val="Balloon Text"/>
    <w:basedOn w:val="Normal"/>
    <w:link w:val="BalloonTextChar"/>
    <w:uiPriority w:val="99"/>
    <w:semiHidden/>
    <w:unhideWhenUsed/>
    <w:rsid w:val="006B5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D4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083565">
      <w:bodyDiv w:val="1"/>
      <w:marLeft w:val="0"/>
      <w:marRight w:val="0"/>
      <w:marTop w:val="0"/>
      <w:marBottom w:val="0"/>
      <w:divBdr>
        <w:top w:val="none" w:sz="0" w:space="0" w:color="auto"/>
        <w:left w:val="none" w:sz="0" w:space="0" w:color="auto"/>
        <w:bottom w:val="none" w:sz="0" w:space="0" w:color="auto"/>
        <w:right w:val="none" w:sz="0" w:space="0" w:color="auto"/>
      </w:divBdr>
      <w:divsChild>
        <w:div w:id="6465943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1544" ma:contentTypeDescription=" " ma:contentTypeScope="" ma:versionID="df919914927029586d58e9b7754e0822">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2021FG-64-99318</_dlc_DocId>
    <_dlc_DocIdUrl xmlns="0f563589-9cf9-4143-b1eb-fb0534803d38">
      <Url>http://tweb/sites/fg/csrd/_layouts/15/DocIdRedir.aspx?ID=2021FG-64-99318</Url>
      <Description>2021FG-64-99318</Description>
    </_dlc_DocIdUrl>
  </documentManagement>
</p:properties>
</file>

<file path=customXml/itemProps1.xml><?xml version="1.0" encoding="utf-8"?>
<ds:datastoreItem xmlns:ds="http://schemas.openxmlformats.org/officeDocument/2006/customXml" ds:itemID="{818A81AF-5542-4031-B058-9EA9A25947BD}">
  <ds:schemaRefs>
    <ds:schemaRef ds:uri="http://schemas.openxmlformats.org/officeDocument/2006/bibliography"/>
  </ds:schemaRefs>
</ds:datastoreItem>
</file>

<file path=customXml/itemProps2.xml><?xml version="1.0" encoding="utf-8"?>
<ds:datastoreItem xmlns:ds="http://schemas.openxmlformats.org/officeDocument/2006/customXml" ds:itemID="{82978543-BB46-4666-BFE1-8EF35B9848AF}"/>
</file>

<file path=customXml/itemProps3.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4.xml><?xml version="1.0" encoding="utf-8"?>
<ds:datastoreItem xmlns:ds="http://schemas.openxmlformats.org/officeDocument/2006/customXml" ds:itemID="{30F65ACE-AD7D-4F61-BF0B-28C2AA570E41}">
  <ds:schemaRefs>
    <ds:schemaRef ds:uri="Microsoft.SharePoint.Taxonomy.ContentTypeSync"/>
  </ds:schemaRefs>
</ds:datastoreItem>
</file>

<file path=customXml/itemProps5.xml><?xml version="1.0" encoding="utf-8"?>
<ds:datastoreItem xmlns:ds="http://schemas.openxmlformats.org/officeDocument/2006/customXml" ds:itemID="{4847E25A-4A0F-4064-9AA3-BC512B330750}">
  <ds:schemaRefs>
    <ds:schemaRef ds:uri="office.server.policy"/>
  </ds:schemaRefs>
</ds:datastoreItem>
</file>

<file path=customXml/itemProps6.xml><?xml version="1.0" encoding="utf-8"?>
<ds:datastoreItem xmlns:ds="http://schemas.openxmlformats.org/officeDocument/2006/customXml" ds:itemID="{D6571649-D103-48E0-9B5F-BAA18E6DBC98}">
  <ds:schemaRefs>
    <ds:schemaRef ds:uri="http://schemas.microsoft.com/sharepoint/events"/>
  </ds:schemaRefs>
</ds:datastoreItem>
</file>

<file path=customXml/itemProps7.xml><?xml version="1.0" encoding="utf-8"?>
<ds:datastoreItem xmlns:ds="http://schemas.openxmlformats.org/officeDocument/2006/customXml" ds:itemID="{FFD900B8-6070-407E-B433-89E316A15907}">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Health - Bilateral/Simple multilateral Schedule Template</vt:lpstr>
    </vt:vector>
  </TitlesOfParts>
  <Company>Department of the Prime Minister and Cabinet</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 Bilateral/Simple multilateral Schedule Template</dc:title>
  <dc:subject/>
  <dc:creator>Kayleigh Meumann</dc:creator>
  <cp:keywords/>
  <dc:description/>
  <cp:lastModifiedBy>SHORT, Matthew</cp:lastModifiedBy>
  <cp:revision>3</cp:revision>
  <dcterms:created xsi:type="dcterms:W3CDTF">2021-08-17T04:47:00Z</dcterms:created>
  <dcterms:modified xsi:type="dcterms:W3CDTF">2021-08-17T04:47:00Z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_dlc_DocIdItemGuid">
    <vt:lpwstr>f9378fab-fef0-475b-8446-b5af6c7bbbb6</vt:lpwstr>
  </property>
</Properties>
</file>