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067743EE" w14:textId="77777777">
        <w:tc>
          <w:tcPr>
            <w:tcW w:w="5000" w:type="pct"/>
            <w:gridSpan w:val="2"/>
          </w:tcPr>
          <w:p w14:paraId="22E3566C" w14:textId="77777777" w:rsidR="00814667" w:rsidRDefault="00BA4284" w:rsidP="00137223">
            <w:pPr>
              <w:pStyle w:val="CoverTitleMain"/>
            </w:pPr>
            <w:r>
              <w:t>Project AGreement</w:t>
            </w:r>
            <w:r w:rsidR="00292587">
              <w:t xml:space="preserve"> FOR </w:t>
            </w:r>
            <w:r w:rsidR="00137223">
              <w:t xml:space="preserve">TOURISM ICON PACKAGE - </w:t>
            </w:r>
            <w:r w:rsidR="00200999">
              <w:t>CONSTRUCTION</w:t>
            </w:r>
            <w:r w:rsidR="006D5123">
              <w:t xml:space="preserve"> of the </w:t>
            </w:r>
            <w:r w:rsidR="00F479EC">
              <w:t>Wangetti trail</w:t>
            </w:r>
          </w:p>
        </w:tc>
      </w:tr>
      <w:tr w:rsidR="00814667" w14:paraId="142C4E75" w14:textId="77777777">
        <w:tc>
          <w:tcPr>
            <w:tcW w:w="767" w:type="pct"/>
          </w:tcPr>
          <w:p w14:paraId="2875BB02" w14:textId="77777777" w:rsidR="00814667" w:rsidRDefault="00814667">
            <w:pPr>
              <w:pStyle w:val="SingleParagraph"/>
              <w:tabs>
                <w:tab w:val="num" w:pos="1134"/>
              </w:tabs>
              <w:spacing w:after="240"/>
              <w:ind w:left="1134" w:hanging="567"/>
            </w:pPr>
          </w:p>
        </w:tc>
        <w:tc>
          <w:tcPr>
            <w:tcW w:w="4233" w:type="pct"/>
          </w:tcPr>
          <w:p w14:paraId="47940262" w14:textId="77777777" w:rsidR="00814667" w:rsidRDefault="00814667">
            <w:pPr>
              <w:pStyle w:val="SingleParagraph"/>
              <w:tabs>
                <w:tab w:val="num" w:pos="1134"/>
              </w:tabs>
              <w:spacing w:after="240"/>
              <w:ind w:left="1134" w:hanging="567"/>
            </w:pPr>
          </w:p>
        </w:tc>
      </w:tr>
      <w:tr w:rsidR="00814667" w14:paraId="16AFE29E" w14:textId="77777777">
        <w:tc>
          <w:tcPr>
            <w:tcW w:w="767" w:type="pct"/>
          </w:tcPr>
          <w:p w14:paraId="02CAA4B7" w14:textId="77777777" w:rsidR="00814667" w:rsidRDefault="00814667">
            <w:pPr>
              <w:pStyle w:val="SingleParagraph"/>
              <w:tabs>
                <w:tab w:val="num" w:pos="1134"/>
              </w:tabs>
              <w:spacing w:after="240"/>
              <w:ind w:left="1134" w:hanging="567"/>
            </w:pPr>
          </w:p>
        </w:tc>
        <w:tc>
          <w:tcPr>
            <w:tcW w:w="4233" w:type="pct"/>
          </w:tcPr>
          <w:p w14:paraId="331DBB86" w14:textId="77777777" w:rsidR="00814667" w:rsidRPr="001E74D0" w:rsidRDefault="00814667">
            <w:pPr>
              <w:pStyle w:val="SingleParagraph"/>
              <w:tabs>
                <w:tab w:val="num" w:pos="1134"/>
              </w:tabs>
              <w:spacing w:after="240"/>
              <w:ind w:left="1134" w:hanging="567"/>
            </w:pPr>
          </w:p>
        </w:tc>
      </w:tr>
      <w:tr w:rsidR="00814667" w14:paraId="29D6442A" w14:textId="77777777">
        <w:tc>
          <w:tcPr>
            <w:tcW w:w="5000" w:type="pct"/>
            <w:gridSpan w:val="2"/>
          </w:tcPr>
          <w:p w14:paraId="74959732" w14:textId="77777777" w:rsidR="00814667" w:rsidRDefault="00814667">
            <w:pPr>
              <w:pStyle w:val="AgreementHeading"/>
              <w:tabs>
                <w:tab w:val="clear" w:pos="1134"/>
              </w:tabs>
            </w:pPr>
            <w:r>
              <w:t>An agreement between</w:t>
            </w:r>
            <w:r w:rsidR="00697494">
              <w:t>:</w:t>
            </w:r>
          </w:p>
        </w:tc>
      </w:tr>
      <w:tr w:rsidR="00814667" w14:paraId="084BC10F" w14:textId="77777777">
        <w:tc>
          <w:tcPr>
            <w:tcW w:w="767" w:type="pct"/>
          </w:tcPr>
          <w:p w14:paraId="1C01C16C" w14:textId="77777777" w:rsidR="00814667" w:rsidRPr="001E74D0" w:rsidRDefault="00814667">
            <w:pPr>
              <w:pStyle w:val="AgreementHeading"/>
              <w:tabs>
                <w:tab w:val="clear" w:pos="1134"/>
              </w:tabs>
              <w:ind w:left="522"/>
            </w:pPr>
          </w:p>
        </w:tc>
        <w:tc>
          <w:tcPr>
            <w:tcW w:w="4233" w:type="pct"/>
          </w:tcPr>
          <w:p w14:paraId="505B676E" w14:textId="77777777" w:rsidR="00092CAF" w:rsidRDefault="00814667" w:rsidP="00B3219C">
            <w:pPr>
              <w:pStyle w:val="AgreementParties"/>
            </w:pPr>
            <w:r>
              <w:t xml:space="preserve">the </w:t>
            </w:r>
            <w:r>
              <w:rPr>
                <w:rStyle w:val="Bold"/>
              </w:rPr>
              <w:t>Commonwealth of Australia</w:t>
            </w:r>
            <w:r w:rsidR="00697494">
              <w:rPr>
                <w:rStyle w:val="Bold"/>
              </w:rPr>
              <w:t>;</w:t>
            </w:r>
            <w:r>
              <w:t xml:space="preserve"> and</w:t>
            </w:r>
            <w:r w:rsidR="00B3219C">
              <w:t xml:space="preserve"> </w:t>
            </w:r>
          </w:p>
          <w:p w14:paraId="0A660EA0" w14:textId="611727B6" w:rsidR="00814667" w:rsidRPr="001E74D0" w:rsidRDefault="00814667" w:rsidP="00B3219C">
            <w:pPr>
              <w:pStyle w:val="AgreementParties"/>
            </w:pPr>
            <w:r>
              <w:t xml:space="preserve">the </w:t>
            </w:r>
            <w:r w:rsidR="00B3219C">
              <w:rPr>
                <w:rStyle w:val="Bold"/>
              </w:rPr>
              <w:t>State</w:t>
            </w:r>
            <w:r>
              <w:rPr>
                <w:rStyle w:val="Bold"/>
              </w:rPr>
              <w:t xml:space="preserve"> </w:t>
            </w:r>
            <w:r w:rsidR="00697494" w:rsidRPr="00DE36EB">
              <w:rPr>
                <w:rStyle w:val="Bold"/>
              </w:rPr>
              <w:t>of</w:t>
            </w:r>
            <w:r w:rsidR="00B3219C">
              <w:rPr>
                <w:rStyle w:val="Bold"/>
              </w:rPr>
              <w:t xml:space="preserve"> </w:t>
            </w:r>
            <w:r w:rsidR="00B3219C">
              <w:t>Queensland</w:t>
            </w:r>
          </w:p>
        </w:tc>
      </w:tr>
      <w:tr w:rsidR="00814667" w14:paraId="3043B6B7" w14:textId="77777777">
        <w:tc>
          <w:tcPr>
            <w:tcW w:w="767" w:type="pct"/>
          </w:tcPr>
          <w:p w14:paraId="5D3A0103" w14:textId="77777777" w:rsidR="00814667" w:rsidRDefault="00814667">
            <w:pPr>
              <w:pStyle w:val="SingleParagraph"/>
              <w:tabs>
                <w:tab w:val="num" w:pos="1134"/>
              </w:tabs>
              <w:spacing w:after="240"/>
              <w:ind w:left="1134" w:hanging="567"/>
            </w:pPr>
          </w:p>
        </w:tc>
        <w:tc>
          <w:tcPr>
            <w:tcW w:w="4233" w:type="pct"/>
            <w:tcBorders>
              <w:left w:val="nil"/>
            </w:tcBorders>
          </w:tcPr>
          <w:p w14:paraId="1545C282" w14:textId="77777777" w:rsidR="00EB7EDA" w:rsidRPr="00EB7EDA" w:rsidRDefault="00EB7EDA" w:rsidP="00B3219C">
            <w:pPr>
              <w:pStyle w:val="StatesList"/>
              <w:numPr>
                <w:ilvl w:val="0"/>
                <w:numId w:val="0"/>
              </w:numPr>
              <w:tabs>
                <w:tab w:val="clear" w:pos="1134"/>
              </w:tabs>
              <w:rPr>
                <w:i/>
              </w:rPr>
            </w:pPr>
          </w:p>
        </w:tc>
      </w:tr>
      <w:tr w:rsidR="00814667" w14:paraId="1E3C3FC2" w14:textId="77777777">
        <w:tc>
          <w:tcPr>
            <w:tcW w:w="5000" w:type="pct"/>
            <w:gridSpan w:val="2"/>
          </w:tcPr>
          <w:p w14:paraId="30C55AE1" w14:textId="77777777" w:rsidR="00814667" w:rsidRDefault="00814667">
            <w:pPr>
              <w:pStyle w:val="SingleParagraph"/>
              <w:tabs>
                <w:tab w:val="num" w:pos="1134"/>
              </w:tabs>
              <w:spacing w:after="240"/>
              <w:ind w:left="1134" w:hanging="567"/>
            </w:pPr>
          </w:p>
        </w:tc>
      </w:tr>
      <w:tr w:rsidR="00814667" w14:paraId="686EC7A7" w14:textId="77777777">
        <w:tc>
          <w:tcPr>
            <w:tcW w:w="5000" w:type="pct"/>
            <w:gridSpan w:val="2"/>
          </w:tcPr>
          <w:p w14:paraId="0866BD09" w14:textId="1461B536" w:rsidR="00814667" w:rsidRDefault="00771FFF" w:rsidP="00465E18">
            <w:pPr>
              <w:pStyle w:val="Abstract"/>
            </w:pPr>
            <w:r>
              <w:t xml:space="preserve">The output of this project will </w:t>
            </w:r>
            <w:r w:rsidR="00B3219C">
              <w:t xml:space="preserve">provide for the construction of </w:t>
            </w:r>
            <w:r w:rsidR="00DE140F">
              <w:t xml:space="preserve">Stage 1 and part of </w:t>
            </w:r>
            <w:r w:rsidR="001D29B1">
              <w:t xml:space="preserve">Stage 2 of </w:t>
            </w:r>
            <w:r w:rsidR="00B3219C">
              <w:t xml:space="preserve">the </w:t>
            </w:r>
            <w:proofErr w:type="spellStart"/>
            <w:r w:rsidR="00B3219C">
              <w:t>Wange</w:t>
            </w:r>
            <w:r w:rsidR="00465E18">
              <w:t>tti</w:t>
            </w:r>
            <w:proofErr w:type="spellEnd"/>
            <w:r w:rsidR="00465E18">
              <w:t xml:space="preserve"> Trail in far north Queensland</w:t>
            </w:r>
            <w:r w:rsidR="00C7093C">
              <w:t xml:space="preserve">.  </w:t>
            </w:r>
          </w:p>
        </w:tc>
      </w:tr>
    </w:tbl>
    <w:p w14:paraId="7CEE3325"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137223">
        <w:t xml:space="preserve">Tourism Icon Package - </w:t>
      </w:r>
      <w:r w:rsidR="007A6E20">
        <w:br/>
      </w:r>
      <w:r w:rsidR="00137223">
        <w:t xml:space="preserve">Construction </w:t>
      </w:r>
      <w:r w:rsidR="006D5123">
        <w:t xml:space="preserve">of the </w:t>
      </w:r>
      <w:proofErr w:type="spellStart"/>
      <w:r w:rsidR="00465E18">
        <w:t>Wangetti</w:t>
      </w:r>
      <w:proofErr w:type="spellEnd"/>
      <w:r w:rsidR="00465E18">
        <w:t xml:space="preserve"> Trail</w:t>
      </w:r>
    </w:p>
    <w:p w14:paraId="592D1EB5" w14:textId="77777777" w:rsidR="00596E88" w:rsidRPr="006F79D3" w:rsidRDefault="00596E88" w:rsidP="002A143D">
      <w:pPr>
        <w:jc w:val="left"/>
        <w:rPr>
          <w:i/>
        </w:rPr>
      </w:pPr>
    </w:p>
    <w:p w14:paraId="32FFE0CB"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1D5F99D3" w14:textId="77777777" w:rsidR="00C960AA" w:rsidRPr="0096732C" w:rsidRDefault="00C960AA" w:rsidP="00D756A2">
      <w:pPr>
        <w:pStyle w:val="Normalnumbered"/>
        <w:numPr>
          <w:ilvl w:val="0"/>
          <w:numId w:val="11"/>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779CF177"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5AE85CD0" w14:textId="77777777" w:rsidR="00873A0E" w:rsidRDefault="00873A0E" w:rsidP="00D756A2">
      <w:pPr>
        <w:pStyle w:val="Normalnumbered"/>
        <w:numPr>
          <w:ilvl w:val="0"/>
          <w:numId w:val="11"/>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t xml:space="preserve">This Agreement will support the delivery of Commonwealth funding of $8 million towards the development of the </w:t>
      </w:r>
      <w:proofErr w:type="spellStart"/>
      <w:r>
        <w:t>Wangetti</w:t>
      </w:r>
      <w:proofErr w:type="spellEnd"/>
      <w:r>
        <w:t xml:space="preserve"> Trail in Queensland, including infrastructure construction and the </w:t>
      </w:r>
      <w:r w:rsidRPr="00873A0E">
        <w:t>advance</w:t>
      </w:r>
      <w:r w:rsidR="00C36DA8">
        <w:t>ment of</w:t>
      </w:r>
      <w:r w:rsidRPr="00873A0E">
        <w:t xml:space="preserve"> Indigenous tourism partnerships</w:t>
      </w:r>
      <w:r>
        <w:t>.</w:t>
      </w:r>
    </w:p>
    <w:p w14:paraId="1F3D77B3" w14:textId="77777777" w:rsidR="00873A0E" w:rsidRDefault="00873A0E" w:rsidP="00D756A2">
      <w:pPr>
        <w:pStyle w:val="Normalnumbered"/>
        <w:numPr>
          <w:ilvl w:val="0"/>
          <w:numId w:val="11"/>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873A0E">
        <w:t>This project is one of five projects that form the Australian Tourism Icons Package, a $50 million Australian Government commitment to support the development of iconic tourism projects across Australia.</w:t>
      </w:r>
    </w:p>
    <w:p w14:paraId="1425C33B"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07BF6090" w14:textId="77777777" w:rsidR="0096732C" w:rsidRDefault="00873A0E" w:rsidP="00D756A2">
      <w:pPr>
        <w:pStyle w:val="Normalnumbered"/>
        <w:numPr>
          <w:ilvl w:val="0"/>
          <w:numId w:val="11"/>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Queensland</w:t>
      </w:r>
      <w:r w:rsidR="0096732C">
        <w:t xml:space="preserve"> will report </w:t>
      </w:r>
      <w:r>
        <w:t>bi</w:t>
      </w:r>
      <w:r w:rsidR="0096732C">
        <w:t xml:space="preserve">annually against the agreed milestones during the operation of this Agreement, as set out in Part 4 – Project Milestones, Reporting and Payments. </w:t>
      </w:r>
    </w:p>
    <w:p w14:paraId="53E83BA5"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0F44FFC9" w14:textId="2BAFBECE" w:rsidR="0096732C" w:rsidRPr="0096732C" w:rsidRDefault="0096732C" w:rsidP="00D756A2">
      <w:pPr>
        <w:pStyle w:val="Normalnumbered"/>
        <w:numPr>
          <w:ilvl w:val="0"/>
          <w:numId w:val="11"/>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DE140F">
        <w:t>Queensland</w:t>
      </w:r>
      <w:r w:rsidRPr="007179FE">
        <w:t xml:space="preserve"> </w:t>
      </w:r>
      <w:r w:rsidR="00472D52">
        <w:t xml:space="preserve">of </w:t>
      </w:r>
      <w:r>
        <w:t>$</w:t>
      </w:r>
      <w:r w:rsidR="00EB3ED6">
        <w:t>8 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65158980"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0648D848" w14:textId="77777777" w:rsidR="00814667" w:rsidRDefault="00814667">
      <w:pPr>
        <w:pStyle w:val="Heading1"/>
      </w:pPr>
      <w:r>
        <w:t>Part 1 — Formalities</w:t>
      </w:r>
    </w:p>
    <w:p w14:paraId="339E0166" w14:textId="77777777" w:rsidR="00804105" w:rsidRDefault="00804105" w:rsidP="00D756A2">
      <w:pPr>
        <w:pStyle w:val="Normalnumbered"/>
        <w:numPr>
          <w:ilvl w:val="0"/>
          <w:numId w:val="11"/>
        </w:numPr>
      </w:pPr>
      <w:r>
        <w:t>This Agreement constitutes the entire agreement for this project.</w:t>
      </w:r>
    </w:p>
    <w:p w14:paraId="4FA86538" w14:textId="77777777" w:rsidR="00814667" w:rsidRDefault="00814667">
      <w:pPr>
        <w:pStyle w:val="Heading2"/>
      </w:pPr>
      <w:r>
        <w:t>Parties to this Agreement</w:t>
      </w:r>
    </w:p>
    <w:p w14:paraId="0A3FF3E8" w14:textId="77777777" w:rsidR="007B4B03" w:rsidRPr="007B4B03" w:rsidRDefault="00E7195E" w:rsidP="00D756A2">
      <w:pPr>
        <w:pStyle w:val="Normalnumbered"/>
        <w:numPr>
          <w:ilvl w:val="0"/>
          <w:numId w:val="11"/>
        </w:numPr>
      </w:pPr>
      <w:r w:rsidRPr="003012DA">
        <w:t xml:space="preserve">This </w:t>
      </w:r>
      <w:r w:rsidR="00E31096">
        <w:t xml:space="preserve">Agreement </w:t>
      </w:r>
      <w:r w:rsidRPr="003012DA">
        <w:t>is between the Commonwealth of Australia (the</w:t>
      </w:r>
      <w:r w:rsidR="00593821">
        <w:t xml:space="preserve"> Commonwealth</w:t>
      </w:r>
      <w:r w:rsidRPr="003012DA">
        <w:t>) and t</w:t>
      </w:r>
      <w:r w:rsidR="00593821">
        <w:t>he State</w:t>
      </w:r>
      <w:r w:rsidR="00EB3ED6">
        <w:t xml:space="preserve"> of Queensland</w:t>
      </w:r>
      <w:r w:rsidR="00593821">
        <w:t xml:space="preserve"> (</w:t>
      </w:r>
      <w:r w:rsidR="00EB3ED6">
        <w:t>Queensland</w:t>
      </w:r>
      <w:r w:rsidRPr="003012DA">
        <w:t xml:space="preserve">). </w:t>
      </w:r>
    </w:p>
    <w:p w14:paraId="527CC799" w14:textId="77777777" w:rsidR="00814667" w:rsidRDefault="00814667">
      <w:pPr>
        <w:pStyle w:val="Heading2"/>
      </w:pPr>
      <w:r>
        <w:lastRenderedPageBreak/>
        <w:t>Term of the Agreement</w:t>
      </w:r>
    </w:p>
    <w:p w14:paraId="18021AE4" w14:textId="77777777" w:rsidR="00814667" w:rsidRPr="00DE36EB" w:rsidRDefault="00814667" w:rsidP="00D756A2">
      <w:pPr>
        <w:pStyle w:val="Normalnumbered"/>
        <w:numPr>
          <w:ilvl w:val="0"/>
          <w:numId w:val="11"/>
        </w:numPr>
      </w:pPr>
      <w:r w:rsidRPr="00DE36EB">
        <w:t xml:space="preserve">This Agreement will commence as soon as the Commonwealth and </w:t>
      </w:r>
      <w:r w:rsidR="000D64C4">
        <w:t>Queensland</w:t>
      </w:r>
      <w:r w:rsidR="00726DB5" w:rsidRPr="00DE36EB">
        <w:t xml:space="preserve"> sign</w:t>
      </w:r>
      <w:r w:rsidRPr="00DE36EB">
        <w:t xml:space="preserve"> </w:t>
      </w:r>
      <w:r w:rsidR="0096732C">
        <w:t xml:space="preserve">it </w:t>
      </w:r>
      <w:r w:rsidRPr="00DE36EB">
        <w:t>and will expire on</w:t>
      </w:r>
      <w:r w:rsidR="00C7093C" w:rsidRPr="00DE36EB">
        <w:t xml:space="preserve"> </w:t>
      </w:r>
      <w:r w:rsidR="000D64C4">
        <w:t>30 June 2022</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23CE5C4B"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3EB77D51" w14:textId="77777777" w:rsidR="00814667" w:rsidRDefault="00814667">
      <w:pPr>
        <w:pStyle w:val="Heading2"/>
      </w:pPr>
      <w:r>
        <w:t>Outputs</w:t>
      </w:r>
    </w:p>
    <w:p w14:paraId="204F5EA0" w14:textId="34ABDFC6" w:rsidR="0085738D" w:rsidRDefault="00814667" w:rsidP="00D756A2">
      <w:pPr>
        <w:pStyle w:val="Normalnumbered"/>
        <w:numPr>
          <w:ilvl w:val="0"/>
          <w:numId w:val="11"/>
        </w:numPr>
        <w:jc w:val="left"/>
      </w:pPr>
      <w:r w:rsidRPr="0085738D">
        <w:t>The o</w:t>
      </w:r>
      <w:r w:rsidR="006F79D3">
        <w:t>utputs of this Agreement will be:</w:t>
      </w:r>
    </w:p>
    <w:p w14:paraId="1FEDDD92" w14:textId="77777777" w:rsidR="00873A0E" w:rsidRPr="00873A0E" w:rsidRDefault="00873A0E" w:rsidP="00D756A2">
      <w:pPr>
        <w:pStyle w:val="AlphaParagraph"/>
        <w:numPr>
          <w:ilvl w:val="0"/>
          <w:numId w:val="16"/>
        </w:numPr>
        <w:tabs>
          <w:tab w:val="clear" w:pos="567"/>
          <w:tab w:val="clear" w:pos="1418"/>
          <w:tab w:val="clear" w:pos="1701"/>
        </w:tabs>
        <w:ind w:left="1134" w:hanging="567"/>
      </w:pPr>
      <w:r w:rsidRPr="00873A0E">
        <w:t>Construct</w:t>
      </w:r>
      <w:r w:rsidR="00A462A5">
        <w:t>ion of the</w:t>
      </w:r>
      <w:r w:rsidRPr="00873A0E">
        <w:t xml:space="preserve"> Mowbray River pedestrian bridge and trail works (Mowbray River to Port Douglas) – Stage 1, including:</w:t>
      </w:r>
    </w:p>
    <w:p w14:paraId="0359DB6C" w14:textId="77777777" w:rsidR="00A462A5" w:rsidRDefault="00873A0E" w:rsidP="00D756A2">
      <w:pPr>
        <w:numPr>
          <w:ilvl w:val="2"/>
          <w:numId w:val="16"/>
        </w:numPr>
        <w:tabs>
          <w:tab w:val="clear" w:pos="1701"/>
          <w:tab w:val="left" w:pos="567"/>
        </w:tabs>
        <w:spacing w:after="160" w:line="256" w:lineRule="auto"/>
        <w:ind w:left="1644" w:hanging="360"/>
        <w:contextualSpacing/>
        <w:jc w:val="left"/>
      </w:pPr>
      <w:r w:rsidRPr="00A462A5">
        <w:rPr>
          <w:rFonts w:eastAsia="SimSun"/>
          <w:color w:val="auto"/>
          <w:szCs w:val="23"/>
          <w:lang w:eastAsia="zh-CN"/>
        </w:rPr>
        <w:t>Demolition</w:t>
      </w:r>
      <w:r w:rsidR="00A462A5">
        <w:rPr>
          <w:rFonts w:eastAsia="SimSun"/>
          <w:color w:val="auto"/>
          <w:szCs w:val="23"/>
          <w:lang w:eastAsia="zh-CN"/>
        </w:rPr>
        <w:t xml:space="preserve"> of the</w:t>
      </w:r>
      <w:r w:rsidRPr="00873A0E">
        <w:t xml:space="preserve"> Old Mowbray River Road Bridge</w:t>
      </w:r>
    </w:p>
    <w:p w14:paraId="2943663F" w14:textId="77777777" w:rsidR="00A462A5" w:rsidRDefault="00A462A5" w:rsidP="00D756A2">
      <w:pPr>
        <w:numPr>
          <w:ilvl w:val="2"/>
          <w:numId w:val="16"/>
        </w:numPr>
        <w:tabs>
          <w:tab w:val="clear" w:pos="1701"/>
          <w:tab w:val="left" w:pos="567"/>
        </w:tabs>
        <w:spacing w:after="160" w:line="256" w:lineRule="auto"/>
        <w:ind w:left="1644" w:hanging="360"/>
        <w:contextualSpacing/>
        <w:jc w:val="left"/>
      </w:pPr>
      <w:r>
        <w:t>P</w:t>
      </w:r>
      <w:r w:rsidR="00873A0E" w:rsidRPr="00873A0E">
        <w:t>edestrian bridge over the Mowbray River</w:t>
      </w:r>
    </w:p>
    <w:p w14:paraId="19B65894" w14:textId="77777777" w:rsidR="00A462A5" w:rsidRDefault="00A462A5" w:rsidP="00D756A2">
      <w:pPr>
        <w:numPr>
          <w:ilvl w:val="2"/>
          <w:numId w:val="16"/>
        </w:numPr>
        <w:tabs>
          <w:tab w:val="clear" w:pos="1701"/>
          <w:tab w:val="left" w:pos="567"/>
        </w:tabs>
        <w:spacing w:after="160" w:line="256" w:lineRule="auto"/>
        <w:ind w:left="1644" w:hanging="360"/>
        <w:contextualSpacing/>
        <w:jc w:val="left"/>
      </w:pPr>
      <w:r>
        <w:t>V</w:t>
      </w:r>
      <w:r w:rsidR="00873A0E" w:rsidRPr="00873A0E">
        <w:t>iewing platform and underpass</w:t>
      </w:r>
    </w:p>
    <w:p w14:paraId="0370E981" w14:textId="77777777" w:rsidR="00A462A5" w:rsidRDefault="00A462A5" w:rsidP="00D756A2">
      <w:pPr>
        <w:numPr>
          <w:ilvl w:val="2"/>
          <w:numId w:val="16"/>
        </w:numPr>
        <w:tabs>
          <w:tab w:val="clear" w:pos="1701"/>
          <w:tab w:val="left" w:pos="567"/>
        </w:tabs>
        <w:spacing w:after="160" w:line="256" w:lineRule="auto"/>
        <w:ind w:left="1644" w:hanging="360"/>
        <w:contextualSpacing/>
        <w:jc w:val="left"/>
      </w:pPr>
      <w:r>
        <w:t>M</w:t>
      </w:r>
      <w:r w:rsidR="00873A0E" w:rsidRPr="00873A0E">
        <w:t>angrove experience boardwalk</w:t>
      </w:r>
    </w:p>
    <w:p w14:paraId="1DBAB522" w14:textId="77777777" w:rsidR="00873A0E" w:rsidRPr="00873A0E" w:rsidRDefault="00A462A5" w:rsidP="00D756A2">
      <w:pPr>
        <w:numPr>
          <w:ilvl w:val="2"/>
          <w:numId w:val="16"/>
        </w:numPr>
        <w:tabs>
          <w:tab w:val="clear" w:pos="1701"/>
          <w:tab w:val="left" w:pos="567"/>
        </w:tabs>
        <w:spacing w:after="160" w:line="256" w:lineRule="auto"/>
        <w:ind w:left="1644" w:hanging="360"/>
        <w:contextualSpacing/>
        <w:jc w:val="left"/>
      </w:pPr>
      <w:r>
        <w:t>T</w:t>
      </w:r>
      <w:r w:rsidR="00873A0E" w:rsidRPr="00873A0E">
        <w:t>rail to Four Mile Beach and Flagstaff Hill in Port Douglas</w:t>
      </w:r>
    </w:p>
    <w:p w14:paraId="1EC3A6D4" w14:textId="77777777" w:rsidR="00A462A5" w:rsidRPr="00873A0E" w:rsidRDefault="00A462A5" w:rsidP="00D756A2">
      <w:pPr>
        <w:pStyle w:val="AlphaParagraph"/>
        <w:numPr>
          <w:ilvl w:val="0"/>
          <w:numId w:val="16"/>
        </w:numPr>
        <w:tabs>
          <w:tab w:val="clear" w:pos="567"/>
          <w:tab w:val="clear" w:pos="1418"/>
          <w:tab w:val="clear" w:pos="1701"/>
        </w:tabs>
        <w:ind w:left="1134" w:hanging="567"/>
      </w:pPr>
      <w:r w:rsidRPr="00873A0E">
        <w:t>Construct</w:t>
      </w:r>
      <w:r>
        <w:t>ion of part of the</w:t>
      </w:r>
      <w:r w:rsidRPr="00873A0E">
        <w:t xml:space="preserve"> </w:t>
      </w:r>
      <w:r>
        <w:t>remaining trail</w:t>
      </w:r>
      <w:r w:rsidRPr="00873A0E">
        <w:t xml:space="preserve"> </w:t>
      </w:r>
      <w:r>
        <w:t xml:space="preserve">(Mowbray River south to Palm Cove, via </w:t>
      </w:r>
      <w:proofErr w:type="spellStart"/>
      <w:r>
        <w:t>Wangetti</w:t>
      </w:r>
      <w:proofErr w:type="spellEnd"/>
      <w:r>
        <w:t xml:space="preserve">) </w:t>
      </w:r>
      <w:r w:rsidRPr="00873A0E">
        <w:t xml:space="preserve">– Stage </w:t>
      </w:r>
      <w:r>
        <w:t>2</w:t>
      </w:r>
      <w:r w:rsidRPr="00873A0E">
        <w:t>:</w:t>
      </w:r>
    </w:p>
    <w:p w14:paraId="52E3E5D0" w14:textId="77777777" w:rsidR="00A462A5" w:rsidRDefault="00A462A5" w:rsidP="00D756A2">
      <w:pPr>
        <w:pStyle w:val="AlphaParagraph"/>
        <w:numPr>
          <w:ilvl w:val="0"/>
          <w:numId w:val="16"/>
        </w:numPr>
        <w:tabs>
          <w:tab w:val="clear" w:pos="567"/>
          <w:tab w:val="clear" w:pos="1418"/>
          <w:tab w:val="clear" w:pos="1701"/>
        </w:tabs>
        <w:ind w:left="1134" w:hanging="567"/>
      </w:pPr>
      <w:r>
        <w:t xml:space="preserve">Advancement of Indigenous participation on the </w:t>
      </w:r>
      <w:proofErr w:type="spellStart"/>
      <w:r>
        <w:t>Wangetti</w:t>
      </w:r>
      <w:proofErr w:type="spellEnd"/>
      <w:r>
        <w:t xml:space="preserve"> Trail, including;</w:t>
      </w:r>
    </w:p>
    <w:p w14:paraId="0BF42B64" w14:textId="77777777" w:rsidR="00A462A5" w:rsidRDefault="00A462A5" w:rsidP="00D756A2">
      <w:pPr>
        <w:numPr>
          <w:ilvl w:val="2"/>
          <w:numId w:val="16"/>
        </w:numPr>
        <w:tabs>
          <w:tab w:val="clear" w:pos="1701"/>
          <w:tab w:val="left" w:pos="567"/>
        </w:tabs>
        <w:spacing w:after="160" w:line="256" w:lineRule="auto"/>
        <w:ind w:left="1644" w:hanging="360"/>
        <w:contextualSpacing/>
        <w:jc w:val="left"/>
      </w:pPr>
      <w:r>
        <w:t>Cultural heritage agreements</w:t>
      </w:r>
    </w:p>
    <w:p w14:paraId="3131521A" w14:textId="77777777" w:rsidR="00A462A5" w:rsidRDefault="00A462A5" w:rsidP="00D756A2">
      <w:pPr>
        <w:numPr>
          <w:ilvl w:val="2"/>
          <w:numId w:val="16"/>
        </w:numPr>
        <w:tabs>
          <w:tab w:val="clear" w:pos="1701"/>
          <w:tab w:val="left" w:pos="567"/>
        </w:tabs>
        <w:spacing w:after="160" w:line="256" w:lineRule="auto"/>
        <w:ind w:left="1644" w:hanging="360"/>
        <w:contextualSpacing/>
        <w:jc w:val="left"/>
      </w:pPr>
      <w:r>
        <w:t>Indigenous Land Use Agreement (ILUA)</w:t>
      </w:r>
    </w:p>
    <w:p w14:paraId="4C2780D1" w14:textId="77777777" w:rsidR="00A462A5" w:rsidRPr="00873A0E" w:rsidRDefault="00A462A5" w:rsidP="00D756A2">
      <w:pPr>
        <w:numPr>
          <w:ilvl w:val="2"/>
          <w:numId w:val="16"/>
        </w:numPr>
        <w:tabs>
          <w:tab w:val="clear" w:pos="1701"/>
          <w:tab w:val="left" w:pos="567"/>
        </w:tabs>
        <w:spacing w:after="160" w:line="256" w:lineRule="auto"/>
        <w:ind w:left="1644" w:hanging="360"/>
        <w:contextualSpacing/>
        <w:jc w:val="left"/>
      </w:pPr>
      <w:r>
        <w:t>Facilitation and development of Indigenous jobs and business opportunities associated with the construction and operation of the trail.</w:t>
      </w:r>
    </w:p>
    <w:p w14:paraId="2285B5CF" w14:textId="77777777" w:rsidR="008F44F1" w:rsidRDefault="008F44F1">
      <w:pPr>
        <w:pStyle w:val="Heading1"/>
      </w:pPr>
      <w:r>
        <w:t>Part 3 — roles and responsibilities of each party</w:t>
      </w:r>
    </w:p>
    <w:p w14:paraId="7E9C7E8B" w14:textId="77777777" w:rsidR="008F44F1" w:rsidRDefault="008F44F1" w:rsidP="008F44F1">
      <w:pPr>
        <w:pStyle w:val="Heading2"/>
      </w:pPr>
      <w:r w:rsidRPr="00814590">
        <w:t>Role of the Commonwealth</w:t>
      </w:r>
    </w:p>
    <w:p w14:paraId="54AF8B1D" w14:textId="77777777" w:rsidR="008F44F1" w:rsidRDefault="008F44F1" w:rsidP="00D756A2">
      <w:pPr>
        <w:pStyle w:val="Normalnumbered"/>
        <w:numPr>
          <w:ilvl w:val="0"/>
          <w:numId w:val="11"/>
        </w:numPr>
        <w:jc w:val="left"/>
      </w:pPr>
      <w:r>
        <w:t>The Commonwealth will be responsible for:</w:t>
      </w:r>
    </w:p>
    <w:p w14:paraId="6D78B1AC" w14:textId="77777777" w:rsidR="008F44F1" w:rsidRPr="000614F9" w:rsidRDefault="008F44F1" w:rsidP="00D756A2">
      <w:pPr>
        <w:pStyle w:val="AlphaParagraph"/>
        <w:numPr>
          <w:ilvl w:val="0"/>
          <w:numId w:val="21"/>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proofErr w:type="spellStart"/>
      <w:r w:rsidR="001C3407">
        <w:t>Wangetti</w:t>
      </w:r>
      <w:proofErr w:type="spellEnd"/>
      <w:r w:rsidR="001C3407">
        <w:t xml:space="preserve"> Trail</w:t>
      </w:r>
      <w:r w:rsidRPr="000614F9">
        <w:t xml:space="preserve"> </w:t>
      </w:r>
      <w:r w:rsidRPr="000614F9">
        <w:rPr>
          <w:color w:val="auto"/>
        </w:rPr>
        <w:t>under</w:t>
      </w:r>
      <w:r w:rsidRPr="004B6083">
        <w:t xml:space="preserve"> this Agreement to ensure that outputs are delivered within the agreed timeframe; </w:t>
      </w:r>
    </w:p>
    <w:p w14:paraId="4A450107" w14:textId="77777777" w:rsidR="008F44F1" w:rsidRPr="000614F9" w:rsidRDefault="008F44F1" w:rsidP="00D756A2">
      <w:pPr>
        <w:pStyle w:val="AlphaParagraph"/>
        <w:numPr>
          <w:ilvl w:val="0"/>
          <w:numId w:val="22"/>
        </w:numPr>
        <w:tabs>
          <w:tab w:val="clear" w:pos="283"/>
          <w:tab w:val="clear" w:pos="567"/>
          <w:tab w:val="clear" w:pos="1418"/>
          <w:tab w:val="clear" w:pos="1701"/>
        </w:tabs>
        <w:ind w:left="1134" w:hanging="567"/>
        <w:rPr>
          <w:color w:val="auto"/>
        </w:rPr>
      </w:pPr>
      <w:proofErr w:type="gramStart"/>
      <w:r w:rsidRPr="004B6083">
        <w:rPr>
          <w:color w:val="auto"/>
        </w:rPr>
        <w:t>providing</w:t>
      </w:r>
      <w:proofErr w:type="gramEnd"/>
      <w:r w:rsidRPr="004B6083">
        <w:rPr>
          <w:color w:val="auto"/>
        </w:rPr>
        <w:t xml:space="preserve"> a consequent financial contribution to the States to support the </w:t>
      </w:r>
      <w:r w:rsidRPr="000614F9">
        <w:t>implementation</w:t>
      </w:r>
      <w:r w:rsidRPr="004B6083">
        <w:rPr>
          <w:color w:val="auto"/>
        </w:rPr>
        <w:t xml:space="preserve"> of this Agreement</w:t>
      </w:r>
      <w:r w:rsidR="00DC1FDB">
        <w:rPr>
          <w:color w:val="auto"/>
        </w:rPr>
        <w:t>.</w:t>
      </w:r>
    </w:p>
    <w:p w14:paraId="544558F6" w14:textId="77777777" w:rsidR="004F5DCD" w:rsidRPr="00750F59" w:rsidRDefault="004F5DCD" w:rsidP="00D756A2">
      <w:pPr>
        <w:pStyle w:val="AlphaParagraph"/>
        <w:numPr>
          <w:ilvl w:val="0"/>
          <w:numId w:val="22"/>
        </w:numPr>
        <w:tabs>
          <w:tab w:val="clear" w:pos="283"/>
          <w:tab w:val="clear" w:pos="567"/>
          <w:tab w:val="clear" w:pos="1418"/>
          <w:tab w:val="clear" w:pos="1701"/>
        </w:tabs>
        <w:ind w:left="1134" w:hanging="567"/>
        <w:rPr>
          <w:i/>
          <w:color w:val="auto"/>
        </w:rPr>
      </w:pPr>
      <w:r w:rsidRPr="00750F59">
        <w:rPr>
          <w:color w:val="auto"/>
          <w:szCs w:val="23"/>
        </w:rPr>
        <w:t xml:space="preserve">in accordance with the </w:t>
      </w:r>
      <w:r>
        <w:rPr>
          <w:i/>
          <w:color w:val="auto"/>
          <w:szCs w:val="23"/>
        </w:rPr>
        <w:t>Building and Construction Industry (Improving Productivity) Act 2016</w:t>
      </w:r>
      <w:r w:rsidRPr="00750F59">
        <w:rPr>
          <w:color w:val="auto"/>
        </w:rPr>
        <w:t xml:space="preserve">, </w:t>
      </w:r>
      <w:r w:rsidRPr="00750F59">
        <w:rPr>
          <w:color w:val="auto"/>
          <w:szCs w:val="23"/>
        </w:rPr>
        <w:t xml:space="preserve">ensuring that </w:t>
      </w:r>
      <w:r w:rsidRPr="00750F59">
        <w:rPr>
          <w:color w:val="auto"/>
        </w:rPr>
        <w:t xml:space="preserve">financial contributions to a building project or projects as defined under the </w:t>
      </w:r>
      <w:r w:rsidRPr="00750F59">
        <w:rPr>
          <w:color w:val="auto"/>
          <w:szCs w:val="23"/>
        </w:rPr>
        <w:t xml:space="preserve">Fair Work (Building Industry – Accreditation Scheme) </w:t>
      </w:r>
      <w:r w:rsidRPr="00750F59">
        <w:rPr>
          <w:color w:val="auto"/>
        </w:rPr>
        <w:t xml:space="preserve">Regulations </w:t>
      </w:r>
      <w:r>
        <w:rPr>
          <w:color w:val="auto"/>
        </w:rPr>
        <w:t>2016</w:t>
      </w:r>
      <w:r w:rsidRPr="00750F59">
        <w:rPr>
          <w:color w:val="auto"/>
        </w:rPr>
        <w:t xml:space="preserve"> are only made where a builder or builders accredited under the Australian Government Building and Construction WHS Accreditation Scheme is contracted; and</w:t>
      </w:r>
    </w:p>
    <w:p w14:paraId="0372B308" w14:textId="77777777" w:rsidR="004F5DCD" w:rsidRPr="00750F59" w:rsidRDefault="004F5DCD" w:rsidP="00D756A2">
      <w:pPr>
        <w:pStyle w:val="AlphaParagraph"/>
        <w:numPr>
          <w:ilvl w:val="0"/>
          <w:numId w:val="22"/>
        </w:numPr>
        <w:tabs>
          <w:tab w:val="clear" w:pos="283"/>
          <w:tab w:val="clear" w:pos="567"/>
          <w:tab w:val="clear" w:pos="1418"/>
          <w:tab w:val="clear" w:pos="1701"/>
        </w:tabs>
        <w:ind w:left="1134" w:hanging="567"/>
        <w:rPr>
          <w:i/>
          <w:color w:val="auto"/>
        </w:rPr>
      </w:pPr>
      <w:proofErr w:type="gramStart"/>
      <w:r w:rsidRPr="00750F59">
        <w:rPr>
          <w:color w:val="auto"/>
        </w:rPr>
        <w:t>ensuring</w:t>
      </w:r>
      <w:proofErr w:type="gramEnd"/>
      <w:r w:rsidRPr="00750F59">
        <w:rPr>
          <w:color w:val="auto"/>
        </w:rPr>
        <w:t xml:space="preserve"> that compliance with the </w:t>
      </w:r>
      <w:r>
        <w:rPr>
          <w:color w:val="auto"/>
        </w:rPr>
        <w:t>Code for the Tendering and Performance of Building Work 2016 (</w:t>
      </w:r>
      <w:r w:rsidRPr="00750F59">
        <w:rPr>
          <w:color w:val="auto"/>
        </w:rPr>
        <w:t>Building Code 201</w:t>
      </w:r>
      <w:r>
        <w:rPr>
          <w:color w:val="auto"/>
        </w:rPr>
        <w:t>6)</w:t>
      </w:r>
      <w:r w:rsidRPr="00750F59">
        <w:rPr>
          <w:color w:val="auto"/>
        </w:rPr>
        <w:t xml:space="preserve"> is a condition of Australian Government funding.</w:t>
      </w:r>
    </w:p>
    <w:p w14:paraId="624AEF54" w14:textId="77777777" w:rsidR="008F44F1" w:rsidRPr="00751725" w:rsidRDefault="008F44F1" w:rsidP="008F44F1">
      <w:pPr>
        <w:pStyle w:val="Heading2"/>
      </w:pPr>
      <w:r w:rsidRPr="00751725">
        <w:lastRenderedPageBreak/>
        <w:t xml:space="preserve">Role of the States </w:t>
      </w:r>
      <w:r>
        <w:t>and Territories</w:t>
      </w:r>
    </w:p>
    <w:p w14:paraId="6FCC56E9" w14:textId="77777777" w:rsidR="008F44F1" w:rsidRPr="00751725" w:rsidRDefault="001C3407" w:rsidP="00D756A2">
      <w:pPr>
        <w:pStyle w:val="Normalnumbered"/>
        <w:numPr>
          <w:ilvl w:val="0"/>
          <w:numId w:val="11"/>
        </w:numPr>
        <w:jc w:val="left"/>
      </w:pPr>
      <w:r>
        <w:t>Queensland</w:t>
      </w:r>
      <w:r w:rsidR="00545DF7">
        <w:t xml:space="preserve"> </w:t>
      </w:r>
      <w:r w:rsidR="008F44F1">
        <w:t>will be responsible for</w:t>
      </w:r>
      <w:r w:rsidR="00545DF7">
        <w:t>:</w:t>
      </w:r>
    </w:p>
    <w:p w14:paraId="0D2F09FB" w14:textId="1037BEE7" w:rsidR="00B978BD" w:rsidRDefault="008F44F1" w:rsidP="00D756A2">
      <w:pPr>
        <w:pStyle w:val="AlphaParagraph"/>
        <w:numPr>
          <w:ilvl w:val="0"/>
          <w:numId w:val="20"/>
        </w:numPr>
        <w:tabs>
          <w:tab w:val="clear" w:pos="567"/>
          <w:tab w:val="clear" w:pos="1418"/>
          <w:tab w:val="clear" w:pos="1701"/>
        </w:tabs>
        <w:ind w:left="1134" w:hanging="567"/>
      </w:pPr>
      <w:r w:rsidRPr="00751725">
        <w:t xml:space="preserve">providing </w:t>
      </w:r>
      <w:r w:rsidR="00B978BD">
        <w:t xml:space="preserve">a </w:t>
      </w:r>
      <w:r w:rsidRPr="000614F9">
        <w:t xml:space="preserve">financial </w:t>
      </w:r>
      <w:r w:rsidRPr="00751725">
        <w:t>contribution to support the implementation of this Agreement;</w:t>
      </w:r>
    </w:p>
    <w:p w14:paraId="609E93DC" w14:textId="77777777" w:rsidR="008F44F1" w:rsidRDefault="008F44F1" w:rsidP="00D756A2">
      <w:pPr>
        <w:pStyle w:val="AlphaParagraph"/>
        <w:numPr>
          <w:ilvl w:val="0"/>
          <w:numId w:val="20"/>
        </w:numPr>
        <w:tabs>
          <w:tab w:val="clear" w:pos="567"/>
          <w:tab w:val="clear" w:pos="1418"/>
          <w:tab w:val="clear" w:pos="1701"/>
        </w:tabs>
        <w:ind w:left="1134" w:hanging="567"/>
      </w:pPr>
      <w:r>
        <w:t>all aspects of delivering on the project outputs set out in this Agreement;</w:t>
      </w:r>
    </w:p>
    <w:p w14:paraId="3E9B492C" w14:textId="77777777" w:rsidR="00A6719E" w:rsidRDefault="00A6719E" w:rsidP="00D756A2">
      <w:pPr>
        <w:pStyle w:val="AlphaParagraph"/>
        <w:numPr>
          <w:ilvl w:val="0"/>
          <w:numId w:val="20"/>
        </w:numPr>
        <w:tabs>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6B43AF">
        <w:t>;</w:t>
      </w:r>
    </w:p>
    <w:p w14:paraId="6652E630" w14:textId="77777777" w:rsidR="008F44F1" w:rsidRDefault="008F44F1" w:rsidP="00D756A2">
      <w:pPr>
        <w:pStyle w:val="AlphaParagraph"/>
        <w:numPr>
          <w:ilvl w:val="0"/>
          <w:numId w:val="20"/>
        </w:numPr>
        <w:tabs>
          <w:tab w:val="clear" w:pos="567"/>
          <w:tab w:val="clear" w:pos="1418"/>
          <w:tab w:val="clear" w:pos="1701"/>
        </w:tabs>
        <w:ind w:left="1134" w:hanging="567"/>
      </w:pPr>
      <w:r w:rsidRPr="00B978BD">
        <w:t xml:space="preserve">ensuring that </w:t>
      </w:r>
      <w:r w:rsidRPr="00772818">
        <w:t xml:space="preserve">only a builder or builders accredited under the Australian Government Building and Construction </w:t>
      </w:r>
      <w:r w:rsidR="00281874">
        <w:t>WHS</w:t>
      </w:r>
      <w:r w:rsidRPr="00772818">
        <w:t xml:space="preserve"> Accreditation Scheme is </w:t>
      </w:r>
      <w:r>
        <w:t>contracted, and providing the necessary assurances to the Commonwealth;</w:t>
      </w:r>
      <w:r w:rsidR="00A6719E">
        <w:t xml:space="preserve"> and</w:t>
      </w:r>
    </w:p>
    <w:p w14:paraId="1555AB0A" w14:textId="77777777" w:rsidR="004F5DCD" w:rsidRPr="00E75F8F" w:rsidRDefault="004F5DCD" w:rsidP="00E75F8F">
      <w:pPr>
        <w:pStyle w:val="AlphaParagraph"/>
        <w:numPr>
          <w:ilvl w:val="0"/>
          <w:numId w:val="20"/>
        </w:numPr>
        <w:tabs>
          <w:tab w:val="clear" w:pos="567"/>
          <w:tab w:val="clear" w:pos="1418"/>
          <w:tab w:val="clear" w:pos="1701"/>
        </w:tabs>
        <w:ind w:left="1134" w:hanging="567"/>
      </w:pPr>
      <w:proofErr w:type="gramStart"/>
      <w:r w:rsidRPr="00E75F8F">
        <w:t>ensuring</w:t>
      </w:r>
      <w:proofErr w:type="gramEnd"/>
      <w:r w:rsidRPr="00E75F8F">
        <w:t xml:space="preserve"> that compliance with the Building Code 2016 is made a condition of tender for and performance of building work by all contractors and subcontractors, and providing the necessary assurances to the Commonwealth.</w:t>
      </w:r>
    </w:p>
    <w:p w14:paraId="128F4BD1" w14:textId="77777777" w:rsidR="008F44F1" w:rsidRDefault="004F5DCD" w:rsidP="004F5DCD">
      <w:pPr>
        <w:pStyle w:val="Heading2"/>
      </w:pPr>
      <w:r>
        <w:t xml:space="preserve"> </w:t>
      </w:r>
      <w:r w:rsidR="008F44F1">
        <w:t>Shared roles</w:t>
      </w:r>
    </w:p>
    <w:p w14:paraId="1E5C58B6" w14:textId="77777777" w:rsidR="008F44F1" w:rsidRDefault="008F44F1" w:rsidP="00D756A2">
      <w:pPr>
        <w:pStyle w:val="Normalnumbered"/>
        <w:numPr>
          <w:ilvl w:val="0"/>
          <w:numId w:val="11"/>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57C3F20B"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1329651E" w14:textId="77777777" w:rsidR="004B6083" w:rsidRDefault="00545DF7" w:rsidP="00D756A2">
      <w:pPr>
        <w:pStyle w:val="Normalnumbered"/>
        <w:numPr>
          <w:ilvl w:val="0"/>
          <w:numId w:val="11"/>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6BB74ED5" w14:textId="77777777" w:rsidR="0029030F" w:rsidRDefault="0029030F" w:rsidP="0029030F">
      <w:pPr>
        <w:pStyle w:val="Normalnumbered"/>
        <w:numPr>
          <w:ilvl w:val="0"/>
          <w:numId w:val="0"/>
        </w:numPr>
        <w:ind w:left="567"/>
      </w:pPr>
    </w:p>
    <w:p w14:paraId="3618F090" w14:textId="32274DBF" w:rsidR="00F3245D" w:rsidRDefault="0095223D" w:rsidP="008E0AD6">
      <w:pPr>
        <w:pStyle w:val="Normalnumbered"/>
        <w:keepNext/>
        <w:numPr>
          <w:ilvl w:val="0"/>
          <w:numId w:val="0"/>
        </w:numPr>
        <w:rPr>
          <w:b/>
        </w:rPr>
      </w:pPr>
      <w:r w:rsidRPr="001D3CAD">
        <w:rPr>
          <w:b/>
        </w:rPr>
        <w:lastRenderedPageBreak/>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00"/>
        <w:gridCol w:w="4820"/>
        <w:gridCol w:w="1275"/>
        <w:gridCol w:w="1273"/>
      </w:tblGrid>
      <w:tr w:rsidR="009223A9" w:rsidRPr="00C26C5B" w14:paraId="5A17375F" w14:textId="77777777" w:rsidTr="00E75F8F">
        <w:trPr>
          <w:trHeight w:val="547"/>
        </w:trPr>
        <w:tc>
          <w:tcPr>
            <w:tcW w:w="2400" w:type="dxa"/>
            <w:tcBorders>
              <w:bottom w:val="single" w:sz="18" w:space="0" w:color="4F81BD"/>
            </w:tcBorders>
          </w:tcPr>
          <w:p w14:paraId="34FFA080" w14:textId="16D6077B" w:rsidR="00092CAF" w:rsidRPr="00E75F8F" w:rsidRDefault="00092CAF" w:rsidP="002D767A">
            <w:pPr>
              <w:pStyle w:val="Heading2"/>
              <w:rPr>
                <w:bCs w:val="0"/>
                <w:sz w:val="22"/>
                <w:szCs w:val="24"/>
              </w:rPr>
            </w:pPr>
            <w:r w:rsidRPr="00E75F8F">
              <w:rPr>
                <w:bCs w:val="0"/>
                <w:sz w:val="22"/>
                <w:szCs w:val="24"/>
              </w:rPr>
              <w:lastRenderedPageBreak/>
              <w:t>Outputs</w:t>
            </w:r>
          </w:p>
        </w:tc>
        <w:tc>
          <w:tcPr>
            <w:tcW w:w="4820" w:type="dxa"/>
            <w:tcBorders>
              <w:bottom w:val="single" w:sz="18" w:space="0" w:color="4F81BD"/>
            </w:tcBorders>
          </w:tcPr>
          <w:p w14:paraId="4DBD2378" w14:textId="324098ED" w:rsidR="00092CAF" w:rsidRPr="00E75F8F" w:rsidRDefault="00092CAF" w:rsidP="002D767A">
            <w:pPr>
              <w:pStyle w:val="Heading2"/>
              <w:rPr>
                <w:bCs w:val="0"/>
                <w:sz w:val="22"/>
                <w:szCs w:val="24"/>
              </w:rPr>
            </w:pPr>
            <w:r w:rsidRPr="00E75F8F">
              <w:rPr>
                <w:bCs w:val="0"/>
                <w:sz w:val="22"/>
                <w:szCs w:val="24"/>
              </w:rPr>
              <w:t>Performance milestones</w:t>
            </w:r>
          </w:p>
        </w:tc>
        <w:tc>
          <w:tcPr>
            <w:tcW w:w="1275" w:type="dxa"/>
            <w:tcBorders>
              <w:bottom w:val="single" w:sz="18" w:space="0" w:color="4F81BD"/>
            </w:tcBorders>
          </w:tcPr>
          <w:p w14:paraId="6C068BAE" w14:textId="77777777" w:rsidR="00092CAF" w:rsidRPr="00E75F8F" w:rsidRDefault="00092CAF" w:rsidP="002D767A">
            <w:pPr>
              <w:pStyle w:val="Heading2"/>
              <w:rPr>
                <w:sz w:val="22"/>
                <w:szCs w:val="18"/>
              </w:rPr>
            </w:pPr>
            <w:r w:rsidRPr="00E75F8F">
              <w:rPr>
                <w:bCs w:val="0"/>
                <w:sz w:val="22"/>
                <w:szCs w:val="24"/>
              </w:rPr>
              <w:t xml:space="preserve">Report due </w:t>
            </w:r>
          </w:p>
        </w:tc>
        <w:tc>
          <w:tcPr>
            <w:tcW w:w="1273" w:type="dxa"/>
            <w:tcBorders>
              <w:bottom w:val="single" w:sz="18" w:space="0" w:color="4F81BD"/>
            </w:tcBorders>
          </w:tcPr>
          <w:p w14:paraId="5229914A" w14:textId="77777777" w:rsidR="00092CAF" w:rsidRPr="00E75F8F" w:rsidRDefault="00092CAF" w:rsidP="002D767A">
            <w:pPr>
              <w:pStyle w:val="Heading2"/>
              <w:rPr>
                <w:bCs w:val="0"/>
                <w:sz w:val="22"/>
                <w:szCs w:val="24"/>
              </w:rPr>
            </w:pPr>
            <w:r w:rsidRPr="00E75F8F">
              <w:rPr>
                <w:bCs w:val="0"/>
                <w:sz w:val="22"/>
                <w:szCs w:val="24"/>
              </w:rPr>
              <w:t>Payment</w:t>
            </w:r>
          </w:p>
        </w:tc>
      </w:tr>
      <w:tr w:rsidR="009223A9" w:rsidRPr="00C26C5B" w14:paraId="6AE7380F" w14:textId="77777777" w:rsidTr="0029030F">
        <w:trPr>
          <w:cantSplit/>
        </w:trPr>
        <w:tc>
          <w:tcPr>
            <w:tcW w:w="2400" w:type="dxa"/>
            <w:vMerge w:val="restart"/>
            <w:shd w:val="clear" w:color="auto" w:fill="DBE5F1" w:themeFill="accent1" w:themeFillTint="33"/>
          </w:tcPr>
          <w:p w14:paraId="62868FBD" w14:textId="77777777" w:rsidR="00092CAF" w:rsidRPr="006102A8" w:rsidRDefault="00092CAF" w:rsidP="002D767A">
            <w:pPr>
              <w:pStyle w:val="Heading2"/>
              <w:rPr>
                <w:b w:val="0"/>
                <w:bCs w:val="0"/>
                <w:color w:val="auto"/>
                <w:sz w:val="23"/>
                <w:szCs w:val="23"/>
              </w:rPr>
            </w:pPr>
            <w:r w:rsidRPr="0092265B">
              <w:rPr>
                <w:b w:val="0"/>
                <w:bCs w:val="0"/>
                <w:color w:val="auto"/>
                <w:sz w:val="23"/>
                <w:szCs w:val="23"/>
              </w:rPr>
              <w:t>Construction of the Mowbray River pedestrian bridge and trail works (Mowbray River to Port Douglas) – Stage 1</w:t>
            </w:r>
          </w:p>
        </w:tc>
        <w:tc>
          <w:tcPr>
            <w:tcW w:w="4820" w:type="dxa"/>
            <w:shd w:val="clear" w:color="auto" w:fill="DBE5F1" w:themeFill="accent1" w:themeFillTint="33"/>
          </w:tcPr>
          <w:p w14:paraId="5F4534A1" w14:textId="77777777" w:rsidR="00092CAF" w:rsidRPr="00C26C5B" w:rsidRDefault="00092CAF" w:rsidP="002D767A">
            <w:pPr>
              <w:pStyle w:val="Heading2"/>
              <w:rPr>
                <w:b w:val="0"/>
                <w:color w:val="auto"/>
                <w:sz w:val="23"/>
                <w:szCs w:val="23"/>
              </w:rPr>
            </w:pPr>
            <w:r w:rsidRPr="00B978BD">
              <w:rPr>
                <w:b w:val="0"/>
                <w:color w:val="auto"/>
                <w:sz w:val="23"/>
                <w:szCs w:val="23"/>
              </w:rPr>
              <w:t>Site Investigations, Design, Environmental Planning and Approvals commenced</w:t>
            </w:r>
          </w:p>
        </w:tc>
        <w:tc>
          <w:tcPr>
            <w:tcW w:w="1275" w:type="dxa"/>
            <w:shd w:val="clear" w:color="auto" w:fill="DBE5F1" w:themeFill="accent1" w:themeFillTint="33"/>
          </w:tcPr>
          <w:p w14:paraId="7D00DEB3" w14:textId="6C708EB1" w:rsidR="00092CAF" w:rsidRPr="00C26C5B" w:rsidRDefault="00092CAF" w:rsidP="00E75F8F">
            <w:pPr>
              <w:pStyle w:val="Heading2"/>
              <w:jc w:val="right"/>
              <w:rPr>
                <w:b w:val="0"/>
                <w:color w:val="auto"/>
                <w:sz w:val="23"/>
                <w:szCs w:val="23"/>
              </w:rPr>
            </w:pPr>
            <w:r w:rsidRPr="00B978BD">
              <w:rPr>
                <w:b w:val="0"/>
                <w:color w:val="auto"/>
                <w:sz w:val="23"/>
                <w:szCs w:val="23"/>
              </w:rPr>
              <w:t>3</w:t>
            </w:r>
            <w:r w:rsidR="00095478">
              <w:rPr>
                <w:b w:val="0"/>
                <w:color w:val="auto"/>
                <w:sz w:val="23"/>
                <w:szCs w:val="23"/>
              </w:rPr>
              <w:t>0</w:t>
            </w:r>
            <w:r w:rsidRPr="00B978BD">
              <w:rPr>
                <w:b w:val="0"/>
                <w:color w:val="auto"/>
                <w:sz w:val="23"/>
                <w:szCs w:val="23"/>
              </w:rPr>
              <w:t>/11/2019</w:t>
            </w:r>
          </w:p>
        </w:tc>
        <w:tc>
          <w:tcPr>
            <w:tcW w:w="1273" w:type="dxa"/>
            <w:shd w:val="clear" w:color="auto" w:fill="DBE5F1" w:themeFill="accent1" w:themeFillTint="33"/>
          </w:tcPr>
          <w:p w14:paraId="256C6D8B" w14:textId="77777777" w:rsidR="00092CAF" w:rsidRPr="00C26C5B" w:rsidRDefault="00092CAF" w:rsidP="00E75F8F">
            <w:pPr>
              <w:pStyle w:val="Heading2"/>
              <w:jc w:val="right"/>
              <w:rPr>
                <w:b w:val="0"/>
                <w:color w:val="auto"/>
                <w:sz w:val="23"/>
                <w:szCs w:val="23"/>
              </w:rPr>
            </w:pPr>
            <w:r w:rsidRPr="00C26C5B">
              <w:rPr>
                <w:b w:val="0"/>
                <w:color w:val="auto"/>
                <w:sz w:val="23"/>
                <w:szCs w:val="23"/>
              </w:rPr>
              <w:t>$</w:t>
            </w:r>
            <w:r>
              <w:rPr>
                <w:b w:val="0"/>
                <w:color w:val="auto"/>
                <w:sz w:val="23"/>
                <w:szCs w:val="23"/>
              </w:rPr>
              <w:t>1.1</w:t>
            </w:r>
            <w:r w:rsidRPr="00C26C5B">
              <w:rPr>
                <w:b w:val="0"/>
                <w:color w:val="auto"/>
                <w:sz w:val="23"/>
                <w:szCs w:val="23"/>
              </w:rPr>
              <w:t>m</w:t>
            </w:r>
          </w:p>
        </w:tc>
      </w:tr>
      <w:tr w:rsidR="009223A9" w:rsidRPr="00C26C5B" w14:paraId="401ED717" w14:textId="77777777" w:rsidTr="0029030F">
        <w:trPr>
          <w:cantSplit/>
          <w:trHeight w:val="878"/>
        </w:trPr>
        <w:tc>
          <w:tcPr>
            <w:tcW w:w="2400" w:type="dxa"/>
            <w:vMerge/>
            <w:shd w:val="clear" w:color="auto" w:fill="DBE5F1" w:themeFill="accent1" w:themeFillTint="33"/>
          </w:tcPr>
          <w:p w14:paraId="349FA420" w14:textId="77777777" w:rsidR="00092CAF" w:rsidRPr="00C26C5B" w:rsidRDefault="00092CAF" w:rsidP="002D767A">
            <w:pPr>
              <w:pStyle w:val="Heading2"/>
              <w:rPr>
                <w:b w:val="0"/>
                <w:bCs w:val="0"/>
                <w:sz w:val="23"/>
                <w:szCs w:val="23"/>
              </w:rPr>
            </w:pPr>
          </w:p>
        </w:tc>
        <w:tc>
          <w:tcPr>
            <w:tcW w:w="4820" w:type="dxa"/>
          </w:tcPr>
          <w:p w14:paraId="6B683C02" w14:textId="77777777" w:rsidR="00092CAF" w:rsidRPr="00C26C5B" w:rsidRDefault="00092CAF" w:rsidP="002D767A">
            <w:pPr>
              <w:pStyle w:val="Heading2"/>
              <w:rPr>
                <w:b w:val="0"/>
                <w:color w:val="auto"/>
                <w:sz w:val="23"/>
                <w:szCs w:val="23"/>
              </w:rPr>
            </w:pPr>
            <w:r w:rsidRPr="00B978BD">
              <w:rPr>
                <w:b w:val="0"/>
                <w:color w:val="auto"/>
                <w:sz w:val="23"/>
                <w:szCs w:val="23"/>
              </w:rPr>
              <w:t>Contracts awarded and construction commenced of the Mowbray River pedestrian bridge and associated works</w:t>
            </w:r>
          </w:p>
        </w:tc>
        <w:tc>
          <w:tcPr>
            <w:tcW w:w="1275" w:type="dxa"/>
          </w:tcPr>
          <w:p w14:paraId="18D31782" w14:textId="09298287" w:rsidR="00092CAF" w:rsidRPr="00C26C5B" w:rsidRDefault="007E032D" w:rsidP="00E75F8F">
            <w:pPr>
              <w:pStyle w:val="Heading2"/>
              <w:jc w:val="right"/>
              <w:rPr>
                <w:b w:val="0"/>
                <w:color w:val="auto"/>
                <w:sz w:val="23"/>
                <w:szCs w:val="23"/>
              </w:rPr>
            </w:pPr>
            <w:r>
              <w:rPr>
                <w:b w:val="0"/>
                <w:color w:val="auto"/>
                <w:sz w:val="23"/>
                <w:szCs w:val="23"/>
              </w:rPr>
              <w:t>30/07/2020</w:t>
            </w:r>
          </w:p>
        </w:tc>
        <w:tc>
          <w:tcPr>
            <w:tcW w:w="1273" w:type="dxa"/>
          </w:tcPr>
          <w:p w14:paraId="75399696" w14:textId="77777777" w:rsidR="00092CAF" w:rsidRPr="00C26C5B" w:rsidRDefault="00092CAF" w:rsidP="00E75F8F">
            <w:pPr>
              <w:pStyle w:val="Heading2"/>
              <w:jc w:val="right"/>
              <w:rPr>
                <w:b w:val="0"/>
                <w:color w:val="auto"/>
                <w:sz w:val="23"/>
                <w:szCs w:val="23"/>
              </w:rPr>
            </w:pPr>
            <w:r w:rsidRPr="00C26C5B">
              <w:rPr>
                <w:b w:val="0"/>
                <w:color w:val="auto"/>
                <w:sz w:val="23"/>
                <w:szCs w:val="23"/>
              </w:rPr>
              <w:t>$</w:t>
            </w:r>
            <w:r>
              <w:rPr>
                <w:b w:val="0"/>
                <w:color w:val="auto"/>
                <w:sz w:val="23"/>
                <w:szCs w:val="23"/>
              </w:rPr>
              <w:t>2.7</w:t>
            </w:r>
            <w:r w:rsidRPr="00C26C5B">
              <w:rPr>
                <w:b w:val="0"/>
                <w:color w:val="auto"/>
                <w:sz w:val="23"/>
                <w:szCs w:val="23"/>
              </w:rPr>
              <w:t>m</w:t>
            </w:r>
          </w:p>
        </w:tc>
      </w:tr>
      <w:tr w:rsidR="009223A9" w:rsidRPr="00C26C5B" w14:paraId="03C0F890" w14:textId="77777777" w:rsidTr="0029030F">
        <w:trPr>
          <w:cantSplit/>
        </w:trPr>
        <w:tc>
          <w:tcPr>
            <w:tcW w:w="2400" w:type="dxa"/>
            <w:vMerge/>
            <w:shd w:val="clear" w:color="auto" w:fill="DBE5F1" w:themeFill="accent1" w:themeFillTint="33"/>
          </w:tcPr>
          <w:p w14:paraId="3346B48C" w14:textId="77777777" w:rsidR="00092CAF" w:rsidRPr="00C26C5B" w:rsidRDefault="00092CAF" w:rsidP="002D767A">
            <w:pPr>
              <w:pStyle w:val="Heading2"/>
              <w:rPr>
                <w:b w:val="0"/>
                <w:bCs w:val="0"/>
                <w:sz w:val="23"/>
                <w:szCs w:val="23"/>
              </w:rPr>
            </w:pPr>
          </w:p>
        </w:tc>
        <w:tc>
          <w:tcPr>
            <w:tcW w:w="4820" w:type="dxa"/>
            <w:shd w:val="clear" w:color="auto" w:fill="DBE5F1" w:themeFill="accent1" w:themeFillTint="33"/>
          </w:tcPr>
          <w:p w14:paraId="3A892EBC" w14:textId="77777777" w:rsidR="00092CAF" w:rsidRDefault="00092CAF" w:rsidP="002D767A">
            <w:pPr>
              <w:pStyle w:val="Heading2"/>
              <w:rPr>
                <w:b w:val="0"/>
                <w:color w:val="auto"/>
                <w:sz w:val="23"/>
                <w:szCs w:val="23"/>
              </w:rPr>
            </w:pPr>
            <w:r w:rsidRPr="00B978BD">
              <w:rPr>
                <w:b w:val="0"/>
                <w:color w:val="auto"/>
                <w:sz w:val="23"/>
                <w:szCs w:val="23"/>
              </w:rPr>
              <w:t>Contracts awarded and construction commenced of the trail from Mowbray River north to Port Douglas</w:t>
            </w:r>
          </w:p>
        </w:tc>
        <w:tc>
          <w:tcPr>
            <w:tcW w:w="1275" w:type="dxa"/>
            <w:shd w:val="clear" w:color="auto" w:fill="DBE5F1" w:themeFill="accent1" w:themeFillTint="33"/>
          </w:tcPr>
          <w:p w14:paraId="3BD2ADE6" w14:textId="4468E643" w:rsidR="007E032D" w:rsidRPr="00E3667C" w:rsidRDefault="007E032D" w:rsidP="00E3667C">
            <w:pPr>
              <w:pStyle w:val="Heading2"/>
              <w:rPr>
                <w:b w:val="0"/>
                <w:color w:val="auto"/>
                <w:sz w:val="23"/>
                <w:szCs w:val="23"/>
              </w:rPr>
            </w:pPr>
            <w:r w:rsidRPr="00E3667C">
              <w:rPr>
                <w:b w:val="0"/>
                <w:color w:val="auto"/>
                <w:sz w:val="23"/>
                <w:szCs w:val="23"/>
              </w:rPr>
              <w:t>31/12/2020</w:t>
            </w:r>
          </w:p>
        </w:tc>
        <w:tc>
          <w:tcPr>
            <w:tcW w:w="1273" w:type="dxa"/>
            <w:shd w:val="clear" w:color="auto" w:fill="DBE5F1" w:themeFill="accent1" w:themeFillTint="33"/>
          </w:tcPr>
          <w:p w14:paraId="1C6634F6" w14:textId="77777777" w:rsidR="00092CAF" w:rsidRPr="007E032D" w:rsidRDefault="00092CAF" w:rsidP="00E75F8F">
            <w:pPr>
              <w:pStyle w:val="Heading2"/>
              <w:jc w:val="right"/>
              <w:rPr>
                <w:b w:val="0"/>
                <w:color w:val="auto"/>
                <w:sz w:val="23"/>
                <w:szCs w:val="23"/>
              </w:rPr>
            </w:pPr>
            <w:r w:rsidRPr="007E032D">
              <w:rPr>
                <w:b w:val="0"/>
                <w:color w:val="auto"/>
                <w:sz w:val="23"/>
                <w:szCs w:val="23"/>
              </w:rPr>
              <w:t>$1.15m</w:t>
            </w:r>
          </w:p>
        </w:tc>
      </w:tr>
      <w:tr w:rsidR="009223A9" w:rsidRPr="00C26C5B" w14:paraId="1CDC223C" w14:textId="77777777" w:rsidTr="0029030F">
        <w:trPr>
          <w:cantSplit/>
        </w:trPr>
        <w:tc>
          <w:tcPr>
            <w:tcW w:w="2400" w:type="dxa"/>
            <w:vMerge/>
            <w:shd w:val="clear" w:color="auto" w:fill="DBE5F1" w:themeFill="accent1" w:themeFillTint="33"/>
          </w:tcPr>
          <w:p w14:paraId="667BB9C2" w14:textId="77777777" w:rsidR="00092CAF" w:rsidRPr="00C26C5B" w:rsidRDefault="00092CAF" w:rsidP="002D767A">
            <w:pPr>
              <w:pStyle w:val="Heading2"/>
              <w:rPr>
                <w:b w:val="0"/>
                <w:bCs w:val="0"/>
                <w:sz w:val="23"/>
                <w:szCs w:val="23"/>
              </w:rPr>
            </w:pPr>
          </w:p>
        </w:tc>
        <w:tc>
          <w:tcPr>
            <w:tcW w:w="4820" w:type="dxa"/>
          </w:tcPr>
          <w:p w14:paraId="3392242A" w14:textId="77777777" w:rsidR="00092CAF" w:rsidRDefault="00092CAF" w:rsidP="002D767A">
            <w:pPr>
              <w:pStyle w:val="Heading2"/>
              <w:rPr>
                <w:b w:val="0"/>
                <w:color w:val="auto"/>
                <w:sz w:val="23"/>
                <w:szCs w:val="23"/>
              </w:rPr>
            </w:pPr>
            <w:r w:rsidRPr="00B978BD">
              <w:rPr>
                <w:b w:val="0"/>
                <w:color w:val="auto"/>
                <w:sz w:val="23"/>
                <w:szCs w:val="23"/>
              </w:rPr>
              <w:t>Construction completed for the trail from Mowbray River to Palm Cove and the pedestr</w:t>
            </w:r>
            <w:r>
              <w:rPr>
                <w:b w:val="0"/>
                <w:color w:val="auto"/>
                <w:sz w:val="23"/>
                <w:szCs w:val="23"/>
              </w:rPr>
              <w:t>ian bridge and associated works</w:t>
            </w:r>
          </w:p>
        </w:tc>
        <w:tc>
          <w:tcPr>
            <w:tcW w:w="1275" w:type="dxa"/>
          </w:tcPr>
          <w:p w14:paraId="08822D30" w14:textId="77777777" w:rsidR="00092CAF" w:rsidRPr="00C26C5B" w:rsidRDefault="00092CAF" w:rsidP="00E75F8F">
            <w:pPr>
              <w:pStyle w:val="Heading2"/>
              <w:jc w:val="right"/>
              <w:rPr>
                <w:b w:val="0"/>
                <w:color w:val="auto"/>
                <w:sz w:val="23"/>
                <w:szCs w:val="23"/>
              </w:rPr>
            </w:pPr>
            <w:r>
              <w:rPr>
                <w:b w:val="0"/>
                <w:color w:val="auto"/>
                <w:sz w:val="23"/>
                <w:szCs w:val="23"/>
              </w:rPr>
              <w:t>01/04/2022</w:t>
            </w:r>
          </w:p>
        </w:tc>
        <w:tc>
          <w:tcPr>
            <w:tcW w:w="1273" w:type="dxa"/>
          </w:tcPr>
          <w:p w14:paraId="050C3A52" w14:textId="77777777" w:rsidR="00092CAF" w:rsidRPr="00C26C5B" w:rsidRDefault="00092CAF" w:rsidP="00E75F8F">
            <w:pPr>
              <w:pStyle w:val="Heading2"/>
              <w:jc w:val="right"/>
              <w:rPr>
                <w:b w:val="0"/>
                <w:color w:val="auto"/>
                <w:sz w:val="23"/>
                <w:szCs w:val="23"/>
              </w:rPr>
            </w:pPr>
            <w:r w:rsidRPr="00C26C5B">
              <w:rPr>
                <w:b w:val="0"/>
                <w:color w:val="auto"/>
                <w:sz w:val="23"/>
                <w:szCs w:val="23"/>
              </w:rPr>
              <w:t>$</w:t>
            </w:r>
            <w:r>
              <w:rPr>
                <w:b w:val="0"/>
                <w:color w:val="auto"/>
                <w:sz w:val="23"/>
                <w:szCs w:val="23"/>
              </w:rPr>
              <w:t>0.5</w:t>
            </w:r>
            <w:r w:rsidRPr="00C26C5B">
              <w:rPr>
                <w:b w:val="0"/>
                <w:color w:val="auto"/>
                <w:sz w:val="23"/>
                <w:szCs w:val="23"/>
              </w:rPr>
              <w:t>m</w:t>
            </w:r>
          </w:p>
        </w:tc>
      </w:tr>
      <w:tr w:rsidR="009223A9" w:rsidRPr="00C26C5B" w14:paraId="3452D735" w14:textId="77777777" w:rsidTr="0029030F">
        <w:trPr>
          <w:cantSplit/>
        </w:trPr>
        <w:tc>
          <w:tcPr>
            <w:tcW w:w="2400" w:type="dxa"/>
            <w:vMerge w:val="restart"/>
          </w:tcPr>
          <w:p w14:paraId="6C8910D9" w14:textId="77777777" w:rsidR="00092CAF" w:rsidRPr="00537450" w:rsidRDefault="00092CAF" w:rsidP="002D767A">
            <w:pPr>
              <w:pStyle w:val="Heading2"/>
              <w:rPr>
                <w:b w:val="0"/>
                <w:bCs w:val="0"/>
                <w:color w:val="auto"/>
                <w:sz w:val="23"/>
                <w:szCs w:val="23"/>
              </w:rPr>
            </w:pPr>
            <w:r w:rsidRPr="00B978BD">
              <w:rPr>
                <w:b w:val="0"/>
                <w:bCs w:val="0"/>
                <w:color w:val="auto"/>
                <w:sz w:val="23"/>
                <w:szCs w:val="23"/>
              </w:rPr>
              <w:t xml:space="preserve">Construction of part of the remaining trail (Mowbray River south to Palm Cove, via </w:t>
            </w:r>
            <w:proofErr w:type="spellStart"/>
            <w:r w:rsidRPr="00B978BD">
              <w:rPr>
                <w:b w:val="0"/>
                <w:bCs w:val="0"/>
                <w:color w:val="auto"/>
                <w:sz w:val="23"/>
                <w:szCs w:val="23"/>
              </w:rPr>
              <w:t>Wangetti</w:t>
            </w:r>
            <w:proofErr w:type="spellEnd"/>
            <w:r w:rsidRPr="00B978BD">
              <w:rPr>
                <w:b w:val="0"/>
                <w:bCs w:val="0"/>
                <w:color w:val="auto"/>
                <w:sz w:val="23"/>
                <w:szCs w:val="23"/>
              </w:rPr>
              <w:t>) – Stage 2</w:t>
            </w:r>
          </w:p>
        </w:tc>
        <w:tc>
          <w:tcPr>
            <w:tcW w:w="4820" w:type="dxa"/>
            <w:shd w:val="clear" w:color="auto" w:fill="DBE5F1" w:themeFill="accent1" w:themeFillTint="33"/>
          </w:tcPr>
          <w:p w14:paraId="61583770" w14:textId="77777777" w:rsidR="00092CAF" w:rsidRPr="00EE7D29" w:rsidRDefault="00092CAF" w:rsidP="002D767A">
            <w:pPr>
              <w:pStyle w:val="Heading2"/>
              <w:rPr>
                <w:b w:val="0"/>
                <w:color w:val="auto"/>
                <w:sz w:val="23"/>
                <w:szCs w:val="23"/>
              </w:rPr>
            </w:pPr>
            <w:r w:rsidRPr="00B978BD">
              <w:rPr>
                <w:b w:val="0"/>
                <w:color w:val="auto"/>
                <w:sz w:val="23"/>
                <w:szCs w:val="23"/>
              </w:rPr>
              <w:t xml:space="preserve">Contract awarded and construction commenced for the trail </w:t>
            </w:r>
            <w:r>
              <w:rPr>
                <w:b w:val="0"/>
                <w:color w:val="auto"/>
                <w:sz w:val="23"/>
                <w:szCs w:val="23"/>
              </w:rPr>
              <w:t>(</w:t>
            </w:r>
            <w:r w:rsidRPr="00B978BD">
              <w:rPr>
                <w:b w:val="0"/>
                <w:color w:val="auto"/>
                <w:sz w:val="23"/>
                <w:szCs w:val="23"/>
              </w:rPr>
              <w:t>Mowbray River south to Palm Cove</w:t>
            </w:r>
            <w:r>
              <w:rPr>
                <w:b w:val="0"/>
                <w:color w:val="auto"/>
                <w:sz w:val="23"/>
                <w:szCs w:val="23"/>
              </w:rPr>
              <w:t>)</w:t>
            </w:r>
          </w:p>
        </w:tc>
        <w:tc>
          <w:tcPr>
            <w:tcW w:w="1275" w:type="dxa"/>
            <w:shd w:val="clear" w:color="auto" w:fill="DBE5F1" w:themeFill="accent1" w:themeFillTint="33"/>
          </w:tcPr>
          <w:p w14:paraId="10539F07" w14:textId="77777777" w:rsidR="00092CAF" w:rsidRPr="00C26C5B" w:rsidRDefault="00092CAF" w:rsidP="00E75F8F">
            <w:pPr>
              <w:pStyle w:val="Heading2"/>
              <w:jc w:val="right"/>
              <w:rPr>
                <w:b w:val="0"/>
                <w:color w:val="auto"/>
                <w:sz w:val="23"/>
                <w:szCs w:val="23"/>
              </w:rPr>
            </w:pPr>
            <w:r w:rsidRPr="00B978BD">
              <w:rPr>
                <w:b w:val="0"/>
                <w:color w:val="auto"/>
                <w:sz w:val="23"/>
                <w:szCs w:val="23"/>
              </w:rPr>
              <w:t>31/10/2020</w:t>
            </w:r>
          </w:p>
        </w:tc>
        <w:tc>
          <w:tcPr>
            <w:tcW w:w="1273" w:type="dxa"/>
            <w:shd w:val="clear" w:color="auto" w:fill="DBE5F1" w:themeFill="accent1" w:themeFillTint="33"/>
          </w:tcPr>
          <w:p w14:paraId="73089320" w14:textId="77777777" w:rsidR="00092CAF" w:rsidRPr="00C26C5B" w:rsidRDefault="00092CAF" w:rsidP="00E75F8F">
            <w:pPr>
              <w:pStyle w:val="Heading2"/>
              <w:jc w:val="right"/>
              <w:rPr>
                <w:b w:val="0"/>
                <w:color w:val="auto"/>
                <w:sz w:val="23"/>
                <w:szCs w:val="23"/>
              </w:rPr>
            </w:pPr>
            <w:r w:rsidRPr="00B978BD">
              <w:rPr>
                <w:b w:val="0"/>
                <w:color w:val="auto"/>
                <w:sz w:val="23"/>
                <w:szCs w:val="23"/>
              </w:rPr>
              <w:t>$1.6m</w:t>
            </w:r>
          </w:p>
        </w:tc>
      </w:tr>
      <w:tr w:rsidR="009223A9" w:rsidRPr="00C26C5B" w14:paraId="0DD0D70A" w14:textId="77777777" w:rsidTr="0029030F">
        <w:trPr>
          <w:cantSplit/>
        </w:trPr>
        <w:tc>
          <w:tcPr>
            <w:tcW w:w="2400" w:type="dxa"/>
            <w:vMerge/>
          </w:tcPr>
          <w:p w14:paraId="671C0B5D" w14:textId="77777777" w:rsidR="00092CAF" w:rsidRPr="00537450" w:rsidRDefault="00092CAF" w:rsidP="002D767A">
            <w:pPr>
              <w:pStyle w:val="Heading2"/>
              <w:rPr>
                <w:b w:val="0"/>
                <w:color w:val="auto"/>
                <w:sz w:val="23"/>
                <w:szCs w:val="23"/>
              </w:rPr>
            </w:pPr>
          </w:p>
        </w:tc>
        <w:tc>
          <w:tcPr>
            <w:tcW w:w="4820" w:type="dxa"/>
          </w:tcPr>
          <w:p w14:paraId="39ECEE2A" w14:textId="77777777" w:rsidR="00092CAF" w:rsidRDefault="00092CAF" w:rsidP="002D767A">
            <w:pPr>
              <w:pStyle w:val="Heading2"/>
              <w:rPr>
                <w:b w:val="0"/>
                <w:color w:val="auto"/>
                <w:sz w:val="23"/>
                <w:szCs w:val="23"/>
              </w:rPr>
            </w:pPr>
            <w:r w:rsidRPr="00B978BD">
              <w:rPr>
                <w:b w:val="0"/>
                <w:color w:val="auto"/>
                <w:sz w:val="23"/>
                <w:szCs w:val="23"/>
              </w:rPr>
              <w:t>Construction completed for part of the trail (Mowbray River south to Palm Cove)</w:t>
            </w:r>
          </w:p>
        </w:tc>
        <w:tc>
          <w:tcPr>
            <w:tcW w:w="1275" w:type="dxa"/>
          </w:tcPr>
          <w:p w14:paraId="51799301" w14:textId="43FE123E" w:rsidR="00092CAF" w:rsidRDefault="009223A9" w:rsidP="00E75F8F">
            <w:pPr>
              <w:pStyle w:val="Heading2"/>
              <w:jc w:val="right"/>
              <w:rPr>
                <w:b w:val="0"/>
                <w:color w:val="auto"/>
                <w:sz w:val="23"/>
                <w:szCs w:val="23"/>
              </w:rPr>
            </w:pPr>
            <w:r>
              <w:rPr>
                <w:b w:val="0"/>
                <w:color w:val="auto"/>
                <w:sz w:val="23"/>
                <w:szCs w:val="23"/>
              </w:rPr>
              <w:t>0</w:t>
            </w:r>
            <w:r w:rsidR="00092CAF" w:rsidRPr="00B978BD">
              <w:rPr>
                <w:b w:val="0"/>
                <w:color w:val="auto"/>
                <w:sz w:val="23"/>
                <w:szCs w:val="23"/>
              </w:rPr>
              <w:t>1/04/2022</w:t>
            </w:r>
          </w:p>
        </w:tc>
        <w:tc>
          <w:tcPr>
            <w:tcW w:w="1273" w:type="dxa"/>
          </w:tcPr>
          <w:p w14:paraId="40096DB9" w14:textId="77777777" w:rsidR="00092CAF" w:rsidRPr="00C26C5B" w:rsidRDefault="00092CAF" w:rsidP="00E75F8F">
            <w:pPr>
              <w:pStyle w:val="Heading2"/>
              <w:jc w:val="right"/>
              <w:rPr>
                <w:b w:val="0"/>
                <w:color w:val="auto"/>
                <w:sz w:val="23"/>
                <w:szCs w:val="23"/>
              </w:rPr>
            </w:pPr>
            <w:r>
              <w:rPr>
                <w:b w:val="0"/>
                <w:color w:val="auto"/>
                <w:sz w:val="23"/>
                <w:szCs w:val="23"/>
              </w:rPr>
              <w:t>$0.5m</w:t>
            </w:r>
          </w:p>
        </w:tc>
      </w:tr>
      <w:tr w:rsidR="009223A9" w:rsidRPr="00C26C5B" w14:paraId="7745D9F9" w14:textId="77777777" w:rsidTr="0029030F">
        <w:trPr>
          <w:cantSplit/>
        </w:trPr>
        <w:tc>
          <w:tcPr>
            <w:tcW w:w="2400" w:type="dxa"/>
            <w:vMerge w:val="restart"/>
            <w:shd w:val="clear" w:color="auto" w:fill="DBE5F1" w:themeFill="accent1" w:themeFillTint="33"/>
          </w:tcPr>
          <w:p w14:paraId="0C21F531" w14:textId="77777777" w:rsidR="009223A9" w:rsidRPr="00537450" w:rsidRDefault="009223A9" w:rsidP="002D767A">
            <w:pPr>
              <w:pStyle w:val="Heading2"/>
              <w:rPr>
                <w:b w:val="0"/>
                <w:color w:val="auto"/>
                <w:sz w:val="23"/>
                <w:szCs w:val="23"/>
              </w:rPr>
            </w:pPr>
            <w:r>
              <w:rPr>
                <w:b w:val="0"/>
                <w:color w:val="auto"/>
                <w:sz w:val="23"/>
                <w:szCs w:val="23"/>
              </w:rPr>
              <w:t xml:space="preserve">Advancement of Indigenous </w:t>
            </w:r>
            <w:r w:rsidRPr="00B978BD">
              <w:rPr>
                <w:b w:val="0"/>
                <w:color w:val="auto"/>
                <w:sz w:val="23"/>
                <w:szCs w:val="23"/>
              </w:rPr>
              <w:t xml:space="preserve">participation on the </w:t>
            </w:r>
            <w:proofErr w:type="spellStart"/>
            <w:r w:rsidRPr="00B978BD">
              <w:rPr>
                <w:b w:val="0"/>
                <w:color w:val="auto"/>
                <w:sz w:val="23"/>
                <w:szCs w:val="23"/>
              </w:rPr>
              <w:t>Wangetti</w:t>
            </w:r>
            <w:proofErr w:type="spellEnd"/>
            <w:r w:rsidRPr="00B978BD">
              <w:rPr>
                <w:b w:val="0"/>
                <w:color w:val="auto"/>
                <w:sz w:val="23"/>
                <w:szCs w:val="23"/>
              </w:rPr>
              <w:t xml:space="preserve"> Trail</w:t>
            </w:r>
          </w:p>
        </w:tc>
        <w:tc>
          <w:tcPr>
            <w:tcW w:w="4820" w:type="dxa"/>
            <w:shd w:val="clear" w:color="auto" w:fill="DBE5F1" w:themeFill="accent1" w:themeFillTint="33"/>
          </w:tcPr>
          <w:p w14:paraId="0DC82143" w14:textId="77777777" w:rsidR="009223A9" w:rsidRDefault="009223A9" w:rsidP="002D767A">
            <w:pPr>
              <w:pStyle w:val="Heading2"/>
              <w:rPr>
                <w:b w:val="0"/>
                <w:color w:val="auto"/>
                <w:sz w:val="23"/>
                <w:szCs w:val="23"/>
              </w:rPr>
            </w:pPr>
            <w:r w:rsidRPr="00B978BD">
              <w:rPr>
                <w:b w:val="0"/>
                <w:color w:val="auto"/>
                <w:sz w:val="23"/>
                <w:szCs w:val="23"/>
              </w:rPr>
              <w:t>Mowbray River Pedestrian Bridg</w:t>
            </w:r>
            <w:r>
              <w:rPr>
                <w:b w:val="0"/>
                <w:color w:val="auto"/>
                <w:sz w:val="23"/>
                <w:szCs w:val="23"/>
              </w:rPr>
              <w:t>e and associated works - Stage 1:</w:t>
            </w:r>
          </w:p>
          <w:p w14:paraId="51B0AD41" w14:textId="77777777" w:rsidR="009223A9" w:rsidRDefault="009223A9" w:rsidP="002D767A">
            <w:pPr>
              <w:pStyle w:val="Heading2"/>
              <w:numPr>
                <w:ilvl w:val="0"/>
                <w:numId w:val="23"/>
              </w:numPr>
              <w:rPr>
                <w:b w:val="0"/>
                <w:color w:val="auto"/>
                <w:sz w:val="23"/>
                <w:szCs w:val="23"/>
              </w:rPr>
            </w:pPr>
            <w:r w:rsidRPr="00B978BD">
              <w:rPr>
                <w:b w:val="0"/>
                <w:color w:val="auto"/>
                <w:sz w:val="23"/>
                <w:szCs w:val="23"/>
              </w:rPr>
              <w:t>Cultural Heritage Protocol in place</w:t>
            </w:r>
          </w:p>
        </w:tc>
        <w:tc>
          <w:tcPr>
            <w:tcW w:w="1275" w:type="dxa"/>
            <w:shd w:val="clear" w:color="auto" w:fill="DBE5F1" w:themeFill="accent1" w:themeFillTint="33"/>
          </w:tcPr>
          <w:p w14:paraId="01F36D02" w14:textId="77777777" w:rsidR="009223A9" w:rsidRDefault="009223A9" w:rsidP="00E75F8F">
            <w:pPr>
              <w:pStyle w:val="Heading2"/>
              <w:jc w:val="right"/>
              <w:rPr>
                <w:b w:val="0"/>
                <w:color w:val="auto"/>
                <w:sz w:val="23"/>
                <w:szCs w:val="23"/>
              </w:rPr>
            </w:pPr>
            <w:r w:rsidRPr="00B978BD">
              <w:rPr>
                <w:b w:val="0"/>
                <w:color w:val="auto"/>
                <w:sz w:val="23"/>
                <w:szCs w:val="23"/>
              </w:rPr>
              <w:t>30/11/2019</w:t>
            </w:r>
          </w:p>
        </w:tc>
        <w:tc>
          <w:tcPr>
            <w:tcW w:w="1273" w:type="dxa"/>
            <w:shd w:val="clear" w:color="auto" w:fill="DBE5F1" w:themeFill="accent1" w:themeFillTint="33"/>
          </w:tcPr>
          <w:p w14:paraId="72A9A9C2" w14:textId="77777777" w:rsidR="009223A9" w:rsidRPr="00C26C5B" w:rsidRDefault="009223A9" w:rsidP="00E75F8F">
            <w:pPr>
              <w:pStyle w:val="Heading2"/>
              <w:jc w:val="right"/>
              <w:rPr>
                <w:b w:val="0"/>
                <w:color w:val="auto"/>
                <w:sz w:val="23"/>
                <w:szCs w:val="23"/>
              </w:rPr>
            </w:pPr>
            <w:r w:rsidRPr="00B978BD">
              <w:rPr>
                <w:b w:val="0"/>
                <w:color w:val="auto"/>
                <w:sz w:val="23"/>
                <w:szCs w:val="23"/>
              </w:rPr>
              <w:t>$0.05m</w:t>
            </w:r>
          </w:p>
        </w:tc>
      </w:tr>
      <w:tr w:rsidR="009223A9" w:rsidRPr="00C26C5B" w14:paraId="4A22E769" w14:textId="77777777" w:rsidTr="0029030F">
        <w:trPr>
          <w:cantSplit/>
        </w:trPr>
        <w:tc>
          <w:tcPr>
            <w:tcW w:w="2400" w:type="dxa"/>
            <w:vMerge/>
            <w:shd w:val="clear" w:color="auto" w:fill="DBE5F1" w:themeFill="accent1" w:themeFillTint="33"/>
          </w:tcPr>
          <w:p w14:paraId="6E71D2E5" w14:textId="77777777" w:rsidR="009223A9" w:rsidRDefault="009223A9" w:rsidP="0076643E">
            <w:pPr>
              <w:pStyle w:val="Heading2"/>
              <w:rPr>
                <w:b w:val="0"/>
                <w:color w:val="auto"/>
                <w:sz w:val="23"/>
                <w:szCs w:val="23"/>
              </w:rPr>
            </w:pPr>
          </w:p>
        </w:tc>
        <w:tc>
          <w:tcPr>
            <w:tcW w:w="4820" w:type="dxa"/>
          </w:tcPr>
          <w:p w14:paraId="66661902" w14:textId="77777777" w:rsidR="009223A9" w:rsidRDefault="009223A9" w:rsidP="0076643E">
            <w:pPr>
              <w:pStyle w:val="Heading2"/>
              <w:rPr>
                <w:b w:val="0"/>
                <w:color w:val="auto"/>
                <w:sz w:val="23"/>
                <w:szCs w:val="23"/>
              </w:rPr>
            </w:pPr>
            <w:r>
              <w:rPr>
                <w:b w:val="0"/>
                <w:color w:val="auto"/>
                <w:sz w:val="23"/>
                <w:szCs w:val="23"/>
              </w:rPr>
              <w:t>For Stages 1 and 2:</w:t>
            </w:r>
          </w:p>
          <w:p w14:paraId="75DA4574" w14:textId="711CDC6E" w:rsidR="009223A9" w:rsidRPr="00A756F4" w:rsidRDefault="009223A9" w:rsidP="0029030F">
            <w:pPr>
              <w:pStyle w:val="Heading2"/>
              <w:numPr>
                <w:ilvl w:val="0"/>
                <w:numId w:val="23"/>
              </w:numPr>
              <w:rPr>
                <w:b w:val="0"/>
                <w:color w:val="auto"/>
                <w:sz w:val="23"/>
                <w:szCs w:val="23"/>
              </w:rPr>
            </w:pPr>
            <w:r w:rsidRPr="000D33BE">
              <w:rPr>
                <w:b w:val="0"/>
                <w:color w:val="auto"/>
                <w:sz w:val="23"/>
                <w:szCs w:val="23"/>
              </w:rPr>
              <w:t xml:space="preserve">Workshops and meetings facilitated with Traditional Owner Groups to negotiate </w:t>
            </w:r>
            <w:r w:rsidR="00383B08">
              <w:rPr>
                <w:b w:val="0"/>
                <w:color w:val="auto"/>
                <w:sz w:val="23"/>
                <w:szCs w:val="23"/>
              </w:rPr>
              <w:t>t</w:t>
            </w:r>
            <w:r w:rsidRPr="000D33BE">
              <w:rPr>
                <w:b w:val="0"/>
                <w:color w:val="auto"/>
                <w:sz w:val="23"/>
                <w:szCs w:val="23"/>
              </w:rPr>
              <w:t>erms of the Cultural Heritage Agreement</w:t>
            </w:r>
            <w:r>
              <w:rPr>
                <w:b w:val="0"/>
                <w:color w:val="auto"/>
                <w:sz w:val="23"/>
                <w:szCs w:val="23"/>
              </w:rPr>
              <w:t xml:space="preserve">s, </w:t>
            </w:r>
            <w:r w:rsidRPr="000D33BE">
              <w:rPr>
                <w:b w:val="0"/>
                <w:color w:val="auto"/>
                <w:sz w:val="23"/>
                <w:szCs w:val="23"/>
              </w:rPr>
              <w:t>Indigenous Land Use Agreement</w:t>
            </w:r>
            <w:r>
              <w:rPr>
                <w:b w:val="0"/>
                <w:color w:val="auto"/>
                <w:sz w:val="23"/>
                <w:szCs w:val="23"/>
              </w:rPr>
              <w:t>s,</w:t>
            </w:r>
            <w:r w:rsidRPr="000D33BE">
              <w:rPr>
                <w:b w:val="0"/>
                <w:color w:val="auto"/>
                <w:sz w:val="23"/>
                <w:szCs w:val="23"/>
              </w:rPr>
              <w:t xml:space="preserve"> </w:t>
            </w:r>
            <w:r w:rsidR="00383B08">
              <w:rPr>
                <w:b w:val="0"/>
                <w:color w:val="auto"/>
                <w:sz w:val="23"/>
                <w:szCs w:val="23"/>
              </w:rPr>
              <w:t>and d</w:t>
            </w:r>
            <w:r w:rsidRPr="000D33BE">
              <w:rPr>
                <w:b w:val="0"/>
                <w:color w:val="auto"/>
                <w:sz w:val="23"/>
                <w:szCs w:val="23"/>
              </w:rPr>
              <w:t>evelop business opportunities associated with the co</w:t>
            </w:r>
            <w:r w:rsidR="00383B08">
              <w:rPr>
                <w:b w:val="0"/>
                <w:color w:val="auto"/>
                <w:sz w:val="23"/>
                <w:szCs w:val="23"/>
              </w:rPr>
              <w:t xml:space="preserve">nstruction and the operation of </w:t>
            </w:r>
            <w:r w:rsidRPr="000D33BE">
              <w:rPr>
                <w:b w:val="0"/>
                <w:color w:val="auto"/>
                <w:sz w:val="23"/>
                <w:szCs w:val="23"/>
              </w:rPr>
              <w:t>the trail</w:t>
            </w:r>
          </w:p>
          <w:p w14:paraId="51A76A47" w14:textId="77777777" w:rsidR="009223A9" w:rsidRPr="000D33BE" w:rsidRDefault="009223A9" w:rsidP="0029030F">
            <w:pPr>
              <w:pStyle w:val="Heading2"/>
              <w:numPr>
                <w:ilvl w:val="0"/>
                <w:numId w:val="23"/>
              </w:numPr>
              <w:rPr>
                <w:b w:val="0"/>
                <w:color w:val="auto"/>
                <w:sz w:val="23"/>
                <w:szCs w:val="23"/>
              </w:rPr>
            </w:pPr>
            <w:r w:rsidRPr="000D33BE">
              <w:rPr>
                <w:b w:val="0"/>
                <w:color w:val="auto"/>
                <w:sz w:val="23"/>
                <w:szCs w:val="23"/>
              </w:rPr>
              <w:t>Cultural Heritage Agreement</w:t>
            </w:r>
            <w:r>
              <w:rPr>
                <w:b w:val="0"/>
                <w:color w:val="auto"/>
                <w:sz w:val="23"/>
                <w:szCs w:val="23"/>
              </w:rPr>
              <w:t>s</w:t>
            </w:r>
            <w:r w:rsidRPr="000D33BE">
              <w:rPr>
                <w:b w:val="0"/>
                <w:color w:val="auto"/>
                <w:sz w:val="23"/>
                <w:szCs w:val="23"/>
              </w:rPr>
              <w:t xml:space="preserve"> signed and lodged</w:t>
            </w:r>
          </w:p>
          <w:p w14:paraId="1FB47C13" w14:textId="187C234F" w:rsidR="009223A9" w:rsidRPr="00B978BD" w:rsidRDefault="009223A9" w:rsidP="0029030F">
            <w:pPr>
              <w:pStyle w:val="Heading2"/>
              <w:numPr>
                <w:ilvl w:val="0"/>
                <w:numId w:val="23"/>
              </w:numPr>
              <w:rPr>
                <w:b w:val="0"/>
                <w:color w:val="auto"/>
                <w:sz w:val="23"/>
                <w:szCs w:val="23"/>
              </w:rPr>
            </w:pPr>
            <w:r w:rsidRPr="000D33BE">
              <w:rPr>
                <w:b w:val="0"/>
                <w:color w:val="auto"/>
                <w:sz w:val="23"/>
                <w:szCs w:val="23"/>
              </w:rPr>
              <w:t>Indigenous Land Use Agreement</w:t>
            </w:r>
            <w:r>
              <w:rPr>
                <w:b w:val="0"/>
                <w:color w:val="auto"/>
                <w:sz w:val="23"/>
                <w:szCs w:val="23"/>
              </w:rPr>
              <w:t>s</w:t>
            </w:r>
            <w:r w:rsidRPr="000D33BE">
              <w:rPr>
                <w:b w:val="0"/>
                <w:color w:val="auto"/>
                <w:sz w:val="23"/>
                <w:szCs w:val="23"/>
              </w:rPr>
              <w:t xml:space="preserve"> signed and lodged</w:t>
            </w:r>
          </w:p>
        </w:tc>
        <w:tc>
          <w:tcPr>
            <w:tcW w:w="1275" w:type="dxa"/>
          </w:tcPr>
          <w:p w14:paraId="6A08B97F" w14:textId="44FE9DBE" w:rsidR="009223A9" w:rsidRPr="00B978BD" w:rsidRDefault="009223A9" w:rsidP="00E75F8F">
            <w:pPr>
              <w:pStyle w:val="Heading2"/>
              <w:jc w:val="right"/>
              <w:rPr>
                <w:b w:val="0"/>
                <w:color w:val="auto"/>
                <w:sz w:val="23"/>
                <w:szCs w:val="23"/>
              </w:rPr>
            </w:pPr>
            <w:r>
              <w:rPr>
                <w:b w:val="0"/>
                <w:color w:val="auto"/>
                <w:sz w:val="23"/>
                <w:szCs w:val="23"/>
              </w:rPr>
              <w:t>01/</w:t>
            </w:r>
            <w:r w:rsidR="0079527D">
              <w:rPr>
                <w:b w:val="0"/>
                <w:color w:val="auto"/>
                <w:sz w:val="23"/>
                <w:szCs w:val="23"/>
              </w:rPr>
              <w:t>0</w:t>
            </w:r>
            <w:r>
              <w:rPr>
                <w:b w:val="0"/>
                <w:color w:val="auto"/>
                <w:sz w:val="23"/>
                <w:szCs w:val="23"/>
              </w:rPr>
              <w:t>4/2020</w:t>
            </w:r>
          </w:p>
        </w:tc>
        <w:tc>
          <w:tcPr>
            <w:tcW w:w="1273" w:type="dxa"/>
          </w:tcPr>
          <w:p w14:paraId="6BC119BF" w14:textId="00D26C89" w:rsidR="009223A9" w:rsidRPr="00B978BD" w:rsidRDefault="009223A9" w:rsidP="00E75F8F">
            <w:pPr>
              <w:pStyle w:val="Heading2"/>
              <w:jc w:val="right"/>
              <w:rPr>
                <w:b w:val="0"/>
                <w:color w:val="auto"/>
                <w:sz w:val="23"/>
                <w:szCs w:val="23"/>
              </w:rPr>
            </w:pPr>
            <w:r>
              <w:rPr>
                <w:b w:val="0"/>
                <w:color w:val="auto"/>
                <w:sz w:val="23"/>
                <w:szCs w:val="23"/>
              </w:rPr>
              <w:t>$0.2m</w:t>
            </w:r>
          </w:p>
        </w:tc>
      </w:tr>
      <w:tr w:rsidR="00E75F8F" w:rsidRPr="00C26C5B" w14:paraId="018B7345" w14:textId="77777777" w:rsidTr="0029030F">
        <w:trPr>
          <w:cantSplit/>
        </w:trPr>
        <w:tc>
          <w:tcPr>
            <w:tcW w:w="2400" w:type="dxa"/>
            <w:shd w:val="clear" w:color="auto" w:fill="DBE5F1" w:themeFill="accent1" w:themeFillTint="33"/>
          </w:tcPr>
          <w:p w14:paraId="23C1A85D" w14:textId="77777777" w:rsidR="00E75F8F" w:rsidRDefault="00E75F8F" w:rsidP="0076643E">
            <w:pPr>
              <w:pStyle w:val="Heading2"/>
              <w:rPr>
                <w:b w:val="0"/>
                <w:color w:val="auto"/>
                <w:sz w:val="23"/>
                <w:szCs w:val="23"/>
              </w:rPr>
            </w:pPr>
          </w:p>
        </w:tc>
        <w:tc>
          <w:tcPr>
            <w:tcW w:w="4820" w:type="dxa"/>
          </w:tcPr>
          <w:p w14:paraId="0EAE6434" w14:textId="77777777" w:rsidR="00E75F8F" w:rsidRPr="00E75F8F" w:rsidRDefault="00E75F8F" w:rsidP="00E75F8F">
            <w:pPr>
              <w:pStyle w:val="Heading2"/>
              <w:rPr>
                <w:b w:val="0"/>
                <w:color w:val="auto"/>
                <w:sz w:val="23"/>
                <w:szCs w:val="23"/>
              </w:rPr>
            </w:pPr>
            <w:r w:rsidRPr="00E75F8F">
              <w:rPr>
                <w:b w:val="0"/>
                <w:color w:val="auto"/>
                <w:sz w:val="23"/>
                <w:szCs w:val="23"/>
              </w:rPr>
              <w:t>For Stage 2:</w:t>
            </w:r>
          </w:p>
          <w:p w14:paraId="5764BFB7" w14:textId="5346DA28" w:rsidR="00E75F8F" w:rsidRDefault="00E75F8F" w:rsidP="0029030F">
            <w:pPr>
              <w:pStyle w:val="Heading2"/>
              <w:numPr>
                <w:ilvl w:val="0"/>
                <w:numId w:val="23"/>
              </w:numPr>
              <w:rPr>
                <w:b w:val="0"/>
                <w:color w:val="auto"/>
                <w:sz w:val="23"/>
                <w:szCs w:val="23"/>
              </w:rPr>
            </w:pPr>
            <w:r w:rsidRPr="00E75F8F">
              <w:rPr>
                <w:b w:val="0"/>
                <w:color w:val="auto"/>
                <w:sz w:val="23"/>
                <w:szCs w:val="23"/>
              </w:rPr>
              <w:t>Private Operator transaction process commenced with involvement of Traditional Owner Groups, including facilitation of meetings with bidding private sector operators</w:t>
            </w:r>
          </w:p>
        </w:tc>
        <w:tc>
          <w:tcPr>
            <w:tcW w:w="1275" w:type="dxa"/>
          </w:tcPr>
          <w:p w14:paraId="4F1BB7B5" w14:textId="03415093" w:rsidR="00E75F8F" w:rsidRPr="00E3667C" w:rsidRDefault="0029030F" w:rsidP="00E75F8F">
            <w:pPr>
              <w:pStyle w:val="Heading2"/>
              <w:jc w:val="right"/>
              <w:rPr>
                <w:b w:val="0"/>
                <w:color w:val="auto"/>
                <w:sz w:val="23"/>
                <w:szCs w:val="23"/>
              </w:rPr>
            </w:pPr>
            <w:r>
              <w:rPr>
                <w:b w:val="0"/>
                <w:color w:val="auto"/>
                <w:sz w:val="23"/>
                <w:szCs w:val="23"/>
              </w:rPr>
              <w:t>31/</w:t>
            </w:r>
            <w:r w:rsidR="00E75F8F" w:rsidRPr="00E3667C">
              <w:rPr>
                <w:b w:val="0"/>
                <w:color w:val="auto"/>
                <w:sz w:val="23"/>
                <w:szCs w:val="23"/>
              </w:rPr>
              <w:t>10/2020</w:t>
            </w:r>
          </w:p>
        </w:tc>
        <w:tc>
          <w:tcPr>
            <w:tcW w:w="1273" w:type="dxa"/>
          </w:tcPr>
          <w:p w14:paraId="756367A1" w14:textId="17E15DD1" w:rsidR="00E75F8F" w:rsidRPr="00E3667C" w:rsidRDefault="00E75F8F" w:rsidP="00E75F8F">
            <w:pPr>
              <w:pStyle w:val="Heading2"/>
              <w:jc w:val="right"/>
              <w:rPr>
                <w:b w:val="0"/>
                <w:color w:val="auto"/>
                <w:sz w:val="23"/>
                <w:szCs w:val="23"/>
              </w:rPr>
            </w:pPr>
            <w:r w:rsidRPr="00E3667C">
              <w:rPr>
                <w:b w:val="0"/>
                <w:color w:val="auto"/>
                <w:sz w:val="23"/>
                <w:szCs w:val="23"/>
              </w:rPr>
              <w:t>$0.2m</w:t>
            </w:r>
          </w:p>
        </w:tc>
      </w:tr>
    </w:tbl>
    <w:p w14:paraId="6E6E1A90" w14:textId="77777777" w:rsidR="0079527D" w:rsidRDefault="0079527D" w:rsidP="00E75F8F">
      <w:pPr>
        <w:pStyle w:val="Normalnumbered"/>
        <w:numPr>
          <w:ilvl w:val="0"/>
          <w:numId w:val="0"/>
        </w:numPr>
        <w:spacing w:before="120" w:line="240" w:lineRule="auto"/>
      </w:pPr>
    </w:p>
    <w:p w14:paraId="7E06ABBC" w14:textId="65F4765F" w:rsidR="00172360" w:rsidRDefault="002E144A" w:rsidP="0079527D">
      <w:pPr>
        <w:pStyle w:val="Normalnumbered"/>
        <w:numPr>
          <w:ilvl w:val="0"/>
          <w:numId w:val="11"/>
        </w:numPr>
        <w:spacing w:before="120" w:line="240" w:lineRule="auto"/>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60F745BA" w14:textId="77777777" w:rsidR="00F3245D" w:rsidRDefault="00F3245D" w:rsidP="00F3245D">
      <w:pPr>
        <w:pStyle w:val="Heading2"/>
      </w:pPr>
      <w:r>
        <w:t>Reporting arrangements</w:t>
      </w:r>
    </w:p>
    <w:p w14:paraId="093AE949" w14:textId="77777777" w:rsidR="00ED2AC4" w:rsidRDefault="00AA0225" w:rsidP="00D756A2">
      <w:pPr>
        <w:pStyle w:val="Normalnumbered"/>
        <w:numPr>
          <w:ilvl w:val="0"/>
          <w:numId w:val="11"/>
        </w:numPr>
        <w:spacing w:before="120" w:line="240" w:lineRule="auto"/>
        <w:rPr>
          <w:szCs w:val="23"/>
        </w:rPr>
      </w:pPr>
      <w:r>
        <w:t>Queensland</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Pr>
          <w:szCs w:val="23"/>
        </w:rPr>
        <w:t xml:space="preserve"> </w:t>
      </w:r>
    </w:p>
    <w:p w14:paraId="34143A89" w14:textId="77777777" w:rsidR="008E7527" w:rsidRDefault="008E7527" w:rsidP="009E093C">
      <w:pPr>
        <w:pStyle w:val="Heading1"/>
      </w:pPr>
      <w:r>
        <w:t>Part 5</w:t>
      </w:r>
      <w:r w:rsidRPr="00751725">
        <w:t xml:space="preserve"> — financial arrangements</w:t>
      </w:r>
    </w:p>
    <w:p w14:paraId="07166946" w14:textId="40B48180" w:rsidR="008E7527" w:rsidRDefault="008E7527" w:rsidP="00D756A2">
      <w:pPr>
        <w:pStyle w:val="Normalnumbered"/>
        <w:numPr>
          <w:ilvl w:val="0"/>
          <w:numId w:val="11"/>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0D33BE">
        <w:t>Queensland</w:t>
      </w:r>
      <w:r w:rsidR="001D29B1">
        <w:t xml:space="preserve"> of </w:t>
      </w:r>
      <w:r w:rsidRPr="00CD526B">
        <w:t>$</w:t>
      </w:r>
      <w:r w:rsidR="001D29B1">
        <w:t>8</w:t>
      </w:r>
      <w:r w:rsidR="0079527D">
        <w:t> </w:t>
      </w:r>
      <w:r>
        <w:t>m</w:t>
      </w:r>
      <w:r w:rsidR="001D29B1">
        <w:t>illion</w:t>
      </w:r>
      <w:r>
        <w:t xml:space="preserve"> in respect of this Agreement. </w:t>
      </w:r>
      <w:r w:rsidRPr="000E48C3">
        <w:t xml:space="preserve"> </w:t>
      </w:r>
      <w:r>
        <w:t>All payments are GST exclusive.</w:t>
      </w:r>
    </w:p>
    <w:p w14:paraId="01D14B32" w14:textId="77777777" w:rsidR="008E7527" w:rsidRDefault="005A5E7A" w:rsidP="00D756A2">
      <w:pPr>
        <w:pStyle w:val="Normalnumbered"/>
        <w:numPr>
          <w:ilvl w:val="0"/>
          <w:numId w:val="11"/>
        </w:numPr>
      </w:pPr>
      <w:r>
        <w:t>T</w:t>
      </w:r>
      <w:r w:rsidR="008E7527" w:rsidRPr="002B7E1B">
        <w:t xml:space="preserve">he Commonwealth’s funding contribution will not be reduced where </w:t>
      </w:r>
      <w:r w:rsidR="000D33BE">
        <w:t>Queensland</w:t>
      </w:r>
      <w:r w:rsidR="008E7527" w:rsidRPr="002B7E1B">
        <w:t xml:space="preserve"> secure</w:t>
      </w:r>
      <w:r w:rsidR="000D33BE">
        <w:t>s</w:t>
      </w:r>
      <w:r w:rsidR="008E7527" w:rsidRPr="002B7E1B">
        <w:t xml:space="preserve"> funding from other activity partners</w:t>
      </w:r>
      <w:r w:rsidR="002E144A">
        <w:t>.</w:t>
      </w:r>
    </w:p>
    <w:p w14:paraId="553E6972" w14:textId="77777777" w:rsidR="008E7527" w:rsidRPr="00751725" w:rsidRDefault="008E7527" w:rsidP="00D756A2">
      <w:pPr>
        <w:pStyle w:val="Normalnumbered"/>
        <w:keepNext/>
        <w:keepLines/>
        <w:numPr>
          <w:ilvl w:val="0"/>
          <w:numId w:val="11"/>
        </w:numPr>
      </w:pPr>
      <w:r w:rsidRPr="00751725">
        <w:t>The Commonwealth</w:t>
      </w:r>
      <w:r>
        <w:t>’s</w:t>
      </w:r>
      <w:r w:rsidRPr="00751725">
        <w:t xml:space="preserve"> and </w:t>
      </w:r>
      <w:r w:rsidR="000D33BE">
        <w:t>Queensland’s estimated</w:t>
      </w:r>
      <w:r>
        <w:t xml:space="preserve">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566021AB" w14:textId="77777777"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1106"/>
        <w:gridCol w:w="1103"/>
        <w:gridCol w:w="1102"/>
        <w:gridCol w:w="970"/>
      </w:tblGrid>
      <w:tr w:rsidR="003E5B07" w14:paraId="5F936A84" w14:textId="77777777" w:rsidTr="003E5B07">
        <w:trPr>
          <w:cantSplit/>
        </w:trPr>
        <w:tc>
          <w:tcPr>
            <w:tcW w:w="5008" w:type="dxa"/>
          </w:tcPr>
          <w:p w14:paraId="40F87324" w14:textId="77777777" w:rsidR="003E5B07" w:rsidRPr="00C2711B" w:rsidRDefault="003E5B07" w:rsidP="00AB71A5">
            <w:pPr>
              <w:keepNext/>
              <w:keepLines/>
              <w:spacing w:before="40" w:after="40"/>
              <w:jc w:val="left"/>
              <w:rPr>
                <w:b/>
              </w:rPr>
            </w:pPr>
            <w:r w:rsidRPr="00C2711B">
              <w:rPr>
                <w:b/>
              </w:rPr>
              <w:t>($ million)</w:t>
            </w:r>
          </w:p>
        </w:tc>
        <w:tc>
          <w:tcPr>
            <w:tcW w:w="1106" w:type="dxa"/>
          </w:tcPr>
          <w:p w14:paraId="1665F3A3" w14:textId="77777777" w:rsidR="003E5B07" w:rsidRDefault="003E5B07" w:rsidP="00AB71A5">
            <w:pPr>
              <w:keepNext/>
              <w:keepLines/>
              <w:spacing w:before="40" w:after="40"/>
              <w:jc w:val="right"/>
            </w:pPr>
            <w:r>
              <w:t>2019-20</w:t>
            </w:r>
          </w:p>
        </w:tc>
        <w:tc>
          <w:tcPr>
            <w:tcW w:w="1103" w:type="dxa"/>
          </w:tcPr>
          <w:p w14:paraId="60407999" w14:textId="77777777" w:rsidR="003E5B07" w:rsidRDefault="003E5B07" w:rsidP="00AB71A5">
            <w:pPr>
              <w:keepNext/>
              <w:keepLines/>
              <w:spacing w:before="40" w:after="40"/>
              <w:jc w:val="right"/>
            </w:pPr>
            <w:r>
              <w:t>2020-21</w:t>
            </w:r>
          </w:p>
        </w:tc>
        <w:tc>
          <w:tcPr>
            <w:tcW w:w="1102" w:type="dxa"/>
          </w:tcPr>
          <w:p w14:paraId="2485C411" w14:textId="77777777" w:rsidR="003E5B07" w:rsidRDefault="003E5B07" w:rsidP="00AB71A5">
            <w:pPr>
              <w:keepNext/>
              <w:keepLines/>
              <w:spacing w:before="40" w:after="40"/>
              <w:jc w:val="right"/>
            </w:pPr>
            <w:r>
              <w:t>2021-22</w:t>
            </w:r>
          </w:p>
        </w:tc>
        <w:tc>
          <w:tcPr>
            <w:tcW w:w="970" w:type="dxa"/>
          </w:tcPr>
          <w:p w14:paraId="3ABF7FB7" w14:textId="77777777" w:rsidR="003E5B07" w:rsidRDefault="003E5B07" w:rsidP="00AB71A5">
            <w:pPr>
              <w:keepNext/>
              <w:keepLines/>
              <w:spacing w:before="40" w:after="40"/>
              <w:jc w:val="right"/>
            </w:pPr>
            <w:r>
              <w:t>Total</w:t>
            </w:r>
          </w:p>
        </w:tc>
      </w:tr>
      <w:tr w:rsidR="003E5B07" w14:paraId="07B0F3BA" w14:textId="77777777" w:rsidTr="003E5B07">
        <w:trPr>
          <w:cantSplit/>
        </w:trPr>
        <w:tc>
          <w:tcPr>
            <w:tcW w:w="5008" w:type="dxa"/>
          </w:tcPr>
          <w:p w14:paraId="356A3E65" w14:textId="77777777" w:rsidR="003E5B07" w:rsidRPr="005B4C1B" w:rsidRDefault="003E5B07" w:rsidP="00AB71A5">
            <w:pPr>
              <w:keepNext/>
              <w:keepLines/>
              <w:spacing w:before="60" w:after="60"/>
              <w:rPr>
                <w:b/>
              </w:rPr>
            </w:pPr>
            <w:r w:rsidRPr="005B4C1B">
              <w:rPr>
                <w:b/>
              </w:rPr>
              <w:t>Estimated total budget</w:t>
            </w:r>
          </w:p>
        </w:tc>
        <w:tc>
          <w:tcPr>
            <w:tcW w:w="1106" w:type="dxa"/>
          </w:tcPr>
          <w:p w14:paraId="47E86682" w14:textId="77777777" w:rsidR="003E5B07" w:rsidRPr="005B4C1B" w:rsidRDefault="00A756F4" w:rsidP="00AF4AE7">
            <w:pPr>
              <w:keepNext/>
              <w:keepLines/>
              <w:spacing w:before="40" w:after="40"/>
              <w:jc w:val="right"/>
              <w:rPr>
                <w:b/>
              </w:rPr>
            </w:pPr>
            <w:r>
              <w:rPr>
                <w:b/>
              </w:rPr>
              <w:t>4.4</w:t>
            </w:r>
          </w:p>
        </w:tc>
        <w:tc>
          <w:tcPr>
            <w:tcW w:w="1103" w:type="dxa"/>
          </w:tcPr>
          <w:p w14:paraId="39B15D72" w14:textId="77777777" w:rsidR="003E5B07" w:rsidRPr="005B4C1B" w:rsidRDefault="00A756F4" w:rsidP="00AF4AE7">
            <w:pPr>
              <w:keepNext/>
              <w:keepLines/>
              <w:spacing w:before="40" w:after="40"/>
              <w:jc w:val="right"/>
              <w:rPr>
                <w:b/>
              </w:rPr>
            </w:pPr>
            <w:r>
              <w:rPr>
                <w:b/>
              </w:rPr>
              <w:t>15.5</w:t>
            </w:r>
          </w:p>
        </w:tc>
        <w:tc>
          <w:tcPr>
            <w:tcW w:w="1102" w:type="dxa"/>
          </w:tcPr>
          <w:p w14:paraId="645ABE8C" w14:textId="77777777" w:rsidR="003E5B07" w:rsidRPr="005B4C1B" w:rsidRDefault="00A756F4" w:rsidP="00AF4AE7">
            <w:pPr>
              <w:keepNext/>
              <w:keepLines/>
              <w:spacing w:before="40" w:after="40"/>
              <w:jc w:val="right"/>
              <w:rPr>
                <w:b/>
              </w:rPr>
            </w:pPr>
            <w:r>
              <w:rPr>
                <w:b/>
              </w:rPr>
              <w:t>27.0</w:t>
            </w:r>
          </w:p>
        </w:tc>
        <w:tc>
          <w:tcPr>
            <w:tcW w:w="970" w:type="dxa"/>
          </w:tcPr>
          <w:p w14:paraId="084CDC6D" w14:textId="77777777" w:rsidR="003E5B07" w:rsidRPr="005B4C1B" w:rsidRDefault="00A756F4" w:rsidP="00AB71A5">
            <w:pPr>
              <w:keepNext/>
              <w:keepLines/>
              <w:spacing w:before="40" w:after="40"/>
              <w:jc w:val="right"/>
              <w:rPr>
                <w:b/>
              </w:rPr>
            </w:pPr>
            <w:r>
              <w:rPr>
                <w:b/>
              </w:rPr>
              <w:t>46.9</w:t>
            </w:r>
          </w:p>
        </w:tc>
      </w:tr>
      <w:tr w:rsidR="003E5B07" w14:paraId="5F30B81A" w14:textId="77777777" w:rsidTr="003E5B07">
        <w:trPr>
          <w:cantSplit/>
        </w:trPr>
        <w:tc>
          <w:tcPr>
            <w:tcW w:w="5008" w:type="dxa"/>
          </w:tcPr>
          <w:p w14:paraId="2A82EDE7" w14:textId="77777777" w:rsidR="003E5B07" w:rsidRPr="004A673A" w:rsidRDefault="003E5B07" w:rsidP="00AB71A5">
            <w:pPr>
              <w:keepNext/>
              <w:keepLines/>
              <w:spacing w:before="60" w:after="60"/>
            </w:pPr>
            <w:r>
              <w:t>Less estimated National Partnership Payments</w:t>
            </w:r>
          </w:p>
        </w:tc>
        <w:tc>
          <w:tcPr>
            <w:tcW w:w="1106" w:type="dxa"/>
          </w:tcPr>
          <w:p w14:paraId="7BED8DC2" w14:textId="77777777" w:rsidR="003E5B07" w:rsidRPr="005B4C1B" w:rsidRDefault="00A756F4" w:rsidP="00AB71A5">
            <w:pPr>
              <w:keepNext/>
              <w:keepLines/>
              <w:spacing w:before="40" w:after="40"/>
              <w:jc w:val="right"/>
            </w:pPr>
            <w:r>
              <w:t>1.35</w:t>
            </w:r>
          </w:p>
        </w:tc>
        <w:tc>
          <w:tcPr>
            <w:tcW w:w="1103" w:type="dxa"/>
          </w:tcPr>
          <w:p w14:paraId="63643952" w14:textId="77777777" w:rsidR="003E5B07" w:rsidRPr="005B4C1B" w:rsidRDefault="00A756F4" w:rsidP="00CC31FB">
            <w:pPr>
              <w:keepNext/>
              <w:keepLines/>
              <w:spacing w:before="40" w:after="40"/>
              <w:jc w:val="right"/>
            </w:pPr>
            <w:r>
              <w:t>5.65</w:t>
            </w:r>
          </w:p>
        </w:tc>
        <w:tc>
          <w:tcPr>
            <w:tcW w:w="1102" w:type="dxa"/>
          </w:tcPr>
          <w:p w14:paraId="16F7E3B8" w14:textId="77777777" w:rsidR="003E5B07" w:rsidRPr="005B4C1B" w:rsidRDefault="00A756F4" w:rsidP="00AF4AE7">
            <w:pPr>
              <w:keepNext/>
              <w:keepLines/>
              <w:spacing w:before="40" w:after="40"/>
              <w:jc w:val="right"/>
            </w:pPr>
            <w:r>
              <w:t>1.0</w:t>
            </w:r>
          </w:p>
        </w:tc>
        <w:tc>
          <w:tcPr>
            <w:tcW w:w="970" w:type="dxa"/>
          </w:tcPr>
          <w:p w14:paraId="3EE7D705" w14:textId="77777777" w:rsidR="003E5B07" w:rsidRPr="005B4C1B" w:rsidRDefault="00AF4AE7" w:rsidP="00AB71A5">
            <w:pPr>
              <w:keepNext/>
              <w:keepLines/>
              <w:spacing w:before="40" w:after="40"/>
              <w:jc w:val="right"/>
            </w:pPr>
            <w:r>
              <w:t>8</w:t>
            </w:r>
            <w:r w:rsidR="003E5B07" w:rsidRPr="005B4C1B">
              <w:t>.0</w:t>
            </w:r>
          </w:p>
        </w:tc>
      </w:tr>
      <w:tr w:rsidR="003E5B07" w14:paraId="66AC03F5" w14:textId="77777777" w:rsidTr="003E5B07">
        <w:trPr>
          <w:cantSplit/>
        </w:trPr>
        <w:tc>
          <w:tcPr>
            <w:tcW w:w="5008" w:type="dxa"/>
          </w:tcPr>
          <w:p w14:paraId="6B139CC0" w14:textId="77777777" w:rsidR="003E5B07" w:rsidRPr="006146F2" w:rsidRDefault="003E5B07" w:rsidP="00AB71A5">
            <w:pPr>
              <w:keepNext/>
              <w:keepLines/>
              <w:spacing w:before="40" w:after="40"/>
            </w:pPr>
            <w:r w:rsidRPr="006146F2">
              <w:t>Balance of non-Commonwealth contribution</w:t>
            </w:r>
            <w:r>
              <w:t>s</w:t>
            </w:r>
          </w:p>
        </w:tc>
        <w:tc>
          <w:tcPr>
            <w:tcW w:w="1106" w:type="dxa"/>
          </w:tcPr>
          <w:p w14:paraId="6A7173C0" w14:textId="77777777" w:rsidR="003E5B07" w:rsidRDefault="00A756F4" w:rsidP="00AB71A5">
            <w:pPr>
              <w:keepNext/>
              <w:keepLines/>
              <w:spacing w:before="40" w:after="40"/>
              <w:jc w:val="right"/>
            </w:pPr>
            <w:r>
              <w:t>3.05</w:t>
            </w:r>
          </w:p>
        </w:tc>
        <w:tc>
          <w:tcPr>
            <w:tcW w:w="1103" w:type="dxa"/>
          </w:tcPr>
          <w:p w14:paraId="1D726C49" w14:textId="77777777" w:rsidR="003E5B07" w:rsidRDefault="00A756F4" w:rsidP="00AF4AE7">
            <w:pPr>
              <w:keepNext/>
              <w:keepLines/>
              <w:spacing w:before="40" w:after="40"/>
              <w:jc w:val="right"/>
            </w:pPr>
            <w:r>
              <w:t>9.85</w:t>
            </w:r>
          </w:p>
        </w:tc>
        <w:tc>
          <w:tcPr>
            <w:tcW w:w="1102" w:type="dxa"/>
          </w:tcPr>
          <w:p w14:paraId="49B0F6B3" w14:textId="77777777" w:rsidR="003E5B07" w:rsidRDefault="00A756F4" w:rsidP="00AB71A5">
            <w:pPr>
              <w:keepNext/>
              <w:keepLines/>
              <w:spacing w:before="40" w:after="40"/>
              <w:jc w:val="right"/>
            </w:pPr>
            <w:r>
              <w:t>26.0</w:t>
            </w:r>
          </w:p>
        </w:tc>
        <w:tc>
          <w:tcPr>
            <w:tcW w:w="970" w:type="dxa"/>
          </w:tcPr>
          <w:p w14:paraId="24F50420" w14:textId="77777777" w:rsidR="003E5B07" w:rsidRDefault="00A756F4" w:rsidP="00AB71A5">
            <w:pPr>
              <w:keepNext/>
              <w:keepLines/>
              <w:spacing w:before="40" w:after="40"/>
              <w:jc w:val="right"/>
            </w:pPr>
            <w:r>
              <w:t>38.9</w:t>
            </w:r>
          </w:p>
        </w:tc>
      </w:tr>
    </w:tbl>
    <w:p w14:paraId="7020C104" w14:textId="43992631" w:rsidR="008E7527" w:rsidRDefault="008E7527" w:rsidP="000614F9">
      <w:pPr>
        <w:pStyle w:val="ChartandTableFootnoteAlpha"/>
        <w:spacing w:after="240"/>
      </w:pPr>
      <w:r>
        <w:t xml:space="preserve">Notes: </w:t>
      </w:r>
      <w:r w:rsidR="00894F40">
        <w:t xml:space="preserve">Queensland’s contribution </w:t>
      </w:r>
      <w:r w:rsidR="00DE140F">
        <w:t xml:space="preserve">commenced in 2018/19 ($0.3 million) and </w:t>
      </w:r>
      <w:r w:rsidR="00894F40">
        <w:t xml:space="preserve">will extend to 2022-23 </w:t>
      </w:r>
      <w:r w:rsidR="00DE140F">
        <w:t xml:space="preserve">($2.1 million) </w:t>
      </w:r>
      <w:r w:rsidR="00894F40">
        <w:t>making a total contribution of $</w:t>
      </w:r>
      <w:r w:rsidR="000D33BE">
        <w:t>41.4</w:t>
      </w:r>
      <w:r w:rsidR="00894F40">
        <w:t xml:space="preserve"> million toward the project. </w:t>
      </w:r>
    </w:p>
    <w:p w14:paraId="3399AFB0" w14:textId="77777777" w:rsidR="008E7527" w:rsidRDefault="008E7527" w:rsidP="00D756A2">
      <w:pPr>
        <w:pStyle w:val="Normalnumbered"/>
        <w:numPr>
          <w:ilvl w:val="0"/>
          <w:numId w:val="11"/>
        </w:numPr>
      </w:pPr>
      <w:r w:rsidRPr="00C738BD">
        <w:t xml:space="preserve">Having regard to the agreed estimated costs of projects specified in </w:t>
      </w:r>
      <w:r w:rsidR="006B43AF">
        <w:t>this</w:t>
      </w:r>
      <w:r>
        <w:t xml:space="preserve"> Agreement</w:t>
      </w:r>
      <w:r w:rsidRPr="00C738BD">
        <w:t xml:space="preserve">, </w:t>
      </w:r>
      <w:r w:rsidR="00A756F4">
        <w:t>Queensland</w:t>
      </w:r>
      <w:r w:rsidRPr="00C738BD">
        <w:t xml:space="preserve"> will not be required to pay a refund to the Commonwealth if the actual cost of the project is less than the agreed</w:t>
      </w:r>
      <w:r w:rsidR="00515AF2">
        <w:t xml:space="preserve"> estimated cost of the project.  </w:t>
      </w:r>
      <w:r w:rsidRPr="00C738BD">
        <w:t xml:space="preserve">Similarly, </w:t>
      </w:r>
      <w:r w:rsidR="00A756F4">
        <w:t>Queensland</w:t>
      </w:r>
      <w:r>
        <w:t xml:space="preserve"> </w:t>
      </w:r>
      <w:r w:rsidRPr="00C738BD">
        <w:t>bear</w:t>
      </w:r>
      <w:r w:rsidR="00A756F4">
        <w:t>s</w:t>
      </w:r>
      <w:r w:rsidRPr="00C738BD">
        <w:t xml:space="preserve"> all risk should the costs of a project exceed the agreed estimated cost</w:t>
      </w:r>
      <w:r>
        <w:t>s.</w:t>
      </w:r>
      <w:r w:rsidRPr="00C738BD">
        <w:t xml:space="preserve"> The Parties acknowledge that this arrangement provides the maximum incentive for </w:t>
      </w:r>
      <w:r w:rsidR="00A756F4">
        <w:t>Queensland</w:t>
      </w:r>
      <w:r w:rsidRPr="00C738BD">
        <w:t xml:space="preserve"> to deliver projects cost effectively and efficiently.</w:t>
      </w:r>
    </w:p>
    <w:p w14:paraId="29F5C8E2" w14:textId="77777777" w:rsidR="00814667" w:rsidRDefault="003A2157">
      <w:pPr>
        <w:pStyle w:val="Heading1"/>
      </w:pPr>
      <w:bookmarkStart w:id="0" w:name="top"/>
      <w:bookmarkEnd w:id="0"/>
      <w:r>
        <w:t xml:space="preserve">Part </w:t>
      </w:r>
      <w:r w:rsidR="000B4080">
        <w:t>6</w:t>
      </w:r>
      <w:r w:rsidR="00814667">
        <w:t xml:space="preserve"> — governance arrangements</w:t>
      </w:r>
    </w:p>
    <w:p w14:paraId="552846B0" w14:textId="77777777" w:rsidR="00BC4728" w:rsidRDefault="00BC4728" w:rsidP="00BC4728">
      <w:pPr>
        <w:pStyle w:val="Heading2"/>
      </w:pPr>
      <w:r w:rsidRPr="006F096A">
        <w:t>Enforceability of the Agreement</w:t>
      </w:r>
    </w:p>
    <w:p w14:paraId="052CBDCF" w14:textId="77777777" w:rsidR="00BC4728" w:rsidRPr="00C40EBC" w:rsidRDefault="00BC4728" w:rsidP="00D756A2">
      <w:pPr>
        <w:pStyle w:val="Normalnumbered"/>
        <w:numPr>
          <w:ilvl w:val="0"/>
          <w:numId w:val="11"/>
        </w:numPr>
        <w:spacing w:line="240" w:lineRule="auto"/>
      </w:pPr>
      <w:r>
        <w:rPr>
          <w:szCs w:val="23"/>
        </w:rPr>
        <w:t>The Parties do not intend any of the provisions of this Agreement to be legally enforceable. However, that does not lessen the Parties’ commitment to this Agreement.</w:t>
      </w:r>
    </w:p>
    <w:p w14:paraId="207A68F2" w14:textId="77777777" w:rsidR="00C2605C" w:rsidRDefault="00814667" w:rsidP="00A756F4">
      <w:pPr>
        <w:pStyle w:val="Heading2"/>
      </w:pPr>
      <w:r>
        <w:t>Variation of the Agreement</w:t>
      </w:r>
    </w:p>
    <w:p w14:paraId="1318CEFA" w14:textId="77777777" w:rsidR="00C2605C" w:rsidRPr="00DE36EB" w:rsidRDefault="00607B03" w:rsidP="00D756A2">
      <w:pPr>
        <w:pStyle w:val="Normalnumbered"/>
        <w:numPr>
          <w:ilvl w:val="0"/>
          <w:numId w:val="11"/>
        </w:numPr>
      </w:pPr>
      <w:r>
        <w:t>The A</w:t>
      </w:r>
      <w:r w:rsidR="00814667">
        <w:t xml:space="preserve">greement may be amended at any time by agreement in writing by </w:t>
      </w:r>
      <w:r w:rsidR="002B1C50" w:rsidRPr="00DE36EB">
        <w:t xml:space="preserve">both </w:t>
      </w:r>
      <w:r w:rsidR="00814667" w:rsidRPr="00DE36EB">
        <w:t>the Parties.</w:t>
      </w:r>
    </w:p>
    <w:p w14:paraId="39C9161A" w14:textId="77777777" w:rsidR="00292587" w:rsidRDefault="00292587" w:rsidP="00D756A2">
      <w:pPr>
        <w:pStyle w:val="Normalnumbered"/>
        <w:numPr>
          <w:ilvl w:val="0"/>
          <w:numId w:val="11"/>
        </w:numPr>
      </w:pPr>
      <w:r w:rsidRPr="00DE36EB">
        <w:lastRenderedPageBreak/>
        <w:t>Bilateral schedules to this Agreement that have no impact on other Parties may be amended at any time by agreement in writing by the relevant Commonwealth and State portfolio ministers.</w:t>
      </w:r>
    </w:p>
    <w:p w14:paraId="7261AFA5" w14:textId="77777777" w:rsidR="009526E4" w:rsidRDefault="009526E4" w:rsidP="0036119D">
      <w:pPr>
        <w:pStyle w:val="Heading2"/>
      </w:pPr>
      <w:r>
        <w:t>Delegations</w:t>
      </w:r>
    </w:p>
    <w:p w14:paraId="289C42BB" w14:textId="77777777" w:rsidR="009526E4" w:rsidRDefault="009526E4" w:rsidP="00D756A2">
      <w:pPr>
        <w:pStyle w:val="Normalnumbered"/>
        <w:numPr>
          <w:ilvl w:val="0"/>
          <w:numId w:val="11"/>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0DB8C818" w14:textId="77777777" w:rsidR="0036119D" w:rsidRDefault="0036119D" w:rsidP="0036119D">
      <w:pPr>
        <w:pStyle w:val="Heading2"/>
      </w:pPr>
      <w:r>
        <w:t>Dispute resolution</w:t>
      </w:r>
    </w:p>
    <w:p w14:paraId="04E0F120" w14:textId="77777777" w:rsidR="0036119D" w:rsidRPr="00DE36EB" w:rsidRDefault="00E94547" w:rsidP="00D756A2">
      <w:pPr>
        <w:pStyle w:val="Normalnumbered"/>
        <w:numPr>
          <w:ilvl w:val="0"/>
          <w:numId w:val="11"/>
        </w:numPr>
      </w:pPr>
      <w:r w:rsidDel="00E94547">
        <w:t xml:space="preserve"> </w:t>
      </w:r>
      <w:r w:rsidR="00697494" w:rsidRPr="00DE36EB">
        <w:t>E</w:t>
      </w:r>
      <w:r w:rsidR="002B1C50" w:rsidRPr="00DE36EB">
        <w:t xml:space="preserve">ither </w:t>
      </w:r>
      <w:r w:rsidR="0036119D" w:rsidRPr="00DE36EB">
        <w:t xml:space="preserve">Party may give notice to </w:t>
      </w:r>
      <w:r>
        <w:t xml:space="preserve">the </w:t>
      </w:r>
      <w:r w:rsidR="0036119D" w:rsidRPr="00DE36EB">
        <w:t xml:space="preserve">other </w:t>
      </w:r>
      <w:r w:rsidR="00684EC1" w:rsidRPr="00DE36EB">
        <w:t xml:space="preserve">Party </w:t>
      </w:r>
      <w:r w:rsidR="0036119D" w:rsidRPr="00DE36EB">
        <w:t>of a dispute under this Agreement.</w:t>
      </w:r>
    </w:p>
    <w:p w14:paraId="448F1923" w14:textId="77777777" w:rsidR="0036119D" w:rsidRPr="00DE36EB" w:rsidRDefault="0036119D" w:rsidP="00D756A2">
      <w:pPr>
        <w:pStyle w:val="Normalnumbered"/>
        <w:numPr>
          <w:ilvl w:val="0"/>
          <w:numId w:val="11"/>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40C43C9D" w14:textId="77777777" w:rsidR="0036119D" w:rsidRPr="00DE36EB" w:rsidRDefault="0036119D" w:rsidP="00D756A2">
      <w:pPr>
        <w:pStyle w:val="Normalnumbered"/>
        <w:numPr>
          <w:ilvl w:val="0"/>
          <w:numId w:val="11"/>
        </w:numPr>
      </w:pPr>
      <w:r w:rsidRPr="00DE36EB">
        <w:t>If a dispute cannot be resolved by officials, it may be escalated to the relevant Ministers.</w:t>
      </w:r>
    </w:p>
    <w:p w14:paraId="43563843"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316EBEC6" w14:textId="77777777">
        <w:trPr>
          <w:cantSplit/>
          <w:jc w:val="center"/>
        </w:trPr>
        <w:tc>
          <w:tcPr>
            <w:tcW w:w="4536" w:type="dxa"/>
          </w:tcPr>
          <w:p w14:paraId="5DB94B63"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288E0822" w14:textId="77777777" w:rsidR="00814667" w:rsidRPr="00A50751" w:rsidRDefault="00814667">
            <w:pPr>
              <w:pStyle w:val="LineForSignature"/>
            </w:pPr>
            <w:r>
              <w:tab/>
            </w:r>
          </w:p>
          <w:p w14:paraId="6BDABACB" w14:textId="77777777" w:rsidR="00814667" w:rsidRDefault="00A756F4">
            <w:pPr>
              <w:pStyle w:val="SingleParagraph"/>
              <w:rPr>
                <w:rStyle w:val="Bold"/>
              </w:rPr>
            </w:pPr>
            <w:r>
              <w:rPr>
                <w:rStyle w:val="Bold"/>
              </w:rPr>
              <w:t xml:space="preserve">Senator </w:t>
            </w:r>
            <w:r w:rsidR="00814667">
              <w:rPr>
                <w:rStyle w:val="Bold"/>
              </w:rPr>
              <w:t xml:space="preserve">The Honourable </w:t>
            </w:r>
            <w:r>
              <w:rPr>
                <w:rStyle w:val="Bold"/>
              </w:rPr>
              <w:t>Jonathon Duniam</w:t>
            </w:r>
          </w:p>
          <w:p w14:paraId="413CF1A9" w14:textId="77777777" w:rsidR="00814667" w:rsidRDefault="00A756F4">
            <w:pPr>
              <w:pStyle w:val="Position"/>
              <w:rPr>
                <w:lang w:val="en-GB"/>
              </w:rPr>
            </w:pPr>
            <w:r>
              <w:rPr>
                <w:lang w:val="en-GB"/>
              </w:rPr>
              <w:t xml:space="preserve">Assistant </w:t>
            </w:r>
            <w:r w:rsidR="0099742A">
              <w:rPr>
                <w:lang w:val="en-GB"/>
              </w:rPr>
              <w:t xml:space="preserve">Minister for </w:t>
            </w:r>
            <w:r>
              <w:rPr>
                <w:lang w:val="en-GB"/>
              </w:rPr>
              <w:t>Regional Tourism</w:t>
            </w:r>
            <w:r w:rsidR="0099742A">
              <w:rPr>
                <w:lang w:val="en-GB"/>
              </w:rPr>
              <w:t xml:space="preserve"> </w:t>
            </w:r>
          </w:p>
          <w:p w14:paraId="5A0FBA3B" w14:textId="5D6BF5A1" w:rsidR="00814667" w:rsidRDefault="0029030F" w:rsidP="0029030F">
            <w:pPr>
              <w:pStyle w:val="SingleParagraph"/>
              <w:tabs>
                <w:tab w:val="num" w:pos="1134"/>
              </w:tabs>
              <w:spacing w:after="240"/>
              <w:ind w:left="1134" w:hanging="567"/>
              <w:rPr>
                <w:b/>
                <w:lang w:val="en-GB"/>
              </w:rPr>
            </w:pPr>
            <w:r>
              <w:rPr>
                <w:lang w:val="en-GB"/>
              </w:rPr>
              <w:t>October</w:t>
            </w:r>
            <w:r w:rsidR="001B1CA3">
              <w:rPr>
                <w:lang w:val="en-GB"/>
              </w:rPr>
              <w:t xml:space="preserve"> </w:t>
            </w:r>
            <w:r w:rsidR="006679C0">
              <w:rPr>
                <w:lang w:val="en-GB"/>
              </w:rPr>
              <w:t xml:space="preserve"> </w:t>
            </w:r>
            <w:r>
              <w:rPr>
                <w:lang w:val="en-GB"/>
              </w:rPr>
              <w:t>2019</w:t>
            </w:r>
          </w:p>
        </w:tc>
        <w:tc>
          <w:tcPr>
            <w:tcW w:w="284" w:type="dxa"/>
            <w:tcMar>
              <w:left w:w="0" w:type="dxa"/>
              <w:right w:w="0" w:type="dxa"/>
            </w:tcMar>
          </w:tcPr>
          <w:p w14:paraId="28686178" w14:textId="77777777" w:rsidR="00814667" w:rsidRPr="00A50751" w:rsidRDefault="00814667">
            <w:pPr>
              <w:rPr>
                <w:rFonts w:ascii="Book Antiqua" w:hAnsi="Book Antiqua"/>
                <w:lang w:val="en-GB"/>
              </w:rPr>
            </w:pPr>
          </w:p>
        </w:tc>
        <w:tc>
          <w:tcPr>
            <w:tcW w:w="4536" w:type="dxa"/>
          </w:tcPr>
          <w:p w14:paraId="477011FC" w14:textId="77777777" w:rsidR="00814667" w:rsidRPr="00A50751" w:rsidRDefault="00814667">
            <w:pPr>
              <w:rPr>
                <w:rFonts w:ascii="Book Antiqua" w:hAnsi="Book Antiqua"/>
                <w:lang w:val="en-GB"/>
              </w:rPr>
            </w:pPr>
          </w:p>
        </w:tc>
      </w:tr>
      <w:tr w:rsidR="00814667" w:rsidRPr="00A50751" w14:paraId="51B303D4" w14:textId="77777777">
        <w:trPr>
          <w:cantSplit/>
          <w:jc w:val="center"/>
        </w:trPr>
        <w:tc>
          <w:tcPr>
            <w:tcW w:w="4536" w:type="dxa"/>
          </w:tcPr>
          <w:p w14:paraId="00997DB0"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1B776E8E" w14:textId="77777777" w:rsidR="00814667" w:rsidRPr="00A50751" w:rsidRDefault="00814667">
            <w:pPr>
              <w:pStyle w:val="SingleParagraph"/>
              <w:rPr>
                <w:rFonts w:ascii="Book Antiqua" w:hAnsi="Book Antiqua"/>
                <w:lang w:val="en-GB"/>
              </w:rPr>
            </w:pPr>
          </w:p>
        </w:tc>
        <w:tc>
          <w:tcPr>
            <w:tcW w:w="4536" w:type="dxa"/>
          </w:tcPr>
          <w:p w14:paraId="4FD8F81B" w14:textId="77777777" w:rsidR="00814667" w:rsidRPr="00A50751" w:rsidRDefault="00814667">
            <w:pPr>
              <w:pStyle w:val="SingleParagraph"/>
              <w:rPr>
                <w:rFonts w:ascii="Book Antiqua" w:hAnsi="Book Antiqua"/>
                <w:lang w:val="en-GB"/>
              </w:rPr>
            </w:pPr>
          </w:p>
        </w:tc>
      </w:tr>
      <w:tr w:rsidR="00814667" w:rsidRPr="00A50751" w14:paraId="50726D10" w14:textId="77777777">
        <w:trPr>
          <w:cantSplit/>
          <w:jc w:val="center"/>
        </w:trPr>
        <w:tc>
          <w:tcPr>
            <w:tcW w:w="4536" w:type="dxa"/>
          </w:tcPr>
          <w:p w14:paraId="5BA6C045" w14:textId="77777777"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272AF242" w14:textId="77777777" w:rsidR="00814667" w:rsidRPr="00A50751" w:rsidRDefault="00814667">
            <w:pPr>
              <w:rPr>
                <w:rFonts w:ascii="Book Antiqua" w:hAnsi="Book Antiqua"/>
                <w:lang w:val="en-GB"/>
              </w:rPr>
            </w:pPr>
          </w:p>
        </w:tc>
        <w:tc>
          <w:tcPr>
            <w:tcW w:w="4536" w:type="dxa"/>
          </w:tcPr>
          <w:p w14:paraId="359C83A0" w14:textId="77777777" w:rsidR="00814667" w:rsidRPr="00A50751" w:rsidRDefault="00814667">
            <w:pPr>
              <w:pStyle w:val="SingleParagraph"/>
              <w:tabs>
                <w:tab w:val="num" w:pos="1134"/>
              </w:tabs>
              <w:spacing w:after="240"/>
              <w:ind w:left="1134" w:hanging="567"/>
              <w:rPr>
                <w:lang w:val="en-GB"/>
              </w:rPr>
            </w:pPr>
          </w:p>
        </w:tc>
      </w:tr>
      <w:tr w:rsidR="00814667" w:rsidRPr="00A50751" w14:paraId="12BE91AF" w14:textId="77777777">
        <w:trPr>
          <w:cantSplit/>
          <w:jc w:val="center"/>
        </w:trPr>
        <w:tc>
          <w:tcPr>
            <w:tcW w:w="4536" w:type="dxa"/>
          </w:tcPr>
          <w:p w14:paraId="50CED3C8"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99F78BF" w14:textId="77777777" w:rsidR="00814667" w:rsidRPr="00A50751" w:rsidRDefault="00814667">
            <w:pPr>
              <w:pStyle w:val="SingleParagraph"/>
              <w:rPr>
                <w:rFonts w:ascii="Book Antiqua" w:hAnsi="Book Antiqua"/>
                <w:lang w:val="en-GB"/>
              </w:rPr>
            </w:pPr>
          </w:p>
        </w:tc>
        <w:tc>
          <w:tcPr>
            <w:tcW w:w="4536" w:type="dxa"/>
          </w:tcPr>
          <w:p w14:paraId="65E8101A" w14:textId="77777777" w:rsidR="00814667" w:rsidRPr="00A50751" w:rsidRDefault="00814667">
            <w:pPr>
              <w:pStyle w:val="SingleParagraph"/>
              <w:rPr>
                <w:rFonts w:ascii="Book Antiqua" w:hAnsi="Book Antiqua"/>
                <w:lang w:val="en-GB"/>
              </w:rPr>
            </w:pPr>
          </w:p>
        </w:tc>
      </w:tr>
      <w:tr w:rsidR="00814667" w:rsidRPr="00A50751" w14:paraId="72372F4C" w14:textId="77777777">
        <w:trPr>
          <w:cantSplit/>
          <w:jc w:val="center"/>
        </w:trPr>
        <w:tc>
          <w:tcPr>
            <w:tcW w:w="4536" w:type="dxa"/>
          </w:tcPr>
          <w:p w14:paraId="33E7B10E" w14:textId="77777777" w:rsidR="00814667" w:rsidRPr="004A0AE7" w:rsidRDefault="00814667">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Queensland</w:t>
                </w:r>
              </w:smartTag>
            </w:smartTag>
            <w:r w:rsidRPr="004A0AE7">
              <w:t xml:space="preserve"> by</w:t>
            </w:r>
          </w:p>
          <w:p w14:paraId="5A802EB1" w14:textId="77777777" w:rsidR="00814667" w:rsidRPr="00A50751" w:rsidRDefault="00814667">
            <w:pPr>
              <w:pStyle w:val="LineForSignature"/>
            </w:pPr>
            <w:r w:rsidRPr="00A50751">
              <w:tab/>
            </w:r>
          </w:p>
          <w:p w14:paraId="028C1685" w14:textId="684F69ED" w:rsidR="00814667" w:rsidRDefault="00847BA4">
            <w:pPr>
              <w:pStyle w:val="SingleParagraph"/>
              <w:rPr>
                <w:b/>
              </w:rPr>
            </w:pPr>
            <w:r>
              <w:rPr>
                <w:b/>
              </w:rPr>
              <w:t>The Honourable</w:t>
            </w:r>
            <w:bookmarkStart w:id="1" w:name="_GoBack"/>
            <w:bookmarkEnd w:id="1"/>
            <w:r>
              <w:rPr>
                <w:b/>
              </w:rPr>
              <w:t xml:space="preserve"> Kate Jones </w:t>
            </w:r>
            <w:r w:rsidR="00814667">
              <w:rPr>
                <w:b/>
              </w:rPr>
              <w:t>MP</w:t>
            </w:r>
          </w:p>
          <w:p w14:paraId="5348941A" w14:textId="0DBADC2A" w:rsidR="00542A8C" w:rsidRDefault="00542A8C" w:rsidP="00542A8C">
            <w:pPr>
              <w:pStyle w:val="Position"/>
              <w:rPr>
                <w:lang w:val="en-GB"/>
              </w:rPr>
            </w:pPr>
            <w:r>
              <w:rPr>
                <w:lang w:val="en-GB"/>
              </w:rPr>
              <w:t xml:space="preserve">Minister for </w:t>
            </w:r>
            <w:r w:rsidR="00847BA4">
              <w:rPr>
                <w:lang w:val="en-GB"/>
              </w:rPr>
              <w:t xml:space="preserve">Innovation and </w:t>
            </w:r>
            <w:r w:rsidR="00A756F4">
              <w:rPr>
                <w:rFonts w:ascii="Tahoma" w:hAnsi="Tahoma" w:cs="Tahoma"/>
                <w:sz w:val="18"/>
                <w:szCs w:val="18"/>
              </w:rPr>
              <w:t>Tourism Industry Development</w:t>
            </w:r>
          </w:p>
          <w:p w14:paraId="22669499" w14:textId="6B1EEAEC" w:rsidR="00814667" w:rsidRPr="00A50751" w:rsidRDefault="0029030F" w:rsidP="0029030F">
            <w:pPr>
              <w:pStyle w:val="SingleParagraph"/>
              <w:tabs>
                <w:tab w:val="num" w:pos="1134"/>
              </w:tabs>
              <w:spacing w:after="240"/>
              <w:ind w:left="1134" w:hanging="567"/>
              <w:rPr>
                <w:lang w:val="en-GB"/>
              </w:rPr>
            </w:pPr>
            <w:r>
              <w:rPr>
                <w:bCs/>
                <w:lang w:val="en-GB"/>
              </w:rPr>
              <w:t xml:space="preserve"> October</w:t>
            </w:r>
            <w:r>
              <w:rPr>
                <w:lang w:val="en-GB"/>
              </w:rPr>
              <w:t xml:space="preserve">  2019</w:t>
            </w:r>
          </w:p>
        </w:tc>
        <w:tc>
          <w:tcPr>
            <w:tcW w:w="284" w:type="dxa"/>
            <w:tcMar>
              <w:left w:w="0" w:type="dxa"/>
              <w:right w:w="0" w:type="dxa"/>
            </w:tcMar>
          </w:tcPr>
          <w:p w14:paraId="545F7252" w14:textId="77777777" w:rsidR="00814667" w:rsidRPr="00A50751" w:rsidRDefault="00814667">
            <w:pPr>
              <w:rPr>
                <w:rFonts w:ascii="Book Antiqua" w:hAnsi="Book Antiqua"/>
                <w:lang w:val="en-GB"/>
              </w:rPr>
            </w:pPr>
          </w:p>
        </w:tc>
        <w:tc>
          <w:tcPr>
            <w:tcW w:w="4536" w:type="dxa"/>
          </w:tcPr>
          <w:p w14:paraId="6CB18B3A" w14:textId="77777777" w:rsidR="00814667" w:rsidRPr="00A50751" w:rsidRDefault="00814667">
            <w:pPr>
              <w:pStyle w:val="SingleParagraph"/>
              <w:tabs>
                <w:tab w:val="num" w:pos="1134"/>
              </w:tabs>
              <w:spacing w:after="240"/>
              <w:ind w:left="1134" w:hanging="567"/>
              <w:rPr>
                <w:lang w:val="en-GB"/>
              </w:rPr>
            </w:pPr>
          </w:p>
        </w:tc>
      </w:tr>
      <w:tr w:rsidR="00814667" w:rsidRPr="00A50751" w14:paraId="6E42FC58" w14:textId="77777777">
        <w:trPr>
          <w:cantSplit/>
          <w:jc w:val="center"/>
        </w:trPr>
        <w:tc>
          <w:tcPr>
            <w:tcW w:w="4536" w:type="dxa"/>
          </w:tcPr>
          <w:p w14:paraId="4A1E60EF"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0A798113" w14:textId="77777777" w:rsidR="00814667" w:rsidRPr="00A50751" w:rsidRDefault="00814667">
            <w:pPr>
              <w:pStyle w:val="SingleParagraph"/>
              <w:rPr>
                <w:rFonts w:ascii="Book Antiqua" w:hAnsi="Book Antiqua"/>
                <w:lang w:val="en-GB"/>
              </w:rPr>
            </w:pPr>
          </w:p>
        </w:tc>
        <w:tc>
          <w:tcPr>
            <w:tcW w:w="4536" w:type="dxa"/>
          </w:tcPr>
          <w:p w14:paraId="72597DFB" w14:textId="77777777" w:rsidR="00814667" w:rsidRPr="00A50751" w:rsidRDefault="00814667">
            <w:pPr>
              <w:pStyle w:val="SingleParagraph"/>
              <w:rPr>
                <w:rFonts w:ascii="Book Antiqua" w:hAnsi="Book Antiqua"/>
                <w:lang w:val="en-GB"/>
              </w:rPr>
            </w:pPr>
          </w:p>
        </w:tc>
      </w:tr>
      <w:tr w:rsidR="00814667" w:rsidRPr="00A50751" w14:paraId="5BE0592B" w14:textId="77777777">
        <w:trPr>
          <w:cantSplit/>
          <w:trHeight w:val="143"/>
          <w:jc w:val="center"/>
        </w:trPr>
        <w:tc>
          <w:tcPr>
            <w:tcW w:w="4536" w:type="dxa"/>
          </w:tcPr>
          <w:p w14:paraId="1AD7A70B" w14:textId="77777777"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5E301A33" w14:textId="77777777" w:rsidR="00814667" w:rsidRPr="00A50751" w:rsidRDefault="00814667">
            <w:pPr>
              <w:rPr>
                <w:rFonts w:ascii="Book Antiqua" w:hAnsi="Book Antiqua"/>
                <w:lang w:val="en-GB"/>
              </w:rPr>
            </w:pPr>
          </w:p>
        </w:tc>
        <w:tc>
          <w:tcPr>
            <w:tcW w:w="4536" w:type="dxa"/>
          </w:tcPr>
          <w:p w14:paraId="766A021F" w14:textId="77777777" w:rsidR="00814667" w:rsidRPr="00A50751" w:rsidRDefault="00814667">
            <w:pPr>
              <w:pStyle w:val="SingleParagraph"/>
              <w:tabs>
                <w:tab w:val="num" w:pos="1134"/>
              </w:tabs>
              <w:spacing w:after="240"/>
              <w:ind w:left="1134" w:hanging="567"/>
              <w:rPr>
                <w:lang w:val="en-GB"/>
              </w:rPr>
            </w:pPr>
          </w:p>
        </w:tc>
      </w:tr>
      <w:tr w:rsidR="00814667" w:rsidRPr="00A50751" w14:paraId="11D0C523" w14:textId="77777777">
        <w:trPr>
          <w:cantSplit/>
          <w:jc w:val="center"/>
        </w:trPr>
        <w:tc>
          <w:tcPr>
            <w:tcW w:w="4536" w:type="dxa"/>
          </w:tcPr>
          <w:p w14:paraId="48C9B4D7"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7D2B7D5C" w14:textId="77777777" w:rsidR="00814667" w:rsidRPr="00A50751" w:rsidRDefault="00814667">
            <w:pPr>
              <w:pStyle w:val="SingleParagraph"/>
              <w:rPr>
                <w:rFonts w:ascii="Book Antiqua" w:hAnsi="Book Antiqua"/>
                <w:lang w:val="en-GB"/>
              </w:rPr>
            </w:pPr>
          </w:p>
        </w:tc>
        <w:tc>
          <w:tcPr>
            <w:tcW w:w="4536" w:type="dxa"/>
          </w:tcPr>
          <w:p w14:paraId="087529C9" w14:textId="77777777" w:rsidR="00814667" w:rsidRPr="00A50751" w:rsidRDefault="00814667">
            <w:pPr>
              <w:pStyle w:val="SingleParagraph"/>
              <w:rPr>
                <w:rFonts w:ascii="Book Antiqua" w:hAnsi="Book Antiqua"/>
                <w:lang w:val="en-GB"/>
              </w:rPr>
            </w:pPr>
          </w:p>
        </w:tc>
      </w:tr>
      <w:tr w:rsidR="00814667" w:rsidRPr="00A50751" w14:paraId="73475389" w14:textId="77777777">
        <w:trPr>
          <w:cantSplit/>
          <w:jc w:val="center"/>
        </w:trPr>
        <w:tc>
          <w:tcPr>
            <w:tcW w:w="4536" w:type="dxa"/>
          </w:tcPr>
          <w:p w14:paraId="11277D46" w14:textId="77777777"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32FDAAB1" w14:textId="77777777" w:rsidR="00814667" w:rsidRPr="00A50751" w:rsidRDefault="00814667">
            <w:pPr>
              <w:rPr>
                <w:rFonts w:ascii="Book Antiqua" w:hAnsi="Book Antiqua"/>
                <w:lang w:val="en-GB"/>
              </w:rPr>
            </w:pPr>
          </w:p>
        </w:tc>
        <w:tc>
          <w:tcPr>
            <w:tcW w:w="4536" w:type="dxa"/>
          </w:tcPr>
          <w:p w14:paraId="488A0DFC" w14:textId="77777777" w:rsidR="00814667" w:rsidRPr="00A50751" w:rsidRDefault="00814667">
            <w:pPr>
              <w:pStyle w:val="SingleParagraph"/>
              <w:tabs>
                <w:tab w:val="num" w:pos="1134"/>
              </w:tabs>
              <w:spacing w:after="240"/>
              <w:ind w:left="1134" w:hanging="567"/>
              <w:rPr>
                <w:lang w:val="en-GB"/>
              </w:rPr>
            </w:pPr>
          </w:p>
        </w:tc>
      </w:tr>
    </w:tbl>
    <w:p w14:paraId="125CAA8E" w14:textId="77777777" w:rsidR="008843EE" w:rsidRDefault="008843EE" w:rsidP="0020144E"/>
    <w:sectPr w:rsidR="008843EE" w:rsidSect="00C606F6">
      <w:headerReference w:type="default" r:id="rId13"/>
      <w:headerReference w:type="first" r:id="rId14"/>
      <w:footerReference w:type="first" r:id="rId15"/>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223D8" w14:textId="77777777" w:rsidR="00C14E5D" w:rsidRDefault="00C14E5D">
      <w:r>
        <w:separator/>
      </w:r>
    </w:p>
  </w:endnote>
  <w:endnote w:type="continuationSeparator" w:id="0">
    <w:p w14:paraId="01B6C3DB" w14:textId="77777777" w:rsidR="00C14E5D" w:rsidRDefault="00C1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090A" w14:textId="53030A59" w:rsidR="00AB76C6" w:rsidRDefault="00AB76C6"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47BA4">
      <w:rPr>
        <w:rStyle w:val="PageNumber"/>
        <w:noProof/>
      </w:rPr>
      <w:t>1</w:t>
    </w:r>
    <w:r>
      <w:rPr>
        <w:rStyle w:val="PageNumber"/>
      </w:rPr>
      <w:fldChar w:fldCharType="end"/>
    </w:r>
    <w:r>
      <w:rPr>
        <w:rStyle w:val="PageNumber"/>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ABBD9" w14:textId="77777777" w:rsidR="00C14E5D" w:rsidRDefault="00C14E5D">
      <w:r>
        <w:separator/>
      </w:r>
    </w:p>
  </w:footnote>
  <w:footnote w:type="continuationSeparator" w:id="0">
    <w:p w14:paraId="6257AC3E" w14:textId="77777777" w:rsidR="00C14E5D" w:rsidRDefault="00C14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ECAA" w14:textId="79FBD98F" w:rsidR="00092CAF" w:rsidRPr="00E75F8F" w:rsidRDefault="00092CAF" w:rsidP="00E75F8F">
    <w:pPr>
      <w:pStyle w:val="HeaderOdd"/>
      <w:tabs>
        <w:tab w:val="num" w:pos="1134"/>
      </w:tabs>
      <w:rPr>
        <w:color w:val="800000"/>
      </w:rPr>
    </w:pPr>
    <w:r w:rsidRPr="00092CAF">
      <w:rPr>
        <w:color w:val="800000"/>
      </w:rPr>
      <w:t xml:space="preserve">Project Agreement for Tourism Icon Package - Construction of the </w:t>
    </w:r>
    <w:proofErr w:type="spellStart"/>
    <w:r w:rsidRPr="00092CAF">
      <w:rPr>
        <w:color w:val="800000"/>
      </w:rPr>
      <w:t>Wangetti</w:t>
    </w:r>
    <w:proofErr w:type="spellEnd"/>
    <w:r w:rsidRPr="00092CAF">
      <w:rPr>
        <w:color w:val="800000"/>
      </w:rPr>
      <w:t xml:space="preserve"> Trail</w:t>
    </w:r>
  </w:p>
  <w:p w14:paraId="38DB3375" w14:textId="77777777" w:rsidR="00092CAF" w:rsidRDefault="00092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8A9F" w14:textId="5B026BC7" w:rsidR="00AB76C6" w:rsidRPr="00751725" w:rsidRDefault="00092CAF" w:rsidP="00281874">
    <w:pPr>
      <w:pStyle w:val="Header"/>
      <w:jc w:val="right"/>
    </w:pPr>
    <w:r w:rsidRPr="00092CAF">
      <w:rPr>
        <w:color w:val="800000"/>
      </w:rPr>
      <w:t xml:space="preserve">Project Agreement for Tourism Icon Package - Construction of the </w:t>
    </w:r>
    <w:proofErr w:type="spellStart"/>
    <w:r w:rsidRPr="00092CAF">
      <w:rPr>
        <w:color w:val="800000"/>
      </w:rPr>
      <w:t>Wangetti</w:t>
    </w:r>
    <w:proofErr w:type="spellEnd"/>
    <w:r w:rsidRPr="00092CAF">
      <w:rPr>
        <w:color w:val="800000"/>
      </w:rPr>
      <w:t xml:space="preserve"> Trail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5"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8" w15:restartNumberingAfterBreak="0">
    <w:nsid w:val="2FEA72CA"/>
    <w:multiLevelType w:val="multilevel"/>
    <w:tmpl w:val="72A22C3C"/>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59B70749"/>
    <w:multiLevelType w:val="multilevel"/>
    <w:tmpl w:val="72A22C3C"/>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lowerRoman"/>
      <w:lvlText w:val="%3."/>
      <w:lvlJc w:val="righ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4"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6"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7"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7F2798"/>
    <w:multiLevelType w:val="hybridMultilevel"/>
    <w:tmpl w:val="7876CA7A"/>
    <w:lvl w:ilvl="0" w:tplc="C5389632">
      <w:numFmt w:val="bullet"/>
      <w:lvlText w:val="-"/>
      <w:lvlJc w:val="left"/>
      <w:pPr>
        <w:ind w:left="408" w:hanging="360"/>
      </w:pPr>
      <w:rPr>
        <w:rFonts w:ascii="Corbel" w:eastAsia="Times New Roman" w:hAnsi="Corbel" w:hint="default"/>
      </w:rPr>
    </w:lvl>
    <w:lvl w:ilvl="1" w:tplc="0C090003" w:tentative="1">
      <w:start w:val="1"/>
      <w:numFmt w:val="bullet"/>
      <w:lvlText w:val="o"/>
      <w:lvlJc w:val="left"/>
      <w:pPr>
        <w:ind w:left="1128" w:hanging="360"/>
      </w:pPr>
      <w:rPr>
        <w:rFonts w:ascii="Courier New" w:hAnsi="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hint="default"/>
      </w:rPr>
    </w:lvl>
    <w:lvl w:ilvl="8" w:tplc="0C090005" w:tentative="1">
      <w:start w:val="1"/>
      <w:numFmt w:val="bullet"/>
      <w:lvlText w:val=""/>
      <w:lvlJc w:val="left"/>
      <w:pPr>
        <w:ind w:left="6168"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10"/>
  </w:num>
  <w:num w:numId="6">
    <w:abstractNumId w:val="12"/>
  </w:num>
  <w:num w:numId="7">
    <w:abstractNumId w:val="2"/>
  </w:num>
  <w:num w:numId="8">
    <w:abstractNumId w:val="14"/>
  </w:num>
  <w:num w:numId="9">
    <w:abstractNumId w:val="3"/>
  </w:num>
  <w:num w:numId="10">
    <w:abstractNumId w:val="6"/>
  </w:num>
  <w:num w:numId="11">
    <w:abstractNumId w:val="17"/>
  </w:num>
  <w:num w:numId="12">
    <w:abstractNumId w:val="1"/>
  </w:num>
  <w:num w:numId="13">
    <w:abstractNumId w:val="11"/>
  </w:num>
  <w:num w:numId="14">
    <w:abstractNumId w:val="15"/>
  </w:num>
  <w:num w:numId="15">
    <w:abstractNumId w:val="9"/>
  </w:num>
  <w:num w:numId="16">
    <w:abstractNumId w:val="13"/>
  </w:num>
  <w:num w:numId="17">
    <w:abstractNumId w:val="16"/>
  </w:num>
  <w:num w:numId="18">
    <w:abstractNumId w:val="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0"/>
  </w:num>
  <w:num w:numId="25">
    <w:abstractNumId w:val="0"/>
  </w:num>
  <w:num w:numId="26">
    <w:abstractNumId w:val="0"/>
  </w:num>
  <w:num w:numId="27">
    <w:abstractNumId w:val="0"/>
  </w:num>
  <w:num w:numId="28">
    <w:abstractNumId w:val="0"/>
  </w:num>
  <w:num w:numId="2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CB2"/>
    <w:rsid w:val="00032A14"/>
    <w:rsid w:val="000343F1"/>
    <w:rsid w:val="00044700"/>
    <w:rsid w:val="000550FE"/>
    <w:rsid w:val="0006051B"/>
    <w:rsid w:val="000614F9"/>
    <w:rsid w:val="0006451A"/>
    <w:rsid w:val="0006551D"/>
    <w:rsid w:val="00065679"/>
    <w:rsid w:val="0007004C"/>
    <w:rsid w:val="000724F6"/>
    <w:rsid w:val="00074611"/>
    <w:rsid w:val="00074A62"/>
    <w:rsid w:val="00086712"/>
    <w:rsid w:val="00091DF8"/>
    <w:rsid w:val="00092CAF"/>
    <w:rsid w:val="00093CB6"/>
    <w:rsid w:val="00093DD8"/>
    <w:rsid w:val="00095478"/>
    <w:rsid w:val="00097794"/>
    <w:rsid w:val="000A0C9E"/>
    <w:rsid w:val="000A5191"/>
    <w:rsid w:val="000B4080"/>
    <w:rsid w:val="000B70FF"/>
    <w:rsid w:val="000B7685"/>
    <w:rsid w:val="000C714F"/>
    <w:rsid w:val="000D19D8"/>
    <w:rsid w:val="000D1C37"/>
    <w:rsid w:val="000D33BE"/>
    <w:rsid w:val="000D4377"/>
    <w:rsid w:val="000D64C4"/>
    <w:rsid w:val="000E075D"/>
    <w:rsid w:val="000E2AF6"/>
    <w:rsid w:val="000E36B7"/>
    <w:rsid w:val="000E3C70"/>
    <w:rsid w:val="000E48C3"/>
    <w:rsid w:val="000E61A1"/>
    <w:rsid w:val="000F0880"/>
    <w:rsid w:val="000F25D5"/>
    <w:rsid w:val="000F6CF6"/>
    <w:rsid w:val="001006A7"/>
    <w:rsid w:val="00103FD6"/>
    <w:rsid w:val="001065EE"/>
    <w:rsid w:val="00110F5D"/>
    <w:rsid w:val="001134AC"/>
    <w:rsid w:val="00115166"/>
    <w:rsid w:val="00115A97"/>
    <w:rsid w:val="00122DBA"/>
    <w:rsid w:val="001262B5"/>
    <w:rsid w:val="00132587"/>
    <w:rsid w:val="00137223"/>
    <w:rsid w:val="001404A9"/>
    <w:rsid w:val="00140F43"/>
    <w:rsid w:val="00145D5C"/>
    <w:rsid w:val="00147FF8"/>
    <w:rsid w:val="00151133"/>
    <w:rsid w:val="00160506"/>
    <w:rsid w:val="0016131F"/>
    <w:rsid w:val="001629FA"/>
    <w:rsid w:val="00165CAB"/>
    <w:rsid w:val="00166312"/>
    <w:rsid w:val="00167BB8"/>
    <w:rsid w:val="0017100E"/>
    <w:rsid w:val="00172360"/>
    <w:rsid w:val="001724BF"/>
    <w:rsid w:val="00172E3A"/>
    <w:rsid w:val="00173F81"/>
    <w:rsid w:val="00174C2A"/>
    <w:rsid w:val="00175FB9"/>
    <w:rsid w:val="00177A0A"/>
    <w:rsid w:val="00180F76"/>
    <w:rsid w:val="00183EAB"/>
    <w:rsid w:val="00185CC1"/>
    <w:rsid w:val="00187BEB"/>
    <w:rsid w:val="001931E8"/>
    <w:rsid w:val="00194232"/>
    <w:rsid w:val="00194587"/>
    <w:rsid w:val="001A1422"/>
    <w:rsid w:val="001A14C1"/>
    <w:rsid w:val="001A3A9A"/>
    <w:rsid w:val="001A3F52"/>
    <w:rsid w:val="001A4093"/>
    <w:rsid w:val="001A79C1"/>
    <w:rsid w:val="001A7A15"/>
    <w:rsid w:val="001B0F30"/>
    <w:rsid w:val="001B19A0"/>
    <w:rsid w:val="001B1CA3"/>
    <w:rsid w:val="001B447F"/>
    <w:rsid w:val="001B580E"/>
    <w:rsid w:val="001B7933"/>
    <w:rsid w:val="001C3407"/>
    <w:rsid w:val="001C346E"/>
    <w:rsid w:val="001C3717"/>
    <w:rsid w:val="001C5CC5"/>
    <w:rsid w:val="001D29B1"/>
    <w:rsid w:val="001D2C27"/>
    <w:rsid w:val="001D3CAD"/>
    <w:rsid w:val="001D6E9A"/>
    <w:rsid w:val="001E20EC"/>
    <w:rsid w:val="001E4479"/>
    <w:rsid w:val="001E7173"/>
    <w:rsid w:val="001E74D0"/>
    <w:rsid w:val="001E7803"/>
    <w:rsid w:val="001F1D48"/>
    <w:rsid w:val="001F6F39"/>
    <w:rsid w:val="001F6FE8"/>
    <w:rsid w:val="00200999"/>
    <w:rsid w:val="0020144E"/>
    <w:rsid w:val="00205E18"/>
    <w:rsid w:val="00206773"/>
    <w:rsid w:val="002069F9"/>
    <w:rsid w:val="00211ABD"/>
    <w:rsid w:val="00212869"/>
    <w:rsid w:val="00221308"/>
    <w:rsid w:val="00222C97"/>
    <w:rsid w:val="00225761"/>
    <w:rsid w:val="00233835"/>
    <w:rsid w:val="0024183C"/>
    <w:rsid w:val="00241EE9"/>
    <w:rsid w:val="00244500"/>
    <w:rsid w:val="00247D45"/>
    <w:rsid w:val="00252551"/>
    <w:rsid w:val="00261ABA"/>
    <w:rsid w:val="00262E18"/>
    <w:rsid w:val="0026571E"/>
    <w:rsid w:val="00281874"/>
    <w:rsid w:val="00282C25"/>
    <w:rsid w:val="00284884"/>
    <w:rsid w:val="00285003"/>
    <w:rsid w:val="002869F5"/>
    <w:rsid w:val="00287DCC"/>
    <w:rsid w:val="0029030F"/>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77B9"/>
    <w:rsid w:val="00321E0A"/>
    <w:rsid w:val="00333506"/>
    <w:rsid w:val="00340987"/>
    <w:rsid w:val="003410AA"/>
    <w:rsid w:val="0034465F"/>
    <w:rsid w:val="00352A6B"/>
    <w:rsid w:val="00352EC1"/>
    <w:rsid w:val="00361054"/>
    <w:rsid w:val="0036119D"/>
    <w:rsid w:val="003637A0"/>
    <w:rsid w:val="0036474E"/>
    <w:rsid w:val="00364CF3"/>
    <w:rsid w:val="00365CAA"/>
    <w:rsid w:val="00367EAB"/>
    <w:rsid w:val="00372573"/>
    <w:rsid w:val="00377AB2"/>
    <w:rsid w:val="00383B08"/>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2E5D"/>
    <w:rsid w:val="003C59E0"/>
    <w:rsid w:val="003C6F2A"/>
    <w:rsid w:val="003D743C"/>
    <w:rsid w:val="003E33BA"/>
    <w:rsid w:val="003E5B07"/>
    <w:rsid w:val="003E6BA0"/>
    <w:rsid w:val="003E73DB"/>
    <w:rsid w:val="003F0ADC"/>
    <w:rsid w:val="003F59E6"/>
    <w:rsid w:val="003F5BE6"/>
    <w:rsid w:val="003F6C00"/>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456C"/>
    <w:rsid w:val="00450B39"/>
    <w:rsid w:val="00453BC6"/>
    <w:rsid w:val="00454498"/>
    <w:rsid w:val="00456C59"/>
    <w:rsid w:val="00465E18"/>
    <w:rsid w:val="00472D52"/>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4B81"/>
    <w:rsid w:val="004F5DCD"/>
    <w:rsid w:val="004F6B2B"/>
    <w:rsid w:val="005005DF"/>
    <w:rsid w:val="00505045"/>
    <w:rsid w:val="00510B96"/>
    <w:rsid w:val="00511501"/>
    <w:rsid w:val="00511B5B"/>
    <w:rsid w:val="00514538"/>
    <w:rsid w:val="00515AF2"/>
    <w:rsid w:val="0051640E"/>
    <w:rsid w:val="00516741"/>
    <w:rsid w:val="0051684E"/>
    <w:rsid w:val="00527ABC"/>
    <w:rsid w:val="005316D5"/>
    <w:rsid w:val="00537450"/>
    <w:rsid w:val="0054193D"/>
    <w:rsid w:val="00542A8C"/>
    <w:rsid w:val="00542D59"/>
    <w:rsid w:val="00543637"/>
    <w:rsid w:val="00545DF7"/>
    <w:rsid w:val="00546CA2"/>
    <w:rsid w:val="00551F4E"/>
    <w:rsid w:val="005539F5"/>
    <w:rsid w:val="0055415C"/>
    <w:rsid w:val="00554AAC"/>
    <w:rsid w:val="0055503F"/>
    <w:rsid w:val="005572D7"/>
    <w:rsid w:val="00563797"/>
    <w:rsid w:val="005651B5"/>
    <w:rsid w:val="00566234"/>
    <w:rsid w:val="0057262B"/>
    <w:rsid w:val="00581426"/>
    <w:rsid w:val="005815B3"/>
    <w:rsid w:val="00582A03"/>
    <w:rsid w:val="00587E37"/>
    <w:rsid w:val="00593821"/>
    <w:rsid w:val="00596E88"/>
    <w:rsid w:val="00597CBD"/>
    <w:rsid w:val="005A0969"/>
    <w:rsid w:val="005A5E7A"/>
    <w:rsid w:val="005B0DEF"/>
    <w:rsid w:val="005B2A03"/>
    <w:rsid w:val="005B371A"/>
    <w:rsid w:val="005B4C1B"/>
    <w:rsid w:val="005B63B1"/>
    <w:rsid w:val="005C2684"/>
    <w:rsid w:val="005C2DDC"/>
    <w:rsid w:val="005C5620"/>
    <w:rsid w:val="005C578C"/>
    <w:rsid w:val="005C6C32"/>
    <w:rsid w:val="005D1F0F"/>
    <w:rsid w:val="005D29DB"/>
    <w:rsid w:val="005D41F9"/>
    <w:rsid w:val="005E4143"/>
    <w:rsid w:val="005E724B"/>
    <w:rsid w:val="00601F7C"/>
    <w:rsid w:val="00602A48"/>
    <w:rsid w:val="00602EF7"/>
    <w:rsid w:val="00606F11"/>
    <w:rsid w:val="00607B03"/>
    <w:rsid w:val="006102A8"/>
    <w:rsid w:val="0061059D"/>
    <w:rsid w:val="0061326F"/>
    <w:rsid w:val="00614393"/>
    <w:rsid w:val="006146F2"/>
    <w:rsid w:val="00614C00"/>
    <w:rsid w:val="00623567"/>
    <w:rsid w:val="006412B5"/>
    <w:rsid w:val="00641932"/>
    <w:rsid w:val="00644083"/>
    <w:rsid w:val="0064429B"/>
    <w:rsid w:val="0064477C"/>
    <w:rsid w:val="0065090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5123"/>
    <w:rsid w:val="006D7A92"/>
    <w:rsid w:val="006E0529"/>
    <w:rsid w:val="006E3B48"/>
    <w:rsid w:val="006E6184"/>
    <w:rsid w:val="006E631B"/>
    <w:rsid w:val="006F096A"/>
    <w:rsid w:val="006F22E3"/>
    <w:rsid w:val="006F3095"/>
    <w:rsid w:val="006F5455"/>
    <w:rsid w:val="006F5CB6"/>
    <w:rsid w:val="006F69F2"/>
    <w:rsid w:val="006F79D3"/>
    <w:rsid w:val="00703194"/>
    <w:rsid w:val="00706E50"/>
    <w:rsid w:val="0070737C"/>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44D93"/>
    <w:rsid w:val="00746531"/>
    <w:rsid w:val="00750F59"/>
    <w:rsid w:val="00751725"/>
    <w:rsid w:val="00752028"/>
    <w:rsid w:val="0075450A"/>
    <w:rsid w:val="0075717D"/>
    <w:rsid w:val="00757E71"/>
    <w:rsid w:val="0076017E"/>
    <w:rsid w:val="00760DB6"/>
    <w:rsid w:val="0076361C"/>
    <w:rsid w:val="007661AE"/>
    <w:rsid w:val="0076643E"/>
    <w:rsid w:val="00766A51"/>
    <w:rsid w:val="00766DEF"/>
    <w:rsid w:val="00771FFF"/>
    <w:rsid w:val="00772818"/>
    <w:rsid w:val="0077685D"/>
    <w:rsid w:val="0077788E"/>
    <w:rsid w:val="00784439"/>
    <w:rsid w:val="00787E75"/>
    <w:rsid w:val="0079527D"/>
    <w:rsid w:val="00797257"/>
    <w:rsid w:val="007A3157"/>
    <w:rsid w:val="007A6E20"/>
    <w:rsid w:val="007B10ED"/>
    <w:rsid w:val="007B2B2E"/>
    <w:rsid w:val="007B3BFC"/>
    <w:rsid w:val="007B4B03"/>
    <w:rsid w:val="007C1DF3"/>
    <w:rsid w:val="007C4F31"/>
    <w:rsid w:val="007E032D"/>
    <w:rsid w:val="007E5257"/>
    <w:rsid w:val="007E5391"/>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47BA4"/>
    <w:rsid w:val="00851465"/>
    <w:rsid w:val="008514B8"/>
    <w:rsid w:val="00852ED8"/>
    <w:rsid w:val="0085330A"/>
    <w:rsid w:val="008550CA"/>
    <w:rsid w:val="0085533A"/>
    <w:rsid w:val="00855543"/>
    <w:rsid w:val="0085738D"/>
    <w:rsid w:val="00862395"/>
    <w:rsid w:val="00864DD3"/>
    <w:rsid w:val="008708D6"/>
    <w:rsid w:val="00873A0E"/>
    <w:rsid w:val="00874608"/>
    <w:rsid w:val="008760D0"/>
    <w:rsid w:val="00881317"/>
    <w:rsid w:val="008843EE"/>
    <w:rsid w:val="00892CA4"/>
    <w:rsid w:val="00894F40"/>
    <w:rsid w:val="00896477"/>
    <w:rsid w:val="00896BD6"/>
    <w:rsid w:val="00896F5A"/>
    <w:rsid w:val="008A3C37"/>
    <w:rsid w:val="008A53BA"/>
    <w:rsid w:val="008B1840"/>
    <w:rsid w:val="008B70D3"/>
    <w:rsid w:val="008B73A2"/>
    <w:rsid w:val="008B7FE2"/>
    <w:rsid w:val="008C0BBA"/>
    <w:rsid w:val="008C2450"/>
    <w:rsid w:val="008C7817"/>
    <w:rsid w:val="008C7F5B"/>
    <w:rsid w:val="008D079A"/>
    <w:rsid w:val="008D2F40"/>
    <w:rsid w:val="008D5B52"/>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3276"/>
    <w:rsid w:val="009221DF"/>
    <w:rsid w:val="009223A9"/>
    <w:rsid w:val="009224FD"/>
    <w:rsid w:val="0092265B"/>
    <w:rsid w:val="00930244"/>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3905"/>
    <w:rsid w:val="009644B8"/>
    <w:rsid w:val="0096732C"/>
    <w:rsid w:val="009703B6"/>
    <w:rsid w:val="00971A4C"/>
    <w:rsid w:val="00975EB5"/>
    <w:rsid w:val="00983979"/>
    <w:rsid w:val="00983B2B"/>
    <w:rsid w:val="00983DC2"/>
    <w:rsid w:val="00983DF0"/>
    <w:rsid w:val="0099742A"/>
    <w:rsid w:val="009A0446"/>
    <w:rsid w:val="009A062C"/>
    <w:rsid w:val="009A48AF"/>
    <w:rsid w:val="009A522D"/>
    <w:rsid w:val="009B0C68"/>
    <w:rsid w:val="009B3F77"/>
    <w:rsid w:val="009B5132"/>
    <w:rsid w:val="009C166A"/>
    <w:rsid w:val="009C2059"/>
    <w:rsid w:val="009C6FFB"/>
    <w:rsid w:val="009C7EF5"/>
    <w:rsid w:val="009D0C93"/>
    <w:rsid w:val="009D2FAC"/>
    <w:rsid w:val="009E093C"/>
    <w:rsid w:val="009E1311"/>
    <w:rsid w:val="009E151E"/>
    <w:rsid w:val="009E3ACF"/>
    <w:rsid w:val="009E5DB6"/>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462A5"/>
    <w:rsid w:val="00A50751"/>
    <w:rsid w:val="00A50E72"/>
    <w:rsid w:val="00A54B81"/>
    <w:rsid w:val="00A54BE7"/>
    <w:rsid w:val="00A564EB"/>
    <w:rsid w:val="00A6500A"/>
    <w:rsid w:val="00A65333"/>
    <w:rsid w:val="00A6719E"/>
    <w:rsid w:val="00A739F1"/>
    <w:rsid w:val="00A756F4"/>
    <w:rsid w:val="00A758DE"/>
    <w:rsid w:val="00A8189A"/>
    <w:rsid w:val="00A81C2E"/>
    <w:rsid w:val="00A81EC4"/>
    <w:rsid w:val="00A83B8E"/>
    <w:rsid w:val="00A8478F"/>
    <w:rsid w:val="00A858C4"/>
    <w:rsid w:val="00A9141E"/>
    <w:rsid w:val="00A9341B"/>
    <w:rsid w:val="00A974CA"/>
    <w:rsid w:val="00A97E12"/>
    <w:rsid w:val="00AA0225"/>
    <w:rsid w:val="00AA2CD5"/>
    <w:rsid w:val="00AA4F6C"/>
    <w:rsid w:val="00AB16AE"/>
    <w:rsid w:val="00AB29CE"/>
    <w:rsid w:val="00AB392A"/>
    <w:rsid w:val="00AB5801"/>
    <w:rsid w:val="00AB5A64"/>
    <w:rsid w:val="00AB71A5"/>
    <w:rsid w:val="00AB76C6"/>
    <w:rsid w:val="00AB79E9"/>
    <w:rsid w:val="00AC5567"/>
    <w:rsid w:val="00AD04F4"/>
    <w:rsid w:val="00AD576C"/>
    <w:rsid w:val="00AD670F"/>
    <w:rsid w:val="00AD6C71"/>
    <w:rsid w:val="00AE1E4B"/>
    <w:rsid w:val="00AE1E54"/>
    <w:rsid w:val="00AE2AFD"/>
    <w:rsid w:val="00AE4372"/>
    <w:rsid w:val="00AE478A"/>
    <w:rsid w:val="00AF0C8D"/>
    <w:rsid w:val="00AF4AE7"/>
    <w:rsid w:val="00B00778"/>
    <w:rsid w:val="00B04E8C"/>
    <w:rsid w:val="00B050C0"/>
    <w:rsid w:val="00B05642"/>
    <w:rsid w:val="00B06097"/>
    <w:rsid w:val="00B10045"/>
    <w:rsid w:val="00B100DF"/>
    <w:rsid w:val="00B10CAE"/>
    <w:rsid w:val="00B12190"/>
    <w:rsid w:val="00B1294B"/>
    <w:rsid w:val="00B137C3"/>
    <w:rsid w:val="00B171BB"/>
    <w:rsid w:val="00B2247A"/>
    <w:rsid w:val="00B3219C"/>
    <w:rsid w:val="00B36551"/>
    <w:rsid w:val="00B36E9E"/>
    <w:rsid w:val="00B40E38"/>
    <w:rsid w:val="00B43EAC"/>
    <w:rsid w:val="00B45C9E"/>
    <w:rsid w:val="00B502CF"/>
    <w:rsid w:val="00B504BA"/>
    <w:rsid w:val="00B51ACE"/>
    <w:rsid w:val="00B619AA"/>
    <w:rsid w:val="00B623D7"/>
    <w:rsid w:val="00B66E7A"/>
    <w:rsid w:val="00B8096A"/>
    <w:rsid w:val="00B91564"/>
    <w:rsid w:val="00B9206A"/>
    <w:rsid w:val="00B9279E"/>
    <w:rsid w:val="00B978BD"/>
    <w:rsid w:val="00BA1CFA"/>
    <w:rsid w:val="00BA4284"/>
    <w:rsid w:val="00BC1029"/>
    <w:rsid w:val="00BC2720"/>
    <w:rsid w:val="00BC425F"/>
    <w:rsid w:val="00BC4728"/>
    <w:rsid w:val="00BC4BF4"/>
    <w:rsid w:val="00BC60B3"/>
    <w:rsid w:val="00BD2253"/>
    <w:rsid w:val="00BD7496"/>
    <w:rsid w:val="00BE042D"/>
    <w:rsid w:val="00BE4802"/>
    <w:rsid w:val="00BE7212"/>
    <w:rsid w:val="00BF0D7C"/>
    <w:rsid w:val="00BF331F"/>
    <w:rsid w:val="00C053A4"/>
    <w:rsid w:val="00C05CC6"/>
    <w:rsid w:val="00C068C7"/>
    <w:rsid w:val="00C073C2"/>
    <w:rsid w:val="00C13C12"/>
    <w:rsid w:val="00C14E5D"/>
    <w:rsid w:val="00C160F4"/>
    <w:rsid w:val="00C20F99"/>
    <w:rsid w:val="00C2120D"/>
    <w:rsid w:val="00C215E7"/>
    <w:rsid w:val="00C233E9"/>
    <w:rsid w:val="00C2605C"/>
    <w:rsid w:val="00C2607A"/>
    <w:rsid w:val="00C26C5B"/>
    <w:rsid w:val="00C2711B"/>
    <w:rsid w:val="00C303B4"/>
    <w:rsid w:val="00C36DA8"/>
    <w:rsid w:val="00C40EBC"/>
    <w:rsid w:val="00C41265"/>
    <w:rsid w:val="00C4202E"/>
    <w:rsid w:val="00C42ACA"/>
    <w:rsid w:val="00C50F55"/>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92F94"/>
    <w:rsid w:val="00C95D81"/>
    <w:rsid w:val="00C960AA"/>
    <w:rsid w:val="00CA121E"/>
    <w:rsid w:val="00CA501D"/>
    <w:rsid w:val="00CA55C4"/>
    <w:rsid w:val="00CB1789"/>
    <w:rsid w:val="00CB1CB2"/>
    <w:rsid w:val="00CB2557"/>
    <w:rsid w:val="00CB44C4"/>
    <w:rsid w:val="00CB47FE"/>
    <w:rsid w:val="00CB4D35"/>
    <w:rsid w:val="00CB6703"/>
    <w:rsid w:val="00CC31FB"/>
    <w:rsid w:val="00CC39B1"/>
    <w:rsid w:val="00CC3D90"/>
    <w:rsid w:val="00CD526B"/>
    <w:rsid w:val="00CD5B93"/>
    <w:rsid w:val="00CD7039"/>
    <w:rsid w:val="00CE3B32"/>
    <w:rsid w:val="00CE4A24"/>
    <w:rsid w:val="00CE613B"/>
    <w:rsid w:val="00CE7209"/>
    <w:rsid w:val="00CE7403"/>
    <w:rsid w:val="00CF0826"/>
    <w:rsid w:val="00CF0D8A"/>
    <w:rsid w:val="00CF267F"/>
    <w:rsid w:val="00CF7DA0"/>
    <w:rsid w:val="00D0312C"/>
    <w:rsid w:val="00D04614"/>
    <w:rsid w:val="00D06C76"/>
    <w:rsid w:val="00D158AD"/>
    <w:rsid w:val="00D1723F"/>
    <w:rsid w:val="00D26B64"/>
    <w:rsid w:val="00D30AA4"/>
    <w:rsid w:val="00D30CE5"/>
    <w:rsid w:val="00D3674A"/>
    <w:rsid w:val="00D40383"/>
    <w:rsid w:val="00D4085D"/>
    <w:rsid w:val="00D428F4"/>
    <w:rsid w:val="00D434F3"/>
    <w:rsid w:val="00D46E83"/>
    <w:rsid w:val="00D51386"/>
    <w:rsid w:val="00D52914"/>
    <w:rsid w:val="00D5485B"/>
    <w:rsid w:val="00D57346"/>
    <w:rsid w:val="00D61911"/>
    <w:rsid w:val="00D62258"/>
    <w:rsid w:val="00D625A7"/>
    <w:rsid w:val="00D677F9"/>
    <w:rsid w:val="00D702F1"/>
    <w:rsid w:val="00D729FA"/>
    <w:rsid w:val="00D7336A"/>
    <w:rsid w:val="00D73591"/>
    <w:rsid w:val="00D756A2"/>
    <w:rsid w:val="00D802FC"/>
    <w:rsid w:val="00D8532B"/>
    <w:rsid w:val="00D85463"/>
    <w:rsid w:val="00D973A5"/>
    <w:rsid w:val="00DA205D"/>
    <w:rsid w:val="00DA7233"/>
    <w:rsid w:val="00DC1FDB"/>
    <w:rsid w:val="00DC4D62"/>
    <w:rsid w:val="00DC50E5"/>
    <w:rsid w:val="00DC76C7"/>
    <w:rsid w:val="00DE140F"/>
    <w:rsid w:val="00DE311A"/>
    <w:rsid w:val="00DE345E"/>
    <w:rsid w:val="00DE36EB"/>
    <w:rsid w:val="00DE4A6C"/>
    <w:rsid w:val="00DE64C1"/>
    <w:rsid w:val="00DF5BAB"/>
    <w:rsid w:val="00E10555"/>
    <w:rsid w:val="00E11087"/>
    <w:rsid w:val="00E16E0A"/>
    <w:rsid w:val="00E204BB"/>
    <w:rsid w:val="00E220BC"/>
    <w:rsid w:val="00E31096"/>
    <w:rsid w:val="00E33938"/>
    <w:rsid w:val="00E33F03"/>
    <w:rsid w:val="00E354D8"/>
    <w:rsid w:val="00E3658A"/>
    <w:rsid w:val="00E3667C"/>
    <w:rsid w:val="00E3706A"/>
    <w:rsid w:val="00E3738B"/>
    <w:rsid w:val="00E37446"/>
    <w:rsid w:val="00E37730"/>
    <w:rsid w:val="00E4099E"/>
    <w:rsid w:val="00E456AA"/>
    <w:rsid w:val="00E5201F"/>
    <w:rsid w:val="00E579FF"/>
    <w:rsid w:val="00E6698B"/>
    <w:rsid w:val="00E7195E"/>
    <w:rsid w:val="00E72F4A"/>
    <w:rsid w:val="00E7467D"/>
    <w:rsid w:val="00E75F8F"/>
    <w:rsid w:val="00E82115"/>
    <w:rsid w:val="00E832FF"/>
    <w:rsid w:val="00E83448"/>
    <w:rsid w:val="00E838D3"/>
    <w:rsid w:val="00E84728"/>
    <w:rsid w:val="00E90BF8"/>
    <w:rsid w:val="00E92C8A"/>
    <w:rsid w:val="00E9346D"/>
    <w:rsid w:val="00E94547"/>
    <w:rsid w:val="00EA21BF"/>
    <w:rsid w:val="00EA594C"/>
    <w:rsid w:val="00EA7329"/>
    <w:rsid w:val="00EA7A1C"/>
    <w:rsid w:val="00EB3ED6"/>
    <w:rsid w:val="00EB5170"/>
    <w:rsid w:val="00EB7EDA"/>
    <w:rsid w:val="00EC3E78"/>
    <w:rsid w:val="00EC5206"/>
    <w:rsid w:val="00EC5D22"/>
    <w:rsid w:val="00ED0175"/>
    <w:rsid w:val="00ED0AC8"/>
    <w:rsid w:val="00ED2AC4"/>
    <w:rsid w:val="00ED4036"/>
    <w:rsid w:val="00EE041B"/>
    <w:rsid w:val="00EE57AC"/>
    <w:rsid w:val="00EE74C4"/>
    <w:rsid w:val="00EE7D29"/>
    <w:rsid w:val="00EF33DE"/>
    <w:rsid w:val="00EF6486"/>
    <w:rsid w:val="00EF72D4"/>
    <w:rsid w:val="00F11A23"/>
    <w:rsid w:val="00F11DDE"/>
    <w:rsid w:val="00F11DEF"/>
    <w:rsid w:val="00F120E6"/>
    <w:rsid w:val="00F12ACD"/>
    <w:rsid w:val="00F16589"/>
    <w:rsid w:val="00F2068C"/>
    <w:rsid w:val="00F234AB"/>
    <w:rsid w:val="00F24478"/>
    <w:rsid w:val="00F31DE0"/>
    <w:rsid w:val="00F3245D"/>
    <w:rsid w:val="00F34E70"/>
    <w:rsid w:val="00F4377A"/>
    <w:rsid w:val="00F46237"/>
    <w:rsid w:val="00F47765"/>
    <w:rsid w:val="00F479EC"/>
    <w:rsid w:val="00F501C6"/>
    <w:rsid w:val="00F630DB"/>
    <w:rsid w:val="00F630EF"/>
    <w:rsid w:val="00F6403E"/>
    <w:rsid w:val="00F71346"/>
    <w:rsid w:val="00F715F2"/>
    <w:rsid w:val="00F730C7"/>
    <w:rsid w:val="00F76C87"/>
    <w:rsid w:val="00F8684A"/>
    <w:rsid w:val="00F94C3D"/>
    <w:rsid w:val="00F95D26"/>
    <w:rsid w:val="00F979C5"/>
    <w:rsid w:val="00FA0CBF"/>
    <w:rsid w:val="00FA0E45"/>
    <w:rsid w:val="00FA2EC0"/>
    <w:rsid w:val="00FA4E87"/>
    <w:rsid w:val="00FA64FD"/>
    <w:rsid w:val="00FB4200"/>
    <w:rsid w:val="00FB5750"/>
    <w:rsid w:val="00FB6A2E"/>
    <w:rsid w:val="00FC055C"/>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BA0D75"/>
  <w14:defaultImageDpi w14:val="0"/>
  <w15:docId w15:val="{5209DE51-48A8-4EA9-B42C-2621FE5C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4"/>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7"/>
      </w:numPr>
      <w:tabs>
        <w:tab w:val="num" w:pos="567"/>
        <w:tab w:val="num" w:pos="850"/>
      </w:tabs>
      <w:ind w:left="850" w:hanging="284"/>
    </w:pPr>
  </w:style>
  <w:style w:type="paragraph" w:customStyle="1" w:styleId="DoubleDot">
    <w:name w:val="Double Dot"/>
    <w:basedOn w:val="Normal"/>
    <w:rsid w:val="00D51386"/>
    <w:pPr>
      <w:numPr>
        <w:ilvl w:val="2"/>
        <w:numId w:val="7"/>
      </w:numPr>
      <w:tabs>
        <w:tab w:val="num" w:pos="850"/>
        <w:tab w:val="num" w:pos="1133"/>
      </w:tabs>
      <w:ind w:left="1133" w:hanging="283"/>
    </w:pPr>
  </w:style>
  <w:style w:type="paragraph" w:customStyle="1" w:styleId="OutlineNumbered1">
    <w:name w:val="Outline Numbered 1"/>
    <w:basedOn w:val="Normal"/>
    <w:rsid w:val="00D51386"/>
    <w:pPr>
      <w:numPr>
        <w:numId w:val="4"/>
      </w:numPr>
    </w:pPr>
  </w:style>
  <w:style w:type="paragraph" w:customStyle="1" w:styleId="OutlineNumbered2">
    <w:name w:val="Outline Numbered 2"/>
    <w:basedOn w:val="Normal"/>
    <w:rsid w:val="00D51386"/>
    <w:pPr>
      <w:numPr>
        <w:ilvl w:val="1"/>
        <w:numId w:val="4"/>
      </w:numPr>
    </w:pPr>
  </w:style>
  <w:style w:type="paragraph" w:customStyle="1" w:styleId="OutlineNumbered3">
    <w:name w:val="Outline Numbered 3"/>
    <w:basedOn w:val="Normal"/>
    <w:rsid w:val="00D51386"/>
    <w:pPr>
      <w:numPr>
        <w:ilvl w:val="2"/>
        <w:numId w:val="4"/>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5"/>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7"/>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6"/>
      </w:numPr>
    </w:pPr>
  </w:style>
  <w:style w:type="paragraph" w:customStyle="1" w:styleId="BoxDash">
    <w:name w:val="Box Dash"/>
    <w:basedOn w:val="Normal"/>
    <w:uiPriority w:val="99"/>
    <w:rsid w:val="00D51386"/>
    <w:pPr>
      <w:numPr>
        <w:ilvl w:val="1"/>
        <w:numId w:val="6"/>
      </w:numPr>
    </w:pPr>
  </w:style>
  <w:style w:type="paragraph" w:customStyle="1" w:styleId="BoxDoubleDot">
    <w:name w:val="Box Double Dot"/>
    <w:basedOn w:val="BoxTextBase"/>
    <w:uiPriority w:val="99"/>
    <w:rsid w:val="00D51386"/>
    <w:pPr>
      <w:numPr>
        <w:ilvl w:val="2"/>
        <w:numId w:val="6"/>
      </w:numPr>
    </w:pPr>
  </w:style>
  <w:style w:type="paragraph" w:customStyle="1" w:styleId="RecommendationBullet">
    <w:name w:val="Recommendation Bullet"/>
    <w:basedOn w:val="RecommendationTextBase"/>
    <w:rsid w:val="00D51386"/>
    <w:pPr>
      <w:numPr>
        <w:numId w:val="8"/>
      </w:numPr>
    </w:pPr>
  </w:style>
  <w:style w:type="paragraph" w:customStyle="1" w:styleId="RecommendationDash">
    <w:name w:val="Recommendation Dash"/>
    <w:basedOn w:val="RecommendationTextBase"/>
    <w:rsid w:val="00D51386"/>
    <w:pPr>
      <w:numPr>
        <w:ilvl w:val="1"/>
        <w:numId w:val="8"/>
      </w:numPr>
    </w:pPr>
  </w:style>
  <w:style w:type="paragraph" w:customStyle="1" w:styleId="RecommendationDoubleDot">
    <w:name w:val="Recommendation Double Dot"/>
    <w:basedOn w:val="RecommendationTextBase"/>
    <w:rsid w:val="00D51386"/>
    <w:pPr>
      <w:numPr>
        <w:ilvl w:val="2"/>
        <w:numId w:val="8"/>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2"/>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5"/>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9"/>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5"/>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0"/>
      </w:numPr>
    </w:pPr>
  </w:style>
  <w:style w:type="paragraph" w:customStyle="1" w:styleId="AgreementParties">
    <w:name w:val="AgreementParties"/>
    <w:rsid w:val="00D51386"/>
    <w:pPr>
      <w:numPr>
        <w:numId w:val="13"/>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7"/>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8"/>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9"/>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9"/>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9"/>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9"/>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9"/>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9"/>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9"/>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9"/>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9"/>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092CAF"/>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4597">
      <w:marLeft w:val="0"/>
      <w:marRight w:val="0"/>
      <w:marTop w:val="0"/>
      <w:marBottom w:val="0"/>
      <w:divBdr>
        <w:top w:val="none" w:sz="0" w:space="0" w:color="auto"/>
        <w:left w:val="none" w:sz="0" w:space="0" w:color="auto"/>
        <w:bottom w:val="none" w:sz="0" w:space="0" w:color="auto"/>
        <w:right w:val="none" w:sz="0" w:space="0" w:color="auto"/>
      </w:divBdr>
    </w:div>
    <w:div w:id="1003044598">
      <w:marLeft w:val="0"/>
      <w:marRight w:val="0"/>
      <w:marTop w:val="0"/>
      <w:marBottom w:val="0"/>
      <w:divBdr>
        <w:top w:val="none" w:sz="0" w:space="0" w:color="auto"/>
        <w:left w:val="none" w:sz="0" w:space="0" w:color="auto"/>
        <w:bottom w:val="none" w:sz="0" w:space="0" w:color="auto"/>
        <w:right w:val="none" w:sz="0" w:space="0" w:color="auto"/>
      </w:divBdr>
    </w:div>
    <w:div w:id="10030445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2872" ma:contentTypeDescription=" " ma:contentTypeScope="" ma:versionID="025344a79c393b7032579434ff3c55f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_dlc_DocId xmlns="0f563589-9cf9-4143-b1eb-fb0534803d38">2021FG-64-102111</_dlc_DocId>
    <_dlc_DocIdUrl xmlns="0f563589-9cf9-4143-b1eb-fb0534803d38">
      <Url>http://tweb/sites/fg/csrd/_layouts/15/DocIdRedir.aspx?ID=2021FG-64-102111</Url>
      <Description>2021FG-64-102111</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BB63D303-442A-4C21-A761-F36581959C07}"/>
</file>

<file path=customXml/itemProps3.xml><?xml version="1.0" encoding="utf-8"?>
<ds:datastoreItem xmlns:ds="http://schemas.openxmlformats.org/officeDocument/2006/customXml" ds:itemID="{1A2913AB-4891-433F-BB85-0ECD1D514534}"/>
</file>

<file path=customXml/itemProps4.xml><?xml version="1.0" encoding="utf-8"?>
<ds:datastoreItem xmlns:ds="http://schemas.openxmlformats.org/officeDocument/2006/customXml" ds:itemID="{F8653299-F3F9-48E8-B0A4-B8A4573DFD68}">
  <ds:schemaRefs>
    <ds:schemaRef ds:uri="http://schemas.microsoft.com/office/2006/metadata/properties"/>
    <ds:schemaRef ds:uri="http://schemas.microsoft.com/office/infopath/2007/PartnerControls"/>
    <ds:schemaRef ds:uri="2124141f-bf93-4eca-8662-34a4511e35c8"/>
    <ds:schemaRef ds:uri="52d2b1bf-f310-45e2-aba7-632ee969a559"/>
  </ds:schemaRefs>
</ds:datastoreItem>
</file>

<file path=customXml/itemProps5.xml><?xml version="1.0" encoding="utf-8"?>
<ds:datastoreItem xmlns:ds="http://schemas.openxmlformats.org/officeDocument/2006/customXml" ds:itemID="{DC686B98-BDCD-40A1-A059-8C123AF9FB4A}"/>
</file>

<file path=customXml/itemProps6.xml><?xml version="1.0" encoding="utf-8"?>
<ds:datastoreItem xmlns:ds="http://schemas.openxmlformats.org/officeDocument/2006/customXml" ds:itemID="{7E69E214-DFC5-471E-973F-E022ED817B2B}">
  <ds:schemaRefs>
    <ds:schemaRef ds:uri="http://schemas.openxmlformats.org/officeDocument/2006/bibliography"/>
  </ds:schemaRefs>
</ds:datastoreItem>
</file>

<file path=customXml/itemProps7.xml><?xml version="1.0" encoding="utf-8"?>
<ds:datastoreItem xmlns:ds="http://schemas.openxmlformats.org/officeDocument/2006/customXml" ds:itemID="{D325F976-465C-4C62-8767-19C67C080E2F}"/>
</file>

<file path=docProps/app.xml><?xml version="1.0" encoding="utf-8"?>
<Properties xmlns="http://schemas.openxmlformats.org/officeDocument/2006/extended-properties" xmlns:vt="http://schemas.openxmlformats.org/officeDocument/2006/docPropsVTypes">
  <Template>COAG</Template>
  <TotalTime>9</TotalTime>
  <Pages>8</Pages>
  <Words>1604</Words>
  <Characters>9149</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Project Agreement Template</vt:lpstr>
      <vt:lpstr>overview</vt:lpstr>
      <vt:lpstr>    Purpose</vt:lpstr>
      <vt:lpstr>Part 1 — Formalities</vt:lpstr>
      <vt:lpstr>    Parties to this Agreement</vt:lpstr>
      <vt:lpstr>    Term of the Agreement</vt:lpstr>
      <vt:lpstr>    Part 2 — Project outputs</vt:lpstr>
      <vt:lpstr>    Outputs</vt:lpstr>
      <vt:lpstr>Part 3 — roles and responsibilities of each party</vt:lpstr>
      <vt:lpstr>    Role of the Commonwealth</vt:lpstr>
      <vt:lpstr>    Role of the States and Territories</vt:lpstr>
      <vt:lpstr>    Shared roles</vt:lpstr>
      <vt:lpstr>Part 4 — Project milestones, reporting and Payments</vt:lpstr>
      <vt:lpstr>    Reporting arrangements</vt:lpstr>
      <vt:lpstr>Part 5 — financial arrangements</vt:lpstr>
      <vt:lpstr>Part 6 — governance arrangements</vt:lpstr>
      <vt:lpstr>    Enforceability of the Agreement</vt:lpstr>
      <vt:lpstr>    Variation of the Agreement</vt:lpstr>
      <vt:lpstr>    Delegations</vt:lpstr>
      <vt:lpstr>    Dispute resolution</vt:lpstr>
    </vt:vector>
  </TitlesOfParts>
  <Company>Australian Government - The Treasury</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Sonja-Schmid (Canberra)</cp:lastModifiedBy>
  <cp:revision>4</cp:revision>
  <cp:lastPrinted>2015-08-13T02:13:00Z</cp:lastPrinted>
  <dcterms:created xsi:type="dcterms:W3CDTF">2019-10-10T03:48:00Z</dcterms:created>
  <dcterms:modified xsi:type="dcterms:W3CDTF">2020-02-20T03:20:00Z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bed5ddcb-960a-4367-bd40-0afc84d41162</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{eaf7f818-8551-4cb7-8c26-00e5e1d989e1}</vt:lpwstr>
  </property>
  <property fmtid="{D5CDD505-2E9C-101B-9397-08002B2CF9AE}" pid="9" name="RecordPoint_ActiveItemWebId">
    <vt:lpwstr>{a4589788-615f-4b8b-8296-7f9f6dfbab44}</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Protective Marking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